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广东省广州市番禺区人民法院</w:t>
      </w:r>
    </w:p>
    <w:p>
      <w:pPr>
        <w:jc w:val="center"/>
      </w:pPr>
      <w:r>
        <w:t>刑事判决书</w:t>
      </w:r>
    </w:p>
    <w:p>
      <w:pPr>
        <w:jc w:val="right"/>
      </w:pPr>
      <w:r>
        <w:t>（2024）粤0113刑初635号</w:t>
      </w:r>
    </w:p>
    <w:p>
      <w:pPr>
        <w:jc w:val="left"/>
      </w:pPr>
      <w:r>
        <w:t>公诉机关广东省广州市番禺区人民检察院。</w:t>
      </w:r>
    </w:p>
    <w:p>
      <w:pPr>
        <w:jc w:val="left"/>
      </w:pPr>
      <w:r>
        <w:t>被告人贺某，男，因本案于2023年4月4日被羁押，次日被刑事拘留，同年5月11日被取保候审，2024年4月24日被逮捕。</w:t>
      </w:r>
    </w:p>
    <w:p>
      <w:pPr>
        <w:jc w:val="left"/>
      </w:pPr>
      <w:r>
        <w:t>广东省广州市番禺区人民检察院以穗番检刑诉〔2024〕436号起诉书指控被告人贺某犯掩饰、隐瞒犯罪所得罪，于2024年4月18日向本院提起公诉。本院依法适用简易程序，实行独任审判，公开开庭审理了本案。广东省广州市番禺区人民检察院指派检察员李归出庭支持公诉，被告人贺某到庭参加了诉讼。现已审理终结。</w:t>
      </w:r>
    </w:p>
    <w:p>
      <w:pPr>
        <w:jc w:val="left"/>
      </w:pPr>
      <w:r>
        <w:t>经审理查明，2022年12月8日11时许，被告人贺某为获取非法利益，明知刘某珑（另案处理）及几名陌生男子可能从事信息网络犯罪活动的情况下，仍搭乘对方驾驶的小汽车从广东省东莞市寮步镇去到广东省惠州市博罗县，将自己名下卡号为6222********的交通银行卡及密码、手机提供给对方使用，并协助对方将该银行卡绑定到手机银行ＡＰＰ中。同日12时许至13时许，被告人贺某的上述银行卡收到不明资金流水共计人民币123868元（以下货币种类均为人民币），尔后被告人贺某为对方提供人脸识别验证等帮助，协助对方以二维码支付、数字人民币兑出、转账汇款、ＡＴＭ取现等方式，将上述资金予以转移。事后，被告人贺某从对方处获取现金500元的好处费。当晚，被告人贺某通过手机银行ＡＰＰ查看该银行卡的流水情况时，即发现该银行卡已被冻结。</w:t>
      </w:r>
    </w:p>
    <w:p>
      <w:pPr>
        <w:jc w:val="left"/>
      </w:pPr>
      <w:r>
        <w:t>2022年12月10日14时许，被告人贺某与对方几名陌生男子通过微信联系后，再次搭乘对方驾驶的小汽车从广东省东莞市寮步镇去到广东省惠州市博罗县，将自己名下卡号为6217********的中信银行卡及密码、手机提供给对方使用，并协助对方将该银行卡绑定到手机银行ＡＰＰ中。同日17时许至20时许，被告人贺某的上述银行卡收到不明资金流水共计人民币131300元，尔后被告人贺某为对方提供人脸识别验证等帮助，协助对方以二维码支付、数字人民币兑出、转账汇款、ＡＴＭ取现、现场消费等方式，将上述资金予以转移。事后，被告人贺某从对方处获取现金600元的好处费。当晚，被告人贺某通过手机银行ＡＰＰ查看该银行卡的流水情况时，即发现该银行卡已被冻结。</w:t>
      </w:r>
    </w:p>
    <w:p>
      <w:pPr>
        <w:jc w:val="left"/>
      </w:pPr>
      <w:r>
        <w:t>经查，被告人贺某使用的上述交通银行卡于2022年12月8日12时许转入的90000元款项，系电信网络诈骗案件被害人谭某某被骗资金；被告人贺某使用的上述中信银行卡于2022年12月10日18时许转入的38800元款项，系电信网络诈骗案件被害人杨某某被骗资金。</w:t>
      </w:r>
    </w:p>
    <w:p>
      <w:pPr>
        <w:jc w:val="left"/>
      </w:pPr>
      <w:r>
        <w:t>2023年4月4日15时许，公安人员在广东省东莞市**镇**路**号，抓获被告人贺某。</w:t>
      </w:r>
    </w:p>
    <w:p>
      <w:pPr>
        <w:jc w:val="left"/>
      </w:pPr>
      <w:r>
        <w:t>案发后，被告人贺某退出违法所得1100元。</w:t>
      </w:r>
    </w:p>
    <w:p>
      <w:pPr>
        <w:jc w:val="left"/>
      </w:pPr>
      <w:r>
        <w:t>上述事实，被告人贺某在庭审过程中亦无异议，并有证人谭某某、杨某某的证言，被告人贺某的供述，辨认笔录，到案经过、搜查笔录、扣押清单、调取证据清单，银行账户信息及交易明细，电子物证检查工作记录，退赃凭证等证据证实，足以认定。</w:t>
      </w:r>
    </w:p>
    <w:p>
      <w:pPr>
        <w:jc w:val="left"/>
      </w:pPr>
      <w:r>
        <w:t>本院认为，被告人贺某无视国家法律，明知是犯罪所得而予以转移，情节严重，其行为已构成掩饰、隐瞒犯罪所得罪，依法应当对其适用“三年以上七年以下有期徒刑，并处罚金”的法定刑幅度予以处罚。在共同犯罪中，被告人贺某起次要作用，是从犯，应当从轻或减轻处罚。被告人贺某如实供述自己的罪行，可以从轻处罚。被告人贺某自愿认罪认罚，可以从宽处理。被告人贺某退出违法所得，可酌情从轻处罚。公诉机关关于对被告人贺某判处有期徒刑一年，并处罚金的量刑意见，本院予以采纳。扣押的手机一部，公诉机关未认定为作案工具提请判处，由公安机关另行依法处理。依照《中华人民共和国刑法》第三百一十二条、第二十七条、第六十七条第三款、第五十二条、第五十三条、第六十四条及《中华人民共和国刑事诉讼法》第十五条的规定，判决如下：</w:t>
      </w:r>
    </w:p>
    <w:p>
      <w:pPr>
        <w:jc w:val="left"/>
      </w:pPr>
      <w:r>
        <w:t>一、被告人贺某犯掩饰、隐瞒犯罪所得罪，判处有期徒刑一年，并处罚金人民币三千元。</w:t>
      </w:r>
    </w:p>
    <w:p>
      <w:pPr>
        <w:jc w:val="left"/>
      </w:pPr>
      <w:r>
        <w:t>（刑期从判决执行之日起计算。判决执行以前先行羁押的，羁押一日折抵刑期一日，即自2024年4月24日起执行至2025年3月16日止，其中因本案于2023年4月4日至同年5月11日被先行羁押的38日已折抵刑期；罚金应于本判决发生法律效力次日起十日内缴纳，上缴国库。）</w:t>
      </w:r>
    </w:p>
    <w:p>
      <w:pPr>
        <w:jc w:val="left"/>
      </w:pPr>
      <w:r>
        <w:t>二、被告人贺某退出的违法所得人民币1100元，予以没收，上缴国库（现存于广州市公安局番禺区分局）。</w:t>
      </w:r>
    </w:p>
    <w:p>
      <w:pPr>
        <w:jc w:val="left"/>
      </w:pPr>
      <w:r>
        <w:t>如不服本判决，可在接到判决书的第二日起十日内，通过本院或者直接向广东省广州市中级人民法院提出上诉。书面上诉的，应当提交上诉状正本一份，副本二份。</w:t>
      </w:r>
    </w:p>
    <w:p>
      <w:pPr>
        <w:jc w:val="left"/>
      </w:pPr>
      <w:r>
        <w:t>审判员　　史靖宇</w:t>
      </w:r>
    </w:p>
    <w:p>
      <w:pPr>
        <w:jc w:val="left"/>
      </w:pPr>
      <w:r>
        <w:t>二〇二四年四月二十四日</w:t>
      </w:r>
    </w:p>
    <w:p>
      <w:pPr>
        <w:jc w:val="left"/>
      </w:pPr>
      <w:r>
        <w:t>书记员　　林敏倩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