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湖南省郴州市苏仙区人民法院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（2024）湘1003刑初42号</w:t>
      </w:r>
    </w:p>
    <w:p>
      <w:pPr>
        <w:jc w:val="left"/>
      </w:pPr>
      <w:r>
        <w:t>公诉机关湖南省郴州市苏仙区人民检察院。</w:t>
      </w:r>
    </w:p>
    <w:p>
      <w:pPr>
        <w:jc w:val="left"/>
      </w:pPr>
      <w:r>
        <w:t>被告人黄龙，男，1995年12月26日出生于湖南省郴州市苏仙区，汉族，初中文化，务工，住湖南省郴州市苏仙区。因涉嫌犯掩饰、隐瞒犯罪所得罪，于2023年3月1日被郴州市公安局苏仙分局刑事拘留；同年3月15日被郴州市公安局苏仙分局取保候审；2024年1月26日经郴州市苏仙区人民检察院决定被取保候审；同年3月7日经本院决定被取保候审。</w:t>
      </w:r>
    </w:p>
    <w:p>
      <w:pPr>
        <w:jc w:val="left"/>
      </w:pPr>
      <w:r>
        <w:t>湖南省郴州市苏仙区人民检察院以郴苏检刑诉[2024]15号起诉书指控被告人黄龙犯掩饰、隐瞒犯罪所得罪，向本院提起公诉。本院经审查后于2024年3月7日立案，依法适用简易程序，实行独任审判，于同年3月20日公开开庭审理了本案。湖南省郴州市苏仙区人民检察院指派检察官王琼出庭支持公诉，被告人黄龙到庭参加诉讼。现已审理终结。</w:t>
      </w:r>
    </w:p>
    <w:p>
      <w:pPr>
        <w:jc w:val="left"/>
      </w:pPr>
      <w:r>
        <w:t>湖南省郴州市苏仙区人民检察院指控，2023年1月18日，“陈风”（身份不详）要被告人黄龙提供银行卡用于跑分洗钱，承诺给黄龙1000元好处费，黄龙明知对方使用自己的银行卡用于不正当资金走账，仍将自己名下中国邮政储蓄银行卡（账号6217********）提供给“陈风”,并配合刷脸验证。该卡出借期间，接收他人转入资金3万余元，随即通过ＡＴＭ机取现、支取数字货币等方式进行转移。黄龙获利1000元。</w:t>
      </w:r>
    </w:p>
    <w:p>
      <w:pPr>
        <w:jc w:val="left"/>
      </w:pPr>
      <w:r>
        <w:t>2023年2月8日，被告人黄龙经“陈风”介绍从深圳到福建省云霄县跑分洗钱，黄龙将自己名下中国建设银行卡（账号6217********）、手机密码、银行卡密码提供给他人，并配合刷脸验证。该卡出借期间，接收他人转入资金62000元，随即通过无卡自助消费和数字人民币兑出进行转移。黄龙获利4000元。</w:t>
      </w:r>
    </w:p>
    <w:p>
      <w:pPr>
        <w:jc w:val="left"/>
      </w:pPr>
      <w:r>
        <w:t>经查实，陈某、张某被他人通过网络诈骗，陈某被骗资金7000元转入被告人黄龙上述邮政银行账户中，张某被骗资金62000元转入黄龙上述建设银行账户中，公安机关依法对陈某、张某被诈骗案立案侦查。</w:t>
      </w:r>
    </w:p>
    <w:p>
      <w:pPr>
        <w:jc w:val="left"/>
      </w:pPr>
      <w:r>
        <w:t>2023年3月1日，被告人黄龙接公安民警电话通知后，主动到郴州市公安局苏仙分局投案，如实供述了上述事实。</w:t>
      </w:r>
    </w:p>
    <w:p>
      <w:pPr>
        <w:jc w:val="left"/>
      </w:pPr>
      <w:r>
        <w:t>公诉机关认为，被告人黄龙明知是犯罪所得而协助转移，金额69000元，应当以掩饰、隐瞒犯罪所得罪追究其刑事责任。在共同犯罪中，被告人黄龙起次要作用，系从犯，应当从轻处罚；被告人黄龙案发后主动投案并如实供述自己的犯罪事实，系自首，可以从轻处罚；被告人黄龙认罪认罚，可以从宽处理。建议判处被告人黄龙有期徒刑八个月，并处罚金，可适用缓刑。公诉机关提交了到案经过、户籍资料、银行交易流水等书证，证人张某、陈某的证言，被告人黄龙的供述和辩解等证据证实。</w:t>
      </w:r>
    </w:p>
    <w:p>
      <w:pPr>
        <w:jc w:val="left"/>
      </w:pPr>
      <w:r>
        <w:t>被告人黄龙对指控事实、罪名及量刑建议没有异议，同意适用简易程序，且签字具结，在开庭审理过程中亦无异议。</w:t>
      </w:r>
    </w:p>
    <w:p>
      <w:pPr>
        <w:jc w:val="left"/>
      </w:pPr>
      <w:r>
        <w:t>本院经审理查明的事实、证据与公诉机关的指控一致。另查明，被告人黄龙明知对方使用自己的银行卡用于转移诈骗等非法资金，在银行卡出借期间，转账时配合刷脸验证。</w:t>
      </w:r>
    </w:p>
    <w:p>
      <w:pPr>
        <w:jc w:val="left"/>
      </w:pPr>
      <w:r>
        <w:t>本院认为，被告人黄龙构成掩饰、隐瞒犯罪所得罪。公诉机关的指控成立。在共同犯罪中，被告人黄龙起次要作用，系从犯，应当从轻处罚；被告人黄龙犯罪以后自动投案，如实供述自己的罪行，是自首，可以从轻处罚；被告人黄龙认罪认罚，可以依法从宽处理。公诉机关的量刑建议适当。依照《中华人民共和国刑法》第三百一十二条第一款、第二十五条第一款、第二十七条、第六十七条第一款、第五十二条、第五十三条第一款、第六十四条及《中华人民共和国刑事诉讼法》第十五条、第二百条第（一）项之规定，判决如下：</w:t>
      </w:r>
    </w:p>
    <w:p>
      <w:pPr>
        <w:jc w:val="left"/>
      </w:pPr>
      <w:r>
        <w:t>一、被告人黄龙犯掩饰、隐瞒犯罪所得罪，判处有期徒刑八个月，并处罚金人民币五千元（罚金限于本判决生效后十日内缴清）；</w:t>
      </w:r>
    </w:p>
    <w:p>
      <w:pPr>
        <w:jc w:val="left"/>
      </w:pPr>
      <w:r>
        <w:t>（刑期从判决执行之日起计算。判决执行以前先行羁押的，羁押一日折抵刑期一日。）</w:t>
      </w:r>
    </w:p>
    <w:p>
      <w:pPr>
        <w:jc w:val="left"/>
      </w:pPr>
      <w:r>
        <w:t>二、继续追缴被告人黄龙违法所得人民币5000元，上缴国库。</w:t>
      </w:r>
    </w:p>
    <w:p>
      <w:pPr>
        <w:jc w:val="left"/>
      </w:pPr>
      <w:r>
        <w:t>如不服本判决，可在接到判决书的第二日起十日内，通过本院或者直接向湖南省郴州市中级人民法院提出上诉。书面上诉的，应当提交上诉状正本一份，副本二份。</w:t>
      </w:r>
    </w:p>
    <w:p>
      <w:pPr>
        <w:jc w:val="left"/>
      </w:pPr>
      <w:r>
        <w:t>审判员　何知霖</w:t>
      </w:r>
    </w:p>
    <w:p>
      <w:pPr>
        <w:jc w:val="left"/>
      </w:pPr>
      <w:r>
        <w:t>二〇二四年三月二十日</w:t>
      </w:r>
    </w:p>
    <w:p>
      <w:pPr>
        <w:jc w:val="left"/>
      </w:pPr>
      <w:r>
        <w:t>法官助理　黄洛锟</w:t>
      </w:r>
    </w:p>
    <w:p>
      <w:pPr>
        <w:jc w:val="left"/>
      </w:pPr>
      <w:r>
        <w:t>书记员　阳　婷</w:t>
      </w:r>
    </w:p>
    <w:p>
      <w:pPr>
        <w:jc w:val="left"/>
      </w:pPr>
      <w:r>
        <w:t>附本案适用的法律条文：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;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二人以上共同过失犯罪，不以共同犯罪论处;应当负刑事责任的，按照他们所犯的罪分别处罚。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;对被害人的合法财产，应当及时返还;违禁品和供犯罪所用的本人财物，应当予以没收。没收的财物和罚金，一律上缴国库，不得挪用和自行处理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第二百条在被告人最后陈述后，审判长宣布休庭，合议庭进行评议，根据已经查明的事实、证据和有关的法律规定，分别作出以下判决：</w:t>
      </w:r>
    </w:p>
    <w:p>
      <w:pPr>
        <w:jc w:val="left"/>
      </w:pPr>
      <w:r>
        <w:t>（一）案件事实清楚，证据确实、充分，依据法律认定被告人有罪的，应当作出有罪判决；</w:t>
      </w:r>
    </w:p>
    <w:p>
      <w:pPr>
        <w:jc w:val="left"/>
      </w:pPr>
      <w:r>
        <w:t>（二）依据法律认定被告人无罪的，应当作出无罪判决；</w:t>
      </w:r>
    </w:p>
    <w:p>
      <w:pPr>
        <w:jc w:val="left"/>
      </w:pPr>
      <w:r>
        <w:t>（三）证据不足，不能认定被告人有罪的，应当作出证据不足、指控的犯罪不能成立的无罪判决。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