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山西省乡宁县人民法院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（2024）晋1029刑初39号</w:t>
      </w:r>
    </w:p>
    <w:p>
      <w:pPr>
        <w:jc w:val="left"/>
      </w:pPr>
      <w:r>
        <w:t>公诉机关乡宁县人民检察院。</w:t>
      </w:r>
    </w:p>
    <w:p>
      <w:pPr>
        <w:jc w:val="left"/>
      </w:pPr>
      <w:r>
        <w:t>被告人刘某。2023年10月9日因涉嫌帮助信息网络犯罪活动罪被乡宁县公安局刑事拘留,同年11月15日经乡宁县人民检察院不批准逮捕，次日被乡宁县公安局取保候审。</w:t>
      </w:r>
    </w:p>
    <w:p>
      <w:pPr>
        <w:jc w:val="left"/>
      </w:pPr>
      <w:r>
        <w:t>乡宁县人民检察院以乡检刑诉（2024）32号起诉书指控被告人刘某犯帮助信息网络犯罪活动罪，于2024年4月18日向本院提起公诉，本院受理后，依法适用简易程序，于2024年4月30日公开开庭进行了审理。乡宁县人民检察院指派检察员王国云及郭彦茹出庭支持公诉，被告人刘某到庭参加了诉讼。审理期间，律师加某为被告人刘某提供法律帮助。本案现已审理终结。</w:t>
      </w:r>
    </w:p>
    <w:p>
      <w:pPr>
        <w:jc w:val="left"/>
      </w:pPr>
      <w:r>
        <w:t>公诉机关指控：2023年10月1日，被告人刘某联系快手网友“法务免费咨询区”办理贷款，双方协商好使用被告人的银行卡刷流水，并承担期间所有的食宿、交通等费用。同年10月3日，被告人刘某到合肥市第一人民医院门口，与对方见面后按照对方要求安装并刷脸认证云闪付APP和数字人民币APP，后随同对方到达一家茶馆内，将手机、银行卡及支付密码提供给对方进行支付结算，违法获利600元。</w:t>
      </w:r>
    </w:p>
    <w:p>
      <w:pPr>
        <w:jc w:val="left"/>
      </w:pPr>
      <w:r>
        <w:t>经在国家反诈大数据平台查询，2023年10月3日，被告人刘某名下中国邮政银行账户进账369955.79元，出账369958.6元，总流水共计739914.39元。涉电信诈骗案3起，涉案金额71000.13元。</w:t>
      </w:r>
    </w:p>
    <w:p>
      <w:pPr>
        <w:jc w:val="left"/>
      </w:pPr>
      <w:r>
        <w:t>2023年10月16日，被告人刘某家属上缴违法所得600元；同日赔偿诈骗案件被害人张某14900元并取得谅解。</w:t>
      </w:r>
    </w:p>
    <w:p>
      <w:pPr>
        <w:jc w:val="left"/>
      </w:pPr>
      <w:r>
        <w:t>针对指控，公诉机关提供证据有1.书证:户籍证明、归案情况说明、无犯罪记录证明、国家反诈大数据平台银行卡流水信息及电信诈骗案件材料、微信聊天转账记录、谅解书及收条等；2.证人证言：证人张某询问笔录；3.被告人供述与辩解：被告人刘某讯问笔录。</w:t>
      </w:r>
    </w:p>
    <w:p>
      <w:pPr>
        <w:jc w:val="left"/>
      </w:pPr>
      <w:r>
        <w:t>公诉机关认为，被告人刘某明知他人利用信息网络实施犯罪，为其犯罪提供支付结算帮助，情节严重，应以帮助信息网络犯罪活动罪追究其刑事责任；被告人具有坦白、赔偿谅解、认罪认罚等从轻处罚情节，建议判处拘役三个月，缓刑六个月，并处罚金二千元。</w:t>
      </w:r>
    </w:p>
    <w:p>
      <w:pPr>
        <w:jc w:val="left"/>
      </w:pPr>
      <w:r>
        <w:t>被告人刘某对指控事实、罪名及量刑建议没有异议，同意适用简易程序，且签字具结，在开庭审理过程中亦无异议。</w:t>
      </w:r>
    </w:p>
    <w:p>
      <w:pPr>
        <w:jc w:val="left"/>
      </w:pPr>
      <w:r>
        <w:t>经审理查明的事实、证据与公诉机关指控一致。另查明，2023年10月9日，被告人刘某被公安机关抓获归案。本案审查起诉阶段，被告人刘某自愿签署了认罪认罚具结书。开庭审理前，被告人刘某缴纳了罚金。</w:t>
      </w:r>
    </w:p>
    <w:p>
      <w:pPr>
        <w:jc w:val="left"/>
      </w:pPr>
      <w:r>
        <w:t>本院认为，被告人刘某明知他人利用信息网络实施犯罪，为其犯罪提供支付结算帮助，情节严重，其行为侵犯了国家对正常信息网络环境的管理秩序，确已构成帮助信息网络犯罪活动罪，公诉机关指控成立。被告人刘某违法所得600元，依法予以追缴，上缴国库。被告人刘某具有坦白情节,案发后积极赔偿部分被害人损失并取得谅解，积极缴纳违法所得和罚金，且自愿认罪认罚，依法可以对其从轻处罚。被告人刘某犯罪情节较轻，有悔罪表现，对被告人刘某适用缓刑没有再犯罪的危险，宣告缓刑对所居住社区没有重大不良影响。公诉机关量刑建议适当,依法予以采纳。结合被告人刘某的犯罪事实、性质、情节及社会危害程度，依照《中华人民共和国刑法》第二百八十七条之二第一款、第六十七条第三款、第六十四条、第七十二条及《中华人民共和国刑事诉讼法》第十五条、第二百零一条之规定，判决如下：</w:t>
      </w:r>
    </w:p>
    <w:p>
      <w:pPr>
        <w:jc w:val="left"/>
      </w:pPr>
      <w:r>
        <w:t>一、被告人刘某犯帮助信息网络犯罪活动罪，判处拘役三个月，缓刑六个月，并处罚金二千元（缓刑考验期自判决确定之日起计算；罚金已缴清）。</w:t>
      </w:r>
    </w:p>
    <w:p>
      <w:pPr>
        <w:jc w:val="left"/>
      </w:pPr>
      <w:r>
        <w:t>二、被告人刘某违法所得600元，依法予以追缴，上缴国库（违法所得已缴清）。</w:t>
      </w:r>
    </w:p>
    <w:p>
      <w:pPr>
        <w:jc w:val="left"/>
      </w:pPr>
      <w:r>
        <w:t>如不服本判决，可在接到判决书第二日起十日内，通过本院或者直接向临汾市中级人民法院提出上诉。书面上诉的，应当递交上诉状正本一份，副本三份。</w:t>
      </w:r>
    </w:p>
    <w:p>
      <w:pPr>
        <w:jc w:val="left"/>
      </w:pPr>
      <w:r>
        <w:t>审 判 员　文军</w:t>
      </w:r>
    </w:p>
    <w:p>
      <w:pPr>
        <w:jc w:val="left"/>
      </w:pPr>
      <w:r>
        <w:t>二〇二四年四月三十日</w:t>
      </w:r>
    </w:p>
    <w:p>
      <w:pPr>
        <w:jc w:val="left"/>
      </w:pPr>
      <w:r>
        <w:t>法官助理　王璞</w:t>
      </w:r>
    </w:p>
    <w:p>
      <w:pPr>
        <w:jc w:val="left"/>
      </w:pPr>
      <w:r>
        <w:t>书 记 员　李倩</w:t>
      </w:r>
    </w:p>
    <w:p>
      <w:pPr>
        <w:jc w:val="left"/>
      </w:pPr>
      <w:r>
        <w:t>附：相关法律条文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二百八十七条之二第一款【帮助信息网络犯罪活动罪】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第六十七条第三款【坦白】犯罪嫌疑人虽不具有前两款规定的自首情节，但是如实供述自己罪行的，可以从轻处罚；因其如实供述自己罪行，避免特别严重后果发生的，可以减轻处罚。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六十四条【犯罪所得之物、所用之物的处理】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七十二条【缓刑的条件、禁止令与附加刑的执行】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第十五条【认罪认罚从宽制度】犯罪嫌疑人、被告人自愿如实供述自己的罪行，承认指控的犯罪事实，愿意接受处罚的，可以依法从宽处理。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第二百零一条【法院对认罪认罚案件量刑建议的处理】对于认罪认罚案件，人民法院依法作出判决时，一般应当采纳人民检察院指控的罪名和量刑建议，但有下列情形的除外：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被告人的行为不构成犯罪或者不应当追究其刑事责任的；</w:t>
      </w:r>
    </w:p>
    <w:p>
      <w:pPr>
        <w:jc w:val="left"/>
      </w:pPr>
      <w:r>
        <w:t>被告人违背意愿认罪认罚的；</w:t>
      </w:r>
    </w:p>
    <w:p>
      <w:pPr>
        <w:jc w:val="left"/>
      </w:pPr>
      <w:r>
        <w:t>被告人否认指控的犯罪事实的；</w:t>
      </w:r>
    </w:p>
    <w:p>
      <w:pPr>
        <w:jc w:val="left"/>
      </w:pPr>
      <w:r>
        <w:t>起诉指控的罪名与审理认定的罪名不一致的；</w:t>
      </w:r>
    </w:p>
    <w:p>
      <w:pPr>
        <w:jc w:val="left"/>
      </w:pPr>
      <w:r>
        <w:t>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