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江苏省无锡市惠山区人民法院</w:t>
      </w:r>
    </w:p>
    <w:p>
      <w:pPr>
        <w:jc w:val="center"/>
      </w:pPr>
      <w:r>
        <w:t>刑 事 判 决 书</w:t>
      </w:r>
    </w:p>
    <w:p>
      <w:pPr>
        <w:jc w:val="right"/>
      </w:pPr>
      <w:r>
        <w:t>（2024）苏0206刑初190号</w:t>
      </w:r>
    </w:p>
    <w:p>
      <w:pPr>
        <w:jc w:val="left"/>
      </w:pPr>
      <w:r>
        <w:t>公诉机关无锡市惠山区人民检察院。</w:t>
      </w:r>
    </w:p>
    <w:p>
      <w:pPr>
        <w:jc w:val="left"/>
      </w:pPr>
      <w:r>
        <w:t>被告人王某，男，1998年3月23日生，，户籍在河南省新乡市。因本案于2023年4月13日被抓获，次日被刑事拘留，5月13日被无锡市公安局直属分局取保候审，12月29日被无锡市惠山区人民检察院取保候审。2024年4月10日经本院决定逮捕并由该分局执行。现羁押于无锡市女子看守所。</w:t>
      </w:r>
    </w:p>
    <w:p>
      <w:pPr>
        <w:jc w:val="left"/>
      </w:pPr>
      <w:r>
        <w:t>无锡市惠山区人民检察院以锡惠检刑诉〔2024〕166号起诉书指控被告人王某犯帮助信息网络犯罪活动罪，于2024年3月28日向本院提起公诉，本院于4月1日受理后，依法适用简易程序，实行独任审判，于4月10日公开开庭审理了本案。无锡市惠山区人民检察院指派检察官张琦出庭支持公诉，被告人王某到庭参加诉讼。现已审理终结。</w:t>
      </w:r>
    </w:p>
    <w:p>
      <w:pPr>
        <w:jc w:val="left"/>
      </w:pPr>
      <w:r>
        <w:t>公诉机关指控：2022年12月至2023年4月，被告人王某在明知他人利用信息网络犯罪活动的情况下，利用本人身份信息实名开立数字人民币钱包账户，并对应绑定其名下卡号分别为6217********、6217********的中国建设银行卡、卡号6230********的中国农业银行卡、卡号6230********的平安银行卡、卡号6217********的中国邮政储蓄银行卡、卡号分别为6215********、6217********的中国银行卡，通过“买卖通”客服为“花季传媒”等网络赌场提供资金转账帮助。目前查实“花季传媒”共接收2名赌客的赌博资金流水共计人民币10万余元。期间，被告人王某使用数字人民币钱包账户为“花季传媒”等网络赌场提供资金转账帮助，涉及资金流水共计人民币220余万元，非法获利人民币1万余元。</w:t>
      </w:r>
    </w:p>
    <w:p>
      <w:pPr>
        <w:jc w:val="left"/>
      </w:pPr>
      <w:r>
        <w:t>公诉机关提供了被告人王某的供述与辩解，证人徐某、陈某1、洪某、尉某、谭某、朱某、陈某2、文某、吴某的证言，银行账户流水、数字人民币流水，搜查证、搜查笔录、扣押清单、照片，案件的侦破、揭发经过及户籍信息等证据证实。</w:t>
      </w:r>
    </w:p>
    <w:p>
      <w:pPr>
        <w:jc w:val="left"/>
      </w:pPr>
      <w:r>
        <w:t>公诉机关认为被告人王某在明知他人利用网络实施犯罪活动的情况下，仍向他人提供支付结算等帮助，情节严重，其行为触犯了《中华人民共和国刑法》第二百八十七条之二的规定，应当以帮助信息网络犯罪活动罪追究其刑事责任。被告人王某案发后如实供述自己的罪行，系坦白，可以从轻处罚；被告人王某自愿认罪认罚，可从宽处理。建议判处被告人王某有期徒刑八个月，并处罚金人民币七千元，后经本院建议调整量刑为拘役五个月，并处罚金人民币五千元。</w:t>
      </w:r>
    </w:p>
    <w:p>
      <w:pPr>
        <w:jc w:val="left"/>
      </w:pPr>
      <w:r>
        <w:t>被告人王某对指控事实、罪名及量刑建议均无异议且签字具结，在开庭审理过程中亦无异议。</w:t>
      </w:r>
    </w:p>
    <w:p>
      <w:pPr>
        <w:jc w:val="left"/>
      </w:pPr>
      <w:r>
        <w:t>经审理查明的事实与公诉机关指控一致。另查明，案发后公安机关扣押被告人王某作案用iphone7手机1部。审理期间，被告人王某退出赃款人民币10300元。</w:t>
      </w:r>
    </w:p>
    <w:p>
      <w:pPr>
        <w:jc w:val="left"/>
      </w:pPr>
      <w:r>
        <w:t>本院认为：被告人王某在明知他人利用网络实施犯罪活动的情况下，仍向他人提供支付结算等帮助，情节严重，其行为已构成帮助信息网络犯罪活动罪。公诉机关的指控成立。被告人王某到案后能如实供述主要犯罪事实，可从轻处罚；被告人王某自愿认罪认罚，可从宽处理。公诉机关调整后的量刑建议适当。根据罪责刑相适应的原则，依照《中华人民共和国刑法》第二百八十七条之二第一款，第六十七条第三款，第六十四条，《中华人民共和国刑事诉讼法》第十五条及《最高人民法院、最高人民检察院关于办理非法利用信息网络、帮助信息网络犯罪活动等刑事案件适用法律若干问题的解释》第十二条之规定，判决如下：</w:t>
      </w:r>
    </w:p>
    <w:p>
      <w:pPr>
        <w:jc w:val="left"/>
      </w:pPr>
      <w:r>
        <w:t>一、被告人王某犯帮助信息网络犯罪活动罪，判处拘役五个月（刑期从判决执行之日起计算，判决执行以前先行羁押的，羁押一日折抵刑期一日，即自2024年4月10日起至2024年8月9日止），并处罚金人民币五千元（罚金于本判决发生法律效力第二日起10日内一次性缴纳）。</w:t>
      </w:r>
    </w:p>
    <w:p>
      <w:pPr>
        <w:jc w:val="left"/>
      </w:pPr>
      <w:r>
        <w:t>二、被告人王某退出的违法所得人民币10300元及扣押在案的作案用iphone7手机1部予以没收，上缴国库。</w:t>
      </w:r>
    </w:p>
    <w:p>
      <w:pPr>
        <w:jc w:val="left"/>
      </w:pPr>
      <w:r>
        <w:t>如不服本判决，可在接到判决书的第二日起十日内，通过本院或者直接向江苏省无锡市中级人民法院提出上诉。书面上诉的，应当提交上诉状正本一份，副本二份。</w:t>
      </w:r>
    </w:p>
    <w:p>
      <w:pPr>
        <w:jc w:val="left"/>
      </w:pPr>
      <w:r>
        <w:t>审判员　　黄树杰</w:t>
      </w:r>
    </w:p>
    <w:p>
      <w:pPr>
        <w:jc w:val="left"/>
      </w:pPr>
      <w:r>
        <w:t>二〇二四年四月十六日</w:t>
      </w:r>
    </w:p>
    <w:p>
      <w:pPr>
        <w:jc w:val="left"/>
      </w:pPr>
      <w:r>
        <w:t>书记员　　王海琴</w:t>
      </w:r>
    </w:p>
    <w:p>
      <w:pPr>
        <w:jc w:val="left"/>
      </w:pPr>
      <w:r>
        <w:t>本案援引法律条款</w:t>
      </w:r>
    </w:p>
    <w:p>
      <w:pPr>
        <w:jc w:val="left"/>
      </w:pPr>
      <w:r>
        <w:t>《中华人民共和国刑法》：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《最高人民法院、最高人民检察院关于办理非法利用信息网络、帮助信息网络犯罪活动等刑事案件适用法律若干问题的解释》：</w:t>
      </w:r>
    </w:p>
    <w:p>
      <w:pPr>
        <w:jc w:val="left"/>
      </w:pPr>
      <w:r>
        <w:t>第十二条明知他人利用信息网络实施犯罪，为其犯罪提供帮助，具有下列情形之一的，应当认定为刑法第二百八十七条之二第一款规定的“情节严重”：</w:t>
      </w:r>
    </w:p>
    <w:p>
      <w:pPr>
        <w:jc w:val="left"/>
      </w:pPr>
      <w:r>
        <w:t>（一）为三个以上对象提供帮助的；</w:t>
      </w:r>
    </w:p>
    <w:p>
      <w:pPr>
        <w:jc w:val="left"/>
      </w:pPr>
      <w:r>
        <w:t>（二）支付结算金额二十万元以上的；</w:t>
      </w:r>
    </w:p>
    <w:p>
      <w:pPr>
        <w:jc w:val="left"/>
      </w:pPr>
      <w:r>
        <w:t>（三）以投放广告等方式提供资金五万元以上的；</w:t>
      </w:r>
    </w:p>
    <w:p>
      <w:pPr>
        <w:jc w:val="left"/>
      </w:pPr>
      <w:r>
        <w:t>（四）违法所得一万元以上的；</w:t>
      </w:r>
    </w:p>
    <w:p>
      <w:pPr>
        <w:jc w:val="left"/>
      </w:pPr>
      <w:r>
        <w:t>（五）二年内曾因非法利用信息网络、帮助信息网络犯罪活动、危害计算机信息系统安全受过行政处罚，又帮助信息网络犯罪活动的；</w:t>
      </w:r>
    </w:p>
    <w:p>
      <w:pPr>
        <w:jc w:val="left"/>
      </w:pPr>
      <w:r>
        <w:t>（六）被帮助对象实施的犯罪造成严重后果的；</w:t>
      </w:r>
    </w:p>
    <w:p>
      <w:pPr>
        <w:jc w:val="left"/>
      </w:pPr>
      <w:r>
        <w:t>（七）其他情节严重的情形。</w:t>
      </w:r>
    </w:p>
    <w:p>
      <w:pPr>
        <w:jc w:val="left"/>
      </w:pPr>
      <w:r>
        <w:t>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