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河南省商水县人民法院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（2024）豫1623刑初102号</w:t>
      </w:r>
    </w:p>
    <w:p>
      <w:pPr>
        <w:jc w:val="left"/>
      </w:pPr>
      <w:r>
        <w:t>公诉机关商水县人民检察院。</w:t>
      </w:r>
    </w:p>
    <w:p>
      <w:pPr>
        <w:jc w:val="left"/>
      </w:pPr>
      <w:r>
        <w:t>被告人李某某，男，1987年6月5日出生，初中文化，务工，户籍所在地河南省商水县，住河南省商水县。因涉嫌掩饰、隐瞒犯罪所得罪，于2023年11月15日至2023年11月24日在广东省佛山市南海区看守所临时羁押。因涉嫌掩饰、隐瞒犯罪所得罪，于2023年11月24日被商水县公安局刑事拘留；因涉嫌掩饰、隐瞒犯罪所得罪，经商水县人民检察院批准，于2023年12月8日被商水县公安局执行逮捕。现羁押于商水县看守所。</w:t>
      </w:r>
    </w:p>
    <w:p>
      <w:pPr>
        <w:jc w:val="left"/>
      </w:pPr>
      <w:r>
        <w:t>商水县人民检察院以商检刑诉【2024】64号起诉书指控被告人李某某犯掩饰、隐瞒犯罪所得罪，于2024年3月6日向本院提起公诉。本院受理后,依法适用简易程序，组成合议庭,公开开庭审理了本案。商水县人民检察院指派检察员娄素娟出庭支持公诉,被告人李某某到庭参加诉讼。现已审理终结。</w:t>
      </w:r>
    </w:p>
    <w:p>
      <w:pPr>
        <w:jc w:val="left"/>
      </w:pPr>
      <w:r>
        <w:t>商水县人民检察院指控，被告人李某某添加陌生人微信后，为谋取非法利益，明知是犯罪所得，于2023年6月25日由上线购买飞机票后从郑州乘飞机到厦门，被两名男子接到后在车上提供本人名下中国农业银行账户6228********给他人并配合使用本人手机下载“云闪付”ＡＰＰ和“数字人民币”ＡＰＰ刷脸配合转账，后银行卡被冻结。经核实，被告人涉案银行卡涉及诈骗案件5起，共接收涉诈资金117000元,ＡＴＭ取现24000元，转账29899元，冻结77074.91元。</w:t>
      </w:r>
    </w:p>
    <w:p>
      <w:pPr>
        <w:jc w:val="left"/>
      </w:pPr>
      <w:r>
        <w:t>公诉机关向法庭提供了书证、证人证言、被告人李某某的供述与辩解等证据，认为被告人李某某明知是犯罪所得而予以转移，其行为触犯了《中华人民共和国刑法》第三百一十二条，犯罪事实清楚，证据确实、充分，应当以掩饰、隐瞒犯罪所得罪追究其刑事责任。被告人李某某在该起犯罪中起次要作用，系从犯，依据《中华人民共和国刑法》第二十七条第二款的规定，应当从轻处罚。被告人李某某认罪认罚，根据《中华人民共和国刑事诉讼法》第十五条的规定，可以从宽处理。建议判处被告人李某某有期徒刑六个月，并处罚金人民币五千元。</w:t>
      </w:r>
    </w:p>
    <w:p>
      <w:pPr>
        <w:jc w:val="left"/>
      </w:pPr>
      <w:r>
        <w:t>被告人李某某对公诉机关指控的犯罪事实和罪名均无异议,请求法庭对其从轻处罚。</w:t>
      </w:r>
    </w:p>
    <w:p>
      <w:pPr>
        <w:jc w:val="left"/>
      </w:pPr>
      <w:r>
        <w:t>经审理查明，被告人李某某明知是犯罪所得而予以转移，其具体犯罪事实如下：</w:t>
      </w:r>
    </w:p>
    <w:p>
      <w:pPr>
        <w:jc w:val="left"/>
      </w:pPr>
      <w:r>
        <w:t>被告人李某某添加陌生人微信后，为谋取非法利益，于2023年6月25日由上线购买飞机票后从郑州乘飞机到厦门，被两名男子接到后在车上提供本人名下账户为6228********的中国农业银行卡，给他人使用并配合用本人手机下载“云闪付”ＡＰＰ和“数字人民币”ＡＰＰ。经查，被告人李某某涉案银行卡涉及诈骗案件5起，共接收涉诈资金117000元,其中被告人李某某涉案账户中的24000元，被操作其手机的人从ＡＴＭ上取现，后配合别人使用其手机和银行卡刷脸一次转账29899，剩余77074.91元被银行冻结。</w:t>
      </w:r>
    </w:p>
    <w:p>
      <w:pPr>
        <w:jc w:val="left"/>
      </w:pPr>
      <w:r>
        <w:t>上述事实，被告人李某某在庭审过程中无异议，并有经过庭审举证、质证的被告人李某某户籍证明、无前科证明、出所登记表、抓获经过、发破案报告、被告人涉案银行卡交易明细、被告人涉案银行卡冻结详情、商水县公安局情况说明一份、被告人涉案银行卡涉及诈骗案件受案材料、认罪认罚具结书；证人陈某、周某、杨某证言；被告人李某某供述与辩解及本案庭审笔录等证据证实，证据确实、充分，且能相互印证，足以认定。</w:t>
      </w:r>
    </w:p>
    <w:p>
      <w:pPr>
        <w:jc w:val="left"/>
      </w:pPr>
      <w:r>
        <w:t>本院认为，被告人李某某明知是犯罪所得而予以转移，其行为已构成掩饰、隐瞒犯罪所得罪。公诉机关指控被告人李某某犯掩饰、隐瞒犯罪所得罪罪名成立。该案系共同犯罪，被告人李某某在共同犯罪中起次要作用，系从犯，依法应当从轻处罚。被告人李某某认罪认罚，并自愿签署认罪认罚具结书，依法可以从宽处理。公诉机关量刑建议适当，本院予以采纳。</w:t>
      </w:r>
    </w:p>
    <w:p>
      <w:pPr>
        <w:jc w:val="left"/>
      </w:pPr>
      <w:r>
        <w:t>根据被告人李某某的犯罪事实、性质、情节、悔罪表现和对社会的危害程度，依照《中华人民共和国刑法》第三百一十二条、第二十五条第一款、第二十七条、第五十二条、第五十三条、第六十一条,《中华人民共和国刑事诉讼法》第十五条之规定,判决如下:</w:t>
      </w:r>
    </w:p>
    <w:p>
      <w:pPr>
        <w:jc w:val="left"/>
      </w:pPr>
      <w:r>
        <w:t>被告人李某某犯掩饰、隐瞒犯罪所得罪,判处有期徒刑六个月，并处罚金人民币五千元。罚金于本判决生效之日起十日内一次性缴纳，期满不缴纳的，强制缴纳。</w:t>
      </w:r>
    </w:p>
    <w:p>
      <w:pPr>
        <w:jc w:val="left"/>
      </w:pPr>
      <w:r>
        <w:t>（刑期从判决执行之日起计算。判决执行以前先行羁押的，羁押一日折抵刑期一日。即自2023年11月15日起至2024年5月14日。）</w:t>
      </w:r>
    </w:p>
    <w:p>
      <w:pPr>
        <w:jc w:val="left"/>
      </w:pPr>
      <w:r>
        <w:t>如不服本判决，可在接到判决书的第二日起十日内，通过本院或者直接向河南省周口市中级人民法院提出上诉。书面上诉的，应当提交上诉状正本一份，副本二份。</w:t>
      </w:r>
    </w:p>
    <w:p>
      <w:pPr>
        <w:jc w:val="left"/>
      </w:pPr>
      <w:r>
        <w:t>审判长　　张丽亚</w:t>
      </w:r>
    </w:p>
    <w:p>
      <w:pPr>
        <w:jc w:val="left"/>
      </w:pPr>
      <w:r>
        <w:t>审判员　　王宁华</w:t>
      </w:r>
    </w:p>
    <w:p>
      <w:pPr>
        <w:jc w:val="left"/>
      </w:pPr>
      <w:r>
        <w:t>审判员　　胡海山</w:t>
      </w:r>
    </w:p>
    <w:p>
      <w:pPr>
        <w:jc w:val="left"/>
      </w:pPr>
      <w:r>
        <w:t>二〇二四年三月十三日</w:t>
      </w:r>
    </w:p>
    <w:p>
      <w:pPr>
        <w:jc w:val="left"/>
      </w:pPr>
      <w:r>
        <w:t>书记员　　张慧娴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