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乌审旗人民法院</w:t>
      </w:r>
    </w:p>
    <w:p>
      <w:pPr>
        <w:jc w:val="center"/>
      </w:pPr>
      <w:r>
        <w:t>刑事判决书</w:t>
      </w:r>
    </w:p>
    <w:p>
      <w:pPr>
        <w:jc w:val="right"/>
      </w:pPr>
      <w:r>
        <w:t>（2024）内0626刑初20号</w:t>
      </w:r>
    </w:p>
    <w:p>
      <w:pPr>
        <w:jc w:val="left"/>
      </w:pPr>
      <w:r>
        <w:t>公诉机关内蒙古自治区xx旗xx院。</w:t>
      </w:r>
    </w:p>
    <w:p>
      <w:pPr>
        <w:jc w:val="left"/>
      </w:pPr>
      <w:r>
        <w:t>被告人王兵，男，1990年1月25日出生，大学文化，个体，户籍所在地湖南省益阳市赫山区，现住浙江省金华市义乌市。因涉嫌犯掩饰、隐瞒犯罪所得罪，经xx旗xx局决定，于2023年11月17日被xx旗xx局取保候审；于2024年1月19日被乌审旗人民法院取保候审。</w:t>
      </w:r>
    </w:p>
    <w:p>
      <w:pPr>
        <w:jc w:val="left"/>
      </w:pPr>
      <w:r>
        <w:t>xx旗xx院以乌检刑诉〔2024〕16号起诉书指控被告人王兵犯掩饰、隐瞒犯罪所得罪，于2024年1月19日向本院提起公诉，并建议适用速裁程序审理。本院受理后，依法适用速裁程序，实行独任审判，公开开庭审理了本案。xx旗xx院指派检察员韩某出庭支持公诉，被告人王兵到庭参加诉讼。现已审理终结。</w:t>
      </w:r>
    </w:p>
    <w:p>
      <w:pPr>
        <w:jc w:val="left"/>
      </w:pPr>
      <w:r>
        <w:t>公诉机关指控：2023年9月至10月期间，被告人王兵明知多次来其经营的“xx”超市以数字人民币的方式购买香烟和槟榔的顾客，给其0051xxxx4238号中国建设银行数字人民币账户转入的钱款是犯罪所得的情况下，仍向不法分子提供具有结算功能的数字人民币账户，并与不法分子商定每取现10000元人民币便给其100元的好处费。经查询，被告人王兵所提供的6217××××9025号中国建设银行绑定的数字人民币0051xxxx4238号账户结算金额为1074029元，全部提现到6236××××1540号中国建设银行卡和6230××××6626号xx农商银行卡内。被告人王兵通过中国建设银行卡取现400000元，通过xx农商银行卡取现250000元，共计650000元，其中340000元交给了其上线，非法获利8000元；其余资金被被告人王兵向不法分子出售高档香烟和槟榔，非法获利12000元。</w:t>
      </w:r>
    </w:p>
    <w:p>
      <w:pPr>
        <w:jc w:val="left"/>
      </w:pPr>
      <w:r>
        <w:t>现查明，被告人王兵的6217××××9025号中国建设银行卡所绑定的数字人民币0051xxxx42382023号账户内转入被害人乌某拉的20000元、被害人赵某的13000元、被害人汤某的20000元、被害人李某的20000元，共计73000元被诈骗资金。</w:t>
      </w:r>
    </w:p>
    <w:p>
      <w:pPr>
        <w:jc w:val="left"/>
      </w:pPr>
      <w:r>
        <w:t>综上，被告人王兵涉嫌掩饰隐瞒犯罪所得数额为73000元，违法所得20000元。被告人王兵已向四名被害人退赔共计73000元。</w:t>
      </w:r>
    </w:p>
    <w:p>
      <w:pPr>
        <w:jc w:val="left"/>
      </w:pPr>
      <w:r>
        <w:t>公诉机关认为，被告人王兵明知转入自己数字人民币账户内的钱款为犯罪所得的情况下，仍提供并转移，其行为触犯了《中华人民共和国刑法》第三百一十二条之规定，犯罪事实清楚，证据确实、充分，应当以掩饰、隐瞒犯罪所得罪追究其刑事责任。被告人王兵归案后如实供述自己的罪行，其行为符合《中华人民共和国刑法》第六十七条第三款之规定，属坦白。被告人王兵认罪认罚，依据《中华人民共和国刑事诉讼法》第十五条的规定，可以从宽处理。建议对被告人王兵判处有期徒刑一年，缓刑一年零六个月，并处罚金。</w:t>
      </w:r>
    </w:p>
    <w:p>
      <w:pPr>
        <w:jc w:val="left"/>
      </w:pPr>
      <w:r>
        <w:t>被告人王兵在开庭审理过程中对指控事实、罪名及量刑建议均无异议，并同意适用速裁程序审理本案，且在开庭审理过程中对公诉机关所提供《认罪认罚具结书》的真实性、合法性予以认可。</w:t>
      </w:r>
    </w:p>
    <w:p>
      <w:pPr>
        <w:jc w:val="left"/>
      </w:pPr>
      <w:r>
        <w:t>本院认为，被告人王兵明知是犯罪所得及其产生的收益而予以转移，其行为已构成掩饰、隐瞒犯罪所得罪，应以掩饰、隐瞒犯罪所得罪追究被告人的刑事责任。被告人王兵主动退赔被害人财产损失，并取得被害人谅解，酌情予以从轻处罚。被告人王兵归案后如实供述的自己罪行，属坦白，且自愿认罪认罚，可以从轻处罚。公诉机关对被告人的犯罪指控事实清楚,证据确实、充分,指控罪名成立,量刑建议适当,本院予以采纳。综合本案的犯罪情节及被告人王兵的悔罪表现，对其适用缓刑不致再危害社会，决定对其适用缓刑。随案移送作案工具手机一部，依法予以没收。依照《中华人民共和国刑法》第五十二条、第五十三条、第六十四条、第六十七条第三款、第七十二条、第七十三条、第三百一十二条第一款、《中华人民共和国刑事诉讼法》第十五条、第二百零一条之规定，判决如下：</w:t>
      </w:r>
    </w:p>
    <w:p>
      <w:pPr>
        <w:jc w:val="left"/>
      </w:pPr>
      <w:r>
        <w:t>一、被告人王兵犯掩饰、隐瞒犯罪所得罪，判处有期徒刑一年，缓刑一年零六个月，并处罚金人民币8000元。</w:t>
      </w:r>
    </w:p>
    <w:p>
      <w:pPr>
        <w:jc w:val="left"/>
      </w:pPr>
      <w:r>
        <w:t>（缓刑考验期限，从判决确定之日起计算。罚金于判决生效后十日内缴纳）。</w:t>
      </w:r>
    </w:p>
    <w:p>
      <w:pPr>
        <w:jc w:val="left"/>
      </w:pPr>
      <w:r>
        <w:t>二、随案移送作案工具手机一部，依法予以没收，作为物证保存。</w:t>
      </w:r>
    </w:p>
    <w:p>
      <w:pPr>
        <w:jc w:val="left"/>
      </w:pPr>
      <w:r>
        <w:t>三、继续追缴被告人王兵违法所得人民币20000元，依法予以没收，上缴国库。</w:t>
      </w:r>
    </w:p>
    <w:p>
      <w:pPr>
        <w:jc w:val="left"/>
      </w:pPr>
      <w:r>
        <w:t>如不服本判决，可在接到判决书的第二日起十日内，通过本院或者直接向鄂尔多斯市中级人民法院提出上诉。书面上诉的，应当提交上诉状正本一份，副本三份。</w:t>
      </w:r>
    </w:p>
    <w:p>
      <w:pPr>
        <w:jc w:val="left"/>
      </w:pPr>
      <w:r>
        <w:t>审判员贺芳</w:t>
      </w:r>
    </w:p>
    <w:p>
      <w:pPr>
        <w:jc w:val="left"/>
      </w:pPr>
      <w:r>
        <w:t>二〇二四年一月二十四日</w:t>
      </w:r>
    </w:p>
    <w:p>
      <w:pPr>
        <w:jc w:val="left"/>
      </w:pPr>
      <w:r>
        <w:t>法官助理阿米娜</w:t>
      </w:r>
    </w:p>
    <w:p>
      <w:pPr>
        <w:jc w:val="left"/>
      </w:pPr>
      <w:r>
        <w:t>书记员王劲博</w:t>
      </w:r>
    </w:p>
    <w:p>
      <w:pPr>
        <w:jc w:val="left"/>
      </w:pPr>
      <w:r>
        <w:t>法条链接：</w:t>
      </w:r>
    </w:p>
    <w:p>
      <w:pPr>
        <w:jc w:val="left"/>
      </w:pPr>
      <w:r>
        <w:t>《中华人民共和国刑法》</w:t>
      </w:r>
    </w:p>
    <w:p>
      <w:pPr>
        <w:jc w:val="left"/>
      </w:pPr>
      <w:r>
        <w:t>第五十二条【罚金数额的裁量】判处罚金，应当根据犯罪情节决定罚金数额。</w:t>
      </w:r>
    </w:p>
    <w:p>
      <w:pPr>
        <w:jc w:val="left"/>
      </w:pPr>
      <w:r>
        <w:t>第五十三条【罚金的缴纳】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pPr>
        <w:jc w:val="left"/>
      </w:pPr>
      <w: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第六十七条【自首与坦白】犯罪以后自动投案，如实供述自己的罪行的，是自首。对于自首的犯罪分子，可以从轻或者减轻处罚。其中，犯罪较轻的，可以免除处罚。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犯罪嫌疑人虽不具有前两款规定的自首情节，但是如实供述自己罪行的，可以从轻处罚；因其如实供述自己罪行，避免特别严重后果发生的，可以减轻处罚。</w:t>
      </w:r>
    </w:p>
    <w:p>
      <w:pPr>
        <w:jc w:val="left"/>
      </w:pPr>
      <w:r>
        <w:t>第七十二条【缓刑的条件】对于被判处拘役、三年以下有期徒刑的犯罪分子，同时符合下列条件的，可以宣告缓刑，对其中不满十八周岁的人、怀孕的妇女和已满七十五周岁的人，应当宣告缓刑：</w:t>
      </w:r>
    </w:p>
    <w:p>
      <w:pPr>
        <w:jc w:val="left"/>
      </w:pPr>
      <w:r>
        <w:t>（一）犯罪情节较轻；</w:t>
      </w:r>
    </w:p>
    <w:p>
      <w:pPr>
        <w:jc w:val="left"/>
      </w:pPr>
      <w:r>
        <w:t>（二）有悔罪表现；</w:t>
      </w:r>
    </w:p>
    <w:p>
      <w:pPr>
        <w:jc w:val="left"/>
      </w:pPr>
      <w:r>
        <w:t>（三）没有再犯罪的危险；</w:t>
      </w:r>
    </w:p>
    <w:p>
      <w:pPr>
        <w:jc w:val="left"/>
      </w:pPr>
      <w:r>
        <w:t>（四）宣告缓刑对所居住社区没有重大不良影响。</w:t>
      </w:r>
    </w:p>
    <w:p>
      <w:pPr>
        <w:jc w:val="left"/>
      </w:pPr>
      <w:r>
        <w:t>宣告缓刑，可以根据犯罪情况，同时禁止犯罪分子在缓刑考验期限内从事特定活动，进入特定区域、场所，接触特定的人。</w:t>
      </w:r>
    </w:p>
    <w:p>
      <w:pPr>
        <w:jc w:val="left"/>
      </w:pPr>
      <w:r>
        <w:t>被宣告缓刑的犯罪分子，如果被判处附加刑，附加刑仍须执行。</w:t>
      </w:r>
    </w:p>
    <w:p>
      <w:pPr>
        <w:jc w:val="left"/>
      </w:pPr>
      <w:r>
        <w:t>第七十三条【缓刑考验期限】拘役的缓刑考验期限为原判刑期以上一年以下，但是不能少于二个月。</w:t>
      </w:r>
    </w:p>
    <w:p>
      <w:pPr>
        <w:jc w:val="left"/>
      </w:pPr>
      <w:r>
        <w:t>有期徒刑的缓刑考验期限为原判刑期以上五年以下，但是不能少于一年。</w:t>
      </w:r>
    </w:p>
    <w:p>
      <w:pPr>
        <w:jc w:val="left"/>
      </w:pPr>
      <w:r>
        <w:t>缓刑考验期限，从判决确定之日起计算。</w:t>
      </w:r>
    </w:p>
    <w:p>
      <w:pPr>
        <w:jc w:val="left"/>
      </w:pPr>
      <w:r>
        <w:t>第三百一十二条【掩饰、隐瞒犯罪所得、犯罪所得收益罪】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单位犯前款罪的，对单位判处罚金，并对其直接负责的主管人员和其他直接责任人员，依照前款的规定处罚。</w:t>
      </w:r>
    </w:p>
    <w:p>
      <w:pPr>
        <w:jc w:val="left"/>
      </w:pPr>
      <w:r>
        <w:t>《中华人民共和国刑事诉讼法》</w:t>
      </w:r>
    </w:p>
    <w:p>
      <w:pPr>
        <w:jc w:val="left"/>
      </w:pPr>
      <w:r>
        <w:t>第十五条【认罪认罚从宽制度】犯罪嫌疑人、被告人自愿如实供述自己的罪行，承认指控的犯罪事实，愿意接受处罚的，可以依法从宽处理。</w:t>
      </w:r>
    </w:p>
    <w:p>
      <w:pPr>
        <w:jc w:val="left"/>
      </w:pPr>
      <w:r>
        <w:t>第二百零一条【法院对认罪认罚案件量刑建议的处理】对于认罪认罚案件，人民法院依法作出判决时，一般应当采纳人民检察院指控的罪名和量刑建议，但有下列情形的除外：</w:t>
      </w:r>
    </w:p>
    <w:p>
      <w:pPr>
        <w:jc w:val="left"/>
      </w:pPr>
      <w:r>
        <w:t>（一）被告人的行为不构成犯罪或者不应当追究其刑事责任的；</w:t>
      </w:r>
    </w:p>
    <w:p>
      <w:pPr>
        <w:jc w:val="left"/>
      </w:pPr>
      <w:r>
        <w:t>（二）被告人违背意愿认罪认罚的；</w:t>
      </w:r>
    </w:p>
    <w:p>
      <w:pPr>
        <w:jc w:val="left"/>
      </w:pPr>
      <w:r>
        <w:t>（三）被告人否认指控的犯罪事实的；</w:t>
      </w:r>
    </w:p>
    <w:p>
      <w:pPr>
        <w:jc w:val="left"/>
      </w:pPr>
      <w:r>
        <w:t>（四）起诉指控的罪名与审理认定的罪名不一致的；</w:t>
      </w:r>
    </w:p>
    <w:p>
      <w:pPr>
        <w:jc w:val="left"/>
      </w:pPr>
      <w:r>
        <w:t>（五）其他可能影响公正审判的情形。</w:t>
      </w:r>
    </w:p>
    <w:p>
      <w:pPr>
        <w:jc w:val="left"/>
      </w:pPr>
      <w: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