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广东省东莞市第一人民法院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（2024）粤1971刑初626号</w:t>
      </w:r>
    </w:p>
    <w:p>
      <w:pPr>
        <w:jc w:val="left"/>
      </w:pPr>
      <w:r>
        <w:t>公诉机关广东省东莞市第一市区人民检察院。</w:t>
      </w:r>
    </w:p>
    <w:p>
      <w:pPr>
        <w:jc w:val="left"/>
      </w:pPr>
      <w:r>
        <w:t>被告人杨某伟，男，1990年12月25日出生，汉族，小学文化，农民，户籍所在地为福建省浦城县。因涉嫌犯诈骗罪于2023年9月11日羁押并被刑事拘留，因涉嫌犯掩饰、隐瞒犯罪所得罪于2023年10月18日被逮捕。现押于东莞市第二看守所。</w:t>
      </w:r>
    </w:p>
    <w:p>
      <w:pPr>
        <w:jc w:val="left"/>
      </w:pPr>
      <w:r>
        <w:t>辩护人经玲，广东砝码律师事务所律师。</w:t>
      </w:r>
    </w:p>
    <w:p>
      <w:pPr>
        <w:jc w:val="left"/>
      </w:pPr>
      <w:r>
        <w:t>东莞市第一市区人民检察院以东一区检刑诉〔2024〕480号起诉书指控被告人杨某伟犯掩饰、隐瞒犯罪所得罪，于2024年1月26日向本院提起公诉。本院依法适用简易程序，实行独任审判，于2024年2月1日公开开庭审理了本案。东莞市第一市区人民检察院指派检察员梁毅辉出庭支持公诉，被告人杨某伟及其辩护人经玲到庭参加诉讼。本案现已审理终结。</w:t>
      </w:r>
    </w:p>
    <w:p>
      <w:pPr>
        <w:jc w:val="left"/>
      </w:pPr>
      <w:r>
        <w:t>东莞市第一市区人民检察院指控称,2023年3月23日至4月5日期间，被告人杨某伟为获取非法利益，明知他人需要资金账户转移违法款项，根据通过电话联系的陌生男子的要求下载、注册了数字人民币钱包账户，并将账户提供陌生男子用来接受转账，且操作账户将转入的款项按陌生男子指示转移。经核实，杨某伟上述数字人民币钱包账户被用于“冒充公检法”等形式的电信网络诈骗活动，转入资金54笔，共计124098元，其中居住于东莞市东城区的被害人廖某萍被诈骗后转入金额共计23400元。上述款项转入后均被杨某伟操作账户分28笔全部转移。</w:t>
      </w:r>
    </w:p>
    <w:p>
      <w:pPr>
        <w:jc w:val="left"/>
      </w:pPr>
      <w:r>
        <w:t>2023年9月11日，杨某伟主动到浦城县公安局治安大队投案，但到案后未如实供述自己的罪行。案发后，杨某伟家属退赔廖某萍23400元，廖某萍于2023年11月1日出具了谅解书。</w:t>
      </w:r>
    </w:p>
    <w:p>
      <w:pPr>
        <w:jc w:val="left"/>
      </w:pPr>
      <w:r>
        <w:t>为支持上述指控，公诉机关向法庭提交了物证手机一部，到案经过、全国人口信息、户籍证明、立案决定书、受案登记表、杨某伟建设银行数字人民币钱包开户资料及2023年3月10日至4月10日流水、微信支付交易明细证明、支付宝交易流水证明、通话记录、银行流水账单、通话记录、微信记录、交易记录、谅解书、收据等书证，被害人廖某萍的陈述，被告人杨某伟的供述和辩解，搜查证、搜查笔录，电子数据检查笔录等证据。据此，公诉机关认为被告人杨某伟无视国法，明知是犯罪所得而予以帮助转移，其行为已触犯《中华人民共和国刑法》第三百一十二条之规定，犯罪事实清楚，证据确实、充分，应当以掩饰、隐瞒犯罪所得罪追究其刑事责任。被告人杨某伟归案后如实供述涉嫌的犯罪事实，对指控的犯罪没有异议，自愿接受刑事处罚。诉请本院依法惩处。</w:t>
      </w:r>
    </w:p>
    <w:p>
      <w:pPr>
        <w:jc w:val="left"/>
      </w:pPr>
      <w:r>
        <w:t>在法庭上，被告人杨某伟对公诉机关指控的犯罪事实及罪名没有异议，且签字具结。其辩护人提出如下辩护意见：1、犯罪情节较轻，犯罪主观恶性小，社会危害性小；2、主动投案，自愿认罪悔罪；3、初犯，并自愿退赃；4、其家庭情况困难。综上，请法庭对其从轻处罚，并适用缓刑。</w:t>
      </w:r>
    </w:p>
    <w:p>
      <w:pPr>
        <w:jc w:val="left"/>
      </w:pPr>
      <w:r>
        <w:t>经审理查明，公诉机关当庭出示的证据，经控辩双方质证查实，证据来源合法，证据内容客观、真实，可以作为本案的定案根据。且上述证据互有关联，相互印证。公诉机关据此指控被告人杨某伟掩饰、隐瞒犯罪所得的行为，事实清楚，证据确实、充分，本院予以确认。</w:t>
      </w:r>
    </w:p>
    <w:p>
      <w:pPr>
        <w:jc w:val="left"/>
      </w:pPr>
      <w:r>
        <w:t>本院认为，被告人杨某伟无视国法，明知是犯罪所得而仍予以转移，其行为已构成掩饰、隐瞒犯罪所得罪，依法应予惩处。公诉机关指控被告人杨某伟犯掩饰、隐瞒犯罪所得罪，事实清楚，证据确实、充分，指控罪名成立，本院予以支持。被告人杨某伟认罪认罚，依法可以从轻处罚。被告人杨某伟的家属案发后主动代为退赔被害人的经济损失，且被害人表示对杨某伟谅解，可酌情从轻处罚。辩护人所提辩护意见，经查属实，本院予以采纳。</w:t>
      </w:r>
    </w:p>
    <w:p>
      <w:pPr>
        <w:jc w:val="left"/>
      </w:pPr>
      <w:r>
        <w:t>公诉机关向本院提出判处被告人杨某伟有期徒刑八个月，并处罚金的量刑建议，该量刑建议并无明显不当，故本院予以采纳。</w:t>
      </w:r>
    </w:p>
    <w:p>
      <w:pPr>
        <w:jc w:val="left"/>
      </w:pPr>
      <w:r>
        <w:t>视被告人杨某伟的犯罪情节和悔罪表现等，其符合适用缓刑的条件，本院依法对被告人杨某伟宣告缓刑，依照《中华人民共和国刑法》第三百一十二条第一款、第五十二条、第五十三条、第六十四条、第七十二条、第七十三条的规定，判决如下：</w:t>
      </w:r>
    </w:p>
    <w:p>
      <w:pPr>
        <w:jc w:val="left"/>
      </w:pPr>
      <w:r>
        <w:t>一、被告人杨某伟犯掩饰、隐瞒犯罪所得罪，判处有期徒刑八个月，缓刑一年，并处罚金人民币2000元。</w:t>
      </w:r>
    </w:p>
    <w:p>
      <w:pPr>
        <w:jc w:val="left"/>
      </w:pPr>
      <w:r>
        <w:t>（缓刑考验期从本判决确定之日起计算；罚金自本判决生效之日起30日内一次性向本院缴纳，上缴国库。）</w:t>
      </w:r>
    </w:p>
    <w:p>
      <w:pPr>
        <w:jc w:val="left"/>
      </w:pPr>
      <w:r>
        <w:t>二、随案移送手机1部，是作案工具，依法予以没收，上缴国库。</w:t>
      </w:r>
    </w:p>
    <w:p>
      <w:pPr>
        <w:jc w:val="left"/>
      </w:pPr>
      <w:r>
        <w:t>如不服本判决，可在接到判决书的第二日起十日内，通过本院或者直接向东莞市中级人民法院提出上诉。书面上诉的，应当提交上诉状正本一份，副本二份。</w:t>
      </w:r>
    </w:p>
    <w:p>
      <w:pPr>
        <w:jc w:val="left"/>
      </w:pPr>
      <w:r>
        <w:t>审判员　　黄庆生</w:t>
      </w:r>
    </w:p>
    <w:p>
      <w:pPr>
        <w:jc w:val="left"/>
      </w:pPr>
      <w:r>
        <w:t>二〇二四年二月二日</w:t>
      </w:r>
    </w:p>
    <w:p>
      <w:pPr>
        <w:jc w:val="left"/>
      </w:pPr>
      <w:r>
        <w:t>书记员　　朱美琳</w:t>
      </w:r>
    </w:p>
    <w:p>
      <w:pPr>
        <w:jc w:val="left"/>
      </w:pPr>
      <w:r>
        <w:t>陈保瑟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