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61105" cy="7620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5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lang w:val="en-US"/>
        </w:rPr>
      </w:pPr>
      <w:r>
        <w:rPr>
          <w:szCs w:val="28"/>
          <w:lang w:val="en-US"/>
        </w:rPr>
        <w:drawing>
          <wp:inline distT="0" distB="0" distL="0" distR="0">
            <wp:extent cx="1435100" cy="159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395" cy="15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sz w:val="36"/>
          <w:szCs w:val="36"/>
          <w:lang w:val="en-US"/>
        </w:rPr>
      </w:pPr>
      <w:r>
        <w:rPr>
          <w:smallCaps/>
          <w:sz w:val="36"/>
          <w:szCs w:val="36"/>
          <w:lang w:val="en-US"/>
        </w:rPr>
        <w:t>Electrical Engineering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lang w:val="en-US"/>
        </w:rPr>
      </w:pPr>
      <w:r>
        <w:rPr>
          <w:smallCaps/>
          <w:lang w:val="en-US"/>
        </w:rPr>
        <w:t>Laboratory report 1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lang w:val="en-US"/>
        </w:rPr>
      </w:pPr>
      <w:r>
        <w:rPr>
          <w:smallCaps/>
          <w:lang w:val="en-US"/>
        </w:rPr>
        <w:t>Research on DC electric source characteristics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rFonts w:hint="default" w:eastAsia="宋体" w:asciiTheme="majorHAnsi" w:hAnsiTheme="majorHAnsi" w:cstheme="majorHAnsi"/>
          <w:smallCaps/>
          <w:lang w:val="en-US" w:eastAsia="zh-CN"/>
        </w:rPr>
      </w:pPr>
      <w:r>
        <w:rPr>
          <w:rFonts w:asciiTheme="majorHAnsi" w:hAnsiTheme="majorHAnsi" w:cstheme="majorHAnsi"/>
          <w:smallCaps/>
          <w:lang w:val="en-US"/>
        </w:rPr>
        <w:t xml:space="preserve">Student name: </w:t>
      </w:r>
      <w:r>
        <w:rPr>
          <w:rFonts w:hint="eastAsia" w:eastAsia="宋体" w:asciiTheme="majorHAnsi" w:hAnsiTheme="majorHAnsi" w:cstheme="majorHAnsi"/>
          <w:smallCaps/>
          <w:lang w:val="en-US" w:eastAsia="zh-CN"/>
        </w:rPr>
        <w:t>Zhu Haibin</w:t>
      </w:r>
    </w:p>
    <w:p>
      <w:pPr>
        <w:spacing w:line="360" w:lineRule="auto"/>
        <w:rPr>
          <w:rFonts w:hint="default" w:eastAsia="宋体" w:asciiTheme="majorHAnsi" w:hAnsiTheme="majorHAnsi" w:cstheme="majorHAnsi"/>
          <w:smallCaps/>
          <w:lang w:val="en-US" w:eastAsia="zh-CN"/>
        </w:rPr>
      </w:pPr>
      <w:r>
        <w:rPr>
          <w:rFonts w:asciiTheme="majorHAnsi" w:hAnsiTheme="majorHAnsi" w:cstheme="majorHAnsi"/>
          <w:smallCaps/>
          <w:lang w:val="en-US"/>
        </w:rPr>
        <w:t xml:space="preserve">Student ID: </w:t>
      </w:r>
      <w:r>
        <w:rPr>
          <w:rFonts w:hint="eastAsia" w:eastAsia="宋体" w:asciiTheme="majorHAnsi" w:hAnsiTheme="majorHAnsi" w:cstheme="majorHAnsi"/>
          <w:smallCaps/>
          <w:lang w:val="en-US" w:eastAsia="zh-CN"/>
        </w:rPr>
        <w:t>19321133</w:t>
      </w:r>
    </w:p>
    <w:p>
      <w:pPr>
        <w:tabs>
          <w:tab w:val="center" w:pos="5102"/>
        </w:tabs>
        <w:spacing w:line="360" w:lineRule="auto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r>
        <w:t>The circuit</w:t>
      </w:r>
    </w:p>
    <w:p>
      <w:pPr>
        <w:jc w:val="center"/>
        <w:rPr>
          <w:b/>
          <w:bCs/>
          <w:u w:val="single"/>
          <w:lang w:val="en-US"/>
        </w:rPr>
      </w:pPr>
      <w:r>
        <w:drawing>
          <wp:inline distT="0" distB="0" distL="114300" distR="114300">
            <wp:extent cx="4343400" cy="29622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Fig. 1.1 – The Equivalent circuit of the real electrical energy source with</w:t>
      </w:r>
    </w:p>
    <w:p>
      <w:pPr>
        <w:jc w:val="center"/>
        <w:rPr>
          <w:lang w:val="en-US"/>
        </w:rPr>
      </w:pPr>
      <w:r>
        <w:rPr>
          <w:lang w:val="en-US"/>
        </w:rPr>
        <w:t>the load in the LTspice application.</w:t>
      </w:r>
    </w:p>
    <w:p>
      <w:pPr>
        <w:pStyle w:val="2"/>
      </w:pPr>
      <w:r>
        <w:t>The Table of measurements and calculations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802"/>
        <w:gridCol w:w="1803"/>
        <w:gridCol w:w="1522"/>
        <w:gridCol w:w="1522"/>
        <w:gridCol w:w="1522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605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Measurements</w:t>
            </w:r>
          </w:p>
        </w:tc>
        <w:tc>
          <w:tcPr>
            <w:tcW w:w="6089" w:type="dxa"/>
            <w:gridSpan w:val="4"/>
            <w:vAlign w:val="center"/>
          </w:tcPr>
          <w:p>
            <w:pPr>
              <w:spacing w:before="12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Calculations</w:t>
            </w:r>
          </w:p>
          <w:p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 =</w:t>
            </w:r>
            <w:r>
              <w:rPr>
                <w:rFonts w:hint="eastAsia" w:eastAsia="宋体"/>
                <w:lang w:val="en-US" w:eastAsia="zh-CN"/>
              </w:rPr>
              <w:t>925.072</w:t>
            </w:r>
            <w:r>
              <w:rPr>
                <w:lang w:val="en-US"/>
              </w:rPr>
              <w:t>[Ω], E = </w:t>
            </w:r>
            <w:r>
              <w:rPr>
                <w:rFonts w:hint="eastAsia" w:eastAsia="宋体"/>
                <w:lang w:val="en-US" w:eastAsia="zh-CN"/>
              </w:rPr>
              <w:t>20.341</w:t>
            </w:r>
            <w:r>
              <w:rPr>
                <w:lang w:val="en-US"/>
              </w:rPr>
              <w:t xml:space="preserve">[V], </w:t>
            </w:r>
            <w:r>
              <w:rPr>
                <w:rFonts w:ascii="Adobe Ming Std L" w:hAnsi="Adobe Ming Std L" w:eastAsia="Adobe Ming Std L"/>
                <w:lang w:val="en-US"/>
              </w:rPr>
              <w:t>I</w:t>
            </w:r>
            <w:r>
              <w:rPr>
                <w:lang w:val="en-US"/>
              </w:rPr>
              <w:t>sc =</w:t>
            </w:r>
            <w:r>
              <w:rPr>
                <w:rFonts w:hint="eastAsia" w:eastAsia="宋体"/>
                <w:lang w:val="en-US" w:eastAsia="zh-CN"/>
              </w:rPr>
              <w:t>22.110</w:t>
            </w:r>
            <w:r>
              <w:rPr>
                <w:lang w:val="en-US"/>
              </w:rPr>
              <w:t> [mA]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80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Rn [Ω]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Un [V]</w:t>
            </w:r>
          </w:p>
        </w:tc>
        <w:tc>
          <w:tcPr>
            <w:tcW w:w="152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dobe Ming Std L" w:hAnsi="Adobe Ming Std L" w:eastAsia="Adobe Ming Std L"/>
              </w:rPr>
              <w:t>I</w:t>
            </w:r>
            <w:r>
              <w:rPr>
                <w:lang w:val="en-US"/>
              </w:rPr>
              <w:t xml:space="preserve">n </w:t>
            </w:r>
            <w:r>
              <w:t>[mA]</w:t>
            </w:r>
          </w:p>
        </w:tc>
        <w:tc>
          <w:tcPr>
            <w:tcW w:w="152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Pn [W]</w:t>
            </w:r>
          </w:p>
        </w:tc>
        <w:tc>
          <w:tcPr>
            <w:tcW w:w="152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η</w:t>
            </w:r>
          </w:p>
        </w:tc>
        <w:tc>
          <w:tcPr>
            <w:tcW w:w="1523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r [Ω]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20.341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11.024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1.00000 </w:t>
            </w:r>
          </w:p>
        </w:tc>
        <w:tc>
          <w:tcPr>
            <w:tcW w:w="1523" w:type="dxa"/>
            <w:tcBorders>
              <w:tl2br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1.8618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0.034662992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0.91533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18.232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bookmarkStart w:id="0" w:name="OLE_LINK2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2.279</w:t>
            </w:r>
            <w:bookmarkEnd w:id="0"/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0.041550728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0.89635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bookmarkStart w:id="1" w:name="OLE_LINK1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  <w:bookmarkEnd w:id="1"/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17.623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2.937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0.051761688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0.86642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923.697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17.165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3.433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0.058927445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0.84387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14.846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5.9384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0.088161486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0.72991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0.111619225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0.51946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7.136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14.272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0.101844992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0.35086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4.327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0.074891716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0.21275 </w:t>
            </w:r>
          </w:p>
        </w:tc>
        <w:tc>
          <w:tcPr>
            <w:tcW w:w="1523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0.03936256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0.09755 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924.942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21.985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0.00000 </w:t>
            </w:r>
          </w:p>
        </w:tc>
        <w:tc>
          <w:tcPr>
            <w:tcW w:w="1523" w:type="dxa"/>
            <w:tcBorders>
              <w:tl2br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 xml:space="preserve">Example of the calculations for </w:t>
      </w:r>
      <w:r>
        <w:rPr>
          <w:position w:val="-28"/>
          <w:lang w:val="en-US"/>
        </w:rPr>
        <w:object>
          <v:shape id="_x0000_i1029" o:spt="75" type="#_x0000_t75" style="height:26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9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=6000</w:t>
      </w:r>
      <w:r>
        <w:t>[Ω]</w:t>
      </w:r>
    </w:p>
    <w:p>
      <w:pPr>
        <w:rPr>
          <w:rFonts w:hint="default" w:eastAsia="宋体"/>
          <w:lang w:val="en-US" w:eastAsia="zh-CN"/>
        </w:rPr>
      </w:pPr>
      <w:r>
        <w:rPr>
          <w:rFonts w:eastAsiaTheme="minorEastAsia"/>
          <w:lang w:val="en-US"/>
        </w:rPr>
        <w:t>Current in the load:</w:t>
      </w:r>
      <w:r>
        <w:rPr>
          <w:rFonts w:ascii="Adobe Ming Std L" w:hAnsi="Adobe Ming Std L" w:eastAsia="Adobe Ming Std L"/>
        </w:rPr>
        <w:t>I</w:t>
      </w:r>
      <w:r>
        <w:rPr>
          <w:lang w:val="en-US"/>
        </w:rPr>
        <w:t>n</w:t>
      </w:r>
      <w:r>
        <w:rPr>
          <w:rFonts w:hint="eastAsia" w:eastAsia="宋体"/>
          <w:lang w:val="en-US" w:eastAsia="zh-CN"/>
        </w:rPr>
        <w:t>=</w:t>
      </w:r>
      <w:r>
        <w:rPr>
          <w:position w:val="-28"/>
          <w:lang w:val="en-US"/>
        </w:rPr>
        <w:object>
          <v:shape id="_x0000_i1030" o:spt="75" type="#_x0000_t75" style="height:26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11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/</w:t>
      </w:r>
      <w:r>
        <w:rPr>
          <w:rFonts w:hint="eastAsia" w:eastAsia="宋体"/>
          <w:position w:val="-12"/>
          <w:lang w:val="en-US" w:eastAsia="zh-CN"/>
        </w:rPr>
        <w:object>
          <v:shape id="_x0000_i1031" o:spt="75" type="#_x0000_t75" style="height:18pt;width:2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2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17.623/6000*1000</w:t>
      </w:r>
      <w:r>
        <w:rPr>
          <w:rFonts w:hint="eastAsia" w:eastAsia="宋体"/>
          <w:lang w:val="en-US" w:eastAsia="zh-CN"/>
        </w:rPr>
        <w:t>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2.937</w:t>
      </w:r>
      <w:r>
        <w:t>[mA]</w:t>
      </w:r>
    </w:p>
    <w:p>
      <w:pP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lang w:val="en-US"/>
        </w:rPr>
        <w:t>Power dissipated in the load:</w:t>
      </w:r>
      <w:r>
        <w:rPr>
          <w:position w:val="-12"/>
          <w:lang w:val="en-US"/>
        </w:rPr>
        <w:object>
          <v:shape id="_x0000_i1032" o:spt="75" type="#_x0000_t75" style="height:18pt;width:28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14">
            <o:LockedField>false</o:LockedField>
          </o:OLEObject>
        </w:object>
      </w:r>
      <w:r>
        <w:rPr>
          <w:position w:val="-12"/>
          <w:lang w:val="en-US"/>
        </w:rPr>
        <w:object>
          <v:shape id="_x0000_i1033" o:spt="75" type="#_x0000_t75" style="height:19.7pt;width:90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29" r:id="rId16">
            <o:LockedField>false</o:LockedField>
          </o:OLEObject>
        </w:objec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17.623*17.623/6000=0.051761688</w:t>
      </w:r>
      <w:r>
        <w:t>W</w:t>
      </w:r>
    </w:p>
    <w:p>
      <w:pPr>
        <w:rPr>
          <w:lang w:val="en-US"/>
        </w:rPr>
      </w:pPr>
      <w:r>
        <w:rPr>
          <w:lang w:val="en-US"/>
        </w:rPr>
        <w:t>Efficiency: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6000/(6000+925.072)=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0.86642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Internal resistance:</w:t>
      </w:r>
      <w:r>
        <w:rPr>
          <w:rFonts w:hint="eastAsia" w:eastAsia="宋体"/>
          <w:lang w:val="en-US" w:eastAsia="zh-CN"/>
        </w:rPr>
        <w:t>（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18.232-17.623</w:t>
      </w:r>
      <w:r>
        <w:rPr>
          <w:rFonts w:hint="eastAsia" w:eastAsia="宋体"/>
          <w:lang w:val="en-US" w:eastAsia="zh-CN"/>
        </w:rPr>
        <w:t>）/（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2.937-2.279</w:t>
      </w:r>
      <w:r>
        <w:rPr>
          <w:rFonts w:hint="eastAsia" w:eastAsia="宋体"/>
          <w:lang w:val="en-US" w:eastAsia="zh-CN"/>
        </w:rPr>
        <w:t>）*1000=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923.697</w:t>
      </w:r>
      <w:r>
        <w:t>Ω</w:t>
      </w:r>
    </w:p>
    <w:p>
      <w:pPr>
        <w:rPr>
          <w:rFonts w:hint="default"/>
          <w:lang w:val="en-US"/>
        </w:rPr>
      </w:pPr>
      <w:r>
        <w:rPr>
          <w:lang w:val="en-US"/>
        </w:rPr>
        <w:t>Root mean square value of the internal resistance:</w:t>
      </w:r>
      <w:r>
        <w:rPr>
          <w:rFonts w:hint="eastAsia" w:eastAsia="宋体"/>
          <w:lang w:val="en-US" w:eastAsia="zh-CN"/>
        </w:rPr>
        <w:t>（（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925.216^2+925.298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+923.697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+925.601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+925.302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+925.007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+925.231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+925.355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+924.942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eastAsia="宋体"/>
          <w:lang w:val="en-US" w:eastAsia="zh-CN"/>
        </w:rPr>
        <w:t>）/9)^0.5=925.072</w:t>
      </w:r>
      <w:r>
        <w:rPr>
          <w:lang w:val="en-US"/>
        </w:rPr>
        <w:t>[Ω]</w:t>
      </w:r>
      <w:bookmarkStart w:id="2" w:name="_GoBack"/>
      <w:bookmarkEnd w:id="2"/>
    </w:p>
    <w:p>
      <w:pPr>
        <w:rPr>
          <w:rFonts w:hint="default"/>
          <w:lang w:val="en-US"/>
        </w:rPr>
      </w:pPr>
      <w:r>
        <w:rPr>
          <w:lang w:val="en-US"/>
        </w:rPr>
        <w:t>Short-circuit current of the source: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20.341/920*1000=22.110mA</w:t>
      </w:r>
    </w:p>
    <w:p>
      <w:pPr>
        <w:pStyle w:val="2"/>
      </w:pPr>
      <w:r>
        <w:t>Calculated and experimental characteristic of the source</w:t>
      </w:r>
    </w:p>
    <w:p>
      <w:pPr>
        <w:pStyle w:val="2"/>
      </w:pPr>
      <w:r>
        <w:drawing>
          <wp:inline distT="0" distB="0" distL="114300" distR="114300">
            <wp:extent cx="5881370" cy="2609850"/>
            <wp:effectExtent l="4445" t="4445" r="19685" b="14605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t>Power vs. current</w:t>
      </w:r>
    </w:p>
    <w:p>
      <w:pPr>
        <w:pStyle w:val="2"/>
      </w:pPr>
      <w:r>
        <w:drawing>
          <wp:inline distT="0" distB="0" distL="114300" distR="114300">
            <wp:extent cx="5881370" cy="2609850"/>
            <wp:effectExtent l="4445" t="4445" r="1968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t>Efficiency vs. current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881370" cy="2609850"/>
            <wp:effectExtent l="4445" t="4445" r="19685" b="14605"/>
            <wp:docPr id="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>
      <w:footerReference r:id="rId4" w:type="first"/>
      <w:footerReference r:id="rId3" w:type="default"/>
      <w:pgSz w:w="11906" w:h="16838"/>
      <w:pgMar w:top="567" w:right="567" w:bottom="567" w:left="1134" w:header="709" w:footer="709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Ming Std L">
    <w:altName w:val="Yu Gothic UI Light"/>
    <w:panose1 w:val="02020300000000000000"/>
    <w:charset w:val="80"/>
    <w:family w:val="roman"/>
    <w:pitch w:val="default"/>
    <w:sig w:usb0="00000000" w:usb1="00000000" w:usb2="00000016" w:usb3="00000000" w:csb0="00120005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4974899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en-US"/>
      </w:rPr>
    </w:pPr>
    <w:r>
      <w:rPr>
        <w:lang w:val="en-US"/>
      </w:rPr>
      <w:t>2020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7483"/>
    <w:multiLevelType w:val="multilevel"/>
    <w:tmpl w:val="31D27483"/>
    <w:lvl w:ilvl="0" w:tentative="0">
      <w:start w:val="1"/>
      <w:numFmt w:val="upperRoman"/>
      <w:pStyle w:val="2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04"/>
    <w:rsid w:val="00004989"/>
    <w:rsid w:val="000126A1"/>
    <w:rsid w:val="0002487F"/>
    <w:rsid w:val="0003116C"/>
    <w:rsid w:val="000405B8"/>
    <w:rsid w:val="00055FAB"/>
    <w:rsid w:val="00104F71"/>
    <w:rsid w:val="001A191C"/>
    <w:rsid w:val="001B2539"/>
    <w:rsid w:val="001C2686"/>
    <w:rsid w:val="001C56D5"/>
    <w:rsid w:val="002017ED"/>
    <w:rsid w:val="0020409B"/>
    <w:rsid w:val="00211608"/>
    <w:rsid w:val="00234D13"/>
    <w:rsid w:val="00245537"/>
    <w:rsid w:val="00254B5E"/>
    <w:rsid w:val="00264519"/>
    <w:rsid w:val="0029508D"/>
    <w:rsid w:val="002E66CA"/>
    <w:rsid w:val="00310599"/>
    <w:rsid w:val="00355D68"/>
    <w:rsid w:val="00387B72"/>
    <w:rsid w:val="003A1BFF"/>
    <w:rsid w:val="003F1901"/>
    <w:rsid w:val="003F23B3"/>
    <w:rsid w:val="0043174A"/>
    <w:rsid w:val="0043243C"/>
    <w:rsid w:val="005033D7"/>
    <w:rsid w:val="00551740"/>
    <w:rsid w:val="00585542"/>
    <w:rsid w:val="005B1214"/>
    <w:rsid w:val="006318ED"/>
    <w:rsid w:val="006B28C5"/>
    <w:rsid w:val="006B3D4D"/>
    <w:rsid w:val="006C751F"/>
    <w:rsid w:val="006E3304"/>
    <w:rsid w:val="00705108"/>
    <w:rsid w:val="00723471"/>
    <w:rsid w:val="00752F59"/>
    <w:rsid w:val="0076051F"/>
    <w:rsid w:val="00761FED"/>
    <w:rsid w:val="007F1E9A"/>
    <w:rsid w:val="00821CE6"/>
    <w:rsid w:val="00834DB8"/>
    <w:rsid w:val="00865AE8"/>
    <w:rsid w:val="0089368A"/>
    <w:rsid w:val="008C37B9"/>
    <w:rsid w:val="00921A83"/>
    <w:rsid w:val="009974D0"/>
    <w:rsid w:val="009B5AAF"/>
    <w:rsid w:val="009C5E22"/>
    <w:rsid w:val="009D439B"/>
    <w:rsid w:val="00B27530"/>
    <w:rsid w:val="00BB02BF"/>
    <w:rsid w:val="00BE74B1"/>
    <w:rsid w:val="00C372D3"/>
    <w:rsid w:val="00C4089A"/>
    <w:rsid w:val="00C50DD2"/>
    <w:rsid w:val="00C52D25"/>
    <w:rsid w:val="00C71BF3"/>
    <w:rsid w:val="00C740B5"/>
    <w:rsid w:val="00C81C06"/>
    <w:rsid w:val="00CB08EB"/>
    <w:rsid w:val="00D17085"/>
    <w:rsid w:val="00D40F80"/>
    <w:rsid w:val="00DB1555"/>
    <w:rsid w:val="00DE06C5"/>
    <w:rsid w:val="00E77447"/>
    <w:rsid w:val="00EB756D"/>
    <w:rsid w:val="00EE74DE"/>
    <w:rsid w:val="00EF14C5"/>
    <w:rsid w:val="1345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 Light" w:hAnsi="Calibri Light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240" w:after="0" w:line="360" w:lineRule="auto"/>
      <w:ind w:left="567" w:hanging="141"/>
      <w:outlineLvl w:val="0"/>
    </w:pPr>
    <w:rPr>
      <w:rFonts w:asciiTheme="majorHAnsi" w:hAnsiTheme="majorHAnsi" w:eastAsiaTheme="majorEastAsia" w:cstheme="majorBidi"/>
      <w:b/>
      <w:sz w:val="32"/>
      <w:szCs w:val="32"/>
      <w:lang w:val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7"/>
    <w:link w:val="4"/>
    <w:qFormat/>
    <w:uiPriority w:val="99"/>
    <w:rPr>
      <w:sz w:val="28"/>
    </w:rPr>
  </w:style>
  <w:style w:type="character" w:customStyle="1" w:styleId="10">
    <w:name w:val="Footer Char"/>
    <w:basedOn w:val="7"/>
    <w:link w:val="3"/>
    <w:uiPriority w:val="99"/>
    <w:rPr>
      <w:sz w:val="28"/>
    </w:rPr>
  </w:style>
  <w:style w:type="character" w:customStyle="1" w:styleId="11">
    <w:name w:val="Heading 1 Char"/>
    <w:basedOn w:val="7"/>
    <w:link w:val="2"/>
    <w:uiPriority w:val="9"/>
    <w:rPr>
      <w:rFonts w:asciiTheme="majorHAnsi" w:hAnsiTheme="majorHAnsi" w:eastAsiaTheme="majorEastAsia" w:cstheme="majorBidi"/>
      <w:b/>
      <w:sz w:val="32"/>
      <w:szCs w:val="32"/>
      <w:lang w:val="en-US"/>
    </w:rPr>
  </w:style>
  <w:style w:type="character" w:styleId="1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chart" Target="charts/chart3.xml"/><Relationship Id="rId2" Type="http://schemas.openxmlformats.org/officeDocument/2006/relationships/settings" Target="settings.xml"/><Relationship Id="rId19" Type="http://schemas.openxmlformats.org/officeDocument/2006/relationships/chart" Target="charts/chart2.xml"/><Relationship Id="rId18" Type="http://schemas.openxmlformats.org/officeDocument/2006/relationships/chart" Target="charts/chart1.xml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modekangkang\Desktop\EE_Lab1\Template\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odekangkang\Desktop\EE_Lab1\Template\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odekangkang\Desktop\EE_Lab1\Template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Volt-Ampere Plot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7150481189851"/>
          <c:y val="0.162453703703704"/>
          <c:w val="0.831293963254593"/>
          <c:h val="0.62271617089530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"Calculations"</c:f>
              <c:strCache>
                <c:ptCount val="1"/>
                <c:pt idx="0">
                  <c:v>Calculations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[Data.xlsx]Sheet1!$H$3:$I$3</c:f>
              <c:numCache>
                <c:formatCode>0.000</c:formatCode>
                <c:ptCount val="2"/>
                <c:pt idx="0">
                  <c:v>22.1097826086957</c:v>
                </c:pt>
                <c:pt idx="1" c:formatCode="General">
                  <c:v>0</c:v>
                </c:pt>
              </c:numCache>
            </c:numRef>
          </c:xVal>
          <c:yVal>
            <c:numRef>
              <c:f>[Data.xlsx]Sheet1!$H$4:$I$4</c:f>
              <c:numCache>
                <c:formatCode>General</c:formatCode>
                <c:ptCount val="2"/>
                <c:pt idx="0">
                  <c:v>0</c:v>
                </c:pt>
                <c:pt idx="1">
                  <c:v>20.341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"Experiment"</c:f>
              <c:strCache>
                <c:ptCount val="1"/>
                <c:pt idx="0">
                  <c:v>Experiment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[Data.xlsx]Sheet1!$C$3:$C$13</c:f>
              <c:numCache>
                <c:formatCode>General</c:formatCode>
                <c:ptCount val="11"/>
                <c:pt idx="0">
                  <c:v>0</c:v>
                </c:pt>
                <c:pt idx="1">
                  <c:v>1.8618</c:v>
                </c:pt>
                <c:pt idx="2">
                  <c:v>2.279</c:v>
                </c:pt>
                <c:pt idx="3">
                  <c:v>2.93716666666667</c:v>
                </c:pt>
                <c:pt idx="4">
                  <c:v>3.433</c:v>
                </c:pt>
                <c:pt idx="5">
                  <c:v>5.9384</c:v>
                </c:pt>
                <c:pt idx="6">
                  <c:v>10.565</c:v>
                </c:pt>
                <c:pt idx="7">
                  <c:v>14.272</c:v>
                </c:pt>
                <c:pt idx="8">
                  <c:v>17.308</c:v>
                </c:pt>
                <c:pt idx="9">
                  <c:v>19.84</c:v>
                </c:pt>
                <c:pt idx="10">
                  <c:v>21.985</c:v>
                </c:pt>
              </c:numCache>
            </c:numRef>
          </c:xVal>
          <c:yVal>
            <c:numRef>
              <c:f>[Data.xlsx]Sheet1!$B$3:$B$13</c:f>
              <c:numCache>
                <c:formatCode>General</c:formatCode>
                <c:ptCount val="11"/>
                <c:pt idx="0">
                  <c:v>20.341</c:v>
                </c:pt>
                <c:pt idx="1">
                  <c:v>18.618</c:v>
                </c:pt>
                <c:pt idx="2">
                  <c:v>18.232</c:v>
                </c:pt>
                <c:pt idx="3">
                  <c:v>17.623</c:v>
                </c:pt>
                <c:pt idx="4">
                  <c:v>17.165</c:v>
                </c:pt>
                <c:pt idx="5">
                  <c:v>14.846</c:v>
                </c:pt>
                <c:pt idx="6">
                  <c:v>10.565</c:v>
                </c:pt>
                <c:pt idx="7">
                  <c:v>7.136</c:v>
                </c:pt>
                <c:pt idx="8">
                  <c:v>4.327</c:v>
                </c:pt>
                <c:pt idx="9">
                  <c:v>1.984</c:v>
                </c:pt>
                <c:pt idx="10" c:formatCode="0.000_ 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552752"/>
        <c:axId val="378544880"/>
      </c:scatterChart>
      <c:valAx>
        <c:axId val="37855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In [mA]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8544880"/>
        <c:crosses val="autoZero"/>
        <c:crossBetween val="midCat"/>
        <c:majorUnit val="2"/>
      </c:valAx>
      <c:valAx>
        <c:axId val="37854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Un [V]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855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6722003499563"/>
          <c:y val="0.195230752405949"/>
          <c:w val="0.206000656167979"/>
          <c:h val="0.15625109361329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  <a:r>
              <a:rPr lang="en-US"/>
              <a:t>Pn(In)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[Data.xlsx]Sheet1!$C$3:$C$13</c:f>
              <c:numCache>
                <c:formatCode>General</c:formatCode>
                <c:ptCount val="11"/>
                <c:pt idx="0">
                  <c:v>0</c:v>
                </c:pt>
                <c:pt idx="1">
                  <c:v>1.8618</c:v>
                </c:pt>
                <c:pt idx="2">
                  <c:v>2.279</c:v>
                </c:pt>
                <c:pt idx="3">
                  <c:v>2.93716666666667</c:v>
                </c:pt>
                <c:pt idx="4">
                  <c:v>3.433</c:v>
                </c:pt>
                <c:pt idx="5">
                  <c:v>5.9384</c:v>
                </c:pt>
                <c:pt idx="6">
                  <c:v>10.565</c:v>
                </c:pt>
                <c:pt idx="7">
                  <c:v>14.272</c:v>
                </c:pt>
                <c:pt idx="8">
                  <c:v>17.308</c:v>
                </c:pt>
                <c:pt idx="9">
                  <c:v>19.84</c:v>
                </c:pt>
                <c:pt idx="10">
                  <c:v>21.985</c:v>
                </c:pt>
              </c:numCache>
            </c:numRef>
          </c:xVal>
          <c:yVal>
            <c:numRef>
              <c:f>[Data.xlsx]Sheet1!$D$3:$D$13</c:f>
              <c:numCache>
                <c:formatCode>General</c:formatCode>
                <c:ptCount val="11"/>
                <c:pt idx="0">
                  <c:v>0</c:v>
                </c:pt>
                <c:pt idx="1">
                  <c:v>34662.9924</c:v>
                </c:pt>
                <c:pt idx="2">
                  <c:v>41550.728</c:v>
                </c:pt>
                <c:pt idx="3">
                  <c:v>51761.6881666667</c:v>
                </c:pt>
                <c:pt idx="4">
                  <c:v>58927.445</c:v>
                </c:pt>
                <c:pt idx="5">
                  <c:v>88161.4864</c:v>
                </c:pt>
                <c:pt idx="6">
                  <c:v>111619.225</c:v>
                </c:pt>
                <c:pt idx="7">
                  <c:v>101844.992</c:v>
                </c:pt>
                <c:pt idx="8">
                  <c:v>74891.716</c:v>
                </c:pt>
                <c:pt idx="9">
                  <c:v>39362.56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254408"/>
        <c:axId val="581741272"/>
      </c:scatterChart>
      <c:valAx>
        <c:axId val="587254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In [mA]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581741272"/>
        <c:crosses val="autoZero"/>
        <c:crossBetween val="midCat"/>
        <c:majorUnit val="2"/>
      </c:valAx>
      <c:valAx>
        <c:axId val="58174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Pn (mW)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587254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Calibri Light" panose="020F0302020204030204" charset="0"/>
          <a:cs typeface="Calibri Light" panose="020F0302020204030204" charset="0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  <a:r>
              <a:rPr lang="en-US"/>
              <a:t>eff(In)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[Data.xlsx]Sheet1!$C$3:$C$13</c:f>
              <c:numCache>
                <c:formatCode>General</c:formatCode>
                <c:ptCount val="11"/>
                <c:pt idx="0">
                  <c:v>0</c:v>
                </c:pt>
                <c:pt idx="1">
                  <c:v>1.8618</c:v>
                </c:pt>
                <c:pt idx="2">
                  <c:v>2.279</c:v>
                </c:pt>
                <c:pt idx="3">
                  <c:v>2.93716666666667</c:v>
                </c:pt>
                <c:pt idx="4">
                  <c:v>3.433</c:v>
                </c:pt>
                <c:pt idx="5">
                  <c:v>5.9384</c:v>
                </c:pt>
                <c:pt idx="6">
                  <c:v>10.565</c:v>
                </c:pt>
                <c:pt idx="7">
                  <c:v>14.272</c:v>
                </c:pt>
                <c:pt idx="8">
                  <c:v>17.308</c:v>
                </c:pt>
                <c:pt idx="9">
                  <c:v>19.84</c:v>
                </c:pt>
                <c:pt idx="10">
                  <c:v>21.985</c:v>
                </c:pt>
              </c:numCache>
            </c:numRef>
          </c:xVal>
          <c:yVal>
            <c:numRef>
              <c:f>[Data.xlsx]Sheet1!$E$3:$E$13</c:f>
              <c:numCache>
                <c:formatCode>0.00000_ </c:formatCode>
                <c:ptCount val="11"/>
                <c:pt idx="0">
                  <c:v>1</c:v>
                </c:pt>
                <c:pt idx="1">
                  <c:v>0.915325768353114</c:v>
                </c:pt>
                <c:pt idx="2">
                  <c:v>0.896351303867938</c:v>
                </c:pt>
                <c:pt idx="3">
                  <c:v>0.866416973981321</c:v>
                </c:pt>
                <c:pt idx="4">
                  <c:v>0.843871589872061</c:v>
                </c:pt>
                <c:pt idx="5">
                  <c:v>0.729911645176747</c:v>
                </c:pt>
                <c:pt idx="6">
                  <c:v>0.519461067502162</c:v>
                </c:pt>
                <c:pt idx="7">
                  <c:v>0.350859444557646</c:v>
                </c:pt>
                <c:pt idx="8">
                  <c:v>0.212752905384426</c:v>
                </c:pt>
                <c:pt idx="9">
                  <c:v>0.097554114991797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557672"/>
        <c:axId val="378559968"/>
      </c:scatterChart>
      <c:valAx>
        <c:axId val="378557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In [mA]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378559968"/>
        <c:crosses val="autoZero"/>
        <c:crossBetween val="midCat"/>
        <c:majorUnit val="2"/>
      </c:valAx>
      <c:valAx>
        <c:axId val="37855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eff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378557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Calibri Light" panose="020F0302020204030204" charset="0"/>
          <a:cs typeface="Calibri Light" panose="020F0302020204030204" charset="0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C863A-B77D-4284-AFA2-CD96C360F2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1064</Characters>
  <Lines>8</Lines>
  <Paragraphs>2</Paragraphs>
  <TotalTime>0</TotalTime>
  <ScaleCrop>false</ScaleCrop>
  <LinksUpToDate>false</LinksUpToDate>
  <CharactersWithSpaces>1248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2020-09-07T15:37:00Z</dcterms:created>
  <dc:creator>Artur Abdullin</dc:creator>
  <cp:lastModifiedBy>微光</cp:lastModifiedBy>
  <dcterms:modified xsi:type="dcterms:W3CDTF">2020-09-17T14:16:53Z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