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Batang" w:hAnsi="Batang" w:eastAsia="Batang" w:cs="Batang"/>
          <w:color w:val="000000"/>
        </w:rPr>
        <w:t>온라인 클래스로 학습 격차를 줄이는 맞춤 수업</w:t>
      </w:r>
    </w:p>
    <w:p>
      <w:pPr>
        <w:pStyle w:val="Subtitle"/>
      </w:pPr>
      <w:r>
        <w:rPr>
          <w:rFonts w:ascii="Batang" w:hAnsi="Batang" w:eastAsia="Batang" w:cs="Batang"/>
          <w:color w:val="000000"/>
        </w:rPr>
        <w:t>연구계획서 초안 요약</w:t>
      </w:r>
    </w:p>
    <w:p>
      <w:pPr>
        <w:spacing w:after="60"/>
      </w:pPr>
      <w:r>
        <w:rPr>
          <w:rFonts w:ascii="Batang" w:hAnsi="Batang" w:eastAsia="Batang" w:cs="Batang"/>
          <w:b/>
          <w:color w:val="000000"/>
        </w:rPr>
        <w:t>대상·교과:</w:t>
      </w:r>
      <w:r>
        <w:rPr>
          <w:rFonts w:ascii="Batang" w:hAnsi="Batang" w:eastAsia="Batang" w:cs="Batang"/>
          <w:color w:val="000000"/>
        </w:rPr>
        <w:t xml:space="preserve"> 중학교 사회, 세부 학년 미지정, 1개 학급(가정)</w:t>
      </w:r>
    </w:p>
    <w:p>
      <w:pPr>
        <w:spacing w:after="60"/>
      </w:pPr>
      <w:r>
        <w:rPr>
          <w:rFonts w:ascii="Batang" w:hAnsi="Batang" w:eastAsia="Batang" w:cs="Batang"/>
          <w:b/>
          <w:color w:val="000000"/>
        </w:rPr>
        <w:t>운영안:</w:t>
      </w:r>
      <w:r>
        <w:rPr>
          <w:rFonts w:ascii="Batang" w:hAnsi="Batang" w:eastAsia="Batang" w:cs="Batang"/>
          <w:color w:val="000000"/>
        </w:rPr>
        <w:t xml:space="preserve"> 한 학기, 핵심 주제 3개에 맞춤 학습 순환 적용(안)</w:t>
      </w:r>
    </w:p>
    <w:p>
      <w:pPr>
        <w:spacing w:after="60"/>
      </w:pPr>
      <w:r>
        <w:rPr>
          <w:rFonts w:ascii="Batang" w:hAnsi="Batang" w:eastAsia="Batang" w:cs="Batang"/>
          <w:b/>
          <w:color w:val="000000"/>
        </w:rPr>
        <w:t>활용 도구:</w:t>
      </w:r>
      <w:r>
        <w:rPr>
          <w:rFonts w:ascii="Batang" w:hAnsi="Batang" w:eastAsia="Batang" w:cs="Batang"/>
          <w:color w:val="000000"/>
        </w:rPr>
        <w:t xml:space="preserve"> 온라인 클래스와 학생별 학습 현황표(플랫폼 미정)</w:t>
      </w:r>
    </w:p>
    <w:p>
      <w:r>
        <w:rPr>
          <w:rFonts w:ascii="Batang" w:hAnsi="Batang" w:eastAsia="Batang" w:cs="Batang"/>
          <w:color w:val="000000"/>
          <w:sz w:val="21"/>
        </w:rPr>
        <w:t>※ 실제 수업 적용 전의 계획이며, 격차 완화 여부는 적용 후 확인한다.</w:t>
      </w:r>
    </w:p>
    <w:p>
      <w:pPr>
        <w:pStyle w:val="Heading1"/>
      </w:pPr>
      <w:r>
        <w:rPr>
          <w:rFonts w:ascii="Batang" w:hAnsi="Batang" w:eastAsia="Batang" w:cs="Batang"/>
          <w:color w:val="000000"/>
        </w:rPr>
        <w:t>Ⅰ 연구 배경 및 목적</w:t>
      </w:r>
    </w:p>
    <w:p>
      <w:r>
        <w:rPr>
          <w:rFonts w:ascii="Batang" w:hAnsi="Batang" w:eastAsia="Batang" w:cs="Batang"/>
          <w:color w:val="000000"/>
        </w:rPr>
        <w:t>한 학급 안에서도 학생마다 개념을 이해하고 자료를 해석하는 데 필요한 지원이 다를 수 있다. 공통 학습 목표를 정하고, 초기 진단으로 학생별 어려움을 확인한 뒤 온라인 클래스에서 필요한 자료와 피드백을 제공하는 수업을 설계한다.</w:t>
      </w:r>
    </w:p>
    <w:p>
      <w:r>
        <w:rPr>
          <w:rFonts w:ascii="Batang" w:hAnsi="Batang" w:eastAsia="Batang" w:cs="Batang"/>
          <w:color w:val="000000"/>
        </w:rPr>
        <w:t>수준별 학습지와 개별 대시보드를 연결해 학습 경로를 조정하고, 지원이 필요한 학생의 목표 도달과 이미 목표에 도달한 학생의 확장 학습을 함께 살피는 것이 목적이다. 학습 경로는 주제별 성취에 따라 바꿀 수 있게 운영한다.</w:t>
      </w:r>
    </w:p>
    <w:p>
      <w:pPr>
        <w:keepNext/>
      </w:pPr>
      <w:r>
        <w:rPr>
          <w:rFonts w:ascii="Batang" w:hAnsi="Batang" w:eastAsia="Batang" w:cs="Batang"/>
          <w:b/>
          <w:color w:val="000000"/>
        </w:rPr>
        <w:t>연구문제</w:t>
      </w:r>
    </w:p>
    <w:p>
      <w:pPr>
        <w:ind w:left="312" w:hanging="312"/>
      </w:pPr>
      <w:r>
        <w:rPr>
          <w:rFonts w:ascii="Batang" w:hAnsi="Batang" w:eastAsia="Batang" w:cs="Batang"/>
          <w:color w:val="000000"/>
        </w:rPr>
        <w:t>1. 온라인 클래스를 활용한 맞춤 수업 적용 전후에 학생의 공통 목표 도달 수준과 학급 내 성취 격차는 어떻게 달라지는가?</w:t>
      </w:r>
    </w:p>
    <w:p>
      <w:pPr>
        <w:ind w:left="312" w:hanging="312"/>
      </w:pPr>
      <w:r>
        <w:rPr>
          <w:rFonts w:ascii="Batang" w:hAnsi="Batang" w:eastAsia="Batang" w:cs="Batang"/>
          <w:color w:val="000000"/>
        </w:rPr>
        <w:t>2. 개별 대시보드를 바탕으로 학습지와 교사 지원을 조정하는 과정에서 학생의 어려움과 재도전 수행은 어떻게 변화하는가?</w:t>
      </w:r>
    </w:p>
    <w:p>
      <w:pPr>
        <w:pStyle w:val="Heading1"/>
      </w:pPr>
      <w:r>
        <w:rPr>
          <w:rFonts w:ascii="Batang" w:hAnsi="Batang" w:eastAsia="Batang" w:cs="Batang"/>
          <w:color w:val="000000"/>
        </w:rPr>
        <w:t>Ⅱ 연구 방법</w:t>
      </w:r>
    </w:p>
    <w:p>
      <w:r>
        <w:rPr>
          <w:rFonts w:ascii="Batang" w:hAnsi="Batang" w:eastAsia="Batang" w:cs="Batang"/>
          <w:b/>
          <w:color w:val="000000"/>
        </w:rPr>
        <w:t>설계:</w:t>
      </w:r>
      <w:r>
        <w:rPr>
          <w:rFonts w:ascii="Batang" w:hAnsi="Batang" w:eastAsia="Batang" w:cs="Batang"/>
          <w:color w:val="000000"/>
        </w:rPr>
        <w:t xml:space="preserve"> 한 학급에서 ‘진단 → 맞춤 학습 → 점검 → 지원 조정 → 재평가’를 반복하는 수업 실행연구로 진행한다. 공통 목표와 도달 기준을 수업 전에 정하고, 주제마다 학습 경로를 다시 결정한다.</w:t>
      </w:r>
    </w:p>
    <w:p>
      <w:r>
        <w:rPr>
          <w:rFonts w:ascii="Batang" w:hAnsi="Batang" w:eastAsia="Batang" w:cs="Batang"/>
          <w:b/>
          <w:color w:val="000000"/>
        </w:rPr>
        <w:t>수집 자료:</w:t>
      </w:r>
      <w:r>
        <w:rPr>
          <w:rFonts w:ascii="Batang" w:hAnsi="Batang" w:eastAsia="Batang" w:cs="Batang"/>
          <w:color w:val="000000"/>
        </w:rPr>
        <w:t xml:space="preserve"> 학기 초·말의 공통 평가, 주제별 진단·재평가, 수준별 학습지, 학생별 오답·재도전 기록, 교사의 지원 메모를 수집한다. 연구 자료는 익명화하고 활용 절차를 확인한 뒤 사용한다.</w:t>
      </w:r>
    </w:p>
    <w:p>
      <w:r>
        <w:rPr>
          <w:rFonts w:ascii="Batang" w:hAnsi="Batang" w:eastAsia="Batang" w:cs="Batang"/>
          <w:b/>
          <w:color w:val="000000"/>
        </w:rPr>
        <w:t>평가와 분석:</w:t>
      </w:r>
      <w:r>
        <w:rPr>
          <w:rFonts w:ascii="Batang" w:hAnsi="Batang" w:eastAsia="Batang" w:cs="Batang"/>
          <w:color w:val="000000"/>
        </w:rPr>
        <w:t xml:space="preserve"> 학기 초·말에는 같은 핵심 목표를 다루는 비슷한 난이도의 다른 과제로 평가한다. 초기 진단에서 지원이 필요했던 학생과 목표에 도달했던 학생의 성취 차이, 목표 도달 비율, 개인별 변화를 함께 살핀다. 격차가 줄었어도 일부 학생의 성취 하락 때문인지 확인하고, 모든 학생의 성장과 함께 해석한다.</w:t>
      </w:r>
    </w:p>
    <w:p>
      <w:r>
        <w:rPr>
          <w:rFonts w:ascii="Batang" w:hAnsi="Batang" w:eastAsia="Batang" w:cs="Batang"/>
          <w:color w:val="000000"/>
        </w:rPr>
        <w:t>대시보드의 어려움 기록, 제공한 지원, 이후 재평가를 연결해 어떤 지원을 계속하거나 바꿀지 정리한다. 접속·제출 횟수는 운영 참고로 활용하며 학습 성취를 대신하지 않는다. 비교집단 없는 변화만으로 맞춤 수업의 인과효과를 확정하지 않는다.</w:t>
      </w:r>
    </w:p>
    <w:p>
      <w:pPr>
        <w:pStyle w:val="Heading1"/>
      </w:pPr>
      <w:r>
        <w:rPr>
          <w:rFonts w:ascii="Batang" w:hAnsi="Batang" w:eastAsia="Batang" w:cs="Batang"/>
          <w:color w:val="000000"/>
        </w:rPr>
        <w:t>Ⅲ 연구 내용</w:t>
      </w:r>
    </w:p>
    <w:p>
      <w:r>
        <w:rPr>
          <w:rFonts w:ascii="Batang" w:hAnsi="Batang" w:eastAsia="Batang" w:cs="Batang"/>
          <w:b/>
          <w:color w:val="000000"/>
        </w:rPr>
        <w:t>제안 수업 흐름:</w:t>
      </w:r>
      <w:r>
        <w:rPr>
          <w:rFonts w:ascii="Batang" w:hAnsi="Batang" w:eastAsia="Batang" w:cs="Batang"/>
          <w:color w:val="000000"/>
        </w:rPr>
        <w:t xml:space="preserve"> 진단 → 맞춤 학습 → 현황 점검 → 지원 조정 → 공통 재평가</w:t>
      </w:r>
    </w:p>
    <w:p>
      <w:r>
        <w:rPr>
          <w:rFonts w:ascii="Batang" w:hAnsi="Batang" w:eastAsia="Batang" w:cs="Batang"/>
          <w:color w:val="000000"/>
        </w:rPr>
        <w:t>학습지는 같은 핵심 목표 아래 ‘기초 보완·핵심 적용·심화 확장’ 경로로 구성한다. 기초 보완에는 쉬운 자료·풀이 예시·문장 틀을, 핵심 적용에는 개념과 자료를 연결하는 과제를, 심화 확장에는 새로운 사례의 비교·설명 과제를 제공한다. 학생은 교사와 상의해 경로를 선택하고, 짧은 점검 결과에 따라 이동한다.</w:t>
      </w:r>
    </w:p>
    <w:p>
      <w:r>
        <w:rPr>
          <w:rFonts w:ascii="Batang" w:hAnsi="Batang" w:eastAsia="Batang" w:cs="Batang"/>
          <w:color w:val="000000"/>
        </w:rPr>
        <w:t>대시보드에는 개념별 이해, 오답 유형, 재도전 결과와 다음 지원을 기록한다. 플랫폼의 제공 항목을 확인한 뒤 부족한 정보는 교사 기록으로 보완한다. 교사는 도움이 필요한 지점을 확인해 짧은 개별·소집단 설명을 제공하고, 학생은 자신의 진행 상황과 다음 과제를 확인한다.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1701"/>
        <w:gridCol w:w="5102"/>
        <w:gridCol w:w="2835"/>
      </w:tblGrid>
      <w:tr>
        <w:trPr>
          <w:cantSplit/>
          <w:tblHeader/>
        </w:trPr>
        <w:tc>
          <w:tcPr>
            <w:tcW w:type="dxa" w:w="1701"/>
            <w:vAlign w:val="center"/>
            <w:shd w:fill="E7E6E6"/>
          </w:tcPr>
          <w:p>
            <w:pPr>
              <w:spacing w:line="264" w:lineRule="auto" w:before="40" w:after="40"/>
              <w:jc w:val="center"/>
            </w:pPr>
            <w:r>
              <w:rPr>
                <w:rFonts w:ascii="Batang" w:hAnsi="Batang" w:eastAsia="Batang" w:cs="Batang"/>
                <w:b/>
                <w:color w:val="000000"/>
                <w:sz w:val="21"/>
              </w:rPr>
              <w:t>단계·시점(안)</w:t>
            </w:r>
          </w:p>
        </w:tc>
        <w:tc>
          <w:tcPr>
            <w:tcW w:type="dxa" w:w="5102"/>
            <w:vAlign w:val="center"/>
            <w:shd w:fill="E7E6E6"/>
          </w:tcPr>
          <w:p>
            <w:pPr>
              <w:spacing w:line="264" w:lineRule="auto" w:before="40" w:after="40"/>
              <w:jc w:val="center"/>
            </w:pPr>
            <w:r>
              <w:rPr>
                <w:rFonts w:ascii="Batang" w:hAnsi="Batang" w:eastAsia="Batang" w:cs="Batang"/>
                <w:b/>
                <w:color w:val="000000"/>
                <w:sz w:val="21"/>
              </w:rPr>
              <w:t>핵심 수업·연구 활동</w:t>
            </w:r>
          </w:p>
        </w:tc>
        <w:tc>
          <w:tcPr>
            <w:tcW w:type="dxa" w:w="2835"/>
            <w:vAlign w:val="center"/>
            <w:shd w:fill="E7E6E6"/>
          </w:tcPr>
          <w:p>
            <w:pPr>
              <w:spacing w:line="264" w:lineRule="auto" w:before="40" w:after="40"/>
              <w:jc w:val="center"/>
            </w:pPr>
            <w:r>
              <w:rPr>
                <w:rFonts w:ascii="Batang" w:hAnsi="Batang" w:eastAsia="Batang" w:cs="Batang"/>
                <w:b/>
                <w:color w:val="000000"/>
                <w:sz w:val="21"/>
              </w:rPr>
              <w:t>수집 자료·산출물</w:t>
            </w:r>
          </w:p>
        </w:tc>
      </w:tr>
      <w:tr>
        <w:trPr>
          <w:cantSplit/>
        </w:trPr>
        <w:tc>
          <w:tcPr>
            <w:tcW w:type="dxa" w:w="1701"/>
            <w:vAlign w:val="center"/>
          </w:tcPr>
          <w:p>
            <w:pPr>
              <w:spacing w:line="264" w:lineRule="auto" w:before="40" w:after="40"/>
              <w:jc w:val="center"/>
            </w:pPr>
            <w:r>
              <w:rPr>
                <w:rFonts w:ascii="Batang" w:hAnsi="Batang" w:eastAsia="Batang" w:cs="Batang"/>
                <w:color w:val="000000"/>
                <w:sz w:val="21"/>
              </w:rPr>
              <w:t>준비·초기 진단</w:t>
            </w:r>
          </w:p>
        </w:tc>
        <w:tc>
          <w:tcPr>
            <w:tcW w:type="dxa" w:w="5102"/>
            <w:vAlign w:val="center"/>
          </w:tcPr>
          <w:p>
            <w:pPr>
              <w:spacing w:line="264" w:lineRule="auto" w:before="40" w:after="40"/>
              <w:jc w:val="left"/>
            </w:pPr>
            <w:r>
              <w:rPr>
                <w:rFonts w:ascii="Batang" w:hAnsi="Batang" w:eastAsia="Batang" w:cs="Batang"/>
                <w:color w:val="000000"/>
                <w:sz w:val="21"/>
              </w:rPr>
              <w:t>공통 목표·평가 기준을 정한다. 개별 수행과 기기 접근을 확인한다.</w:t>
            </w:r>
          </w:p>
        </w:tc>
        <w:tc>
          <w:tcPr>
            <w:tcW w:type="dxa" w:w="2835"/>
            <w:vAlign w:val="center"/>
          </w:tcPr>
          <w:p>
            <w:pPr>
              <w:spacing w:line="264" w:lineRule="auto" w:before="40" w:after="40"/>
              <w:jc w:val="left"/>
            </w:pPr>
            <w:r>
              <w:rPr>
                <w:rFonts w:ascii="Batang" w:hAnsi="Batang" w:eastAsia="Batang" w:cs="Batang"/>
                <w:color w:val="000000"/>
                <w:sz w:val="21"/>
              </w:rPr>
              <w:t>진단 수행물, 초기 현황</w:t>
            </w:r>
          </w:p>
        </w:tc>
      </w:tr>
      <w:tr>
        <w:trPr>
          <w:cantSplit/>
        </w:trPr>
        <w:tc>
          <w:tcPr>
            <w:tcW w:type="dxa" w:w="1701"/>
            <w:vAlign w:val="center"/>
          </w:tcPr>
          <w:p>
            <w:pPr>
              <w:spacing w:line="264" w:lineRule="auto" w:before="40" w:after="40"/>
              <w:jc w:val="center"/>
            </w:pPr>
            <w:r>
              <w:rPr>
                <w:rFonts w:ascii="Batang" w:hAnsi="Batang" w:eastAsia="Batang" w:cs="Batang"/>
                <w:color w:val="000000"/>
                <w:sz w:val="21"/>
              </w:rPr>
              <w:t>주제별 경로 설계</w:t>
            </w:r>
          </w:p>
        </w:tc>
        <w:tc>
          <w:tcPr>
            <w:tcW w:type="dxa" w:w="5102"/>
            <w:vAlign w:val="center"/>
          </w:tcPr>
          <w:p>
            <w:pPr>
              <w:spacing w:line="264" w:lineRule="auto" w:before="40" w:after="40"/>
              <w:jc w:val="left"/>
            </w:pPr>
            <w:r>
              <w:rPr>
                <w:rFonts w:ascii="Batang" w:hAnsi="Batang" w:eastAsia="Batang" w:cs="Batang"/>
                <w:color w:val="000000"/>
                <w:sz w:val="21"/>
              </w:rPr>
              <w:t>진단 결과에 맞춰 보완·적용·확장 학습지를 준비하고 학생별 시작 경로를 정한다.</w:t>
            </w:r>
          </w:p>
        </w:tc>
        <w:tc>
          <w:tcPr>
            <w:tcW w:type="dxa" w:w="2835"/>
            <w:vAlign w:val="center"/>
          </w:tcPr>
          <w:p>
            <w:pPr>
              <w:spacing w:line="264" w:lineRule="auto" w:before="40" w:after="40"/>
              <w:jc w:val="left"/>
            </w:pPr>
            <w:r>
              <w:rPr>
                <w:rFonts w:ascii="Batang" w:hAnsi="Batang" w:eastAsia="Batang" w:cs="Batang"/>
                <w:color w:val="000000"/>
                <w:sz w:val="21"/>
              </w:rPr>
              <w:t>학습지, 경로 계획</w:t>
            </w:r>
          </w:p>
        </w:tc>
      </w:tr>
      <w:tr>
        <w:trPr>
          <w:cantSplit/>
        </w:trPr>
        <w:tc>
          <w:tcPr>
            <w:tcW w:type="dxa" w:w="1701"/>
            <w:vAlign w:val="center"/>
          </w:tcPr>
          <w:p>
            <w:pPr>
              <w:spacing w:line="264" w:lineRule="auto" w:before="40" w:after="40"/>
              <w:jc w:val="center"/>
            </w:pPr>
            <w:r>
              <w:rPr>
                <w:rFonts w:ascii="Batang" w:hAnsi="Batang" w:eastAsia="Batang" w:cs="Batang"/>
                <w:color w:val="000000"/>
                <w:sz w:val="21"/>
              </w:rPr>
              <w:t>맞춤 학습</w:t>
            </w:r>
          </w:p>
        </w:tc>
        <w:tc>
          <w:tcPr>
            <w:tcW w:type="dxa" w:w="5102"/>
            <w:vAlign w:val="center"/>
          </w:tcPr>
          <w:p>
            <w:pPr>
              <w:spacing w:line="264" w:lineRule="auto" w:before="40" w:after="40"/>
              <w:jc w:val="left"/>
            </w:pPr>
            <w:r>
              <w:rPr>
                <w:rFonts w:ascii="Batang" w:hAnsi="Batang" w:eastAsia="Batang" w:cs="Batang"/>
                <w:color w:val="000000"/>
                <w:sz w:val="21"/>
              </w:rPr>
              <w:t>공통 설명 뒤 각 경로의 과제를 수행한다. 교사는 개별·소집단 지원을 제공한다.</w:t>
            </w:r>
          </w:p>
        </w:tc>
        <w:tc>
          <w:tcPr>
            <w:tcW w:type="dxa" w:w="2835"/>
            <w:vAlign w:val="center"/>
          </w:tcPr>
          <w:p>
            <w:pPr>
              <w:spacing w:line="264" w:lineRule="auto" w:before="40" w:after="40"/>
              <w:jc w:val="left"/>
            </w:pPr>
            <w:r>
              <w:rPr>
                <w:rFonts w:ascii="Batang" w:hAnsi="Batang" w:eastAsia="Batang" w:cs="Batang"/>
                <w:color w:val="000000"/>
                <w:sz w:val="21"/>
              </w:rPr>
              <w:t>수행물, 지원 기록</w:t>
            </w:r>
          </w:p>
        </w:tc>
      </w:tr>
      <w:tr>
        <w:trPr>
          <w:cantSplit/>
        </w:trPr>
        <w:tc>
          <w:tcPr>
            <w:tcW w:type="dxa" w:w="1701"/>
            <w:vAlign w:val="center"/>
          </w:tcPr>
          <w:p>
            <w:pPr>
              <w:spacing w:line="264" w:lineRule="auto" w:before="40" w:after="40"/>
              <w:jc w:val="center"/>
            </w:pPr>
            <w:r>
              <w:rPr>
                <w:rFonts w:ascii="Batang" w:hAnsi="Batang" w:eastAsia="Batang" w:cs="Batang"/>
                <w:color w:val="000000"/>
                <w:sz w:val="21"/>
              </w:rPr>
              <w:t>차시별 점검·조정</w:t>
            </w:r>
          </w:p>
        </w:tc>
        <w:tc>
          <w:tcPr>
            <w:tcW w:type="dxa" w:w="5102"/>
            <w:vAlign w:val="center"/>
          </w:tcPr>
          <w:p>
            <w:pPr>
              <w:spacing w:line="264" w:lineRule="auto" w:before="40" w:after="40"/>
              <w:jc w:val="left"/>
            </w:pPr>
            <w:r>
              <w:rPr>
                <w:rFonts w:ascii="Batang" w:hAnsi="Batang" w:eastAsia="Batang" w:cs="Batang"/>
                <w:color w:val="000000"/>
                <w:sz w:val="21"/>
              </w:rPr>
              <w:t>짧은 공통 과제와 오답을 확인한다. 대시보드에 다음 지원을 기록하고 경로를 조정한다.</w:t>
            </w:r>
          </w:p>
        </w:tc>
        <w:tc>
          <w:tcPr>
            <w:tcW w:type="dxa" w:w="2835"/>
            <w:vAlign w:val="center"/>
          </w:tcPr>
          <w:p>
            <w:pPr>
              <w:spacing w:line="264" w:lineRule="auto" w:before="40" w:after="40"/>
              <w:jc w:val="left"/>
            </w:pPr>
            <w:r>
              <w:rPr>
                <w:rFonts w:ascii="Batang" w:hAnsi="Batang" w:eastAsia="Batang" w:cs="Batang"/>
                <w:color w:val="000000"/>
                <w:sz w:val="21"/>
              </w:rPr>
              <w:t>점검 결과, 경로 변경</w:t>
            </w:r>
          </w:p>
        </w:tc>
      </w:tr>
      <w:tr>
        <w:trPr>
          <w:cantSplit/>
        </w:trPr>
        <w:tc>
          <w:tcPr>
            <w:tcW w:type="dxa" w:w="1701"/>
            <w:vAlign w:val="center"/>
          </w:tcPr>
          <w:p>
            <w:pPr>
              <w:spacing w:line="264" w:lineRule="auto" w:before="40" w:after="40"/>
              <w:jc w:val="center"/>
            </w:pPr>
            <w:r>
              <w:rPr>
                <w:rFonts w:ascii="Batang" w:hAnsi="Batang" w:eastAsia="Batang" w:cs="Batang"/>
                <w:color w:val="000000"/>
                <w:sz w:val="21"/>
              </w:rPr>
              <w:t>주제별 재평가</w:t>
            </w:r>
          </w:p>
        </w:tc>
        <w:tc>
          <w:tcPr>
            <w:tcW w:type="dxa" w:w="5102"/>
            <w:vAlign w:val="center"/>
          </w:tcPr>
          <w:p>
            <w:pPr>
              <w:spacing w:line="264" w:lineRule="auto" w:before="40" w:after="40"/>
              <w:jc w:val="left"/>
            </w:pPr>
            <w:r>
              <w:rPr>
                <w:rFonts w:ascii="Batang" w:hAnsi="Batang" w:eastAsia="Batang" w:cs="Batang"/>
                <w:color w:val="000000"/>
                <w:sz w:val="21"/>
              </w:rPr>
              <w:t>서로의 설명을 나누는 공동 과제를 거쳐, 개별 공통 과제로 목표 도달을 확인한다.</w:t>
            </w:r>
          </w:p>
        </w:tc>
        <w:tc>
          <w:tcPr>
            <w:tcW w:type="dxa" w:w="2835"/>
            <w:vAlign w:val="center"/>
          </w:tcPr>
          <w:p>
            <w:pPr>
              <w:spacing w:line="264" w:lineRule="auto" w:before="40" w:after="40"/>
              <w:jc w:val="left"/>
            </w:pPr>
            <w:r>
              <w:rPr>
                <w:rFonts w:ascii="Batang" w:hAnsi="Batang" w:eastAsia="Batang" w:cs="Batang"/>
                <w:color w:val="000000"/>
                <w:sz w:val="21"/>
              </w:rPr>
              <w:t>재평가, 학생 성찰</w:t>
            </w:r>
          </w:p>
        </w:tc>
      </w:tr>
      <w:tr>
        <w:trPr>
          <w:cantSplit/>
        </w:trPr>
        <w:tc>
          <w:tcPr>
            <w:tcW w:type="dxa" w:w="1701"/>
            <w:vAlign w:val="center"/>
          </w:tcPr>
          <w:p>
            <w:pPr>
              <w:spacing w:line="264" w:lineRule="auto" w:before="40" w:after="40"/>
              <w:jc w:val="center"/>
            </w:pPr>
            <w:r>
              <w:rPr>
                <w:rFonts w:ascii="Batang" w:hAnsi="Batang" w:eastAsia="Batang" w:cs="Batang"/>
                <w:color w:val="000000"/>
                <w:sz w:val="21"/>
              </w:rPr>
              <w:t>학기 말 분석</w:t>
            </w:r>
          </w:p>
        </w:tc>
        <w:tc>
          <w:tcPr>
            <w:tcW w:type="dxa" w:w="5102"/>
            <w:vAlign w:val="center"/>
          </w:tcPr>
          <w:p>
            <w:pPr>
              <w:spacing w:line="264" w:lineRule="auto" w:before="40" w:after="40"/>
              <w:jc w:val="left"/>
            </w:pPr>
            <w:r>
              <w:rPr>
                <w:rFonts w:ascii="Batang" w:hAnsi="Batang" w:eastAsia="Batang" w:cs="Batang"/>
                <w:color w:val="000000"/>
                <w:sz w:val="21"/>
              </w:rPr>
              <w:t>공통 평가와 개인별 변화·성취 차이를 분석하고 자료와 지원 방식을 보완한다.</w:t>
            </w:r>
          </w:p>
        </w:tc>
        <w:tc>
          <w:tcPr>
            <w:tcW w:type="dxa" w:w="2835"/>
            <w:vAlign w:val="center"/>
          </w:tcPr>
          <w:p>
            <w:pPr>
              <w:spacing w:line="264" w:lineRule="auto" w:before="40" w:after="40"/>
              <w:jc w:val="left"/>
            </w:pPr>
            <w:r>
              <w:rPr>
                <w:rFonts w:ascii="Batang" w:hAnsi="Batang" w:eastAsia="Batang" w:cs="Batang"/>
                <w:color w:val="000000"/>
                <w:sz w:val="21"/>
              </w:rPr>
              <w:t>변화 정리, 개선 수업안</w:t>
            </w:r>
          </w:p>
        </w:tc>
      </w:tr>
    </w:tbl>
    <w:p>
      <w:pPr>
        <w:spacing w:after="0" w:line="96" w:lineRule="auto"/>
      </w:pPr>
    </w:p>
    <w:p>
      <w:pPr>
        <w:pStyle w:val="Heading1"/>
      </w:pPr>
      <w:r>
        <w:rPr>
          <w:rFonts w:ascii="Batang" w:hAnsi="Batang" w:eastAsia="Batang" w:cs="Batang"/>
          <w:color w:val="000000"/>
        </w:rPr>
        <w:t>Ⅳ 기대 변화 및 활용</w:t>
      </w:r>
    </w:p>
    <w:p>
      <w:r>
        <w:rPr>
          <w:rFonts w:ascii="Batang" w:hAnsi="Batang" w:eastAsia="Batang" w:cs="Batang"/>
          <w:color w:val="000000"/>
        </w:rPr>
        <w:t>지원이 필요한 학생은 자신의 어려움에 맞는 자료와 설명을 받고 핵심 목표에 도달하는 변화를 기대한다. 이미 목표에 도달한 학생은 새로운 사례를 해석하고 설명하는 과제로 학습을 확장한다. 반복해도 진전이 없는 학생과 참여가 줄어드는 학생의 조건도 함께 살핀다.</w:t>
      </w:r>
    </w:p>
    <w:p>
      <w:r>
        <w:rPr>
          <w:rFonts w:ascii="Batang" w:hAnsi="Batang" w:eastAsia="Batang" w:cs="Batang"/>
          <w:color w:val="000000"/>
        </w:rPr>
        <w:t>연구 후에는 수준별 학습지, 학습 현황표, 경로 조정 기준과 수업안을 정리한다. 학생 수준이나 순위를 공개하지 않고 개인에게 필요한 피드백을 제공한다. 기기 접근이 어려우면 학교 내 이용 시간과 종이 자료를 마련하고, 교사는 수행 결과를 현황표에 반영한다. 다른 학급에서는 단원·자료 수준·플랫폼 여건에 맞춰 조정한다.</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Batang" w:hAnsi="Batang" w:eastAsia="Batang" w:cs="Batang"/>
      <w:b w:val="0"/>
      <w:i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88" w:lineRule="auto"/>
      <w:outlineLvl w:val="0"/>
    </w:pPr>
    <w:rPr>
      <w:rFonts w:asciiTheme="majorHAnsi" w:eastAsiaTheme="majorEastAsia" w:hAnsiTheme="majorHAnsi" w:cstheme="majorBidi" w:ascii="Batang" w:hAnsi="Batang" w:eastAsia="Batang" w:cs="Batang"/>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88" w:lineRule="auto"/>
      <w:contextualSpacing/>
    </w:pPr>
    <w:rPr>
      <w:rFonts w:asciiTheme="majorHAnsi" w:eastAsiaTheme="majorEastAsia" w:hAnsiTheme="majorHAnsi" w:cstheme="majorBidi" w:ascii="Batang" w:hAnsi="Batang" w:eastAsia="Batang" w:cs="Batang"/>
      <w:b/>
      <w:i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line="288" w:lineRule="auto" w:after="240"/>
    </w:pPr>
    <w:rPr>
      <w:rFonts w:asciiTheme="majorHAnsi" w:eastAsiaTheme="majorEastAsia" w:hAnsiTheme="majorHAnsi" w:cstheme="majorBidi" w:ascii="Batang" w:hAnsi="Batang" w:eastAsia="Batang" w:cs="Batang"/>
      <w:b w:val="0"/>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온라인 클래스로 학습 격차를 줄이는 맞춤 수업</dc:title>
  <dc:subject>중학교 사회 연구계획서 초안 요약</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