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auto"/>
          <w:spacing w:val="0"/>
          <w:sz w:val="19"/>
          <w:szCs w:val="19"/>
        </w:rPr>
      </w:pPr>
      <w:r>
        <w:rPr>
          <w:rFonts w:ascii="Adobe 仿宋 Std R" w:hAnsi="Adobe 仿宋 Std R" w:eastAsia="Adobe 仿宋 Std R" w:cs="Adobe 仿宋 Std R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EFEF2"/>
          <w:lang w:val="en-US"/>
        </w:rPr>
        <w:t>HBase基本说明与性能</w:t>
      </w:r>
      <w:r>
        <w:rPr>
          <w:rFonts w:hint="default" w:ascii="Adobe 仿宋 Std R" w:hAnsi="Adobe 仿宋 Std R" w:eastAsia="Adobe 仿宋 Std R" w:cs="Adobe 仿宋 Std R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EFEF2"/>
        </w:rPr>
        <w:t>测试</w:t>
      </w:r>
      <w:r>
        <w:rPr>
          <w:rFonts w:hint="default" w:ascii="Verdana" w:hAnsi="Verdana" w:cs="Verdana"/>
          <w:i w:val="0"/>
          <w:caps w:val="0"/>
          <w:color w:val="auto"/>
          <w:spacing w:val="0"/>
          <w:sz w:val="19"/>
          <w:szCs w:val="19"/>
          <w:shd w:val="clear" w:fill="FEFEF2"/>
        </w:rPr>
        <w:t> </w:t>
      </w:r>
    </w:p>
    <w:tbl>
      <w:tblPr>
        <w:tblStyle w:val="3"/>
        <w:tblW w:w="918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 w:themeFill="background1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5"/>
        <w:gridCol w:w="6095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Style w:val="5"/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HBase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数据库类型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NoSql—列式数据库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运行所需要的环境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Linux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是否可以搭建集群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天然的分布式数据库，具有自动分片功能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可扩展性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强，无缝支持水平拓展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插入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与设置的参数关系很大，批量插入和单条插入差别大，单台机器能够实现1w~3w之间的插入速度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更新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删除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查询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只支持按照rowkey来查询或者全表扫描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范围查询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模糊匹配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时间范围查询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不支持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分页查询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可以做到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数据库安全性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低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大数据量下的查询响应时间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各个数据级别下的响应时间： (均为随机读取，不命中缓存)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1、2万-3</w:t>
            </w:r>
            <w:bookmarkStart w:id="4" w:name="_GoBack"/>
            <w:bookmarkEnd w:id="4"/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万/s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2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、3亿</w:t>
            </w:r>
            <w:bookmarkStart w:id="0" w:name="OLE_LINK14"/>
            <w:bookmarkEnd w:id="0"/>
            <w:bookmarkStart w:id="1" w:name="OLE_LINK13"/>
            <w:bookmarkEnd w:id="1"/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22"/>
                <w:szCs w:val="22"/>
                <w:lang w:val="en-US" w:eastAsia="zh-CN" w:bidi="ar"/>
              </w:rPr>
              <w:t>5ms(单行)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3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20"/>
                <w:szCs w:val="20"/>
                <w:lang w:val="en-US" w:eastAsia="zh-CN" w:bidi="ar"/>
              </w:rPr>
              <w:t>、3亿-------------------124ms(30行)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大数据量下占用的磁盘空间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各个数据级别下的磁盘占用空间（以出租车表为例，17个字段，一行200个字节）：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1、1亿</w:t>
            </w:r>
            <w:bookmarkStart w:id="2" w:name="OLE_LINK11"/>
            <w:bookmarkEnd w:id="2"/>
            <w:bookmarkStart w:id="3" w:name="OLE_LINK12"/>
            <w:bookmarkEnd w:id="3"/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-------------------18G（使用GZ压缩）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是否有良好的技术支持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社区活跃，但是配置复杂，参数繁多，学习代价比较大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数据导入和导出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有从RDBMS导入数据的工具Sqoop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热备份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异步复制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是否需要商业付费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是否开源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优点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1、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支持高效稳定的大数据存储，上亿行、上百万列、上万个版本，对数据自动分片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2、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列式存储保证了高效的随机读写能力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3、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列数可以动态增长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4、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水平拓展十分容易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5、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拥有良好的生态系统，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Sqoop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用户数据的导入，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Hadoop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作为分布式计算平台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缺点</w:t>
            </w:r>
          </w:p>
        </w:tc>
        <w:tc>
          <w:tcPr>
            <w:tcW w:w="609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1、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学习复杂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color w:val="auto"/>
                <w:sz w:val="19"/>
                <w:szCs w:val="19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  <w:t>2、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4"/>
                <w:szCs w:val="14"/>
                <w:lang w:val="en-US"/>
              </w:rPr>
              <w:t>  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不支持范围查询、条件查询等查询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20"/>
                <w:szCs w:val="20"/>
              </w:rPr>
              <w:t>操</w:t>
            </w: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</w:rPr>
              <w:t>作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 w:themeFill="background1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适用场景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  <w:t>实时、高频查询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  <w:t>行随机读操作或者随机写操作、大数据上高并发操作</w:t>
            </w:r>
          </w:p>
          <w:p>
            <w:pPr>
              <w:pStyle w:val="2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 w:eastAsia="zh-CN"/>
              </w:rPr>
              <w:t>简单读写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/>
              <w:spacing w:before="150" w:beforeAutospacing="0" w:after="150" w:afterAutospacing="0" w:line="23" w:lineRule="atLeast"/>
              <w:ind w:left="360" w:right="0" w:hanging="360"/>
              <w:jc w:val="left"/>
              <w:rPr>
                <w:rFonts w:hint="default" w:ascii="Adobe 仿宋 Std R" w:hAnsi="Adobe 仿宋 Std R" w:eastAsia="Adobe 仿宋 Std R" w:cs="Adobe 仿宋 Std R"/>
                <w:i w:val="0"/>
                <w:caps w:val="0"/>
                <w:color w:val="auto"/>
                <w:spacing w:val="0"/>
                <w:sz w:val="19"/>
                <w:szCs w:val="19"/>
                <w:lang w:val="en-US"/>
              </w:rPr>
            </w:pPr>
          </w:p>
        </w:tc>
      </w:tr>
    </w:tbl>
    <w:p>
      <w:pPr>
        <w:shd w:val="clear"/>
        <w:rPr>
          <w:color w:val="auto"/>
        </w:rPr>
      </w:pPr>
    </w:p>
    <w:p>
      <w:pPr>
        <w:shd w:val="clear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基本操作：</w:t>
      </w:r>
    </w:p>
    <w:p>
      <w:pPr>
        <w:shd w:val="clear"/>
        <w:rPr>
          <w:color w:val="auto"/>
        </w:rPr>
      </w:pPr>
    </w:p>
    <w:tbl>
      <w:tblPr>
        <w:tblW w:w="930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4"/>
        <w:gridCol w:w="1561"/>
        <w:gridCol w:w="1922"/>
        <w:gridCol w:w="4883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操作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API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注意点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与版本的关系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Get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Table.get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返回指定行的属性；Scan的第一行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若没有指定版本，则返回版本值最大（但可能不是最新的）的数据；可以通过设置MaxVersion的值修改返回的数据条数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Scan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Table.scan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返回满足条件的多行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Put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Table.put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Key存在则更新Key不在则插入;通过 Table.put (写缓存) 或者Table.batch (没有写缓存)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默认使用系统时间;只要key、column和version相同就可以实现覆盖；插入时可以指定版本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1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Table.delete</w:t>
            </w:r>
          </w:p>
        </w:tc>
        <w:tc>
          <w:tcPr>
            <w:tcW w:w="1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1.删除指定列；2.删除列的所有版本；3.删除特定列族的所有列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left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1. 删除操作不会立刻执行，而是给该数据设置墓碑标签，在空间清理的时候再执行死亡数据和墓碑的清除工作；2.通过在 hbase-site.xml.中hbase.hstore.time.to.purge.deletes属性来设置TTL（生存时间）</w:t>
            </w:r>
          </w:p>
        </w:tc>
      </w:tr>
    </w:tbl>
    <w:p>
      <w:pPr>
        <w:shd w:val="clear"/>
        <w:rPr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dobe 仿宋 Std R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37E1D"/>
    <w:multiLevelType w:val="singleLevel"/>
    <w:tmpl w:val="4A437E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72596"/>
    <w:rsid w:val="029879D1"/>
    <w:rsid w:val="18872596"/>
    <w:rsid w:val="308612DC"/>
    <w:rsid w:val="3B43274B"/>
    <w:rsid w:val="48B54923"/>
    <w:rsid w:val="4A945D82"/>
    <w:rsid w:val="54762C17"/>
    <w:rsid w:val="65416B7C"/>
    <w:rsid w:val="73016A5C"/>
    <w:rsid w:val="7F1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2019-03-05T11:47:00Z</dcterms:created>
  <dc:creator>27930</dc:creator>
  <cp:lastModifiedBy>27930</cp:lastModifiedBy>
  <dcterms:modified xsi:type="dcterms:W3CDTF">2019-03-06T15:12:23Z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