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品牌介绍精简版&lt;终&gt;</w:t>
      </w:r>
    </w:p>
    <w:p>
      <w:pPr>
        <w:spacing w:before="120" w:after="120" w:line="288" w:lineRule="auto"/>
        <w:ind w:left="0"/>
        <w:jc w:val="left"/>
      </w:pPr>
      <w:r>
        <w:rPr>
          <w:rFonts w:eastAsia="等线" w:ascii="Arial" w:cs="Arial" w:hAnsi="Arial"/>
          <w:sz w:val="22"/>
        </w:rPr>
        <w:t>封面文案</w:t>
      </w:r>
    </w:p>
    <w:p>
      <w:pPr>
        <w:spacing w:before="120" w:after="120" w:line="288" w:lineRule="auto"/>
        <w:ind w:left="0"/>
        <w:jc w:val="left"/>
      </w:pPr>
      <w:r>
        <w:rPr>
          <w:rFonts w:eastAsia="等线" w:ascii="Arial" w:cs="Arial" w:hAnsi="Arial"/>
          <w:b w:val="true"/>
          <w:sz w:val="22"/>
        </w:rPr>
        <w:t>光伏组件品牌与制造商</w:t>
      </w:r>
    </w:p>
    <w:p>
      <w:pPr>
        <w:spacing w:before="120" w:after="120" w:line="288" w:lineRule="auto"/>
        <w:ind w:left="0"/>
        <w:jc w:val="left"/>
      </w:pPr>
      <w:r>
        <w:rPr>
          <w:rFonts w:eastAsia="等线" w:ascii="Arial" w:cs="Arial" w:hAnsi="Arial"/>
          <w:b w:val="true"/>
          <w:sz w:val="22"/>
        </w:rPr>
        <w:t>Photovoltaic Module Brand &amp; Manufacturer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身份定位：</w:t>
      </w:r>
    </w:p>
    <w:p>
      <w:pPr>
        <w:spacing w:before="120" w:after="120" w:line="288" w:lineRule="auto"/>
        <w:ind w:left="0"/>
        <w:jc w:val="left"/>
      </w:pPr>
      <w:r>
        <w:rPr>
          <w:rFonts w:eastAsia="等线" w:ascii="Arial" w:cs="Arial" w:hAnsi="Arial"/>
          <w:b w:val="true"/>
          <w:sz w:val="22"/>
        </w:rPr>
        <w:t>具备自主研发、制造与测试能力的光伏组件品牌与制造商。</w:t>
      </w:r>
    </w:p>
    <w:p>
      <w:pPr>
        <w:spacing w:before="120" w:after="120" w:line="288" w:lineRule="auto"/>
        <w:ind w:left="0"/>
        <w:jc w:val="left"/>
      </w:pPr>
      <w:r>
        <w:rPr>
          <w:rFonts w:eastAsia="等线" w:ascii="Arial" w:cs="Arial" w:hAnsi="Arial"/>
          <w:b w:val="true"/>
          <w:sz w:val="22"/>
        </w:rPr>
        <w:t>Photovoltaic Module Manufacturer with In-House R&amp;D, Manufacturing, and Testing</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Callsun 是面向全球市场的光伏组件品牌与制造商，具备自主研发、制造与测试能力。我们专注于标准光伏组件、非标光伏组件和场景化太阳能产品，为经销商、安装商、系统服务商、设备厂商及项目合作伙伴提供产品选型、工程开发、样品验证和批量交付支持。</w:t>
      </w:r>
    </w:p>
    <w:p>
      <w:pPr>
        <w:spacing w:before="120" w:after="120" w:line="288" w:lineRule="auto"/>
        <w:ind w:left="0"/>
        <w:jc w:val="left"/>
      </w:pPr>
      <w:r>
        <w:rPr>
          <w:rFonts w:eastAsia="等线" w:ascii="Arial" w:cs="Arial" w:hAnsi="Arial"/>
          <w:sz w:val="22"/>
        </w:rPr>
        <w:t>在屋顶、房车、阳台、墙面和离网设施等面积受限的场景中，Callsun 综合考虑单位面积功率、组件尺寸、电气结构和安装方式，使产品更贴近实际空间与长期使用需求。</w:t>
      </w:r>
    </w:p>
    <w:p>
      <w:pPr>
        <w:spacing w:before="120" w:after="120" w:line="288" w:lineRule="auto"/>
        <w:ind w:left="0"/>
        <w:jc w:val="left"/>
      </w:pPr>
      <w:r>
        <w:rPr>
          <w:rFonts w:eastAsia="等线" w:ascii="Arial" w:cs="Arial" w:hAnsi="Arial"/>
          <w:sz w:val="22"/>
        </w:rPr>
        <w:t>Callsun is a PV module brand and manufacturer serving global markets, with in-house R&amp;D, manufacturing, and testing capabilities. We focus on standard PV modules, custom PV modules, and application-specific solar products, supporting distributors, installers, system providers, equipment manufacturers, and project partners with product selection, engineering development, sample validation, and volume delivery.</w:t>
      </w:r>
    </w:p>
    <w:p>
      <w:pPr>
        <w:spacing w:before="120" w:after="120" w:line="288" w:lineRule="auto"/>
        <w:ind w:left="0"/>
        <w:jc w:val="left"/>
      </w:pPr>
      <w:r>
        <w:rPr>
          <w:rFonts w:eastAsia="等线" w:ascii="Arial" w:cs="Arial" w:hAnsi="Arial"/>
          <w:sz w:val="22"/>
        </w:rPr>
        <w:t>For space-constrained rooftops, RVs, balconies, walls, and off-grid facilities, Callsun considers power density, module dimensions, electrical design, and installation methods together to better match each product to the available space and its long-term operating needs.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f2f3f5"/>
        </w:rPr>
        <w:t>核心能力信息卡Icon (如需)</w:t>
      </w:r>
    </w:p>
    <w:p>
      <w:pPr>
        <w:numPr>
          <w:numId w:val="1"/>
        </w:numPr>
        <w:spacing w:before="120" w:after="120" w:line="288" w:lineRule="auto"/>
        <w:ind w:left="0"/>
        <w:jc w:val="left"/>
      </w:pPr>
      <w:r>
        <w:rPr>
          <w:rFonts w:eastAsia="等线" w:ascii="Arial" w:cs="Arial" w:hAnsi="Arial"/>
          <w:sz w:val="22"/>
        </w:rPr>
        <w:t>标准光伏组件规模制造</w:t>
      </w:r>
    </w:p>
    <w:p>
      <w:pPr>
        <w:numPr>
          <w:numId w:val="2"/>
        </w:numPr>
        <w:spacing w:before="120" w:after="120" w:line="288" w:lineRule="auto"/>
        <w:ind w:left="0"/>
        <w:jc w:val="left"/>
      </w:pPr>
      <w:r>
        <w:rPr>
          <w:rFonts w:eastAsia="等线" w:ascii="Arial" w:cs="Arial" w:hAnsi="Arial"/>
          <w:sz w:val="22"/>
        </w:rPr>
        <w:t>非标光伏组件工程开发</w:t>
      </w:r>
    </w:p>
    <w:p>
      <w:pPr>
        <w:numPr>
          <w:numId w:val="3"/>
        </w:numPr>
        <w:spacing w:before="120" w:after="120" w:line="288" w:lineRule="auto"/>
        <w:ind w:left="0"/>
        <w:jc w:val="left"/>
      </w:pPr>
      <w:r>
        <w:rPr>
          <w:rFonts w:eastAsia="等线" w:ascii="Arial" w:cs="Arial" w:hAnsi="Arial"/>
          <w:sz w:val="22"/>
        </w:rPr>
        <w:t>质量控制与可靠性验证</w:t>
      </w:r>
    </w:p>
    <w:p>
      <w:pPr>
        <w:numPr>
          <w:numId w:val="4"/>
        </w:numPr>
        <w:spacing w:before="120" w:after="120" w:line="288" w:lineRule="auto"/>
        <w:ind w:left="0"/>
        <w:jc w:val="left"/>
      </w:pPr>
      <w:r>
        <w:rPr>
          <w:rFonts w:eastAsia="等线" w:ascii="Arial" w:cs="Arial" w:hAnsi="Arial"/>
          <w:sz w:val="22"/>
        </w:rPr>
        <w:t>场景化系统配置支持</w:t>
      </w:r>
    </w:p>
    <w:p>
      <w:pPr>
        <w:numPr>
          <w:numId w:val="5"/>
        </w:numPr>
        <w:spacing w:before="120" w:after="120" w:line="288" w:lineRule="auto"/>
        <w:ind w:left="0"/>
        <w:jc w:val="left"/>
      </w:pPr>
      <w:r>
        <w:rPr>
          <w:rFonts w:eastAsia="等线" w:ascii="Arial" w:cs="Arial" w:hAnsi="Arial"/>
          <w:sz w:val="22"/>
        </w:rPr>
        <w:t>Volume Production of Standard PV Modules</w:t>
      </w:r>
    </w:p>
    <w:p>
      <w:pPr>
        <w:numPr>
          <w:numId w:val="6"/>
        </w:numPr>
        <w:spacing w:before="120" w:after="120" w:line="288" w:lineRule="auto"/>
        <w:ind w:left="0"/>
        <w:jc w:val="left"/>
      </w:pPr>
      <w:r>
        <w:rPr>
          <w:rFonts w:eastAsia="等线" w:ascii="Arial" w:cs="Arial" w:hAnsi="Arial"/>
          <w:sz w:val="22"/>
        </w:rPr>
        <w:t>Custom PV Module Engineering</w:t>
      </w:r>
    </w:p>
    <w:p>
      <w:pPr>
        <w:numPr>
          <w:numId w:val="7"/>
        </w:numPr>
        <w:spacing w:before="120" w:after="120" w:line="288" w:lineRule="auto"/>
        <w:ind w:left="0"/>
        <w:jc w:val="left"/>
      </w:pPr>
      <w:r>
        <w:rPr>
          <w:rFonts w:eastAsia="等线" w:ascii="Arial" w:cs="Arial" w:hAnsi="Arial"/>
          <w:sz w:val="22"/>
        </w:rPr>
        <w:t>Quality Control and Reliability Validation</w:t>
      </w:r>
    </w:p>
    <w:p>
      <w:pPr>
        <w:numPr>
          <w:numId w:val="8"/>
        </w:numPr>
        <w:spacing w:before="120" w:after="120" w:line="288" w:lineRule="auto"/>
        <w:ind w:left="0"/>
        <w:jc w:val="left"/>
      </w:pPr>
      <w:r>
        <w:rPr>
          <w:rFonts w:eastAsia="等线" w:ascii="Arial" w:cs="Arial" w:hAnsi="Arial"/>
          <w:sz w:val="22"/>
        </w:rPr>
        <w:t>Application-Specific System Configuration Support</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0" w:id="0"/>
      <w:r>
        <w:rPr>
          <w:rFonts w:eastAsia="等线" w:ascii="Arial" w:cs="Arial" w:hAnsi="Arial"/>
          <w:b w:val="true"/>
          <w:sz w:val="30"/>
        </w:rPr>
        <w:t>从产品需求，到稳定交付</w:t>
      </w:r>
      <w:bookmarkEnd w:id="0"/>
    </w:p>
    <w:p>
      <w:pPr>
        <w:spacing w:before="120" w:after="120" w:line="288" w:lineRule="auto"/>
        <w:ind w:left="0"/>
        <w:jc w:val="left"/>
      </w:pPr>
      <w:r>
        <w:rPr>
          <w:rFonts w:eastAsia="等线" w:ascii="Arial" w:cs="Arial" w:hAnsi="Arial"/>
          <w:b w:val="true"/>
          <w:sz w:val="22"/>
        </w:rPr>
        <w:t>From Product Requirements to Consistent Delivery</w:t>
      </w:r>
    </w:p>
    <w:p>
      <w:pPr>
        <w:spacing w:before="120" w:after="120" w:line="288" w:lineRule="auto"/>
        <w:ind w:left="0"/>
        <w:jc w:val="left"/>
      </w:pPr>
      <w:r>
        <w:rPr>
          <w:rFonts w:eastAsia="等线" w:ascii="Arial" w:cs="Arial" w:hAnsi="Arial"/>
          <w:sz w:val="22"/>
        </w:rPr>
        <w:t>Callsun 依托约 55,000 平方米（592,000 平方英尺）的制造基地，建立了标准组件全自动化生产与非标组件半自动化柔性制造并行的生产体系。</w:t>
      </w:r>
    </w:p>
    <w:p>
      <w:pPr>
        <w:spacing w:before="120" w:after="120" w:line="288" w:lineRule="auto"/>
        <w:ind w:left="0"/>
        <w:jc w:val="left"/>
      </w:pPr>
      <w:r>
        <w:rPr>
          <w:rFonts w:eastAsia="等线" w:ascii="Arial" w:cs="Arial" w:hAnsi="Arial"/>
          <w:sz w:val="22"/>
        </w:rPr>
        <w:t>标准组件采用全自动化生产流程，覆盖无损切片、多主栅串焊、串焊后过程 EL、视觉叠层、高温真空层压、自动装框以及成品 EL 与 I-V 测试，以受控工艺支持批次一致性和规模化交付。</w:t>
      </w:r>
    </w:p>
    <w:p>
      <w:pPr>
        <w:spacing w:before="120" w:after="120" w:line="288" w:lineRule="auto"/>
        <w:ind w:left="0"/>
        <w:jc w:val="left"/>
      </w:pPr>
      <w:r>
        <w:rPr>
          <w:rFonts w:eastAsia="等线" w:ascii="Arial" w:cs="Arial" w:hAnsi="Arial"/>
          <w:sz w:val="22"/>
        </w:rPr>
        <w:t>非标玻璃组件采用半自动化与人工协同生产，根据产品尺寸和结构要求完成切片、串焊、叠层、层压前 EL 初检、层压、削边、装框以及成品 EL 与 I-V 测试，支持从样品验证到批量导入。</w:t>
      </w:r>
    </w:p>
    <w:p>
      <w:pPr>
        <w:spacing w:before="120" w:after="120" w:line="288" w:lineRule="auto"/>
        <w:ind w:left="0"/>
        <w:jc w:val="left"/>
      </w:pPr>
      <w:r>
        <w:rPr>
          <w:rFonts w:eastAsia="等线" w:ascii="Arial" w:cs="Arial" w:hAnsi="Arial"/>
          <w:sz w:val="22"/>
        </w:rPr>
        <w:t>Callsun 具备线材、铝合金边框和注塑件的配套制造能力，为产品连接、运输防护和装配一致性提供支持。</w:t>
      </w:r>
    </w:p>
    <w:p>
      <w:pPr>
        <w:spacing w:before="120" w:after="120" w:line="288" w:lineRule="auto"/>
        <w:ind w:left="0"/>
        <w:jc w:val="left"/>
      </w:pPr>
      <w:r>
        <w:rPr>
          <w:rFonts w:eastAsia="等线" w:ascii="Arial" w:cs="Arial" w:hAnsi="Arial"/>
          <w:sz w:val="22"/>
        </w:rPr>
        <w:t>Supported by a manufacturing base of approximately 592,000 square feet (55,000 square meters), Callsun operates fully automated production for standard modules alongside flexible semi-automated manufacturing for custom modules.</w:t>
      </w:r>
    </w:p>
    <w:p>
      <w:pPr>
        <w:spacing w:before="120" w:after="120" w:line="288" w:lineRule="auto"/>
        <w:ind w:left="0"/>
        <w:jc w:val="left"/>
      </w:pPr>
      <w:r>
        <w:rPr>
          <w:rFonts w:eastAsia="等线" w:ascii="Arial" w:cs="Arial" w:hAnsi="Arial"/>
          <w:sz w:val="22"/>
        </w:rPr>
        <w:t>Standard modules are produced through fully automated processes covering non-destructive cell cutting, multi-busbar string welding, post-welding in-process EL inspection, vision-guided layup, controlled high-temperature vacuum lamination, automated framing, and final EL and I-V testing. These controlled processes support batch consistency and volume delivery.</w:t>
      </w:r>
    </w:p>
    <w:p>
      <w:pPr>
        <w:spacing w:before="120" w:after="120" w:line="288" w:lineRule="auto"/>
        <w:ind w:left="0"/>
        <w:jc w:val="left"/>
      </w:pPr>
      <w:r>
        <w:rPr>
          <w:rFonts w:eastAsia="等线" w:ascii="Arial" w:cs="Arial" w:hAnsi="Arial"/>
          <w:sz w:val="22"/>
        </w:rPr>
        <w:t>Custom glass modules combine semi-automated production with manual operations. Based on product dimensions and structural requirements, the process covers cell cutting, string welding, layup, pre-lamination EL inspection, lamination, edge trimming, framing, and final EL and I-V testing, supporting the transition from sample validation to volume production.</w:t>
      </w:r>
    </w:p>
    <w:p>
      <w:pPr>
        <w:spacing w:before="120" w:after="120" w:line="288" w:lineRule="auto"/>
        <w:ind w:left="0"/>
        <w:jc w:val="left"/>
      </w:pPr>
      <w:r>
        <w:rPr>
          <w:rFonts w:eastAsia="等线" w:ascii="Arial" w:cs="Arial" w:hAnsi="Arial"/>
          <w:sz w:val="22"/>
        </w:rPr>
        <w:t>Callsun also manufactures cable assemblies, aluminum frames, and injection-molded parts to support connection reliability, shipping protection, and assembly consistency.</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 w:id="1"/>
      <w:r>
        <w:rPr>
          <w:rFonts w:eastAsia="等线" w:ascii="Arial" w:cs="Arial" w:hAnsi="Arial"/>
          <w:b w:val="true"/>
          <w:sz w:val="30"/>
        </w:rPr>
        <w:t>标准光伏组件规模制造，非标光伏组件工程适配</w:t>
      </w:r>
      <w:bookmarkEnd w:id="1"/>
    </w:p>
    <w:p>
      <w:pPr>
        <w:spacing w:before="120" w:after="120" w:line="288" w:lineRule="auto"/>
        <w:ind w:left="0"/>
        <w:jc w:val="left"/>
      </w:pPr>
      <w:r>
        <w:rPr>
          <w:rFonts w:eastAsia="等线" w:ascii="Arial" w:cs="Arial" w:hAnsi="Arial"/>
          <w:b w:val="true"/>
          <w:sz w:val="22"/>
        </w:rPr>
        <w:t>Standard PV Modules at Scale. Custom Modules Engineered to Fit.</w:t>
      </w:r>
    </w:p>
    <w:p>
      <w:pPr>
        <w:spacing w:before="120" w:after="120" w:line="288" w:lineRule="auto"/>
        <w:ind w:left="0"/>
        <w:jc w:val="left"/>
      </w:pPr>
      <w:r>
        <w:rPr>
          <w:rFonts w:eastAsia="等线" w:ascii="Arial" w:cs="Arial" w:hAnsi="Arial"/>
          <w:b w:val="true"/>
          <w:sz w:val="22"/>
        </w:rPr>
        <w:t>标准光伏组件</w:t>
      </w:r>
    </w:p>
    <w:p>
      <w:pPr>
        <w:spacing w:before="120" w:after="120" w:line="288" w:lineRule="auto"/>
        <w:ind w:left="0"/>
        <w:jc w:val="left"/>
      </w:pPr>
      <w:r>
        <w:rPr>
          <w:rFonts w:eastAsia="等线" w:ascii="Arial" w:cs="Arial" w:hAnsi="Arial"/>
          <w:sz w:val="22"/>
        </w:rPr>
        <w:t>标准组件覆盖 450W、580W、620W、720W 等功率等级，可根据家庭屋顶、分布式光伏、离网系统及小型工商业项目的安装条件进行选型。更高的单位面积输出有助于在组件数量或安装面积受限时提高系统装机容量。</w:t>
      </w:r>
    </w:p>
    <w:p>
      <w:pPr>
        <w:spacing w:before="120" w:after="120" w:line="288" w:lineRule="auto"/>
        <w:ind w:left="0"/>
        <w:jc w:val="left"/>
      </w:pPr>
      <w:r>
        <w:rPr>
          <w:rFonts w:eastAsia="等线" w:ascii="Arial" w:cs="Arial" w:hAnsi="Arial"/>
          <w:b w:val="true"/>
          <w:sz w:val="22"/>
        </w:rPr>
        <w:t>Standard PV Modules</w:t>
      </w:r>
    </w:p>
    <w:p>
      <w:pPr>
        <w:spacing w:before="120" w:after="120" w:line="288" w:lineRule="auto"/>
        <w:ind w:left="0"/>
        <w:jc w:val="left"/>
      </w:pPr>
      <w:r>
        <w:rPr>
          <w:rFonts w:eastAsia="等线" w:ascii="Arial" w:cs="Arial" w:hAnsi="Arial"/>
          <w:sz w:val="22"/>
        </w:rPr>
        <w:t>Our standard module portfolio covers 450W, 580W, 620W, and 720W power classes, with options for residential rooftops, distributed PV, off-grid systems, and small commercial and industrial projects. Higher power density can increase installed capacity where module count or available area is limited.</w:t>
      </w:r>
    </w:p>
    <w:p>
      <w:pPr>
        <w:spacing w:before="120" w:after="120" w:line="288" w:lineRule="auto"/>
        <w:ind w:left="0"/>
        <w:jc w:val="left"/>
      </w:pPr>
      <w:r>
        <w:rPr>
          <w:rFonts w:eastAsia="等线" w:ascii="Arial" w:cs="Arial" w:hAnsi="Arial"/>
          <w:b w:val="true"/>
          <w:color w:val="8f959e"/>
          <w:sz w:val="22"/>
          <w:shd w:fill="f2f3f5"/>
        </w:rPr>
        <w:t>信息标签：</w:t>
      </w:r>
      <w:r>
        <w:rPr>
          <w:rFonts w:eastAsia="等线" w:ascii="Arial" w:cs="Arial" w:hAnsi="Arial"/>
          <w:color w:val="8f959e"/>
          <w:sz w:val="22"/>
          <w:shd w:fill="f2f3f5"/>
        </w:rPr>
        <w:t xml:space="preserve"> 高功率密度｜批次一致性｜规模化交付</w:t>
      </w:r>
    </w:p>
    <w:p>
      <w:pPr>
        <w:spacing w:before="120" w:after="120" w:line="288" w:lineRule="auto"/>
        <w:ind w:left="0"/>
        <w:jc w:val="left"/>
      </w:pPr>
      <w:r>
        <w:rPr>
          <w:rFonts w:eastAsia="等线" w:ascii="Arial" w:cs="Arial" w:hAnsi="Arial"/>
          <w:b w:val="true"/>
          <w:sz w:val="22"/>
        </w:rPr>
        <w:t>Key Tags:</w:t>
      </w:r>
      <w:r>
        <w:rPr>
          <w:rFonts w:eastAsia="等线" w:ascii="Arial" w:cs="Arial" w:hAnsi="Arial"/>
          <w:sz w:val="22"/>
        </w:rPr>
        <w:t xml:space="preserve"> High Power Density｜Batch Consistency｜Reliable Volume Supply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非标光伏组件</w:t>
      </w:r>
    </w:p>
    <w:p>
      <w:pPr>
        <w:spacing w:before="120" w:after="120" w:line="288" w:lineRule="auto"/>
        <w:ind w:left="0"/>
        <w:jc w:val="left"/>
      </w:pPr>
      <w:r>
        <w:rPr>
          <w:rFonts w:eastAsia="等线" w:ascii="Arial" w:cs="Arial" w:hAnsi="Arial"/>
          <w:sz w:val="22"/>
        </w:rPr>
        <w:t>针对房车、车顶、阳台、离网设备和其他特殊安装环境，Callsun 提供 180W、200W、215W 等代表性非标组件，并可根据安装空间、目标功率、组件尺寸、产品结构和接口要求开展方案评估、样品试制与生产验证。</w:t>
      </w:r>
    </w:p>
    <w:p>
      <w:pPr>
        <w:spacing w:before="120" w:after="120" w:line="288" w:lineRule="auto"/>
        <w:ind w:left="0"/>
        <w:jc w:val="left"/>
      </w:pPr>
      <w:r>
        <w:rPr>
          <w:rFonts w:eastAsia="等线" w:ascii="Arial" w:cs="Arial" w:hAnsi="Arial"/>
          <w:b w:val="true"/>
          <w:sz w:val="22"/>
        </w:rPr>
        <w:t>Custom PV Modules</w:t>
      </w:r>
    </w:p>
    <w:p>
      <w:pPr>
        <w:spacing w:before="120" w:after="120" w:line="288" w:lineRule="auto"/>
        <w:ind w:left="0"/>
        <w:jc w:val="left"/>
      </w:pPr>
      <w:r>
        <w:rPr>
          <w:rFonts w:eastAsia="等线" w:ascii="Arial" w:cs="Arial" w:hAnsi="Arial"/>
          <w:sz w:val="22"/>
        </w:rPr>
        <w:t>For RVs, vehicle rooftops, balconies, off-grid equipment, and other special installation conditions, Callsun offers representative custom modules in 180W, 200W, and 215W power classes. Based on available space, target output, module dimensions, product structure, and interface requirements, we support solution assessment, sample trials, and production validation.</w:t>
      </w:r>
    </w:p>
    <w:p>
      <w:pPr>
        <w:spacing w:before="120" w:after="120" w:line="288" w:lineRule="auto"/>
        <w:ind w:left="0"/>
        <w:jc w:val="left"/>
      </w:pPr>
      <w:r>
        <w:rPr>
          <w:rFonts w:eastAsia="等线" w:ascii="Arial" w:cs="Arial" w:hAnsi="Arial"/>
          <w:b w:val="true"/>
          <w:color w:val="8f959e"/>
          <w:sz w:val="22"/>
          <w:shd w:fill="f2f3f5"/>
        </w:rPr>
        <w:t>信息标签：</w:t>
      </w:r>
      <w:r>
        <w:rPr>
          <w:rFonts w:eastAsia="等线" w:ascii="Arial" w:cs="Arial" w:hAnsi="Arial"/>
          <w:color w:val="8f959e"/>
          <w:sz w:val="22"/>
          <w:shd w:fill="f2f3f5"/>
        </w:rPr>
        <w:t xml:space="preserve"> 尺寸适配｜结构开发｜连接兼容性</w:t>
      </w:r>
    </w:p>
    <w:p>
      <w:pPr>
        <w:spacing w:before="120" w:after="120" w:line="288" w:lineRule="auto"/>
        <w:ind w:left="0"/>
        <w:jc w:val="left"/>
      </w:pPr>
      <w:r>
        <w:rPr>
          <w:rFonts w:eastAsia="等线" w:ascii="Arial" w:cs="Arial" w:hAnsi="Arial"/>
          <w:b w:val="true"/>
          <w:sz w:val="22"/>
        </w:rPr>
        <w:t>Key Tags:</w:t>
      </w:r>
      <w:r>
        <w:rPr>
          <w:rFonts w:eastAsia="等线" w:ascii="Arial" w:cs="Arial" w:hAnsi="Arial"/>
          <w:sz w:val="22"/>
        </w:rPr>
        <w:t xml:space="preserve"> Size Adaptation｜Structural Engineering｜Connection Compatibility</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可验证的质量，贯穿每个环节</w:t>
      </w:r>
      <w:bookmarkEnd w:id="2"/>
    </w:p>
    <w:p>
      <w:pPr>
        <w:spacing w:before="120" w:after="120" w:line="288" w:lineRule="auto"/>
        <w:ind w:left="0"/>
        <w:jc w:val="left"/>
      </w:pPr>
      <w:r>
        <w:rPr>
          <w:rFonts w:eastAsia="等线" w:ascii="Arial" w:cs="Arial" w:hAnsi="Arial"/>
          <w:b w:val="true"/>
          <w:sz w:val="22"/>
        </w:rPr>
        <w:t>Verified Quality at Every Stage</w:t>
      </w:r>
    </w:p>
    <w:p>
      <w:pPr>
        <w:spacing w:before="120" w:after="120" w:line="288" w:lineRule="auto"/>
        <w:ind w:left="0"/>
        <w:jc w:val="left"/>
      </w:pPr>
      <w:r>
        <w:rPr>
          <w:rFonts w:eastAsia="等线" w:ascii="Arial" w:cs="Arial" w:hAnsi="Arial"/>
          <w:sz w:val="22"/>
        </w:rPr>
        <w:t>Callsun 的质量控制覆盖原材料、半成品、关键工序和成品放行。根据产品与产线安排，串焊后或层压前进行过程 EL 检测，检查电池片隐裂和焊接异常；层压、装框后的成品 EL 复检再次确认电池片及内部连接状态。</w:t>
      </w:r>
    </w:p>
    <w:p>
      <w:pPr>
        <w:spacing w:before="120" w:after="120" w:line="288" w:lineRule="auto"/>
        <w:ind w:left="0"/>
        <w:jc w:val="left"/>
      </w:pPr>
      <w:r>
        <w:rPr>
          <w:rFonts w:eastAsia="等线" w:ascii="Arial" w:cs="Arial" w:hAnsi="Arial"/>
          <w:sz w:val="22"/>
        </w:rPr>
        <w:t>模拟太阳光 I-V 测试记录功率、电压、电流和 I-V 曲线，用于确认组件的功率等级和出厂要求。产品通过外观、电气安全和出货检查后进入包装交付。可靠性测试数据用于材料评估、样品开发、工艺验证和量产改进。</w:t>
      </w:r>
    </w:p>
    <w:p>
      <w:pPr>
        <w:spacing w:before="120" w:after="120" w:line="288" w:lineRule="auto"/>
        <w:ind w:left="0"/>
        <w:jc w:val="left"/>
      </w:pPr>
      <w:r>
        <w:rPr>
          <w:rFonts w:eastAsia="等线" w:ascii="Arial" w:cs="Arial" w:hAnsi="Arial"/>
          <w:sz w:val="22"/>
        </w:rPr>
        <w:t>Callsun quality control covers raw materials, semi-finished products, critical process steps, and final product release. Depending on the product and production line, in-process EL inspection is performed after string welding or before lamination to detect hidden cell cracks and soldering abnormalities. Final EL inspection after lamination and framing rechecks cell and interconnection conditions.</w:t>
      </w:r>
    </w:p>
    <w:p>
      <w:pPr>
        <w:spacing w:before="120" w:after="120" w:line="288" w:lineRule="auto"/>
        <w:ind w:left="0"/>
        <w:jc w:val="left"/>
      </w:pPr>
      <w:r>
        <w:rPr>
          <w:rFonts w:eastAsia="等线" w:ascii="Arial" w:cs="Arial" w:hAnsi="Arial"/>
          <w:sz w:val="22"/>
        </w:rPr>
        <w:t>Simulated-sunlight I-V testing records power, voltage, current, and I-V curves to verify the rated power class and factory release criteria. Products proceed to packaging only after visual, electrical safety, and outgoing inspections. Reliability test data supports material evaluation, sample development, process validation, and production improvement.</w:t>
      </w:r>
    </w:p>
    <w:p>
      <w:pPr>
        <w:spacing w:before="120" w:after="120" w:line="288" w:lineRule="auto"/>
        <w:ind w:left="0"/>
        <w:jc w:val="left"/>
      </w:pPr>
      <w:r>
        <w:rPr>
          <w:rFonts w:eastAsia="等线" w:ascii="Arial" w:cs="Arial" w:hAnsi="Arial"/>
          <w:color w:val="8f959e"/>
          <w:sz w:val="22"/>
          <w:shd w:fill="f2f3f5"/>
        </w:rPr>
        <w:t>设备图片图注（薛嘉文有图）</w:t>
      </w:r>
    </w:p>
    <w:p>
      <w:pPr>
        <w:numPr>
          <w:numId w:val="9"/>
        </w:numPr>
        <w:spacing w:before="120" w:after="120" w:line="288" w:lineRule="auto"/>
        <w:ind w:left="0"/>
        <w:jc w:val="left"/>
      </w:pPr>
      <w:r>
        <w:rPr>
          <w:rFonts w:eastAsia="等线" w:ascii="Arial" w:cs="Arial" w:hAnsi="Arial"/>
          <w:sz w:val="22"/>
        </w:rPr>
        <w:t>EL 检测</w:t>
      </w:r>
    </w:p>
    <w:p>
      <w:pPr>
        <w:numPr>
          <w:numId w:val="10"/>
        </w:numPr>
        <w:spacing w:before="120" w:after="120" w:line="288" w:lineRule="auto"/>
        <w:ind w:left="0"/>
        <w:jc w:val="left"/>
      </w:pPr>
      <w:r>
        <w:rPr>
          <w:rFonts w:eastAsia="等线" w:ascii="Arial" w:cs="Arial" w:hAnsi="Arial"/>
          <w:sz w:val="22"/>
        </w:rPr>
        <w:t>高精度实验室级太阳模拟器</w:t>
      </w:r>
    </w:p>
    <w:p>
      <w:pPr>
        <w:numPr>
          <w:numId w:val="11"/>
        </w:numPr>
        <w:spacing w:before="120" w:after="120" w:line="288" w:lineRule="auto"/>
        <w:ind w:left="0"/>
        <w:jc w:val="left"/>
      </w:pPr>
      <w:r>
        <w:rPr>
          <w:rFonts w:eastAsia="等线" w:ascii="Arial" w:cs="Arial" w:hAnsi="Arial"/>
          <w:sz w:val="22"/>
        </w:rPr>
        <w:t>高低温交变湿热试验箱</w:t>
      </w:r>
    </w:p>
    <w:p>
      <w:pPr>
        <w:numPr>
          <w:numId w:val="12"/>
        </w:numPr>
        <w:spacing w:before="120" w:after="120" w:line="288" w:lineRule="auto"/>
        <w:ind w:left="0"/>
        <w:jc w:val="left"/>
      </w:pPr>
      <w:r>
        <w:rPr>
          <w:rFonts w:eastAsia="等线" w:ascii="Arial" w:cs="Arial" w:hAnsi="Arial"/>
          <w:sz w:val="22"/>
        </w:rPr>
        <w:t>紫外老化试验箱</w:t>
      </w:r>
    </w:p>
    <w:p>
      <w:pPr>
        <w:numPr>
          <w:numId w:val="13"/>
        </w:numPr>
        <w:spacing w:before="120" w:after="120" w:line="288" w:lineRule="auto"/>
        <w:ind w:left="0"/>
        <w:jc w:val="left"/>
      </w:pPr>
      <w:r>
        <w:rPr>
          <w:rFonts w:eastAsia="等线" w:ascii="Arial" w:cs="Arial" w:hAnsi="Arial"/>
          <w:sz w:val="22"/>
        </w:rPr>
        <w:t>静态机械载荷测试台</w:t>
      </w:r>
    </w:p>
    <w:p>
      <w:pPr>
        <w:numPr>
          <w:numId w:val="14"/>
        </w:numPr>
        <w:spacing w:before="120" w:after="120" w:line="288" w:lineRule="auto"/>
        <w:ind w:left="0"/>
        <w:jc w:val="left"/>
      </w:pPr>
      <w:r>
        <w:rPr>
          <w:rFonts w:eastAsia="等线" w:ascii="Arial" w:cs="Arial" w:hAnsi="Arial"/>
          <w:sz w:val="22"/>
        </w:rPr>
        <w:t>耐压与绝缘测试仪</w:t>
      </w:r>
    </w:p>
    <w:p>
      <w:pPr>
        <w:numPr>
          <w:numId w:val="15"/>
        </w:numPr>
        <w:spacing w:before="120" w:after="120" w:line="288" w:lineRule="auto"/>
        <w:ind w:left="0"/>
        <w:jc w:val="left"/>
      </w:pPr>
      <w:r>
        <w:rPr>
          <w:rFonts w:eastAsia="等线" w:ascii="Arial" w:cs="Arial" w:hAnsi="Arial"/>
          <w:sz w:val="22"/>
        </w:rPr>
        <w:t>EL Testing</w:t>
      </w:r>
    </w:p>
    <w:p>
      <w:pPr>
        <w:numPr>
          <w:numId w:val="16"/>
        </w:numPr>
        <w:spacing w:before="120" w:after="120" w:line="288" w:lineRule="auto"/>
        <w:ind w:left="0"/>
        <w:jc w:val="left"/>
      </w:pPr>
      <w:r>
        <w:rPr>
          <w:rFonts w:eastAsia="等线" w:ascii="Arial" w:cs="Arial" w:hAnsi="Arial"/>
          <w:sz w:val="22"/>
        </w:rPr>
        <w:t>High-Precision Laboratory-Grade Solar Simulator</w:t>
      </w:r>
    </w:p>
    <w:p>
      <w:pPr>
        <w:numPr>
          <w:numId w:val="17"/>
        </w:numPr>
        <w:spacing w:before="120" w:after="120" w:line="288" w:lineRule="auto"/>
        <w:ind w:left="0"/>
        <w:jc w:val="left"/>
      </w:pPr>
      <w:r>
        <w:rPr>
          <w:rFonts w:eastAsia="等线" w:ascii="Arial" w:cs="Arial" w:hAnsi="Arial"/>
          <w:sz w:val="22"/>
        </w:rPr>
        <w:t>Temperature and Humidity Test Chamber</w:t>
      </w:r>
    </w:p>
    <w:p>
      <w:pPr>
        <w:numPr>
          <w:numId w:val="18"/>
        </w:numPr>
        <w:spacing w:before="120" w:after="120" w:line="288" w:lineRule="auto"/>
        <w:ind w:left="0"/>
        <w:jc w:val="left"/>
      </w:pPr>
      <w:r>
        <w:rPr>
          <w:rFonts w:eastAsia="等线" w:ascii="Arial" w:cs="Arial" w:hAnsi="Arial"/>
          <w:sz w:val="22"/>
        </w:rPr>
        <w:t>UV Aging Test Chamber</w:t>
      </w:r>
    </w:p>
    <w:p>
      <w:pPr>
        <w:numPr>
          <w:numId w:val="19"/>
        </w:numPr>
        <w:spacing w:before="120" w:after="120" w:line="288" w:lineRule="auto"/>
        <w:ind w:left="0"/>
        <w:jc w:val="left"/>
      </w:pPr>
      <w:r>
        <w:rPr>
          <w:rFonts w:eastAsia="等线" w:ascii="Arial" w:cs="Arial" w:hAnsi="Arial"/>
          <w:sz w:val="22"/>
        </w:rPr>
        <w:t>Static Mechanical Load Test Bench</w:t>
      </w:r>
    </w:p>
    <w:p>
      <w:pPr>
        <w:numPr>
          <w:numId w:val="20"/>
        </w:numPr>
        <w:spacing w:before="120" w:after="120" w:line="288" w:lineRule="auto"/>
        <w:ind w:left="0"/>
        <w:jc w:val="left"/>
      </w:pPr>
      <w:r>
        <w:rPr>
          <w:rFonts w:eastAsia="等线" w:ascii="Arial" w:cs="Arial" w:hAnsi="Arial"/>
          <w:sz w:val="22"/>
        </w:rPr>
        <w:t>Withstand Voltage and Insulation Resistance Tester</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全球供应，支持长期渠道合作</w:t>
      </w:r>
      <w:bookmarkEnd w:id="3"/>
    </w:p>
    <w:p>
      <w:pPr>
        <w:spacing w:before="120" w:after="120" w:line="288" w:lineRule="auto"/>
        <w:ind w:left="0"/>
        <w:jc w:val="left"/>
      </w:pPr>
      <w:r>
        <w:rPr>
          <w:rFonts w:eastAsia="等线" w:ascii="Arial" w:cs="Arial" w:hAnsi="Arial"/>
          <w:b w:val="true"/>
          <w:sz w:val="22"/>
        </w:rPr>
        <w:t>Global Supply for Long-Term Channel Partnerships</w:t>
      </w:r>
    </w:p>
    <w:p>
      <w:pPr>
        <w:spacing w:before="120" w:after="120" w:line="288" w:lineRule="auto"/>
        <w:ind w:left="0"/>
        <w:jc w:val="left"/>
      </w:pPr>
      <w:r>
        <w:rPr>
          <w:rFonts w:eastAsia="等线" w:ascii="Arial" w:cs="Arial" w:hAnsi="Arial"/>
          <w:sz w:val="22"/>
        </w:rPr>
        <w:t>Callsun 的制造与供应网络覆盖中国、越南、印度尼西亚、沙特阿拉伯等区域，并通过美国、英国、德国、澳大利亚、加拿大和日本等市场的仓储与物流资源支持当地交付。多区域协同提高了供应链应对市场、贸易和物流变化的灵活性。</w:t>
      </w:r>
    </w:p>
    <w:p>
      <w:pPr>
        <w:spacing w:before="120" w:after="120" w:line="288" w:lineRule="auto"/>
        <w:ind w:left="0"/>
        <w:jc w:val="left"/>
      </w:pPr>
      <w:r>
        <w:rPr>
          <w:rFonts w:eastAsia="等线" w:ascii="Arial" w:cs="Arial" w:hAnsi="Arial"/>
          <w:sz w:val="22"/>
        </w:rPr>
        <w:t>Callsun's manufacturing and supply network spans China, Vietnam, Indonesia, Saudi Arabia, and other regions, with warehousing and logistics resources supporting local delivery in the United States, the United Kingdom, Germany, Australia, Canada, and Japan. This multi-regional setup gives the supply chain greater flexibility in responding to market, trade, and logistics changes.</w:t>
      </w:r>
    </w:p>
    <w:p>
      <w:pPr>
        <w:spacing w:before="120" w:after="120" w:line="288" w:lineRule="auto"/>
        <w:ind w:left="0"/>
        <w:jc w:val="left"/>
      </w:pPr>
      <w:r>
        <w:rPr>
          <w:rFonts w:eastAsia="等线" w:ascii="Arial" w:cs="Arial" w:hAnsi="Arial"/>
          <w:color w:val="8f959e"/>
          <w:sz w:val="22"/>
          <w:shd w:fill="f2f3f5"/>
        </w:rPr>
        <w:t>合作支持信息卡</w:t>
      </w:r>
    </w:p>
    <w:p>
      <w:pPr>
        <w:numPr>
          <w:numId w:val="21"/>
        </w:numPr>
        <w:spacing w:before="120" w:after="120" w:line="288" w:lineRule="auto"/>
        <w:ind w:left="0"/>
        <w:jc w:val="left"/>
      </w:pPr>
      <w:r>
        <w:rPr>
          <w:rFonts w:eastAsia="等线" w:ascii="Arial" w:cs="Arial" w:hAnsi="Arial"/>
          <w:b w:val="true"/>
          <w:sz w:val="22"/>
        </w:rPr>
        <w:t>经销商与批发客户：</w:t>
      </w:r>
      <w:r>
        <w:rPr>
          <w:rFonts w:eastAsia="等线" w:ascii="Arial" w:cs="Arial" w:hAnsi="Arial"/>
          <w:sz w:val="22"/>
        </w:rPr>
        <w:t xml:space="preserve"> 产品组合、规格资料和市场素材支持</w:t>
      </w:r>
    </w:p>
    <w:p>
      <w:pPr>
        <w:numPr>
          <w:numId w:val="22"/>
        </w:numPr>
        <w:spacing w:before="120" w:after="120" w:line="288" w:lineRule="auto"/>
        <w:ind w:left="0"/>
        <w:jc w:val="left"/>
      </w:pPr>
      <w:r>
        <w:rPr>
          <w:rFonts w:eastAsia="等线" w:ascii="Arial" w:cs="Arial" w:hAnsi="Arial"/>
          <w:b w:val="true"/>
          <w:sz w:val="22"/>
        </w:rPr>
        <w:t>安装商与系统服务商：</w:t>
      </w:r>
      <w:r>
        <w:rPr>
          <w:rFonts w:eastAsia="等线" w:ascii="Arial" w:cs="Arial" w:hAnsi="Arial"/>
          <w:sz w:val="22"/>
        </w:rPr>
        <w:t xml:space="preserve"> 尺寸、电气参数、兼容性和安装条件确认</w:t>
      </w:r>
    </w:p>
    <w:p>
      <w:pPr>
        <w:numPr>
          <w:numId w:val="23"/>
        </w:numPr>
        <w:spacing w:before="120" w:after="120" w:line="288" w:lineRule="auto"/>
        <w:ind w:left="0"/>
        <w:jc w:val="left"/>
      </w:pPr>
      <w:r>
        <w:rPr>
          <w:rFonts w:eastAsia="等线" w:ascii="Arial" w:cs="Arial" w:hAnsi="Arial"/>
          <w:b w:val="true"/>
          <w:sz w:val="22"/>
        </w:rPr>
        <w:t>设备厂商与项目客户：</w:t>
      </w:r>
      <w:r>
        <w:rPr>
          <w:rFonts w:eastAsia="等线" w:ascii="Arial" w:cs="Arial" w:hAnsi="Arial"/>
          <w:sz w:val="22"/>
        </w:rPr>
        <w:t xml:space="preserve"> 非标可行性评估、样品试制和批量导入</w:t>
      </w:r>
    </w:p>
    <w:p>
      <w:pPr>
        <w:numPr>
          <w:numId w:val="24"/>
        </w:numPr>
        <w:spacing w:before="120" w:after="120" w:line="288" w:lineRule="auto"/>
        <w:ind w:left="0"/>
        <w:jc w:val="left"/>
      </w:pPr>
      <w:r>
        <w:rPr>
          <w:rFonts w:eastAsia="等线" w:ascii="Arial" w:cs="Arial" w:hAnsi="Arial"/>
          <w:b w:val="true"/>
          <w:sz w:val="22"/>
        </w:rPr>
        <w:t>Distributors and Wholesalers:</w:t>
      </w:r>
      <w:r>
        <w:rPr>
          <w:rFonts w:eastAsia="等线" w:ascii="Arial" w:cs="Arial" w:hAnsi="Arial"/>
          <w:sz w:val="22"/>
        </w:rPr>
        <w:t xml:space="preserve"> Product portfolio planning, specification documents, and marketing materials</w:t>
      </w:r>
    </w:p>
    <w:p>
      <w:pPr>
        <w:numPr>
          <w:numId w:val="25"/>
        </w:numPr>
        <w:spacing w:before="120" w:after="120" w:line="288" w:lineRule="auto"/>
        <w:ind w:left="0"/>
        <w:jc w:val="left"/>
      </w:pPr>
      <w:r>
        <w:rPr>
          <w:rFonts w:eastAsia="等线" w:ascii="Arial" w:cs="Arial" w:hAnsi="Arial"/>
          <w:b w:val="true"/>
          <w:sz w:val="22"/>
        </w:rPr>
        <w:t>Installers and System Providers:</w:t>
      </w:r>
      <w:r>
        <w:rPr>
          <w:rFonts w:eastAsia="等线" w:ascii="Arial" w:cs="Arial" w:hAnsi="Arial"/>
          <w:sz w:val="22"/>
        </w:rPr>
        <w:t xml:space="preserve"> Confirmation of dimensions, electrical parameters, compatibility, and installation conditions</w:t>
      </w:r>
    </w:p>
    <w:p>
      <w:pPr>
        <w:numPr>
          <w:numId w:val="26"/>
        </w:numPr>
        <w:spacing w:before="120" w:after="120" w:line="288" w:lineRule="auto"/>
        <w:ind w:left="0"/>
        <w:jc w:val="left"/>
      </w:pPr>
      <w:r>
        <w:rPr>
          <w:rFonts w:eastAsia="等线" w:ascii="Arial" w:cs="Arial" w:hAnsi="Arial"/>
          <w:b w:val="true"/>
          <w:sz w:val="22"/>
        </w:rPr>
        <w:t>Equipment Manufacturers and Project Buyers:</w:t>
      </w:r>
      <w:r>
        <w:rPr>
          <w:rFonts w:eastAsia="等线" w:ascii="Arial" w:cs="Arial" w:hAnsi="Arial"/>
          <w:sz w:val="22"/>
        </w:rPr>
        <w:t xml:space="preserve"> Custom feasibility assessment, sample trials, and transition to volume production</w:t>
      </w:r>
    </w:p>
    <w:p>
      <w:pPr>
        <w:spacing w:before="120" w:after="120" w:line="288" w:lineRule="auto"/>
        <w:ind w:left="0"/>
        <w:jc w:val="left"/>
      </w:pPr>
      <w:r>
        <w:rPr>
          <w:rFonts w:eastAsia="等线" w:ascii="Arial" w:cs="Arial" w:hAnsi="Arial"/>
          <w:color w:val="8f959e"/>
          <w:sz w:val="22"/>
          <w:shd w:fill="f2f3f5"/>
        </w:rPr>
        <w:t>配图建议</w:t>
      </w:r>
    </w:p>
    <w:p>
      <w:pPr>
        <w:spacing w:before="120" w:after="120" w:line="288" w:lineRule="auto"/>
        <w:ind w:left="0"/>
        <w:jc w:val="left"/>
      </w:pPr>
      <w:r>
        <w:rPr>
          <w:rFonts w:eastAsia="等线" w:ascii="Arial" w:cs="Arial" w:hAnsi="Arial"/>
          <w:sz w:val="22"/>
        </w:rPr>
        <w:t>使用世界地图标注制造供应区域及仓储物流覆盖市场。地图标注应区分制造、仓储和物流支持，不使用同一种图标笼统表示。</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从可靠组件，到真实应用</w:t>
      </w:r>
      <w:bookmarkEnd w:id="4"/>
    </w:p>
    <w:p>
      <w:pPr>
        <w:spacing w:before="120" w:after="120" w:line="288" w:lineRule="auto"/>
        <w:ind w:left="0"/>
        <w:jc w:val="left"/>
      </w:pPr>
      <w:r>
        <w:rPr>
          <w:rFonts w:eastAsia="等线" w:ascii="Arial" w:cs="Arial" w:hAnsi="Arial"/>
          <w:b w:val="true"/>
          <w:sz w:val="22"/>
        </w:rPr>
        <w:t>From Reliable Modules to Real-World Applications</w:t>
      </w:r>
    </w:p>
    <w:p>
      <w:pPr>
        <w:spacing w:before="120" w:after="120" w:line="288" w:lineRule="auto"/>
        <w:ind w:left="0"/>
        <w:jc w:val="left"/>
      </w:pPr>
      <w:r>
        <w:rPr>
          <w:rFonts w:eastAsia="等线" w:ascii="Arial" w:cs="Arial" w:hAnsi="Arial"/>
          <w:sz w:val="22"/>
        </w:rPr>
        <w:t>Callsun 以自主研发制造的光伏组件为核心，为家庭离网、分布式能源和其他独立用电场景提供太阳能系统参考配置。我们根据用电需求、安装面积、目标功率、储能容量和运行方式，匹配光伏组件、储能电池、逆变器、控制器、支架、线材及保护装置。</w:t>
      </w:r>
    </w:p>
    <w:p>
      <w:pPr>
        <w:spacing w:before="120" w:after="120" w:line="288" w:lineRule="auto"/>
        <w:ind w:left="0"/>
        <w:jc w:val="left"/>
      </w:pPr>
      <w:r>
        <w:rPr>
          <w:rFonts w:eastAsia="等线" w:ascii="Arial" w:cs="Arial" w:hAnsi="Arial"/>
          <w:sz w:val="22"/>
        </w:rPr>
        <w:t>配置过程中综合考虑日常用电量、峰值负载、光伏输入范围、充放电能力、当地日照和扩展需求。最终方案须结合当地电气规范、安装标准和现场条件，由具备相应资质的专业人员确认并安装。</w:t>
      </w:r>
    </w:p>
    <w:p>
      <w:pPr>
        <w:spacing w:before="120" w:after="120" w:line="288" w:lineRule="auto"/>
        <w:ind w:left="0"/>
        <w:jc w:val="left"/>
      </w:pPr>
      <w:r>
        <w:rPr>
          <w:rFonts w:eastAsia="等线" w:ascii="Arial" w:cs="Arial" w:hAnsi="Arial"/>
          <w:sz w:val="22"/>
        </w:rPr>
        <w:t>Built around PV modules developed and manufactured in-house by Callsun, our reference system configurations support residential off-grid, distributed energy, and other independent power applications. We match PV modules, battery storage, inverters, controllers, mounting systems, cables, and protection devices based on energy demand, available space, target output, storage capacity, and operating mode.</w:t>
      </w:r>
    </w:p>
    <w:p>
      <w:pPr>
        <w:spacing w:before="120" w:after="120" w:line="288" w:lineRule="auto"/>
        <w:ind w:left="0"/>
        <w:jc w:val="left"/>
      </w:pPr>
      <w:r>
        <w:rPr>
          <w:rFonts w:eastAsia="等线" w:ascii="Arial" w:cs="Arial" w:hAnsi="Arial"/>
          <w:sz w:val="22"/>
        </w:rPr>
        <w:t>Each configuration considers daily energy consumption, peak load, PV input range, charge and discharge capability, local solar resources, and future expansion needs. Final selection and installation must be confirmed by qualified professionals in accordance with local electrical codes, installation standards, and site conditions.</w:t>
      </w:r>
    </w:p>
    <w:p>
      <w:pPr>
        <w:spacing w:before="120" w:after="120" w:line="288" w:lineRule="auto"/>
        <w:ind w:left="0"/>
        <w:jc w:val="left"/>
      </w:pPr>
      <w:r>
        <w:rPr>
          <w:rFonts w:eastAsia="等线" w:ascii="Arial" w:cs="Arial" w:hAnsi="Arial"/>
          <w:color w:val="8f959e"/>
          <w:sz w:val="22"/>
          <w:shd w:fill="f2f3f5"/>
        </w:rPr>
        <w:t>场景图注</w:t>
      </w:r>
    </w:p>
    <w:p>
      <w:pPr>
        <w:spacing w:before="120" w:after="120" w:line="288" w:lineRule="auto"/>
        <w:ind w:left="0"/>
        <w:jc w:val="left"/>
      </w:pPr>
      <w:r>
        <w:rPr>
          <w:rFonts w:eastAsia="等线" w:ascii="Arial" w:cs="Arial" w:hAnsi="Arial"/>
          <w:sz w:val="22"/>
        </w:rPr>
        <w:t>家庭光伏系统｜房车与移动场景｜阳台光伏｜离网建筑｜小型商业空间（不用都放，看页面空间）</w:t>
      </w:r>
    </w:p>
    <w:p>
      <w:pPr>
        <w:spacing w:before="120" w:after="120" w:line="288" w:lineRule="auto"/>
        <w:ind w:left="0"/>
        <w:jc w:val="left"/>
      </w:pPr>
      <w:r>
        <w:rPr>
          <w:rFonts w:eastAsia="等线" w:ascii="Arial" w:cs="Arial" w:hAnsi="Arial"/>
          <w:sz w:val="22"/>
        </w:rPr>
        <w:t>Residential Solar｜RV and Mobile Applications｜Balcony Solar｜Off-Grid Buildings｜Small Commercial Spaces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f2f3f5"/>
        </w:rPr>
        <w:t>页面收束语</w:t>
      </w:r>
    </w:p>
    <w:p>
      <w:pPr>
        <w:spacing w:before="120" w:after="120" w:line="288" w:lineRule="auto"/>
        <w:ind w:left="0"/>
        <w:jc w:val="left"/>
      </w:pPr>
      <w:r>
        <w:rPr>
          <w:rFonts w:eastAsia="等线" w:ascii="Arial" w:cs="Arial" w:hAnsi="Arial"/>
          <w:b w:val="true"/>
          <w:sz w:val="22"/>
        </w:rPr>
        <w:t>基于先进制造和可验证的品质，让有限空间产生更多能源价值。</w:t>
      </w:r>
    </w:p>
    <w:p>
      <w:pPr>
        <w:spacing w:before="120" w:after="120" w:line="288" w:lineRule="auto"/>
        <w:ind w:left="0"/>
        <w:jc w:val="left"/>
      </w:pPr>
      <w:r>
        <w:rPr>
          <w:rFonts w:eastAsia="等线" w:ascii="Arial" w:cs="Arial" w:hAnsi="Arial"/>
          <w:b w:val="true"/>
          <w:sz w:val="22"/>
        </w:rPr>
        <w:t>Built on advanced manufacturing and verified quality, Callsun helps limited space deliver greater energy value.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欢迎联系我们，讨论您的组件规格与应用需求。</w:t>
      </w:r>
    </w:p>
    <w:p>
      <w:pPr>
        <w:spacing w:before="120" w:after="120" w:line="288" w:lineRule="auto"/>
        <w:ind w:left="0"/>
        <w:jc w:val="left"/>
      </w:pPr>
      <w:r>
        <w:rPr>
          <w:rFonts w:eastAsia="等线" w:ascii="Arial" w:cs="Arial" w:hAnsi="Arial"/>
          <w:b w:val="true"/>
          <w:sz w:val="22"/>
        </w:rPr>
        <w:t>Contact us to discuss your module specifications and application requirements.</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f2f3f5"/>
        </w:rPr>
        <w:t>联系方式</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核心产品理念：</w:t>
      </w:r>
    </w:p>
    <w:p>
      <w:pPr>
        <w:spacing w:before="120" w:after="120" w:line="288" w:lineRule="auto"/>
        <w:ind w:left="0"/>
        <w:jc w:val="left"/>
      </w:pPr>
      <w:r>
        <w:rPr>
          <w:rFonts w:eastAsia="等线" w:ascii="Arial" w:cs="Arial" w:hAnsi="Arial"/>
          <w:b w:val="true"/>
          <w:sz w:val="22"/>
        </w:rPr>
        <w:t>让每一平方米可用空间，产生更大的能源价值</w:t>
      </w:r>
    </w:p>
    <w:p>
      <w:pPr>
        <w:spacing w:before="120" w:after="120" w:line="288" w:lineRule="auto"/>
        <w:ind w:left="0"/>
        <w:jc w:val="left"/>
      </w:pPr>
      <w:r>
        <w:rPr>
          <w:rFonts w:eastAsia="等线" w:ascii="Arial" w:cs="Arial" w:hAnsi="Arial"/>
          <w:b w:val="true"/>
          <w:sz w:val="22"/>
        </w:rPr>
        <w:t>Engineered for More Power in Less Space（这句话先不放 还没最终定下来）</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51434">
    <w:lvl>
      <w:numFmt w:val="bullet"/>
      <w:suff w:val="tab"/>
      <w:lvlText w:val="•"/>
      <w:rPr>
        <w:color w:val="3370ff"/>
      </w:rPr>
    </w:lvl>
  </w:abstractNum>
  <w:abstractNum w:abstractNumId="651435">
    <w:lvl>
      <w:numFmt w:val="bullet"/>
      <w:suff w:val="tab"/>
      <w:lvlText w:val="•"/>
      <w:rPr>
        <w:color w:val="3370ff"/>
      </w:rPr>
    </w:lvl>
  </w:abstractNum>
  <w:abstractNum w:abstractNumId="651436">
    <w:lvl>
      <w:numFmt w:val="bullet"/>
      <w:suff w:val="tab"/>
      <w:lvlText w:val="•"/>
      <w:rPr>
        <w:color w:val="3370ff"/>
      </w:rPr>
    </w:lvl>
  </w:abstractNum>
  <w:abstractNum w:abstractNumId="651437">
    <w:lvl>
      <w:numFmt w:val="bullet"/>
      <w:suff w:val="tab"/>
      <w:lvlText w:val="•"/>
      <w:rPr>
        <w:color w:val="3370ff"/>
      </w:rPr>
    </w:lvl>
  </w:abstractNum>
  <w:abstractNum w:abstractNumId="651438">
    <w:lvl>
      <w:numFmt w:val="bullet"/>
      <w:suff w:val="tab"/>
      <w:lvlText w:val="•"/>
      <w:rPr>
        <w:color w:val="3370ff"/>
      </w:rPr>
    </w:lvl>
  </w:abstractNum>
  <w:abstractNum w:abstractNumId="651439">
    <w:lvl>
      <w:numFmt w:val="bullet"/>
      <w:suff w:val="tab"/>
      <w:lvlText w:val="•"/>
      <w:rPr>
        <w:color w:val="3370ff"/>
      </w:rPr>
    </w:lvl>
  </w:abstractNum>
  <w:abstractNum w:abstractNumId="651440">
    <w:lvl>
      <w:numFmt w:val="bullet"/>
      <w:suff w:val="tab"/>
      <w:lvlText w:val="•"/>
      <w:rPr>
        <w:color w:val="3370ff"/>
      </w:rPr>
    </w:lvl>
  </w:abstractNum>
  <w:abstractNum w:abstractNumId="651441">
    <w:lvl>
      <w:numFmt w:val="bullet"/>
      <w:suff w:val="tab"/>
      <w:lvlText w:val="•"/>
      <w:rPr>
        <w:color w:val="3370ff"/>
      </w:rPr>
    </w:lvl>
  </w:abstractNum>
  <w:abstractNum w:abstractNumId="651442">
    <w:lvl>
      <w:numFmt w:val="bullet"/>
      <w:suff w:val="tab"/>
      <w:lvlText w:val="•"/>
      <w:rPr>
        <w:color w:val="3370ff"/>
      </w:rPr>
    </w:lvl>
  </w:abstractNum>
  <w:abstractNum w:abstractNumId="651443">
    <w:lvl>
      <w:numFmt w:val="bullet"/>
      <w:suff w:val="tab"/>
      <w:lvlText w:val="•"/>
      <w:rPr>
        <w:color w:val="3370ff"/>
      </w:rPr>
    </w:lvl>
  </w:abstractNum>
  <w:abstractNum w:abstractNumId="651444">
    <w:lvl>
      <w:numFmt w:val="bullet"/>
      <w:suff w:val="tab"/>
      <w:lvlText w:val="•"/>
      <w:rPr>
        <w:color w:val="3370ff"/>
      </w:rPr>
    </w:lvl>
  </w:abstractNum>
  <w:abstractNum w:abstractNumId="651445">
    <w:lvl>
      <w:numFmt w:val="bullet"/>
      <w:suff w:val="tab"/>
      <w:lvlText w:val="•"/>
      <w:rPr>
        <w:color w:val="3370ff"/>
      </w:rPr>
    </w:lvl>
  </w:abstractNum>
  <w:abstractNum w:abstractNumId="651446">
    <w:lvl>
      <w:numFmt w:val="bullet"/>
      <w:suff w:val="tab"/>
      <w:lvlText w:val="•"/>
      <w:rPr>
        <w:color w:val="3370ff"/>
      </w:rPr>
    </w:lvl>
  </w:abstractNum>
  <w:abstractNum w:abstractNumId="651447">
    <w:lvl>
      <w:numFmt w:val="bullet"/>
      <w:suff w:val="tab"/>
      <w:lvlText w:val="•"/>
      <w:rPr>
        <w:color w:val="3370ff"/>
      </w:rPr>
    </w:lvl>
  </w:abstractNum>
  <w:abstractNum w:abstractNumId="651448">
    <w:lvl>
      <w:numFmt w:val="bullet"/>
      <w:suff w:val="tab"/>
      <w:lvlText w:val="•"/>
      <w:rPr>
        <w:color w:val="3370ff"/>
      </w:rPr>
    </w:lvl>
  </w:abstractNum>
  <w:abstractNum w:abstractNumId="651449">
    <w:lvl>
      <w:numFmt w:val="bullet"/>
      <w:suff w:val="tab"/>
      <w:lvlText w:val="•"/>
      <w:rPr>
        <w:color w:val="3370ff"/>
      </w:rPr>
    </w:lvl>
  </w:abstractNum>
  <w:abstractNum w:abstractNumId="651450">
    <w:lvl>
      <w:numFmt w:val="bullet"/>
      <w:suff w:val="tab"/>
      <w:lvlText w:val="•"/>
      <w:rPr>
        <w:color w:val="3370ff"/>
      </w:rPr>
    </w:lvl>
  </w:abstractNum>
  <w:abstractNum w:abstractNumId="651451">
    <w:lvl>
      <w:numFmt w:val="bullet"/>
      <w:suff w:val="tab"/>
      <w:lvlText w:val="•"/>
      <w:rPr>
        <w:color w:val="3370ff"/>
      </w:rPr>
    </w:lvl>
  </w:abstractNum>
  <w:abstractNum w:abstractNumId="651452">
    <w:lvl>
      <w:numFmt w:val="bullet"/>
      <w:suff w:val="tab"/>
      <w:lvlText w:val="•"/>
      <w:rPr>
        <w:color w:val="3370ff"/>
      </w:rPr>
    </w:lvl>
  </w:abstractNum>
  <w:abstractNum w:abstractNumId="651453">
    <w:lvl>
      <w:numFmt w:val="bullet"/>
      <w:suff w:val="tab"/>
      <w:lvlText w:val="•"/>
      <w:rPr>
        <w:color w:val="3370ff"/>
      </w:rPr>
    </w:lvl>
  </w:abstractNum>
  <w:abstractNum w:abstractNumId="651454">
    <w:lvl>
      <w:numFmt w:val="bullet"/>
      <w:suff w:val="tab"/>
      <w:lvlText w:val="•"/>
      <w:rPr>
        <w:color w:val="3370ff"/>
      </w:rPr>
    </w:lvl>
  </w:abstractNum>
  <w:abstractNum w:abstractNumId="651455">
    <w:lvl>
      <w:numFmt w:val="bullet"/>
      <w:suff w:val="tab"/>
      <w:lvlText w:val="•"/>
      <w:rPr>
        <w:color w:val="3370ff"/>
      </w:rPr>
    </w:lvl>
  </w:abstractNum>
  <w:abstractNum w:abstractNumId="651456">
    <w:lvl>
      <w:numFmt w:val="bullet"/>
      <w:suff w:val="tab"/>
      <w:lvlText w:val="•"/>
      <w:rPr>
        <w:color w:val="3370ff"/>
      </w:rPr>
    </w:lvl>
  </w:abstractNum>
  <w:abstractNum w:abstractNumId="651457">
    <w:lvl>
      <w:numFmt w:val="bullet"/>
      <w:suff w:val="tab"/>
      <w:lvlText w:val="•"/>
      <w:rPr>
        <w:color w:val="3370ff"/>
      </w:rPr>
    </w:lvl>
  </w:abstractNum>
  <w:abstractNum w:abstractNumId="651458">
    <w:lvl>
      <w:numFmt w:val="bullet"/>
      <w:suff w:val="tab"/>
      <w:lvlText w:val="•"/>
      <w:rPr>
        <w:color w:val="3370ff"/>
      </w:rPr>
    </w:lvl>
  </w:abstractNum>
  <w:abstractNum w:abstractNumId="651459">
    <w:lvl>
      <w:numFmt w:val="bullet"/>
      <w:suff w:val="tab"/>
      <w:lvlText w:val="•"/>
      <w:rPr>
        <w:color w:val="3370ff"/>
      </w:rPr>
    </w:lvl>
  </w:abstractNum>
  <w:num w:numId="1">
    <w:abstractNumId w:val="651434"/>
  </w:num>
  <w:num w:numId="2">
    <w:abstractNumId w:val="651435"/>
  </w:num>
  <w:num w:numId="3">
    <w:abstractNumId w:val="651436"/>
  </w:num>
  <w:num w:numId="4">
    <w:abstractNumId w:val="651437"/>
  </w:num>
  <w:num w:numId="5">
    <w:abstractNumId w:val="651438"/>
  </w:num>
  <w:num w:numId="6">
    <w:abstractNumId w:val="651439"/>
  </w:num>
  <w:num w:numId="7">
    <w:abstractNumId w:val="651440"/>
  </w:num>
  <w:num w:numId="8">
    <w:abstractNumId w:val="651441"/>
  </w:num>
  <w:num w:numId="9">
    <w:abstractNumId w:val="651442"/>
  </w:num>
  <w:num w:numId="10">
    <w:abstractNumId w:val="651443"/>
  </w:num>
  <w:num w:numId="11">
    <w:abstractNumId w:val="651444"/>
  </w:num>
  <w:num w:numId="12">
    <w:abstractNumId w:val="651445"/>
  </w:num>
  <w:num w:numId="13">
    <w:abstractNumId w:val="651446"/>
  </w:num>
  <w:num w:numId="14">
    <w:abstractNumId w:val="651447"/>
  </w:num>
  <w:num w:numId="15">
    <w:abstractNumId w:val="651448"/>
  </w:num>
  <w:num w:numId="16">
    <w:abstractNumId w:val="651449"/>
  </w:num>
  <w:num w:numId="17">
    <w:abstractNumId w:val="651450"/>
  </w:num>
  <w:num w:numId="18">
    <w:abstractNumId w:val="651451"/>
  </w:num>
  <w:num w:numId="19">
    <w:abstractNumId w:val="651452"/>
  </w:num>
  <w:num w:numId="20">
    <w:abstractNumId w:val="651453"/>
  </w:num>
  <w:num w:numId="21">
    <w:abstractNumId w:val="651454"/>
  </w:num>
  <w:num w:numId="22">
    <w:abstractNumId w:val="651455"/>
  </w:num>
  <w:num w:numId="23">
    <w:abstractNumId w:val="651456"/>
  </w:num>
  <w:num w:numId="24">
    <w:abstractNumId w:val="651457"/>
  </w:num>
  <w:num w:numId="25">
    <w:abstractNumId w:val="651458"/>
  </w:num>
  <w:num w:numId="26">
    <w:abstractNumId w:val="65145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2026-08-27T08:46:07Z</dcterms:created>
  <dc:creator>Apache POI</dc:creator>
</cp:coreProperties>
</file>