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&lt;有课&gt;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bookmarkStart w:id="15" w:name="_GoBack"/>
      <w:bookmarkEnd w:id="15"/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hint="eastAsia"/>
              </w:rPr>
              <w:t>2019.7.8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hint="eastAsia"/>
              </w:rPr>
              <w:t>0.2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hint="eastAsia"/>
              </w:rPr>
              <w:t>迭代一测试报告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hint="eastAsia"/>
              </w:rPr>
              <w:t>郭志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bookmarkStart w:id="1" w:name="OLE_LINK1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>
      <w:pPr>
        <w:spacing w:after="120"/>
        <w:ind w:left="720"/>
        <w:rPr>
          <w:rFonts w:ascii="Times New Roman"/>
          <w:i/>
          <w:snapToGrid/>
        </w:rPr>
      </w:pPr>
      <w:r>
        <w:rPr>
          <w:rFonts w:hint="eastAsia" w:ascii="Times New Roman"/>
          <w:i/>
          <w:snapToGrid/>
        </w:rPr>
        <w:t>本文档是有课项目开发的第一次迭代的测试报告，是对从2019/7/1-2019/7/10之间，对于有课项目的测试形成的工作报告。</w:t>
      </w:r>
    </w:p>
    <w:p>
      <w:pPr>
        <w:pStyle w:val="3"/>
        <w:rPr>
          <w:snapToGrid/>
          <w:lang w:eastAsia="en-US"/>
        </w:rPr>
      </w:pPr>
      <w:bookmarkStart w:id="3" w:name="_Toc393891300"/>
      <w:r>
        <w:rPr>
          <w:rFonts w:hint="eastAsia"/>
          <w:snapToGrid/>
          <w:lang w:eastAsia="en-US"/>
        </w:rPr>
        <w:t>范围</w:t>
      </w:r>
      <w:bookmarkEnd w:id="3"/>
    </w:p>
    <w:p>
      <w:pPr>
        <w:ind w:firstLine="720"/>
      </w:pPr>
      <w:r>
        <w:rPr>
          <w:rFonts w:hint="eastAsia"/>
          <w:snapToGrid/>
        </w:rPr>
        <w:t>《测试用例》   C18有课项目</w:t>
      </w:r>
    </w:p>
    <w:p>
      <w:pPr>
        <w:pStyle w:val="3"/>
        <w:rPr>
          <w:snapToGrid/>
        </w:rPr>
      </w:pPr>
      <w:bookmarkStart w:id="4" w:name="_Toc393891301"/>
      <w:r>
        <w:rPr>
          <w:rFonts w:hint="eastAsia"/>
          <w:snapToGrid/>
        </w:rPr>
        <w:t>定义、首字母缩写词和缩略语</w:t>
      </w:r>
      <w:bookmarkEnd w:id="4"/>
    </w:p>
    <w:p>
      <w:pPr>
        <w:ind w:firstLine="720"/>
      </w:pPr>
      <w:r>
        <w:rPr>
          <w:rFonts w:hint="eastAsia"/>
        </w:rPr>
        <w:t>无</w:t>
      </w:r>
    </w:p>
    <w:bookmarkEnd w:id="1"/>
    <w:p>
      <w:pPr>
        <w:pStyle w:val="3"/>
        <w:rPr>
          <w:snapToGrid/>
          <w:lang w:eastAsia="en-US"/>
        </w:rPr>
      </w:pPr>
      <w:bookmarkStart w:id="5" w:name="_Toc393891302"/>
      <w:r>
        <w:rPr>
          <w:rFonts w:hint="eastAsia"/>
          <w:snapToGrid/>
          <w:lang w:eastAsia="en-US"/>
        </w:rPr>
        <w:t>参考资料</w:t>
      </w:r>
      <w:bookmarkEnd w:id="5"/>
    </w:p>
    <w:p>
      <w:pPr>
        <w:ind w:firstLine="720"/>
      </w:pPr>
      <w:r>
        <w:rPr>
          <w:rFonts w:hint="eastAsia"/>
        </w:rPr>
        <w:t>《立项建议书》      C18有课项目</w:t>
      </w:r>
    </w:p>
    <w:p>
      <w:pPr>
        <w:ind w:firstLine="720"/>
      </w:pPr>
      <w:r>
        <w:rPr>
          <w:rFonts w:hint="eastAsia"/>
        </w:rPr>
        <w:t>《用例规约》       C18有课项目</w:t>
      </w:r>
    </w:p>
    <w:p>
      <w:pPr>
        <w:ind w:firstLine="720"/>
      </w:pPr>
      <w:r>
        <w:rPr>
          <w:rFonts w:hint="eastAsia"/>
        </w:rPr>
        <w:t>《迭代计划》(1)</w:t>
      </w:r>
      <w:r>
        <w:rPr>
          <w:rFonts w:hint="eastAsia"/>
        </w:rPr>
        <w:tab/>
      </w:r>
      <w:r>
        <w:rPr>
          <w:rFonts w:hint="eastAsia"/>
        </w:rPr>
        <w:t>C18有课项目</w:t>
      </w:r>
    </w:p>
    <w:p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C18有课项目</w:t>
      </w:r>
    </w:p>
    <w:p>
      <w:pPr>
        <w:pStyle w:val="3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>
      <w:pPr>
        <w:spacing w:after="120"/>
        <w:ind w:firstLine="720"/>
        <w:rPr>
          <w:rFonts w:ascii="Times New Roman"/>
          <w:i/>
          <w:snapToGrid/>
        </w:rPr>
      </w:pPr>
      <w:r>
        <w:rPr>
          <w:rFonts w:hint="eastAsia" w:ascii="Times New Roman"/>
          <w:i/>
          <w:snapToGrid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>
      <w:pPr>
        <w:pStyle w:val="2"/>
      </w:pPr>
      <w:bookmarkStart w:id="7" w:name="_Toc393891304"/>
      <w:r>
        <w:rPr>
          <w:rFonts w:hint="eastAsia"/>
        </w:rPr>
        <w:t>测试概要</w:t>
      </w:r>
      <w:bookmarkEnd w:id="7"/>
    </w:p>
    <w:p>
      <w:pPr>
        <w:ind w:firstLine="720"/>
      </w:pPr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>
      <w:pPr>
        <w:pStyle w:val="2"/>
      </w:pPr>
      <w:bookmarkStart w:id="8" w:name="_Toc393891305"/>
      <w:r>
        <w:rPr>
          <w:rFonts w:hint="eastAsia"/>
        </w:rPr>
        <w:t>测试环境</w:t>
      </w:r>
      <w:bookmarkEnd w:id="8"/>
    </w:p>
    <w:p>
      <w:pPr>
        <w:pStyle w:val="14"/>
      </w:pPr>
      <w:r>
        <w:rPr>
          <w:rFonts w:hint="eastAsia"/>
        </w:rPr>
        <w:t>第一次迭代尚未部署到服务器，仅在开发人员的本机上测试。</w:t>
      </w:r>
    </w:p>
    <w:p>
      <w:pPr>
        <w:pStyle w:val="2"/>
      </w:pPr>
      <w:bookmarkStart w:id="9" w:name="_Toc393891306"/>
      <w:r>
        <w:rPr>
          <w:rFonts w:hint="eastAsia"/>
        </w:rPr>
        <w:t>测试结果及分析</w:t>
      </w:r>
      <w:bookmarkEnd w:id="9"/>
    </w:p>
    <w:p>
      <w:pPr>
        <w:pStyle w:val="14"/>
      </w:pPr>
      <w:r>
        <w:rPr>
          <w:rFonts w:hint="eastAsia"/>
        </w:rPr>
        <w:t>对于后端主要代码的测试：使用Junit4</w:t>
      </w:r>
    </w:p>
    <w:p>
      <w:pPr>
        <w:pStyle w:val="14"/>
      </w:pPr>
      <w:r>
        <w:drawing>
          <wp:inline distT="0" distB="0" distL="114300" distR="114300">
            <wp:extent cx="5942965" cy="127381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drawing>
          <wp:inline distT="0" distB="0" distL="114300" distR="114300">
            <wp:extent cx="5937250" cy="590550"/>
            <wp:effectExtent l="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</w:rPr>
      </w:pPr>
      <w:r>
        <w:drawing>
          <wp:inline distT="0" distB="0" distL="114300" distR="114300">
            <wp:extent cx="5938520" cy="431800"/>
            <wp:effectExtent l="0" t="0" r="508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对于controller的测试中由于我们有一个JaccountController需要一个从网络信息中心传回的code作为参数，不适合测试，因此测试代码覆盖率较低。</w:t>
      </w:r>
    </w:p>
    <w:p>
      <w:pPr>
        <w:pStyle w:val="14"/>
      </w:pPr>
      <w:r>
        <w:rPr>
          <w:rFonts w:hint="eastAsia"/>
        </w:rPr>
        <w:t>对于serviceImpl，对主要的CourseServiceImpl,UserServiceImpl都做了详细测试，代码覆盖率达到了91%。</w:t>
      </w:r>
    </w:p>
    <w:p>
      <w:pPr>
        <w:pStyle w:val="14"/>
      </w:pPr>
    </w:p>
    <w:p>
      <w:pPr>
        <w:pStyle w:val="14"/>
      </w:pPr>
      <w:r>
        <w:rPr>
          <w:rFonts w:hint="eastAsia"/>
        </w:rPr>
        <w:t>对于后端接口的测试：使用Postman的newman测试接口</w:t>
      </w:r>
    </w:p>
    <w:p>
      <w:pPr>
        <w:pStyle w:val="14"/>
      </w:pPr>
      <w:r>
        <w:rPr>
          <w:rFonts w:hint="eastAsia"/>
        </w:rPr>
        <w:t>课程查询接口：</w:t>
      </w:r>
    </w:p>
    <w:p>
      <w:pPr>
        <w:pStyle w:val="14"/>
      </w:pPr>
      <w:r>
        <w:drawing>
          <wp:inline distT="0" distB="0" distL="114300" distR="114300">
            <wp:extent cx="4124325" cy="15970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</w:p>
    <w:p>
      <w:pPr>
        <w:widowControl/>
        <w:spacing w:line="240" w:lineRule="auto"/>
      </w:pPr>
      <w:r>
        <w:rPr>
          <w:rFonts w:hint="eastAsia"/>
        </w:rPr>
        <w:t>对于前端代码的测试： 使用</w:t>
      </w:r>
      <w:r>
        <w:t xml:space="preserve">Jest </w:t>
      </w:r>
      <w:r>
        <w:rPr>
          <w:rFonts w:hint="eastAsia"/>
        </w:rPr>
        <w:t>框架测试</w:t>
      </w:r>
      <w:r>
        <w:rPr>
          <w:rFonts w:hAnsi="宋体" w:cs="宋体"/>
          <w:snapToGrid/>
          <w:sz w:val="24"/>
          <w:szCs w:val="24"/>
        </w:rPr>
        <w:drawing>
          <wp:inline distT="0" distB="0" distL="0" distR="0">
            <wp:extent cx="5524500" cy="6166485"/>
            <wp:effectExtent l="0" t="0" r="0" b="5715"/>
            <wp:docPr id="4" name="图片 4" descr="C:\Users\dell\AppData\Roaming\Tencent\Users\771906409\TIM\WinTemp\RichOle\M2%)7D6_(_}[}FO}NZDF([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dell\AppData\Roaming\Tencent\Users\771906409\TIM\WinTemp\RichOle\M2%)7D6_(_}[}FO}NZDF([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578" cy="61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/>
          <w:snapToGrid/>
          <w:sz w:val="24"/>
          <w:szCs w:val="24"/>
        </w:rPr>
        <w:drawing>
          <wp:inline distT="0" distB="0" distL="0" distR="0">
            <wp:extent cx="4907280" cy="1562100"/>
            <wp:effectExtent l="0" t="0" r="7620" b="0"/>
            <wp:docPr id="3" name="图片 3" descr="C:\Users\dell\AppData\Roaming\Tencent\Users\771906409\TIM\WinTemp\RichOle\LW2(8B17(2IDJ6XJYL50F}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dell\AppData\Roaming\Tencent\Users\771906409\TIM\WinTemp\RichOle\LW2(8B17(2IDJ6XJYL50F}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int="eastAsia"/>
        </w:rPr>
        <w:t>对所有渲染页面使用快照S</w:t>
      </w:r>
      <w:r>
        <w:t>napshot</w:t>
      </w:r>
      <w:r>
        <w:rPr>
          <w:rFonts w:hint="eastAsia"/>
        </w:rPr>
        <w:t>测试；将业务逻辑从组件中抽离并模块化，对逻辑使用逻辑测试。</w:t>
      </w:r>
    </w:p>
    <w:p>
      <w:pPr>
        <w:pStyle w:val="14"/>
        <w:rPr>
          <w:rFonts w:hint="eastAsia"/>
        </w:rPr>
      </w:pPr>
    </w:p>
    <w:p>
      <w:pPr>
        <w:pStyle w:val="3"/>
        <w:rPr>
          <w:rFonts w:ascii="Arial" w:hAnsi="Arial"/>
          <w:snapToGrid/>
        </w:rPr>
      </w:pPr>
      <w:bookmarkStart w:id="10" w:name="_Toc393891307"/>
      <w:r>
        <w:rPr>
          <w:rFonts w:hint="eastAsia" w:ascii="Arial" w:hAnsi="Arial"/>
          <w:snapToGrid/>
        </w:rPr>
        <w:t>需求覆盖率及缺陷分布</w:t>
      </w:r>
      <w:bookmarkEnd w:id="10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6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946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4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600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</w:rPr>
              <w:t>课程查询</w:t>
            </w:r>
          </w:p>
        </w:tc>
        <w:tc>
          <w:tcPr>
            <w:tcW w:w="979" w:type="dxa"/>
          </w:tcPr>
          <w:p>
            <w:pPr>
              <w:spacing w:after="120"/>
              <w:jc w:val="both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13%</w:t>
            </w: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当查询参数为空时会返回所有的课程信息，这对项目性能有影响，需要更改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</w:rPr>
              <w:t>用户获取课程详细信息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ind w:firstLine="1000" w:firstLineChars="500"/>
              <w:jc w:val="both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</w:rPr>
              <w:t>用户登录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70%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由于用户Jaccount登录需要调用特殊接口，获得特定参数，没有进行测试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</w:rPr>
              <w:t>导入课程数据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5</w:t>
            </w: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20%</w:t>
            </w: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缺陷主要产生于解析课程数据时，例如将课程学分转为了整型，缺少了课程备注。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</w:rPr>
              <w:t>查看课程表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11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97%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7</w:t>
            </w:r>
          </w:p>
        </w:tc>
        <w:tc>
          <w:tcPr>
            <w:tcW w:w="94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9%</w:t>
            </w:r>
          </w:p>
        </w:tc>
        <w:tc>
          <w:tcPr>
            <w:tcW w:w="1600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缺陷严重程度</w:t>
      </w:r>
      <w:bookmarkEnd w:id="11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4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80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2" w:name="_Toc393891309"/>
      <w:r>
        <w:rPr>
          <w:rFonts w:hint="eastAsia" w:ascii="Arial" w:hAnsi="Arial"/>
          <w:snapToGrid/>
        </w:rPr>
        <w:t>缺陷清单</w:t>
      </w:r>
      <w:bookmarkEnd w:id="12"/>
    </w:p>
    <w:p>
      <w:pPr>
        <w:pStyle w:val="3"/>
        <w:rPr>
          <w:rFonts w:ascii="Arial" w:hAnsi="Arial"/>
          <w:snapToGrid/>
          <w:lang w:eastAsia="en-US"/>
        </w:rPr>
      </w:pPr>
      <w:bookmarkStart w:id="13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课程查询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课程详情页退出缓慢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打开课程详情页选择退出时，需要1s才能退出到查询页面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Testcase-003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课程查询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课程详情有异常信息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课程单双周信息显示出？？？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Testcase-003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课程信息导入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课程导入步骤不够自动化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 xml:space="preserve">由于教务处不提供课程接口，需要拿到最新的url和cookies传给程序，让其得到课程信息  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Testcase001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Bug4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课程信息导入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课程信息导入时的完整性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课程信息导入时备注未考虑进去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Testcase001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用户登录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登陆完成，没有过渡页面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J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account登陆完成，并返回App后，App会在login界面停留短暂时间，此时使用过渡页更为合理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Test-007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14"/>
      </w:pPr>
      <w:r>
        <w:rPr>
          <w:rFonts w:hint="eastAsia"/>
        </w:rPr>
        <w:t>本次测试主要是针对于迭代一要实现功能的功能测试，尚未实现性能测试，可靠性测试。通过不断地测试与开发，修改了很多潜在的bug，对于项目的主逻辑部分测试覆盖率较高。这次测试主要针对的模块是迭代一中课程导入，用户登录，查看课表，搜索课程，查看课程这些较为基础的功能。之后的功能需要在此基础上拓展，测试为之后的开发提供了保障。下一次迭代我们应该更强调以测试驱动开发，使用自动化测试工具，让前后端的测试更轻松。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52D12"/>
    <w:rsid w:val="0016113A"/>
    <w:rsid w:val="00162D65"/>
    <w:rsid w:val="00190CF2"/>
    <w:rsid w:val="001A10B9"/>
    <w:rsid w:val="001B5163"/>
    <w:rsid w:val="001F2D91"/>
    <w:rsid w:val="002017A5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35AAB"/>
    <w:rsid w:val="004B0E53"/>
    <w:rsid w:val="004D536E"/>
    <w:rsid w:val="004E647B"/>
    <w:rsid w:val="00555086"/>
    <w:rsid w:val="00562AE3"/>
    <w:rsid w:val="005E7E40"/>
    <w:rsid w:val="0060630B"/>
    <w:rsid w:val="006104D3"/>
    <w:rsid w:val="006128B3"/>
    <w:rsid w:val="00614542"/>
    <w:rsid w:val="00625BB9"/>
    <w:rsid w:val="006515D1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B156E"/>
    <w:rsid w:val="007F0A31"/>
    <w:rsid w:val="007F35AF"/>
    <w:rsid w:val="00803AB5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AF2E76"/>
    <w:rsid w:val="00B01E70"/>
    <w:rsid w:val="00B46746"/>
    <w:rsid w:val="00B4737F"/>
    <w:rsid w:val="00B54364"/>
    <w:rsid w:val="00B65D67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16815472"/>
    <w:rsid w:val="19E42842"/>
    <w:rsid w:val="3B584A8E"/>
    <w:rsid w:val="489903B3"/>
    <w:rsid w:val="55A8252B"/>
    <w:rsid w:val="5D15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31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8</Pages>
  <Words>485</Words>
  <Characters>2767</Characters>
  <Lines>23</Lines>
  <Paragraphs>6</Paragraphs>
  <TotalTime>150</TotalTime>
  <ScaleCrop>false</ScaleCrop>
  <LinksUpToDate>false</LinksUpToDate>
  <CharactersWithSpaces>3246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木落雁南渡</cp:lastModifiedBy>
  <dcterms:modified xsi:type="dcterms:W3CDTF">2019-07-11T00:09:39Z</dcterms:modified>
  <dc:subject>&lt;项目名称&gt;</dc:subject>
  <dc:title>测试报告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