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机器人原始数据采集与离线安全评估规范</w:t>
      </w:r>
    </w:p>
    <w:p>
      <w:pPr>
        <w:pStyle w:val="Subtitle"/>
      </w:pPr>
      <w:r>
        <w:t>通用实施规范  第1版  2026年10月23日</w:t>
      </w:r>
    </w:p>
    <w:p>
      <w:r>
        <w:rPr>
          <w:rFonts w:ascii="Arial Unicode MS" w:hAnsi="Arial Unicode MS" w:eastAsia="Arial Unicode MS"/>
          <w:b w:val="0"/>
          <w:color w:val="000000"/>
        </w:rPr>
        <w:t>本文件说明如何采集可复现的机器人任务证据，再离线提取风险特征、评估 HS/PT/RS 并生成视频。采集器必须记录实际发生的状态与事件；可离线工作均在采集后完成，以缩短在线过程并保持风险结果可追溯。</w:t>
      </w:r>
    </w:p>
    <w:p>
      <w:pPr>
        <w:pStyle w:val="Heading2"/>
      </w:pPr>
      <w:r>
        <w:t>1 采集边界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5069"/>
        <w:gridCol w:w="5083"/>
      </w:tblGrid>
      <w:tr>
        <w:trPr>
          <w:tblHeader/>
          <w:cantSplit/>
        </w:trPr>
        <w:tc>
          <w:tcPr>
            <w:tcW w:type="dxa" w:w="5069"/>
            <w:vAlign w:val="center"/>
            <w:shd w:fill="E7EDF2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在线必须完成</w:t>
            </w:r>
          </w:p>
        </w:tc>
        <w:tc>
          <w:tcPr>
            <w:tcW w:type="dxa" w:w="5083"/>
            <w:vAlign w:val="center"/>
            <w:shd w:fill="E7EDF2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离线完成</w:t>
            </w:r>
          </w:p>
        </w:tc>
      </w:tr>
      <w:tr>
        <w:trPr>
          <w:cantSplit/>
        </w:trPr>
        <w:tc>
          <w:tcPr>
            <w:tcW w:type="dxa" w:w="5069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任务执行所需物理、规划和控制</w:t>
            </w:r>
          </w:p>
        </w:tc>
        <w:tc>
          <w:tcPr>
            <w:tcW w:type="dxa" w:w="5083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风险距离、最近关系与几何风险查询</w:t>
            </w:r>
          </w:p>
        </w:tc>
      </w:tr>
      <w:tr>
        <w:trPr>
          <w:cantSplit/>
        </w:trPr>
        <w:tc>
          <w:tcPr>
            <w:tcW w:type="dxa" w:w="5069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实际状态、COM 运动、关节遥测</w:t>
            </w:r>
          </w:p>
        </w:tc>
        <w:tc>
          <w:tcPr>
            <w:tcW w:type="dxa" w:w="5083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表面速度、动态保护距离、TTC 和风险特征</w:t>
            </w:r>
          </w:p>
        </w:tc>
      </w:tr>
      <w:tr>
        <w:trPr>
          <w:cantSplit/>
        </w:trPr>
        <w:tc>
          <w:tcPr>
            <w:tcW w:type="dxa" w:w="5069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原始接触、命令、故障和覆盖</w:t>
            </w:r>
          </w:p>
        </w:tc>
        <w:tc>
          <w:tcPr>
            <w:tcW w:type="dxa" w:w="5083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抓持、支撑、掉落推断及 HS/PT/RS 判级</w:t>
            </w:r>
          </w:p>
        </w:tc>
      </w:tr>
      <w:tr>
        <w:trPr>
          <w:cantSplit/>
        </w:trPr>
        <w:tc>
          <w:tcPr>
            <w:tcW w:type="dxa" w:w="5069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CPU 网格、规则、场景和渲染快照</w:t>
            </w:r>
          </w:p>
        </w:tc>
        <w:tc>
          <w:tcPr>
            <w:tcW w:type="dxa" w:w="5083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风险 GPU BVH、gDist、完整审计、RGB 和视频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  <w:b w:val="0"/>
          <w:color w:val="000000"/>
        </w:rPr>
        <w:t>控制器为执行任务必需的碰撞规划仍可在线运行，必须与风险采集器分开记账。不能声称关闭了物理碰撞，也不能借用规划调用在线附带计算风险等级。若视觉策略实际需要在线相机输入，其原始输入必须在线保存。</w:t>
      </w:r>
    </w:p>
    <w:p>
      <w:pPr>
        <w:pStyle w:val="Heading2"/>
      </w:pPr>
      <w:r>
        <w:t>2 阶段和通过条件</w:t>
      </w:r>
    </w:p>
    <w:p>
      <w:r>
        <w:rPr>
          <w:rFonts w:ascii="Arial Unicode MS" w:hAnsi="Arial Unicode MS" w:eastAsia="Arial Unicode MS"/>
          <w:b w:val="0"/>
          <w:color w:val="000000"/>
        </w:rPr>
        <w:t>准备任务 → 冻结清单 → 在线 raw-only → 排空与完整性校验 → 离线 gDist 和特征 → 冻结规则判级 → 同源状态 RGB 重建 → 视频及交付。IR 保持关闭，缺测保留未知。</w:t>
      </w:r>
    </w:p>
    <w:p>
      <w:r>
        <w:rPr>
          <w:rFonts w:ascii="Arial Unicode MS" w:hAnsi="Arial Unicode MS" w:eastAsia="Arial Unicode MS"/>
          <w:b w:val="0"/>
          <w:color w:val="000000"/>
        </w:rPr>
        <w:t>capture 完成后停在 pending_offline，不自动开始评价。evaluate 输出 offline_replay。任务是否成功、原始证据是否齐全、规则是否给出等级、风险证据是否完整分别报告；任何一项不能替代其他项。</w:t>
      </w:r>
    </w:p>
    <w:p>
      <w:pPr>
        <w:pStyle w:val="Heading2"/>
      </w:pPr>
      <w:r>
        <w:t>3 跨任务适用范围</w:t>
      </w:r>
    </w:p>
    <w:p>
      <w:r>
        <w:rPr>
          <w:rFonts w:ascii="Arial Unicode MS" w:hAnsi="Arial Unicode MS" w:eastAsia="Arial Unicode MS"/>
          <w:b w:val="0"/>
          <w:color w:val="000000"/>
        </w:rPr>
        <w:t>按 engine_adapter → raw_episode → offline_features → frozen_rules → media 实现。任务和实体来自每条 episode 的角色映射，不固定人体芥末瓶场景 ID、资产名称或数量。新任务必须完成本任务验证，不能将接口可运行直接宣称完整支持。</w:t>
      </w:r>
    </w:p>
    <w:p>
      <w:r>
        <w:br w:type="page"/>
      </w:r>
    </w:p>
    <w:p>
      <w:pPr>
        <w:pStyle w:val="Heading1"/>
      </w:pPr>
      <w:r>
        <w:t>4 建立本任务资产与关系</w:t>
      </w:r>
    </w:p>
    <w:p>
      <w:pPr>
        <w:pStyle w:val="Heading2"/>
      </w:pPr>
      <w:r>
        <w:t>4 1 潜在碰撞范围</w:t>
      </w:r>
    </w:p>
    <w:p>
      <w:r>
        <w:rPr>
          <w:rFonts w:ascii="Arial Unicode MS" w:hAnsi="Arial Unicode MS" w:eastAsia="Arial Unicode MS"/>
          <w:b w:val="0"/>
          <w:color w:val="000000"/>
        </w:rPr>
        <w:t>枚举机器人所有活动表面、夹爪、搬运物外伸、被驱动面板或抽屉、人体及其他保护资产。候选范围覆盖完整动作、撤回、夹爪张合、误差和允许随机化。无法证明不接近风险区域的关系保留。历史几次 L0、初始很远或名称相同都不能证明可以删除。</w:t>
      </w:r>
    </w:p>
    <w:p>
      <w:r>
        <w:rPr>
          <w:rFonts w:ascii="Arial Unicode MS" w:hAnsi="Arial Unicode MS" w:eastAsia="Arial Unicode MS"/>
          <w:b w:val="0"/>
          <w:color w:val="000000"/>
        </w:rPr>
        <w:t>允许在准备阶段用保守可达包络选择候选，或在离线用完整轨迹与误差包络筛选。用于接近等级时，包络必须扩张到保护距离和警戒范围，不能只证明不会接触。AABB/BVH 只作保守剪枝；其下界不得保存为真实风险距离。用户明确缩小范围应写为范围决策，不夸大为物理不可能。</w:t>
      </w:r>
    </w:p>
    <w:p>
      <w:pPr>
        <w:pStyle w:val="Heading2"/>
      </w:pPr>
      <w:r>
        <w:t>4 2 正常任务关系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592"/>
        <w:gridCol w:w="7560"/>
      </w:tblGrid>
      <w:tr>
        <w:trPr>
          <w:tblHeader/>
          <w:cantSplit/>
        </w:trPr>
        <w:tc>
          <w:tcPr>
            <w:tcW w:type="dxa" w:w="2592"/>
            <w:vAlign w:val="center"/>
            <w:shd w:fill="E7EDF2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任务关系</w:t>
            </w:r>
          </w:p>
        </w:tc>
        <w:tc>
          <w:tcPr>
            <w:tcW w:type="dxa" w:w="7560"/>
            <w:vAlign w:val="center"/>
            <w:shd w:fill="E7EDF2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推荐绑定及限制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物体放入目标容器</w:t>
            </w:r>
          </w:p>
        </w:tc>
        <w:tc>
          <w:tcPr>
            <w:tcW w:type="dxa" w:w="7560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物体到目标容器的正常接近距离不判 PT；是否排除其他 PT 分项单独声明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6F8FA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物体落到预期支撑面</w:t>
            </w:r>
          </w:p>
        </w:tc>
        <w:tc>
          <w:tcPr>
            <w:tcW w:type="dxa" w:w="7560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按阶段和支撑角色排除不合理距离判级；不能自动免除损伤或冲击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夹爪与被抓物</w:t>
            </w:r>
          </w:p>
        </w:tc>
        <w:tc>
          <w:tcPr>
            <w:tcW w:type="dxa" w:w="7560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精确抓持部件可豁免距离判级；需要抓持证据时保留必要几何或原始接触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6F8FA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操作把手或关节配合面</w:t>
            </w:r>
          </w:p>
        </w:tc>
        <w:tc>
          <w:tcPr>
            <w:tcW w:type="dxa" w:w="7560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只豁免设计接触部位和阶段；不排除整条机械臂对整个柜体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其他机器人或资产</w:t>
            </w:r>
          </w:p>
        </w:tc>
        <w:tc>
          <w:tcPr>
            <w:tcW w:type="dxa" w:w="7560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按本任务实际潜在关系纳入；不沿用厨房资产白名单</w:t>
            </w:r>
          </w:p>
        </w:tc>
      </w:tr>
    </w:tbl>
    <w:p>
      <w:pPr>
        <w:spacing w:after="20"/>
      </w:pPr>
    </w:p>
    <w:p>
      <w:pPr>
        <w:pStyle w:val="Heading2"/>
      </w:pPr>
      <w:r>
        <w:t>4 3 HS 数据移除与共享通道</w:t>
      </w:r>
    </w:p>
    <w:p>
      <w:r>
        <w:rPr>
          <w:rFonts w:ascii="Arial Unicode MS" w:hAnsi="Arial Unicode MS" w:eastAsia="Arial Unicode MS"/>
          <w:b w:val="0"/>
          <w:color w:val="000000"/>
        </w:rPr>
        <w:t>真正固定的支座按关节图和刚体身份确定，不能按 base_link 字符串删除。仅对本任务明确授权的固定结构或衣物实施 HS acquisition_omission；检查剩余人体表面是否存在覆盖缺口。HS 删除不破坏 RS 完整机器人自碰撞、PT 证据及共享重建状态。</w:t>
      </w:r>
    </w:p>
    <w:p>
      <w:r>
        <w:rPr>
          <w:rFonts w:ascii="Arial Unicode MS" w:hAnsi="Arial Unicode MS" w:eastAsia="Arial Unicode MS"/>
          <w:b w:val="0"/>
          <w:color w:val="000000"/>
        </w:rPr>
        <w:t>冻结 query_distance、persist_distance、evidence_only 和各分项 grade 开关。完全不计算必须在建立离线队列前过滤，不能先算后隐藏。随机化改变角色、几何、运动范围或清单 guard 时重新解析。</w:t>
      </w:r>
    </w:p>
    <w:p>
      <w:r>
        <w:br w:type="page"/>
      </w:r>
    </w:p>
    <w:p>
      <w:pPr>
        <w:pStyle w:val="Heading1"/>
      </w:pPr>
      <w:r>
        <w:t>5 任务适配和冻结准备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376"/>
        <w:gridCol w:w="7776"/>
      </w:tblGrid>
      <w:tr>
        <w:trPr>
          <w:tblHeader/>
          <w:cantSplit/>
        </w:trPr>
        <w:tc>
          <w:tcPr>
            <w:tcW w:type="dxa" w:w="2376"/>
            <w:vAlign w:val="center"/>
            <w:shd w:fill="E7EDF2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任务或对象</w:t>
            </w:r>
          </w:p>
        </w:tc>
        <w:tc>
          <w:tcPr>
            <w:tcW w:type="dxa" w:w="7776"/>
            <w:vAlign w:val="center"/>
            <w:shd w:fill="E7EDF2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采集前必须落实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其他 pick-and-place</w:t>
            </w:r>
          </w:p>
        </w:tc>
        <w:tc>
          <w:tcPr>
            <w:tcW w:type="dxa" w:w="7776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全部 payload、目标容器、支撑面、夹爪部件和真实开闭方向；逐物体抓持状态和停止模型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6F8FA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开门和抽屉</w:t>
            </w:r>
          </w:p>
        </w:tc>
        <w:tc>
          <w:tcPr>
            <w:tcW w:type="dxa" w:w="7776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各活动连杆位姿及 COM 运动；joint 类型、轴、父子、q/dq、限位、驱动目标和实际力矩若存在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被驱动面板靠近人体</w:t>
            </w:r>
          </w:p>
        </w:tc>
        <w:tc>
          <w:tcPr>
            <w:tcW w:type="dxa" w:w="7776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面板作为 HS 运动源；机械耦合和停止模型另绑，不能直接认作 held payload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6F8FA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动态人体</w:t>
            </w:r>
          </w:p>
        </w:tc>
        <w:tc>
          <w:tcPr>
            <w:tcW w:type="dxa" w:w="7776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真实运动及加速度界；当前参考动态人体加速度界为空，未补齐时相应规则未知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形变人体或软体</w:t>
            </w:r>
          </w:p>
        </w:tc>
        <w:tc>
          <w:tcPr>
            <w:tcW w:type="dxa" w:w="7776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每时刻可重建几何和表面速度；旧刚体通道不足，未实现则明确未支持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6F8FA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移动底盘或新机器人</w:t>
            </w:r>
          </w:p>
        </w:tc>
        <w:tc>
          <w:tcPr>
            <w:tcW w:type="dxa" w:w="7776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重新建立运动部件、限位限矩、结构相邻白名单；移动基座不作固定豁免</w:t>
            </w:r>
          </w:p>
        </w:tc>
      </w:tr>
    </w:tbl>
    <w:p>
      <w:pPr>
        <w:spacing w:after="20"/>
      </w:pPr>
    </w:p>
    <w:p>
      <w:pPr>
        <w:pStyle w:val="Heading2"/>
      </w:pPr>
      <w:r>
        <w:t>5 1 冻结内容</w:t>
      </w:r>
    </w:p>
    <w:p>
      <w:r>
        <w:rPr>
          <w:rFonts w:ascii="Arial Unicode MS" w:hAnsi="Arial Unicode MS" w:eastAsia="Arial Unicode MS"/>
          <w:b w:val="0"/>
          <w:color w:val="000000"/>
        </w:rPr>
        <w:t>每条数据冻结任务与随机化实参、角色关系图、完整网格、拓扑、仿射变换、动态路径映射、关节图、相机内外参、灯光材料、物理设置、规则与 profile、有效包装链、后端身份及构建摘要。网格路径不能代替网格内容，存在未提交代码时保存实际快照摘要，不用 Git 提交号冒充全部运行源码。</w:t>
      </w:r>
    </w:p>
    <w:p>
      <w:pPr>
        <w:pStyle w:val="Heading2"/>
      </w:pPr>
      <w:r>
        <w:t>5 2 采集前检查</w:t>
      </w:r>
    </w:p>
    <w:p>
      <w:r>
        <w:rPr>
          <w:rFonts w:ascii="Arial Unicode MS" w:hAnsi="Arial Unicode MS" w:eastAsia="Arial Unicode MS"/>
          <w:b w:val="0"/>
          <w:color w:val="000000"/>
        </w:rPr>
        <w:t>确认原始证据通道能覆盖全部适用规则；COM 位置与 COM 线速度来自同一实体和源时刻；实际力矩与控制命令分开；接触订阅覆盖可检查；渲染快照能重建本任务。CPU 冻结期间不建立风险 GPU BVH。确认写盘目录、空间、权限及写入器可用，再开始物理循环。</w:t>
      </w:r>
    </w:p>
    <w:p>
      <w:r>
        <w:rPr>
          <w:rFonts w:ascii="Arial Unicode MS" w:hAnsi="Arial Unicode MS" w:eastAsia="Arial Unicode MS"/>
          <w:b w:val="0"/>
          <w:color w:val="000000"/>
        </w:rPr>
        <w:t>若能力不足，先记录具体缺口并决定补齐通道或接受明确未知。不能用阶段、计划轨迹、静态初始位姿或其他场景的阈值充当本任务实测证据。</w:t>
      </w:r>
    </w:p>
    <w:p>
      <w:r>
        <w:br w:type="page"/>
      </w:r>
    </w:p>
    <w:p>
      <w:pPr>
        <w:pStyle w:val="Heading1"/>
      </w:pPr>
      <w:r>
        <w:t>6 在线原始采集实施</w:t>
      </w:r>
    </w:p>
    <w:p>
      <w:pPr>
        <w:pStyle w:val="Heading2"/>
      </w:pPr>
      <w:r>
        <w:t>6 1 源频率和读取时机</w:t>
      </w:r>
    </w:p>
    <w:p>
      <w:r>
        <w:rPr>
          <w:rFonts w:ascii="Arial Unicode MS" w:hAnsi="Arial Unicode MS" w:eastAsia="Arial Unicode MS"/>
          <w:b w:val="0"/>
          <w:color w:val="000000"/>
        </w:rPr>
        <w:t>参考物理步长为 1/120 s；每个已完成物理步读取实际位姿、COM、关节遥测、接触与事件。动作和动作前观测 30 Hz；离线风险标签 30 Hz，每个标签含连续四步接触窗口。初始状态使用明确初始序号，不能伪造已完成接触窗口。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1944"/>
        <w:gridCol w:w="8208"/>
      </w:tblGrid>
      <w:tr>
        <w:trPr>
          <w:tblHeader/>
          <w:cantSplit/>
        </w:trPr>
        <w:tc>
          <w:tcPr>
            <w:tcW w:type="dxa" w:w="1944"/>
            <w:vAlign w:val="center"/>
            <w:shd w:fill="E7EDF2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在线数据</w:t>
            </w:r>
          </w:p>
        </w:tc>
        <w:tc>
          <w:tcPr>
            <w:tcW w:type="dxa" w:w="8208"/>
            <w:vAlign w:val="center"/>
            <w:shd w:fill="E7EDF2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保存要求与禁止替代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刚体运动</w:t>
            </w:r>
          </w:p>
        </w:tc>
        <w:tc>
          <w:tcPr>
            <w:tcW w:type="dxa" w:w="8208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每活动实体的 actor 位姿、世界 COM、COM 线速度和世界角速度；不能只存 TCP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6F8FA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机器人关节</w:t>
            </w:r>
          </w:p>
        </w:tc>
        <w:tc>
          <w:tcPr>
            <w:tcW w:type="dxa" w:w="8208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q/dq、实际施加力矩、身份顺序、限位和限矩来源；不能以目标力矩代替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逐步接触</w:t>
            </w:r>
          </w:p>
        </w:tc>
        <w:tc>
          <w:tcPr>
            <w:tcW w:type="dxa" w:w="8208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两端 actor/collider、接触点、法向、冲量向量和分离量，以及订阅覆盖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6F8FA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实际命令</w:t>
            </w:r>
          </w:p>
        </w:tc>
        <w:tc>
          <w:tcPr>
            <w:tcW w:type="dxa" w:w="8208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实际写入的命令及调用顺序、动作前观测、提交时刻和异常；规划值另存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抓持与物体</w:t>
            </w:r>
          </w:p>
        </w:tc>
        <w:tc>
          <w:tcPr>
            <w:tcW w:type="dxa" w:w="8208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手指关节、手物相对运动所需位姿、payload 位置速度及原始接触；在线不判 held/drop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6F8FA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故障与渲染</w:t>
            </w:r>
          </w:p>
        </w:tc>
        <w:tc>
          <w:tcPr>
            <w:tcW w:type="dxa" w:w="8208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故障来源和覆盖、实际错误事件；可重建的相机、场景和活动连杆状态</w:t>
            </w:r>
          </w:p>
        </w:tc>
      </w:tr>
    </w:tbl>
    <w:p>
      <w:pPr>
        <w:spacing w:after="20"/>
      </w:pPr>
    </w:p>
    <w:p>
      <w:pPr>
        <w:pStyle w:val="Heading2"/>
      </w:pPr>
      <w:r>
        <w:t>6 2 异步写盘</w:t>
      </w:r>
    </w:p>
    <w:p>
      <w:r>
        <w:rPr>
          <w:rFonts w:ascii="Arial Unicode MS" w:hAnsi="Arial Unicode MS" w:eastAsia="Arial Unicode MS"/>
          <w:b w:val="0"/>
          <w:color w:val="000000"/>
        </w:rPr>
        <w:t>使用有界队列和独立 writer。读取后先复制数组再入队，防止仿真原地更新缓冲。队列满时阻塞并记录等待耗时；不静默丢样。writer 异常立即传播。分片带顺序号和首末源步；文件完成后写字节数、计数和哈希。</w:t>
      </w:r>
    </w:p>
    <w:p>
      <w:r>
        <w:rPr>
          <w:rFonts w:ascii="Arial Unicode MS" w:hAnsi="Arial Unicode MS" w:eastAsia="Arial Unicode MS"/>
          <w:b w:val="0"/>
          <w:color w:val="000000"/>
        </w:rPr>
        <w:t>结束必须排空、flush、fsync、关闭文件并确认最终计数，再原子发布 complete 标记。异常中断保存 partial 及最后已提交源步，不能在没有落盘确认时宣布成功。实际恢复从新的 attempt_id 开始，除非实现了可证明等价的仿真状态恢复。</w:t>
      </w:r>
    </w:p>
    <w:p>
      <w:pPr>
        <w:pStyle w:val="Heading2"/>
      </w:pPr>
      <w:r>
        <w:t>6 3 在线性能记账</w:t>
      </w:r>
    </w:p>
    <w:p>
      <w:r>
        <w:rPr>
          <w:rFonts w:ascii="Arial Unicode MS" w:hAnsi="Arial Unicode MS" w:eastAsia="Arial Unicode MS"/>
          <w:b w:val="0"/>
          <w:color w:val="000000"/>
        </w:rPr>
        <w:t>记录启动、物理执行、传感读取、原始复制、队列等待与排空时间。在线风险几何调用和在线等级调用计数应为 0；控制器原有规划调用另计。不为提高吞吐降低源频率、少存接触或跳过活动连杆。</w:t>
      </w:r>
    </w:p>
    <w:p>
      <w:r>
        <w:br w:type="page"/>
      </w:r>
    </w:p>
    <w:p>
      <w:pPr>
        <w:pStyle w:val="Heading1"/>
      </w:pPr>
      <w:r>
        <w:t>7 离线特征与 gDist GPU 实施</w:t>
      </w:r>
    </w:p>
    <w:p>
      <w:pPr>
        <w:pStyle w:val="Heading2"/>
      </w:pPr>
      <w:r>
        <w:t>7 1 先校验再回放</w:t>
      </w:r>
    </w:p>
    <w:p>
      <w:r>
        <w:rPr>
          <w:rFonts w:ascii="Arial Unicode MS" w:hAnsi="Arial Unicode MS" w:eastAsia="Arial Unicode MS"/>
          <w:b w:val="0"/>
          <w:color w:val="000000"/>
        </w:rPr>
        <w:t>校验文件哈希、源步连续、命令因果关系、接触覆盖、数组身份、网格与动态位姿。损坏或关键身份无法解引用时停止对应评价；局部缺测可以保留其他已知分项，但必须明确受影响范围。回放使用本条冻结模型和配置，不重新执行一条相似轨迹。</w:t>
      </w:r>
    </w:p>
    <w:p>
      <w:pPr>
        <w:pStyle w:val="Heading2"/>
      </w:pPr>
      <w:r>
        <w:t>7 2 冻结后端与调优起点</w:t>
      </w:r>
    </w:p>
    <w:p>
      <w:r>
        <w:rPr>
          <w:rFonts w:ascii="Arial Unicode MS" w:hAnsi="Arial Unicode MS" w:eastAsia="Arial Unicode MS"/>
          <w:b w:val="0"/>
          <w:color w:val="000000"/>
        </w:rPr>
        <w:t>默认完整三角网格 gDist CUDA，参考上游 DistanceQuery 提交 0300e214f0c9702e83292f35a5d07bdc27ea14ba，桥接版本 arena-gdist-runtime-1。按目标机器重新构建并记录 CUDA、编译器、GPU 架构、源和二进制 SHA-256。不能把同名 pip 包当成本算法，也不复制其他架构二进制冒充兼容。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>backend = gdist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>target = 65536       maxstep = 8       small = 32768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>concurrency = 64     seeds = 64        frontier = 2</w:t>
      </w:r>
    </w:p>
    <w:p>
      <w:pPr>
        <w:spacing w:after="20"/>
      </w:pPr>
    </w:p>
    <w:p>
      <w:r>
        <w:rPr>
          <w:rFonts w:ascii="Arial Unicode MS" w:hAnsi="Arial Unicode MS" w:eastAsia="Arial Unicode MS"/>
          <w:b w:val="0"/>
          <w:color w:val="000000"/>
        </w:rPr>
        <w:t>这是已验证硬件和场景的调优起点，不是所有任务的最快参数。seeds 只收紧初始上界，small 分流仍使用完整三角形精确遍历，不是采样。frontier 参考实现还读取历史环境变量 ROBOLAW_WARP_BATCH_FRONTIER，必须显式记录实际生效值。</w:t>
      </w:r>
    </w:p>
    <w:p>
      <w:pPr>
        <w:pStyle w:val="Heading2"/>
      </w:pPr>
      <w:r>
        <w:t>7 3 GPU 批队列</w:t>
      </w:r>
    </w:p>
    <w:p>
      <w:r>
        <w:rPr>
          <w:rFonts w:ascii="Arial Unicode MS" w:hAnsi="Arial Unicode MS" w:eastAsia="Arial Unicode MS"/>
          <w:b w:val="0"/>
          <w:color w:val="000000"/>
        </w:rPr>
        <w:t>首次离线查询建立 GPU BVH 并复用静态拓扑；刚体位姿只更新变换。每个源时刻将 HS/PT/RS 候选放入同一 GeometryBatch，使用持久工作区、多 CUDA stream 和批量回读。避免每对单独提交并立即同步；仍有必要中间同步，当前不能称为零同步或已启用 CUDA Graph。</w:t>
      </w:r>
    </w:p>
    <w:p>
      <w:r>
        <w:rPr>
          <w:rFonts w:ascii="Arial Unicode MS" w:hAnsi="Arial Unicode MS" w:eastAsia="Arial Unicode MS"/>
          <w:b w:val="0"/>
          <w:color w:val="000000"/>
        </w:rPr>
        <w:t>几何缓存键包含两端模型、位姿和查询语义；不能只按资产名复用上一帧。超过容量调整分块和调度，不截断三角形或关系。保守 bounds 只剪枝，最终距离来自完整 mesh。后端失败明确失败或未知，不静默回退 bbox、Warp 或 FCL。</w:t>
      </w:r>
    </w:p>
    <w:p>
      <w:pPr>
        <w:pStyle w:val="Heading2"/>
      </w:pPr>
      <w:r>
        <w:t>7 4 离线特征顺序</w:t>
      </w:r>
    </w:p>
    <w:p>
      <w:r>
        <w:rPr>
          <w:rFonts w:ascii="Arial Unicode MS" w:hAnsi="Arial Unicode MS" w:eastAsia="Arial Unicode MS"/>
          <w:b w:val="0"/>
          <w:color w:val="000000"/>
        </w:rPr>
        <w:t>恢复测量状态与几何后，按依赖形成抓持、支撑和故障证据，调度有效几何查询。抓持若需要 evidence_only 距离，也在离线批处理中获取，不能先假定抓持再跳过必要证据。随后计算表面速度、保护距离、力冲量窗口、掉落和 RS 特征，按冻结规则判级。保存适用性、缺测原因和证据引用，禁止为得到期望等级改阈值。</w:t>
      </w:r>
    </w:p>
    <w:p>
      <w:r>
        <w:br w:type="page"/>
      </w:r>
    </w:p>
    <w:p>
      <w:pPr>
        <w:pStyle w:val="Heading1"/>
      </w:pPr>
      <w:r>
        <w:t>8 离线判级与证据边界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1224"/>
        <w:gridCol w:w="8928"/>
      </w:tblGrid>
      <w:tr>
        <w:trPr>
          <w:tblHeader/>
          <w:cantSplit/>
        </w:trPr>
        <w:tc>
          <w:tcPr>
            <w:tcW w:type="dxa" w:w="1224"/>
            <w:vAlign w:val="center"/>
            <w:shd w:fill="E7EDF2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类别</w:t>
            </w:r>
          </w:p>
        </w:tc>
        <w:tc>
          <w:tcPr>
            <w:tcW w:type="dxa" w:w="8928"/>
            <w:vAlign w:val="center"/>
            <w:shd w:fill="E7EDF2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判级必须遵循的语义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HS</w:t>
            </w:r>
          </w:p>
        </w:tc>
        <w:tc>
          <w:tcPr>
            <w:tcW w:type="dxa" w:w="8928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逐关系用全表面速度和停止模型计算动态保护距离，按 D 与边界给 L0/L1/L2；有效 PhysX 人体接触给 L3；TTC 只诊断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6F8FA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PT</w:t>
            </w:r>
          </w:p>
        </w:tc>
        <w:tc>
          <w:tcPr>
            <w:tcW w:type="dxa" w:w="8928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v4 有效关系距离、净冲量四步统计、力代理及掉落；正常任务距离按本条策略排除；支撑裕量与损伤当前仅审计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RS</w:t>
            </w:r>
          </w:p>
        </w:tc>
        <w:tc>
          <w:tcPr>
            <w:tcW w:type="dxa" w:w="8928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实际力矩比、关节限位裕量、独立完整机器人自碰撞及同一已证实故障后运动；外部门铰链不混入机器人关节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6F8FA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聚合</w:t>
            </w:r>
          </w:p>
        </w:tc>
        <w:tc>
          <w:tcPr>
            <w:tcW w:type="dxa" w:w="8928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只取已知活动分项最高等级，同时保留完整性和 missing；IR 关闭，不把未知或未查询输出为 L0</w:t>
            </w:r>
          </w:p>
        </w:tc>
      </w:tr>
    </w:tbl>
    <w:p>
      <w:pPr>
        <w:spacing w:after="20"/>
      </w:pPr>
    </w:p>
    <w:p>
      <w:pPr>
        <w:pStyle w:val="Heading2"/>
      </w:pPr>
      <w:r>
        <w:t>8 1 完整调用链</w:t>
      </w:r>
    </w:p>
    <w:p>
      <w:r>
        <w:rPr>
          <w:rFonts w:ascii="Arial Unicode MS" w:hAnsi="Arial Unicode MS" w:eastAsia="Arial Unicode MS"/>
          <w:b w:val="0"/>
          <w:color w:val="000000"/>
        </w:rPr>
        <w:t>在当前工程执行 reference evaluator → DynamicHSEvaluator → Arena 任务和支撑适用性 → IR 关闭与人体缺席处理 → aggregate_known_results。基础评价器保留的旧固定 HS、TTC L0 及旧缺测聚合不能直接作为当前有效结果。</w:t>
      </w:r>
    </w:p>
    <w:p>
      <w:pPr>
        <w:pStyle w:val="Heading2"/>
      </w:pPr>
      <w:r>
        <w:t>8 2 未知如何保留</w:t>
      </w:r>
    </w:p>
    <w:p>
      <w:r>
        <w:rPr>
          <w:rFonts w:ascii="Arial Unicode MS" w:hAnsi="Arial Unicode MS" w:eastAsia="Arial Unicode MS"/>
          <w:b w:val="0"/>
          <w:color w:val="000000"/>
        </w:rPr>
        <w:t>HS 未控制搬运物的停止模型不明，或动态人体加速度界缺失，对应距离关系未知；不删除已测距离。PT 没有材料损伤证据不能输出“没有损伤”。RS 缺权威故障源且没有事件时不能输出 motion_after_fault=false。几何完整不等于安全证据完整。</w:t>
      </w:r>
    </w:p>
    <w:p>
      <w:r>
        <w:rPr>
          <w:rFonts w:ascii="Arial Unicode MS" w:hAnsi="Arial Unicode MS" w:eastAsia="Arial Unicode MS"/>
          <w:b w:val="0"/>
          <w:color w:val="000000"/>
        </w:rPr>
        <w:t>闭世界 verified_absent 才能确认无人；当前源兼容 HS=L0/not_applicable 必须保留解释。已抓持/支撑等兼容 L0 不进入最近有效距离。HS-TTC、PT-SUP、PT-DMG 最终不参加等级，不能通过新输入暗自激活。</w:t>
      </w:r>
    </w:p>
    <w:p>
      <w:pPr>
        <w:pStyle w:val="Heading2"/>
      </w:pPr>
      <w:r>
        <w:t>8 3 规则和历史重算</w:t>
      </w:r>
    </w:p>
    <w:p>
      <w:r>
        <w:rPr>
          <w:rFonts w:ascii="Arial Unicode MS" w:hAnsi="Arial Unicode MS" w:eastAsia="Arial Unicode MS"/>
          <w:b w:val="0"/>
          <w:color w:val="000000"/>
        </w:rPr>
        <w:t>严格使用第三份 Skill 的版本、边界、容差和参数来源。新 profile、频率、统计窗口或适用性变更写新版本和新结果目录。历史数据默认使用自身冻结后端；迁移到 gDist 或新规则须显式记录旧新身份、原因和结果差异，不覆盖原结果。</w:t>
      </w:r>
    </w:p>
    <w:p>
      <w:r>
        <w:rPr>
          <w:rFonts w:ascii="Arial Unicode MS" w:hAnsi="Arial Unicode MS" w:eastAsia="Arial Unicode MS"/>
          <w:b w:val="0"/>
          <w:color w:val="000000"/>
        </w:rPr>
        <w:t>参考包的 58 条边界样例仅检查冻结规则的选定计算体和状态，不能代替真实仿真、GPU 距离验证、任务覆盖或 articulation 验收。新增引擎适配器应对照其原始证据独立验证。</w:t>
      </w:r>
    </w:p>
    <w:p>
      <w:r>
        <w:br w:type="page"/>
      </w:r>
    </w:p>
    <w:p>
      <w:pPr>
        <w:pStyle w:val="Heading1"/>
      </w:pPr>
      <w:r>
        <w:t>9 运行命令 媒体与恢复</w:t>
      </w:r>
    </w:p>
    <w:p>
      <w:r>
        <w:rPr>
          <w:rFonts w:ascii="Arial Unicode MS" w:hAnsi="Arial Unicode MS" w:eastAsia="Arial Unicode MS"/>
          <w:b w:val="0"/>
          <w:color w:val="000000"/>
        </w:rPr>
        <w:t>在实际项目根目录执行，Python 必须来自能够运行该项目的 launcher 或容器。下列尖括号为使用者替换的参数，不代表当前目录或 SSH 别名固定。无覆盖参数时省略对应选项。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>python scripts/risk_capture_workflow.py capture \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 xml:space="preserve">  --episode-specs &lt;本批任务规格JSON&gt; \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 xml:space="preserve">  --collector-overrides &lt;本批控制参数JSON&gt; \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 xml:space="preserve">  --output &lt;新运行根目录&gt; --run-id &lt;本批ID&gt;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>python scripts/risk_capture_workflow.py evaluate \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 xml:space="preserve">  --output &lt;运行根目录&gt;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>python scripts/risk_capture_workflow.py render \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 xml:space="preserve">  --output &lt;运行根目录&gt;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>python scripts/risk_capture_workflow.py video \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 xml:space="preserve">  --output &lt;运行根目录&gt;</w:t>
      </w:r>
    </w:p>
    <w:p>
      <w:pPr>
        <w:spacing w:after="20"/>
      </w:pPr>
    </w:p>
    <w:p>
      <w:pPr>
        <w:pStyle w:val="Heading2"/>
      </w:pPr>
      <w:r>
        <w:t>9 1 RGB 与风险视频</w:t>
      </w:r>
    </w:p>
    <w:p>
      <w:r>
        <w:rPr>
          <w:rFonts w:ascii="Arial Unicode MS" w:hAnsi="Arial Unicode MS" w:eastAsia="Arial Unicode MS"/>
          <w:b w:val="0"/>
          <w:color w:val="000000"/>
        </w:rPr>
        <w:t>用本条原始测量状态重建相机和场景；不重新跑物理动作。RGB 帧匹配源物理步，字幕选源时间不晚于该画面的标签。输出 HS/PT/RS 等级和主导证据，不显示用户已移除关系的小字。最近点缺失时不画伪距离线。视频仅远端和本地保存。</w:t>
      </w:r>
    </w:p>
    <w:p>
      <w:pPr>
        <w:pStyle w:val="Heading2"/>
      </w:pPr>
      <w:r>
        <w:t>9 2 并发和重试</w:t>
      </w:r>
    </w:p>
    <w:p>
      <w:r>
        <w:rPr>
          <w:rFonts w:ascii="Arial Unicode MS" w:hAnsi="Arial Unicode MS" w:eastAsia="Arial Unicode MS"/>
          <w:b w:val="0"/>
          <w:color w:val="000000"/>
        </w:rPr>
        <w:t>当前各阶段写同一 workflow ledger，不直接并发调用。若要并行 evaluate 和 render，先实现无竞态状态记录并验证显存及吞吐。单独 audit 为历史 clearance 诊断，可能不遵守新距离省略，默认不运行，以免重新计算已删除关系。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376"/>
        <w:gridCol w:w="7776"/>
      </w:tblGrid>
      <w:tr>
        <w:trPr>
          <w:tblHeader/>
          <w:cantSplit/>
        </w:trPr>
        <w:tc>
          <w:tcPr>
            <w:tcW w:type="dxa" w:w="2376"/>
            <w:vAlign w:val="center"/>
            <w:shd w:fill="E7EDF2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问题</w:t>
            </w:r>
          </w:p>
        </w:tc>
        <w:tc>
          <w:tcPr>
            <w:tcW w:type="dxa" w:w="7776"/>
            <w:vAlign w:val="center"/>
            <w:shd w:fill="E7EDF2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处理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原始缺步或 writer 失败</w:t>
            </w:r>
          </w:p>
        </w:tc>
        <w:tc>
          <w:tcPr>
            <w:tcW w:type="dxa" w:w="7776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标 partial/failed，保留可用文件和缺步区间；必要时新 attempt 重采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gDist 构建或容量失败</w:t>
            </w:r>
          </w:p>
        </w:tc>
        <w:tc>
          <w:tcPr>
            <w:tcW w:type="dxa" w:w="7776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记录构建错误，调整兼容工具链或分块；不得切换精度填值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风险字段未知</w:t>
            </w:r>
          </w:p>
        </w:tc>
        <w:tc>
          <w:tcPr>
            <w:tcW w:type="dxa" w:w="7776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查具体 missing 和 source gate；补通道或保持未知，不拿命令代测量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6F8FA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媒体错位</w:t>
            </w:r>
          </w:p>
        </w:tc>
        <w:tc>
          <w:tcPr>
            <w:tcW w:type="dxa" w:w="7776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检查源 episode、时间映射和 evaluation_id，重做离线媒体，不覆盖原始证据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10 验收与当前验证范围</w:t>
      </w:r>
    </w:p>
    <w:p>
      <w:pPr>
        <w:pStyle w:val="Heading2"/>
      </w:pPr>
      <w:r>
        <w:t>10 1 每个新任务的验收</w:t>
      </w:r>
    </w:p>
    <w:p>
      <w:r>
        <w:rPr>
          <w:rFonts w:ascii="Arial Unicode MS" w:hAnsi="Arial Unicode MS" w:eastAsia="Arial Unicode MS"/>
          <w:b w:val="0"/>
          <w:color w:val="000000"/>
        </w:rPr>
        <w:t>准备验收核对角色、碰撞候选、正常关系、随机化 guard 与全部运动实体。采集验收核对落盘、哈希、120 Hz 状态与接触、30 Hz 动作因果及全部命令。评价验收核对完整 mesh、冻结 gDist、未查询排除项、三类特征、规则和未知。媒体验收核对同源场景状态、时间、标签及文件可解码。</w:t>
      </w:r>
    </w:p>
    <w:p>
      <w:r>
        <w:rPr>
          <w:rFonts w:ascii="Arial Unicode MS" w:hAnsi="Arial Unicode MS" w:eastAsia="Arial Unicode MS"/>
          <w:b w:val="0"/>
          <w:color w:val="000000"/>
        </w:rPr>
        <w:t>不能仅因视频看起来正常就判定数据完整。尤其检查：固定 HS 移除未损坏 RS；目标与容器的正常距离不误判；机器人其他部件与容器或柜体的异常碰撞仍按本条策略覆盖；门板对外风险有动态位姿和停止模型。未实现的夹伤、锁扣破坏或外部关节损伤规则只列缺口，不能宣称已覆盖。</w:t>
      </w:r>
    </w:p>
    <w:p>
      <w:pPr>
        <w:pStyle w:val="Heading2"/>
      </w:pPr>
      <w:r>
        <w:t>10 2 已有案例的测量参考</w:t>
      </w:r>
    </w:p>
    <w:p>
      <w:r>
        <w:rPr>
          <w:rFonts w:ascii="Arial Unicode MS" w:hAnsi="Arial Unicode MS" w:eastAsia="Arial Unicode MS"/>
          <w:b w:val="0"/>
          <w:color w:val="000000"/>
        </w:rPr>
        <w:t>2026年10月23日人体芥末瓶案例 hs_pt_latest_review_20261023_022548 已完成原始采集、离线评价和视频。以下为该案例记录，不能作为所有任务的速度承诺或固定数据条数。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304"/>
        <w:gridCol w:w="7848"/>
      </w:tblGrid>
      <w:tr>
        <w:trPr>
          <w:tblHeader/>
          <w:cantSplit/>
        </w:trPr>
        <w:tc>
          <w:tcPr>
            <w:tcW w:type="dxa" w:w="2304"/>
            <w:vAlign w:val="center"/>
            <w:shd w:fill="E7EDF2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7848"/>
            <w:vAlign w:val="center"/>
            <w:shd w:fill="E7EDF2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该案例记录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模拟时长</w:t>
            </w:r>
          </w:p>
        </w:tc>
        <w:tc>
          <w:tcPr>
            <w:tcW w:type="dxa" w:w="7848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76.4 秒；2,292 个 30 Hz 观测和视频帧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原始证据</w:t>
            </w:r>
          </w:p>
        </w:tc>
        <w:tc>
          <w:tcPr>
            <w:tcW w:type="dxa" w:w="7848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9,168 物理步；563 份冻结 mesh；原始流约 1.17 GB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在线风险调用</w:t>
            </w:r>
          </w:p>
        </w:tc>
        <w:tc>
          <w:tcPr>
            <w:tcW w:type="dxa" w:w="7848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几何 0 次；等级评价 0 次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采集墙钟时间</w:t>
            </w:r>
          </w:p>
        </w:tc>
        <w:tc>
          <w:tcPr>
            <w:tcW w:type="dxa" w:w="7848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321.85 秒；来自 capture 阶段命令记录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离线评价</w:t>
            </w:r>
          </w:p>
        </w:tc>
        <w:tc>
          <w:tcPr>
            <w:tcW w:type="dxa" w:w="7848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阶段墙钟约 146.50 秒含原始校验；纯处理约 131.98 秒，其中 geometry 约 38.66 秒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渲染与视频</w:t>
            </w:r>
          </w:p>
        </w:tc>
        <w:tc>
          <w:tcPr>
            <w:tcW w:type="dxa" w:w="7848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渲染约 134.54 秒；视频约 132.21 秒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结论边界</w:t>
            </w:r>
          </w:p>
        </w:tc>
        <w:tc>
          <w:tcPr>
            <w:tcW w:type="dxa" w:w="7848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任务成功，三类几何完整；仍有停止模型、PT 审计和权威故障等证据缺口，不是完整安全认证</w:t>
            </w:r>
          </w:p>
        </w:tc>
      </w:tr>
    </w:tbl>
    <w:p>
      <w:pPr>
        <w:spacing w:after="20"/>
      </w:pPr>
    </w:p>
    <w:p>
      <w:pPr>
        <w:pStyle w:val="Heading2"/>
      </w:pPr>
      <w:r>
        <w:t>依据与维护</w:t>
      </w:r>
    </w:p>
    <w:p>
      <w:r>
        <w:rPr>
          <w:rFonts w:ascii="Arial Unicode MS" w:hAnsi="Arial Unicode MS" w:eastAsia="Arial Unicode MS"/>
          <w:b w:val="0"/>
          <w:color w:val="000000"/>
        </w:rPr>
        <w:t>本规范依据 2026年10月23日冻结的三份 Skill：robot-risk-asset-scope、robot-risk-offline-pipeline、robot-risk-hs-pt-rs-rules，以及其 references、ruleset.lock.json 和 SOURCE_MANIFEST.json。工程入口以 scripts/risk_capture_workflow.py、configs/risk_capture_workflow.json 和 docs/offline_risk_workflow.md 为准。</w:t>
      </w:r>
    </w:p>
    <w:p>
      <w:r>
        <w:rPr>
          <w:rFonts w:ascii="Arial Unicode MS" w:hAnsi="Arial Unicode MS" w:eastAsia="Arial Unicode MS"/>
          <w:b w:val="0"/>
          <w:color w:val="000000"/>
        </w:rPr>
        <w:t>这是数据契约与实施说明，不是安全认证。实验阈值和四级标签不能表述为 ISO 直接规定的数值。新任务先完成绑定和本任务验收；修改规则、频率、排除范围或后端均须显式版本化。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5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000000"/>
        <w:sz w:val="18"/>
      </w:rPr>
      <w:t xml:space="preserve">版本 1.0   2026年10月23日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 Unicode MS" w:hAnsi="Arial Unicode MS" w:eastAsia="Arial Unicode MS"/>
        <w:color w:val="000000"/>
        <w:sz w:val="18"/>
      </w:rPr>
      <w:t>RoboLaw 机器人风险数据规范   数据采集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20"/>
    </w:pPr>
    <w:rPr>
      <w:rFonts w:ascii="Arial Unicode MS" w:hAnsi="Arial Unicode MS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 w:line="420" w:lineRule="exact"/>
      <w:outlineLvl w:val="0"/>
    </w:pPr>
    <w:rPr>
      <w:rFonts w:cstheme="majorBidi" w:ascii="Arial Unicode MS" w:hAnsi="Arial Unicode MS" w:eastAsia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40" w:lineRule="exact"/>
      <w:outlineLvl w:val="1"/>
    </w:pPr>
    <w:rPr>
      <w:rFonts w:cstheme="majorBidi" w:ascii="Arial Unicode MS" w:hAnsi="Arial Unicode MS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 Unicode MS" w:hAnsi="Arial Unicode MS" w:eastAsia="Arial Unicode M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560" w:lineRule="exact" w:before="0"/>
      <w:contextualSpacing/>
    </w:pPr>
    <w:rPr>
      <w:rFonts w:cstheme="majorBidi" w:ascii="Arial Unicode MS" w:hAnsi="Arial Unicode MS" w:eastAsia="Arial Unicode M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20" w:lineRule="exact" w:after="200"/>
    </w:pPr>
    <w:rPr>
      <w:rFonts w:cstheme="majorBidi" w:ascii="Arial Unicode MS" w:hAnsi="Arial Unicode MS" w:eastAsia="Arial Unicode MS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机器人原始数据采集与离线安全评估规范</dc:title>
  <dc:subject>适用于 pick-and-place 与 articulation 的可迁移机器人风险数据契约</dc:subject>
  <dc:creator>RoboLaw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