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机器人风险数据输出标准格式</w:t>
      </w:r>
    </w:p>
    <w:p>
      <w:pPr>
        <w:pStyle w:val="Subtitle"/>
      </w:pPr>
      <w:r>
        <w:t>通用实施规范  第1版  2026年10月23日</w:t>
      </w:r>
    </w:p>
    <w:p>
      <w:r>
        <w:rPr>
          <w:rFonts w:ascii="Arial Unicode MS" w:hAnsi="Arial Unicode MS" w:eastAsia="Arial Unicode MS"/>
          <w:b w:val="0"/>
          <w:color w:val="000000"/>
        </w:rPr>
        <w:t>本文件规定一次机器人任务从原始证据到 HS 人体安全、PT 财产安全、RS 机器人本体安全及视频的交付格式。用于其他 agent 实现读取器、采集适配器、离线评价器和数据检查器，覆盖 pick-and-place、开门及抽屉等 articulation 任务。</w:t>
      </w:r>
    </w:p>
    <w:p>
      <w:pPr>
        <w:pStyle w:val="Heading2"/>
      </w:pPr>
      <w:r>
        <w:t>1 规范的适用方式</w:t>
      </w:r>
    </w:p>
    <w:p>
      <w:r>
        <w:rPr>
          <w:rFonts w:ascii="Arial Unicode MS" w:hAnsi="Arial Unicode MS" w:eastAsia="Arial Unicode MS"/>
          <w:b w:val="0"/>
          <w:color w:val="000000"/>
        </w:rPr>
        <w:t>本文件定义通用交换契约 robot-risk-exchange-1。它是本次提出的规范层，不表示现有仓库已原生实现全部字段。现有文件可保留，通过带版本的适配器建立字段映射；未支持字段必须明确缺测，不能改名伪装已实现。示例均为格式示意，不是新增采集结果。</w:t>
      </w:r>
    </w:p>
    <w:p>
      <w:r>
        <w:rPr>
          <w:rFonts w:ascii="Arial Unicode MS" w:hAnsi="Arial Unicode MS" w:eastAsia="Arial Unicode MS"/>
          <w:b w:val="0"/>
          <w:color w:val="000000"/>
        </w:rPr>
        <w:t>“必须”表示缺少便不能宣称相应结果可复现；“条件必须”表示只在某规则或任务适用时要求。原始证据不可覆盖。IR 关闭。在线只保存必需证据，风险距离、特征、判级、审计、RGB 和视频离线生成。</w:t>
      </w:r>
    </w:p>
    <w:p>
      <w:pPr>
        <w:pStyle w:val="Heading2"/>
      </w:pPr>
      <w:r>
        <w:t>2 通用逻辑目录</w:t>
      </w:r>
    </w:p>
    <w:p>
      <w:pPr>
        <w:spacing w:after="0" w:line="240" w:lineRule="exact"/>
      </w:pPr>
      <w:r>
        <w:rPr>
          <w:rFonts w:ascii="Menlo" w:hAnsi="Menlo" w:eastAsia="Arial Unicode MS"/>
          <w:color w:val="000000"/>
          <w:sz w:val="18"/>
        </w:rPr>
        <w:t>dataset/&lt;run_id&gt;/&lt;episode_id&gt;/</w:t>
      </w:r>
    </w:p>
    <w:p>
      <w:pPr>
        <w:spacing w:after="0" w:line="240" w:lineRule="exact"/>
      </w:pPr>
      <w:r>
        <w:rPr>
          <w:rFonts w:ascii="Menlo" w:hAnsi="Menlo" w:eastAsia="Arial Unicode MS"/>
          <w:color w:val="000000"/>
          <w:sz w:val="18"/>
        </w:rPr>
        <w:t xml:space="preserve">  manifest.json                 # 身份 版本 文件索引</w:t>
      </w:r>
    </w:p>
    <w:p>
      <w:pPr>
        <w:spacing w:after="0" w:line="240" w:lineRule="exact"/>
      </w:pPr>
      <w:r>
        <w:rPr>
          <w:rFonts w:ascii="Menlo" w:hAnsi="Menlo" w:eastAsia="Arial Unicode MS"/>
          <w:color w:val="000000"/>
          <w:sz w:val="18"/>
        </w:rPr>
        <w:t xml:space="preserve">  frozen/                      # 任务 角色 几何 规则 相机</w:t>
      </w:r>
    </w:p>
    <w:p>
      <w:pPr>
        <w:spacing w:after="0" w:line="240" w:lineRule="exact"/>
      </w:pPr>
      <w:r>
        <w:rPr>
          <w:rFonts w:ascii="Menlo" w:hAnsi="Menlo" w:eastAsia="Arial Unicode MS"/>
          <w:color w:val="000000"/>
          <w:sz w:val="18"/>
        </w:rPr>
        <w:t xml:space="preserve">  raw/                         # 原始状态 命令 接触 事件</w:t>
      </w:r>
    </w:p>
    <w:p>
      <w:pPr>
        <w:spacing w:after="0" w:line="240" w:lineRule="exact"/>
      </w:pPr>
      <w:r>
        <w:rPr>
          <w:rFonts w:ascii="Menlo" w:hAnsi="Menlo" w:eastAsia="Arial Unicode MS"/>
          <w:color w:val="000000"/>
          <w:sz w:val="18"/>
        </w:rPr>
        <w:t xml:space="preserve">  checks/raw_integrity.json     # 数量 哈希 覆盖和失败</w:t>
      </w:r>
    </w:p>
    <w:p>
      <w:pPr>
        <w:spacing w:after="0" w:line="240" w:lineRule="exact"/>
      </w:pPr>
      <w:r>
        <w:rPr>
          <w:rFonts w:ascii="Menlo" w:hAnsi="Menlo" w:eastAsia="Arial Unicode MS"/>
          <w:color w:val="000000"/>
          <w:sz w:val="18"/>
        </w:rPr>
        <w:t xml:space="preserve">  derived/&lt;evaluation_id&gt;/      # 离线特征 判级 诊断</w:t>
      </w:r>
    </w:p>
    <w:p>
      <w:pPr>
        <w:spacing w:after="0" w:line="240" w:lineRule="exact"/>
      </w:pPr>
      <w:r>
        <w:rPr>
          <w:rFonts w:ascii="Menlo" w:hAnsi="Menlo" w:eastAsia="Arial Unicode MS"/>
          <w:color w:val="000000"/>
          <w:sz w:val="18"/>
        </w:rPr>
        <w:t xml:space="preserve">  media/&lt;render_id&gt;/            # RGB 帧索引 视频及来源</w:t>
      </w:r>
    </w:p>
    <w:p>
      <w:pPr>
        <w:spacing w:after="20"/>
      </w:pPr>
    </w:p>
    <w:p>
      <w:r>
        <w:rPr>
          <w:rFonts w:ascii="Arial Unicode MS" w:hAnsi="Arial Unicode MS" w:eastAsia="Arial Unicode MS"/>
          <w:b w:val="0"/>
          <w:color w:val="000000"/>
        </w:rPr>
        <w:t>这是逻辑目录，允许物理存储采用 HDF5、NPZ 或分片。manifest 必须列出逻辑数据集到实际文件及数组的映射。多个环境分别有 episode_id；仿真重置或失败重试使用新的 attempt_id，禁止拼接为同一连续轨迹。</w:t>
      </w:r>
    </w:p>
    <w:p>
      <w:pPr>
        <w:pStyle w:val="Heading2"/>
      </w:pPr>
      <w:r>
        <w:t>3 交付状态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1656"/>
        <w:gridCol w:w="8496"/>
      </w:tblGrid>
      <w:tr>
        <w:trPr>
          <w:tblHeader/>
          <w:cantSplit/>
        </w:trPr>
        <w:tc>
          <w:tcPr>
            <w:tcW w:type="dxa" w:w="1656"/>
            <w:vAlign w:val="center"/>
            <w:shd w:fill="E7EDF2"/>
          </w:tcPr>
          <w:p>
            <w:pPr>
              <w:spacing w:after="0" w:line="280" w:lineRule="exact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阶段</w:t>
            </w:r>
          </w:p>
        </w:tc>
        <w:tc>
          <w:tcPr>
            <w:tcW w:type="dxa" w:w="8496"/>
            <w:vAlign w:val="center"/>
            <w:shd w:fill="E7EDF2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必需状态与含义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原始采集</w:t>
            </w:r>
          </w:p>
        </w:tc>
        <w:tc>
          <w:tcPr>
            <w:tcW w:type="dxa" w:w="8496"/>
            <w:vAlign w:val="center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capture_status=complete 且 evaluation_status=pending_offline；采集成功不代表已判级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6F8FA"/>
          </w:tcPr>
          <w:p>
            <w:pPr>
              <w:spacing w:after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离线评价</w:t>
            </w:r>
          </w:p>
        </w:tc>
        <w:tc>
          <w:tcPr>
            <w:tcW w:type="dxa" w:w="8496"/>
            <w:vAlign w:val="center"/>
            <w:shd w:fill="F6F8FA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evaluation_status=offline_replay；另列执行成功、几何覆盖、各类别证据完整性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媒体完成</w:t>
            </w:r>
          </w:p>
        </w:tc>
        <w:tc>
          <w:tcPr>
            <w:tcW w:type="dxa" w:w="8496"/>
            <w:vAlign w:val="center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记录 media_status 及来源 evaluation_id；任务成功与视频成功单独报告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6F8FA"/>
          </w:tcPr>
          <w:p>
            <w:pPr>
              <w:spacing w:after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失败或缺测</w:t>
            </w:r>
          </w:p>
        </w:tc>
        <w:tc>
          <w:tcPr>
            <w:tcW w:type="dxa" w:w="8496"/>
            <w:vAlign w:val="center"/>
            <w:shd w:fill="F6F8FA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记录 partial 或 failed、错误码、缺失通道和源步范围；不得冒称完整完成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4 身份 几何与范围清单</w:t>
      </w:r>
    </w:p>
    <w:p>
      <w:pPr>
        <w:pStyle w:val="Heading2"/>
      </w:pPr>
      <w:r>
        <w:t>4 1 清单字段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1656"/>
        <w:gridCol w:w="8496"/>
      </w:tblGrid>
      <w:tr>
        <w:trPr>
          <w:tblHeader/>
          <w:cantSplit/>
        </w:trPr>
        <w:tc>
          <w:tcPr>
            <w:tcW w:type="dxa" w:w="1656"/>
            <w:vAlign w:val="center"/>
            <w:shd w:fill="E7EDF2"/>
          </w:tcPr>
          <w:p>
            <w:pPr>
              <w:spacing w:after="0" w:line="280" w:lineRule="exact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字段组</w:t>
            </w:r>
          </w:p>
        </w:tc>
        <w:tc>
          <w:tcPr>
            <w:tcW w:type="dxa" w:w="8496"/>
            <w:vAlign w:val="center"/>
            <w:shd w:fill="E7EDF2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必须保存的内容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身份</w:t>
            </w:r>
          </w:p>
        </w:tc>
        <w:tc>
          <w:tcPr>
            <w:tcW w:type="dxa" w:w="8496"/>
            <w:vAlign w:val="center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schema_version、run_id、episode_id、attempt_id、env_id、task_id、scene_id、robot_ids、创建时间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6F8FA"/>
          </w:tcPr>
          <w:p>
            <w:pPr>
              <w:spacing w:after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复现</w:t>
            </w:r>
          </w:p>
        </w:tc>
        <w:tc>
          <w:tcPr>
            <w:tcW w:type="dxa" w:w="8496"/>
            <w:vAlign w:val="center"/>
            <w:shd w:fill="F6F8FA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任务配置和随机种子、实际随机化结果与允许范围、引擎及依赖版本、源码与未提交差异摘要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时钟</w:t>
            </w:r>
          </w:p>
        </w:tc>
        <w:tc>
          <w:tcPr>
            <w:tcW w:type="dxa" w:w="8496"/>
            <w:vAlign w:val="center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physics_hz、observation_hz、decision_hz、窗口步数、初始化序号、动作与观测因果顺序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6F8FA"/>
          </w:tcPr>
          <w:p>
            <w:pPr>
              <w:spacing w:after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坐标与单位</w:t>
            </w:r>
          </w:p>
        </w:tc>
        <w:tc>
          <w:tcPr>
            <w:tcW w:type="dxa" w:w="8496"/>
            <w:vAlign w:val="center"/>
            <w:shd w:fill="F6F8FA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世界坐标约定、重力方向、长度 m、时间 s、角度 rad、四元数 xyzw、矩阵存储次序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冻结摘要</w:t>
            </w:r>
          </w:p>
        </w:tc>
        <w:tc>
          <w:tcPr>
            <w:tcW w:type="dxa" w:w="8496"/>
            <w:vAlign w:val="center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task_hash、scope_hash、rules_hash、profile_hash、geometry_manifest_hash、backend_build_hash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6F8FA"/>
          </w:tcPr>
          <w:p>
            <w:pPr>
              <w:spacing w:after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文件索引</w:t>
            </w:r>
          </w:p>
        </w:tc>
        <w:tc>
          <w:tcPr>
            <w:tcW w:type="dxa" w:w="8496"/>
            <w:vAlign w:val="center"/>
            <w:shd w:fill="F6F8FA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相对路径、字节数、SHA-256、格式版本、数组形状和类型、记录数、首末源步、写入完成标志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/>
          <w:b w:val="0"/>
          <w:color w:val="000000"/>
        </w:rPr>
        <w:t>文件 SHA-256 对最终字节计算。配置语义摘要必须声明规范化算法；若无统一算法，直接冻结 UTF-8 文件字节并计算摘要。浮点显示精度不能改变判级输入。所有引用的冻结文件必须随数据可取得，不能只留主机绝对路径。</w:t>
      </w:r>
    </w:p>
    <w:p>
      <w:pPr>
        <w:pStyle w:val="Heading2"/>
      </w:pPr>
      <w:r>
        <w:t>4 2 资产与几何</w:t>
      </w:r>
    </w:p>
    <w:p>
      <w:r>
        <w:rPr>
          <w:rFonts w:ascii="Arial Unicode MS" w:hAnsi="Arial Unicode MS" w:eastAsia="Arial Unicode MS"/>
          <w:b w:val="0"/>
          <w:color w:val="000000"/>
        </w:rPr>
        <w:t>每个 asset_id 绑定完整 prim、actor、link、collider 路径，角色、刚体或关节属性及所属机器人或人体。geometry_id 绑定 vertices[Nv,3]、faces[Nt,3]、单位、拓扑与内容哈希；索引合法且使用零基。缩放和剪切必须烘焙进几何或以明确可重建的仿射链保存。每个实例绑定局部变换和动态刚体。曲面三角化误差及分辨率单独记录。</w:t>
      </w:r>
    </w:p>
    <w:p>
      <w:pPr>
        <w:pStyle w:val="Heading2"/>
      </w:pPr>
      <w:r>
        <w:t>4 3 关系与省略</w:t>
      </w:r>
    </w:p>
    <w:p>
      <w:r>
        <w:rPr>
          <w:rFonts w:ascii="Arial Unicode MS" w:hAnsi="Arial Unicode MS" w:eastAsia="Arial Unicode MS"/>
          <w:b w:val="0"/>
          <w:color w:val="000000"/>
        </w:rPr>
        <w:t>每个 relation_id 记录 source_id、target_id、category、rule_ids、active_phases、query_distance、persist_distance、evidence_only、grade_distance、grade_contact、grade_force、grade_impulse，以及 reason、authorization、guards 和策略摘要。acquisition_omission 另列，不能由距离排除自动推导。</w:t>
      </w:r>
    </w:p>
    <w:p>
      <w:r>
        <w:rPr>
          <w:rFonts w:ascii="Arial Unicode MS" w:hAnsi="Arial Unicode MS" w:eastAsia="Arial Unicode MS"/>
          <w:b w:val="0"/>
          <w:color w:val="000000"/>
        </w:rPr>
        <w:t>query_distance=false 的关系不生成逐帧距离字段、距离规则或伪 L0；在冻结清单记录一次即可。必要抓持测距可设置 query_distance=true、evidence_only=true、grade_distance=false。正常放入容器、预期支撑接触按任务角色绑定，不按“碗”“桌子”等名称作全局排除。</w:t>
      </w:r>
    </w:p>
    <w:p>
      <w:r>
        <w:br w:type="page"/>
      </w:r>
    </w:p>
    <w:p>
      <w:pPr>
        <w:pStyle w:val="Heading1"/>
      </w:pPr>
      <w:r>
        <w:t>5 原始运动数据格式</w:t>
      </w:r>
    </w:p>
    <w:p>
      <w:r>
        <w:rPr>
          <w:rFonts w:ascii="Arial Unicode MS" w:hAnsi="Arial Unicode MS" w:eastAsia="Arial Unicode MS"/>
          <w:b w:val="0"/>
          <w:color w:val="000000"/>
        </w:rPr>
        <w:t>所有数据记录源物理步和仿真时间。参考设置是 120 Hz 物理、30 Hz 动作观测、30 Hz 离线标签。刚体通道包括机器人、搬运物、受保护人体和关节资产各活动连杆；适用通道不得只保存末端或根节点。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3715"/>
        <w:gridCol w:w="2131"/>
        <w:gridCol w:w="4306"/>
      </w:tblGrid>
      <w:tr>
        <w:trPr>
          <w:tblHeader/>
          <w:cantSplit/>
        </w:trPr>
        <w:tc>
          <w:tcPr>
            <w:tcW w:type="dxa" w:w="3715"/>
            <w:vAlign w:val="center"/>
            <w:shd w:fill="E7EDF2"/>
          </w:tcPr>
          <w:p>
            <w:pPr>
              <w:spacing w:after="0" w:line="280" w:lineRule="exact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数据集或字段</w:t>
            </w:r>
          </w:p>
        </w:tc>
        <w:tc>
          <w:tcPr>
            <w:tcW w:type="dxa" w:w="2131"/>
            <w:vAlign w:val="center"/>
            <w:shd w:fill="E7EDF2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形状与类型</w:t>
            </w:r>
          </w:p>
        </w:tc>
        <w:tc>
          <w:tcPr>
            <w:tcW w:type="dxa" w:w="4306"/>
            <w:vAlign w:val="center"/>
            <w:shd w:fill="E7EDF2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约束</w:t>
            </w:r>
          </w:p>
        </w:tc>
      </w:tr>
      <w:tr>
        <w:trPr>
          <w:cantSplit/>
        </w:trPr>
        <w:tc>
          <w:tcPr>
            <w:tcW w:type="dxa" w:w="3715"/>
            <w:vAlign w:val="center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source_physics_step</w:t>
            </w:r>
          </w:p>
        </w:tc>
        <w:tc>
          <w:tcPr>
            <w:tcW w:type="dxa" w:w="2131"/>
            <w:vAlign w:val="center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int64 标量</w:t>
            </w:r>
          </w:p>
        </w:tc>
        <w:tc>
          <w:tcPr>
            <w:tcW w:type="dxa" w:w="4306"/>
            <w:vAlign w:val="center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严格递增；初始化单独标识</w:t>
            </w:r>
          </w:p>
        </w:tc>
      </w:tr>
      <w:tr>
        <w:trPr>
          <w:cantSplit/>
        </w:trPr>
        <w:tc>
          <w:tcPr>
            <w:tcW w:type="dxa" w:w="3715"/>
            <w:vAlign w:val="center"/>
            <w:shd w:fill="F6F8FA"/>
          </w:tcPr>
          <w:p>
            <w:pPr>
              <w:spacing w:after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sim_time_s</w:t>
            </w:r>
          </w:p>
        </w:tc>
        <w:tc>
          <w:tcPr>
            <w:tcW w:type="dxa" w:w="2131"/>
            <w:vAlign w:val="center"/>
            <w:shd w:fill="F6F8FA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float64 标量</w:t>
            </w:r>
          </w:p>
        </w:tc>
        <w:tc>
          <w:tcPr>
            <w:tcW w:type="dxa" w:w="4306"/>
            <w:vAlign w:val="center"/>
            <w:shd w:fill="F6F8FA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与物理时钟映射一致</w:t>
            </w:r>
          </w:p>
        </w:tc>
      </w:tr>
      <w:tr>
        <w:trPr>
          <w:cantSplit/>
        </w:trPr>
        <w:tc>
          <w:tcPr>
            <w:tcW w:type="dxa" w:w="3715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body_ids</w:t>
            </w:r>
          </w:p>
        </w:tc>
        <w:tc>
          <w:tcPr>
            <w:tcW w:type="dxa" w:w="2131"/>
            <w:vAlign w:val="center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string[B]</w:t>
            </w:r>
          </w:p>
        </w:tc>
        <w:tc>
          <w:tcPr>
            <w:tcW w:type="dxa" w:w="4306"/>
            <w:vAlign w:val="center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稳定 ID 到数组行索引</w:t>
            </w:r>
          </w:p>
        </w:tc>
      </w:tr>
      <w:tr>
        <w:trPr>
          <w:cantSplit/>
        </w:trPr>
        <w:tc>
          <w:tcPr>
            <w:tcW w:type="dxa" w:w="3715"/>
            <w:vAlign w:val="center"/>
            <w:shd w:fill="F6F8FA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position_world_m</w:t>
            </w:r>
          </w:p>
        </w:tc>
        <w:tc>
          <w:tcPr>
            <w:tcW w:type="dxa" w:w="2131"/>
            <w:vAlign w:val="center"/>
            <w:shd w:fill="F6F8FA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float[B,3]</w:t>
            </w:r>
          </w:p>
        </w:tc>
        <w:tc>
          <w:tcPr>
            <w:tcW w:type="dxa" w:w="4306"/>
            <w:vAlign w:val="center"/>
            <w:shd w:fill="F6F8FA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实际 actor 原点位置</w:t>
            </w:r>
          </w:p>
        </w:tc>
      </w:tr>
      <w:tr>
        <w:trPr>
          <w:cantSplit/>
        </w:trPr>
        <w:tc>
          <w:tcPr>
            <w:tcW w:type="dxa" w:w="3715"/>
            <w:vAlign w:val="center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orientation_world_xyzw</w:t>
            </w:r>
          </w:p>
        </w:tc>
        <w:tc>
          <w:tcPr>
            <w:tcW w:type="dxa" w:w="2131"/>
            <w:vAlign w:val="center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float[B,4]</w:t>
            </w:r>
          </w:p>
        </w:tc>
        <w:tc>
          <w:tcPr>
            <w:tcW w:type="dxa" w:w="4306"/>
            <w:vAlign w:val="center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有限且合法单位四元数</w:t>
            </w:r>
          </w:p>
        </w:tc>
      </w:tr>
      <w:tr>
        <w:trPr>
          <w:cantSplit/>
        </w:trPr>
        <w:tc>
          <w:tcPr>
            <w:tcW w:type="dxa" w:w="3715"/>
            <w:vAlign w:val="center"/>
            <w:shd w:fill="F6F8FA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com_position_world_m</w:t>
            </w:r>
          </w:p>
        </w:tc>
        <w:tc>
          <w:tcPr>
            <w:tcW w:type="dxa" w:w="2131"/>
            <w:vAlign w:val="center"/>
            <w:shd w:fill="F6F8FA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float[B,3]</w:t>
            </w:r>
          </w:p>
        </w:tc>
        <w:tc>
          <w:tcPr>
            <w:tcW w:type="dxa" w:w="4306"/>
            <w:vAlign w:val="center"/>
            <w:shd w:fill="F6F8FA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世界 COM 位置，不能用 actor 原点替代</w:t>
            </w:r>
          </w:p>
        </w:tc>
      </w:tr>
      <w:tr>
        <w:trPr>
          <w:cantSplit/>
        </w:trPr>
        <w:tc>
          <w:tcPr>
            <w:tcW w:type="dxa" w:w="3715"/>
            <w:vAlign w:val="center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com_linear_velocity_world_mps</w:t>
            </w:r>
          </w:p>
        </w:tc>
        <w:tc>
          <w:tcPr>
            <w:tcW w:type="dxa" w:w="2131"/>
            <w:vAlign w:val="center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float[B,3]</w:t>
            </w:r>
          </w:p>
        </w:tc>
        <w:tc>
          <w:tcPr>
            <w:tcW w:type="dxa" w:w="4306"/>
            <w:vAlign w:val="center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实际 COM 线速度</w:t>
            </w:r>
          </w:p>
        </w:tc>
      </w:tr>
      <w:tr>
        <w:trPr>
          <w:cantSplit/>
        </w:trPr>
        <w:tc>
          <w:tcPr>
            <w:tcW w:type="dxa" w:w="3715"/>
            <w:vAlign w:val="center"/>
            <w:shd w:fill="F6F8FA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angular_velocity_world_radps</w:t>
            </w:r>
          </w:p>
        </w:tc>
        <w:tc>
          <w:tcPr>
            <w:tcW w:type="dxa" w:w="2131"/>
            <w:vAlign w:val="center"/>
            <w:shd w:fill="F6F8FA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float[B,3]</w:t>
            </w:r>
          </w:p>
        </w:tc>
        <w:tc>
          <w:tcPr>
            <w:tcW w:type="dxa" w:w="4306"/>
            <w:vAlign w:val="center"/>
            <w:shd w:fill="F6F8FA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世界角速度</w:t>
            </w:r>
          </w:p>
        </w:tc>
      </w:tr>
      <w:tr>
        <w:trPr>
          <w:cantSplit/>
        </w:trPr>
        <w:tc>
          <w:tcPr>
            <w:tcW w:type="dxa" w:w="3715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joint_ids</w:t>
            </w:r>
          </w:p>
        </w:tc>
        <w:tc>
          <w:tcPr>
            <w:tcW w:type="dxa" w:w="2131"/>
            <w:vAlign w:val="center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string[J]</w:t>
            </w:r>
          </w:p>
        </w:tc>
        <w:tc>
          <w:tcPr>
            <w:tcW w:type="dxa" w:w="4306"/>
            <w:vAlign w:val="center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受控机器人与外部关节分别绑定</w:t>
            </w:r>
          </w:p>
        </w:tc>
      </w:tr>
      <w:tr>
        <w:trPr>
          <w:cantSplit/>
        </w:trPr>
        <w:tc>
          <w:tcPr>
            <w:tcW w:type="dxa" w:w="3715"/>
            <w:vAlign w:val="center"/>
            <w:shd w:fill="F6F8FA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q dq applied_effort</w:t>
            </w:r>
          </w:p>
        </w:tc>
        <w:tc>
          <w:tcPr>
            <w:tcW w:type="dxa" w:w="2131"/>
            <w:vAlign w:val="center"/>
            <w:shd w:fill="F6F8FA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float[J] 各一组</w:t>
            </w:r>
          </w:p>
        </w:tc>
        <w:tc>
          <w:tcPr>
            <w:tcW w:type="dxa" w:w="4306"/>
            <w:vAlign w:val="center"/>
            <w:shd w:fill="F6F8FA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转动 rad、rad/s、N·m；移动 m、m/s、N；逐关节声明</w:t>
            </w:r>
          </w:p>
        </w:tc>
      </w:tr>
      <w:tr>
        <w:trPr>
          <w:cantSplit/>
        </w:trPr>
        <w:tc>
          <w:tcPr>
            <w:tcW w:type="dxa" w:w="3715"/>
            <w:vAlign w:val="center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limits 与 effort_limits</w:t>
            </w:r>
          </w:p>
        </w:tc>
        <w:tc>
          <w:tcPr>
            <w:tcW w:type="dxa" w:w="2131"/>
            <w:vAlign w:val="center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冻结数组或时变数组</w:t>
            </w:r>
          </w:p>
        </w:tc>
        <w:tc>
          <w:tcPr>
            <w:tcW w:type="dxa" w:w="4306"/>
            <w:vAlign w:val="center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单位、来源、适用关节及时间</w:t>
            </w:r>
          </w:p>
        </w:tc>
      </w:tr>
      <w:tr>
        <w:trPr>
          <w:cantSplit/>
        </w:trPr>
        <w:tc>
          <w:tcPr>
            <w:tcW w:type="dxa" w:w="3715"/>
            <w:vAlign w:val="center"/>
            <w:shd w:fill="F6F8FA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validity 与 missing</w:t>
            </w:r>
          </w:p>
        </w:tc>
        <w:tc>
          <w:tcPr>
            <w:tcW w:type="dxa" w:w="2131"/>
            <w:vAlign w:val="center"/>
            <w:shd w:fill="F6F8FA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掩码和原因</w:t>
            </w:r>
          </w:p>
        </w:tc>
        <w:tc>
          <w:tcPr>
            <w:tcW w:type="dxa" w:w="4306"/>
            <w:vAlign w:val="center"/>
            <w:shd w:fill="F6F8FA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按实体和通道给出，不能只用全帧有效</w:t>
            </w:r>
          </w:p>
        </w:tc>
      </w:tr>
    </w:tbl>
    <w:p>
      <w:pPr>
        <w:spacing w:after="20"/>
      </w:pPr>
    </w:p>
    <w:p>
      <w:pPr>
        <w:pStyle w:val="Heading2"/>
      </w:pPr>
      <w:r>
        <w:t>5 1 状态重建</w:t>
      </w:r>
    </w:p>
    <w:p>
      <w:r>
        <w:rPr>
          <w:rFonts w:ascii="Arial Unicode MS" w:hAnsi="Arial Unicode MS" w:eastAsia="Arial Unicode MS"/>
          <w:b w:val="0"/>
          <w:color w:val="000000"/>
        </w:rPr>
        <w:t>每物理步必须能恢复所有纳入几何的世界位置。关节资产保存逐连杆位姿及运动，或保存能精确恢复它们的实际 joint 状态和冻结运动学。只有 30 Hz 渲染位姿不能自动满足任意 articulation 的 120 Hz 原始运动要求。形变人体需逐时刻顶点，或足以恢复顶点和表面速度的骨骼及 skinning 数据；刚体通道不足时明确未支持。</w:t>
      </w:r>
    </w:p>
    <w:p>
      <w:r>
        <w:rPr>
          <w:rFonts w:ascii="Arial Unicode MS" w:hAnsi="Arial Unicode MS" w:eastAsia="Arial Unicode MS"/>
          <w:b w:val="0"/>
          <w:color w:val="000000"/>
        </w:rPr>
        <w:t>转动与移动关节分开标注 joint_type 和单位。外部抽屉的 m 与 N 不能填入机器人 rad 与 N·m 字段；当前 RS 的 1 度限位预算不直接适用于移动关节，新增适用性须显式定义。</w:t>
      </w:r>
    </w:p>
    <w:p>
      <w:pPr>
        <w:pStyle w:val="Heading2"/>
      </w:pPr>
      <w:r>
        <w:t>5 2 非有限值</w:t>
      </w:r>
    </w:p>
    <w:p>
      <w:r>
        <w:rPr>
          <w:rFonts w:ascii="Arial Unicode MS" w:hAnsi="Arial Unicode MS" w:eastAsia="Arial Unicode MS"/>
          <w:b w:val="0"/>
          <w:color w:val="000000"/>
        </w:rPr>
        <w:t>JSON 禁止 NaN 与 Infinity；无效标量输出 null 并写原因。二进制数组必须配套有效性掩码；若内部使用 NaN 哨兵，不能被当作测量传给评价器，交换记录必须转 null。未测量、未加载、不适用与实际测得零不能合并。</w:t>
      </w:r>
    </w:p>
    <w:p>
      <w:r>
        <w:br w:type="page"/>
      </w:r>
    </w:p>
    <w:p>
      <w:pPr>
        <w:pStyle w:val="Heading1"/>
      </w:pPr>
      <w:r>
        <w:t>6 原始接触 命令与事件</w:t>
      </w:r>
    </w:p>
    <w:p>
      <w:pPr>
        <w:pStyle w:val="Heading2"/>
      </w:pPr>
      <w:r>
        <w:t>6 1 接触事件字段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1987"/>
        <w:gridCol w:w="8165"/>
      </w:tblGrid>
      <w:tr>
        <w:trPr>
          <w:tblHeader/>
          <w:cantSplit/>
        </w:trPr>
        <w:tc>
          <w:tcPr>
            <w:tcW w:type="dxa" w:w="1987"/>
            <w:vAlign w:val="center"/>
            <w:shd w:fill="E7EDF2"/>
          </w:tcPr>
          <w:p>
            <w:pPr>
              <w:spacing w:after="0" w:line="280" w:lineRule="exact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8165"/>
            <w:vAlign w:val="center"/>
            <w:shd w:fill="E7EDF2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要求</w:t>
            </w:r>
          </w:p>
        </w:tc>
      </w:tr>
      <w:tr>
        <w:trPr>
          <w:cantSplit/>
        </w:trPr>
        <w:tc>
          <w:tcPr>
            <w:tcW w:type="dxa" w:w="1987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事件身份</w:t>
            </w:r>
          </w:p>
        </w:tc>
        <w:tc>
          <w:tcPr>
            <w:tcW w:type="dxa" w:w="8165"/>
            <w:vAlign w:val="center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event_id、episode_id、source_physics_step、sim_time_s、事件类型</w:t>
            </w:r>
          </w:p>
        </w:tc>
      </w:tr>
      <w:tr>
        <w:trPr>
          <w:cantSplit/>
        </w:trPr>
        <w:tc>
          <w:tcPr>
            <w:tcW w:type="dxa" w:w="1987"/>
            <w:vAlign w:val="center"/>
            <w:shd w:fill="F6F8FA"/>
          </w:tcPr>
          <w:p>
            <w:pPr>
              <w:spacing w:after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两端身份</w:t>
            </w:r>
          </w:p>
        </w:tc>
        <w:tc>
          <w:tcPr>
            <w:tcW w:type="dxa" w:w="8165"/>
            <w:vAlign w:val="center"/>
            <w:shd w:fill="F6F8FA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body0_id/body1_id、collider0_id/collider1_id；路径映射必须可解引用</w:t>
            </w:r>
          </w:p>
        </w:tc>
      </w:tr>
      <w:tr>
        <w:trPr>
          <w:cantSplit/>
        </w:trPr>
        <w:tc>
          <w:tcPr>
            <w:tcW w:type="dxa" w:w="1987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接触点</w:t>
            </w:r>
          </w:p>
        </w:tc>
        <w:tc>
          <w:tcPr>
            <w:tcW w:type="dxa" w:w="8165"/>
            <w:vAlign w:val="center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world_position_m[3]、normal_world[3]、impulse_world_Ns[3]、separation_m</w:t>
            </w:r>
          </w:p>
        </w:tc>
      </w:tr>
      <w:tr>
        <w:trPr>
          <w:cantSplit/>
        </w:trPr>
        <w:tc>
          <w:tcPr>
            <w:tcW w:type="dxa" w:w="1987"/>
            <w:vAlign w:val="center"/>
            <w:shd w:fill="F6F8FA"/>
          </w:tcPr>
          <w:p>
            <w:pPr>
              <w:spacing w:after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方向语义</w:t>
            </w:r>
          </w:p>
        </w:tc>
        <w:tc>
          <w:tcPr>
            <w:tcW w:type="dxa" w:w="8165"/>
            <w:vAlign w:val="center"/>
            <w:shd w:fill="F6F8FA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说明法向和冲量作用于哪一端；交换两端时向量符号一致处理</w:t>
            </w:r>
          </w:p>
        </w:tc>
      </w:tr>
      <w:tr>
        <w:trPr>
          <w:cantSplit/>
        </w:trPr>
        <w:tc>
          <w:tcPr>
            <w:tcW w:type="dxa" w:w="1987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覆盖</w:t>
            </w:r>
          </w:p>
        </w:tc>
        <w:tc>
          <w:tcPr>
            <w:tcW w:type="dxa" w:w="8165"/>
            <w:vAlign w:val="center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订阅的对象和事件范围、起止步、订阅或缓冲错误、完整性标记</w:t>
            </w:r>
          </w:p>
        </w:tc>
      </w:tr>
      <w:tr>
        <w:trPr>
          <w:cantSplit/>
        </w:trPr>
        <w:tc>
          <w:tcPr>
            <w:tcW w:type="dxa" w:w="1987"/>
            <w:vAlign w:val="center"/>
            <w:shd w:fill="F6F8FA"/>
          </w:tcPr>
          <w:p>
            <w:pPr>
              <w:spacing w:after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空事件</w:t>
            </w:r>
          </w:p>
        </w:tc>
        <w:tc>
          <w:tcPr>
            <w:tcW w:type="dxa" w:w="8165"/>
            <w:vAlign w:val="center"/>
            <w:shd w:fill="F6F8FA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只有覆盖完整的物理步无报告，才可推导该范围没有接触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/>
          <w:b w:val="0"/>
          <w:color w:val="000000"/>
        </w:rPr>
        <w:t>接触力若未直接提供，在线不从冲量计算风险力。离线 PT 使用同一 body pair 每物理步净冲量向量范数，再在四步窗口取最大；保留原始点及方向以复现。距离-only 排除不删除仍供力、冲量、抓持或掉落使用的原始接触。</w:t>
      </w:r>
    </w:p>
    <w:p>
      <w:pPr>
        <w:pStyle w:val="Heading2"/>
      </w:pPr>
      <w:r>
        <w:t>6 2 动作和观测</w:t>
      </w:r>
    </w:p>
    <w:p>
      <w:r>
        <w:rPr>
          <w:rFonts w:ascii="Arial Unicode MS" w:hAnsi="Arial Unicode MS" w:eastAsia="Arial Unicode MS"/>
          <w:b w:val="0"/>
          <w:color w:val="000000"/>
        </w:rPr>
        <w:t>每条实际命令记录 command_id、action_index、调用次序、命令类型、目标实体、实际提交参数及单位、提交时刻、对应动作前 observation_id、写入返回或异常。规划目标与实际命令分别存储；命令力矩不能充当实际施加力矩。动作前观测引用该命令之前已完成的源物理步。</w:t>
      </w:r>
    </w:p>
    <w:p>
      <w:pPr>
        <w:pStyle w:val="Heading2"/>
      </w:pPr>
      <w:r>
        <w:t>6 3 故障与任务原始信号</w:t>
      </w:r>
    </w:p>
    <w:p>
      <w:r>
        <w:rPr>
          <w:rFonts w:ascii="Arial Unicode MS" w:hAnsi="Arial Unicode MS" w:eastAsia="Arial Unicode MS"/>
          <w:b w:val="0"/>
          <w:color w:val="000000"/>
        </w:rPr>
        <w:t>故障流保存故障码、权威来源、首次及恢复时刻、关联关节和遥测覆盖。没有异常日志不等于权威故障通道正常。命令写异常和无效遥测可作为已观察事件，但必须与权威驱动故障状态区分。保存手指实际关节、手物位姿和原始任务阶段信号；held、supported、drop 为离线推断结果。</w:t>
      </w:r>
    </w:p>
    <w:p>
      <w:pPr>
        <w:pStyle w:val="Heading2"/>
      </w:pPr>
      <w:r>
        <w:t>6 4 时间窗口</w:t>
      </w:r>
    </w:p>
    <w:p>
      <w:r>
        <w:rPr>
          <w:rFonts w:ascii="Arial Unicode MS" w:hAnsi="Arial Unicode MS" w:eastAsia="Arial Unicode MS"/>
          <w:b w:val="0"/>
          <w:color w:val="000000"/>
        </w:rPr>
        <w:t>每个标签包含 window_start_step、window_end_step、expected_steps、observed_steps 及 source_physics_step。窗口应为四个连续物理步且无重叠或漏步的解释歧义。初始化若不足四步，记录不完整，不能补零接触。评价完成时间使用独立 wall_time，不替换源时间。改变频率或窗口必须另立版本。</w:t>
      </w:r>
    </w:p>
    <w:p>
      <w:r>
        <w:br w:type="page"/>
      </w:r>
    </w:p>
    <w:p>
      <w:pPr>
        <w:pStyle w:val="Heading1"/>
      </w:pPr>
      <w:r>
        <w:t>7 离线风险特征输出</w:t>
      </w:r>
    </w:p>
    <w:p>
      <w:r>
        <w:rPr>
          <w:rFonts w:ascii="Arial Unicode MS" w:hAnsi="Arial Unicode MS" w:eastAsia="Arial Unicode MS"/>
          <w:b w:val="0"/>
          <w:color w:val="000000"/>
        </w:rPr>
        <w:t>features.jsonl 是可完整表达嵌套状态的主记录；risk_features.csv 是扁平查看副本，不替代原始证据和规则记录。每条特征绑定 episode_id、evaluation_id、source_physics_step、relation_id、单位、validity、source_refs、scope_hash 和 profile_hash。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1656"/>
        <w:gridCol w:w="8496"/>
      </w:tblGrid>
      <w:tr>
        <w:trPr>
          <w:tblHeader/>
          <w:cantSplit/>
        </w:trPr>
        <w:tc>
          <w:tcPr>
            <w:tcW w:type="dxa" w:w="1656"/>
            <w:vAlign w:val="center"/>
            <w:shd w:fill="E7EDF2"/>
          </w:tcPr>
          <w:p>
            <w:pPr>
              <w:spacing w:after="0" w:line="280" w:lineRule="exact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类别</w:t>
            </w:r>
          </w:p>
        </w:tc>
        <w:tc>
          <w:tcPr>
            <w:tcW w:type="dxa" w:w="8496"/>
            <w:vAlign w:val="center"/>
            <w:shd w:fill="E7EDF2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应输出的特征及相关规则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HS 距离</w:t>
            </w:r>
          </w:p>
        </w:tc>
        <w:tc>
          <w:tcPr>
            <w:tcW w:type="dxa" w:w="8496"/>
            <w:vAlign w:val="center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完整表面距离 D、来源、两端碰撞体身份、各端表面速度、停止模型、反应及制动项、保护距离 S、裕量 M、主导关系；HS-DIST-001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6F8FA"/>
          </w:tcPr>
          <w:p>
            <w:pPr>
              <w:spacing w:after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HS 接触与诊断</w:t>
            </w:r>
          </w:p>
        </w:tc>
        <w:tc>
          <w:tcPr>
            <w:tcW w:type="dxa" w:w="8496"/>
            <w:vAlign w:val="center"/>
            <w:shd w:fill="F6F8FA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有效人体接触、覆盖和事件引用；HS-COLL-001。距离差分接近速度、TTC 仅诊断；HS-TTC-001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PT 距离</w:t>
            </w:r>
          </w:p>
        </w:tc>
        <w:tc>
          <w:tcPr>
            <w:tcW w:type="dxa" w:w="8496"/>
            <w:vAlign w:val="center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有效关系距离、适用性、抓持与支撑状态、S_PT、警戒外边界、最近有效距离及关系；PT-DIST-001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6F8FA"/>
          </w:tcPr>
          <w:p>
            <w:pPr>
              <w:spacing w:after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PT 冲击</w:t>
            </w:r>
          </w:p>
        </w:tc>
        <w:tc>
          <w:tcPr>
            <w:tcW w:type="dxa" w:w="8496"/>
            <w:vAlign w:val="center"/>
            <w:shd w:fill="F6F8FA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逐步净冲量及四步最大值、dt、力代理值、统计标识、材料代理限值与不确定性；PT-FORCE-002、PT-IMP-002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PT 掉落与审计</w:t>
            </w:r>
          </w:p>
        </w:tc>
        <w:tc>
          <w:tcPr>
            <w:tcW w:type="dxa" w:w="8496"/>
            <w:vAlign w:val="center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掉落事件、实测下降速度与高度、阈值来源；PT-DROP-001。支撑裕量 PT-SUP-001 和损伤 PT-DMG-001 当前 audit_only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6F8FA"/>
          </w:tcPr>
          <w:p>
            <w:pPr>
              <w:spacing w:after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RS 关节</w:t>
            </w:r>
          </w:p>
        </w:tc>
        <w:tc>
          <w:tcPr>
            <w:tcW w:type="dxa" w:w="8496"/>
            <w:vAlign w:val="center"/>
            <w:shd w:fill="F6F8FA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实际力矩、额定限矩、最大比值、不确定性；RS-TORQ-001。限位最小裕量、主导关节和不确定性；RS-JOINT-001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RS 碰撞与故障</w:t>
            </w:r>
          </w:p>
        </w:tc>
        <w:tc>
          <w:tcPr>
            <w:tcW w:type="dxa" w:w="8496"/>
            <w:vAlign w:val="center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完整机器人自碰撞对、结构白名单与覆盖；RS-SELF-001。故障身份、故障后实际运动、锚点与覆盖；RS-FAULT-001</w:t>
            </w:r>
          </w:p>
        </w:tc>
      </w:tr>
    </w:tbl>
    <w:p>
      <w:pPr>
        <w:spacing w:after="20"/>
      </w:pPr>
    </w:p>
    <w:p>
      <w:pPr>
        <w:pStyle w:val="Heading2"/>
      </w:pPr>
      <w:r>
        <w:t>7 1 几何结果的固定口径</w:t>
      </w:r>
    </w:p>
    <w:p>
      <w:r>
        <w:rPr>
          <w:rFonts w:ascii="Arial Unicode MS" w:hAnsi="Arial Unicode MS" w:eastAsia="Arial Unicode MS"/>
          <w:b w:val="0"/>
          <w:color w:val="000000"/>
        </w:rPr>
        <w:t>使用冻结 gDist 的完整 authored 碰撞三角表面，FP32 无符号最小距离；不是解析曲面距离或穿透深度。metric=gdist_authored_collision_surface_distance。源标识保留 link_target_gdist_surface_distance_gt 或 pt_environment_gdist_surface_distance_gt 等实际来源，适配器不能伪造来源门槛。</w:t>
      </w:r>
    </w:p>
    <w:p>
      <w:r>
        <w:rPr>
          <w:rFonts w:ascii="Arial Unicode MS" w:hAnsi="Arial Unicode MS" w:eastAsia="Arial Unicode MS"/>
          <w:b w:val="0"/>
          <w:color w:val="000000"/>
        </w:rPr>
        <w:t>当前桥接没有导出最近点坐标：nearest_points_world_m=null、nearest_points_valid=false。不能用零坐标、bbox 最近点或任意顶点画“真实距离线”。几何距离为零不能单独证明 PhysX 人体接触，表面包含也不能被宣传为完整实体碰撞检测。</w:t>
      </w:r>
    </w:p>
    <w:p>
      <w:r>
        <w:br w:type="page"/>
      </w:r>
    </w:p>
    <w:p>
      <w:pPr>
        <w:pStyle w:val="Heading1"/>
      </w:pPr>
      <w:r>
        <w:t>8 等级 状态与证据记录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3096"/>
        <w:gridCol w:w="7056"/>
      </w:tblGrid>
      <w:tr>
        <w:trPr>
          <w:tblHeader/>
          <w:cantSplit/>
        </w:trPr>
        <w:tc>
          <w:tcPr>
            <w:tcW w:type="dxa" w:w="3096"/>
            <w:vAlign w:val="center"/>
            <w:shd w:fill="E7EDF2"/>
          </w:tcPr>
          <w:p>
            <w:pPr>
              <w:spacing w:after="0" w:line="280" w:lineRule="exact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7056"/>
            <w:vAlign w:val="center"/>
            <w:shd w:fill="E7EDF2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类型与语义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rule_id relation_id category</w:t>
            </w:r>
          </w:p>
        </w:tc>
        <w:tc>
          <w:tcPr>
            <w:tcW w:type="dxa" w:w="7056"/>
            <w:vAlign w:val="center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字符串；类别 HS/PT/RS；关系型规则必须有唯一关系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6F8FA"/>
          </w:tcPr>
          <w:p>
            <w:pPr>
              <w:spacing w:after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level</w:t>
            </w:r>
          </w:p>
        </w:tc>
        <w:tc>
          <w:tcPr>
            <w:tcW w:type="dxa" w:w="7056"/>
            <w:vAlign w:val="center"/>
            <w:shd w:fill="F6F8FA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L0/L1/L2/L3 或 null；按已知结果聚合，不用字符串“未知”作大小比较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complete missing</w:t>
            </w:r>
          </w:p>
        </w:tc>
        <w:tc>
          <w:tcPr>
            <w:tcW w:type="dxa" w:w="7056"/>
            <w:vAlign w:val="center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布尔及缺测原因数组；等级已知也可能 complete=false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6F8FA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evaluation_status</w:t>
            </w:r>
          </w:p>
        </w:tc>
        <w:tc>
          <w:tcPr>
            <w:tcW w:type="dxa" w:w="7056"/>
            <w:vAlign w:val="center"/>
            <w:shd w:fill="F6F8FA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evaluated、partial_known_results、not_applicable、audit_only 或 diagnostic_only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evidence source_refs</w:t>
            </w:r>
          </w:p>
        </w:tc>
        <w:tc>
          <w:tcPr>
            <w:tcW w:type="dxa" w:w="7056"/>
            <w:vAlign w:val="center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结构化证据值与原始记录引用，包含文件和源步或记录 ID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6F8FA"/>
          </w:tcPr>
          <w:p>
            <w:pPr>
              <w:spacing w:after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版本与摘要</w:t>
            </w:r>
          </w:p>
        </w:tc>
        <w:tc>
          <w:tcPr>
            <w:tcW w:type="dxa" w:w="7056"/>
            <w:vAlign w:val="center"/>
            <w:shd w:fill="F6F8FA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rules_version、profile_hash、scope_hash、geometry_manifest_hash、backend_build_hash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source_level</w:t>
            </w:r>
          </w:p>
        </w:tc>
        <w:tc>
          <w:tcPr>
            <w:tcW w:type="dxa" w:w="7056"/>
            <w:vAlign w:val="center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条件字段；兼容源值与最终活动判级不一致时保留原值和解释</w:t>
            </w:r>
          </w:p>
        </w:tc>
      </w:tr>
    </w:tbl>
    <w:p>
      <w:pPr>
        <w:spacing w:after="20"/>
      </w:pPr>
    </w:p>
    <w:p>
      <w:pPr>
        <w:pStyle w:val="Heading2"/>
      </w:pPr>
      <w:r>
        <w:t>8 1 聚合与完整性</w:t>
      </w:r>
    </w:p>
    <w:p>
      <w:r>
        <w:rPr>
          <w:rFonts w:ascii="Arial Unicode MS" w:hAnsi="Arial Unicode MS" w:eastAsia="Arial Unicode MS"/>
          <w:b w:val="0"/>
          <w:color w:val="000000"/>
        </w:rPr>
        <w:t>类别等级取其活动规则已知等级的最大值，没有有效已知结果则为 null。已知 L2 或 L3 不因其他缺测丢失；L0 也不代表所有证据完整。类别与整体必须同时给 level、data_complete、missing、known_rule_count、required_rule_count 及适用性。几何全量与类别证据完整分别报告。</w:t>
      </w:r>
    </w:p>
    <w:p>
      <w:pPr>
        <w:pStyle w:val="Heading2"/>
      </w:pPr>
      <w:r>
        <w:t>8 2 特殊状态</w:t>
      </w:r>
    </w:p>
    <w:p>
      <w:r>
        <w:rPr>
          <w:rFonts w:ascii="Arial Unicode MS" w:hAnsi="Arial Unicode MS" w:eastAsia="Arial Unicode MS"/>
          <w:b w:val="0"/>
          <w:color w:val="000000"/>
        </w:rPr>
        <w:t>明确省略项只在范围清单中标 omitted_by_policy，不生成逐帧空距离或伪 L0。IR disabled 且 level=null，不参与活动类别覆盖。HS-TTC 只诊断；PT-SUP 和 PT-DMG 仅审计，最终 level=null，不参与等级。</w:t>
      </w:r>
    </w:p>
    <w:p>
      <w:r>
        <w:rPr>
          <w:rFonts w:ascii="Arial Unicode MS" w:hAnsi="Arial Unicode MS" w:eastAsia="Arial Unicode MS"/>
          <w:b w:val="0"/>
          <w:color w:val="000000"/>
        </w:rPr>
        <w:t>当前无人兼容行为可能输出 HS=L0、status=not_applicable；必须同时保留该状态和 verified_absent 的闭世界证据，不称为已测得人体安全。现有整体聚合可能包含此兼容值，应保存 source_level 与 aggregation_version，不能在导出时静默改历史结果。</w:t>
      </w:r>
    </w:p>
    <w:p>
      <w:r>
        <w:rPr>
          <w:rFonts w:ascii="Arial Unicode MS" w:hAnsi="Arial Unicode MS" w:eastAsia="Arial Unicode MS"/>
          <w:b w:val="0"/>
          <w:color w:val="000000"/>
        </w:rPr>
        <w:t>未抓持物距离、完全抓持豁免和已证实支撑距离在部分源路径返回兼容 L0，但不进入最近有效距离。最近有效距离为空时输出 null 和原因，不输出 0。compatibility 状态必须保留，防止统计时把不适用项计为真实安全样本。</w:t>
      </w:r>
    </w:p>
    <w:p>
      <w:pPr>
        <w:pStyle w:val="Heading2"/>
      </w:pPr>
      <w:r>
        <w:t>8 3 规则稳定性</w:t>
      </w:r>
    </w:p>
    <w:p>
      <w:r>
        <w:rPr>
          <w:rFonts w:ascii="Arial Unicode MS" w:hAnsi="Arial Unicode MS" w:eastAsia="Arial Unicode MS"/>
          <w:b w:val="0"/>
          <w:color w:val="000000"/>
        </w:rPr>
        <w:t>HS 使用动态表面速度与关系独立保护边界；PT 使用 v4；RS 使用冻结的力矩、限位、自碰撞和故障后运动规则。边界、容差和事件统计以第三份 Skill 的冻结实现为准。仅运行基础评价器，不应用动态 HS 和 Arena 适用性及已知结果聚合，不能声称结果等价。</w:t>
      </w:r>
    </w:p>
    <w:p>
      <w:r>
        <w:br w:type="page"/>
      </w:r>
    </w:p>
    <w:p>
      <w:pPr>
        <w:pStyle w:val="Heading1"/>
      </w:pPr>
      <w:r>
        <w:t>9 交换记录示例</w:t>
      </w:r>
    </w:p>
    <w:p>
      <w:r>
        <w:rPr>
          <w:rFonts w:ascii="Arial Unicode MS" w:hAnsi="Arial Unicode MS" w:eastAsia="Arial Unicode MS"/>
          <w:b w:val="0"/>
          <w:color w:val="000000"/>
        </w:rPr>
        <w:t>以下键名属于通用交换契约。hash_ref 是本条 manifest 中完整 SHA-256 的引用；读取器必须能解引用。示例省略号不属于允许写入的 JSON 值，实际文件必须是合法 UTF-8 JSON。下面的示例没有使用省略号。</w:t>
      </w:r>
    </w:p>
    <w:p>
      <w:pPr>
        <w:pStyle w:val="Heading2"/>
      </w:pPr>
      <w:r>
        <w:t>9 1 原始状态索引记录</w:t>
      </w:r>
    </w:p>
    <w:p>
      <w:pPr>
        <w:spacing w:after="0" w:line="240" w:lineRule="exact"/>
      </w:pPr>
      <w:r>
        <w:rPr>
          <w:rFonts w:ascii="Menlo" w:hAnsi="Menlo" w:eastAsia="Arial Unicode MS"/>
          <w:color w:val="000000"/>
          <w:sz w:val="18"/>
        </w:rPr>
        <w:t>{</w:t>
      </w:r>
    </w:p>
    <w:p>
      <w:pPr>
        <w:spacing w:after="0" w:line="240" w:lineRule="exact"/>
      </w:pPr>
      <w:r>
        <w:rPr>
          <w:rFonts w:ascii="Menlo" w:hAnsi="Menlo" w:eastAsia="Arial Unicode MS"/>
          <w:color w:val="000000"/>
          <w:sz w:val="18"/>
        </w:rPr>
        <w:t xml:space="preserve">  "schema_version": "robot-risk-exchange-1",</w:t>
      </w:r>
    </w:p>
    <w:p>
      <w:pPr>
        <w:spacing w:after="0" w:line="240" w:lineRule="exact"/>
      </w:pPr>
      <w:r>
        <w:rPr>
          <w:rFonts w:ascii="Menlo" w:hAnsi="Menlo" w:eastAsia="Arial Unicode MS"/>
          <w:color w:val="000000"/>
          <w:sz w:val="18"/>
        </w:rPr>
        <w:t xml:space="preserve">  "record_type": "physics_state_index",</w:t>
      </w:r>
    </w:p>
    <w:p>
      <w:pPr>
        <w:spacing w:after="0" w:line="240" w:lineRule="exact"/>
      </w:pPr>
      <w:r>
        <w:rPr>
          <w:rFonts w:ascii="Menlo" w:hAnsi="Menlo" w:eastAsia="Arial Unicode MS"/>
          <w:color w:val="000000"/>
          <w:sz w:val="18"/>
        </w:rPr>
        <w:t xml:space="preserve">  "episode_id": "example_episode", "attempt_id": "attempt_001",</w:t>
      </w:r>
    </w:p>
    <w:p>
      <w:pPr>
        <w:spacing w:after="0" w:line="240" w:lineRule="exact"/>
      </w:pPr>
      <w:r>
        <w:rPr>
          <w:rFonts w:ascii="Menlo" w:hAnsi="Menlo" w:eastAsia="Arial Unicode MS"/>
          <w:color w:val="000000"/>
          <w:sz w:val="18"/>
        </w:rPr>
        <w:t xml:space="preserve">  "source_physics_step": 119, "sim_time_s": 1.0,</w:t>
      </w:r>
    </w:p>
    <w:p>
      <w:pPr>
        <w:spacing w:after="0" w:line="240" w:lineRule="exact"/>
      </w:pPr>
      <w:r>
        <w:rPr>
          <w:rFonts w:ascii="Menlo" w:hAnsi="Menlo" w:eastAsia="Arial Unicode MS"/>
          <w:color w:val="000000"/>
          <w:sz w:val="18"/>
        </w:rPr>
        <w:t xml:space="preserve">  "arrays_ref": "raw/state_000.h5:/physics/119",</w:t>
      </w:r>
    </w:p>
    <w:p>
      <w:pPr>
        <w:spacing w:after="0" w:line="240" w:lineRule="exact"/>
      </w:pPr>
      <w:r>
        <w:rPr>
          <w:rFonts w:ascii="Menlo" w:hAnsi="Menlo" w:eastAsia="Arial Unicode MS"/>
          <w:color w:val="000000"/>
          <w:sz w:val="18"/>
        </w:rPr>
        <w:t xml:space="preserve">  "body_index_ref": "frozen/body_index.json",</w:t>
      </w:r>
    </w:p>
    <w:p>
      <w:pPr>
        <w:spacing w:after="0" w:line="240" w:lineRule="exact"/>
      </w:pPr>
      <w:r>
        <w:rPr>
          <w:rFonts w:ascii="Menlo" w:hAnsi="Menlo" w:eastAsia="Arial Unicode MS"/>
          <w:color w:val="000000"/>
          <w:sz w:val="18"/>
        </w:rPr>
        <w:t xml:space="preserve">  "validity_ref": "raw/state_000.h5:/validity/119",</w:t>
      </w:r>
    </w:p>
    <w:p>
      <w:pPr>
        <w:spacing w:after="0" w:line="240" w:lineRule="exact"/>
      </w:pPr>
      <w:r>
        <w:rPr>
          <w:rFonts w:ascii="Menlo" w:hAnsi="Menlo" w:eastAsia="Arial Unicode MS"/>
          <w:color w:val="000000"/>
          <w:sz w:val="18"/>
        </w:rPr>
        <w:t xml:space="preserve">  "contact_coverage_ref": "raw/coverage.jsonl:119"</w:t>
      </w:r>
    </w:p>
    <w:p>
      <w:pPr>
        <w:spacing w:after="0" w:line="240" w:lineRule="exact"/>
      </w:pPr>
      <w:r>
        <w:rPr>
          <w:rFonts w:ascii="Menlo" w:hAnsi="Menlo" w:eastAsia="Arial Unicode MS"/>
          <w:color w:val="000000"/>
          <w:sz w:val="18"/>
        </w:rPr>
        <w:t>}</w:t>
      </w:r>
    </w:p>
    <w:p>
      <w:pPr>
        <w:spacing w:after="20"/>
      </w:pPr>
    </w:p>
    <w:p>
      <w:pPr>
        <w:pStyle w:val="Heading2"/>
      </w:pPr>
      <w:r>
        <w:t>9 2 单项等级记录</w:t>
      </w:r>
    </w:p>
    <w:p>
      <w:pPr>
        <w:spacing w:after="0" w:line="240" w:lineRule="exact"/>
      </w:pPr>
      <w:r>
        <w:rPr>
          <w:rFonts w:ascii="Menlo" w:hAnsi="Menlo" w:eastAsia="Arial Unicode MS"/>
          <w:color w:val="000000"/>
          <w:sz w:val="18"/>
        </w:rPr>
        <w:t>{</w:t>
      </w:r>
    </w:p>
    <w:p>
      <w:pPr>
        <w:spacing w:after="0" w:line="240" w:lineRule="exact"/>
      </w:pPr>
      <w:r>
        <w:rPr>
          <w:rFonts w:ascii="Menlo" w:hAnsi="Menlo" w:eastAsia="Arial Unicode MS"/>
          <w:color w:val="000000"/>
          <w:sz w:val="18"/>
        </w:rPr>
        <w:t xml:space="preserve">  "schema_version": "robot-risk-exchange-1",</w:t>
      </w:r>
    </w:p>
    <w:p>
      <w:pPr>
        <w:spacing w:after="0" w:line="240" w:lineRule="exact"/>
      </w:pPr>
      <w:r>
        <w:rPr>
          <w:rFonts w:ascii="Menlo" w:hAnsi="Menlo" w:eastAsia="Arial Unicode MS"/>
          <w:color w:val="000000"/>
          <w:sz w:val="18"/>
        </w:rPr>
        <w:t xml:space="preserve">  "record_type": "rule_result", "evaluation_id": "eval_001",</w:t>
      </w:r>
    </w:p>
    <w:p>
      <w:pPr>
        <w:spacing w:after="0" w:line="240" w:lineRule="exact"/>
      </w:pPr>
      <w:r>
        <w:rPr>
          <w:rFonts w:ascii="Menlo" w:hAnsi="Menlo" w:eastAsia="Arial Unicode MS"/>
          <w:color w:val="000000"/>
          <w:sz w:val="18"/>
        </w:rPr>
        <w:t xml:space="preserve">  "episode_id": "example_episode", "source_physics_step": 119,</w:t>
      </w:r>
    </w:p>
    <w:p>
      <w:pPr>
        <w:spacing w:after="0" w:line="240" w:lineRule="exact"/>
      </w:pPr>
      <w:r>
        <w:rPr>
          <w:rFonts w:ascii="Menlo" w:hAnsi="Menlo" w:eastAsia="Arial Unicode MS"/>
          <w:color w:val="000000"/>
          <w:sz w:val="18"/>
        </w:rPr>
        <w:t xml:space="preserve">  "window_start_step": 116, "window_end_step": 119,</w:t>
      </w:r>
    </w:p>
    <w:p>
      <w:pPr>
        <w:spacing w:after="0" w:line="240" w:lineRule="exact"/>
      </w:pPr>
      <w:r>
        <w:rPr>
          <w:rFonts w:ascii="Menlo" w:hAnsi="Menlo" w:eastAsia="Arial Unicode MS"/>
          <w:color w:val="000000"/>
          <w:sz w:val="18"/>
        </w:rPr>
        <w:t xml:space="preserve">  "category": "HS", "rule_id": "HS-COLL-001",</w:t>
      </w:r>
    </w:p>
    <w:p>
      <w:pPr>
        <w:spacing w:after="0" w:line="240" w:lineRule="exact"/>
      </w:pPr>
      <w:r>
        <w:rPr>
          <w:rFonts w:ascii="Menlo" w:hAnsi="Menlo" w:eastAsia="Arial Unicode MS"/>
          <w:color w:val="000000"/>
          <w:sz w:val="18"/>
        </w:rPr>
        <w:t xml:space="preserve">  "relation_id": "arm_link_03_to_person_01",</w:t>
      </w:r>
    </w:p>
    <w:p>
      <w:pPr>
        <w:spacing w:after="0" w:line="240" w:lineRule="exact"/>
      </w:pPr>
      <w:r>
        <w:rPr>
          <w:rFonts w:ascii="Menlo" w:hAnsi="Menlo" w:eastAsia="Arial Unicode MS"/>
          <w:color w:val="000000"/>
          <w:sz w:val="18"/>
        </w:rPr>
        <w:t xml:space="preserve">  "level": "L0", "complete": true, "missing": [],</w:t>
      </w:r>
    </w:p>
    <w:p>
      <w:pPr>
        <w:spacing w:after="0" w:line="240" w:lineRule="exact"/>
      </w:pPr>
      <w:r>
        <w:rPr>
          <w:rFonts w:ascii="Menlo" w:hAnsi="Menlo" w:eastAsia="Arial Unicode MS"/>
          <w:color w:val="000000"/>
          <w:sz w:val="18"/>
        </w:rPr>
        <w:t xml:space="preserve">  "evaluation_status": "evaluated",</w:t>
      </w:r>
    </w:p>
    <w:p>
      <w:pPr>
        <w:spacing w:after="0" w:line="240" w:lineRule="exact"/>
      </w:pPr>
      <w:r>
        <w:rPr>
          <w:rFonts w:ascii="Menlo" w:hAnsi="Menlo" w:eastAsia="Arial Unicode MS"/>
          <w:color w:val="000000"/>
          <w:sz w:val="18"/>
        </w:rPr>
        <w:t xml:space="preserve">  "evidence": {"effective_human_contact": false,</w:t>
      </w:r>
    </w:p>
    <w:p>
      <w:pPr>
        <w:spacing w:after="0" w:line="240" w:lineRule="exact"/>
      </w:pPr>
      <w:r>
        <w:rPr>
          <w:rFonts w:ascii="Menlo" w:hAnsi="Menlo" w:eastAsia="Arial Unicode MS"/>
          <w:color w:val="000000"/>
          <w:sz w:val="18"/>
        </w:rPr>
        <w:t xml:space="preserve">               "contact_coverage_complete": true},</w:t>
      </w:r>
    </w:p>
    <w:p>
      <w:pPr>
        <w:spacing w:after="0" w:line="240" w:lineRule="exact"/>
      </w:pPr>
      <w:r>
        <w:rPr>
          <w:rFonts w:ascii="Menlo" w:hAnsi="Menlo" w:eastAsia="Arial Unicode MS"/>
          <w:color w:val="000000"/>
          <w:sz w:val="18"/>
        </w:rPr>
        <w:t xml:space="preserve">  "source_refs": ["raw/coverage.jsonl:116-119"],</w:t>
      </w:r>
    </w:p>
    <w:p>
      <w:pPr>
        <w:spacing w:after="0" w:line="240" w:lineRule="exact"/>
      </w:pPr>
      <w:r>
        <w:rPr>
          <w:rFonts w:ascii="Menlo" w:hAnsi="Menlo" w:eastAsia="Arial Unicode MS"/>
          <w:color w:val="000000"/>
          <w:sz w:val="18"/>
        </w:rPr>
        <w:t xml:space="preserve">  "rules_version": "arena-hs-dynamic-ssm-1",</w:t>
      </w:r>
    </w:p>
    <w:p>
      <w:pPr>
        <w:spacing w:after="0" w:line="240" w:lineRule="exact"/>
      </w:pPr>
      <w:r>
        <w:rPr>
          <w:rFonts w:ascii="Menlo" w:hAnsi="Menlo" w:eastAsia="Arial Unicode MS"/>
          <w:color w:val="000000"/>
          <w:sz w:val="18"/>
        </w:rPr>
        <w:t xml:space="preserve">  "profile_hash_ref": "manifest.profile_sha256",</w:t>
      </w:r>
    </w:p>
    <w:p>
      <w:pPr>
        <w:spacing w:after="0" w:line="240" w:lineRule="exact"/>
      </w:pPr>
      <w:r>
        <w:rPr>
          <w:rFonts w:ascii="Menlo" w:hAnsi="Menlo" w:eastAsia="Arial Unicode MS"/>
          <w:color w:val="000000"/>
          <w:sz w:val="18"/>
        </w:rPr>
        <w:t xml:space="preserve">  "scope_hash_ref": "manifest.scope_sha256",</w:t>
      </w:r>
    </w:p>
    <w:p>
      <w:pPr>
        <w:spacing w:after="0" w:line="240" w:lineRule="exact"/>
      </w:pPr>
      <w:r>
        <w:rPr>
          <w:rFonts w:ascii="Menlo" w:hAnsi="Menlo" w:eastAsia="Arial Unicode MS"/>
          <w:color w:val="000000"/>
          <w:sz w:val="18"/>
        </w:rPr>
        <w:t xml:space="preserve">  "backend_build_hash_ref": "manifest.backend_build_sha256"</w:t>
      </w:r>
    </w:p>
    <w:p>
      <w:pPr>
        <w:spacing w:after="0" w:line="240" w:lineRule="exact"/>
      </w:pPr>
      <w:r>
        <w:rPr>
          <w:rFonts w:ascii="Menlo" w:hAnsi="Menlo" w:eastAsia="Arial Unicode MS"/>
          <w:color w:val="000000"/>
          <w:sz w:val="18"/>
        </w:rPr>
        <w:t>}</w:t>
      </w:r>
    </w:p>
    <w:p>
      <w:pPr>
        <w:spacing w:after="20"/>
      </w:pPr>
    </w:p>
    <w:p>
      <w:r>
        <w:rPr>
          <w:rFonts w:ascii="Arial Unicode MS" w:hAnsi="Arial Unicode MS" w:eastAsia="Arial Unicode MS"/>
          <w:b w:val="0"/>
          <w:color w:val="000000"/>
        </w:rPr>
        <w:t>数组索引使用 HDF5 路径或分片内 offset，不能依赖“同名叶节点”定位资产。若 JSONL 采用行号引用，必须声明行号从 0 或 1 起，并固定文件哈希；更推荐稳定 record_id。CSV 中空单元格表示缺值，并配 validity 和 missing_reason 列，不写成数值零。</w:t>
      </w:r>
    </w:p>
    <w:p>
      <w:r>
        <w:br w:type="page"/>
      </w:r>
    </w:p>
    <w:p>
      <w:pPr>
        <w:pStyle w:val="Heading1"/>
      </w:pPr>
      <w:r>
        <w:t>10 媒体 性能与错误输出</w:t>
      </w:r>
    </w:p>
    <w:p>
      <w:pPr>
        <w:pStyle w:val="Heading2"/>
      </w:pPr>
      <w:r>
        <w:t>10 1 视频与帧索引</w:t>
      </w:r>
    </w:p>
    <w:p>
      <w:r>
        <w:rPr>
          <w:rFonts w:ascii="Arial Unicode MS" w:hAnsi="Arial Unicode MS" w:eastAsia="Arial Unicode MS"/>
          <w:b w:val="0"/>
          <w:color w:val="000000"/>
        </w:rPr>
        <w:t>视频建议 MP4 H.264，参考 30 fps，画面尺寸、像素格式、编码参数和实际帧数写入媒体 manifest。实际视角数不固定；每个 camera_id 绑定内外参、相机状态和 RGB 来源。视频画面、等级与原因必须来自同一 episode 和 evaluation_id。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3168"/>
        <w:gridCol w:w="6984"/>
      </w:tblGrid>
      <w:tr>
        <w:trPr>
          <w:tblHeader/>
          <w:cantSplit/>
        </w:trPr>
        <w:tc>
          <w:tcPr>
            <w:tcW w:type="dxa" w:w="3168"/>
            <w:vAlign w:val="center"/>
            <w:shd w:fill="E7EDF2"/>
          </w:tcPr>
          <w:p>
            <w:pPr>
              <w:spacing w:after="0" w:line="280" w:lineRule="exact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帧索引字段</w:t>
            </w:r>
          </w:p>
        </w:tc>
        <w:tc>
          <w:tcPr>
            <w:tcW w:type="dxa" w:w="6984"/>
            <w:vAlign w:val="center"/>
            <w:shd w:fill="E7EDF2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要求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frame_id video_pts_s</w:t>
            </w:r>
          </w:p>
        </w:tc>
        <w:tc>
          <w:tcPr>
            <w:tcW w:type="dxa" w:w="6984"/>
            <w:vAlign w:val="center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显示帧序号与视频时间；不能代替源仿真时间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6F8FA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source_physics_step sim_time_s</w:t>
            </w:r>
          </w:p>
        </w:tc>
        <w:tc>
          <w:tcPr>
            <w:tcW w:type="dxa" w:w="6984"/>
            <w:vAlign w:val="center"/>
            <w:shd w:fill="F6F8FA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本帧测量场景来源；相机和物体状态可追溯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decision_source_step</w:t>
            </w:r>
          </w:p>
        </w:tc>
        <w:tc>
          <w:tcPr>
            <w:tcW w:type="dxa" w:w="6984"/>
            <w:vAlign w:val="center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采用源时间不晚于 RGB 的最近有效标签；无标签则显示待评价或未知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6F8FA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camera_ids render_id</w:t>
            </w:r>
          </w:p>
        </w:tc>
        <w:tc>
          <w:tcPr>
            <w:tcW w:type="dxa" w:w="6984"/>
            <w:vAlign w:val="center"/>
            <w:shd w:fill="F6F8FA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视角身份和冻结相机摘要；离线重建来源标记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evaluation_id decision_ref</w:t>
            </w:r>
          </w:p>
        </w:tc>
        <w:tc>
          <w:tcPr>
            <w:tcW w:type="dxa" w:w="6984"/>
            <w:vAlign w:val="center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精确链接当前离线规则与证据；不得引用旧视频的标签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/>
          <w:b w:val="0"/>
          <w:color w:val="000000"/>
        </w:rPr>
        <w:t>不在视频显示已省略项；可显示 HS/PT/RS 等级和主导依据。视频仅保存远端和本地，不上传 Git 或魔搭。离线渲染不能冒充真实在线视觉策略输入；如策略实际依赖在线 RGB，则原始在线图像属于必须保存的输入证据。</w:t>
      </w:r>
    </w:p>
    <w:p>
      <w:pPr>
        <w:pStyle w:val="Heading2"/>
      </w:pPr>
      <w:r>
        <w:t>10 2 性能数据</w:t>
      </w:r>
    </w:p>
    <w:p>
      <w:r>
        <w:rPr>
          <w:rFonts w:ascii="Arial Unicode MS" w:hAnsi="Arial Unicode MS" w:eastAsia="Arial Unicode MS"/>
          <w:b w:val="0"/>
          <w:color w:val="000000"/>
        </w:rPr>
        <w:t>performance.json 必须区分模拟时长与物理耗时。按阶段记录启动初始化、采集、写盘排空、原始校验、解码、BVH 构建、暖态 geometry、特征、规则、序列化、渲染、视频及总墙钟时间；并标明计时范围、计时器和是否嵌套，禁止把重叠阶段相加当总耗时。</w:t>
      </w:r>
    </w:p>
    <w:p>
      <w:r>
        <w:rPr>
          <w:rFonts w:ascii="Arial Unicode MS" w:hAnsi="Arial Unicode MS" w:eastAsia="Arial Unicode MS"/>
          <w:b w:val="0"/>
          <w:color w:val="000000"/>
        </w:rPr>
        <w:t>可附风险时刻耗时 p50/p95、关系数量、三角形数量、显存峰值、缓存命中、失败数与 GPU 利用率。比较后端时固定原始轨迹、关系集合、频率及精度；GPU 利用率不是准确性或端到端速度证明。</w:t>
      </w:r>
    </w:p>
    <w:p>
      <w:pPr>
        <w:pStyle w:val="Heading2"/>
      </w:pPr>
      <w:r>
        <w:t>10 3 错误与迁移</w:t>
      </w:r>
    </w:p>
    <w:p>
      <w:r>
        <w:rPr>
          <w:rFonts w:ascii="Arial Unicode MS" w:hAnsi="Arial Unicode MS" w:eastAsia="Arial Unicode MS"/>
          <w:b w:val="0"/>
          <w:color w:val="000000"/>
        </w:rPr>
        <w:t>错误记录包含 stage、error_code、实体或关系、源步范围、missing_channel、是否可重试、软件版本和日志引用。文件损坏、缺步、未知身份、哈希不符不得填零继续。后端不可用不自动切换 Warp/FCL/bbox；标未知或明确失败。显式重算保存新 evaluation_id、原始数据摘要、旧新规则和后端身份及迁移原因，不能覆盖历史派生结果。</w:t>
      </w:r>
    </w:p>
    <w:p>
      <w:r>
        <w:br w:type="page"/>
      </w:r>
    </w:p>
    <w:p>
      <w:pPr>
        <w:pStyle w:val="Heading1"/>
      </w:pPr>
      <w:r>
        <w:t>11 当前仓库映射与验收</w:t>
      </w:r>
    </w:p>
    <w:p>
      <w:r>
        <w:rPr>
          <w:rFonts w:ascii="Arial Unicode MS" w:hAnsi="Arial Unicode MS" w:eastAsia="Arial Unicode MS"/>
          <w:b w:val="0"/>
          <w:color w:val="000000"/>
        </w:rPr>
        <w:t>现有运行根目录采用下表。实现者应检查本版本实际字段，编写有版本的映射表；逻辑位置不同不算错误，语义或覆盖不一致才需要补采或标未知。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2016"/>
        <w:gridCol w:w="8136"/>
      </w:tblGrid>
      <w:tr>
        <w:trPr>
          <w:tblHeader/>
          <w:cantSplit/>
        </w:trPr>
        <w:tc>
          <w:tcPr>
            <w:tcW w:type="dxa" w:w="2016"/>
            <w:vAlign w:val="center"/>
            <w:shd w:fill="E7EDF2"/>
          </w:tcPr>
          <w:p>
            <w:pPr>
              <w:spacing w:after="0" w:line="280" w:lineRule="exact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通用数据</w:t>
            </w:r>
          </w:p>
        </w:tc>
        <w:tc>
          <w:tcPr>
            <w:tcW w:type="dxa" w:w="8136"/>
            <w:vAlign w:val="center"/>
            <w:shd w:fill="E7EDF2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当前 RoboLaw 位置或文件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运行与流程</w:t>
            </w:r>
          </w:p>
        </w:tc>
        <w:tc>
          <w:tcPr>
            <w:tcW w:type="dxa" w:w="8136"/>
            <w:vAlign w:val="center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workflow_policy.json、episode_specs.json、workflow_runs.json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6F8FA"/>
          </w:tcPr>
          <w:p>
            <w:pPr>
              <w:spacing w:after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冻结绑定</w:t>
            </w:r>
          </w:p>
        </w:tc>
        <w:tc>
          <w:tcPr>
            <w:tcW w:type="dxa" w:w="8136"/>
            <w:vAlign w:val="center"/>
            <w:shd w:fill="F6F8FA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capture/env_000/safety_observer_binding.json、episode_spec.json、raw_meshes/*.npz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原始证据</w:t>
            </w:r>
          </w:p>
        </w:tc>
        <w:tc>
          <w:tcPr>
            <w:tcW w:type="dxa" w:w="8136"/>
            <w:vAlign w:val="center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capture/env_000/raw_evidence.jsonl、physics_states.npz、trajectory.h5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6F8FA"/>
          </w:tcPr>
          <w:p>
            <w:pPr>
              <w:spacing w:after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采集元数据</w:t>
            </w:r>
          </w:p>
        </w:tc>
        <w:tc>
          <w:tcPr>
            <w:tcW w:type="dxa" w:w="8136"/>
            <w:vAlign w:val="center"/>
            <w:shd w:fill="F6F8FA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raw_capture_schema.json、raw_capture_summary.json、raw_writer_result.json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渲染重建</w:t>
            </w:r>
          </w:p>
        </w:tc>
        <w:tc>
          <w:tcPr>
            <w:tcW w:type="dxa" w:w="8136"/>
            <w:vAlign w:val="center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render_state_metadata.json、camera_config.json 及原始状态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6F8FA"/>
          </w:tcPr>
          <w:p>
            <w:pPr>
              <w:spacing w:after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离线风险</w:t>
            </w:r>
          </w:p>
        </w:tc>
        <w:tc>
          <w:tcPr>
            <w:tcW w:type="dxa" w:w="8136"/>
            <w:vAlign w:val="center"/>
            <w:shd w:fill="F6F8FA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risk/env_000/safety_decisions.jsonl、risk_features.csv、offline_risk_summary.json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媒体</w:t>
            </w:r>
          </w:p>
        </w:tc>
        <w:tc>
          <w:tcPr>
            <w:tcW w:type="dxa" w:w="8136"/>
            <w:vAlign w:val="center"/>
          </w:tcPr>
          <w:p>
            <w:pPr>
              <w:spacing w:after="0" w:line="280" w:lineRule="exac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rendered/env_000/render_report.json；video/env_000/risk_review.mp4、risk_review.frames.jsonl 及 manifests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/>
          <w:b w:val="0"/>
          <w:color w:val="000000"/>
        </w:rPr>
        <w:t>历史核心 schema 包括 arena-raw-capture-binding-1、arena-raw-capture-1、arena-offline-risk-1、arena-safety-observer-1 和 arena-causal-physics-2；这些不能直接改写为新通用 schema 名称。当前 raw/observer 适配器版本及源码摘要应从实际冻结绑定读取。</w:t>
      </w:r>
    </w:p>
    <w:p>
      <w:pPr>
        <w:pStyle w:val="Heading2"/>
      </w:pPr>
      <w:r>
        <w:t>11 1 输出验收清单</w:t>
      </w:r>
    </w:p>
    <w:p>
      <w:r>
        <w:rPr>
          <w:rFonts w:ascii="Arial Unicode MS" w:hAnsi="Arial Unicode MS" w:eastAsia="Arial Unicode MS"/>
          <w:b w:val="0"/>
          <w:color w:val="000000"/>
        </w:rPr>
        <w:t>验收至少检查：所有文件可读且哈希匹配；源步连续；数组身份与单位一致；四步接触覆盖；实际命令与动作前观测因果对齐；每个 mesh 可重建；省略项未被查询或逐帧保存；RS 独立几何不受 HS 裁减；规则、特征和媒体来自同一数据；IR 关闭；所有未知和兼容状态保留。</w:t>
      </w:r>
    </w:p>
    <w:p>
      <w:r>
        <w:rPr>
          <w:rFonts w:ascii="Arial Unicode MS" w:hAnsi="Arial Unicode MS" w:eastAsia="Arial Unicode MS"/>
          <w:b w:val="0"/>
          <w:color w:val="000000"/>
        </w:rPr>
        <w:t>“任务成功”“原始采集完整”“几何完整”“安全证据完整”“已输出已知等级”“视频对齐”必须分别给结论。当前人体芥末瓶案例通过，不代表新 pick-and-place、动态人体或 articulation 自动通过。</w:t>
      </w:r>
    </w:p>
    <w:p>
      <w:pPr>
        <w:pStyle w:val="Heading2"/>
      </w:pPr>
      <w:r>
        <w:t>依据与维护</w:t>
      </w:r>
    </w:p>
    <w:p>
      <w:r>
        <w:rPr>
          <w:rFonts w:ascii="Arial Unicode MS" w:hAnsi="Arial Unicode MS" w:eastAsia="Arial Unicode MS"/>
          <w:b w:val="0"/>
          <w:color w:val="000000"/>
        </w:rPr>
        <w:t>本规范依据 2026年10月23日冻结的三份 Skill：robot-risk-asset-scope、robot-risk-offline-pipeline、robot-risk-hs-pt-rs-rules，以及其 references、ruleset.lock.json 和 SOURCE_MANIFEST.json。工程入口以 scripts/risk_capture_workflow.py、configs/risk_capture_workflow.json 和 docs/offline_risk_workflow.md 为准。</w:t>
      </w:r>
    </w:p>
    <w:p>
      <w:r>
        <w:rPr>
          <w:rFonts w:ascii="Arial Unicode MS" w:hAnsi="Arial Unicode MS" w:eastAsia="Arial Unicode MS"/>
          <w:b w:val="0"/>
          <w:color w:val="000000"/>
        </w:rPr>
        <w:t>这是数据契约与实施说明，不是安全认证。实验阈值和四级标签不能表述为 ISO 直接规定的数值。新任务先完成绑定和本任务验收；修改规则、频率、排除范围或后端均须显式版本化。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5" w:right="1037" w:bottom="893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color w:val="000000"/>
        <w:sz w:val="18"/>
      </w:rPr>
      <w:t xml:space="preserve">版本 1.0   2026年10月23日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 Unicode MS" w:hAnsi="Arial Unicode MS" w:eastAsia="Arial Unicode MS"/>
        <w:color w:val="000000"/>
        <w:sz w:val="18"/>
      </w:rPr>
      <w:t>RoboLaw 机器人风险数据规范   数据输出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0" w:lineRule="exact" w:after="120"/>
    </w:pPr>
    <w:rPr>
      <w:rFonts w:ascii="Arial Unicode MS" w:hAnsi="Arial Unicode MS" w:eastAsia="Arial Unicode M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 w:line="420" w:lineRule="exact"/>
      <w:outlineLvl w:val="0"/>
    </w:pPr>
    <w:rPr>
      <w:rFonts w:cstheme="majorBidi" w:ascii="Arial Unicode MS" w:hAnsi="Arial Unicode MS" w:eastAsia="Arial Unicode M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340" w:lineRule="exact"/>
      <w:outlineLvl w:val="1"/>
    </w:pPr>
    <w:rPr>
      <w:rFonts w:cstheme="majorBidi" w:ascii="Arial Unicode MS" w:hAnsi="Arial Unicode MS" w:eastAsia="Arial Unicode M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Arial Unicode MS" w:hAnsi="Arial Unicode MS" w:eastAsia="Arial Unicode MS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560" w:lineRule="exact" w:before="0"/>
      <w:contextualSpacing/>
    </w:pPr>
    <w:rPr>
      <w:rFonts w:cstheme="majorBidi" w:ascii="Arial Unicode MS" w:hAnsi="Arial Unicode MS" w:eastAsia="Arial Unicode MS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320" w:lineRule="exact" w:after="200"/>
    </w:pPr>
    <w:rPr>
      <w:rFonts w:cstheme="majorBidi" w:ascii="Arial Unicode MS" w:hAnsi="Arial Unicode MS" w:eastAsia="Arial Unicode MS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机器人风险数据输出标准格式</dc:title>
  <dc:subject>适用于 pick-and-place 与 articulation 的可迁移机器人风险数据契约</dc:subject>
  <dc:creator>RoboLaw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