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b/>
          <w:bCs/>
          <w:color w:val="1A2E4A"/>
          <w:sz w:val="52"/>
          <w:szCs w:val="52"/>
        </w:rPr>
        <w:t xml:space="preserve">EDA Report &amp; Business Impact</w:t>
      </w:r>
    </w:p>
    <w:p>
      <w:pPr>
        <w:spacing w:after="80" w:before="120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Olist Delivery Prediction — End-to-End ML Pipeline</w:t>
      </w:r>
    </w:p>
    <w:p>
      <w:pPr>
        <w:spacing w:after="320" w:before="8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Analysis period: January 2017 – August 2018  ·  Younes Benali,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36"/>
                <w:szCs w:val="36"/>
              </w:rPr>
              <w:t xml:space="preserve">72 %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Model Recall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0.81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ROC AUC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73.8 %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Overall Accuracy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36"/>
                <w:szCs w:val="36"/>
              </w:rPr>
              <w:t xml:space="preserve">25.4 %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False-Alarm Rate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1. Sales Performance Overview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Monthly trends across January 2017 – August 2018 reveal strong seasonality and a revenue base driven primarily by order volume rather than basket size.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4680"/>
      </w:tblGrid>
      <w:tr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Trend</w:t>
            </w:r>
          </w:p>
        </w:tc>
        <w:tc>
          <w:tcPr>
            <w:tcW w:type="dxa" w:w="46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Insight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Monthly Revenue (R$)</w:t>
            </w:r>
          </w:p>
        </w:tc>
        <w:tc>
          <w:tcPr>
            <w:tcW w:type="dxa" w:w="2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Steady growth with Nov–Dec peaks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Holiday shopping (Black Friday, Christmas) drives clear seasonality.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Monthly Orders</w:t>
            </w:r>
          </w:p>
        </w:tc>
        <w:tc>
          <w:tcPr>
            <w:tcW w:type="dxa" w:w="2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Mirrors revenue pattern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Order volume is the primary revenue driver; average basket size stays stable.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Avg Order Payment (R$)</w:t>
            </w:r>
          </w:p>
        </w:tc>
        <w:tc>
          <w:tcPr>
            <w:tcW w:type="dxa" w:w="2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Stable ~R$150–160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 significant up-selling trend; customers spend consistently per order.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Monthly Items Sold</w:t>
            </w:r>
          </w:p>
        </w:tc>
        <w:tc>
          <w:tcPr>
            <w:tcW w:type="dxa" w:w="20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Peaks with revenue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Higher order volume — not larger baskets — explains revenue peaks.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Business Implications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Logistics capacity must scale for November–December, which can see up to 2× normal order volume.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Late deliveries cause disproportionate harm during high-volume periods — the model should weight these months accordingly.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Promotional focus on increasing average order value during peaks (e.g., free shipping above R$200) could unlock incremental revenue.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2. Customer Geography — Top 10 Cities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Customer distribution is highly concentrated. The top five cities alone account for approximately 40 % of all customers, making delivery performance in those markets a critical lever for the overall late rate.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4860"/>
        <w:gridCol w:w="3860"/>
      </w:tblGrid>
      <w:tr>
        <w:tc>
          <w:tcPr>
            <w:tcW w:type="dxa" w:w="64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City</w:t>
            </w:r>
          </w:p>
        </w:tc>
        <w:tc>
          <w:tcPr>
            <w:tcW w:type="dxa" w:w="38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Customers</w:t>
            </w:r>
          </w:p>
        </w:tc>
      </w:tr>
      <w:tr>
        <w:tc>
          <w:tcPr>
            <w:tcW w:type="dxa" w:w="6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São Paulo</w:t>
            </w:r>
          </w:p>
        </w:tc>
        <w:tc>
          <w:tcPr>
            <w:tcW w:type="dxa" w:w="3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~15 000</w:t>
            </w:r>
          </w:p>
        </w:tc>
      </w:tr>
      <w:tr>
        <w:tc>
          <w:tcPr>
            <w:tcW w:type="dxa" w:w="6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Rio de Janeiro</w:t>
            </w:r>
          </w:p>
        </w:tc>
        <w:tc>
          <w:tcPr>
            <w:tcW w:type="dxa" w:w="3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~8 000</w:t>
            </w:r>
          </w:p>
        </w:tc>
      </w:tr>
      <w:tr>
        <w:tc>
          <w:tcPr>
            <w:tcW w:type="dxa" w:w="6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Belo Horizonte</w:t>
            </w:r>
          </w:p>
        </w:tc>
        <w:tc>
          <w:tcPr>
            <w:tcW w:type="dxa" w:w="3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~5 000</w:t>
            </w:r>
          </w:p>
        </w:tc>
      </w:tr>
      <w:tr>
        <w:tc>
          <w:tcPr>
            <w:tcW w:type="dxa" w:w="6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Brasília</w:t>
            </w:r>
          </w:p>
        </w:tc>
        <w:tc>
          <w:tcPr>
            <w:tcW w:type="dxa" w:w="3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~4 000</w:t>
            </w:r>
          </w:p>
        </w:tc>
      </w:tr>
      <w:tr>
        <w:tc>
          <w:tcPr>
            <w:tcW w:type="dxa" w:w="6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Curitiba</w:t>
            </w:r>
          </w:p>
        </w:tc>
        <w:tc>
          <w:tcPr>
            <w:tcW w:type="dxa" w:w="3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~3 500</w:t>
            </w:r>
          </w:p>
        </w:tc>
      </w:tr>
      <w:tr>
        <w:tc>
          <w:tcPr>
            <w:tcW w:type="dxa" w:w="6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Campinas</w:t>
            </w:r>
          </w:p>
        </w:tc>
        <w:tc>
          <w:tcPr>
            <w:tcW w:type="dxa" w:w="3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~3 000</w:t>
            </w:r>
          </w:p>
        </w:tc>
      </w:tr>
      <w:tr>
        <w:tc>
          <w:tcPr>
            <w:tcW w:type="dxa" w:w="6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Porto Alegre</w:t>
            </w:r>
          </w:p>
        </w:tc>
        <w:tc>
          <w:tcPr>
            <w:tcW w:type="dxa" w:w="3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~2 500</w:t>
            </w:r>
          </w:p>
        </w:tc>
      </w:tr>
      <w:tr>
        <w:tc>
          <w:tcPr>
            <w:tcW w:type="dxa" w:w="6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Salvador</w:t>
            </w:r>
          </w:p>
        </w:tc>
        <w:tc>
          <w:tcPr>
            <w:tcW w:type="dxa" w:w="3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~2 000</w:t>
            </w:r>
          </w:p>
        </w:tc>
      </w:tr>
      <w:tr>
        <w:tc>
          <w:tcPr>
            <w:tcW w:type="dxa" w:w="6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Guarulhos</w:t>
            </w:r>
          </w:p>
        </w:tc>
        <w:tc>
          <w:tcPr>
            <w:tcW w:type="dxa" w:w="3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~1 800</w:t>
            </w:r>
          </w:p>
        </w:tc>
      </w:tr>
      <w:tr>
        <w:tc>
          <w:tcPr>
            <w:tcW w:type="dxa" w:w="6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4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São Bernardo do Campo</w:t>
            </w:r>
          </w:p>
        </w:tc>
        <w:tc>
          <w:tcPr>
            <w:tcW w:type="dxa" w:w="3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~1 500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Logistics Insight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Delivery performance in these high-volume cities directly shapes the platform-wide late rate.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model already captures some geographic risk via state-level features (e.g., state_SP). Adding city-level features is a promising next step for improving precision.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3. RFM Customer Segmentation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Recency, Frequency, and Monetary analysis partitions the customer base into six actionable segments. Champions and Loyal customers together represent 45 % of all customers yet generate over 70 % of revenue.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760"/>
        <w:gridCol w:w="4200"/>
      </w:tblGrid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Customers</w:t>
            </w:r>
          </w:p>
        </w:tc>
        <w:tc>
          <w:tcPr>
            <w:tcW w:type="dxa" w:w="1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Spend (R$)</w:t>
            </w:r>
          </w:p>
        </w:tc>
        <w:tc>
          <w:tcPr>
            <w:tcW w:type="dxa" w:w="4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Value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Champions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29.5 %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~R$ 250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Recent, frequent, highest spenders — your most valuable cohort.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Loyal Customers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15.2 %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~R$ 200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Reliable repeat buyers with strong retention.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Potential Loyalists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14.3 %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~R$ 150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Recent buyers at lower frequency — prime for nurturing campaigns.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New Customers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12.5 %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~R$  80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First-time buyers who need onboarding and a great first experience.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At Risk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13.8 %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~R$ 100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Previously active but lapsing — high churn sensitivity.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Lost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13.1 %</w:t>
            </w:r>
          </w:p>
        </w:tc>
        <w:tc>
          <w:tcPr>
            <w:tcW w:type="dxa" w:w="1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~R$  70</w:t>
            </w:r>
          </w:p>
        </w:tc>
        <w:tc>
          <w:tcPr>
            <w:tcW w:type="dxa" w:w="4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Long inactive — likely churned; re-engagement is costly.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Actionable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Prioritise delivery quality for Champions — a single late delivery to this segment causes disproportionate dissatisfaction and revenue risk.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the model to flag high-risk orders for Loyal and Champion customers; offer proactive compensation (e.g., a R$5 voucher) before a complaint arises.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 At Risk customers, a late delivery may accelerate churn — consider expedited handling or an automatic apology voucher.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4. Model Performance &amp; Business Impact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Final XGBoost —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Recall — late deliveries caught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72.0 %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Precision — late predictions correct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67.3 %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False-alarm rate — on-time flagged as late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25.4 %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Overall accuracy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73.8 %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ROC AUC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0.81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Confusion Matrix (Test 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/>
            </w:r>
          </w:p>
        </w:tc>
        <w:tc>
          <w:tcPr>
            <w:tcW w:type="dxa" w:w="351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Predicted On Time</w:t>
            </w:r>
          </w:p>
        </w:tc>
        <w:tc>
          <w:tcPr>
            <w:tcW w:type="dxa" w:w="351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Predicted Late</w:t>
            </w:r>
          </w:p>
        </w:tc>
      </w:tr>
      <w:tr>
        <w:tc>
          <w:tcPr>
            <w:tcW w:type="dxa" w:w="234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On Time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74.6 %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25.4 %  ⚠</w:t>
            </w:r>
          </w:p>
        </w:tc>
      </w:tr>
      <w:tr>
        <w:tc>
          <w:tcPr>
            <w:tcW w:type="dxa" w:w="234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Late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28.0 %  ✗</w:t>
            </w:r>
          </w:p>
        </w:tc>
        <w:tc>
          <w:tcPr>
            <w:tcW w:type="dxa" w:w="351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72.0 %  ✓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Operational Interpretation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Out of 100 actual late deliveries, the model correctly flags 72 — enabling proactive customer communication for 7 in 10 delays.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Out of 100 on-time deliveries, 25 receive an unnecessary warning — an acceptable trade-off given the much higher cost of a missed delay.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Financial Impact Estimation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Hypothetical projection for 100 000 orders per year (80 % on-time, 20 % late):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80"/>
        <w:gridCol w:w="3780"/>
      </w:tblGrid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5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Assumption</w:t>
            </w:r>
          </w:p>
        </w:tc>
        <w:tc>
          <w:tcPr>
            <w:tcW w:type="dxa" w:w="37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/ Saving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Missed late delivery (no warning)</w:t>
            </w:r>
          </w:p>
        </w:tc>
        <w:tc>
          <w:tcPr>
            <w:tcW w:type="dxa" w:w="25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Customer complaint, R$20 discount</w:t>
            </w:r>
          </w:p>
        </w:tc>
        <w:tc>
          <w:tcPr>
            <w:tcW w:type="dxa" w:w="3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9"/>
                <w:szCs w:val="19"/>
              </w:rPr>
              <w:t xml:space="preserve">72 caught × R$20 saved = R$1 440 per 1 000 lates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False alarm (unnecessary warning)</w:t>
            </w:r>
          </w:p>
        </w:tc>
        <w:tc>
          <w:tcPr>
            <w:tcW w:type="dxa" w:w="25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Minor annoyance, R$2 friction</w:t>
            </w:r>
          </w:p>
        </w:tc>
        <w:tc>
          <w:tcPr>
            <w:tcW w:type="dxa" w:w="3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25 false alarms × R$2 = R$50 per 1 000 on-time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Net result</w:t>
            </w:r>
          </w:p>
        </w:tc>
        <w:tc>
          <w:tcPr>
            <w:tcW w:type="dxa" w:w="25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37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Strongly positive ROI — catching delays is ~28× more valuable than the false-alarm cost.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2563EB" w:sz="18" w:space="10"/>
        </w:pBdr>
        <w:spacing w:after="120" w:before="120"/>
        <w:ind w:left="4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→  </w:t>
      </w:r>
      <w:r>
        <w:rPr>
          <w:rFonts w:ascii="Arial" w:cs="Arial" w:eastAsia="Arial" w:hAnsi="Arial"/>
          <w:i/>
          <w:iCs/>
          <w:color w:val="111827"/>
          <w:sz w:val="20"/>
          <w:szCs w:val="20"/>
        </w:rPr>
        <w:t xml:space="preserve">Even with a 25 % false-alarm rate, the model delivers clear net value because the cost of a missed late delivery far outweighs a spurious warning.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Strategic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Deploy the model with a default probability threshold of 0.5 and iterate with A/B testing.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 Champions and Loyal customers, consider a higher threshold (fewer false alarms) to avoid eroding trust.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Integrate with CRM/support tooling to trigger an automated message for predicted-late orders: a brief heads-up and a small goodwill voucher.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Monitor segment-wise recall over time — class distribution may shift with seasonal peaks.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5. Conclusion &amp; Next Steps</w:t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Olist delivery prediction project has produced a model that catches 72 % of late deliveries at a ROC AUC of 0.81, providing a strong foundation for proactive customer communication and logistics optimisation.</w:t>
      </w:r>
    </w:p>
    <w:p>
      <w:pPr>
        <w:spacing w:after="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EDA highlighted three structural findings that should shape deployment strategy: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Strong November–December seasonality demands that model monitoring and capacity planning are tightly aligned with the commercial calendar.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Geographic concentration in five cities means that improving delivery reliability in those markets alone would materially reduce the platform-wide late rate.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Champions and Loyal customers generate the majority of revenue — protecting their delivery experience is the highest-value application of the model.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Real-time API — wrap the trained model in a lightweight inference endpoint for live scoring at order creation.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Seller performance features — historical late-delivery rate per seller is likely a strong signal and could push recall beyond 72 %.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City-level geography — granular logistics data at city level (not just state) should reduce false alarms by improving precision in dense urban areas.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Threshold optimisation — A/B test alert thresholds by customer segment to maximise ROI without eroding trust.</w:t>
      </w:r>
    </w:p>
    <w:p>
      <w:pPr>
        <w:spacing w:after="0" w:before="200"/>
      </w:pPr>
      <w:r>
        <w:t xml:space="preserve"/>
      </w:r>
    </w:p>
    <w:p>
      <w:pPr>
        <w:pBdr>
          <w:top w:val="single" w:color="BFDBFE" w:sz="4" w:space="6"/>
        </w:pBdr>
        <w:spacing w:after="0" w:before="0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Report generated from EDA notebooks and model evaluation  ·  Younes Benali, 2026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6B7280"/>
        <w:sz w:val="17"/>
        <w:szCs w:val="17"/>
      </w:rPr>
      <w:t xml:space="preserve">Younes Benali · 2026</w:t>
    </w:r>
    <w:r>
      <w:rPr>
        <w:rFonts w:ascii="Arial" w:cs="Arial" w:eastAsia="Arial" w:hAnsi="Arial"/>
        <w:color w:val="6B7280"/>
        <w:sz w:val="17"/>
        <w:szCs w:val="17"/>
      </w:rPr>
      <w:t xml:space="preserve">	Page </w:t>
    </w:r>
    <w:r>
      <w:rPr>
        <w:rFonts w:ascii="Arial" w:cs="Arial" w:eastAsia="Arial" w:hAnsi="Arial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A2E4A"/>
        <w:sz w:val="18"/>
        <w:szCs w:val="18"/>
      </w:rPr>
      <w:t xml:space="preserve">Olist Delivery Prediction</w:t>
    </w:r>
    <w:r>
      <w:rPr>
        <w:rFonts w:ascii="Arial" w:cs="Arial" w:eastAsia="Arial" w:hAnsi="Arial"/>
        <w:color w:val="6B7280"/>
        <w:sz w:val="18"/>
        <w:szCs w:val="18"/>
      </w:rPr>
      <w:t xml:space="preserve">	EDA Report &amp; Business Impact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E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2026-04-19T13:10:57.882Z</dcterms:created>
  <dcterms:modified xsi:type="dcterms:W3CDTF">2026-04-19T13:10:57.883Z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