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color w:val="0E3A5D"/>
          <w:sz w:val="52"/>
        </w:rPr>
        <w:t>LSS Marketing &amp; Advertising Master Plan</w:t>
      </w:r>
    </w:p>
    <w:p>
      <w:pPr>
        <w:jc w:val="center"/>
      </w:pPr>
      <w:r>
        <w:rPr>
          <w:rFonts w:ascii="Calibri" w:hAnsi="Calibri"/>
          <w:color w:val="0B6E6E"/>
          <w:sz w:val="28"/>
        </w:rPr>
        <w:t>Master Overview &amp; How to Use This Package</w:t>
      </w:r>
    </w:p>
    <w:p>
      <w:pPr>
        <w:jc w:val="center"/>
      </w:pPr>
      <w:r>
        <w:rPr>
          <w:color w:val="444A52"/>
          <w:sz w:val="20"/>
        </w:rPr>
        <w:t>LSS — Life Sciences Suite  ·  Marketing &amp; Advertising Master Plan</w:t>
      </w:r>
    </w:p>
    <w:p>
      <w:r>
        <w:br w:type="page"/>
      </w:r>
    </w:p>
    <w:p>
      <w:pPr>
        <w:spacing w:before="120" w:after="200"/>
        <w:pBdr>
          <w:bottom w:val="single" w:sz="12" w:space="4" w:color="0E3A5D"/>
        </w:pBdr>
      </w:pPr>
      <w:r>
        <w:rPr>
          <w:rFonts w:ascii="Calibri" w:hAnsi="Calibri"/>
          <w:b/>
          <w:color w:val="0E3A5D"/>
          <w:sz w:val="44"/>
        </w:rPr>
        <w:t>LSS MARKETING &amp; ADVERTISING MASTER PLAN — MASTER OVERVIEW</w:t>
      </w:r>
    </w:p>
    <w:p>
      <w:pPr>
        <w:spacing w:after="120" w:line="276" w:lineRule="auto"/>
      </w:pPr>
      <w:r>
        <w:rPr>
          <w:b/>
          <w:sz w:val="22"/>
        </w:rPr>
        <w:t>Product:</w:t>
      </w:r>
      <w:r>
        <w:rPr>
          <w:sz w:val="22"/>
        </w:rPr>
        <w:t xml:space="preserve"> LSS — Life Sciences Suite</w:t>
      </w:r>
    </w:p>
    <w:p>
      <w:pPr>
        <w:spacing w:after="120" w:line="276" w:lineRule="auto"/>
      </w:pPr>
      <w:r>
        <w:rPr>
          <w:b/>
          <w:sz w:val="22"/>
        </w:rPr>
        <w:t>Document set:</w:t>
      </w:r>
      <w:r>
        <w:rPr>
          <w:sz w:val="22"/>
        </w:rPr>
        <w:t xml:space="preserve"> Parts I–XXI (15 volumes) · English · Foundation for commercial launch</w:t>
      </w:r>
    </w:p>
    <w:p>
      <w:pPr>
        <w:spacing w:before="240" w:after="120"/>
      </w:pPr>
      <w:r>
        <w:rPr>
          <w:rFonts w:ascii="Calibri" w:hAnsi="Calibri"/>
          <w:b/>
          <w:color w:val="0E3A5D"/>
          <w:sz w:val="34"/>
        </w:rPr>
        <w:t>1. What this package is</w:t>
      </w:r>
    </w:p>
    <w:p>
      <w:pPr>
        <w:spacing w:after="120" w:line="276" w:lineRule="auto"/>
      </w:pPr>
      <w:r>
        <w:rPr>
          <w:sz w:val="22"/>
        </w:rPr>
        <w:t>A complete, production-ready Marketing &amp; Advertising Master Plan and Production Brief for LSS — Life Sciences Suite, an integrated ERP + QMS platform for regulated life-sciences organizations (pharmaceutical, medical-device, medical-plastics, cosmetics manufacturers, and laboratories), built on Odoo 19 Community Edition with specialized LSS modules.</w:t>
      </w:r>
    </w:p>
    <w:p>
      <w:pPr>
        <w:spacing w:after="120" w:line="276" w:lineRule="auto"/>
      </w:pPr>
      <w:r>
        <w:rPr>
          <w:sz w:val="22"/>
        </w:rPr>
        <w:t>This package is a working foundation: every part contains finished copy (brochure pages, ads, emails, LinkedIn posts, video scripts, slide copy, landing pages) plus production specifications. It can be converted directly into brochures, presentations, advertisements, website pages, social content, videos, PDFs and sales materials.</w:t>
      </w:r>
    </w:p>
    <w:p>
      <w:pPr>
        <w:spacing w:before="240" w:after="120"/>
      </w:pPr>
      <w:r>
        <w:rPr>
          <w:rFonts w:ascii="Calibri" w:hAnsi="Calibri"/>
          <w:b/>
          <w:color w:val="0E3A5D"/>
          <w:sz w:val="34"/>
        </w:rPr>
        <w:t>2. How to use this package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0E3A5D"/>
          </w:tcPr>
          <w:p>
            <w:pPr>
              <w:spacing w:after="20"/>
            </w:pPr>
            <w:r>
              <w:rPr>
                <w:color w:val="FFFFFF"/>
              </w:rPr>
            </w:r>
            <w:r>
              <w:rPr>
                <w:b/>
                <w:color w:val="FFFFFF"/>
                <w:sz w:val="19"/>
              </w:rPr>
              <w:t>If you are…</w:t>
            </w:r>
          </w:p>
        </w:tc>
        <w:tc>
          <w:tcPr>
            <w:tcW w:type="dxa" w:w="4320"/>
            <w:shd w:val="clear" w:color="auto" w:fill="0E3A5D"/>
          </w:tcPr>
          <w:p>
            <w:pPr>
              <w:spacing w:after="20"/>
            </w:pPr>
            <w:r>
              <w:rPr>
                <w:color w:val="FFFFFF"/>
              </w:rPr>
            </w:r>
            <w:r>
              <w:rPr>
                <w:b/>
                <w:color w:val="FFFFFF"/>
                <w:sz w:val="19"/>
              </w:rPr>
              <w:t>Start with…</w:t>
            </w:r>
          </w:p>
        </w:tc>
      </w:tr>
      <w:tr>
        <w:tc>
          <w:tcPr>
            <w:tcW w:type="dxa" w:w="4320"/>
          </w:tcPr>
          <w:p>
            <w:pPr>
              <w:spacing w:after="20"/>
            </w:pPr>
            <w:r/>
            <w:r>
              <w:rPr>
                <w:sz w:val="19"/>
              </w:rPr>
              <w:t>Defining the brand</w:t>
            </w:r>
          </w:p>
        </w:tc>
        <w:tc>
          <w:tcPr>
            <w:tcW w:type="dxa" w:w="4320"/>
          </w:tcPr>
          <w:p>
            <w:pPr>
              <w:spacing w:after="20"/>
            </w:pPr>
            <w:r/>
            <w:r>
              <w:rPr>
                <w:sz w:val="19"/>
              </w:rPr>
              <w:t>01_Brand_Strategy</w:t>
            </w:r>
          </w:p>
        </w:tc>
      </w:tr>
      <w:tr>
        <w:tc>
          <w:tcPr>
            <w:tcW w:type="dxa" w:w="4320"/>
          </w:tcPr>
          <w:p>
            <w:pPr>
              <w:spacing w:after="20"/>
            </w:pPr>
            <w:r/>
            <w:r>
              <w:rPr>
                <w:sz w:val="19"/>
              </w:rPr>
              <w:t>Building the website</w:t>
            </w:r>
          </w:p>
        </w:tc>
        <w:tc>
          <w:tcPr>
            <w:tcW w:type="dxa" w:w="4320"/>
          </w:tcPr>
          <w:p>
            <w:pPr>
              <w:spacing w:after="20"/>
            </w:pPr>
            <w:r/>
            <w:r>
              <w:rPr>
                <w:sz w:val="19"/>
              </w:rPr>
              <w:t>11_Website_Marketing + 13_Visual_Video</w:t>
            </w:r>
          </w:p>
        </w:tc>
      </w:tr>
      <w:tr>
        <w:tc>
          <w:tcPr>
            <w:tcW w:type="dxa" w:w="4320"/>
          </w:tcPr>
          <w:p>
            <w:pPr>
              <w:spacing w:after="20"/>
            </w:pPr>
            <w:r/>
            <w:r>
              <w:rPr>
                <w:sz w:val="19"/>
              </w:rPr>
              <w:t>Preparing sales</w:t>
            </w:r>
          </w:p>
        </w:tc>
        <w:tc>
          <w:tcPr>
            <w:tcW w:type="dxa" w:w="4320"/>
          </w:tcPr>
          <w:p>
            <w:pPr>
              <w:spacing w:after="20"/>
            </w:pPr>
            <w:r/>
            <w:r>
              <w:rPr>
                <w:sz w:val="19"/>
              </w:rPr>
              <w:t>06_Sales_Deck + 07_Demo_Events + 12_Email_SalesEnablement</w:t>
            </w:r>
          </w:p>
        </w:tc>
      </w:tr>
      <w:tr>
        <w:tc>
          <w:tcPr>
            <w:tcW w:type="dxa" w:w="4320"/>
          </w:tcPr>
          <w:p>
            <w:pPr>
              <w:spacing w:after="20"/>
            </w:pPr>
            <w:r/>
            <w:r>
              <w:rPr>
                <w:sz w:val="19"/>
              </w:rPr>
              <w:t>Launching demand generation</w:t>
            </w:r>
          </w:p>
        </w:tc>
        <w:tc>
          <w:tcPr>
            <w:tcW w:type="dxa" w:w="4320"/>
          </w:tcPr>
          <w:p>
            <w:pPr>
              <w:spacing w:after="20"/>
            </w:pPr>
            <w:r/>
            <w:r>
              <w:rPr>
                <w:sz w:val="19"/>
              </w:rPr>
              <w:t>08_Advertising + 09_LinkedIn_90Day + 10_WhitePapers</w:t>
            </w:r>
          </w:p>
        </w:tc>
      </w:tr>
      <w:tr>
        <w:tc>
          <w:tcPr>
            <w:tcW w:type="dxa" w:w="4320"/>
          </w:tcPr>
          <w:p>
            <w:pPr>
              <w:spacing w:after="20"/>
            </w:pPr>
            <w:r/>
            <w:r>
              <w:rPr>
                <w:sz w:val="19"/>
              </w:rPr>
              <w:t>Preparing events</w:t>
            </w:r>
          </w:p>
        </w:tc>
        <w:tc>
          <w:tcPr>
            <w:tcW w:type="dxa" w:w="4320"/>
          </w:tcPr>
          <w:p>
            <w:pPr>
              <w:spacing w:after="20"/>
            </w:pPr>
            <w:r/>
            <w:r>
              <w:rPr>
                <w:sz w:val="19"/>
              </w:rPr>
              <w:t>07_Demo_Events</w:t>
            </w:r>
          </w:p>
        </w:tc>
      </w:tr>
      <w:tr>
        <w:tc>
          <w:tcPr>
            <w:tcW w:type="dxa" w:w="4320"/>
          </w:tcPr>
          <w:p>
            <w:pPr>
              <w:spacing w:after="20"/>
            </w:pPr>
            <w:r/>
            <w:r>
              <w:rPr>
                <w:sz w:val="19"/>
              </w:rPr>
              <w:t>Planning the launch</w:t>
            </w:r>
          </w:p>
        </w:tc>
        <w:tc>
          <w:tcPr>
            <w:tcW w:type="dxa" w:w="4320"/>
          </w:tcPr>
          <w:p>
            <w:pPr>
              <w:spacing w:after="20"/>
            </w:pPr>
            <w:r/>
            <w:r>
              <w:rPr>
                <w:sz w:val="19"/>
              </w:rPr>
              <w:t>14_CustomerSuccess_Funnel_KPI_Launch + 00 (this file) + 02_Material_Architecture_Inventory</w:t>
            </w:r>
          </w:p>
        </w:tc>
      </w:tr>
    </w:tbl>
    <w:p>
      <w:pPr>
        <w:spacing w:after="40"/>
      </w:pPr>
    </w:p>
    <w:p>
      <w:pPr>
        <w:spacing w:before="240" w:after="120"/>
      </w:pPr>
      <w:r>
        <w:rPr>
          <w:rFonts w:ascii="Calibri" w:hAnsi="Calibri"/>
          <w:b/>
          <w:color w:val="0E3A5D"/>
          <w:sz w:val="34"/>
        </w:rPr>
        <w:t>3. Document index (15 volumes)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E3A5D"/>
          </w:tcPr>
          <w:p>
            <w:pPr>
              <w:spacing w:after="20"/>
            </w:pPr>
            <w:r>
              <w:rPr>
                <w:color w:val="FFFFFF"/>
              </w:rPr>
            </w:r>
            <w:r>
              <w:rPr>
                <w:b/>
                <w:color w:val="FFFFFF"/>
                <w:sz w:val="19"/>
              </w:rPr>
              <w:t>Volume</w:t>
            </w:r>
          </w:p>
        </w:tc>
        <w:tc>
          <w:tcPr>
            <w:tcW w:type="dxa" w:w="2880"/>
            <w:shd w:val="clear" w:color="auto" w:fill="0E3A5D"/>
          </w:tcPr>
          <w:p>
            <w:pPr>
              <w:spacing w:after="20"/>
            </w:pPr>
            <w:r>
              <w:rPr>
                <w:color w:val="FFFFFF"/>
              </w:rPr>
            </w:r>
            <w:r>
              <w:rPr>
                <w:b/>
                <w:color w:val="FFFFFF"/>
                <w:sz w:val="19"/>
              </w:rPr>
              <w:t>Parts</w:t>
            </w:r>
          </w:p>
        </w:tc>
        <w:tc>
          <w:tcPr>
            <w:tcW w:type="dxa" w:w="2880"/>
            <w:shd w:val="clear" w:color="auto" w:fill="0E3A5D"/>
          </w:tcPr>
          <w:p>
            <w:pPr>
              <w:spacing w:after="20"/>
            </w:pPr>
            <w:r>
              <w:rPr>
                <w:color w:val="FFFFFF"/>
              </w:rPr>
            </w:r>
            <w:r>
              <w:rPr>
                <w:b/>
                <w:color w:val="FFFFFF"/>
                <w:sz w:val="19"/>
              </w:rPr>
              <w:t>Contents</w:t>
            </w:r>
          </w:p>
        </w:tc>
      </w:tr>
      <w:tr>
        <w:tc>
          <w:tcPr>
            <w:tcW w:type="dxa" w:w="2880"/>
          </w:tcPr>
          <w:p>
            <w:pPr>
              <w:spacing w:after="20"/>
            </w:pPr>
            <w:r/>
            <w:r>
              <w:rPr>
                <w:sz w:val="19"/>
              </w:rPr>
              <w:t>00 Master Overview</w:t>
            </w:r>
          </w:p>
        </w:tc>
        <w:tc>
          <w:tcPr>
            <w:tcW w:type="dxa" w:w="2880"/>
          </w:tcPr>
          <w:p>
            <w:pPr>
              <w:spacing w:after="20"/>
            </w:pPr>
            <w:r/>
            <w:r>
              <w:rPr>
                <w:sz w:val="19"/>
              </w:rPr>
              <w:t>—</w:t>
            </w:r>
          </w:p>
        </w:tc>
        <w:tc>
          <w:tcPr>
            <w:tcW w:type="dxa" w:w="2880"/>
          </w:tcPr>
          <w:p>
            <w:pPr>
              <w:spacing w:after="20"/>
            </w:pPr>
            <w:r/>
            <w:r>
              <w:rPr>
                <w:sz w:val="19"/>
              </w:rPr>
              <w:t>This file: index, usage, launch gating</w:t>
            </w:r>
          </w:p>
        </w:tc>
      </w:tr>
      <w:tr>
        <w:tc>
          <w:tcPr>
            <w:tcW w:type="dxa" w:w="2880"/>
          </w:tcPr>
          <w:p>
            <w:pPr>
              <w:spacing w:after="20"/>
            </w:pPr>
            <w:r/>
            <w:r>
              <w:rPr>
                <w:sz w:val="19"/>
              </w:rPr>
              <w:t>01 Brand Strategy</w:t>
            </w:r>
          </w:p>
        </w:tc>
        <w:tc>
          <w:tcPr>
            <w:tcW w:type="dxa" w:w="2880"/>
          </w:tcPr>
          <w:p>
            <w:pPr>
              <w:spacing w:after="20"/>
            </w:pPr>
            <w:r/>
            <w:r>
              <w:rPr>
                <w:sz w:val="19"/>
              </w:rPr>
              <w:t>I</w:t>
            </w:r>
          </w:p>
        </w:tc>
        <w:tc>
          <w:tcPr>
            <w:tcW w:type="dxa" w:w="2880"/>
          </w:tcPr>
          <w:p>
            <w:pPr>
              <w:spacing w:after="20"/>
            </w:pPr>
            <w:r/>
            <w:r>
              <w:rPr>
                <w:sz w:val="19"/>
              </w:rPr>
              <w:t>Positioning, promise, mission, vision, values, personality, voice, messaging, differentiation, competitive positioning, pitches, taglines, messaging hierarchy, claims, visual identity direction</w:t>
            </w:r>
          </w:p>
        </w:tc>
      </w:tr>
      <w:tr>
        <w:tc>
          <w:tcPr>
            <w:tcW w:type="dxa" w:w="2880"/>
          </w:tcPr>
          <w:p>
            <w:pPr>
              <w:spacing w:after="20"/>
            </w:pPr>
            <w:r/>
            <w:r>
              <w:rPr>
                <w:sz w:val="19"/>
              </w:rPr>
              <w:t>02 Material Architecture &amp; Inventory</w:t>
            </w:r>
          </w:p>
        </w:tc>
        <w:tc>
          <w:tcPr>
            <w:tcW w:type="dxa" w:w="2880"/>
          </w:tcPr>
          <w:p>
            <w:pPr>
              <w:spacing w:after="20"/>
            </w:pPr>
            <w:r/>
            <w:r>
              <w:rPr>
                <w:sz w:val="19"/>
              </w:rPr>
              <w:t>II, XX</w:t>
            </w:r>
          </w:p>
        </w:tc>
        <w:tc>
          <w:tcPr>
            <w:tcW w:type="dxa" w:w="2880"/>
          </w:tcPr>
          <w:p>
            <w:pPr>
              <w:spacing w:after="20"/>
            </w:pPr>
            <w:r/>
            <w:r>
              <w:rPr>
                <w:sz w:val="19"/>
              </w:rPr>
              <w:t>10-folder marketing &amp; sales kit (89 assets) + master inventory (100+ rows)</w:t>
            </w:r>
          </w:p>
        </w:tc>
      </w:tr>
      <w:tr>
        <w:tc>
          <w:tcPr>
            <w:tcW w:type="dxa" w:w="2880"/>
          </w:tcPr>
          <w:p>
            <w:pPr>
              <w:spacing w:after="20"/>
            </w:pPr>
            <w:r/>
            <w:r>
              <w:rPr>
                <w:sz w:val="19"/>
              </w:rPr>
              <w:t>03 Corporate Materials</w:t>
            </w:r>
          </w:p>
        </w:tc>
        <w:tc>
          <w:tcPr>
            <w:tcW w:type="dxa" w:w="2880"/>
          </w:tcPr>
          <w:p>
            <w:pPr>
              <w:spacing w:after="20"/>
            </w:pPr>
            <w:r/>
            <w:r>
              <w:rPr>
                <w:sz w:val="19"/>
              </w:rPr>
              <w:t>III</w:t>
            </w:r>
          </w:p>
        </w:tc>
        <w:tc>
          <w:tcPr>
            <w:tcW w:type="dxa" w:w="2880"/>
          </w:tcPr>
          <w:p>
            <w:pPr>
              <w:spacing w:after="20"/>
            </w:pPr>
            <w:r/>
            <w:r>
              <w:rPr>
                <w:sz w:val="19"/>
              </w:rPr>
              <w:t>12-page corporate brochure (finished copy), company profile, executive one-pager</w:t>
            </w:r>
          </w:p>
        </w:tc>
      </w:tr>
      <w:tr>
        <w:tc>
          <w:tcPr>
            <w:tcW w:type="dxa" w:w="2880"/>
          </w:tcPr>
          <w:p>
            <w:pPr>
              <w:spacing w:after="20"/>
            </w:pPr>
            <w:r/>
            <w:r>
              <w:rPr>
                <w:sz w:val="19"/>
              </w:rPr>
              <w:t>04 Product One-Pagers</w:t>
            </w:r>
          </w:p>
        </w:tc>
        <w:tc>
          <w:tcPr>
            <w:tcW w:type="dxa" w:w="2880"/>
          </w:tcPr>
          <w:p>
            <w:pPr>
              <w:spacing w:after="20"/>
            </w:pPr>
            <w:r/>
            <w:r>
              <w:rPr>
                <w:sz w:val="19"/>
              </w:rPr>
              <w:t>IV</w:t>
            </w:r>
          </w:p>
        </w:tc>
        <w:tc>
          <w:tcPr>
            <w:tcW w:type="dxa" w:w="2880"/>
          </w:tcPr>
          <w:p>
            <w:pPr>
              <w:spacing w:after="20"/>
            </w:pPr>
            <w:r/>
            <w:r>
              <w:rPr>
                <w:sz w:val="19"/>
              </w:rPr>
              <w:t>12 product one-pagers (Platform, ERP, Manufacturing, QMS, Traceability, Batch Genealogy, Document Management, Supplier Quality, Calibration/Equipment, Complaints &amp; Recalls, Validation, Analytics)</w:t>
            </w:r>
          </w:p>
        </w:tc>
      </w:tr>
      <w:tr>
        <w:tc>
          <w:tcPr>
            <w:tcW w:type="dxa" w:w="2880"/>
          </w:tcPr>
          <w:p>
            <w:pPr>
              <w:spacing w:after="20"/>
            </w:pPr>
            <w:r/>
            <w:r>
              <w:rPr>
                <w:sz w:val="19"/>
              </w:rPr>
              <w:t>05 Industry Marketing</w:t>
            </w:r>
          </w:p>
        </w:tc>
        <w:tc>
          <w:tcPr>
            <w:tcW w:type="dxa" w:w="2880"/>
          </w:tcPr>
          <w:p>
            <w:pPr>
              <w:spacing w:after="20"/>
            </w:pPr>
            <w:r/>
            <w:r>
              <w:rPr>
                <w:sz w:val="19"/>
              </w:rPr>
              <w:t>V</w:t>
            </w:r>
          </w:p>
        </w:tc>
        <w:tc>
          <w:tcPr>
            <w:tcW w:type="dxa" w:w="2880"/>
          </w:tcPr>
          <w:p>
            <w:pPr>
              <w:spacing w:after="20"/>
            </w:pPr>
            <w:r/>
            <w:r>
              <w:rPr>
                <w:sz w:val="19"/>
              </w:rPr>
              <w:t>5 industry programs (Pharma, Medical Devices, Medical Plastics, Cosmetics, Laboratories) × 10 elements each</w:t>
            </w:r>
          </w:p>
        </w:tc>
      </w:tr>
      <w:tr>
        <w:tc>
          <w:tcPr>
            <w:tcW w:type="dxa" w:w="2880"/>
          </w:tcPr>
          <w:p>
            <w:pPr>
              <w:spacing w:after="20"/>
            </w:pPr>
            <w:r/>
            <w:r>
              <w:rPr>
                <w:sz w:val="19"/>
              </w:rPr>
              <w:t>06 Sales Deck</w:t>
            </w:r>
          </w:p>
        </w:tc>
        <w:tc>
          <w:tcPr>
            <w:tcW w:type="dxa" w:w="2880"/>
          </w:tcPr>
          <w:p>
            <w:pPr>
              <w:spacing w:after="20"/>
            </w:pPr>
            <w:r/>
            <w:r>
              <w:rPr>
                <w:sz w:val="19"/>
              </w:rPr>
              <w:t>VI</w:t>
            </w:r>
          </w:p>
        </w:tc>
        <w:tc>
          <w:tcPr>
            <w:tcW w:type="dxa" w:w="2880"/>
          </w:tcPr>
          <w:p>
            <w:pPr>
              <w:spacing w:after="20"/>
            </w:pPr>
            <w:r/>
            <w:r>
              <w:rPr>
                <w:sz w:val="19"/>
              </w:rPr>
              <w:t>20-slide sales presentation with speaker notes, diagram specs, sales objectives</w:t>
            </w:r>
          </w:p>
        </w:tc>
      </w:tr>
      <w:tr>
        <w:tc>
          <w:tcPr>
            <w:tcW w:type="dxa" w:w="2880"/>
          </w:tcPr>
          <w:p>
            <w:pPr>
              <w:spacing w:after="20"/>
            </w:pPr>
            <w:r/>
            <w:r>
              <w:rPr>
                <w:sz w:val="19"/>
              </w:rPr>
              <w:t>07 Demo &amp; Events</w:t>
            </w:r>
          </w:p>
        </w:tc>
        <w:tc>
          <w:tcPr>
            <w:tcW w:type="dxa" w:w="2880"/>
          </w:tcPr>
          <w:p>
            <w:pPr>
              <w:spacing w:after="20"/>
            </w:pPr>
            <w:r/>
            <w:r>
              <w:rPr>
                <w:sz w:val="19"/>
              </w:rPr>
              <w:t>VII, XIV</w:t>
            </w:r>
          </w:p>
        </w:tc>
        <w:tc>
          <w:tcPr>
            <w:tcW w:type="dxa" w:w="2880"/>
          </w:tcPr>
          <w:p>
            <w:pPr>
              <w:spacing w:after="20"/>
            </w:pPr>
            <w:r/>
            <w:r>
              <w:rPr>
                <w:sz w:val="19"/>
              </w:rPr>
              <w:t>5 demo scenarios + demo principles; complete event/trade-show kit ("See the complete journey of a batch")</w:t>
            </w:r>
          </w:p>
        </w:tc>
      </w:tr>
      <w:tr>
        <w:tc>
          <w:tcPr>
            <w:tcW w:type="dxa" w:w="2880"/>
          </w:tcPr>
          <w:p>
            <w:pPr>
              <w:spacing w:after="20"/>
            </w:pPr>
            <w:r/>
            <w:r>
              <w:rPr>
                <w:sz w:val="19"/>
              </w:rPr>
              <w:t>08 Advertising</w:t>
            </w:r>
          </w:p>
        </w:tc>
        <w:tc>
          <w:tcPr>
            <w:tcW w:type="dxa" w:w="2880"/>
          </w:tcPr>
          <w:p>
            <w:pPr>
              <w:spacing w:after="20"/>
            </w:pPr>
            <w:r/>
            <w:r>
              <w:rPr>
                <w:sz w:val="19"/>
              </w:rPr>
              <w:t>VIII</w:t>
            </w:r>
          </w:p>
        </w:tc>
        <w:tc>
          <w:tcPr>
            <w:tcW w:type="dxa" w:w="2880"/>
          </w:tcPr>
          <w:p>
            <w:pPr>
              <w:spacing w:after="20"/>
            </w:pPr>
            <w:r/>
            <w:r>
              <w:rPr>
                <w:sz w:val="19"/>
              </w:rPr>
              <w:t>12 campaign concepts across LinkedIn, Google Search/Display, industry sites, trade shows, email, retargeting, banners + campaign matrix</w:t>
            </w:r>
          </w:p>
        </w:tc>
      </w:tr>
      <w:tr>
        <w:tc>
          <w:tcPr>
            <w:tcW w:type="dxa" w:w="2880"/>
          </w:tcPr>
          <w:p>
            <w:pPr>
              <w:spacing w:after="20"/>
            </w:pPr>
            <w:r/>
            <w:r>
              <w:rPr>
                <w:sz w:val="19"/>
              </w:rPr>
              <w:t>09 LinkedIn 90-Day</w:t>
            </w:r>
          </w:p>
        </w:tc>
        <w:tc>
          <w:tcPr>
            <w:tcW w:type="dxa" w:w="2880"/>
          </w:tcPr>
          <w:p>
            <w:pPr>
              <w:spacing w:after="20"/>
            </w:pPr>
            <w:r/>
            <w:r>
              <w:rPr>
                <w:sz w:val="19"/>
              </w:rPr>
              <w:t>IX</w:t>
            </w:r>
          </w:p>
        </w:tc>
        <w:tc>
          <w:tcPr>
            <w:tcW w:type="dxa" w:w="2880"/>
          </w:tcPr>
          <w:p>
            <w:pPr>
              <w:spacing w:after="20"/>
            </w:pPr>
            <w:r/>
            <w:r>
              <w:rPr>
                <w:sz w:val="19"/>
              </w:rPr>
              <w:t>Strategy + 13-week calendar + 39 complete posts</w:t>
            </w:r>
          </w:p>
        </w:tc>
      </w:tr>
      <w:tr>
        <w:tc>
          <w:tcPr>
            <w:tcW w:type="dxa" w:w="2880"/>
          </w:tcPr>
          <w:p>
            <w:pPr>
              <w:spacing w:after="20"/>
            </w:pPr>
            <w:r/>
            <w:r>
              <w:rPr>
                <w:sz w:val="19"/>
              </w:rPr>
              <w:t>10 White Papers &amp; Lead Magnets</w:t>
            </w:r>
          </w:p>
        </w:tc>
        <w:tc>
          <w:tcPr>
            <w:tcW w:type="dxa" w:w="2880"/>
          </w:tcPr>
          <w:p>
            <w:pPr>
              <w:spacing w:after="20"/>
            </w:pPr>
            <w:r/>
            <w:r>
              <w:rPr>
                <w:sz w:val="19"/>
              </w:rPr>
              <w:t>X</w:t>
            </w:r>
          </w:p>
        </w:tc>
        <w:tc>
          <w:tcPr>
            <w:tcW w:type="dxa" w:w="2880"/>
          </w:tcPr>
          <w:p>
            <w:pPr>
              <w:spacing w:after="20"/>
            </w:pPr>
            <w:r/>
            <w:r>
              <w:rPr>
                <w:sz w:val="19"/>
              </w:rPr>
              <w:t>10 guides with full TOCs + distribution/gating plan</w:t>
            </w:r>
          </w:p>
        </w:tc>
      </w:tr>
      <w:tr>
        <w:tc>
          <w:tcPr>
            <w:tcW w:type="dxa" w:w="2880"/>
          </w:tcPr>
          <w:p>
            <w:pPr>
              <w:spacing w:after="20"/>
            </w:pPr>
            <w:r/>
            <w:r>
              <w:rPr>
                <w:sz w:val="19"/>
              </w:rPr>
              <w:t>11 Website Marketing</w:t>
            </w:r>
          </w:p>
        </w:tc>
        <w:tc>
          <w:tcPr>
            <w:tcW w:type="dxa" w:w="2880"/>
          </w:tcPr>
          <w:p>
            <w:pPr>
              <w:spacing w:after="20"/>
            </w:pPr>
            <w:r/>
            <w:r>
              <w:rPr>
                <w:sz w:val="19"/>
              </w:rPr>
              <w:t>XI</w:t>
            </w:r>
          </w:p>
        </w:tc>
        <w:tc>
          <w:tcPr>
            <w:tcW w:type="dxa" w:w="2880"/>
          </w:tcPr>
          <w:p>
            <w:pPr>
              <w:spacing w:after="20"/>
            </w:pPr>
            <w:r/>
            <w:r>
              <w:rPr>
                <w:sz w:val="19"/>
              </w:rPr>
              <w:t>Information architecture, full homepage copy, 5 industry landing pages, secondary pages, SEO</w:t>
            </w:r>
          </w:p>
        </w:tc>
      </w:tr>
      <w:tr>
        <w:tc>
          <w:tcPr>
            <w:tcW w:type="dxa" w:w="2880"/>
          </w:tcPr>
          <w:p>
            <w:pPr>
              <w:spacing w:after="20"/>
            </w:pPr>
            <w:r/>
            <w:r>
              <w:rPr>
                <w:sz w:val="19"/>
              </w:rPr>
              <w:t>12 Email &amp; Sales Enablement</w:t>
            </w:r>
          </w:p>
        </w:tc>
        <w:tc>
          <w:tcPr>
            <w:tcW w:type="dxa" w:w="2880"/>
          </w:tcPr>
          <w:p>
            <w:pPr>
              <w:spacing w:after="20"/>
            </w:pPr>
            <w:r/>
            <w:r>
              <w:rPr>
                <w:sz w:val="19"/>
              </w:rPr>
              <w:t>XII, XIII</w:t>
            </w:r>
          </w:p>
        </w:tc>
        <w:tc>
          <w:tcPr>
            <w:tcW w:type="dxa" w:w="2880"/>
          </w:tcPr>
          <w:p>
            <w:pPr>
              <w:spacing w:after="20"/>
            </w:pPr>
            <w:r/>
            <w:r>
              <w:rPr>
                <w:sz w:val="19"/>
              </w:rPr>
              <w:t>7 email sequences (full copy) + 10-item sales toolkit (questionnaires, objections ×10, FAQ, ROI, proposal, POC)</w:t>
            </w:r>
          </w:p>
        </w:tc>
      </w:tr>
      <w:tr>
        <w:tc>
          <w:tcPr>
            <w:tcW w:type="dxa" w:w="2880"/>
          </w:tcPr>
          <w:p>
            <w:pPr>
              <w:spacing w:after="20"/>
            </w:pPr>
            <w:r/>
            <w:r>
              <w:rPr>
                <w:sz w:val="19"/>
              </w:rPr>
              <w:t>13 Visual &amp; Video</w:t>
            </w:r>
          </w:p>
        </w:tc>
        <w:tc>
          <w:tcPr>
            <w:tcW w:type="dxa" w:w="2880"/>
          </w:tcPr>
          <w:p>
            <w:pPr>
              <w:spacing w:after="20"/>
            </w:pPr>
            <w:r/>
            <w:r>
              <w:rPr>
                <w:sz w:val="19"/>
              </w:rPr>
              <w:t>XV, XVI</w:t>
            </w:r>
          </w:p>
        </w:tc>
        <w:tc>
          <w:tcPr>
            <w:tcW w:type="dxa" w:w="2880"/>
          </w:tcPr>
          <w:p>
            <w:pPr>
              <w:spacing w:after="20"/>
            </w:pPr>
            <w:r/>
            <w:r>
              <w:rPr>
                <w:sz w:val="19"/>
              </w:rPr>
              <w:t>14 visual asset specs with image-generation prompts; 7 complete video scripts</w:t>
            </w:r>
          </w:p>
        </w:tc>
      </w:tr>
      <w:tr>
        <w:tc>
          <w:tcPr>
            <w:tcW w:type="dxa" w:w="2880"/>
          </w:tcPr>
          <w:p>
            <w:pPr>
              <w:spacing w:after="20"/>
            </w:pPr>
            <w:r/>
            <w:r>
              <w:rPr>
                <w:sz w:val="19"/>
              </w:rPr>
              <w:t>14 Customer Success, Funnel, KPIs &amp; Launch</w:t>
            </w:r>
          </w:p>
        </w:tc>
        <w:tc>
          <w:tcPr>
            <w:tcW w:type="dxa" w:w="2880"/>
          </w:tcPr>
          <w:p>
            <w:pPr>
              <w:spacing w:after="20"/>
            </w:pPr>
            <w:r/>
            <w:r>
              <w:rPr>
                <w:sz w:val="19"/>
              </w:rPr>
              <w:t>XVII–XIX, XXI</w:t>
            </w:r>
          </w:p>
        </w:tc>
        <w:tc>
          <w:tcPr>
            <w:tcW w:type="dxa" w:w="2880"/>
          </w:tcPr>
          <w:p>
            <w:pPr>
              <w:spacing w:after="20"/>
            </w:pPr>
            <w:r/>
            <w:r>
              <w:rPr>
                <w:sz w:val="19"/>
              </w:rPr>
              <w:t>CS templates, 16-stage funnel, 19 KPIs, final launch package with production order</w:t>
            </w:r>
          </w:p>
        </w:tc>
      </w:tr>
    </w:tbl>
    <w:p>
      <w:pPr>
        <w:spacing w:after="40"/>
      </w:pPr>
    </w:p>
    <w:p>
      <w:pPr>
        <w:spacing w:before="240" w:after="120"/>
      </w:pPr>
      <w:r>
        <w:rPr>
          <w:rFonts w:ascii="Calibri" w:hAnsi="Calibri"/>
          <w:b/>
          <w:color w:val="0E3A5D"/>
          <w:sz w:val="34"/>
        </w:rPr>
        <w:t>4. Non-negotiable rules (apply to everything in this package)</w:t>
      </w:r>
    </w:p>
    <w:p>
      <w:pPr>
        <w:pStyle w:val="ListNumber"/>
        <w:spacing w:after="40"/>
      </w:pPr>
      <w:r>
        <w:rPr>
          <w:b/>
          <w:sz w:val="22"/>
        </w:rPr>
        <w:t>Product identity:</w:t>
      </w:r>
      <w:r>
        <w:rPr>
          <w:sz w:val="22"/>
        </w:rPr>
        <w:t xml:space="preserve"> LSS is the product. Odoo 19 Community Edition is the technological foundation — never "Odoo for pharma."</w:t>
      </w:r>
    </w:p>
    <w:p>
      <w:pPr>
        <w:pStyle w:val="ListNumber"/>
        <w:spacing w:after="40"/>
      </w:pPr>
      <w:r>
        <w:rPr>
          <w:b/>
          <w:sz w:val="22"/>
        </w:rPr>
        <w:t>Regulatory wording:</w:t>
      </w:r>
      <w:r>
        <w:rPr>
          <w:sz w:val="22"/>
        </w:rPr>
        <w:t xml:space="preserve"> LSS "supports processes aligned with" GMP/ISO/FDA/EU frameworks. It never claims to make an organization compliant. Compliance is the organization's achievement through configuration, validation and evidence.</w:t>
      </w:r>
    </w:p>
    <w:p>
      <w:pPr>
        <w:pStyle w:val="ListNumber"/>
        <w:spacing w:after="40"/>
      </w:pPr>
      <w:r>
        <w:rPr>
          <w:b/>
          <w:sz w:val="22"/>
        </w:rPr>
        <w:t>Truth markers:</w:t>
      </w:r>
      <w:r>
        <w:rPr>
          <w:sz w:val="22"/>
        </w:rPr>
        <w:t xml:space="preserve"> </w:t>
      </w:r>
      <w:r>
        <w:rPr>
          <w:rFonts w:ascii="Consolas" w:hAnsi="Consolas"/>
          <w:sz w:val="22"/>
        </w:rPr>
        <w:t>[VERIFY CAPABILITY]</w:t>
      </w:r>
      <w:r>
        <w:rPr>
          <w:sz w:val="22"/>
        </w:rPr>
        <w:t xml:space="preserve"> · </w:t>
      </w:r>
      <w:r>
        <w:rPr>
          <w:rFonts w:ascii="Consolas" w:hAnsi="Consolas"/>
          <w:sz w:val="22"/>
        </w:rPr>
        <w:t>[REQUIRES PRODUCT VERIFICATION]</w:t>
      </w:r>
      <w:r>
        <w:rPr>
          <w:sz w:val="22"/>
        </w:rPr>
        <w:t xml:space="preserve"> · </w:t>
      </w:r>
      <w:r>
        <w:rPr>
          <w:rFonts w:ascii="Consolas" w:hAnsi="Consolas"/>
          <w:sz w:val="22"/>
        </w:rPr>
        <w:t>[REQUIRES CUSTOMER DATA]</w:t>
      </w:r>
      <w:r>
        <w:rPr>
          <w:sz w:val="22"/>
        </w:rPr>
        <w:t xml:space="preserve"> · </w:t>
      </w:r>
      <w:r>
        <w:rPr>
          <w:rFonts w:ascii="Consolas" w:hAnsi="Consolas"/>
          <w:sz w:val="22"/>
        </w:rPr>
        <w:t>[REQUIRES REGULATORY/LEGAL REVIEW]</w:t>
      </w:r>
      <w:r>
        <w:rPr>
          <w:sz w:val="22"/>
        </w:rPr>
        <w:t xml:space="preserve"> — every marker must be resolved (or the asset flagged) before publication.</w:t>
      </w:r>
    </w:p>
    <w:p>
      <w:pPr>
        <w:pStyle w:val="ListNumber"/>
        <w:spacing w:after="40"/>
      </w:pPr>
      <w:r>
        <w:rPr>
          <w:b/>
          <w:sz w:val="22"/>
        </w:rPr>
        <w:t>No invention:</w:t>
      </w:r>
      <w:r>
        <w:rPr>
          <w:sz w:val="22"/>
        </w:rPr>
        <w:t xml:space="preserve"> no fabricated customers, statistics, certifications, case studies, testimonials, market shares, or performance figures. Where information is unavailable, the marker says so.</w:t>
      </w:r>
    </w:p>
    <w:p>
      <w:pPr>
        <w:pStyle w:val="ListNumber"/>
        <w:spacing w:after="40"/>
      </w:pPr>
      <w:r>
        <w:rPr>
          <w:b/>
          <w:sz w:val="22"/>
        </w:rPr>
        <w:t>No empty hype:</w:t>
      </w:r>
      <w:r>
        <w:rPr>
          <w:sz w:val="22"/>
        </w:rPr>
        <w:t xml:space="preserve"> no "best ERP", "world's leading", "revolutionary" — specifics and workflows instead.</w:t>
      </w:r>
    </w:p>
    <w:p>
      <w:pPr>
        <w:spacing w:before="240" w:after="120"/>
      </w:pPr>
      <w:r>
        <w:rPr>
          <w:rFonts w:ascii="Calibri" w:hAnsi="Calibri"/>
          <w:b/>
          <w:color w:val="0E3A5D"/>
          <w:sz w:val="34"/>
        </w:rPr>
        <w:t>5. Launch gating (summary — full detail in 14_CustomerSuccess_Funnel_KPI_Launch)</w:t>
      </w:r>
    </w:p>
    <w:p>
      <w:pPr>
        <w:spacing w:after="120" w:line="276" w:lineRule="auto"/>
      </w:pPr>
      <w:r>
        <w:rPr>
          <w:b/>
          <w:sz w:val="22"/>
        </w:rPr>
        <w:t>Ready to produce immediately (from this package):</w:t>
      </w:r>
      <w:r>
        <w:rPr>
          <w:sz w:val="22"/>
        </w:rPr>
        <w:t xml:space="preserve"> all 15 volumes' content — brand, collateral copy, decks, campaigns, web copy, emails, enablement toolkit, event kit, video scripts.</w:t>
      </w:r>
    </w:p>
    <w:p>
      <w:pPr>
        <w:spacing w:after="120" w:line="276" w:lineRule="auto"/>
      </w:pPr>
      <w:r>
        <w:rPr>
          <w:b/>
          <w:sz w:val="22"/>
        </w:rPr>
        <w:t>Must be verified before public launch (critical path):</w:t>
      </w:r>
    </w:p>
    <w:p>
      <w:pPr>
        <w:pStyle w:val="ListNumber"/>
        <w:spacing w:after="40"/>
      </w:pPr>
      <w:r>
        <w:rPr>
          <w:sz w:val="22"/>
        </w:rPr>
        <w:t>Product team confirms module availability, packaging and pricing (REQUIRES PRODUCT VERIFICATION)</w:t>
      </w:r>
    </w:p>
    <w:p>
      <w:pPr>
        <w:pStyle w:val="ListNumber"/>
        <w:spacing w:after="40"/>
      </w:pPr>
      <w:r>
        <w:rPr>
          <w:sz w:val="22"/>
        </w:rPr>
        <w:t>Regulatory/legal review of all regulatory references</w:t>
      </w:r>
    </w:p>
    <w:p>
      <w:pPr>
        <w:pStyle w:val="ListNumber"/>
        <w:spacing w:after="40"/>
      </w:pPr>
      <w:r>
        <w:rPr>
          <w:sz w:val="22"/>
        </w:rPr>
        <w:t>Demo environment operational + real screenshots</w:t>
      </w:r>
    </w:p>
    <w:p>
      <w:pPr>
        <w:pStyle w:val="ListNumber"/>
        <w:spacing w:after="40"/>
      </w:pPr>
      <w:r>
        <w:rPr>
          <w:sz w:val="22"/>
        </w:rPr>
        <w:t>Customer references (REQUIRES CUSTOMER DATA)</w:t>
      </w:r>
    </w:p>
    <w:p>
      <w:pPr>
        <w:spacing w:after="120" w:line="276" w:lineRule="auto"/>
      </w:pPr>
      <w:r>
        <w:rPr>
          <w:b/>
          <w:sz w:val="22"/>
        </w:rPr>
        <w:t>Recommended production order:</w:t>
      </w:r>
      <w:r>
        <w:rPr>
          <w:sz w:val="22"/>
        </w:rPr>
        <w:t xml:space="preserve"> Weeks 1-2 brand &amp; messaging → 3-4 core collateral → 5-6 website &amp; digital → 7-8 demand &amp; sales enablement → 9-12 activation, events, KPI baseline.</w:t>
      </w:r>
    </w:p>
    <w:p>
      <w:pPr>
        <w:spacing w:before="240" w:after="120"/>
      </w:pPr>
      <w:r>
        <w:rPr>
          <w:rFonts w:ascii="Calibri" w:hAnsi="Calibri"/>
          <w:b/>
          <w:color w:val="0E3A5D"/>
          <w:sz w:val="34"/>
        </w:rPr>
        <w:t>6. Evidence base</w:t>
      </w:r>
    </w:p>
    <w:p>
      <w:pPr>
        <w:spacing w:after="120" w:line="276" w:lineRule="auto"/>
      </w:pPr>
      <w:r>
        <w:rPr>
          <w:sz w:val="22"/>
        </w:rPr>
        <w:t>This package was built from the project's own documentation: the 35-module LSS catalog, the Functional Specification, Architecture document, the implementation guide (Volumes 0–VI, Steps 002–070), the Regulatory Verification Annex, and the Enterprise Architecture Reference Manual. Claims beyond that base are marked, never invented.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