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0E3A5D"/>
          <w:sz w:val="52"/>
        </w:rPr>
        <w:t>LSS Brand Strategy</w:t>
      </w:r>
    </w:p>
    <w:p>
      <w:pPr>
        <w:jc w:val="center"/>
      </w:pPr>
      <w:r>
        <w:rPr>
          <w:rFonts w:ascii="Calibri" w:hAnsi="Calibri"/>
          <w:color w:val="0B6E6E"/>
          <w:sz w:val="28"/>
        </w:rPr>
        <w:t>Part I — Brand Foundation &amp; Visual Identity Direction</w:t>
      </w:r>
    </w:p>
    <w:p>
      <w:pPr>
        <w:jc w:val="center"/>
      </w:pPr>
      <w:r>
        <w:rPr>
          <w:color w:val="444A52"/>
          <w:sz w:val="20"/>
        </w:rPr>
        <w:t>LSS — Life Sciences Suite  ·  Marketing &amp; Advertising Master Plan</w:t>
      </w:r>
    </w:p>
    <w:p>
      <w:r>
        <w:br w:type="page"/>
      </w:r>
    </w:p>
    <w:p>
      <w:pPr>
        <w:spacing w:before="120" w:after="200"/>
        <w:pBdr>
          <w:bottom w:val="single" w:sz="12" w:space="4" w:color="0E3A5D"/>
        </w:pBdr>
      </w:pPr>
      <w:r>
        <w:rPr>
          <w:rFonts w:ascii="Calibri" w:hAnsi="Calibri"/>
          <w:b/>
          <w:color w:val="0E3A5D"/>
          <w:sz w:val="44"/>
        </w:rPr>
        <w:t>WORKER 01 — LSS BRAND STRATEGY (Part I: Brand Strategy)</w:t>
      </w:r>
    </w:p>
    <w:p>
      <w:pPr>
        <w:spacing w:after="120" w:line="276" w:lineRule="auto"/>
      </w:pPr>
      <w:r>
        <w:rPr>
          <w:b/>
          <w:sz w:val="22"/>
        </w:rPr>
        <w:t>Deliverable:</w:t>
      </w:r>
      <w:r>
        <w:rPr>
          <w:sz w:val="22"/>
        </w:rPr>
        <w:t xml:space="preserve"> Brand strategy for the LSS (Life Sciences Suite) marketing master plan.</w:t>
      </w:r>
    </w:p>
    <w:p>
      <w:pPr>
        <w:spacing w:after="120" w:line="276" w:lineRule="auto"/>
      </w:pPr>
      <w:r>
        <w:rPr>
          <w:b/>
          <w:sz w:val="22"/>
        </w:rPr>
        <w:t>Role:</w:t>
      </w:r>
      <w:r>
        <w:rPr>
          <w:sz w:val="22"/>
        </w:rPr>
        <w:t xml:space="preserve"> Brand Strategist.</w:t>
      </w:r>
    </w:p>
    <w:p>
      <w:pPr>
        <w:spacing w:after="120" w:line="276" w:lineRule="auto"/>
      </w:pPr>
      <w:r>
        <w:rPr>
          <w:b/>
          <w:sz w:val="22"/>
        </w:rPr>
        <w:t>Inputs read (binding):</w:t>
      </w:r>
      <w:r>
        <w:rPr>
          <w:sz w:val="22"/>
        </w:rPr>
        <w:t xml:space="preserve"> </w:t>
      </w:r>
      <w:r>
        <w:rPr>
          <w:rFonts w:ascii="Consolas" w:hAnsi="Consolas"/>
          <w:sz w:val="22"/>
        </w:rPr>
        <w:t>shared/marketing_ground_rules.md</w:t>
      </w:r>
      <w:r>
        <w:rPr>
          <w:sz w:val="22"/>
        </w:rPr>
        <w:t xml:space="preserve">; </w:t>
      </w:r>
      <w:r>
        <w:rPr>
          <w:rFonts w:ascii="Consolas" w:hAnsi="Consolas"/>
          <w:sz w:val="22"/>
        </w:rPr>
        <w:t>s1-evidence/module_catalog.txt</w:t>
      </w:r>
      <w:r>
        <w:rPr>
          <w:sz w:val="22"/>
        </w:rPr>
        <w:t xml:space="preserve">; </w:t>
      </w:r>
      <w:r>
        <w:rPr>
          <w:rFonts w:ascii="Consolas" w:hAnsi="Consolas"/>
          <w:sz w:val="22"/>
        </w:rPr>
        <w:t>s1-evidence/evidence_a_platform_facts.md</w:t>
      </w:r>
      <w:r>
        <w:rPr>
          <w:sz w:val="22"/>
        </w:rPr>
        <w:t xml:space="preserve">; </w:t>
      </w:r>
      <w:r>
        <w:rPr>
          <w:rFonts w:ascii="Consolas" w:hAnsi="Consolas"/>
          <w:sz w:val="22"/>
        </w:rPr>
        <w:t>s1-evidence/evidence_b_implementation_workflows.md</w:t>
      </w:r>
      <w:r>
        <w:rPr>
          <w:sz w:val="22"/>
        </w:rPr>
        <w:t>.</w:t>
      </w:r>
    </w:p>
    <w:p>
      <w:pPr>
        <w:spacing w:after="120" w:line="276" w:lineRule="auto"/>
      </w:pPr>
      <w:r>
        <w:rPr>
          <w:b/>
          <w:sz w:val="22"/>
        </w:rPr>
        <w:t>Status:</w:t>
      </w:r>
      <w:r>
        <w:rPr>
          <w:sz w:val="22"/>
        </w:rPr>
        <w:t xml:space="preserve"> Complete. All copy production-ready in English. Verification markers used only where the ground rules require them; confirmed facts carry no markers.</w:t>
      </w:r>
    </w:p>
    <w:p>
      <w:pPr>
        <w:spacing w:after="120"/>
        <w:ind w:left="432"/>
      </w:pPr>
      <w:r>
        <w:rPr>
          <w:i/>
          <w:color w:val="444A52"/>
          <w:sz w:val="22"/>
        </w:rPr>
        <w:t>**Reading note for reviewers:** This document follows the mandatory truth protocol of `marketing_ground_rules.md`. Every regulatory statement uses "supports / designed to support" language. No compliance, certification, customer, statistic, or market-share claim is made. Where the product's availability, packaging, or an unverified capability is involved, the required marker appears (`[VERIFY CAPABILITY]`, `[REQUIRES PRODUCT VERIFICATION]`, `[REQUIRES CUSTOMER DATA]`, `[REQUIRES REGULATORY/LEGAL REVIEW]`).</w:t>
      </w:r>
    </w:p>
    <w:p>
      <w:pPr>
        <w:spacing w:before="240" w:after="120"/>
      </w:pPr>
      <w:r>
        <w:rPr>
          <w:rFonts w:ascii="Calibri" w:hAnsi="Calibri"/>
          <w:b/>
          <w:color w:val="0E3A5D"/>
          <w:sz w:val="34"/>
        </w:rPr>
        <w:t>1. Brand Positioning Statement</w:t>
      </w:r>
    </w:p>
    <w:p>
      <w:pPr>
        <w:spacing w:after="120"/>
        <w:ind w:left="432"/>
      </w:pPr>
      <w:r>
        <w:rPr>
          <w:i/>
          <w:color w:val="444A52"/>
          <w:sz w:val="22"/>
        </w:rPr>
        <w:t>**LSS — the Life Sciences Suite — connects enterprise operations and quality processes into one traceable digital environment, designed for regulated life-sciences organizations: pharmaceutical, medical-device, medical-plastic, and cosmetics manufacturers, and laboratories.**</w:t>
      </w:r>
    </w:p>
    <w:p>
      <w:pPr>
        <w:spacing w:after="120" w:line="276" w:lineRule="auto"/>
      </w:pPr>
      <w:r>
        <w:rPr>
          <w:sz w:val="22"/>
        </w:rPr>
        <w:t>The statement preserves the core positioning verbatim in structure ("connects enterprise operations and quality processes into one traceable digital environment") and adds the audience specificity that the target-market definition requires. It is deliberately single-sentence, concrete, and free of adjectives that would require proof.</w:t>
      </w:r>
    </w:p>
    <w:p>
      <w:pPr>
        <w:spacing w:after="120" w:line="276" w:lineRule="auto"/>
      </w:pPr>
      <w:r>
        <w:rPr>
          <w:b/>
          <w:sz w:val="22"/>
        </w:rPr>
        <w:t>Why this works:</w:t>
      </w:r>
    </w:p>
    <w:p>
      <w:pPr>
        <w:pStyle w:val="ListBullet"/>
        <w:spacing w:after="40"/>
      </w:pPr>
      <w:r>
        <w:rPr>
          <w:sz w:val="22"/>
        </w:rPr>
        <w:t xml:space="preserve">It names the </w:t>
      </w:r>
      <w:r>
        <w:rPr>
          <w:i/>
          <w:sz w:val="22"/>
        </w:rPr>
        <w:t>integration</w:t>
      </w:r>
      <w:r>
        <w:rPr>
          <w:sz w:val="22"/>
        </w:rPr>
        <w:t xml:space="preserve"> (operations + quality) that generic ERPs and standalone QMS tools cannot deliver.</w:t>
      </w:r>
    </w:p>
    <w:p>
      <w:pPr>
        <w:pStyle w:val="ListBullet"/>
        <w:spacing w:after="40"/>
      </w:pPr>
      <w:r>
        <w:rPr>
          <w:sz w:val="22"/>
        </w:rPr>
        <w:t xml:space="preserve">It names the </w:t>
      </w:r>
      <w:r>
        <w:rPr>
          <w:i/>
          <w:sz w:val="22"/>
        </w:rPr>
        <w:t>outcome</w:t>
      </w:r>
      <w:r>
        <w:rPr>
          <w:sz w:val="22"/>
        </w:rPr>
        <w:t xml:space="preserve"> (one traceable digital environment) before any capability.</w:t>
      </w:r>
    </w:p>
    <w:p>
      <w:pPr>
        <w:pStyle w:val="ListBullet"/>
        <w:spacing w:after="40"/>
      </w:pPr>
      <w:r>
        <w:rPr>
          <w:sz w:val="22"/>
        </w:rPr>
        <w:t xml:space="preserve">It names the </w:t>
      </w:r>
      <w:r>
        <w:rPr>
          <w:i/>
          <w:sz w:val="22"/>
        </w:rPr>
        <w:t>audience</w:t>
      </w:r>
      <w:r>
        <w:rPr>
          <w:sz w:val="22"/>
        </w:rPr>
        <w:t xml:space="preserve"> (regulated life-sciences organizations) — the specialization that generic platforms lack.</w:t>
      </w:r>
    </w:p>
    <w:p>
      <w:pPr>
        <w:spacing w:before="240" w:after="120"/>
      </w:pPr>
      <w:r>
        <w:rPr>
          <w:rFonts w:ascii="Calibri" w:hAnsi="Calibri"/>
          <w:b/>
          <w:color w:val="0E3A5D"/>
          <w:sz w:val="34"/>
        </w:rPr>
        <w:t>2. Brand Promise</w:t>
      </w:r>
    </w:p>
    <w:p>
      <w:pPr>
        <w:spacing w:after="120"/>
        <w:ind w:left="432"/>
      </w:pPr>
      <w:r>
        <w:rPr>
          <w:i/>
          <w:color w:val="444A52"/>
          <w:sz w:val="22"/>
        </w:rPr>
        <w:t>**LSS promises regulated life-sciences organizations one connected system of record in which every operation and every quality decision — from raw material receipt to batch release — leaves a trace that the organization can find, follow, and show. LSS is designed to support regulated workflows and to be validated by the organization itself; it never promises to substitute for the organization's own quality system or regulatory responsibilities.**</w:t>
      </w:r>
    </w:p>
    <w:p>
      <w:pPr>
        <w:spacing w:after="120" w:line="276" w:lineRule="auto"/>
      </w:pPr>
      <w:r>
        <w:rPr>
          <w:sz w:val="22"/>
        </w:rPr>
        <w:t>Three commitments anchor the promise:</w:t>
      </w:r>
    </w:p>
    <w:p>
      <w:pPr>
        <w:pStyle w:val="ListNumber"/>
        <w:spacing w:after="40"/>
      </w:pPr>
      <w:r>
        <w:rPr>
          <w:b/>
          <w:sz w:val="22"/>
        </w:rPr>
        <w:t>Integration</w:t>
      </w:r>
      <w:r>
        <w:rPr>
          <w:sz w:val="22"/>
        </w:rPr>
        <w:t xml:space="preserve"> — operations and quality live in one environment, not in systems that have to be reconciled.</w:t>
      </w:r>
    </w:p>
    <w:p>
      <w:pPr>
        <w:pStyle w:val="ListNumber"/>
        <w:spacing w:after="40"/>
      </w:pPr>
      <w:r>
        <w:rPr>
          <w:b/>
          <w:sz w:val="22"/>
        </w:rPr>
        <w:t>Traceability</w:t>
      </w:r>
      <w:r>
        <w:rPr>
          <w:sz w:val="22"/>
        </w:rPr>
        <w:t xml:space="preserve"> — every action, signature, and decision is recorded and retrievable.</w:t>
      </w:r>
    </w:p>
    <w:p>
      <w:pPr>
        <w:pStyle w:val="ListNumber"/>
        <w:spacing w:after="40"/>
      </w:pPr>
      <w:r>
        <w:rPr>
          <w:b/>
          <w:sz w:val="22"/>
        </w:rPr>
        <w:t>Honesty</w:t>
      </w:r>
      <w:r>
        <w:rPr>
          <w:sz w:val="22"/>
        </w:rPr>
        <w:t xml:space="preserve"> — LSS supports compliance implementation; it does not claim to certify it. The organization remains the owner of its compliance program.</w:t>
      </w:r>
    </w:p>
    <w:p>
      <w:pPr>
        <w:spacing w:before="240" w:after="120"/>
      </w:pPr>
      <w:r>
        <w:rPr>
          <w:rFonts w:ascii="Calibri" w:hAnsi="Calibri"/>
          <w:b/>
          <w:color w:val="0E3A5D"/>
          <w:sz w:val="34"/>
        </w:rPr>
        <w:t>3. Brand Mission</w:t>
      </w:r>
    </w:p>
    <w:p>
      <w:pPr>
        <w:spacing w:after="120"/>
        <w:ind w:left="432"/>
      </w:pPr>
      <w:r>
        <w:rPr>
          <w:i/>
          <w:color w:val="444A52"/>
          <w:sz w:val="22"/>
        </w:rPr>
        <w:t>**To give regulated life-sciences organizations an integrated, traceable digital environment in which quality is a working part of everyday operations — so that producing the evidence of quality becomes as routine as producing the product.**</w:t>
      </w:r>
    </w:p>
    <w:p>
      <w:pPr>
        <w:spacing w:after="120" w:line="276" w:lineRule="auto"/>
      </w:pPr>
      <w:r>
        <w:rPr>
          <w:sz w:val="22"/>
        </w:rPr>
        <w:t>The mission expresses the brand's reason for being: not "selling software modules" but making defensible quality the default mode of running a regulated business.</w:t>
      </w:r>
    </w:p>
    <w:p>
      <w:pPr>
        <w:spacing w:before="240" w:after="120"/>
      </w:pPr>
      <w:r>
        <w:rPr>
          <w:rFonts w:ascii="Calibri" w:hAnsi="Calibri"/>
          <w:b/>
          <w:color w:val="0E3A5D"/>
          <w:sz w:val="34"/>
        </w:rPr>
        <w:t>4. Brand Vision</w:t>
      </w:r>
    </w:p>
    <w:p>
      <w:pPr>
        <w:spacing w:after="120"/>
        <w:ind w:left="432"/>
      </w:pPr>
      <w:r>
        <w:rPr>
          <w:i/>
          <w:color w:val="444A52"/>
          <w:sz w:val="22"/>
        </w:rPr>
        <w:t>**A world in which every regulated life-sciences organization runs its operations and its quality as one: where traceability is the architectural default rather than an afterthought, and where trust in every batch is not just built — it is demonstrable at every step, from first raw material to final release.**</w:t>
      </w:r>
    </w:p>
    <w:p>
      <w:pPr>
        <w:spacing w:after="120" w:line="276" w:lineRule="auto"/>
      </w:pPr>
      <w:r>
        <w:rPr>
          <w:sz w:val="22"/>
        </w:rPr>
        <w:t>The vision is aspirational but grounded: it extrapolates from the platform's confirmed design principles (end-to-end traceability, validation readiness, regulatory alignment) without inventing performance outcomes.</w:t>
      </w:r>
    </w:p>
    <w:p>
      <w:pPr>
        <w:spacing w:before="240" w:after="120"/>
      </w:pPr>
      <w:r>
        <w:rPr>
          <w:rFonts w:ascii="Calibri" w:hAnsi="Calibri"/>
          <w:b/>
          <w:color w:val="0E3A5D"/>
          <w:sz w:val="34"/>
        </w:rPr>
        <w:t>5. Brand Values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E3A5D"/>
          </w:tcPr>
          <w:p>
            <w:pPr>
              <w:spacing w:after="20"/>
            </w:pPr>
            <w:r>
              <w:rPr>
                <w:color w:val="FFFFFF"/>
              </w:rPr>
            </w:r>
            <w:r>
              <w:rPr>
                <w:b/>
                <w:color w:val="FFFFFF"/>
                <w:sz w:val="19"/>
              </w:rPr>
              <w:t>#</w:t>
            </w:r>
          </w:p>
        </w:tc>
        <w:tc>
          <w:tcPr>
            <w:tcW w:type="dxa" w:w="2880"/>
            <w:shd w:val="clear" w:color="auto" w:fill="0E3A5D"/>
          </w:tcPr>
          <w:p>
            <w:pPr>
              <w:spacing w:after="20"/>
            </w:pPr>
            <w:r>
              <w:rPr>
                <w:color w:val="FFFFFF"/>
              </w:rPr>
            </w:r>
            <w:r>
              <w:rPr>
                <w:b/>
                <w:color w:val="FFFFFF"/>
                <w:sz w:val="19"/>
              </w:rPr>
              <w:t>Value</w:t>
            </w:r>
          </w:p>
        </w:tc>
        <w:tc>
          <w:tcPr>
            <w:tcW w:type="dxa" w:w="2880"/>
            <w:shd w:val="clear" w:color="auto" w:fill="0E3A5D"/>
          </w:tcPr>
          <w:p>
            <w:pPr>
              <w:spacing w:after="20"/>
            </w:pPr>
            <w:r>
              <w:rPr>
                <w:color w:val="FFFFFF"/>
              </w:rPr>
            </w:r>
            <w:r>
              <w:rPr>
                <w:b/>
                <w:color w:val="FFFFFF"/>
                <w:sz w:val="19"/>
              </w:rPr>
              <w:t>Rationale</w:t>
            </w:r>
          </w:p>
        </w:tc>
      </w:tr>
      <w:tr>
        <w:tc>
          <w:tcPr>
            <w:tcW w:type="dxa" w:w="2880"/>
          </w:tcPr>
          <w:p>
            <w:pPr>
              <w:spacing w:after="20"/>
            </w:pPr>
            <w:r/>
            <w:r>
              <w:rPr>
                <w:sz w:val="19"/>
              </w:rPr>
              <w:t>1</w:t>
            </w:r>
          </w:p>
        </w:tc>
        <w:tc>
          <w:tcPr>
            <w:tcW w:type="dxa" w:w="2880"/>
          </w:tcPr>
          <w:p>
            <w:pPr>
              <w:spacing w:after="20"/>
            </w:pPr>
            <w:r/>
            <w:r>
              <w:rPr>
                <w:b/>
                <w:sz w:val="19"/>
              </w:rPr>
              <w:t>Traceability is truth</w:t>
            </w:r>
          </w:p>
        </w:tc>
        <w:tc>
          <w:tcPr>
            <w:tcW w:type="dxa" w:w="2880"/>
          </w:tcPr>
          <w:p>
            <w:pPr>
              <w:spacing w:after="20"/>
            </w:pPr>
            <w:r/>
            <w:r>
              <w:rPr>
                <w:sz w:val="19"/>
              </w:rPr>
              <w:t>In regulated life sciences, an action that cannot be traced is an action that cannot be defended. LSS treats the trace as the fundamental unit of record — every lot, document, deviation, and signature connected in a chain the organization can follow. This value shapes product design (immutable logs, audit trails) and brand behavior (we show our work).</w:t>
            </w:r>
          </w:p>
        </w:tc>
      </w:tr>
      <w:tr>
        <w:tc>
          <w:tcPr>
            <w:tcW w:type="dxa" w:w="2880"/>
          </w:tcPr>
          <w:p>
            <w:pPr>
              <w:spacing w:after="20"/>
            </w:pPr>
            <w:r/>
            <w:r>
              <w:rPr>
                <w:sz w:val="19"/>
              </w:rPr>
              <w:t>2</w:t>
            </w:r>
          </w:p>
        </w:tc>
        <w:tc>
          <w:tcPr>
            <w:tcW w:type="dxa" w:w="2880"/>
          </w:tcPr>
          <w:p>
            <w:pPr>
              <w:spacing w:after="20"/>
            </w:pPr>
            <w:r/>
            <w:r>
              <w:rPr>
                <w:b/>
                <w:sz w:val="19"/>
              </w:rPr>
              <w:t>Evidence over assertion</w:t>
            </w:r>
          </w:p>
        </w:tc>
        <w:tc>
          <w:tcPr>
            <w:tcW w:type="dxa" w:w="2880"/>
          </w:tcPr>
          <w:p>
            <w:pPr>
              <w:spacing w:after="20"/>
            </w:pPr>
            <w:r/>
            <w:r>
              <w:rPr>
                <w:sz w:val="19"/>
              </w:rPr>
              <w:t>A claim without evidence is a risk in a regulated environment. The brand's own discipline mirrors the platform's: statements are supportable or they are not made. "A backup that has never been restored is a hypothesis, not a control" — the same standard applies to every marketing claim we publish.</w:t>
            </w:r>
          </w:p>
        </w:tc>
      </w:tr>
      <w:tr>
        <w:tc>
          <w:tcPr>
            <w:tcW w:type="dxa" w:w="2880"/>
          </w:tcPr>
          <w:p>
            <w:pPr>
              <w:spacing w:after="20"/>
            </w:pPr>
            <w:r/>
            <w:r>
              <w:rPr>
                <w:sz w:val="19"/>
              </w:rPr>
              <w:t>3</w:t>
            </w:r>
          </w:p>
        </w:tc>
        <w:tc>
          <w:tcPr>
            <w:tcW w:type="dxa" w:w="2880"/>
          </w:tcPr>
          <w:p>
            <w:pPr>
              <w:spacing w:after="20"/>
            </w:pPr>
            <w:r/>
            <w:r>
              <w:rPr>
                <w:b/>
                <w:sz w:val="19"/>
              </w:rPr>
              <w:t>Quality is how work gets done</w:t>
            </w:r>
          </w:p>
        </w:tc>
        <w:tc>
          <w:tcPr>
            <w:tcW w:type="dxa" w:w="2880"/>
          </w:tcPr>
          <w:p>
            <w:pPr>
              <w:spacing w:after="20"/>
            </w:pPr>
            <w:r/>
            <w:r>
              <w:rPr>
                <w:sz w:val="19"/>
              </w:rPr>
              <w:t>Quality is not a department at the end of the line; it is the operating method of the whole enterprise. LSS is built on that belief: quality workflows (CAPA, deviations, change control, document control) are wired into the same environment as purchasing, inventory, production, and distribution — not bolted on afterward.</w:t>
            </w:r>
          </w:p>
        </w:tc>
      </w:tr>
      <w:tr>
        <w:tc>
          <w:tcPr>
            <w:tcW w:type="dxa" w:w="2880"/>
          </w:tcPr>
          <w:p>
            <w:pPr>
              <w:spacing w:after="20"/>
            </w:pPr>
            <w:r/>
            <w:r>
              <w:rPr>
                <w:sz w:val="19"/>
              </w:rPr>
              <w:t>4</w:t>
            </w:r>
          </w:p>
        </w:tc>
        <w:tc>
          <w:tcPr>
            <w:tcW w:type="dxa" w:w="2880"/>
          </w:tcPr>
          <w:p>
            <w:pPr>
              <w:spacing w:after="20"/>
            </w:pPr>
            <w:r/>
            <w:r>
              <w:rPr>
                <w:b/>
                <w:sz w:val="19"/>
              </w:rPr>
              <w:t>Regulated-world honesty</w:t>
            </w:r>
          </w:p>
        </w:tc>
        <w:tc>
          <w:tcPr>
            <w:tcW w:type="dxa" w:w="2880"/>
          </w:tcPr>
          <w:p>
            <w:pPr>
              <w:spacing w:after="20"/>
            </w:pPr>
            <w:r/>
            <w:r>
              <w:rPr>
                <w:sz w:val="19"/>
              </w:rPr>
              <w:t xml:space="preserve">We respect the boundary between </w:t>
            </w:r>
            <w:r>
              <w:rPr>
                <w:i/>
                <w:sz w:val="19"/>
              </w:rPr>
              <w:t>supporting</w:t>
            </w:r>
            <w:r>
              <w:rPr>
                <w:sz w:val="19"/>
              </w:rPr>
              <w:t xml:space="preserve"> compliance and </w:t>
            </w:r>
            <w:r>
              <w:rPr>
                <w:i/>
                <w:sz w:val="19"/>
              </w:rPr>
              <w:t>being</w:t>
            </w:r>
            <w:r>
              <w:rPr>
                <w:sz w:val="19"/>
              </w:rPr>
              <w:t xml:space="preserve"> compliant. Compliance is a property of the organization, not of software. LSS states clearly what it does (provides controls designed to support regulated workflows) and never claims what it cannot (certification, automatic compliance, or inspection-readiness guarantees). This honesty is itself a brand asset with quality, regulatory, and legal audiences.</w:t>
            </w:r>
          </w:p>
        </w:tc>
      </w:tr>
      <w:tr>
        <w:tc>
          <w:tcPr>
            <w:tcW w:type="dxa" w:w="2880"/>
          </w:tcPr>
          <w:p>
            <w:pPr>
              <w:spacing w:after="20"/>
            </w:pPr>
            <w:r/>
            <w:r>
              <w:rPr>
                <w:sz w:val="19"/>
              </w:rPr>
              <w:t>5</w:t>
            </w:r>
          </w:p>
        </w:tc>
        <w:tc>
          <w:tcPr>
            <w:tcW w:type="dxa" w:w="2880"/>
          </w:tcPr>
          <w:p>
            <w:pPr>
              <w:spacing w:after="20"/>
            </w:pPr>
            <w:r/>
            <w:r>
              <w:rPr>
                <w:b/>
                <w:sz w:val="19"/>
              </w:rPr>
              <w:t>Open foundation, engineering discipline</w:t>
            </w:r>
          </w:p>
        </w:tc>
        <w:tc>
          <w:tcPr>
            <w:tcW w:type="dxa" w:w="2880"/>
          </w:tcPr>
          <w:p>
            <w:pPr>
              <w:spacing w:after="20"/>
            </w:pPr>
            <w:r/>
            <w:r>
              <w:rPr>
                <w:sz w:val="19"/>
              </w:rPr>
              <w:t>The platform stands on a proven open-source ERP foundation (Odoo 19 Community Edition, LGPLv3) and layers on specialized, validation-aware engineering: state-machine-enforced workflows, segregation of duties at the data level, electronic signatures, and immutable audit trails. Openness without discipline is chaos; discipline without openness is lock-in. LSS offers the discipline of a regulated-grade implementation methodology on a foundation the organization can see and control.</w:t>
            </w:r>
          </w:p>
        </w:tc>
      </w:tr>
      <w:tr>
        <w:tc>
          <w:tcPr>
            <w:tcW w:type="dxa" w:w="2880"/>
          </w:tcPr>
          <w:p>
            <w:pPr>
              <w:spacing w:after="20"/>
            </w:pPr>
            <w:r/>
            <w:r>
              <w:rPr>
                <w:sz w:val="19"/>
              </w:rPr>
              <w:t>6</w:t>
            </w:r>
          </w:p>
        </w:tc>
        <w:tc>
          <w:tcPr>
            <w:tcW w:type="dxa" w:w="2880"/>
          </w:tcPr>
          <w:p>
            <w:pPr>
              <w:spacing w:after="20"/>
            </w:pPr>
            <w:r/>
            <w:r>
              <w:rPr>
                <w:b/>
                <w:sz w:val="19"/>
              </w:rPr>
              <w:t>Clarity under scrutiny</w:t>
            </w:r>
          </w:p>
        </w:tc>
        <w:tc>
          <w:tcPr>
            <w:tcW w:type="dxa" w:w="2880"/>
          </w:tcPr>
          <w:p>
            <w:pPr>
              <w:spacing w:after="20"/>
            </w:pPr>
            <w:r/>
            <w:r>
              <w:rPr>
                <w:sz w:val="19"/>
              </w:rPr>
              <w:t>Regulated work is work that will be examined — by auditors, inspectors, investigators, and patients. Every screen, report, and record must be legible, unambiguous, and honest under that scrutiny. The brand applies the same standard to its own communications: plain language, structured evidence, no ornament that obscures meaning.</w:t>
            </w:r>
          </w:p>
        </w:tc>
      </w:tr>
    </w:tbl>
    <w:p>
      <w:pPr>
        <w:spacing w:after="40"/>
      </w:pPr>
    </w:p>
    <w:p>
      <w:pPr>
        <w:spacing w:before="240" w:after="120"/>
      </w:pPr>
      <w:r>
        <w:rPr>
          <w:rFonts w:ascii="Calibri" w:hAnsi="Calibri"/>
          <w:b/>
          <w:color w:val="0E3A5D"/>
          <w:sz w:val="34"/>
        </w:rPr>
        <w:t>6. Brand Personality</w:t>
      </w:r>
    </w:p>
    <w:p>
      <w:pPr>
        <w:spacing w:after="120" w:line="276" w:lineRule="auto"/>
      </w:pPr>
      <w:r>
        <w:rPr>
          <w:b/>
          <w:sz w:val="22"/>
        </w:rPr>
        <w:t>Archetype: The Guardian</w:t>
      </w:r>
      <w:r>
        <w:rPr>
          <w:sz w:val="22"/>
        </w:rPr>
        <w:t xml:space="preserve"> (protector of quality, patients, and defensible records) </w:t>
      </w:r>
      <w:r>
        <w:rPr>
          <w:b/>
          <w:sz w:val="22"/>
        </w:rPr>
        <w:t>with Sage overtones</w:t>
      </w:r>
      <w:r>
        <w:rPr>
          <w:sz w:val="22"/>
        </w:rPr>
        <w:t xml:space="preserve"> (deep expertise, measured counsel).</w:t>
      </w:r>
    </w:p>
    <w:p>
      <w:pPr>
        <w:spacing w:after="120" w:line="276" w:lineRule="auto"/>
      </w:pPr>
      <w:r>
        <w:rPr>
          <w:sz w:val="22"/>
        </w:rPr>
        <w:t>LSS does not sell excitement; it sells assurance earned through rigor. It is the quiet expert who has already thought through the deviation, the inspection, the recall drill — and has a system for each. It speaks like a trusted technical authority: calm, precise, and never louder than the evidence requires.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E3A5D"/>
          </w:tcPr>
          <w:p>
            <w:pPr>
              <w:spacing w:after="20"/>
            </w:pPr>
            <w:r>
              <w:rPr>
                <w:color w:val="FFFFFF"/>
              </w:rPr>
            </w:r>
            <w:r>
              <w:rPr>
                <w:b/>
                <w:color w:val="FFFFFF"/>
                <w:sz w:val="19"/>
              </w:rPr>
              <w:t>Trait</w:t>
            </w:r>
          </w:p>
        </w:tc>
        <w:tc>
          <w:tcPr>
            <w:tcW w:type="dxa" w:w="4320"/>
            <w:shd w:val="clear" w:color="auto" w:fill="0E3A5D"/>
          </w:tcPr>
          <w:p>
            <w:pPr>
              <w:spacing w:after="20"/>
            </w:pPr>
            <w:r>
              <w:rPr>
                <w:color w:val="FFFFFF"/>
              </w:rPr>
            </w:r>
            <w:r>
              <w:rPr>
                <w:b/>
                <w:color w:val="FFFFFF"/>
                <w:sz w:val="19"/>
              </w:rPr>
              <w:t>In practice</w:t>
            </w:r>
          </w:p>
        </w:tc>
      </w:tr>
      <w:tr>
        <w:tc>
          <w:tcPr>
            <w:tcW w:type="dxa" w:w="4320"/>
          </w:tcPr>
          <w:p>
            <w:pPr>
              <w:spacing w:after="20"/>
            </w:pPr>
            <w:r/>
            <w:r>
              <w:rPr>
                <w:b/>
                <w:sz w:val="19"/>
              </w:rPr>
              <w:t>Precise</w:t>
            </w:r>
          </w:p>
        </w:tc>
        <w:tc>
          <w:tcPr>
            <w:tcW w:type="dxa" w:w="4320"/>
          </w:tcPr>
          <w:p>
            <w:pPr>
              <w:spacing w:after="20"/>
            </w:pPr>
            <w:r/>
            <w:r>
              <w:rPr>
                <w:sz w:val="19"/>
              </w:rPr>
              <w:t>Names workflows, records, and states exactly; never vague about what a module does.</w:t>
            </w:r>
          </w:p>
        </w:tc>
      </w:tr>
      <w:tr>
        <w:tc>
          <w:tcPr>
            <w:tcW w:type="dxa" w:w="4320"/>
          </w:tcPr>
          <w:p>
            <w:pPr>
              <w:spacing w:after="20"/>
            </w:pPr>
            <w:r/>
            <w:r>
              <w:rPr>
                <w:b/>
                <w:sz w:val="19"/>
              </w:rPr>
              <w:t>Assured (not arrogant)</w:t>
            </w:r>
          </w:p>
        </w:tc>
        <w:tc>
          <w:tcPr>
            <w:tcW w:type="dxa" w:w="4320"/>
          </w:tcPr>
          <w:p>
            <w:pPr>
              <w:spacing w:after="20"/>
            </w:pPr>
            <w:r/>
            <w:r>
              <w:rPr>
                <w:sz w:val="19"/>
              </w:rPr>
              <w:t>Confident about what is designed and documented; explicit about what is not yet verified.</w:t>
            </w:r>
          </w:p>
        </w:tc>
      </w:tr>
      <w:tr>
        <w:tc>
          <w:tcPr>
            <w:tcW w:type="dxa" w:w="4320"/>
          </w:tcPr>
          <w:p>
            <w:pPr>
              <w:spacing w:after="20"/>
            </w:pPr>
            <w:r/>
            <w:r>
              <w:rPr>
                <w:b/>
                <w:sz w:val="19"/>
              </w:rPr>
              <w:t>Unflashy</w:t>
            </w:r>
          </w:p>
        </w:tc>
        <w:tc>
          <w:tcPr>
            <w:tcW w:type="dxa" w:w="4320"/>
          </w:tcPr>
          <w:p>
            <w:pPr>
              <w:spacing w:after="20"/>
            </w:pPr>
            <w:r/>
            <w:r>
              <w:rPr>
                <w:sz w:val="19"/>
              </w:rPr>
              <w:t>Substance over spectacle; no superlatives, no hype vocabulary, no "disruption" talk.</w:t>
            </w:r>
          </w:p>
        </w:tc>
      </w:tr>
      <w:tr>
        <w:tc>
          <w:tcPr>
            <w:tcW w:type="dxa" w:w="4320"/>
          </w:tcPr>
          <w:p>
            <w:pPr>
              <w:spacing w:after="20"/>
            </w:pPr>
            <w:r/>
            <w:r>
              <w:rPr>
                <w:b/>
                <w:sz w:val="19"/>
              </w:rPr>
              <w:t>Rigorous</w:t>
            </w:r>
          </w:p>
        </w:tc>
        <w:tc>
          <w:tcPr>
            <w:tcW w:type="dxa" w:w="4320"/>
          </w:tcPr>
          <w:p>
            <w:pPr>
              <w:spacing w:after="20"/>
            </w:pPr>
            <w:r/>
            <w:r>
              <w:rPr>
                <w:sz w:val="19"/>
              </w:rPr>
              <w:t>Evidence-first in every claim; consistent terminology across all touchpoints.</w:t>
            </w:r>
          </w:p>
        </w:tc>
      </w:tr>
      <w:tr>
        <w:tc>
          <w:tcPr>
            <w:tcW w:type="dxa" w:w="4320"/>
          </w:tcPr>
          <w:p>
            <w:pPr>
              <w:spacing w:after="20"/>
            </w:pPr>
            <w:r/>
            <w:r>
              <w:rPr>
                <w:b/>
                <w:sz w:val="19"/>
              </w:rPr>
              <w:t>Calm under pressure</w:t>
            </w:r>
          </w:p>
        </w:tc>
        <w:tc>
          <w:tcPr>
            <w:tcW w:type="dxa" w:w="4320"/>
          </w:tcPr>
          <w:p>
            <w:pPr>
              <w:spacing w:after="20"/>
            </w:pPr>
            <w:r/>
            <w:r>
              <w:rPr>
                <w:sz w:val="19"/>
              </w:rPr>
              <w:t>Language stays measured even when the topic is high-stakes (recalls, deviations, inspection).</w:t>
            </w:r>
          </w:p>
        </w:tc>
      </w:tr>
      <w:tr>
        <w:tc>
          <w:tcPr>
            <w:tcW w:type="dxa" w:w="4320"/>
          </w:tcPr>
          <w:p>
            <w:pPr>
              <w:spacing w:after="20"/>
            </w:pPr>
            <w:r/>
            <w:r>
              <w:rPr>
                <w:b/>
                <w:sz w:val="19"/>
              </w:rPr>
              <w:t>Expert-but-plain</w:t>
            </w:r>
          </w:p>
        </w:tc>
        <w:tc>
          <w:tcPr>
            <w:tcW w:type="dxa" w:w="4320"/>
          </w:tcPr>
          <w:p>
            <w:pPr>
              <w:spacing w:after="20"/>
            </w:pPr>
            <w:r/>
            <w:r>
              <w:rPr>
                <w:sz w:val="19"/>
              </w:rPr>
              <w:t>Knows GMP, ALCOA+, 21 CFR Part 11, EU Annex 11, ISO 13485 — and translates them into working language buyers act on.</w:t>
            </w:r>
          </w:p>
        </w:tc>
      </w:tr>
      <w:tr>
        <w:tc>
          <w:tcPr>
            <w:tcW w:type="dxa" w:w="4320"/>
          </w:tcPr>
          <w:p>
            <w:pPr>
              <w:spacing w:after="20"/>
            </w:pPr>
            <w:r/>
            <w:r>
              <w:rPr>
                <w:b/>
                <w:sz w:val="19"/>
              </w:rPr>
              <w:t>Dependable</w:t>
            </w:r>
          </w:p>
        </w:tc>
        <w:tc>
          <w:tcPr>
            <w:tcW w:type="dxa" w:w="4320"/>
          </w:tcPr>
          <w:p>
            <w:pPr>
              <w:spacing w:after="20"/>
            </w:pPr>
            <w:r/>
            <w:r>
              <w:rPr>
                <w:sz w:val="19"/>
              </w:rPr>
              <w:t>Conservative where it matters (regulatory claims), generous where it is free (explanation, transparency).</w:t>
            </w:r>
          </w:p>
        </w:tc>
      </w:tr>
    </w:tbl>
    <w:p>
      <w:pPr>
        <w:spacing w:after="40"/>
      </w:pPr>
    </w:p>
    <w:p>
      <w:pPr>
        <w:spacing w:before="240" w:after="120"/>
      </w:pPr>
      <w:r>
        <w:rPr>
          <w:rFonts w:ascii="Calibri" w:hAnsi="Calibri"/>
          <w:b/>
          <w:color w:val="0E3A5D"/>
          <w:sz w:val="34"/>
        </w:rPr>
        <w:t>7. Brand Voice</w:t>
      </w:r>
    </w:p>
    <w:p>
      <w:pPr>
        <w:spacing w:after="120" w:line="276" w:lineRule="auto"/>
      </w:pPr>
      <w:r>
        <w:rPr>
          <w:b/>
          <w:sz w:val="22"/>
        </w:rPr>
        <w:t>One-line definition:</w:t>
      </w:r>
      <w:r>
        <w:rPr>
          <w:sz w:val="22"/>
        </w:rPr>
        <w:t xml:space="preserve"> </w:t>
      </w:r>
      <w:r>
        <w:rPr>
          <w:i/>
          <w:sz w:val="22"/>
        </w:rPr>
        <w:t>The voice of a senior quality-and-operations professional who has been through the audits — plain, precise, and never selling harder than the facts allow.</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E3A5D"/>
          </w:tcPr>
          <w:p>
            <w:pPr>
              <w:spacing w:after="20"/>
            </w:pPr>
            <w:r>
              <w:rPr>
                <w:color w:val="FFFFFF"/>
              </w:rPr>
            </w:r>
            <w:r>
              <w:rPr>
                <w:b/>
                <w:color w:val="FFFFFF"/>
                <w:sz w:val="19"/>
              </w:rPr>
              <w:t>Do</w:t>
            </w:r>
          </w:p>
        </w:tc>
        <w:tc>
          <w:tcPr>
            <w:tcW w:type="dxa" w:w="4320"/>
            <w:shd w:val="clear" w:color="auto" w:fill="0E3A5D"/>
          </w:tcPr>
          <w:p>
            <w:pPr>
              <w:spacing w:after="20"/>
            </w:pPr>
            <w:r>
              <w:rPr>
                <w:color w:val="FFFFFF"/>
              </w:rPr>
            </w:r>
            <w:r>
              <w:rPr>
                <w:b/>
                <w:color w:val="FFFFFF"/>
                <w:sz w:val="19"/>
              </w:rPr>
              <w:t>Don't</w:t>
            </w:r>
          </w:p>
        </w:tc>
      </w:tr>
      <w:tr>
        <w:tc>
          <w:tcPr>
            <w:tcW w:type="dxa" w:w="4320"/>
          </w:tcPr>
          <w:p>
            <w:pPr>
              <w:spacing w:after="20"/>
            </w:pPr>
            <w:r/>
            <w:r>
              <w:rPr>
                <w:sz w:val="19"/>
              </w:rPr>
              <w:t>Name the specific workflow: batch release, deviation investigation, supplier qualification, CAPA closure.</w:t>
            </w:r>
          </w:p>
        </w:tc>
        <w:tc>
          <w:tcPr>
            <w:tcW w:type="dxa" w:w="4320"/>
          </w:tcPr>
          <w:p>
            <w:pPr>
              <w:spacing w:after="20"/>
            </w:pPr>
            <w:r/>
            <w:r>
              <w:rPr>
                <w:sz w:val="19"/>
              </w:rPr>
              <w:t>Talk in feature lists ("audit trail module, document module…") without the business outcome.</w:t>
            </w:r>
          </w:p>
        </w:tc>
      </w:tr>
      <w:tr>
        <w:tc>
          <w:tcPr>
            <w:tcW w:type="dxa" w:w="4320"/>
          </w:tcPr>
          <w:p>
            <w:pPr>
              <w:spacing w:after="20"/>
            </w:pPr>
            <w:r/>
            <w:r>
              <w:rPr>
                <w:sz w:val="19"/>
              </w:rPr>
              <w:t>Lead with what the buyer's operation gains: traceability, investigation speed, release confidence, control.</w:t>
            </w:r>
          </w:p>
        </w:tc>
        <w:tc>
          <w:tcPr>
            <w:tcW w:type="dxa" w:w="4320"/>
          </w:tcPr>
          <w:p>
            <w:pPr>
              <w:spacing w:after="20"/>
            </w:pPr>
            <w:r/>
            <w:r>
              <w:rPr>
                <w:sz w:val="19"/>
              </w:rPr>
              <w:t>Lead with hype: "innovative", "cutting-edge", "revolutionary", "game-changing".</w:t>
            </w:r>
          </w:p>
        </w:tc>
      </w:tr>
      <w:tr>
        <w:tc>
          <w:tcPr>
            <w:tcW w:type="dxa" w:w="4320"/>
          </w:tcPr>
          <w:p>
            <w:pPr>
              <w:spacing w:after="20"/>
            </w:pPr>
            <w:r/>
            <w:r>
              <w:rPr>
                <w:sz w:val="19"/>
              </w:rPr>
              <w:t>Use plain language before acronyms; explain regulation as process context ("designed to support processes aligned with…").</w:t>
            </w:r>
          </w:p>
        </w:tc>
        <w:tc>
          <w:tcPr>
            <w:tcW w:type="dxa" w:w="4320"/>
          </w:tcPr>
          <w:p>
            <w:pPr>
              <w:spacing w:after="20"/>
            </w:pPr>
            <w:r/>
            <w:r>
              <w:rPr>
                <w:sz w:val="19"/>
              </w:rPr>
              <w:t>Claim compliance outcomes: "FDA-ready", "GMP-compliant", "inspection-proof", "100% traceable guarantee".</w:t>
            </w:r>
          </w:p>
        </w:tc>
      </w:tr>
      <w:tr>
        <w:tc>
          <w:tcPr>
            <w:tcW w:type="dxa" w:w="4320"/>
          </w:tcPr>
          <w:p>
            <w:pPr>
              <w:spacing w:after="20"/>
            </w:pPr>
            <w:r/>
            <w:r>
              <w:rPr>
                <w:sz w:val="19"/>
              </w:rPr>
              <w:t>Use "you" and describe the buyer's day: "when a deviation is reported…", "when an inspector asks which customers received this lot…".</w:t>
            </w:r>
          </w:p>
        </w:tc>
        <w:tc>
          <w:tcPr>
            <w:tcW w:type="dxa" w:w="4320"/>
          </w:tcPr>
          <w:p>
            <w:pPr>
              <w:spacing w:after="20"/>
            </w:pPr>
            <w:r/>
            <w:r>
              <w:rPr>
                <w:sz w:val="19"/>
              </w:rPr>
              <w:t>Lecture in corporate passive voice ("it is expected that synergies will be realized…").</w:t>
            </w:r>
          </w:p>
        </w:tc>
      </w:tr>
      <w:tr>
        <w:tc>
          <w:tcPr>
            <w:tcW w:type="dxa" w:w="4320"/>
          </w:tcPr>
          <w:p>
            <w:pPr>
              <w:spacing w:after="20"/>
            </w:pPr>
            <w:r/>
            <w:r>
              <w:rPr>
                <w:sz w:val="19"/>
              </w:rPr>
              <w:t>State what is confirmed and mark what is not (per truth protocol).</w:t>
            </w:r>
          </w:p>
        </w:tc>
        <w:tc>
          <w:tcPr>
            <w:tcW w:type="dxa" w:w="4320"/>
          </w:tcPr>
          <w:p>
            <w:pPr>
              <w:spacing w:after="20"/>
            </w:pPr>
            <w:r/>
            <w:r>
              <w:rPr>
                <w:sz w:val="19"/>
              </w:rPr>
              <w:t>Sell Odoo instead of LSS; say "Odoo for pharma" or "an Odoo add-on".</w:t>
            </w:r>
          </w:p>
        </w:tc>
      </w:tr>
      <w:tr>
        <w:tc>
          <w:tcPr>
            <w:tcW w:type="dxa" w:w="4320"/>
          </w:tcPr>
          <w:p>
            <w:pPr>
              <w:spacing w:after="20"/>
            </w:pPr>
            <w:r/>
            <w:r>
              <w:rPr>
                <w:sz w:val="19"/>
              </w:rPr>
              <w:t>Write short, structured, evidence-anchored sentences.</w:t>
            </w:r>
          </w:p>
        </w:tc>
        <w:tc>
          <w:tcPr>
            <w:tcW w:type="dxa" w:w="4320"/>
          </w:tcPr>
          <w:p>
            <w:pPr>
              <w:spacing w:after="20"/>
            </w:pPr>
            <w:r/>
            <w:r>
              <w:rPr>
                <w:sz w:val="19"/>
              </w:rPr>
              <w:t>Use startup clichés ("disrupt", "scale", "unlock potential", "supercharge").</w:t>
            </w:r>
          </w:p>
        </w:tc>
      </w:tr>
    </w:tbl>
    <w:p>
      <w:pPr>
        <w:spacing w:after="40"/>
      </w:pPr>
    </w:p>
    <w:p>
      <w:pPr>
        <w:spacing w:after="120" w:line="276" w:lineRule="auto"/>
      </w:pPr>
      <w:r>
        <w:rPr>
          <w:b/>
          <w:sz w:val="22"/>
        </w:rPr>
        <w:t>Sample voice calibration:</w:t>
      </w:r>
    </w:p>
    <w:p>
      <w:pPr>
        <w:pStyle w:val="ListBullet"/>
        <w:spacing w:after="40"/>
      </w:pPr>
      <w:r>
        <w:rPr>
          <w:i/>
          <w:sz w:val="22"/>
        </w:rPr>
        <w:t>Weak:</w:t>
      </w:r>
      <w:r>
        <w:rPr>
          <w:sz w:val="22"/>
        </w:rPr>
        <w:t xml:space="preserve"> "Our innovative QMS platform leverages cutting-edge technology to ensure compliance."</w:t>
      </w:r>
    </w:p>
    <w:p>
      <w:pPr>
        <w:pStyle w:val="ListBullet"/>
        <w:spacing w:after="40"/>
      </w:pPr>
      <w:r>
        <w:rPr>
          <w:i/>
          <w:sz w:val="22"/>
        </w:rPr>
        <w:t>Strong:</w:t>
      </w:r>
      <w:r>
        <w:rPr>
          <w:sz w:val="22"/>
        </w:rPr>
        <w:t xml:space="preserve"> "When a deviation is reported, it is classified, investigated, dispositioned, and linked to CAPA — every step signed, every change traced, in the same environment that manages the lot it affects."</w:t>
      </w:r>
    </w:p>
    <w:p>
      <w:pPr>
        <w:spacing w:before="240" w:after="120"/>
      </w:pPr>
      <w:r>
        <w:rPr>
          <w:rFonts w:ascii="Calibri" w:hAnsi="Calibri"/>
          <w:b/>
          <w:color w:val="0E3A5D"/>
          <w:sz w:val="34"/>
        </w:rPr>
        <w:t>8. Messaging Principles</w:t>
      </w:r>
    </w:p>
    <w:p>
      <w:pPr>
        <w:pStyle w:val="ListNumber"/>
        <w:spacing w:after="40"/>
      </w:pPr>
      <w:r>
        <w:rPr>
          <w:b/>
          <w:sz w:val="22"/>
        </w:rPr>
        <w:t>Outcomes first, capabilities second.</w:t>
      </w:r>
      <w:r>
        <w:rPr>
          <w:sz w:val="22"/>
        </w:rPr>
        <w:t xml:space="preserve"> Every message answers "what does the buyer's operation gain?" before "what does the software do?" (e.g., "release batches with confidence" before "electronic batch records").</w:t>
      </w:r>
    </w:p>
    <w:p>
      <w:pPr>
        <w:pStyle w:val="ListNumber"/>
        <w:spacing w:after="40"/>
      </w:pPr>
      <w:r>
        <w:rPr>
          <w:b/>
          <w:sz w:val="22"/>
        </w:rPr>
        <w:t>One environment, one story.</w:t>
      </w:r>
      <w:r>
        <w:rPr>
          <w:sz w:val="22"/>
        </w:rPr>
        <w:t xml:space="preserve"> Never fragment LSS into "an ERP" and "a QMS" in separate narratives. The integration </w:t>
      </w:r>
      <w:r>
        <w:rPr>
          <w:i/>
          <w:sz w:val="22"/>
        </w:rPr>
        <w:t>is</w:t>
      </w:r>
      <w:r>
        <w:rPr>
          <w:sz w:val="22"/>
        </w:rPr>
        <w:t xml:space="preserve"> the story; siloed framing hands the advantage to siloed competitors.</w:t>
      </w:r>
    </w:p>
    <w:p>
      <w:pPr>
        <w:pStyle w:val="ListNumber"/>
        <w:spacing w:after="40"/>
      </w:pPr>
      <w:r>
        <w:rPr>
          <w:b/>
          <w:sz w:val="22"/>
        </w:rPr>
        <w:t>Traceability is the through-line.</w:t>
      </w:r>
      <w:r>
        <w:rPr>
          <w:sz w:val="22"/>
        </w:rPr>
        <w:t xml:space="preserve"> Every message, whatever the audience, connects back to a single traceable environment: lots, documents, signatures, and decisions linked end to end.</w:t>
      </w:r>
    </w:p>
    <w:p>
      <w:pPr>
        <w:pStyle w:val="ListNumber"/>
        <w:spacing w:after="40"/>
      </w:pPr>
      <w:r>
        <w:rPr>
          <w:b/>
          <w:sz w:val="22"/>
        </w:rPr>
        <w:t>Regulated-world honesty.</w:t>
      </w:r>
      <w:r>
        <w:rPr>
          <w:sz w:val="22"/>
        </w:rPr>
        <w:t xml:space="preserve"> The "supports, not certifies" discipline is non-negotiable in all copy, including pitch scripts and taglines. Distinguish product capability, regulatory compliance, and customer validation at every level of messaging.</w:t>
      </w:r>
    </w:p>
    <w:p>
      <w:pPr>
        <w:pStyle w:val="ListNumber"/>
        <w:spacing w:after="40"/>
      </w:pPr>
      <w:r>
        <w:rPr>
          <w:b/>
          <w:sz w:val="22"/>
        </w:rPr>
        <w:t>Name the workflow, not the feature.</w:t>
      </w:r>
      <w:r>
        <w:rPr>
          <w:sz w:val="22"/>
        </w:rPr>
        <w:t xml:space="preserve"> Copy references real operating moments: quarantine and release, mock recalls, IQ/OQ/PQ, OOS investigations, batch certification — and the module display names that support them (LS Quality Management, LS Document Control, LS Batch Record Management…).</w:t>
      </w:r>
    </w:p>
    <w:p>
      <w:pPr>
        <w:pStyle w:val="ListNumber"/>
        <w:spacing w:after="40"/>
      </w:pPr>
      <w:r>
        <w:rPr>
          <w:b/>
          <w:sz w:val="22"/>
        </w:rPr>
        <w:t>Evidence over adjectives.</w:t>
      </w:r>
      <w:r>
        <w:rPr>
          <w:sz w:val="22"/>
        </w:rPr>
        <w:t xml:space="preserve"> Claims must trace to the confirmed fact base; unverified capability, availability, or packaging carries the required marker instead of an assertion.</w:t>
      </w:r>
    </w:p>
    <w:p>
      <w:pPr>
        <w:pStyle w:val="ListNumber"/>
        <w:spacing w:after="40"/>
      </w:pPr>
      <w:r>
        <w:rPr>
          <w:b/>
          <w:sz w:val="22"/>
        </w:rPr>
        <w:t>Audience-aware depth.</w:t>
      </w:r>
      <w:r>
        <w:rPr>
          <w:sz w:val="22"/>
        </w:rPr>
        <w:t xml:space="preserve"> Executives get control, risk, and business continuity; quality and production practitioners get workflows and states; IT and validation get architecture, integration, and the validation-aware methodology.</w:t>
      </w:r>
    </w:p>
    <w:p>
      <w:pPr>
        <w:pStyle w:val="ListNumber"/>
        <w:spacing w:after="40"/>
      </w:pPr>
      <w:r>
        <w:rPr>
          <w:b/>
          <w:sz w:val="22"/>
        </w:rPr>
        <w:t>Sector fluency.</w:t>
      </w:r>
      <w:r>
        <w:rPr>
          <w:sz w:val="22"/>
        </w:rPr>
        <w:t xml:space="preserve"> Pharma, medical devices, medical plastics, cosmetics, and laboratories each receive messages in their own operating language (batch release and QP certification; UDI and MDR technical documentation; ISO 15378 packaging validation; PIF and safety assessment; LIMS-lite lab workflows) — never a single generic "regulated industry" message.</w:t>
      </w:r>
    </w:p>
    <w:p>
      <w:pPr>
        <w:spacing w:before="240" w:after="120"/>
      </w:pPr>
      <w:r>
        <w:rPr>
          <w:rFonts w:ascii="Calibri" w:hAnsi="Calibri"/>
          <w:b/>
          <w:color w:val="0E3A5D"/>
          <w:sz w:val="34"/>
        </w:rPr>
        <w:t>9. Brand Differentiation</w:t>
      </w:r>
    </w:p>
    <w:p>
      <w:pPr>
        <w:spacing w:before="160" w:after="80"/>
      </w:pPr>
      <w:r>
        <w:rPr>
          <w:rFonts w:ascii="Calibri" w:hAnsi="Calibri"/>
          <w:b/>
          <w:color w:val="0B6E6E"/>
          <w:sz w:val="28"/>
        </w:rPr>
        <w:t>9.1 Versus a generic ERP</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E3A5D"/>
          </w:tcPr>
          <w:p>
            <w:pPr>
              <w:spacing w:after="20"/>
            </w:pPr>
            <w:r>
              <w:rPr>
                <w:color w:val="FFFFFF"/>
              </w:rPr>
            </w:r>
            <w:r>
              <w:rPr>
                <w:b/>
                <w:color w:val="FFFFFF"/>
                <w:sz w:val="19"/>
              </w:rPr>
              <w:t>Dimension</w:t>
            </w:r>
          </w:p>
        </w:tc>
        <w:tc>
          <w:tcPr>
            <w:tcW w:type="dxa" w:w="2880"/>
            <w:shd w:val="clear" w:color="auto" w:fill="0E3A5D"/>
          </w:tcPr>
          <w:p>
            <w:pPr>
              <w:spacing w:after="20"/>
            </w:pPr>
            <w:r>
              <w:rPr>
                <w:color w:val="FFFFFF"/>
              </w:rPr>
            </w:r>
            <w:r>
              <w:rPr>
                <w:b/>
                <w:color w:val="FFFFFF"/>
                <w:sz w:val="19"/>
              </w:rPr>
              <w:t>Generic ERP</w:t>
            </w:r>
          </w:p>
        </w:tc>
        <w:tc>
          <w:tcPr>
            <w:tcW w:type="dxa" w:w="2880"/>
            <w:shd w:val="clear" w:color="auto" w:fill="0E3A5D"/>
          </w:tcPr>
          <w:p>
            <w:pPr>
              <w:spacing w:after="20"/>
            </w:pPr>
            <w:r>
              <w:rPr>
                <w:color w:val="FFFFFF"/>
              </w:rPr>
            </w:r>
            <w:r>
              <w:rPr>
                <w:b/>
                <w:color w:val="FFFFFF"/>
                <w:sz w:val="19"/>
              </w:rPr>
              <w:t>LSS</w:t>
            </w:r>
          </w:p>
        </w:tc>
      </w:tr>
      <w:tr>
        <w:tc>
          <w:tcPr>
            <w:tcW w:type="dxa" w:w="2880"/>
          </w:tcPr>
          <w:p>
            <w:pPr>
              <w:spacing w:after="20"/>
            </w:pPr>
            <w:r/>
            <w:r>
              <w:rPr>
                <w:sz w:val="19"/>
              </w:rPr>
              <w:t>Scope</w:t>
            </w:r>
          </w:p>
        </w:tc>
        <w:tc>
          <w:tcPr>
            <w:tcW w:type="dxa" w:w="2880"/>
          </w:tcPr>
          <w:p>
            <w:pPr>
              <w:spacing w:after="20"/>
            </w:pPr>
            <w:r/>
            <w:r>
              <w:rPr>
                <w:sz w:val="19"/>
              </w:rPr>
              <w:t>Transactions: order, make, store, sell, invoice</w:t>
            </w:r>
          </w:p>
        </w:tc>
        <w:tc>
          <w:tcPr>
            <w:tcW w:type="dxa" w:w="2880"/>
          </w:tcPr>
          <w:p>
            <w:pPr>
              <w:spacing w:after="20"/>
            </w:pPr>
            <w:r/>
            <w:r>
              <w:rPr>
                <w:sz w:val="19"/>
              </w:rPr>
              <w:t xml:space="preserve">Transactions </w:t>
            </w:r>
            <w:r>
              <w:rPr>
                <w:b/>
                <w:sz w:val="19"/>
              </w:rPr>
              <w:t>plus</w:t>
            </w:r>
            <w:r>
              <w:rPr>
                <w:sz w:val="19"/>
              </w:rPr>
              <w:t xml:space="preserve"> the quality layer that regulates them, in one data model</w:t>
            </w:r>
          </w:p>
        </w:tc>
      </w:tr>
      <w:tr>
        <w:tc>
          <w:tcPr>
            <w:tcW w:type="dxa" w:w="2880"/>
          </w:tcPr>
          <w:p>
            <w:pPr>
              <w:spacing w:after="20"/>
            </w:pPr>
            <w:r/>
            <w:r>
              <w:rPr>
                <w:sz w:val="19"/>
              </w:rPr>
              <w:t>Quality</w:t>
            </w:r>
          </w:p>
        </w:tc>
        <w:tc>
          <w:tcPr>
            <w:tcW w:type="dxa" w:w="2880"/>
          </w:tcPr>
          <w:p>
            <w:pPr>
              <w:spacing w:after="20"/>
            </w:pPr>
            <w:r/>
            <w:r>
              <w:rPr>
                <w:sz w:val="19"/>
              </w:rPr>
              <w:t>Bolt-on quality checklists, no governed QMS</w:t>
            </w:r>
          </w:p>
        </w:tc>
        <w:tc>
          <w:tcPr>
            <w:tcW w:type="dxa" w:w="2880"/>
          </w:tcPr>
          <w:p>
            <w:pPr>
              <w:spacing w:after="20"/>
            </w:pPr>
            <w:r/>
            <w:r>
              <w:rPr>
                <w:sz w:val="19"/>
              </w:rPr>
              <w:t>LS Quality Management: CAPA, deviations, change control, quality KPIs wired into operations</w:t>
            </w:r>
          </w:p>
        </w:tc>
      </w:tr>
      <w:tr>
        <w:tc>
          <w:tcPr>
            <w:tcW w:type="dxa" w:w="2880"/>
          </w:tcPr>
          <w:p>
            <w:pPr>
              <w:spacing w:after="20"/>
            </w:pPr>
            <w:r/>
            <w:r>
              <w:rPr>
                <w:sz w:val="19"/>
              </w:rPr>
              <w:t>Documents</w:t>
            </w:r>
          </w:p>
        </w:tc>
        <w:tc>
          <w:tcPr>
            <w:tcW w:type="dxa" w:w="2880"/>
          </w:tcPr>
          <w:p>
            <w:pPr>
              <w:spacing w:after="20"/>
            </w:pPr>
            <w:r/>
            <w:r>
              <w:rPr>
                <w:sz w:val="19"/>
              </w:rPr>
              <w:t>Shared drives or third-party DMS</w:t>
            </w:r>
          </w:p>
        </w:tc>
        <w:tc>
          <w:tcPr>
            <w:tcW w:type="dxa" w:w="2880"/>
          </w:tcPr>
          <w:p>
            <w:pPr>
              <w:spacing w:after="20"/>
            </w:pPr>
            <w:r/>
            <w:r>
              <w:rPr>
                <w:sz w:val="19"/>
              </w:rPr>
              <w:t>LS Document Control: revision control, approval workflows, distribution control, review scheduling, training linkage</w:t>
            </w:r>
          </w:p>
        </w:tc>
      </w:tr>
      <w:tr>
        <w:tc>
          <w:tcPr>
            <w:tcW w:type="dxa" w:w="2880"/>
          </w:tcPr>
          <w:p>
            <w:pPr>
              <w:spacing w:after="20"/>
            </w:pPr>
            <w:r/>
            <w:r>
              <w:rPr>
                <w:sz w:val="19"/>
              </w:rPr>
              <w:t>Regulatory controls</w:t>
            </w:r>
          </w:p>
        </w:tc>
        <w:tc>
          <w:tcPr>
            <w:tcW w:type="dxa" w:w="2880"/>
          </w:tcPr>
          <w:p>
            <w:pPr>
              <w:spacing w:after="20"/>
            </w:pPr>
            <w:r/>
            <w:r>
              <w:rPr>
                <w:sz w:val="19"/>
              </w:rPr>
              <w:t>None or generic</w:t>
            </w:r>
          </w:p>
        </w:tc>
        <w:tc>
          <w:tcPr>
            <w:tcW w:type="dxa" w:w="2880"/>
          </w:tcPr>
          <w:p>
            <w:pPr>
              <w:spacing w:after="20"/>
            </w:pPr>
            <w:r/>
            <w:r>
              <w:rPr>
                <w:sz w:val="19"/>
              </w:rPr>
              <w:t>Electronic signatures, immutable audit trail with SHA-256 hash chain, ALCOA+ data-integrity design</w:t>
            </w:r>
          </w:p>
        </w:tc>
      </w:tr>
      <w:tr>
        <w:tc>
          <w:tcPr>
            <w:tcW w:type="dxa" w:w="2880"/>
          </w:tcPr>
          <w:p>
            <w:pPr>
              <w:spacing w:after="20"/>
            </w:pPr>
            <w:r/>
            <w:r>
              <w:rPr>
                <w:sz w:val="19"/>
              </w:rPr>
              <w:t>Validation posture</w:t>
            </w:r>
          </w:p>
        </w:tc>
        <w:tc>
          <w:tcPr>
            <w:tcW w:type="dxa" w:w="2880"/>
          </w:tcPr>
          <w:p>
            <w:pPr>
              <w:spacing w:after="20"/>
            </w:pPr>
            <w:r/>
            <w:r>
              <w:rPr>
                <w:sz w:val="19"/>
              </w:rPr>
              <w:t>"Configure and go"</w:t>
            </w:r>
          </w:p>
        </w:tc>
        <w:tc>
          <w:tcPr>
            <w:tcW w:type="dxa" w:w="2880"/>
          </w:tcPr>
          <w:p>
            <w:pPr>
              <w:spacing w:after="20"/>
            </w:pPr>
            <w:r/>
            <w:r>
              <w:rPr>
                <w:sz w:val="19"/>
              </w:rPr>
              <w:t>Validation-aware methodology: Validation Master Plan, IQ/OQ/PQ protocol management, requirements traceability, revalidation</w:t>
            </w:r>
          </w:p>
        </w:tc>
      </w:tr>
    </w:tbl>
    <w:p>
      <w:pPr>
        <w:spacing w:after="40"/>
      </w:pPr>
    </w:p>
    <w:p>
      <w:pPr>
        <w:spacing w:after="120" w:line="276" w:lineRule="auto"/>
      </w:pPr>
      <w:r>
        <w:rPr>
          <w:b/>
          <w:sz w:val="22"/>
        </w:rPr>
        <w:t>The message:</w:t>
      </w:r>
      <w:r>
        <w:rPr>
          <w:sz w:val="22"/>
        </w:rPr>
        <w:t xml:space="preserve"> a generic ERP tells you where a lot </w:t>
      </w:r>
      <w:r>
        <w:rPr>
          <w:i/>
          <w:sz w:val="22"/>
        </w:rPr>
        <w:t>is</w:t>
      </w:r>
      <w:r>
        <w:rPr>
          <w:sz w:val="22"/>
        </w:rPr>
        <w:t xml:space="preserve">; LSS tells you what it </w:t>
      </w:r>
      <w:r>
        <w:rPr>
          <w:i/>
          <w:sz w:val="22"/>
        </w:rPr>
        <w:t>is</w:t>
      </w:r>
      <w:r>
        <w:rPr>
          <w:sz w:val="22"/>
        </w:rPr>
        <w:t>, who touched it, whether it is released, and how you know.</w:t>
      </w:r>
    </w:p>
    <w:p>
      <w:pPr>
        <w:spacing w:before="160" w:after="80"/>
      </w:pPr>
      <w:r>
        <w:rPr>
          <w:rFonts w:ascii="Calibri" w:hAnsi="Calibri"/>
          <w:b/>
          <w:color w:val="0B6E6E"/>
          <w:sz w:val="28"/>
        </w:rPr>
        <w:t>9.2 Versus siloed QMS / EDMS / eQMS tools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E3A5D"/>
          </w:tcPr>
          <w:p>
            <w:pPr>
              <w:spacing w:after="20"/>
            </w:pPr>
            <w:r>
              <w:rPr>
                <w:color w:val="FFFFFF"/>
              </w:rPr>
            </w:r>
            <w:r>
              <w:rPr>
                <w:b/>
                <w:color w:val="FFFFFF"/>
                <w:sz w:val="19"/>
              </w:rPr>
              <w:t>Dimension</w:t>
            </w:r>
          </w:p>
        </w:tc>
        <w:tc>
          <w:tcPr>
            <w:tcW w:type="dxa" w:w="2880"/>
            <w:shd w:val="clear" w:color="auto" w:fill="0E3A5D"/>
          </w:tcPr>
          <w:p>
            <w:pPr>
              <w:spacing w:after="20"/>
            </w:pPr>
            <w:r>
              <w:rPr>
                <w:color w:val="FFFFFF"/>
              </w:rPr>
            </w:r>
            <w:r>
              <w:rPr>
                <w:b/>
                <w:color w:val="FFFFFF"/>
                <w:sz w:val="19"/>
              </w:rPr>
              <w:t>Standalone quality tools</w:t>
            </w:r>
          </w:p>
        </w:tc>
        <w:tc>
          <w:tcPr>
            <w:tcW w:type="dxa" w:w="2880"/>
            <w:shd w:val="clear" w:color="auto" w:fill="0E3A5D"/>
          </w:tcPr>
          <w:p>
            <w:pPr>
              <w:spacing w:after="20"/>
            </w:pPr>
            <w:r>
              <w:rPr>
                <w:color w:val="FFFFFF"/>
              </w:rPr>
            </w:r>
            <w:r>
              <w:rPr>
                <w:b/>
                <w:color w:val="FFFFFF"/>
                <w:sz w:val="19"/>
              </w:rPr>
              <w:t>LSS</w:t>
            </w:r>
          </w:p>
        </w:tc>
      </w:tr>
      <w:tr>
        <w:tc>
          <w:tcPr>
            <w:tcW w:type="dxa" w:w="2880"/>
          </w:tcPr>
          <w:p>
            <w:pPr>
              <w:spacing w:after="20"/>
            </w:pPr>
            <w:r/>
            <w:r>
              <w:rPr>
                <w:sz w:val="19"/>
              </w:rPr>
              <w:t>Data model</w:t>
            </w:r>
          </w:p>
        </w:tc>
        <w:tc>
          <w:tcPr>
            <w:tcW w:type="dxa" w:w="2880"/>
          </w:tcPr>
          <w:p>
            <w:pPr>
              <w:spacing w:after="20"/>
            </w:pPr>
            <w:r/>
            <w:r>
              <w:rPr>
                <w:sz w:val="19"/>
              </w:rPr>
              <w:t>Own database, disconnected from inventory, batches, suppliers, production</w:t>
            </w:r>
          </w:p>
        </w:tc>
        <w:tc>
          <w:tcPr>
            <w:tcW w:type="dxa" w:w="2880"/>
          </w:tcPr>
          <w:p>
            <w:pPr>
              <w:spacing w:after="20"/>
            </w:pPr>
            <w:r/>
            <w:r>
              <w:rPr>
                <w:sz w:val="19"/>
              </w:rPr>
              <w:t>One system of record: the QMS sees the same lots, suppliers, and batches as operations</w:t>
            </w:r>
          </w:p>
        </w:tc>
      </w:tr>
      <w:tr>
        <w:tc>
          <w:tcPr>
            <w:tcW w:type="dxa" w:w="2880"/>
          </w:tcPr>
          <w:p>
            <w:pPr>
              <w:spacing w:after="20"/>
            </w:pPr>
            <w:r/>
            <w:r>
              <w:rPr>
                <w:sz w:val="19"/>
              </w:rPr>
              <w:t>Investigations</w:t>
            </w:r>
          </w:p>
        </w:tc>
        <w:tc>
          <w:tcPr>
            <w:tcW w:type="dxa" w:w="2880"/>
          </w:tcPr>
          <w:p>
            <w:pPr>
              <w:spacing w:after="20"/>
            </w:pPr>
            <w:r/>
            <w:r>
              <w:rPr>
                <w:sz w:val="19"/>
              </w:rPr>
              <w:t>Reference external records by attachment or note</w:t>
            </w:r>
          </w:p>
        </w:tc>
        <w:tc>
          <w:tcPr>
            <w:tcW w:type="dxa" w:w="2880"/>
          </w:tcPr>
          <w:p>
            <w:pPr>
              <w:spacing w:after="20"/>
            </w:pPr>
            <w:r/>
            <w:r>
              <w:rPr>
                <w:sz w:val="19"/>
              </w:rPr>
              <w:t>Link directly to the live lot, batch record, document version, and signature trail</w:t>
            </w:r>
          </w:p>
        </w:tc>
      </w:tr>
      <w:tr>
        <w:tc>
          <w:tcPr>
            <w:tcW w:type="dxa" w:w="2880"/>
          </w:tcPr>
          <w:p>
            <w:pPr>
              <w:spacing w:after="20"/>
            </w:pPr>
            <w:r/>
            <w:r>
              <w:rPr>
                <w:sz w:val="19"/>
              </w:rPr>
              <w:t>Traceability</w:t>
            </w:r>
          </w:p>
        </w:tc>
        <w:tc>
          <w:tcPr>
            <w:tcW w:type="dxa" w:w="2880"/>
          </w:tcPr>
          <w:p>
            <w:pPr>
              <w:spacing w:after="20"/>
            </w:pPr>
            <w:r/>
            <w:r>
              <w:rPr>
                <w:sz w:val="19"/>
              </w:rPr>
              <w:t>Document-level at best</w:t>
            </w:r>
          </w:p>
        </w:tc>
        <w:tc>
          <w:tcPr>
            <w:tcW w:type="dxa" w:w="2880"/>
          </w:tcPr>
          <w:p>
            <w:pPr>
              <w:spacing w:after="20"/>
            </w:pPr>
            <w:r/>
            <w:r>
              <w:rPr>
                <w:sz w:val="19"/>
              </w:rPr>
              <w:t>Lot/serial-level, end to end, from raw material to finished product</w:t>
            </w:r>
          </w:p>
        </w:tc>
      </w:tr>
      <w:tr>
        <w:tc>
          <w:tcPr>
            <w:tcW w:type="dxa" w:w="2880"/>
          </w:tcPr>
          <w:p>
            <w:pPr>
              <w:spacing w:after="20"/>
            </w:pPr>
            <w:r/>
            <w:r>
              <w:rPr>
                <w:sz w:val="19"/>
              </w:rPr>
              <w:t>Administrative burden</w:t>
            </w:r>
          </w:p>
        </w:tc>
        <w:tc>
          <w:tcPr>
            <w:tcW w:type="dxa" w:w="2880"/>
          </w:tcPr>
          <w:p>
            <w:pPr>
              <w:spacing w:after="20"/>
            </w:pPr>
            <w:r/>
            <w:r>
              <w:rPr>
                <w:sz w:val="19"/>
              </w:rPr>
              <w:t>Manual sync, double entry, reconciliation</w:t>
            </w:r>
          </w:p>
        </w:tc>
        <w:tc>
          <w:tcPr>
            <w:tcW w:type="dxa" w:w="2880"/>
          </w:tcPr>
          <w:p>
            <w:pPr>
              <w:spacing w:after="20"/>
            </w:pPr>
            <w:r/>
            <w:r>
              <w:rPr>
                <w:sz w:val="19"/>
              </w:rPr>
              <w:t>Single entry; quality state is part of the operational record</w:t>
            </w:r>
          </w:p>
        </w:tc>
      </w:tr>
      <w:tr>
        <w:tc>
          <w:tcPr>
            <w:tcW w:type="dxa" w:w="2880"/>
          </w:tcPr>
          <w:p>
            <w:pPr>
              <w:spacing w:after="20"/>
            </w:pPr>
            <w:r/>
            <w:r>
              <w:rPr>
                <w:sz w:val="19"/>
              </w:rPr>
              <w:t>Supply-chain quality</w:t>
            </w:r>
          </w:p>
        </w:tc>
        <w:tc>
          <w:tcPr>
            <w:tcW w:type="dxa" w:w="2880"/>
          </w:tcPr>
          <w:p>
            <w:pPr>
              <w:spacing w:after="20"/>
            </w:pPr>
            <w:r/>
            <w:r>
              <w:rPr>
                <w:sz w:val="19"/>
              </w:rPr>
              <w:t>Out of scope</w:t>
            </w:r>
          </w:p>
        </w:tc>
        <w:tc>
          <w:tcPr>
            <w:tcW w:type="dxa" w:w="2880"/>
          </w:tcPr>
          <w:p>
            <w:pPr>
              <w:spacing w:after="20"/>
            </w:pPr>
            <w:r/>
            <w:r>
              <w:rPr>
                <w:sz w:val="19"/>
              </w:rPr>
              <w:t>Supplier qualification, quarantine, expiry, and recall workflows in the same environment</w:t>
            </w:r>
          </w:p>
        </w:tc>
      </w:tr>
    </w:tbl>
    <w:p>
      <w:pPr>
        <w:spacing w:after="40"/>
      </w:pPr>
    </w:p>
    <w:p>
      <w:pPr>
        <w:spacing w:after="120" w:line="276" w:lineRule="auto"/>
      </w:pPr>
      <w:r>
        <w:rPr>
          <w:b/>
          <w:sz w:val="22"/>
        </w:rPr>
        <w:t>The message:</w:t>
      </w:r>
      <w:r>
        <w:rPr>
          <w:sz w:val="22"/>
        </w:rPr>
        <w:t xml:space="preserve"> standalone quality tools manage the </w:t>
      </w:r>
      <w:r>
        <w:rPr>
          <w:i/>
          <w:sz w:val="22"/>
        </w:rPr>
        <w:t>paper</w:t>
      </w:r>
      <w:r>
        <w:rPr>
          <w:sz w:val="22"/>
        </w:rPr>
        <w:t xml:space="preserve"> of quality; LSS manages the </w:t>
      </w:r>
      <w:r>
        <w:rPr>
          <w:i/>
          <w:sz w:val="22"/>
        </w:rPr>
        <w:t>reality</w:t>
      </w:r>
      <w:r>
        <w:rPr>
          <w:sz w:val="22"/>
        </w:rPr>
        <w:t xml:space="preserve"> of quality, because it lives where the operations live.</w:t>
      </w:r>
    </w:p>
    <w:p>
      <w:pPr>
        <w:spacing w:before="160" w:after="80"/>
      </w:pPr>
      <w:r>
        <w:rPr>
          <w:rFonts w:ascii="Calibri" w:hAnsi="Calibri"/>
          <w:b/>
          <w:color w:val="0B6E6E"/>
          <w:sz w:val="28"/>
        </w:rPr>
        <w:t>9.3 Versus paper / Excel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E3A5D"/>
          </w:tcPr>
          <w:p>
            <w:pPr>
              <w:spacing w:after="20"/>
            </w:pPr>
            <w:r>
              <w:rPr>
                <w:color w:val="FFFFFF"/>
              </w:rPr>
            </w:r>
            <w:r>
              <w:rPr>
                <w:b/>
                <w:color w:val="FFFFFF"/>
                <w:sz w:val="19"/>
              </w:rPr>
              <w:t>Dimension</w:t>
            </w:r>
          </w:p>
        </w:tc>
        <w:tc>
          <w:tcPr>
            <w:tcW w:type="dxa" w:w="2880"/>
            <w:shd w:val="clear" w:color="auto" w:fill="0E3A5D"/>
          </w:tcPr>
          <w:p>
            <w:pPr>
              <w:spacing w:after="20"/>
            </w:pPr>
            <w:r>
              <w:rPr>
                <w:color w:val="FFFFFF"/>
              </w:rPr>
            </w:r>
            <w:r>
              <w:rPr>
                <w:b/>
                <w:color w:val="FFFFFF"/>
                <w:sz w:val="19"/>
              </w:rPr>
              <w:t>Paper / spreadsheets</w:t>
            </w:r>
          </w:p>
        </w:tc>
        <w:tc>
          <w:tcPr>
            <w:tcW w:type="dxa" w:w="2880"/>
            <w:shd w:val="clear" w:color="auto" w:fill="0E3A5D"/>
          </w:tcPr>
          <w:p>
            <w:pPr>
              <w:spacing w:after="20"/>
            </w:pPr>
            <w:r>
              <w:rPr>
                <w:color w:val="FFFFFF"/>
              </w:rPr>
            </w:r>
            <w:r>
              <w:rPr>
                <w:b/>
                <w:color w:val="FFFFFF"/>
                <w:sz w:val="19"/>
              </w:rPr>
              <w:t>LSS</w:t>
            </w:r>
          </w:p>
        </w:tc>
      </w:tr>
      <w:tr>
        <w:tc>
          <w:tcPr>
            <w:tcW w:type="dxa" w:w="2880"/>
          </w:tcPr>
          <w:p>
            <w:pPr>
              <w:spacing w:after="20"/>
            </w:pPr>
            <w:r/>
            <w:r>
              <w:rPr>
                <w:sz w:val="19"/>
              </w:rPr>
              <w:t>Workflow enforcement</w:t>
            </w:r>
          </w:p>
        </w:tc>
        <w:tc>
          <w:tcPr>
            <w:tcW w:type="dxa" w:w="2880"/>
          </w:tcPr>
          <w:p>
            <w:pPr>
              <w:spacing w:after="20"/>
            </w:pPr>
            <w:r/>
            <w:r>
              <w:rPr>
                <w:sz w:val="19"/>
              </w:rPr>
              <w:t>Depends on discipline; steps get skipped</w:t>
            </w:r>
          </w:p>
        </w:tc>
        <w:tc>
          <w:tcPr>
            <w:tcW w:type="dxa" w:w="2880"/>
          </w:tcPr>
          <w:p>
            <w:pPr>
              <w:spacing w:after="20"/>
            </w:pPr>
            <w:r/>
            <w:r>
              <w:rPr>
                <w:sz w:val="19"/>
              </w:rPr>
              <w:t>State machines enforce sequence and approval at the data level</w:t>
            </w:r>
          </w:p>
        </w:tc>
      </w:tr>
      <w:tr>
        <w:tc>
          <w:tcPr>
            <w:tcW w:type="dxa" w:w="2880"/>
          </w:tcPr>
          <w:p>
            <w:pPr>
              <w:spacing w:after="20"/>
            </w:pPr>
            <w:r/>
            <w:r>
              <w:rPr>
                <w:sz w:val="19"/>
              </w:rPr>
              <w:t>Version control</w:t>
            </w:r>
          </w:p>
        </w:tc>
        <w:tc>
          <w:tcPr>
            <w:tcW w:type="dxa" w:w="2880"/>
          </w:tcPr>
          <w:p>
            <w:pPr>
              <w:spacing w:after="20"/>
            </w:pPr>
            <w:r/>
            <w:r>
              <w:rPr>
                <w:sz w:val="19"/>
              </w:rPr>
              <w:t>Photocopies, "v3 FINAL (2).xlsx"</w:t>
            </w:r>
          </w:p>
        </w:tc>
        <w:tc>
          <w:tcPr>
            <w:tcW w:type="dxa" w:w="2880"/>
          </w:tcPr>
          <w:p>
            <w:pPr>
              <w:spacing w:after="20"/>
            </w:pPr>
            <w:r/>
            <w:r>
              <w:rPr>
                <w:sz w:val="19"/>
              </w:rPr>
              <w:t>Controlled documents with revision control and one effective version</w:t>
            </w:r>
          </w:p>
        </w:tc>
      </w:tr>
      <w:tr>
        <w:tc>
          <w:tcPr>
            <w:tcW w:type="dxa" w:w="2880"/>
          </w:tcPr>
          <w:p>
            <w:pPr>
              <w:spacing w:after="20"/>
            </w:pPr>
            <w:r/>
            <w:r>
              <w:rPr>
                <w:sz w:val="19"/>
              </w:rPr>
              <w:t>Audit trail</w:t>
            </w:r>
          </w:p>
        </w:tc>
        <w:tc>
          <w:tcPr>
            <w:tcW w:type="dxa" w:w="2880"/>
          </w:tcPr>
          <w:p>
            <w:pPr>
              <w:spacing w:after="20"/>
            </w:pPr>
            <w:r/>
            <w:r>
              <w:rPr>
                <w:sz w:val="19"/>
              </w:rPr>
              <w:t>Reconstructed after the fact</w:t>
            </w:r>
          </w:p>
        </w:tc>
        <w:tc>
          <w:tcPr>
            <w:tcW w:type="dxa" w:w="2880"/>
          </w:tcPr>
          <w:p>
            <w:pPr>
              <w:spacing w:after="20"/>
            </w:pPr>
            <w:r/>
            <w:r>
              <w:rPr>
                <w:sz w:val="19"/>
              </w:rPr>
              <w:t>Every action captured as it happens: who, what, when, and why</w:t>
            </w:r>
          </w:p>
        </w:tc>
      </w:tr>
      <w:tr>
        <w:tc>
          <w:tcPr>
            <w:tcW w:type="dxa" w:w="2880"/>
          </w:tcPr>
          <w:p>
            <w:pPr>
              <w:spacing w:after="20"/>
            </w:pPr>
            <w:r/>
            <w:r>
              <w:rPr>
                <w:sz w:val="19"/>
              </w:rPr>
              <w:t>Search and evidence</w:t>
            </w:r>
          </w:p>
        </w:tc>
        <w:tc>
          <w:tcPr>
            <w:tcW w:type="dxa" w:w="2880"/>
          </w:tcPr>
          <w:p>
            <w:pPr>
              <w:spacing w:after="20"/>
            </w:pPr>
            <w:r/>
            <w:r>
              <w:rPr>
                <w:sz w:val="19"/>
              </w:rPr>
              <w:t>Hours of file-hunting</w:t>
            </w:r>
          </w:p>
        </w:tc>
        <w:tc>
          <w:tcPr>
            <w:tcW w:type="dxa" w:w="2880"/>
          </w:tcPr>
          <w:p>
            <w:pPr>
              <w:spacing w:after="20"/>
            </w:pPr>
            <w:r/>
            <w:r>
              <w:rPr>
                <w:sz w:val="19"/>
              </w:rPr>
              <w:t>Field-level audit logs, evidence packs, cross-module KPI reports</w:t>
            </w:r>
          </w:p>
        </w:tc>
      </w:tr>
      <w:tr>
        <w:tc>
          <w:tcPr>
            <w:tcW w:type="dxa" w:w="2880"/>
          </w:tcPr>
          <w:p>
            <w:pPr>
              <w:spacing w:after="20"/>
            </w:pPr>
            <w:r/>
            <w:r>
              <w:rPr>
                <w:sz w:val="19"/>
              </w:rPr>
              <w:t>Error surface</w:t>
            </w:r>
          </w:p>
        </w:tc>
        <w:tc>
          <w:tcPr>
            <w:tcW w:type="dxa" w:w="2880"/>
          </w:tcPr>
          <w:p>
            <w:pPr>
              <w:spacing w:after="20"/>
            </w:pPr>
            <w:r/>
            <w:r>
              <w:rPr>
                <w:sz w:val="19"/>
              </w:rPr>
              <w:t>Manual transcription, unchecked entries</w:t>
            </w:r>
          </w:p>
        </w:tc>
        <w:tc>
          <w:tcPr>
            <w:tcW w:type="dxa" w:w="2880"/>
          </w:tcPr>
          <w:p>
            <w:pPr>
              <w:spacing w:after="20"/>
            </w:pPr>
            <w:r/>
            <w:r>
              <w:rPr>
                <w:sz w:val="19"/>
              </w:rPr>
              <w:t>Automated checks, second-operator verification on critical entries, material verification</w:t>
            </w:r>
          </w:p>
        </w:tc>
      </w:tr>
    </w:tbl>
    <w:p>
      <w:pPr>
        <w:spacing w:after="40"/>
      </w:pPr>
    </w:p>
    <w:p>
      <w:pPr>
        <w:spacing w:after="120" w:line="276" w:lineRule="auto"/>
      </w:pPr>
      <w:r>
        <w:rPr>
          <w:b/>
          <w:sz w:val="22"/>
        </w:rPr>
        <w:t>The message:</w:t>
      </w:r>
      <w:r>
        <w:rPr>
          <w:sz w:val="22"/>
        </w:rPr>
        <w:t xml:space="preserve"> paper is not a system — it is a risk you can hold in your hand. LSS makes the trace automatic instead of archaeological.</w:t>
      </w:r>
    </w:p>
    <w:p>
      <w:pPr>
        <w:spacing w:before="240" w:after="120"/>
      </w:pPr>
      <w:r>
        <w:rPr>
          <w:rFonts w:ascii="Calibri" w:hAnsi="Calibri"/>
          <w:b/>
          <w:color w:val="0E3A5D"/>
          <w:sz w:val="34"/>
        </w:rPr>
        <w:t>10. Competitive Positioning</w:t>
      </w:r>
    </w:p>
    <w:p>
      <w:pPr>
        <w:spacing w:after="120" w:line="276" w:lineRule="auto"/>
      </w:pPr>
      <w:r>
        <w:rPr>
          <w:b/>
          <w:sz w:val="22"/>
        </w:rPr>
        <w:t>Position:</w:t>
      </w:r>
      <w:r>
        <w:rPr>
          <w:sz w:val="22"/>
        </w:rPr>
        <w:t xml:space="preserve"> </w:t>
      </w:r>
      <w:r>
        <w:rPr>
          <w:i/>
          <w:sz w:val="22"/>
        </w:rPr>
        <w:t>The integrated, life-sciences-specialized option.</w:t>
      </w:r>
      <w:r>
        <w:rPr>
          <w:sz w:val="22"/>
        </w:rPr>
        <w:t xml:space="preserve"> LSS occupies the intersection that no single incumbent type occupies: an enterprise operations platform and a governed quality environment, designed together for regulated life-sciences workflows — on an open-source ERP foundation the organization owns.</w:t>
      </w:r>
    </w:p>
    <w:p>
      <w:pPr>
        <w:spacing w:after="120" w:line="276" w:lineRule="auto"/>
      </w:pPr>
      <w:r>
        <w:rPr>
          <w:i/>
          <w:sz w:val="22"/>
        </w:rPr>
        <w:t>Competitive landscape is described by segment role, not by named vendors, and no market shares or benchmarks are asserted (ground rules).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E3A5D"/>
          </w:tcPr>
          <w:p>
            <w:pPr>
              <w:spacing w:after="20"/>
            </w:pPr>
            <w:r>
              <w:rPr>
                <w:color w:val="FFFFFF"/>
              </w:rPr>
            </w:r>
            <w:r>
              <w:rPr>
                <w:b/>
                <w:color w:val="FFFFFF"/>
                <w:sz w:val="19"/>
              </w:rPr>
              <w:t>Landscape segment</w:t>
            </w:r>
          </w:p>
        </w:tc>
        <w:tc>
          <w:tcPr>
            <w:tcW w:type="dxa" w:w="2160"/>
            <w:shd w:val="clear" w:color="auto" w:fill="0E3A5D"/>
          </w:tcPr>
          <w:p>
            <w:pPr>
              <w:spacing w:after="20"/>
            </w:pPr>
            <w:r>
              <w:rPr>
                <w:color w:val="FFFFFF"/>
              </w:rPr>
            </w:r>
            <w:r>
              <w:rPr>
                <w:b/>
                <w:color w:val="FFFFFF"/>
                <w:sz w:val="19"/>
              </w:rPr>
              <w:t>Typical characteristics</w:t>
            </w:r>
          </w:p>
        </w:tc>
        <w:tc>
          <w:tcPr>
            <w:tcW w:type="dxa" w:w="2160"/>
            <w:shd w:val="clear" w:color="auto" w:fill="0E3A5D"/>
          </w:tcPr>
          <w:p>
            <w:pPr>
              <w:spacing w:after="20"/>
            </w:pPr>
            <w:r>
              <w:rPr>
                <w:color w:val="FFFFFF"/>
              </w:rPr>
            </w:r>
            <w:r>
              <w:rPr>
                <w:b/>
                <w:color w:val="FFFFFF"/>
                <w:sz w:val="19"/>
              </w:rPr>
              <w:t>Where it falls short for regulated life-sciences</w:t>
            </w:r>
          </w:p>
        </w:tc>
        <w:tc>
          <w:tcPr>
            <w:tcW w:type="dxa" w:w="2160"/>
            <w:shd w:val="clear" w:color="auto" w:fill="0E3A5D"/>
          </w:tcPr>
          <w:p>
            <w:pPr>
              <w:spacing w:after="20"/>
            </w:pPr>
            <w:r>
              <w:rPr>
                <w:color w:val="FFFFFF"/>
              </w:rPr>
            </w:r>
            <w:r>
              <w:rPr>
                <w:b/>
                <w:color w:val="FFFFFF"/>
                <w:sz w:val="19"/>
              </w:rPr>
              <w:t>Where LSS stands</w:t>
            </w:r>
          </w:p>
        </w:tc>
      </w:tr>
      <w:tr>
        <w:tc>
          <w:tcPr>
            <w:tcW w:type="dxa" w:w="2160"/>
          </w:tcPr>
          <w:p>
            <w:pPr>
              <w:spacing w:after="20"/>
            </w:pPr>
            <w:r/>
            <w:r>
              <w:rPr>
                <w:b/>
                <w:sz w:val="19"/>
              </w:rPr>
              <w:t>Generic enterprise ERPs</w:t>
            </w:r>
          </w:p>
        </w:tc>
        <w:tc>
          <w:tcPr>
            <w:tcW w:type="dxa" w:w="2160"/>
          </w:tcPr>
          <w:p>
            <w:pPr>
              <w:spacing w:after="20"/>
            </w:pPr>
            <w:r/>
            <w:r>
              <w:rPr>
                <w:sz w:val="19"/>
              </w:rPr>
              <w:t>Broad operational coverage (finance, supply chain, manufacturing, sales)</w:t>
            </w:r>
          </w:p>
        </w:tc>
        <w:tc>
          <w:tcPr>
            <w:tcW w:type="dxa" w:w="2160"/>
          </w:tcPr>
          <w:p>
            <w:pPr>
              <w:spacing w:after="20"/>
            </w:pPr>
            <w:r/>
            <w:r>
              <w:rPr>
                <w:sz w:val="19"/>
              </w:rPr>
              <w:t>Quality and regulatory needs are peripheral; controlled documents, e-signatures, lot-level quality states, and validation support require heavy customization; buyers stitch separate quality tools on top</w:t>
            </w:r>
          </w:p>
        </w:tc>
        <w:tc>
          <w:tcPr>
            <w:tcW w:type="dxa" w:w="2160"/>
          </w:tcPr>
          <w:p>
            <w:pPr>
              <w:spacing w:after="20"/>
            </w:pPr>
            <w:r/>
            <w:r>
              <w:rPr>
                <w:sz w:val="19"/>
              </w:rPr>
              <w:t xml:space="preserve">LSS ships the quality layer </w:t>
            </w:r>
            <w:r>
              <w:rPr>
                <w:i/>
                <w:sz w:val="19"/>
              </w:rPr>
              <w:t>inside</w:t>
            </w:r>
            <w:r>
              <w:rPr>
                <w:sz w:val="19"/>
              </w:rPr>
              <w:t xml:space="preserve"> the operational environment — same data, same workflows, same trace</w:t>
            </w:r>
          </w:p>
        </w:tc>
      </w:tr>
      <w:tr>
        <w:tc>
          <w:tcPr>
            <w:tcW w:type="dxa" w:w="2160"/>
          </w:tcPr>
          <w:p>
            <w:pPr>
              <w:spacing w:after="20"/>
            </w:pPr>
            <w:r/>
            <w:r>
              <w:rPr>
                <w:b/>
                <w:sz w:val="19"/>
              </w:rPr>
              <w:t>Standalone QMS / EDMS / eQMS vendors</w:t>
            </w:r>
          </w:p>
        </w:tc>
        <w:tc>
          <w:tcPr>
            <w:tcW w:type="dxa" w:w="2160"/>
          </w:tcPr>
          <w:p>
            <w:pPr>
              <w:spacing w:after="20"/>
            </w:pPr>
            <w:r/>
            <w:r>
              <w:rPr>
                <w:sz w:val="19"/>
              </w:rPr>
              <w:t>Excellent depth in documents, CAPA, complaints, audit management</w:t>
            </w:r>
          </w:p>
        </w:tc>
        <w:tc>
          <w:tcPr>
            <w:tcW w:type="dxa" w:w="2160"/>
          </w:tcPr>
          <w:p>
            <w:pPr>
              <w:spacing w:after="20"/>
            </w:pPr>
            <w:r/>
            <w:r>
              <w:rPr>
                <w:sz w:val="19"/>
              </w:rPr>
              <w:t>Operationally blind: no inventory, batch, or supplier context; the QMS record is disconnected from the product reality it describes; integration is a perpetual project</w:t>
            </w:r>
          </w:p>
        </w:tc>
        <w:tc>
          <w:tcPr>
            <w:tcW w:type="dxa" w:w="2160"/>
          </w:tcPr>
          <w:p>
            <w:pPr>
              <w:spacing w:after="20"/>
            </w:pPr>
            <w:r/>
            <w:r>
              <w:rPr>
                <w:sz w:val="19"/>
              </w:rPr>
              <w:t>LSS connects quality processes to the live lot, batch record, and supplier data they govern</w:t>
            </w:r>
          </w:p>
        </w:tc>
      </w:tr>
      <w:tr>
        <w:tc>
          <w:tcPr>
            <w:tcW w:type="dxa" w:w="2160"/>
          </w:tcPr>
          <w:p>
            <w:pPr>
              <w:spacing w:after="20"/>
            </w:pPr>
            <w:r/>
            <w:r>
              <w:rPr>
                <w:b/>
                <w:sz w:val="19"/>
              </w:rPr>
              <w:t>Legacy / on-premise regulated systems</w:t>
            </w:r>
          </w:p>
        </w:tc>
        <w:tc>
          <w:tcPr>
            <w:tcW w:type="dxa" w:w="2160"/>
          </w:tcPr>
          <w:p>
            <w:pPr>
              <w:spacing w:after="20"/>
            </w:pPr>
            <w:r/>
            <w:r>
              <w:rPr>
                <w:sz w:val="19"/>
              </w:rPr>
              <w:t>Proven in regulated environments; years of validated behavior</w:t>
            </w:r>
          </w:p>
        </w:tc>
        <w:tc>
          <w:tcPr>
            <w:tcW w:type="dxa" w:w="2160"/>
          </w:tcPr>
          <w:p>
            <w:pPr>
              <w:spacing w:after="20"/>
            </w:pPr>
            <w:r/>
            <w:r>
              <w:rPr>
                <w:sz w:val="19"/>
              </w:rPr>
              <w:t>Costly to run and extend; data silos; limited visibility for management; modernization projects are long and risky</w:t>
            </w:r>
          </w:p>
        </w:tc>
        <w:tc>
          <w:tcPr>
            <w:tcW w:type="dxa" w:w="2160"/>
          </w:tcPr>
          <w:p>
            <w:pPr>
              <w:spacing w:after="20"/>
            </w:pPr>
            <w:r/>
            <w:r>
              <w:rPr>
                <w:sz w:val="19"/>
              </w:rPr>
              <w:t>LSS offers a modern, modular architecture with a validation-aware implementation path — an upgrade route, not a rip-and-replace gamble</w:t>
            </w:r>
          </w:p>
        </w:tc>
      </w:tr>
      <w:tr>
        <w:tc>
          <w:tcPr>
            <w:tcW w:type="dxa" w:w="2160"/>
          </w:tcPr>
          <w:p>
            <w:pPr>
              <w:spacing w:after="20"/>
            </w:pPr>
            <w:r/>
            <w:r>
              <w:rPr>
                <w:b/>
                <w:sz w:val="19"/>
              </w:rPr>
              <w:t>Custom in-house builds</w:t>
            </w:r>
          </w:p>
        </w:tc>
        <w:tc>
          <w:tcPr>
            <w:tcW w:type="dxa" w:w="2160"/>
          </w:tcPr>
          <w:p>
            <w:pPr>
              <w:spacing w:after="20"/>
            </w:pPr>
            <w:r/>
            <w:r>
              <w:rPr>
                <w:sz w:val="19"/>
              </w:rPr>
              <w:t>Perfect fit at build time; full control</w:t>
            </w:r>
          </w:p>
        </w:tc>
        <w:tc>
          <w:tcPr>
            <w:tcW w:type="dxa" w:w="2160"/>
          </w:tcPr>
          <w:p>
            <w:pPr>
              <w:spacing w:after="20"/>
            </w:pPr>
            <w:r/>
            <w:r>
              <w:rPr>
                <w:sz w:val="19"/>
              </w:rPr>
              <w:t>The organization absorbs the full lifecycle cost: design, development, validation, maintenance, and key-person risk; regulatory evolution (e.g., EU MDR, new Annex 11 revisions) becomes a permanent internal project</w:t>
            </w:r>
          </w:p>
        </w:tc>
        <w:tc>
          <w:tcPr>
            <w:tcW w:type="dxa" w:w="2160"/>
          </w:tcPr>
          <w:p>
            <w:pPr>
              <w:spacing w:after="20"/>
            </w:pPr>
            <w:r/>
            <w:r>
              <w:rPr>
                <w:sz w:val="19"/>
              </w:rPr>
              <w:t>LSS provides specialized, pre-designed modules on a maintained open-source foundation, with a documented implementation methodology — control without building it all yourself</w:t>
            </w:r>
          </w:p>
        </w:tc>
      </w:tr>
    </w:tbl>
    <w:p>
      <w:pPr>
        <w:spacing w:after="40"/>
      </w:pPr>
    </w:p>
    <w:p>
      <w:pPr>
        <w:spacing w:after="120" w:line="276" w:lineRule="auto"/>
      </w:pPr>
      <w:r>
        <w:rPr>
          <w:b/>
          <w:sz w:val="22"/>
        </w:rPr>
        <w:t>The integrated-specialist argument (the competitive core):</w:t>
      </w:r>
    </w:p>
    <w:p>
      <w:pPr>
        <w:pStyle w:val="ListBullet"/>
        <w:spacing w:after="40"/>
      </w:pPr>
      <w:r>
        <w:rPr>
          <w:b/>
          <w:sz w:val="22"/>
        </w:rPr>
        <w:t>Integrated</w:t>
      </w:r>
      <w:r>
        <w:rPr>
          <w:sz w:val="22"/>
        </w:rPr>
        <w:t xml:space="preserve"> — operations and quality in one traceable environment; the differentiation that generic ERPs and standalone QMS tools both lack.</w:t>
      </w:r>
    </w:p>
    <w:p>
      <w:pPr>
        <w:pStyle w:val="ListBullet"/>
        <w:spacing w:after="40"/>
      </w:pPr>
      <w:r>
        <w:rPr>
          <w:b/>
          <w:sz w:val="22"/>
        </w:rPr>
        <w:t>Life-sciences-specialized</w:t>
      </w:r>
      <w:r>
        <w:rPr>
          <w:sz w:val="22"/>
        </w:rPr>
        <w:t xml:space="preserve"> — 35 specialized modules across quality, manufacturing, laboratory, and sector workflows (pharma, medical devices, medical plastics, cosmetics, laboratories); the specialization that generic ERPs lack.</w:t>
      </w:r>
    </w:p>
    <w:p>
      <w:pPr>
        <w:pStyle w:val="ListBullet"/>
        <w:spacing w:after="40"/>
      </w:pPr>
      <w:r>
        <w:rPr>
          <w:b/>
          <w:sz w:val="22"/>
        </w:rPr>
        <w:t>Open foundation</w:t>
      </w:r>
      <w:r>
        <w:rPr>
          <w:sz w:val="22"/>
        </w:rPr>
        <w:t xml:space="preserve"> — the ERP foundation is open source (LGPLv3), giving the organization visibility and control of its own platform. </w:t>
      </w:r>
      <w:r>
        <w:rPr>
          <w:i/>
          <w:sz w:val="22"/>
        </w:rPr>
        <w:t>Packaging, editions, and commercial model: [REQUIRES PRODUCT VERIFICATION].</w:t>
      </w:r>
    </w:p>
    <w:p>
      <w:pPr>
        <w:spacing w:before="240" w:after="120"/>
      </w:pPr>
      <w:r>
        <w:rPr>
          <w:rFonts w:ascii="Calibri" w:hAnsi="Calibri"/>
          <w:b/>
          <w:color w:val="0E3A5D"/>
          <w:sz w:val="34"/>
        </w:rPr>
        <w:t>11. Elevator Pitch (~30 seconds, spoken)</w:t>
      </w:r>
    </w:p>
    <w:p>
      <w:pPr>
        <w:spacing w:after="120"/>
        <w:ind w:left="432"/>
      </w:pPr>
      <w:r>
        <w:rPr>
          <w:i/>
          <w:color w:val="444A52"/>
          <w:sz w:val="22"/>
        </w:rPr>
        <w:t>"In regulated life sciences, quality and operations are supposed to be one story — but most companies run them in separate systems, and the trace gets lost in between. LSS — the Life Sciences Suite — connects enterprise operations and quality processes into one traceable digital environment. Every lot, document, deviation, and signature lives in the same system of record, from raw material receipt to batch release. It's built on a proven open-source ERP foundation, with specialized modules for pharma, medical devices, cosmetics, medical plastics, and laboratories — designed to support regulated workflows and to be validated by your own team. One environment. Every step traceable. That's LSS."</w:t>
      </w:r>
    </w:p>
    <w:p>
      <w:pPr>
        <w:spacing w:after="120" w:line="276" w:lineRule="auto"/>
      </w:pPr>
      <w:r>
        <w:rPr>
          <w:i/>
          <w:sz w:val="22"/>
        </w:rPr>
        <w:t>Delivery notes: ~95 words at natural pace. Do not claim availability ("available now", "in production") — module availability and packaging: [REQUIRES PRODUCT VERIFICATION].</w:t>
      </w:r>
    </w:p>
    <w:p>
      <w:pPr>
        <w:spacing w:before="240" w:after="120"/>
      </w:pPr>
      <w:r>
        <w:rPr>
          <w:rFonts w:ascii="Calibri" w:hAnsi="Calibri"/>
          <w:b/>
          <w:color w:val="0E3A5D"/>
          <w:sz w:val="34"/>
        </w:rPr>
        <w:t>12. 30-Second Pitch (written, structured)</w:t>
      </w:r>
    </w:p>
    <w:p>
      <w:pPr>
        <w:spacing w:after="120" w:line="276" w:lineRule="auto"/>
      </w:pPr>
      <w:r>
        <w:rPr>
          <w:b/>
          <w:sz w:val="22"/>
        </w:rPr>
        <w:t>Hook.</w:t>
      </w:r>
      <w:r>
        <w:rPr>
          <w:sz w:val="22"/>
        </w:rPr>
        <w:t xml:space="preserve"> In regulated life sciences, you don't just produce a product — you produce the evidence that it was made right. That evidence lives in two places today: your operations system and your quality system. Between them, the trace breaks.</w:t>
      </w:r>
    </w:p>
    <w:p>
      <w:pPr>
        <w:spacing w:after="120" w:line="276" w:lineRule="auto"/>
      </w:pPr>
      <w:r>
        <w:rPr>
          <w:b/>
          <w:sz w:val="22"/>
        </w:rPr>
        <w:t>Offer.</w:t>
      </w:r>
      <w:r>
        <w:rPr>
          <w:sz w:val="22"/>
        </w:rPr>
        <w:t xml:space="preserve"> LSS is one digital environment that connects enterprise operations and quality processes — designed for pharmaceutical, medical-device, medical-plastic, cosmetics manufacturers, and laboratories.</w:t>
      </w:r>
    </w:p>
    <w:p>
      <w:pPr>
        <w:spacing w:after="120" w:line="276" w:lineRule="auto"/>
      </w:pPr>
      <w:r>
        <w:rPr>
          <w:b/>
          <w:sz w:val="22"/>
        </w:rPr>
        <w:t>Proof.</w:t>
      </w:r>
      <w:r>
        <w:rPr>
          <w:sz w:val="22"/>
        </w:rPr>
        <w:t xml:space="preserve"> A shared data model links every lot, batch record, controlled document, deviation, and signature. Lot-level controls (quarantine, expiry, release), electronic signatures, and an immutable audit trail are part of the same system that runs purchasing, inventory, and production.</w:t>
      </w:r>
    </w:p>
    <w:p>
      <w:pPr>
        <w:spacing w:after="120" w:line="276" w:lineRule="auto"/>
      </w:pPr>
      <w:r>
        <w:rPr>
          <w:b/>
          <w:sz w:val="22"/>
        </w:rPr>
        <w:t>Close.</w:t>
      </w:r>
      <w:r>
        <w:rPr>
          <w:sz w:val="22"/>
        </w:rPr>
        <w:t xml:space="preserve"> One environment. Every step traceable. Designed to support your regulated workflows — and validated by your team, not sold as a promise.</w:t>
      </w:r>
    </w:p>
    <w:p>
      <w:pPr>
        <w:spacing w:before="240" w:after="120"/>
      </w:pPr>
      <w:r>
        <w:rPr>
          <w:rFonts w:ascii="Calibri" w:hAnsi="Calibri"/>
          <w:b/>
          <w:color w:val="0E3A5D"/>
          <w:sz w:val="34"/>
        </w:rPr>
        <w:t>13. 60-Second Pitch</w:t>
      </w:r>
    </w:p>
    <w:p>
      <w:pPr>
        <w:spacing w:after="120" w:line="276" w:lineRule="auto"/>
      </w:pPr>
      <w:r>
        <w:rPr>
          <w:b/>
          <w:sz w:val="22"/>
        </w:rPr>
        <w:t>The problem (15s).</w:t>
      </w:r>
      <w:r>
        <w:rPr>
          <w:sz w:val="22"/>
        </w:rPr>
        <w:t xml:space="preserve"> Regulated life-sciences organizations run on two disconnected realities: enterprise operations (purchasing, inventory, production, distribution) and quality (CAPA, deviations, documents, training, release decisions). Every hand-off between them — a lot number re-typed, a certificate re-attached, a deviation explained in a spreadsheet — is where traceability, time, and trust get lost.</w:t>
      </w:r>
    </w:p>
    <w:p>
      <w:pPr>
        <w:spacing w:after="120" w:line="276" w:lineRule="auto"/>
      </w:pPr>
      <w:r>
        <w:rPr>
          <w:b/>
          <w:sz w:val="22"/>
        </w:rPr>
        <w:t>The answer (20s).</w:t>
      </w:r>
      <w:r>
        <w:rPr>
          <w:sz w:val="22"/>
        </w:rPr>
        <w:t xml:space="preserve"> LSS — the Life Sciences Suite — connects operations and quality in one traceable digital environment. It is built on Odoo 19 Community Edition, a proven open-source ERP foundation, with a specialized layer of life-sciences modules: LS Quality Management, LS Document Control, LS Audit Trail &amp; Electronic Signatures, LS Batch Record Management, LS Laboratory Information, and sector modules for pharma, medical devices, medical plastics, cosmetics, and laboratories — 35 specialized modules in all.</w:t>
      </w:r>
    </w:p>
    <w:p>
      <w:pPr>
        <w:spacing w:after="120" w:line="276" w:lineRule="auto"/>
      </w:pPr>
      <w:r>
        <w:rPr>
          <w:b/>
          <w:sz w:val="22"/>
        </w:rPr>
        <w:t>The difference (15s).</w:t>
      </w:r>
      <w:r>
        <w:rPr>
          <w:sz w:val="22"/>
        </w:rPr>
        <w:t xml:space="preserve"> Because quality and operations share one data model, a QA release sees the actual lot, the actual test results, the actual supplier history. An investigation links directly to the records it concerns. A mock recall is a query, not a project. [VERIFY CAPABILITY for any genealogy-specific phrasing beyond lot/serial traceability.]</w:t>
      </w:r>
    </w:p>
    <w:p>
      <w:pPr>
        <w:spacing w:after="120" w:line="276" w:lineRule="auto"/>
      </w:pPr>
      <w:r>
        <w:rPr>
          <w:b/>
          <w:sz w:val="22"/>
        </w:rPr>
        <w:t>The ask (10s).</w:t>
      </w:r>
      <w:r>
        <w:rPr>
          <w:sz w:val="22"/>
        </w:rPr>
        <w:t xml:space="preserve"> If your organization produces regulated life-sciences products — and your quality evidence is scattered across systems — LSS is worth a closer look: a single environment where every step of every batch leaves a trace you can find and show.</w:t>
      </w:r>
    </w:p>
    <w:p>
      <w:pPr>
        <w:spacing w:after="120" w:line="276" w:lineRule="auto"/>
      </w:pPr>
      <w:r>
        <w:rPr>
          <w:i/>
          <w:sz w:val="22"/>
        </w:rPr>
        <w:t>Availability and packaging: [REQUIRES PRODUCT VERIFICATION]. Do not state "available now" or cite customer results — [REQUIRES CUSTOMER DATA].</w:t>
      </w:r>
    </w:p>
    <w:p>
      <w:pPr>
        <w:spacing w:before="240" w:after="120"/>
      </w:pPr>
      <w:r>
        <w:rPr>
          <w:rFonts w:ascii="Calibri" w:hAnsi="Calibri"/>
          <w:b/>
          <w:color w:val="0E3A5D"/>
          <w:sz w:val="34"/>
        </w:rPr>
        <w:t>14. 2-Minute Company Explanation (partners / investors / senior executives)</w:t>
      </w:r>
    </w:p>
    <w:p>
      <w:pPr>
        <w:spacing w:after="120" w:line="276" w:lineRule="auto"/>
      </w:pPr>
      <w:r>
        <w:rPr>
          <w:b/>
          <w:sz w:val="22"/>
        </w:rPr>
        <w:t>1. The market reality (25s).</w:t>
      </w:r>
      <w:r>
        <w:rPr>
          <w:sz w:val="22"/>
        </w:rPr>
        <w:t xml:space="preserve"> Regulated life-sciences organizations — pharmaceutical, medical-device, medical-plastic, and cosmetics manufacturers, plus laboratories — must operate under process frameworks such as GMP, ISO 9001/13485, ISO 15378, ISO 22716, 21 CFR Part 11, EU Annex 11, EU MDR, and the EU Cosmetics Regulation. Compliance is ultimately a property of the organization, but it is practically impossible to demonstrate without systems that capture, control, and connect the evidence of quality. Today, most of these organizations bridge that gap with a generic ERP, a standalone QMS, spreadsheets, or all three.</w:t>
      </w:r>
    </w:p>
    <w:p>
      <w:pPr>
        <w:spacing w:after="120" w:line="276" w:lineRule="auto"/>
      </w:pPr>
      <w:r>
        <w:rPr>
          <w:b/>
          <w:sz w:val="22"/>
        </w:rPr>
        <w:t>2. The product (35s).</w:t>
      </w:r>
      <w:r>
        <w:rPr>
          <w:sz w:val="22"/>
        </w:rPr>
        <w:t xml:space="preserve"> LSS is a life-sciences business platform that connects enterprise operations and quality processes in one traceable digital environment. Architecturally, it is a four-layer platform: a proven open-source ERP foundation (Odoo 19 Community Edition, LGPLv3); a layer of community-validated modules; a Life Sciences Core with quality management, document control, electronic signatures, audit trail, training, validation, calibration, and supplier qualification; and industry modules for pharma, medical devices, medical plastics, cosmetics, and laboratories — a catalog of 35 specialized modules covering batch records, laboratory information, stability studies, environmental monitoring, recalls, serialization/UDI, and regulated labeling, among others.</w:t>
      </w:r>
    </w:p>
    <w:p>
      <w:pPr>
        <w:spacing w:after="120" w:line="276" w:lineRule="auto"/>
      </w:pPr>
      <w:r>
        <w:rPr>
          <w:b/>
          <w:sz w:val="22"/>
        </w:rPr>
        <w:t>3. The delivery discipline (25s).</w:t>
      </w:r>
      <w:r>
        <w:rPr>
          <w:sz w:val="22"/>
        </w:rPr>
        <w:t xml:space="preserve"> LSS is not sold as "install and pray." The implementation approach is a structured, gated methodology — 105 discrete steps across 9 sequential phases, from foundation and security governance through QMS, supply chain, laboratory, manufacturing and batch lifecycle, industry verticals, distribution, to validation closure and inspection readiness — with formal PASS/FAIL gates between phases and validation artifacts (Validation Master Plan, IQ/OQ/PQ protocol management, requirements traceability) built into every step. </w:t>
      </w:r>
      <w:r>
        <w:rPr>
          <w:i/>
          <w:sz w:val="22"/>
        </w:rPr>
        <w:t>The methodology is documented and conditionally gated pending live execution; timelines (estimated 15–22 months for the full roadmap) are functional-specification estimates: [REQUIRES PRODUCT VERIFICATION].</w:t>
      </w:r>
    </w:p>
    <w:p>
      <w:pPr>
        <w:spacing w:after="120" w:line="276" w:lineRule="auto"/>
      </w:pPr>
      <w:r>
        <w:rPr>
          <w:b/>
          <w:sz w:val="22"/>
        </w:rPr>
        <w:t>4. The strategic position (20s).</w:t>
      </w:r>
      <w:r>
        <w:rPr>
          <w:sz w:val="22"/>
        </w:rPr>
        <w:t xml:space="preserve"> In a landscape split between generic ERPs, standalone quality tools, legacy systems, and custom builds, LSS is the integrated, life-sciences-specialized option: quality and operations on one data model, on an open foundation the customer controls. That combination addresses a structural gap — and the platform's modular architecture lets organizations grow from quality-first deployment to full enterprise operations at their own pace.</w:t>
      </w:r>
    </w:p>
    <w:p>
      <w:pPr>
        <w:spacing w:after="120" w:line="276" w:lineRule="auto"/>
      </w:pPr>
      <w:r>
        <w:rPr>
          <w:b/>
          <w:sz w:val="22"/>
        </w:rPr>
        <w:t>5. The honest caveat (15s).</w:t>
      </w:r>
      <w:r>
        <w:rPr>
          <w:sz w:val="22"/>
        </w:rPr>
        <w:t xml:space="preserve"> The custom life-sciences modules are documented as architectural specifications requiring custom development; availability, packaging, and pricing are not yet published. LSS positions itself as supporting regulated workflows — never as certifying compliance. Those are deliberate choices: in this market, honesty about scope is the foundation of the brand's credibility. [REQUIRES PRODUCT VERIFICATION for availability/packaging.]</w:t>
      </w:r>
    </w:p>
    <w:p>
      <w:pPr>
        <w:spacing w:before="240" w:after="120"/>
      </w:pPr>
      <w:r>
        <w:rPr>
          <w:rFonts w:ascii="Calibri" w:hAnsi="Calibri"/>
          <w:b/>
          <w:color w:val="0E3A5D"/>
          <w:sz w:val="34"/>
        </w:rPr>
        <w:t>15. Tagline Options (15 candidates)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E3A5D"/>
          </w:tcPr>
          <w:p>
            <w:pPr>
              <w:spacing w:after="20"/>
            </w:pPr>
            <w:r>
              <w:rPr>
                <w:color w:val="FFFFFF"/>
              </w:rPr>
            </w:r>
            <w:r>
              <w:rPr>
                <w:b/>
                <w:color w:val="FFFFFF"/>
                <w:sz w:val="19"/>
              </w:rPr>
              <w:t>#</w:t>
            </w:r>
          </w:p>
        </w:tc>
        <w:tc>
          <w:tcPr>
            <w:tcW w:type="dxa" w:w="2160"/>
            <w:shd w:val="clear" w:color="auto" w:fill="0E3A5D"/>
          </w:tcPr>
          <w:p>
            <w:pPr>
              <w:spacing w:after="20"/>
            </w:pPr>
            <w:r>
              <w:rPr>
                <w:color w:val="FFFFFF"/>
              </w:rPr>
            </w:r>
            <w:r>
              <w:rPr>
                <w:b/>
                <w:color w:val="FFFFFF"/>
                <w:sz w:val="19"/>
              </w:rPr>
              <w:t>Theme</w:t>
            </w:r>
          </w:p>
        </w:tc>
        <w:tc>
          <w:tcPr>
            <w:tcW w:type="dxa" w:w="2160"/>
            <w:shd w:val="clear" w:color="auto" w:fill="0E3A5D"/>
          </w:tcPr>
          <w:p>
            <w:pPr>
              <w:spacing w:after="20"/>
            </w:pPr>
            <w:r>
              <w:rPr>
                <w:color w:val="FFFFFF"/>
              </w:rPr>
            </w:r>
            <w:r>
              <w:rPr>
                <w:b/>
                <w:color w:val="FFFFFF"/>
                <w:sz w:val="19"/>
              </w:rPr>
              <w:t>Candidate</w:t>
            </w:r>
          </w:p>
        </w:tc>
        <w:tc>
          <w:tcPr>
            <w:tcW w:type="dxa" w:w="2160"/>
            <w:shd w:val="clear" w:color="auto" w:fill="0E3A5D"/>
          </w:tcPr>
          <w:p>
            <w:pPr>
              <w:spacing w:after="20"/>
            </w:pPr>
            <w:r>
              <w:rPr>
                <w:color w:val="FFFFFF"/>
              </w:rPr>
            </w:r>
            <w:r>
              <w:rPr>
                <w:b/>
                <w:color w:val="FFFFFF"/>
                <w:sz w:val="19"/>
              </w:rPr>
              <w:t>Why it works</w:t>
            </w:r>
          </w:p>
        </w:tc>
      </w:tr>
      <w:tr>
        <w:tc>
          <w:tcPr>
            <w:tcW w:type="dxa" w:w="2160"/>
          </w:tcPr>
          <w:p>
            <w:pPr>
              <w:spacing w:after="20"/>
            </w:pPr>
            <w:r/>
            <w:r>
              <w:rPr>
                <w:sz w:val="19"/>
              </w:rPr>
              <w:t>1</w:t>
            </w:r>
          </w:p>
        </w:tc>
        <w:tc>
          <w:tcPr>
            <w:tcW w:type="dxa" w:w="2160"/>
          </w:tcPr>
          <w:p>
            <w:pPr>
              <w:spacing w:after="20"/>
            </w:pPr>
            <w:r/>
            <w:r>
              <w:rPr>
                <w:sz w:val="19"/>
              </w:rPr>
              <w:t>Traceability</w:t>
            </w:r>
          </w:p>
        </w:tc>
        <w:tc>
          <w:tcPr>
            <w:tcW w:type="dxa" w:w="2160"/>
          </w:tcPr>
          <w:p>
            <w:pPr>
              <w:spacing w:after="20"/>
            </w:pPr>
            <w:r/>
            <w:r>
              <w:rPr>
                <w:b/>
                <w:sz w:val="19"/>
              </w:rPr>
              <w:t>Every lot. Every step. One traceable truth.</w:t>
            </w:r>
          </w:p>
        </w:tc>
        <w:tc>
          <w:tcPr>
            <w:tcW w:type="dxa" w:w="2160"/>
          </w:tcPr>
          <w:p>
            <w:pPr>
              <w:spacing w:after="20"/>
            </w:pPr>
            <w:r/>
            <w:r>
              <w:rPr>
                <w:sz w:val="19"/>
              </w:rPr>
              <w:t>Concrete, rhythmic, names the platform's core outcome.</w:t>
            </w:r>
          </w:p>
        </w:tc>
      </w:tr>
      <w:tr>
        <w:tc>
          <w:tcPr>
            <w:tcW w:type="dxa" w:w="2160"/>
          </w:tcPr>
          <w:p>
            <w:pPr>
              <w:spacing w:after="20"/>
            </w:pPr>
            <w:r/>
            <w:r>
              <w:rPr>
                <w:sz w:val="19"/>
              </w:rPr>
              <w:t>2</w:t>
            </w:r>
          </w:p>
        </w:tc>
        <w:tc>
          <w:tcPr>
            <w:tcW w:type="dxa" w:w="2160"/>
          </w:tcPr>
          <w:p>
            <w:pPr>
              <w:spacing w:after="20"/>
            </w:pPr>
            <w:r/>
            <w:r>
              <w:rPr>
                <w:sz w:val="19"/>
              </w:rPr>
              <w:t>Traceability</w:t>
            </w:r>
          </w:p>
        </w:tc>
        <w:tc>
          <w:tcPr>
            <w:tcW w:type="dxa" w:w="2160"/>
          </w:tcPr>
          <w:p>
            <w:pPr>
              <w:spacing w:after="20"/>
            </w:pPr>
            <w:r/>
            <w:r>
              <w:rPr>
                <w:b/>
                <w:sz w:val="19"/>
              </w:rPr>
              <w:t>From raw material to release, one traceable line.</w:t>
            </w:r>
          </w:p>
        </w:tc>
        <w:tc>
          <w:tcPr>
            <w:tcW w:type="dxa" w:w="2160"/>
          </w:tcPr>
          <w:p>
            <w:pPr>
              <w:spacing w:after="20"/>
            </w:pPr>
            <w:r/>
            <w:r>
              <w:rPr>
                <w:sz w:val="19"/>
              </w:rPr>
              <w:t>Describes the end-to-end chain buyers care about.</w:t>
            </w:r>
          </w:p>
        </w:tc>
      </w:tr>
      <w:tr>
        <w:tc>
          <w:tcPr>
            <w:tcW w:type="dxa" w:w="2160"/>
          </w:tcPr>
          <w:p>
            <w:pPr>
              <w:spacing w:after="20"/>
            </w:pPr>
            <w:r/>
            <w:r>
              <w:rPr>
                <w:sz w:val="19"/>
              </w:rPr>
              <w:t>3</w:t>
            </w:r>
          </w:p>
        </w:tc>
        <w:tc>
          <w:tcPr>
            <w:tcW w:type="dxa" w:w="2160"/>
          </w:tcPr>
          <w:p>
            <w:pPr>
              <w:spacing w:after="20"/>
            </w:pPr>
            <w:r/>
            <w:r>
              <w:rPr>
                <w:sz w:val="19"/>
              </w:rPr>
              <w:t>Traceability</w:t>
            </w:r>
          </w:p>
        </w:tc>
        <w:tc>
          <w:tcPr>
            <w:tcW w:type="dxa" w:w="2160"/>
          </w:tcPr>
          <w:p>
            <w:pPr>
              <w:spacing w:after="20"/>
            </w:pPr>
            <w:r/>
            <w:r>
              <w:rPr>
                <w:b/>
                <w:sz w:val="19"/>
              </w:rPr>
              <w:t>Traceability is the architecture, not an afterthought.</w:t>
            </w:r>
          </w:p>
        </w:tc>
        <w:tc>
          <w:tcPr>
            <w:tcW w:type="dxa" w:w="2160"/>
          </w:tcPr>
          <w:p>
            <w:pPr>
              <w:spacing w:after="20"/>
            </w:pPr>
            <w:r/>
            <w:r>
              <w:rPr>
                <w:sz w:val="19"/>
              </w:rPr>
              <w:t>Differentiating, architectural, anti-silo.</w:t>
            </w:r>
          </w:p>
        </w:tc>
      </w:tr>
      <w:tr>
        <w:tc>
          <w:tcPr>
            <w:tcW w:type="dxa" w:w="2160"/>
          </w:tcPr>
          <w:p>
            <w:pPr>
              <w:spacing w:after="20"/>
            </w:pPr>
            <w:r/>
            <w:r>
              <w:rPr>
                <w:sz w:val="19"/>
              </w:rPr>
              <w:t>4</w:t>
            </w:r>
          </w:p>
        </w:tc>
        <w:tc>
          <w:tcPr>
            <w:tcW w:type="dxa" w:w="2160"/>
          </w:tcPr>
          <w:p>
            <w:pPr>
              <w:spacing w:after="20"/>
            </w:pPr>
            <w:r/>
            <w:r>
              <w:rPr>
                <w:sz w:val="19"/>
              </w:rPr>
              <w:t>Traceability</w:t>
            </w:r>
          </w:p>
        </w:tc>
        <w:tc>
          <w:tcPr>
            <w:tcW w:type="dxa" w:w="2160"/>
          </w:tcPr>
          <w:p>
            <w:pPr>
              <w:spacing w:after="20"/>
            </w:pPr>
            <w:r/>
            <w:r>
              <w:rPr>
                <w:b/>
                <w:sz w:val="19"/>
              </w:rPr>
              <w:t>Every action leaves a trace.</w:t>
            </w:r>
          </w:p>
        </w:tc>
        <w:tc>
          <w:tcPr>
            <w:tcW w:type="dxa" w:w="2160"/>
          </w:tcPr>
          <w:p>
            <w:pPr>
              <w:spacing w:after="20"/>
            </w:pPr>
            <w:r/>
            <w:r>
              <w:rPr>
                <w:sz w:val="19"/>
              </w:rPr>
              <w:t>Simple, memorable, audit-minded.</w:t>
            </w:r>
          </w:p>
        </w:tc>
      </w:tr>
      <w:tr>
        <w:tc>
          <w:tcPr>
            <w:tcW w:type="dxa" w:w="2160"/>
          </w:tcPr>
          <w:p>
            <w:pPr>
              <w:spacing w:after="20"/>
            </w:pPr>
            <w:r/>
            <w:r>
              <w:rPr>
                <w:sz w:val="19"/>
              </w:rPr>
              <w:t>5</w:t>
            </w:r>
          </w:p>
        </w:tc>
        <w:tc>
          <w:tcPr>
            <w:tcW w:type="dxa" w:w="2160"/>
          </w:tcPr>
          <w:p>
            <w:pPr>
              <w:spacing w:after="20"/>
            </w:pPr>
            <w:r/>
            <w:r>
              <w:rPr>
                <w:sz w:val="19"/>
              </w:rPr>
              <w:t>Control</w:t>
            </w:r>
          </w:p>
        </w:tc>
        <w:tc>
          <w:tcPr>
            <w:tcW w:type="dxa" w:w="2160"/>
          </w:tcPr>
          <w:p>
            <w:pPr>
              <w:spacing w:after="20"/>
            </w:pPr>
            <w:r/>
            <w:r>
              <w:rPr>
                <w:b/>
                <w:sz w:val="19"/>
              </w:rPr>
              <w:t>Controlled by design. Validated by you.</w:t>
            </w:r>
          </w:p>
        </w:tc>
        <w:tc>
          <w:tcPr>
            <w:tcW w:type="dxa" w:w="2160"/>
          </w:tcPr>
          <w:p>
            <w:pPr>
              <w:spacing w:after="20"/>
            </w:pPr>
            <w:r/>
            <w:r>
              <w:rPr>
                <w:sz w:val="19"/>
              </w:rPr>
              <w:t>Pairs product design with customer validation — honest and strong.</w:t>
            </w:r>
          </w:p>
        </w:tc>
      </w:tr>
      <w:tr>
        <w:tc>
          <w:tcPr>
            <w:tcW w:type="dxa" w:w="2160"/>
          </w:tcPr>
          <w:p>
            <w:pPr>
              <w:spacing w:after="20"/>
            </w:pPr>
            <w:r/>
            <w:r>
              <w:rPr>
                <w:sz w:val="19"/>
              </w:rPr>
              <w:t>6</w:t>
            </w:r>
          </w:p>
        </w:tc>
        <w:tc>
          <w:tcPr>
            <w:tcW w:type="dxa" w:w="2160"/>
          </w:tcPr>
          <w:p>
            <w:pPr>
              <w:spacing w:after="20"/>
            </w:pPr>
            <w:r/>
            <w:r>
              <w:rPr>
                <w:sz w:val="19"/>
              </w:rPr>
              <w:t>Control</w:t>
            </w:r>
          </w:p>
        </w:tc>
        <w:tc>
          <w:tcPr>
            <w:tcW w:type="dxa" w:w="2160"/>
          </w:tcPr>
          <w:p>
            <w:pPr>
              <w:spacing w:after="20"/>
            </w:pPr>
            <w:r/>
            <w:r>
              <w:rPr>
                <w:b/>
                <w:sz w:val="19"/>
              </w:rPr>
              <w:t>Order from the first entry. Control to the final release.</w:t>
            </w:r>
          </w:p>
        </w:tc>
        <w:tc>
          <w:tcPr>
            <w:tcW w:type="dxa" w:w="2160"/>
          </w:tcPr>
          <w:p>
            <w:pPr>
              <w:spacing w:after="20"/>
            </w:pPr>
            <w:r/>
            <w:r>
              <w:rPr>
                <w:sz w:val="19"/>
              </w:rPr>
              <w:t>Mirrors the release-gate reality of regulated manufacturing.</w:t>
            </w:r>
          </w:p>
        </w:tc>
      </w:tr>
      <w:tr>
        <w:tc>
          <w:tcPr>
            <w:tcW w:type="dxa" w:w="2160"/>
          </w:tcPr>
          <w:p>
            <w:pPr>
              <w:spacing w:after="20"/>
            </w:pPr>
            <w:r/>
            <w:r>
              <w:rPr>
                <w:sz w:val="19"/>
              </w:rPr>
              <w:t>7</w:t>
            </w:r>
          </w:p>
        </w:tc>
        <w:tc>
          <w:tcPr>
            <w:tcW w:type="dxa" w:w="2160"/>
          </w:tcPr>
          <w:p>
            <w:pPr>
              <w:spacing w:after="20"/>
            </w:pPr>
            <w:r/>
            <w:r>
              <w:rPr>
                <w:sz w:val="19"/>
              </w:rPr>
              <w:t>Control</w:t>
            </w:r>
          </w:p>
        </w:tc>
        <w:tc>
          <w:tcPr>
            <w:tcW w:type="dxa" w:w="2160"/>
          </w:tcPr>
          <w:p>
            <w:pPr>
              <w:spacing w:after="20"/>
            </w:pPr>
            <w:r/>
            <w:r>
              <w:rPr>
                <w:b/>
                <w:sz w:val="19"/>
              </w:rPr>
              <w:t>Quality, in control of operations.</w:t>
            </w:r>
          </w:p>
        </w:tc>
        <w:tc>
          <w:tcPr>
            <w:tcW w:type="dxa" w:w="2160"/>
          </w:tcPr>
          <w:p>
            <w:pPr>
              <w:spacing w:after="20"/>
            </w:pPr>
            <w:r/>
            <w:r>
              <w:rPr>
                <w:sz w:val="19"/>
              </w:rPr>
              <w:t>Inverts the usual hierarchy; positions quality as the operating principle.</w:t>
            </w:r>
          </w:p>
        </w:tc>
      </w:tr>
      <w:tr>
        <w:tc>
          <w:tcPr>
            <w:tcW w:type="dxa" w:w="2160"/>
          </w:tcPr>
          <w:p>
            <w:pPr>
              <w:spacing w:after="20"/>
            </w:pPr>
            <w:r/>
            <w:r>
              <w:rPr>
                <w:sz w:val="19"/>
              </w:rPr>
              <w:t>8</w:t>
            </w:r>
          </w:p>
        </w:tc>
        <w:tc>
          <w:tcPr>
            <w:tcW w:type="dxa" w:w="2160"/>
          </w:tcPr>
          <w:p>
            <w:pPr>
              <w:spacing w:after="20"/>
            </w:pPr>
            <w:r/>
            <w:r>
              <w:rPr>
                <w:sz w:val="19"/>
              </w:rPr>
              <w:t>Integration</w:t>
            </w:r>
          </w:p>
        </w:tc>
        <w:tc>
          <w:tcPr>
            <w:tcW w:type="dxa" w:w="2160"/>
          </w:tcPr>
          <w:p>
            <w:pPr>
              <w:spacing w:after="20"/>
            </w:pPr>
            <w:r/>
            <w:r>
              <w:rPr>
                <w:b/>
                <w:sz w:val="19"/>
              </w:rPr>
              <w:t>Operations and quality. Finally one system.</w:t>
            </w:r>
          </w:p>
        </w:tc>
        <w:tc>
          <w:tcPr>
            <w:tcW w:type="dxa" w:w="2160"/>
          </w:tcPr>
          <w:p>
            <w:pPr>
              <w:spacing w:after="20"/>
            </w:pPr>
            <w:r/>
            <w:r>
              <w:rPr>
                <w:sz w:val="19"/>
              </w:rPr>
              <w:t>States the core differentiation plainly.</w:t>
            </w:r>
          </w:p>
        </w:tc>
      </w:tr>
      <w:tr>
        <w:tc>
          <w:tcPr>
            <w:tcW w:type="dxa" w:w="2160"/>
          </w:tcPr>
          <w:p>
            <w:pPr>
              <w:spacing w:after="20"/>
            </w:pPr>
            <w:r/>
            <w:r>
              <w:rPr>
                <w:sz w:val="19"/>
              </w:rPr>
              <w:t>9</w:t>
            </w:r>
          </w:p>
        </w:tc>
        <w:tc>
          <w:tcPr>
            <w:tcW w:type="dxa" w:w="2160"/>
          </w:tcPr>
          <w:p>
            <w:pPr>
              <w:spacing w:after="20"/>
            </w:pPr>
            <w:r/>
            <w:r>
              <w:rPr>
                <w:sz w:val="19"/>
              </w:rPr>
              <w:t>Integration</w:t>
            </w:r>
          </w:p>
        </w:tc>
        <w:tc>
          <w:tcPr>
            <w:tcW w:type="dxa" w:w="2160"/>
          </w:tcPr>
          <w:p>
            <w:pPr>
              <w:spacing w:after="20"/>
            </w:pPr>
            <w:r/>
            <w:r>
              <w:rPr>
                <w:b/>
                <w:sz w:val="19"/>
              </w:rPr>
              <w:t>One environment. Every process. Zero hand-offs.</w:t>
            </w:r>
          </w:p>
        </w:tc>
        <w:tc>
          <w:tcPr>
            <w:tcW w:type="dxa" w:w="2160"/>
          </w:tcPr>
          <w:p>
            <w:pPr>
              <w:spacing w:after="20"/>
            </w:pPr>
            <w:r/>
            <w:r>
              <w:rPr>
                <w:sz w:val="19"/>
              </w:rPr>
              <w:t>Integration outcome language.</w:t>
            </w:r>
          </w:p>
        </w:tc>
      </w:tr>
      <w:tr>
        <w:tc>
          <w:tcPr>
            <w:tcW w:type="dxa" w:w="2160"/>
          </w:tcPr>
          <w:p>
            <w:pPr>
              <w:spacing w:after="20"/>
            </w:pPr>
            <w:r/>
            <w:r>
              <w:rPr>
                <w:sz w:val="19"/>
              </w:rPr>
              <w:t>10</w:t>
            </w:r>
          </w:p>
        </w:tc>
        <w:tc>
          <w:tcPr>
            <w:tcW w:type="dxa" w:w="2160"/>
          </w:tcPr>
          <w:p>
            <w:pPr>
              <w:spacing w:after="20"/>
            </w:pPr>
            <w:r/>
            <w:r>
              <w:rPr>
                <w:sz w:val="19"/>
              </w:rPr>
              <w:t>Integration</w:t>
            </w:r>
          </w:p>
        </w:tc>
        <w:tc>
          <w:tcPr>
            <w:tcW w:type="dxa" w:w="2160"/>
          </w:tcPr>
          <w:p>
            <w:pPr>
              <w:spacing w:after="20"/>
            </w:pPr>
            <w:r/>
            <w:r>
              <w:rPr>
                <w:b/>
                <w:sz w:val="19"/>
              </w:rPr>
              <w:t>Where operations meet quality — for life sciences.</w:t>
            </w:r>
          </w:p>
        </w:tc>
        <w:tc>
          <w:tcPr>
            <w:tcW w:type="dxa" w:w="2160"/>
          </w:tcPr>
          <w:p>
            <w:pPr>
              <w:spacing w:after="20"/>
            </w:pPr>
            <w:r/>
            <w:r>
              <w:rPr>
                <w:sz w:val="19"/>
              </w:rPr>
              <w:t>Positions the intersection explicitly.</w:t>
            </w:r>
          </w:p>
        </w:tc>
      </w:tr>
      <w:tr>
        <w:tc>
          <w:tcPr>
            <w:tcW w:type="dxa" w:w="2160"/>
          </w:tcPr>
          <w:p>
            <w:pPr>
              <w:spacing w:after="20"/>
            </w:pPr>
            <w:r/>
            <w:r>
              <w:rPr>
                <w:sz w:val="19"/>
              </w:rPr>
              <w:t>11</w:t>
            </w:r>
          </w:p>
        </w:tc>
        <w:tc>
          <w:tcPr>
            <w:tcW w:type="dxa" w:w="2160"/>
          </w:tcPr>
          <w:p>
            <w:pPr>
              <w:spacing w:after="20"/>
            </w:pPr>
            <w:r/>
            <w:r>
              <w:rPr>
                <w:sz w:val="19"/>
              </w:rPr>
              <w:t>Science</w:t>
            </w:r>
          </w:p>
        </w:tc>
        <w:tc>
          <w:tcPr>
            <w:tcW w:type="dxa" w:w="2160"/>
          </w:tcPr>
          <w:p>
            <w:pPr>
              <w:spacing w:after="20"/>
            </w:pPr>
            <w:r/>
            <w:r>
              <w:rPr>
                <w:b/>
                <w:sz w:val="19"/>
              </w:rPr>
              <w:t>Built for the science. Made for the regulation.</w:t>
            </w:r>
          </w:p>
        </w:tc>
        <w:tc>
          <w:tcPr>
            <w:tcW w:type="dxa" w:w="2160"/>
          </w:tcPr>
          <w:p>
            <w:pPr>
              <w:spacing w:after="20"/>
            </w:pPr>
            <w:r/>
            <w:r>
              <w:rPr>
                <w:sz w:val="19"/>
              </w:rPr>
              <w:t>Two-beat structure; science + regulation duality.</w:t>
            </w:r>
          </w:p>
        </w:tc>
      </w:tr>
      <w:tr>
        <w:tc>
          <w:tcPr>
            <w:tcW w:type="dxa" w:w="2160"/>
          </w:tcPr>
          <w:p>
            <w:pPr>
              <w:spacing w:after="20"/>
            </w:pPr>
            <w:r/>
            <w:r>
              <w:rPr>
                <w:sz w:val="19"/>
              </w:rPr>
              <w:t>12</w:t>
            </w:r>
          </w:p>
        </w:tc>
        <w:tc>
          <w:tcPr>
            <w:tcW w:type="dxa" w:w="2160"/>
          </w:tcPr>
          <w:p>
            <w:pPr>
              <w:spacing w:after="20"/>
            </w:pPr>
            <w:r/>
            <w:r>
              <w:rPr>
                <w:sz w:val="19"/>
              </w:rPr>
              <w:t>Science</w:t>
            </w:r>
          </w:p>
        </w:tc>
        <w:tc>
          <w:tcPr>
            <w:tcW w:type="dxa" w:w="2160"/>
          </w:tcPr>
          <w:p>
            <w:pPr>
              <w:spacing w:after="20"/>
            </w:pPr>
            <w:r/>
            <w:r>
              <w:rPr>
                <w:b/>
                <w:sz w:val="19"/>
              </w:rPr>
              <w:t>The business platform for regulated science.</w:t>
            </w:r>
          </w:p>
        </w:tc>
        <w:tc>
          <w:tcPr>
            <w:tcW w:type="dxa" w:w="2160"/>
          </w:tcPr>
          <w:p>
            <w:pPr>
              <w:spacing w:after="20"/>
            </w:pPr>
            <w:r/>
            <w:r>
              <w:rPr>
                <w:sz w:val="19"/>
              </w:rPr>
              <w:t>Sector-defining, confident.</w:t>
            </w:r>
          </w:p>
        </w:tc>
      </w:tr>
      <w:tr>
        <w:tc>
          <w:tcPr>
            <w:tcW w:type="dxa" w:w="2160"/>
          </w:tcPr>
          <w:p>
            <w:pPr>
              <w:spacing w:after="20"/>
            </w:pPr>
            <w:r/>
            <w:r>
              <w:rPr>
                <w:sz w:val="19"/>
              </w:rPr>
              <w:t>13</w:t>
            </w:r>
          </w:p>
        </w:tc>
        <w:tc>
          <w:tcPr>
            <w:tcW w:type="dxa" w:w="2160"/>
          </w:tcPr>
          <w:p>
            <w:pPr>
              <w:spacing w:after="20"/>
            </w:pPr>
            <w:r/>
            <w:r>
              <w:rPr>
                <w:sz w:val="19"/>
              </w:rPr>
              <w:t>Trust</w:t>
            </w:r>
          </w:p>
        </w:tc>
        <w:tc>
          <w:tcPr>
            <w:tcW w:type="dxa" w:w="2160"/>
          </w:tcPr>
          <w:p>
            <w:pPr>
              <w:spacing w:after="20"/>
            </w:pPr>
            <w:r/>
            <w:r>
              <w:rPr>
                <w:b/>
                <w:sz w:val="19"/>
              </w:rPr>
              <w:t>Make trust traceable.</w:t>
            </w:r>
          </w:p>
        </w:tc>
        <w:tc>
          <w:tcPr>
            <w:tcW w:type="dxa" w:w="2160"/>
          </w:tcPr>
          <w:p>
            <w:pPr>
              <w:spacing w:after="20"/>
            </w:pPr>
            <w:r/>
            <w:r>
              <w:rPr>
                <w:sz w:val="19"/>
              </w:rPr>
              <w:t>Short, ownable, emotional + rational; works across all five sectors.</w:t>
            </w:r>
          </w:p>
        </w:tc>
      </w:tr>
      <w:tr>
        <w:tc>
          <w:tcPr>
            <w:tcW w:type="dxa" w:w="2160"/>
          </w:tcPr>
          <w:p>
            <w:pPr>
              <w:spacing w:after="20"/>
            </w:pPr>
            <w:r/>
            <w:r>
              <w:rPr>
                <w:sz w:val="19"/>
              </w:rPr>
              <w:t>14</w:t>
            </w:r>
          </w:p>
        </w:tc>
        <w:tc>
          <w:tcPr>
            <w:tcW w:type="dxa" w:w="2160"/>
          </w:tcPr>
          <w:p>
            <w:pPr>
              <w:spacing w:after="20"/>
            </w:pPr>
            <w:r/>
            <w:r>
              <w:rPr>
                <w:sz w:val="19"/>
              </w:rPr>
              <w:t>Trust</w:t>
            </w:r>
          </w:p>
        </w:tc>
        <w:tc>
          <w:tcPr>
            <w:tcW w:type="dxa" w:w="2160"/>
          </w:tcPr>
          <w:p>
            <w:pPr>
              <w:spacing w:after="20"/>
            </w:pPr>
            <w:r/>
            <w:r>
              <w:rPr>
                <w:b/>
                <w:sz w:val="19"/>
              </w:rPr>
              <w:t>Trust is built batch by batch.</w:t>
            </w:r>
          </w:p>
        </w:tc>
        <w:tc>
          <w:tcPr>
            <w:tcW w:type="dxa" w:w="2160"/>
          </w:tcPr>
          <w:p>
            <w:pPr>
              <w:spacing w:after="20"/>
            </w:pPr>
            <w:r/>
            <w:r>
              <w:rPr>
                <w:sz w:val="19"/>
              </w:rPr>
              <w:t>Warm, sector-authentic (batch language).</w:t>
            </w:r>
          </w:p>
        </w:tc>
      </w:tr>
      <w:tr>
        <w:tc>
          <w:tcPr>
            <w:tcW w:type="dxa" w:w="2160"/>
          </w:tcPr>
          <w:p>
            <w:pPr>
              <w:spacing w:after="20"/>
            </w:pPr>
            <w:r/>
            <w:r>
              <w:rPr>
                <w:sz w:val="19"/>
              </w:rPr>
              <w:t>15</w:t>
            </w:r>
          </w:p>
        </w:tc>
        <w:tc>
          <w:tcPr>
            <w:tcW w:type="dxa" w:w="2160"/>
          </w:tcPr>
          <w:p>
            <w:pPr>
              <w:spacing w:after="20"/>
            </w:pPr>
            <w:r/>
            <w:r>
              <w:rPr>
                <w:sz w:val="19"/>
              </w:rPr>
              <w:t>Trust</w:t>
            </w:r>
          </w:p>
        </w:tc>
        <w:tc>
          <w:tcPr>
            <w:tcW w:type="dxa" w:w="2160"/>
          </w:tcPr>
          <w:p>
            <w:pPr>
              <w:spacing w:after="20"/>
            </w:pPr>
            <w:r/>
            <w:r>
              <w:rPr>
                <w:b/>
                <w:sz w:val="19"/>
              </w:rPr>
              <w:t>Evidence you can stand behind.</w:t>
            </w:r>
          </w:p>
        </w:tc>
        <w:tc>
          <w:tcPr>
            <w:tcW w:type="dxa" w:w="2160"/>
          </w:tcPr>
          <w:p>
            <w:pPr>
              <w:spacing w:after="20"/>
            </w:pPr>
            <w:r/>
            <w:r>
              <w:rPr>
                <w:sz w:val="19"/>
              </w:rPr>
              <w:t>Defensible-records angle; investigation/inspection resonance.</w:t>
            </w:r>
          </w:p>
        </w:tc>
      </w:tr>
    </w:tbl>
    <w:p>
      <w:pPr>
        <w:spacing w:after="40"/>
      </w:pPr>
    </w:p>
    <w:p>
      <w:pPr>
        <w:spacing w:before="240" w:after="120"/>
      </w:pPr>
      <w:r>
        <w:rPr>
          <w:rFonts w:ascii="Calibri" w:hAnsi="Calibri"/>
          <w:b/>
          <w:color w:val="0E3A5D"/>
          <w:sz w:val="34"/>
        </w:rPr>
        <w:t>16. Primary Tagline Recommendation</w:t>
      </w:r>
    </w:p>
    <w:p>
      <w:pPr>
        <w:spacing w:after="120" w:line="276" w:lineRule="auto"/>
      </w:pPr>
      <w:r>
        <w:rPr>
          <w:b/>
          <w:sz w:val="22"/>
        </w:rPr>
        <w:t>Recommended: "Make trust traceable."</w:t>
      </w:r>
    </w:p>
    <w:p>
      <w:pPr>
        <w:spacing w:after="120" w:line="276" w:lineRule="auto"/>
      </w:pPr>
      <w:r>
        <w:rPr>
          <w:b/>
          <w:sz w:val="22"/>
        </w:rPr>
        <w:t>Rationale:</w:t>
      </w:r>
    </w:p>
    <w:p>
      <w:pPr>
        <w:pStyle w:val="ListBullet"/>
        <w:spacing w:after="40"/>
      </w:pPr>
      <w:r>
        <w:rPr>
          <w:b/>
          <w:sz w:val="22"/>
        </w:rPr>
        <w:t>It captures both halves of the brand.</w:t>
      </w:r>
      <w:r>
        <w:rPr>
          <w:sz w:val="22"/>
        </w:rPr>
        <w:t xml:space="preserve"> "Trust" is the emotional core of regulated life sciences (patient safety, product quality, regulatory credibility); "traceable" is the platform's concrete, defensible differentiator. No other candidate spans the two.</w:t>
      </w:r>
    </w:p>
    <w:p>
      <w:pPr>
        <w:pStyle w:val="ListBullet"/>
        <w:spacing w:after="40"/>
      </w:pPr>
      <w:r>
        <w:rPr>
          <w:b/>
          <w:sz w:val="22"/>
        </w:rPr>
        <w:t>It is ownable.</w:t>
      </w:r>
      <w:r>
        <w:rPr>
          <w:sz w:val="22"/>
        </w:rPr>
        <w:t xml:space="preserve"> Three words, verb-led, no category word ("ERP", "QMS") — it belongs to LSS, not to a category.</w:t>
      </w:r>
    </w:p>
    <w:p>
      <w:pPr>
        <w:pStyle w:val="ListBullet"/>
        <w:spacing w:after="40"/>
      </w:pPr>
      <w:r>
        <w:rPr>
          <w:b/>
          <w:sz w:val="22"/>
        </w:rPr>
        <w:t>It scales across all five sectors.</w:t>
      </w:r>
      <w:r>
        <w:rPr>
          <w:sz w:val="22"/>
        </w:rPr>
        <w:t xml:space="preserve"> Pharma, medical devices, medical plastics, cosmetics, and laboratories all live on trust + traceability.</w:t>
      </w:r>
    </w:p>
    <w:p>
      <w:pPr>
        <w:pStyle w:val="ListBullet"/>
        <w:spacing w:after="40"/>
      </w:pPr>
      <w:r>
        <w:rPr>
          <w:b/>
          <w:sz w:val="22"/>
        </w:rPr>
        <w:t>It passes the honesty test.</w:t>
      </w:r>
      <w:r>
        <w:rPr>
          <w:sz w:val="22"/>
        </w:rPr>
        <w:t xml:space="preserve"> It makes no compliance claim; it is compatible with the "supports, not certifies" discipline.</w:t>
      </w:r>
    </w:p>
    <w:p>
      <w:pPr>
        <w:pStyle w:val="ListBullet"/>
        <w:spacing w:after="40"/>
      </w:pPr>
      <w:r>
        <w:rPr>
          <w:b/>
          <w:sz w:val="22"/>
        </w:rPr>
        <w:t>It works at every depth.</w:t>
      </w:r>
      <w:r>
        <w:rPr>
          <w:sz w:val="22"/>
        </w:rPr>
        <w:t xml:space="preserve"> Hero line, email signature, presentation close, conference booth.</w:t>
      </w:r>
    </w:p>
    <w:p>
      <w:pPr>
        <w:spacing w:after="120" w:line="276" w:lineRule="auto"/>
      </w:pPr>
      <w:r>
        <w:rPr>
          <w:b/>
          <w:sz w:val="22"/>
        </w:rPr>
        <w:t>Usage rules:</w:t>
      </w:r>
    </w:p>
    <w:p>
      <w:pPr>
        <w:pStyle w:val="ListNumber"/>
        <w:spacing w:after="40"/>
      </w:pPr>
      <w:r>
        <w:rPr>
          <w:sz w:val="22"/>
        </w:rPr>
        <w:t>Always pair the tagline with the brand name on first use: "LSS — Life Sciences Suite. Make trust traceable."</w:t>
      </w:r>
    </w:p>
    <w:p>
      <w:pPr>
        <w:pStyle w:val="ListNumber"/>
        <w:spacing w:after="40"/>
      </w:pPr>
      <w:r>
        <w:rPr>
          <w:sz w:val="22"/>
        </w:rPr>
        <w:t>Use it as the brand-level line; do not substitute it for product claims (it never stands alone as a proof point).</w:t>
      </w:r>
    </w:p>
    <w:p>
      <w:pPr>
        <w:pStyle w:val="ListNumber"/>
        <w:spacing w:after="40"/>
      </w:pPr>
      <w:r>
        <w:rPr>
          <w:sz w:val="22"/>
        </w:rPr>
        <w:t>Do not use it in regulatory-facing documents (validation plans, dossiers) where it could be read as an outcome claim.</w:t>
      </w:r>
    </w:p>
    <w:p>
      <w:pPr>
        <w:pStyle w:val="ListNumber"/>
        <w:spacing w:after="40"/>
      </w:pPr>
      <w:r>
        <w:rPr>
          <w:sz w:val="22"/>
        </w:rPr>
        <w:t>In sector campaigns, pair with a sector slogan (see §17) rather than replacing the master line.</w:t>
      </w:r>
    </w:p>
    <w:p>
      <w:pPr>
        <w:pStyle w:val="ListNumber"/>
        <w:spacing w:after="40"/>
      </w:pPr>
      <w:r>
        <w:rPr>
          <w:sz w:val="22"/>
        </w:rPr>
        <w:t>Keep the lockup: wordmark + tagline; the tagline never appears without the wordmark in external media.</w:t>
      </w:r>
    </w:p>
    <w:p>
      <w:pPr>
        <w:pStyle w:val="ListNumber"/>
        <w:spacing w:after="40"/>
      </w:pPr>
      <w:r>
        <w:rPr>
          <w:i/>
          <w:sz w:val="22"/>
        </w:rPr>
        <w:t>Secondary/alternative lockup for technical audiences:</w:t>
      </w:r>
      <w:r>
        <w:rPr>
          <w:sz w:val="22"/>
        </w:rPr>
        <w:t xml:space="preserve"> "Traceability is the architecture" — used only in architecture/IT contexts. [Tagline choice is brand strategy; final sign-off: marketing lead.]</w:t>
      </w:r>
    </w:p>
    <w:p>
      <w:pPr>
        <w:spacing w:before="240" w:after="120"/>
      </w:pPr>
      <w:r>
        <w:rPr>
          <w:rFonts w:ascii="Calibri" w:hAnsi="Calibri"/>
          <w:b/>
          <w:color w:val="0E3A5D"/>
          <w:sz w:val="34"/>
        </w:rPr>
        <w:t>17. Supporting Slogans (with intended use)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E3A5D"/>
          </w:tcPr>
          <w:p>
            <w:pPr>
              <w:spacing w:after="20"/>
            </w:pPr>
            <w:r>
              <w:rPr>
                <w:color w:val="FFFFFF"/>
              </w:rPr>
            </w:r>
            <w:r>
              <w:rPr>
                <w:b/>
                <w:color w:val="FFFFFF"/>
                <w:sz w:val="19"/>
              </w:rPr>
              <w:t>#</w:t>
            </w:r>
          </w:p>
        </w:tc>
        <w:tc>
          <w:tcPr>
            <w:tcW w:type="dxa" w:w="2880"/>
            <w:shd w:val="clear" w:color="auto" w:fill="0E3A5D"/>
          </w:tcPr>
          <w:p>
            <w:pPr>
              <w:spacing w:after="20"/>
            </w:pPr>
            <w:r>
              <w:rPr>
                <w:color w:val="FFFFFF"/>
              </w:rPr>
            </w:r>
            <w:r>
              <w:rPr>
                <w:b/>
                <w:color w:val="FFFFFF"/>
                <w:sz w:val="19"/>
              </w:rPr>
              <w:t>Slogan</w:t>
            </w:r>
          </w:p>
        </w:tc>
        <w:tc>
          <w:tcPr>
            <w:tcW w:type="dxa" w:w="2880"/>
            <w:shd w:val="clear" w:color="auto" w:fill="0E3A5D"/>
          </w:tcPr>
          <w:p>
            <w:pPr>
              <w:spacing w:after="20"/>
            </w:pPr>
            <w:r>
              <w:rPr>
                <w:color w:val="FFFFFF"/>
              </w:rPr>
            </w:r>
            <w:r>
              <w:rPr>
                <w:b/>
                <w:color w:val="FFFFFF"/>
                <w:sz w:val="19"/>
              </w:rPr>
              <w:t>Intended use</w:t>
            </w:r>
          </w:p>
        </w:tc>
      </w:tr>
      <w:tr>
        <w:tc>
          <w:tcPr>
            <w:tcW w:type="dxa" w:w="2880"/>
          </w:tcPr>
          <w:p>
            <w:pPr>
              <w:spacing w:after="20"/>
            </w:pPr>
            <w:r/>
            <w:r>
              <w:rPr>
                <w:sz w:val="19"/>
              </w:rPr>
              <w:t>1</w:t>
            </w:r>
          </w:p>
        </w:tc>
        <w:tc>
          <w:tcPr>
            <w:tcW w:type="dxa" w:w="2880"/>
          </w:tcPr>
          <w:p>
            <w:pPr>
              <w:spacing w:after="20"/>
            </w:pPr>
            <w:r/>
            <w:r>
              <w:rPr>
                <w:b/>
                <w:sz w:val="19"/>
              </w:rPr>
              <w:t>One environment. Every step traceable.</w:t>
            </w:r>
          </w:p>
        </w:tc>
        <w:tc>
          <w:tcPr>
            <w:tcW w:type="dxa" w:w="2880"/>
          </w:tcPr>
          <w:p>
            <w:pPr>
              <w:spacing w:after="20"/>
            </w:pPr>
            <w:r/>
            <w:r>
              <w:rPr>
                <w:sz w:val="19"/>
              </w:rPr>
              <w:t>Universal line; slide closes, email footers, web hero secondary line.</w:t>
            </w:r>
          </w:p>
        </w:tc>
      </w:tr>
      <w:tr>
        <w:tc>
          <w:tcPr>
            <w:tcW w:type="dxa" w:w="2880"/>
          </w:tcPr>
          <w:p>
            <w:pPr>
              <w:spacing w:after="20"/>
            </w:pPr>
            <w:r/>
            <w:r>
              <w:rPr>
                <w:sz w:val="19"/>
              </w:rPr>
              <w:t>2</w:t>
            </w:r>
          </w:p>
        </w:tc>
        <w:tc>
          <w:tcPr>
            <w:tcW w:type="dxa" w:w="2880"/>
          </w:tcPr>
          <w:p>
            <w:pPr>
              <w:spacing w:after="20"/>
            </w:pPr>
            <w:r/>
            <w:r>
              <w:rPr>
                <w:b/>
                <w:sz w:val="19"/>
              </w:rPr>
              <w:t>Operations and quality — finally one system.</w:t>
            </w:r>
          </w:p>
        </w:tc>
        <w:tc>
          <w:tcPr>
            <w:tcW w:type="dxa" w:w="2880"/>
          </w:tcPr>
          <w:p>
            <w:pPr>
              <w:spacing w:after="20"/>
            </w:pPr>
            <w:r/>
            <w:r>
              <w:rPr>
                <w:sz w:val="19"/>
              </w:rPr>
              <w:t>Integration story: home page, analyst/partner briefings, competitive messaging.</w:t>
            </w:r>
          </w:p>
        </w:tc>
      </w:tr>
      <w:tr>
        <w:tc>
          <w:tcPr>
            <w:tcW w:type="dxa" w:w="2880"/>
          </w:tcPr>
          <w:p>
            <w:pPr>
              <w:spacing w:after="20"/>
            </w:pPr>
            <w:r/>
            <w:r>
              <w:rPr>
                <w:sz w:val="19"/>
              </w:rPr>
              <w:t>3</w:t>
            </w:r>
          </w:p>
        </w:tc>
        <w:tc>
          <w:tcPr>
            <w:tcW w:type="dxa" w:w="2880"/>
          </w:tcPr>
          <w:p>
            <w:pPr>
              <w:spacing w:after="20"/>
            </w:pPr>
            <w:r/>
            <w:r>
              <w:rPr>
                <w:b/>
                <w:sz w:val="19"/>
              </w:rPr>
              <w:t>From raw material to release, know the whole story.</w:t>
            </w:r>
          </w:p>
        </w:tc>
        <w:tc>
          <w:tcPr>
            <w:tcW w:type="dxa" w:w="2880"/>
          </w:tcPr>
          <w:p>
            <w:pPr>
              <w:spacing w:after="20"/>
            </w:pPr>
            <w:r/>
            <w:r>
              <w:rPr>
                <w:sz w:val="19"/>
              </w:rPr>
              <w:t>Pharma and medical-device campaigns; traceability narrative.</w:t>
            </w:r>
          </w:p>
        </w:tc>
      </w:tr>
      <w:tr>
        <w:tc>
          <w:tcPr>
            <w:tcW w:type="dxa" w:w="2880"/>
          </w:tcPr>
          <w:p>
            <w:pPr>
              <w:spacing w:after="20"/>
            </w:pPr>
            <w:r/>
            <w:r>
              <w:rPr>
                <w:sz w:val="19"/>
              </w:rPr>
              <w:t>4</w:t>
            </w:r>
          </w:p>
        </w:tc>
        <w:tc>
          <w:tcPr>
            <w:tcW w:type="dxa" w:w="2880"/>
          </w:tcPr>
          <w:p>
            <w:pPr>
              <w:spacing w:after="20"/>
            </w:pPr>
            <w:r/>
            <w:r>
              <w:rPr>
                <w:b/>
                <w:sz w:val="19"/>
              </w:rPr>
              <w:t>Designed for regulated workflows. Built to be validated.</w:t>
            </w:r>
          </w:p>
        </w:tc>
        <w:tc>
          <w:tcPr>
            <w:tcW w:type="dxa" w:w="2880"/>
          </w:tcPr>
          <w:p>
            <w:pPr>
              <w:spacing w:after="20"/>
            </w:pPr>
            <w:r/>
            <w:r>
              <w:rPr>
                <w:sz w:val="19"/>
              </w:rPr>
              <w:t>Quality/validation/IT audiences; the CSV-aware implementation story.</w:t>
            </w:r>
          </w:p>
        </w:tc>
      </w:tr>
      <w:tr>
        <w:tc>
          <w:tcPr>
            <w:tcW w:type="dxa" w:w="2880"/>
          </w:tcPr>
          <w:p>
            <w:pPr>
              <w:spacing w:after="20"/>
            </w:pPr>
            <w:r/>
            <w:r>
              <w:rPr>
                <w:sz w:val="19"/>
              </w:rPr>
              <w:t>5</w:t>
            </w:r>
          </w:p>
        </w:tc>
        <w:tc>
          <w:tcPr>
            <w:tcW w:type="dxa" w:w="2880"/>
          </w:tcPr>
          <w:p>
            <w:pPr>
              <w:spacing w:after="20"/>
            </w:pPr>
            <w:r/>
            <w:r>
              <w:rPr>
                <w:b/>
                <w:sz w:val="19"/>
              </w:rPr>
              <w:t>Controlled by design. Validated by you.</w:t>
            </w:r>
          </w:p>
        </w:tc>
        <w:tc>
          <w:tcPr>
            <w:tcW w:type="dxa" w:w="2880"/>
          </w:tcPr>
          <w:p>
            <w:pPr>
              <w:spacing w:after="20"/>
            </w:pPr>
            <w:r/>
            <w:r>
              <w:rPr>
                <w:sz w:val="19"/>
              </w:rPr>
              <w:t>Quality Director/QA audience; addresses the customer-validation boundary honestly.</w:t>
            </w:r>
          </w:p>
        </w:tc>
      </w:tr>
      <w:tr>
        <w:tc>
          <w:tcPr>
            <w:tcW w:type="dxa" w:w="2880"/>
          </w:tcPr>
          <w:p>
            <w:pPr>
              <w:spacing w:after="20"/>
            </w:pPr>
            <w:r/>
            <w:r>
              <w:rPr>
                <w:sz w:val="19"/>
              </w:rPr>
              <w:t>6</w:t>
            </w:r>
          </w:p>
        </w:tc>
        <w:tc>
          <w:tcPr>
            <w:tcW w:type="dxa" w:w="2880"/>
          </w:tcPr>
          <w:p>
            <w:pPr>
              <w:spacing w:after="20"/>
            </w:pPr>
            <w:r/>
            <w:r>
              <w:rPr>
                <w:b/>
                <w:sz w:val="19"/>
              </w:rPr>
              <w:t>Quality, in control of operations.</w:t>
            </w:r>
          </w:p>
        </w:tc>
        <w:tc>
          <w:tcPr>
            <w:tcW w:type="dxa" w:w="2880"/>
          </w:tcPr>
          <w:p>
            <w:pPr>
              <w:spacing w:after="20"/>
            </w:pPr>
            <w:r/>
            <w:r>
              <w:rPr>
                <w:sz w:val="19"/>
              </w:rPr>
              <w:t>Internal-culture messaging; change-management narrative; COO/plant manager audience.</w:t>
            </w:r>
          </w:p>
        </w:tc>
      </w:tr>
      <w:tr>
        <w:tc>
          <w:tcPr>
            <w:tcW w:type="dxa" w:w="2880"/>
          </w:tcPr>
          <w:p>
            <w:pPr>
              <w:spacing w:after="20"/>
            </w:pPr>
            <w:r/>
            <w:r>
              <w:rPr>
                <w:sz w:val="19"/>
              </w:rPr>
              <w:t>7</w:t>
            </w:r>
          </w:p>
        </w:tc>
        <w:tc>
          <w:tcPr>
            <w:tcW w:type="dxa" w:w="2880"/>
          </w:tcPr>
          <w:p>
            <w:pPr>
              <w:spacing w:after="20"/>
            </w:pPr>
            <w:r/>
            <w:r>
              <w:rPr>
                <w:b/>
                <w:sz w:val="19"/>
              </w:rPr>
              <w:t>Evidence you can find when the question is asked.</w:t>
            </w:r>
          </w:p>
        </w:tc>
        <w:tc>
          <w:tcPr>
            <w:tcW w:type="dxa" w:w="2880"/>
          </w:tcPr>
          <w:p>
            <w:pPr>
              <w:spacing w:after="20"/>
            </w:pPr>
            <w:r/>
            <w:r>
              <w:rPr>
                <w:sz w:val="19"/>
              </w:rPr>
              <w:t>Audit-readiness theme; compliance officers; recall/investigation scenarios.</w:t>
            </w:r>
          </w:p>
        </w:tc>
      </w:tr>
      <w:tr>
        <w:tc>
          <w:tcPr>
            <w:tcW w:type="dxa" w:w="2880"/>
          </w:tcPr>
          <w:p>
            <w:pPr>
              <w:spacing w:after="20"/>
            </w:pPr>
            <w:r/>
            <w:r>
              <w:rPr>
                <w:sz w:val="19"/>
              </w:rPr>
              <w:t>8</w:t>
            </w:r>
          </w:p>
        </w:tc>
        <w:tc>
          <w:tcPr>
            <w:tcW w:type="dxa" w:w="2880"/>
          </w:tcPr>
          <w:p>
            <w:pPr>
              <w:spacing w:after="20"/>
            </w:pPr>
            <w:r/>
            <w:r>
              <w:rPr>
                <w:b/>
                <w:sz w:val="19"/>
              </w:rPr>
              <w:t>Open foundation. Regulated-world discipline.</w:t>
            </w:r>
          </w:p>
        </w:tc>
        <w:tc>
          <w:tcPr>
            <w:tcW w:type="dxa" w:w="2880"/>
          </w:tcPr>
          <w:p>
            <w:pPr>
              <w:spacing w:after="20"/>
            </w:pPr>
            <w:r/>
            <w:r>
              <w:rPr>
                <w:sz w:val="19"/>
              </w:rPr>
              <w:t>CIO/IT audience; architecture and technology pages; open-source positioning.</w:t>
            </w:r>
          </w:p>
        </w:tc>
      </w:tr>
    </w:tbl>
    <w:p>
      <w:pPr>
        <w:spacing w:after="40"/>
      </w:pPr>
    </w:p>
    <w:p>
      <w:pPr>
        <w:spacing w:before="240" w:after="120"/>
      </w:pPr>
      <w:r>
        <w:rPr>
          <w:rFonts w:ascii="Calibri" w:hAnsi="Calibri"/>
          <w:b/>
          <w:color w:val="0E3A5D"/>
          <w:sz w:val="34"/>
        </w:rPr>
        <w:t>18. Messaging Hierarchy</w:t>
      </w:r>
    </w:p>
    <w:p>
      <w:pPr>
        <w:spacing w:after="120" w:line="276" w:lineRule="auto"/>
      </w:pPr>
      <w:r>
        <w:rPr>
          <w:b/>
          <w:sz w:val="22"/>
        </w:rPr>
        <w:t>Master message:</w:t>
      </w:r>
      <w:r>
        <w:rPr>
          <w:sz w:val="22"/>
        </w:rPr>
        <w:t xml:space="preserve"> LSS connects enterprise operations and quality processes into one traceable digital environment designed for life-sciences organizations — so regulated organizations can run quality as part of operations, and show the evidence of every step.</w:t>
      </w:r>
    </w:p>
    <w:p>
      <w:pPr>
        <w:spacing w:after="120" w:line="276" w:lineRule="auto"/>
      </w:pPr>
      <w:r>
        <w:rPr>
          <w:b/>
          <w:sz w:val="22"/>
        </w:rPr>
        <w:t>Messaging pillars</w:t>
      </w:r>
      <w:r>
        <w:rPr>
          <w:sz w:val="22"/>
        </w:rPr>
        <w:t xml:space="preserve"> consolidate the 12 value pillars (mapping shown) so marketing can speak in six coherent stories.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E3A5D"/>
          </w:tcPr>
          <w:p>
            <w:pPr>
              <w:spacing w:after="20"/>
            </w:pPr>
            <w:r>
              <w:rPr>
                <w:color w:val="FFFFFF"/>
              </w:rPr>
            </w:r>
            <w:r>
              <w:rPr>
                <w:b/>
                <w:color w:val="FFFFFF"/>
                <w:sz w:val="19"/>
              </w:rPr>
              <w:t>Pillar (marketing)</w:t>
            </w:r>
          </w:p>
        </w:tc>
        <w:tc>
          <w:tcPr>
            <w:tcW w:type="dxa" w:w="2160"/>
            <w:shd w:val="clear" w:color="auto" w:fill="0E3A5D"/>
          </w:tcPr>
          <w:p>
            <w:pPr>
              <w:spacing w:after="20"/>
            </w:pPr>
            <w:r>
              <w:rPr>
                <w:color w:val="FFFFFF"/>
              </w:rPr>
            </w:r>
            <w:r>
              <w:rPr>
                <w:b/>
                <w:color w:val="FFFFFF"/>
                <w:sz w:val="19"/>
              </w:rPr>
              <w:t>Mapped value pillars</w:t>
            </w:r>
          </w:p>
        </w:tc>
        <w:tc>
          <w:tcPr>
            <w:tcW w:type="dxa" w:w="2160"/>
            <w:shd w:val="clear" w:color="auto" w:fill="0E3A5D"/>
          </w:tcPr>
          <w:p>
            <w:pPr>
              <w:spacing w:after="20"/>
            </w:pPr>
            <w:r>
              <w:rPr>
                <w:color w:val="FFFFFF"/>
              </w:rPr>
            </w:r>
            <w:r>
              <w:rPr>
                <w:b/>
                <w:color w:val="FFFFFF"/>
                <w:sz w:val="19"/>
              </w:rPr>
              <w:t>Proof points (fact-based)</w:t>
            </w:r>
          </w:p>
        </w:tc>
        <w:tc>
          <w:tcPr>
            <w:tcW w:type="dxa" w:w="2160"/>
            <w:shd w:val="clear" w:color="auto" w:fill="0E3A5D"/>
          </w:tcPr>
          <w:p>
            <w:pPr>
              <w:spacing w:after="20"/>
            </w:pPr>
            <w:r>
              <w:rPr>
                <w:color w:val="FFFFFF"/>
              </w:rPr>
            </w:r>
            <w:r>
              <w:rPr>
                <w:b/>
                <w:color w:val="FFFFFF"/>
                <w:sz w:val="19"/>
              </w:rPr>
              <w:t>Supporting messages</w:t>
            </w:r>
          </w:p>
        </w:tc>
      </w:tr>
      <w:tr>
        <w:tc>
          <w:tcPr>
            <w:tcW w:type="dxa" w:w="2160"/>
          </w:tcPr>
          <w:p>
            <w:pPr>
              <w:spacing w:after="20"/>
            </w:pPr>
            <w:r/>
            <w:r>
              <w:rPr>
                <w:b/>
                <w:sz w:val="19"/>
              </w:rPr>
              <w:t>P1 — Integrated ERP + QMS</w:t>
            </w:r>
          </w:p>
        </w:tc>
        <w:tc>
          <w:tcPr>
            <w:tcW w:type="dxa" w:w="2160"/>
          </w:tcPr>
          <w:p>
            <w:pPr>
              <w:spacing w:after="20"/>
            </w:pPr>
            <w:r/>
            <w:r>
              <w:rPr>
                <w:sz w:val="19"/>
              </w:rPr>
              <w:t>(1) Integrated ERP + QMS; (11) Modular architecture</w:t>
            </w:r>
          </w:p>
        </w:tc>
        <w:tc>
          <w:tcPr>
            <w:tcW w:type="dxa" w:w="2160"/>
          </w:tcPr>
          <w:p>
            <w:pPr>
              <w:spacing w:after="20"/>
            </w:pPr>
            <w:r/>
            <w:r>
              <w:rPr>
                <w:sz w:val="19"/>
              </w:rPr>
              <w:t>ERP foundation (Odoo 19 Community Edition) + Life Sciences Core QMS layer + sector extensions in one four-layer architecture; 35 specialized modules sharing one data model; role-based security model with area managers/viewers.</w:t>
            </w:r>
          </w:p>
        </w:tc>
        <w:tc>
          <w:tcPr>
            <w:tcW w:type="dxa" w:w="2160"/>
          </w:tcPr>
          <w:p>
            <w:pPr>
              <w:spacing w:after="20"/>
            </w:pPr>
            <w:r/>
            <w:r>
              <w:rPr>
                <w:sz w:val="19"/>
              </w:rPr>
              <w:t>"Your quality system sees the same lots, suppliers, and batches as your operations." For IT: modular architecture, open foundation (LGPLv3), integration via Odoo APIs (XML-RPC/JSON-RPC), webhooks, and file import.</w:t>
            </w:r>
          </w:p>
        </w:tc>
      </w:tr>
      <w:tr>
        <w:tc>
          <w:tcPr>
            <w:tcW w:type="dxa" w:w="2160"/>
          </w:tcPr>
          <w:p>
            <w:pPr>
              <w:spacing w:after="20"/>
            </w:pPr>
            <w:r/>
            <w:r>
              <w:rPr>
                <w:b/>
                <w:sz w:val="19"/>
              </w:rPr>
              <w:t>P2 — End-to-end traceability</w:t>
            </w:r>
          </w:p>
        </w:tc>
        <w:tc>
          <w:tcPr>
            <w:tcW w:type="dxa" w:w="2160"/>
          </w:tcPr>
          <w:p>
            <w:pPr>
              <w:spacing w:after="20"/>
            </w:pPr>
            <w:r/>
            <w:r>
              <w:rPr>
                <w:sz w:val="19"/>
              </w:rPr>
              <w:t>(2) End-to-end traceability; (3) Batch genealogy; (8) Supplier and material traceability</w:t>
            </w:r>
          </w:p>
        </w:tc>
        <w:tc>
          <w:tcPr>
            <w:tcW w:type="dxa" w:w="2160"/>
          </w:tcPr>
          <w:p>
            <w:pPr>
              <w:spacing w:after="20"/>
            </w:pPr>
            <w:r/>
            <w:r>
              <w:rPr>
                <w:sz w:val="19"/>
              </w:rPr>
              <w:t>Lot and serial tracking from raw material to finished product; field-level audit trail with immutable, SHA-256 hash-chained logs and tamper-evident evidence packs; recall traceability chain; native forward traceability (which customers received this lot); LS Lot-Specific Stock with genealogy tracking [VERIFY CAPABILITY]; FEFO/FIFO enforcement (native).</w:t>
            </w:r>
          </w:p>
        </w:tc>
        <w:tc>
          <w:tcPr>
            <w:tcW w:type="dxa" w:w="2160"/>
          </w:tcPr>
          <w:p>
            <w:pPr>
              <w:spacing w:after="20"/>
            </w:pPr>
            <w:r/>
            <w:r>
              <w:rPr>
                <w:sz w:val="19"/>
              </w:rPr>
              <w:t>"When the question is 'which lots went where,' the answer is a query, not a project." Sector flavor: serialization/UDI for medical devices; GS1 labeling; DHR per-serial history for devices [VERIFY CAPABILITY].</w:t>
            </w:r>
          </w:p>
        </w:tc>
      </w:tr>
      <w:tr>
        <w:tc>
          <w:tcPr>
            <w:tcW w:type="dxa" w:w="2160"/>
          </w:tcPr>
          <w:p>
            <w:pPr>
              <w:spacing w:after="20"/>
            </w:pPr>
            <w:r/>
            <w:r>
              <w:rPr>
                <w:b/>
                <w:sz w:val="19"/>
              </w:rPr>
              <w:t>P3 — Quality &amp; manufacturing control</w:t>
            </w:r>
          </w:p>
        </w:tc>
        <w:tc>
          <w:tcPr>
            <w:tcW w:type="dxa" w:w="2160"/>
          </w:tcPr>
          <w:p>
            <w:pPr>
              <w:spacing w:after="20"/>
            </w:pPr>
            <w:r/>
            <w:r>
              <w:rPr>
                <w:sz w:val="19"/>
              </w:rPr>
              <w:t>(4) Quality management; (5) Manufacturing control; (9) Digital workflows</w:t>
            </w:r>
          </w:p>
        </w:tc>
        <w:tc>
          <w:tcPr>
            <w:tcW w:type="dxa" w:w="2160"/>
          </w:tcPr>
          <w:p>
            <w:pPr>
              <w:spacing w:after="20"/>
            </w:pPr>
            <w:r/>
            <w:r>
              <w:rPr>
                <w:sz w:val="19"/>
              </w:rPr>
              <w:t>LS Quality Management (CAPA, deviations, change control, quality KPIs); LS Batch Record Management with step-by-step execution and electronic batch release; LS Batch Production with yield tracking and material reconciliation; LS In-Process Controls with real-time deviation detection; LS QC Sampling Plans (AQL), LS QC Specifications, LS Enhanced QC Inspections; quarantine and release workflow.</w:t>
            </w:r>
          </w:p>
        </w:tc>
        <w:tc>
          <w:tcPr>
            <w:tcW w:type="dxa" w:w="2160"/>
          </w:tcPr>
          <w:p>
            <w:pPr>
              <w:spacing w:after="20"/>
            </w:pPr>
            <w:r/>
            <w:r>
              <w:rPr>
                <w:sz w:val="19"/>
              </w:rPr>
              <w:t>"A deviation is not a document — it is a workflow that links investigation, disposition, and CAPA, connected to the lot it affects." For production: release-gated operations; for QA: exclusive release authority, signed decisions.</w:t>
            </w:r>
          </w:p>
        </w:tc>
      </w:tr>
      <w:tr>
        <w:tc>
          <w:tcPr>
            <w:tcW w:type="dxa" w:w="2160"/>
          </w:tcPr>
          <w:p>
            <w:pPr>
              <w:spacing w:after="20"/>
            </w:pPr>
            <w:r/>
            <w:r>
              <w:rPr>
                <w:b/>
                <w:sz w:val="19"/>
              </w:rPr>
              <w:t>P4 — Controlled documentation &amp; auditability</w:t>
            </w:r>
          </w:p>
        </w:tc>
        <w:tc>
          <w:tcPr>
            <w:tcW w:type="dxa" w:w="2160"/>
          </w:tcPr>
          <w:p>
            <w:pPr>
              <w:spacing w:after="20"/>
            </w:pPr>
            <w:r/>
            <w:r>
              <w:rPr>
                <w:sz w:val="19"/>
              </w:rPr>
              <w:t>(6) Controlled documentation; (7) Auditability</w:t>
            </w:r>
          </w:p>
        </w:tc>
        <w:tc>
          <w:tcPr>
            <w:tcW w:type="dxa" w:w="2160"/>
          </w:tcPr>
          <w:p>
            <w:pPr>
              <w:spacing w:after="20"/>
            </w:pPr>
            <w:r/>
            <w:r>
              <w:rPr>
                <w:sz w:val="19"/>
              </w:rPr>
              <w:t>LS Document Control (revision control, approval workflows, distribution control, review scheduling, training linkage); LS Audit Trail &amp; Electronic Signatures supporting 21 CFR Part 11, EU Annex 11, and ANPP process expectations; immutable logs; LS Training Management linked to SOPs and GMP tasks.</w:t>
            </w:r>
          </w:p>
        </w:tc>
        <w:tc>
          <w:tcPr>
            <w:tcW w:type="dxa" w:w="2160"/>
          </w:tcPr>
          <w:p>
            <w:pPr>
              <w:spacing w:after="20"/>
            </w:pPr>
            <w:r/>
            <w:r>
              <w:rPr>
                <w:sz w:val="19"/>
              </w:rPr>
              <w:t>"One effective version, everywhere it is used." "Every signature carries a name, a timestamp, and a meaning." Regulatory phrasing strictly "supports implementation of processes aligned with…".</w:t>
            </w:r>
          </w:p>
        </w:tc>
      </w:tr>
      <w:tr>
        <w:tc>
          <w:tcPr>
            <w:tcW w:type="dxa" w:w="2160"/>
          </w:tcPr>
          <w:p>
            <w:pPr>
              <w:spacing w:after="20"/>
            </w:pPr>
            <w:r/>
            <w:r>
              <w:rPr>
                <w:b/>
                <w:sz w:val="19"/>
              </w:rPr>
              <w:t>P5 — Operational visibility</w:t>
            </w:r>
          </w:p>
        </w:tc>
        <w:tc>
          <w:tcPr>
            <w:tcW w:type="dxa" w:w="2160"/>
          </w:tcPr>
          <w:p>
            <w:pPr>
              <w:spacing w:after="20"/>
            </w:pPr>
            <w:r/>
            <w:r>
              <w:rPr>
                <w:sz w:val="19"/>
              </w:rPr>
              <w:t>(10) Operational visibility</w:t>
            </w:r>
          </w:p>
        </w:tc>
        <w:tc>
          <w:tcPr>
            <w:tcW w:type="dxa" w:w="2160"/>
          </w:tcPr>
          <w:p>
            <w:pPr>
              <w:spacing w:after="20"/>
            </w:pPr>
            <w:r/>
            <w:r>
              <w:rPr>
                <w:sz w:val="19"/>
              </w:rPr>
              <w:t>LS Reporting &amp; Analytics: cross-module KPI dashboards, management review reports, regulatory submission data; quality KPI dashboards; expiry/alert monitoring; environmental monitoring trends.</w:t>
            </w:r>
          </w:p>
        </w:tc>
        <w:tc>
          <w:tcPr>
            <w:tcW w:type="dxa" w:w="2160"/>
          </w:tcPr>
          <w:p>
            <w:pPr>
              <w:spacing w:after="20"/>
            </w:pPr>
            <w:r/>
            <w:r>
              <w:rPr>
                <w:sz w:val="19"/>
              </w:rPr>
              <w:t>For executives: "see the state of quality across the enterprise in one dashboard." For QA managers: KPI-driven CAPA and complaint trends.</w:t>
            </w:r>
          </w:p>
        </w:tc>
      </w:tr>
      <w:tr>
        <w:tc>
          <w:tcPr>
            <w:tcW w:type="dxa" w:w="2160"/>
          </w:tcPr>
          <w:p>
            <w:pPr>
              <w:spacing w:after="20"/>
            </w:pPr>
            <w:r/>
            <w:r>
              <w:rPr>
                <w:b/>
                <w:sz w:val="19"/>
              </w:rPr>
              <w:t>P6 — Life-sciences specialization</w:t>
            </w:r>
          </w:p>
        </w:tc>
        <w:tc>
          <w:tcPr>
            <w:tcW w:type="dxa" w:w="2160"/>
          </w:tcPr>
          <w:p>
            <w:pPr>
              <w:spacing w:after="20"/>
            </w:pPr>
            <w:r/>
            <w:r>
              <w:rPr>
                <w:sz w:val="19"/>
              </w:rPr>
              <w:t>(12) Life-sciences specialization</w:t>
            </w:r>
          </w:p>
        </w:tc>
        <w:tc>
          <w:tcPr>
            <w:tcW w:type="dxa" w:w="2160"/>
          </w:tcPr>
          <w:p>
            <w:pPr>
              <w:spacing w:after="20"/>
            </w:pPr>
            <w:r/>
            <w:r>
              <w:rPr>
                <w:sz w:val="19"/>
              </w:rPr>
              <w:t>Sector modules: pharma (batches, stability, serialization, dossiers, QP batch certification support), medical devices (UDI/GS1, ISO 14971 risk, EU MDR process support), medical plastics (ISO 15378, packaging validation, extractables/leachables), cosmetics (PIF, safety assessment, ISO 22716 process support), laboratories (LIMS-lite: samples, test methods, OOS/OOT, COAs, stability). Validation-aware implementation methodology: 105 steps, 9 gated phases, VMP, IQ/OQ/PQ, requirements traceability [methodology conditional pending live execution].</w:t>
            </w:r>
          </w:p>
        </w:tc>
        <w:tc>
          <w:tcPr>
            <w:tcW w:type="dxa" w:w="2160"/>
          </w:tcPr>
          <w:p>
            <w:pPr>
              <w:spacing w:after="20"/>
            </w:pPr>
            <w:r/>
            <w:r>
              <w:rPr>
                <w:sz w:val="19"/>
              </w:rPr>
              <w:t>"Built by people who know the difference between a batch record and a work order." Each sector gets its own campaign voice (see Messaging Principle 8).</w:t>
            </w:r>
          </w:p>
        </w:tc>
      </w:tr>
    </w:tbl>
    <w:p>
      <w:pPr>
        <w:spacing w:after="40"/>
      </w:pPr>
    </w:p>
    <w:p>
      <w:pPr>
        <w:spacing w:before="240" w:after="120"/>
      </w:pPr>
      <w:r>
        <w:rPr>
          <w:rFonts w:ascii="Calibri" w:hAnsi="Calibri"/>
          <w:b/>
          <w:color w:val="0E3A5D"/>
          <w:sz w:val="34"/>
        </w:rPr>
        <w:t>19. Core Marketing Claims</w:t>
      </w:r>
    </w:p>
    <w:p>
      <w:pPr>
        <w:spacing w:after="120" w:line="276" w:lineRule="auto"/>
      </w:pPr>
      <w:r>
        <w:rPr>
          <w:sz w:val="22"/>
        </w:rPr>
        <w:t xml:space="preserve">Tag key (per ground rules): </w:t>
      </w:r>
      <w:r>
        <w:rPr>
          <w:b/>
          <w:sz w:val="22"/>
        </w:rPr>
        <w:t>FACT</w:t>
      </w:r>
      <w:r>
        <w:rPr>
          <w:sz w:val="22"/>
        </w:rPr>
        <w:t xml:space="preserve"> = confirmed by the source fact base; </w:t>
      </w:r>
      <w:r>
        <w:rPr>
          <w:b/>
          <w:sz w:val="22"/>
        </w:rPr>
        <w:t>PRODUCT CAPABILITY</w:t>
      </w:r>
      <w:r>
        <w:rPr>
          <w:sz w:val="22"/>
        </w:rPr>
        <w:t xml:space="preserve"> = planned product surface from the module catalog / specification (bold claims carry </w:t>
      </w:r>
      <w:r>
        <w:rPr>
          <w:rFonts w:ascii="Consolas" w:hAnsi="Consolas"/>
          <w:sz w:val="22"/>
        </w:rPr>
        <w:t>[VERIFY CAPABILITY]</w:t>
      </w:r>
      <w:r>
        <w:rPr>
          <w:sz w:val="22"/>
        </w:rPr>
        <w:t xml:space="preserve"> where cross-source verification flags apply); </w:t>
      </w:r>
      <w:r>
        <w:rPr>
          <w:b/>
          <w:sz w:val="22"/>
        </w:rPr>
        <w:t>MARKETING CLAIM</w:t>
      </w:r>
      <w:r>
        <w:rPr>
          <w:sz w:val="22"/>
        </w:rPr>
        <w:t xml:space="preserve"> = derived outcome language, qualitative only, always traceable to a fact or capability.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E3A5D"/>
          </w:tcPr>
          <w:p>
            <w:pPr>
              <w:spacing w:after="20"/>
            </w:pPr>
            <w:r>
              <w:rPr>
                <w:color w:val="FFFFFF"/>
              </w:rPr>
            </w:r>
            <w:r>
              <w:rPr>
                <w:b/>
                <w:color w:val="FFFFFF"/>
                <w:sz w:val="19"/>
              </w:rPr>
              <w:t>#</w:t>
            </w:r>
          </w:p>
        </w:tc>
        <w:tc>
          <w:tcPr>
            <w:tcW w:type="dxa" w:w="2880"/>
            <w:shd w:val="clear" w:color="auto" w:fill="0E3A5D"/>
          </w:tcPr>
          <w:p>
            <w:pPr>
              <w:spacing w:after="20"/>
            </w:pPr>
            <w:r>
              <w:rPr>
                <w:color w:val="FFFFFF"/>
              </w:rPr>
            </w:r>
            <w:r>
              <w:rPr>
                <w:b/>
                <w:color w:val="FFFFFF"/>
                <w:sz w:val="19"/>
              </w:rPr>
              <w:t>Claim</w:t>
            </w:r>
          </w:p>
        </w:tc>
        <w:tc>
          <w:tcPr>
            <w:tcW w:type="dxa" w:w="2880"/>
            <w:shd w:val="clear" w:color="auto" w:fill="0E3A5D"/>
          </w:tcPr>
          <w:p>
            <w:pPr>
              <w:spacing w:after="20"/>
            </w:pPr>
            <w:r>
              <w:rPr>
                <w:color w:val="FFFFFF"/>
              </w:rPr>
            </w:r>
            <w:r>
              <w:rPr>
                <w:b/>
                <w:color w:val="FFFFFF"/>
                <w:sz w:val="19"/>
              </w:rPr>
              <w:t>Tag</w:t>
            </w:r>
          </w:p>
        </w:tc>
      </w:tr>
      <w:tr>
        <w:tc>
          <w:tcPr>
            <w:tcW w:type="dxa" w:w="2880"/>
          </w:tcPr>
          <w:p>
            <w:pPr>
              <w:spacing w:after="20"/>
            </w:pPr>
            <w:r/>
            <w:r>
              <w:rPr>
                <w:sz w:val="19"/>
              </w:rPr>
              <w:t>1</w:t>
            </w:r>
          </w:p>
        </w:tc>
        <w:tc>
          <w:tcPr>
            <w:tcW w:type="dxa" w:w="2880"/>
          </w:tcPr>
          <w:p>
            <w:pPr>
              <w:spacing w:after="20"/>
            </w:pPr>
            <w:r/>
            <w:r>
              <w:rPr>
                <w:sz w:val="19"/>
              </w:rPr>
              <w:t>LSS is a life-sciences business platform connecting enterprise operations and quality processes in one digital environment.</w:t>
            </w:r>
          </w:p>
        </w:tc>
        <w:tc>
          <w:tcPr>
            <w:tcW w:type="dxa" w:w="2880"/>
          </w:tcPr>
          <w:p>
            <w:pPr>
              <w:spacing w:after="20"/>
            </w:pPr>
            <w:r/>
            <w:r>
              <w:rPr>
                <w:sz w:val="19"/>
              </w:rPr>
              <w:t>FACT (positioning, spec §1.1)</w:t>
            </w:r>
          </w:p>
        </w:tc>
      </w:tr>
      <w:tr>
        <w:tc>
          <w:tcPr>
            <w:tcW w:type="dxa" w:w="2880"/>
          </w:tcPr>
          <w:p>
            <w:pPr>
              <w:spacing w:after="20"/>
            </w:pPr>
            <w:r/>
            <w:r>
              <w:rPr>
                <w:sz w:val="19"/>
              </w:rPr>
              <w:t>2</w:t>
            </w:r>
          </w:p>
        </w:tc>
        <w:tc>
          <w:tcPr>
            <w:tcW w:type="dxa" w:w="2880"/>
          </w:tcPr>
          <w:p>
            <w:pPr>
              <w:spacing w:after="20"/>
            </w:pPr>
            <w:r/>
            <w:r>
              <w:rPr>
                <w:sz w:val="19"/>
              </w:rPr>
              <w:t>LSS is built on Odoo 19 Community Edition, an open-source ERP foundation (LGPLv3).</w:t>
            </w:r>
          </w:p>
        </w:tc>
        <w:tc>
          <w:tcPr>
            <w:tcW w:type="dxa" w:w="2880"/>
          </w:tcPr>
          <w:p>
            <w:pPr>
              <w:spacing w:after="20"/>
            </w:pPr>
            <w:r/>
            <w:r>
              <w:rPr>
                <w:sz w:val="19"/>
              </w:rPr>
              <w:t>FACT</w:t>
            </w:r>
          </w:p>
        </w:tc>
      </w:tr>
      <w:tr>
        <w:tc>
          <w:tcPr>
            <w:tcW w:type="dxa" w:w="2880"/>
          </w:tcPr>
          <w:p>
            <w:pPr>
              <w:spacing w:after="20"/>
            </w:pPr>
            <w:r/>
            <w:r>
              <w:rPr>
                <w:sz w:val="19"/>
              </w:rPr>
              <w:t>3</w:t>
            </w:r>
          </w:p>
        </w:tc>
        <w:tc>
          <w:tcPr>
            <w:tcW w:type="dxa" w:w="2880"/>
          </w:tcPr>
          <w:p>
            <w:pPr>
              <w:spacing w:after="20"/>
            </w:pPr>
            <w:r/>
            <w:r>
              <w:rPr>
                <w:sz w:val="19"/>
              </w:rPr>
              <w:t>LSS covers five life-sciences sectors: pharmaceutical, medical-device, medical-plastic, and cosmetics manufacturing, and laboratories.</w:t>
            </w:r>
          </w:p>
        </w:tc>
        <w:tc>
          <w:tcPr>
            <w:tcW w:type="dxa" w:w="2880"/>
          </w:tcPr>
          <w:p>
            <w:pPr>
              <w:spacing w:after="20"/>
            </w:pPr>
            <w:r/>
            <w:r>
              <w:rPr>
                <w:sz w:val="19"/>
              </w:rPr>
              <w:t>FACT</w:t>
            </w:r>
          </w:p>
        </w:tc>
      </w:tr>
      <w:tr>
        <w:tc>
          <w:tcPr>
            <w:tcW w:type="dxa" w:w="2880"/>
          </w:tcPr>
          <w:p>
            <w:pPr>
              <w:spacing w:after="20"/>
            </w:pPr>
            <w:r/>
            <w:r>
              <w:rPr>
                <w:sz w:val="19"/>
              </w:rPr>
              <w:t>4</w:t>
            </w:r>
          </w:p>
        </w:tc>
        <w:tc>
          <w:tcPr>
            <w:tcW w:type="dxa" w:w="2880"/>
          </w:tcPr>
          <w:p>
            <w:pPr>
              <w:spacing w:after="20"/>
            </w:pPr>
            <w:r/>
            <w:r>
              <w:rPr>
                <w:sz w:val="19"/>
              </w:rPr>
              <w:t>LSS comprises 35 specialized modules spanning quality, manufacturing, laboratory, supply chain, and sector workflows.</w:t>
            </w:r>
          </w:p>
        </w:tc>
        <w:tc>
          <w:tcPr>
            <w:tcW w:type="dxa" w:w="2880"/>
          </w:tcPr>
          <w:p>
            <w:pPr>
              <w:spacing w:after="20"/>
            </w:pPr>
            <w:r/>
            <w:r>
              <w:rPr>
                <w:sz w:val="19"/>
              </w:rPr>
              <w:t>FACT (catalog)</w:t>
            </w:r>
          </w:p>
        </w:tc>
      </w:tr>
      <w:tr>
        <w:tc>
          <w:tcPr>
            <w:tcW w:type="dxa" w:w="2880"/>
          </w:tcPr>
          <w:p>
            <w:pPr>
              <w:spacing w:after="20"/>
            </w:pPr>
            <w:r/>
            <w:r>
              <w:rPr>
                <w:sz w:val="19"/>
              </w:rPr>
              <w:t>5</w:t>
            </w:r>
          </w:p>
        </w:tc>
        <w:tc>
          <w:tcPr>
            <w:tcW w:type="dxa" w:w="2880"/>
          </w:tcPr>
          <w:p>
            <w:pPr>
              <w:spacing w:after="20"/>
            </w:pPr>
            <w:r/>
            <w:r>
              <w:rPr>
                <w:sz w:val="19"/>
              </w:rPr>
              <w:t>LSS provides an enhanced audit trail with immutable, field-level logs and SHA-256 hash-chained, tamper-evident evidence packs.</w:t>
            </w:r>
          </w:p>
        </w:tc>
        <w:tc>
          <w:tcPr>
            <w:tcW w:type="dxa" w:w="2880"/>
          </w:tcPr>
          <w:p>
            <w:pPr>
              <w:spacing w:after="20"/>
            </w:pPr>
            <w:r/>
            <w:r>
              <w:rPr>
                <w:sz w:val="19"/>
              </w:rPr>
              <w:t>FACT</w:t>
            </w:r>
          </w:p>
        </w:tc>
      </w:tr>
      <w:tr>
        <w:tc>
          <w:tcPr>
            <w:tcW w:type="dxa" w:w="2880"/>
          </w:tcPr>
          <w:p>
            <w:pPr>
              <w:spacing w:after="20"/>
            </w:pPr>
            <w:r/>
            <w:r>
              <w:rPr>
                <w:sz w:val="19"/>
              </w:rPr>
              <w:t>6</w:t>
            </w:r>
          </w:p>
        </w:tc>
        <w:tc>
          <w:tcPr>
            <w:tcW w:type="dxa" w:w="2880"/>
          </w:tcPr>
          <w:p>
            <w:pPr>
              <w:spacing w:after="20"/>
            </w:pPr>
            <w:r/>
            <w:r>
              <w:rPr>
                <w:sz w:val="19"/>
              </w:rPr>
              <w:t>LSS provides an electronic signature framework supporting 21 CFR Part 11, EU Annex 11, and ANPP process expectations (with optional 2FA; biometric capture optional).</w:t>
            </w:r>
          </w:p>
        </w:tc>
        <w:tc>
          <w:tcPr>
            <w:tcW w:type="dxa" w:w="2880"/>
          </w:tcPr>
          <w:p>
            <w:pPr>
              <w:spacing w:after="20"/>
            </w:pPr>
            <w:r/>
            <w:r>
              <w:rPr>
                <w:sz w:val="19"/>
              </w:rPr>
              <w:t>PRODUCT CAPABILITY — regulatory phrasing: "supports implementation of processes aligned with…"</w:t>
            </w:r>
          </w:p>
        </w:tc>
      </w:tr>
      <w:tr>
        <w:tc>
          <w:tcPr>
            <w:tcW w:type="dxa" w:w="2880"/>
          </w:tcPr>
          <w:p>
            <w:pPr>
              <w:spacing w:after="20"/>
            </w:pPr>
            <w:r/>
            <w:r>
              <w:rPr>
                <w:sz w:val="19"/>
              </w:rPr>
              <w:t>7</w:t>
            </w:r>
          </w:p>
        </w:tc>
        <w:tc>
          <w:tcPr>
            <w:tcW w:type="dxa" w:w="2880"/>
          </w:tcPr>
          <w:p>
            <w:pPr>
              <w:spacing w:after="20"/>
            </w:pPr>
            <w:r/>
            <w:r>
              <w:rPr>
                <w:sz w:val="19"/>
              </w:rPr>
              <w:t>LSS is designed to support processes aligned with GMP, WHO GMP, ISO 9001/13485/14971/15378/22716, EU MDR 2017/745, EU Cosmetics Regulation 1223/2009, 21 CFR Part 11, EU Annex 11, and ICH guidelines.</w:t>
            </w:r>
          </w:p>
        </w:tc>
        <w:tc>
          <w:tcPr>
            <w:tcW w:type="dxa" w:w="2880"/>
          </w:tcPr>
          <w:p>
            <w:pPr>
              <w:spacing w:after="20"/>
            </w:pPr>
            <w:r/>
            <w:r>
              <w:rPr>
                <w:sz w:val="19"/>
              </w:rPr>
              <w:t>FACT (spec traceability matrix, "S = supports implementation") — [REQUIRES REGULATORY/LEGAL REVIEW] for any ANPP/Algerian reference</w:t>
            </w:r>
          </w:p>
        </w:tc>
      </w:tr>
      <w:tr>
        <w:tc>
          <w:tcPr>
            <w:tcW w:type="dxa" w:w="2880"/>
          </w:tcPr>
          <w:p>
            <w:pPr>
              <w:spacing w:after="20"/>
            </w:pPr>
            <w:r/>
            <w:r>
              <w:rPr>
                <w:sz w:val="19"/>
              </w:rPr>
              <w:t>8</w:t>
            </w:r>
          </w:p>
        </w:tc>
        <w:tc>
          <w:tcPr>
            <w:tcW w:type="dxa" w:w="2880"/>
          </w:tcPr>
          <w:p>
            <w:pPr>
              <w:spacing w:after="20"/>
            </w:pPr>
            <w:r/>
            <w:r>
              <w:rPr>
                <w:sz w:val="19"/>
              </w:rPr>
              <w:t>LSS provides end-to-end traceability from raw material to finished product via lot and serial tracking, expiry management, quarantine, and release workflows.</w:t>
            </w:r>
          </w:p>
        </w:tc>
        <w:tc>
          <w:tcPr>
            <w:tcW w:type="dxa" w:w="2880"/>
          </w:tcPr>
          <w:p>
            <w:pPr>
              <w:spacing w:after="20"/>
            </w:pPr>
            <w:r/>
            <w:r>
              <w:rPr>
                <w:sz w:val="19"/>
              </w:rPr>
              <w:t>PRODUCT CAPABILITY (traceability confirmed; genealogy-specific claims marked separately)</w:t>
            </w:r>
          </w:p>
        </w:tc>
      </w:tr>
      <w:tr>
        <w:tc>
          <w:tcPr>
            <w:tcW w:type="dxa" w:w="2880"/>
          </w:tcPr>
          <w:p>
            <w:pPr>
              <w:spacing w:after="20"/>
            </w:pPr>
            <w:r/>
            <w:r>
              <w:rPr>
                <w:sz w:val="19"/>
              </w:rPr>
              <w:t>9</w:t>
            </w:r>
          </w:p>
        </w:tc>
        <w:tc>
          <w:tcPr>
            <w:tcW w:type="dxa" w:w="2880"/>
          </w:tcPr>
          <w:p>
            <w:pPr>
              <w:spacing w:after="20"/>
            </w:pPr>
            <w:r/>
            <w:r>
              <w:rPr>
                <w:sz w:val="19"/>
              </w:rPr>
              <w:t>LSS includes lot genealogy tracking as planned product surface.</w:t>
            </w:r>
          </w:p>
        </w:tc>
        <w:tc>
          <w:tcPr>
            <w:tcW w:type="dxa" w:w="2880"/>
          </w:tcPr>
          <w:p>
            <w:pPr>
              <w:spacing w:after="20"/>
            </w:pPr>
            <w:r/>
            <w:r>
              <w:rPr>
                <w:sz w:val="19"/>
              </w:rPr>
              <w:t xml:space="preserve">PRODUCT CAPABILITY — </w:t>
            </w:r>
            <w:r>
              <w:rPr>
                <w:rFonts w:ascii="Consolas" w:hAnsi="Consolas"/>
                <w:sz w:val="19"/>
              </w:rPr>
              <w:t>[VERIFY CAPABILITY]</w:t>
            </w:r>
            <w:r>
              <w:rPr>
                <w:sz w:val="19"/>
              </w:rPr>
              <w:t xml:space="preserve"> (catalog-confirmed; not in spec PDFs)</w:t>
            </w:r>
          </w:p>
        </w:tc>
      </w:tr>
      <w:tr>
        <w:tc>
          <w:tcPr>
            <w:tcW w:type="dxa" w:w="2880"/>
          </w:tcPr>
          <w:p>
            <w:pPr>
              <w:spacing w:after="20"/>
            </w:pPr>
            <w:r/>
            <w:r>
              <w:rPr>
                <w:sz w:val="19"/>
              </w:rPr>
              <w:t>10</w:t>
            </w:r>
          </w:p>
        </w:tc>
        <w:tc>
          <w:tcPr>
            <w:tcW w:type="dxa" w:w="2880"/>
          </w:tcPr>
          <w:p>
            <w:pPr>
              <w:spacing w:after="20"/>
            </w:pPr>
            <w:r/>
            <w:r>
              <w:rPr>
                <w:sz w:val="19"/>
              </w:rPr>
              <w:t>LSS enforces FEFO/FIFO picking and expiry-date management for regulated inventory.</w:t>
            </w:r>
          </w:p>
        </w:tc>
        <w:tc>
          <w:tcPr>
            <w:tcW w:type="dxa" w:w="2880"/>
          </w:tcPr>
          <w:p>
            <w:pPr>
              <w:spacing w:after="20"/>
            </w:pPr>
            <w:r/>
            <w:r>
              <w:rPr>
                <w:sz w:val="19"/>
              </w:rPr>
              <w:t>PRODUCT CAPABILITY (FEFO confirmed native, VF-037; expiry management confirmed)</w:t>
            </w:r>
          </w:p>
        </w:tc>
      </w:tr>
      <w:tr>
        <w:tc>
          <w:tcPr>
            <w:tcW w:type="dxa" w:w="2880"/>
          </w:tcPr>
          <w:p>
            <w:pPr>
              <w:spacing w:after="20"/>
            </w:pPr>
            <w:r/>
            <w:r>
              <w:rPr>
                <w:sz w:val="19"/>
              </w:rPr>
              <w:t>11</w:t>
            </w:r>
          </w:p>
        </w:tc>
        <w:tc>
          <w:tcPr>
            <w:tcW w:type="dxa" w:w="2880"/>
          </w:tcPr>
          <w:p>
            <w:pPr>
              <w:spacing w:after="20"/>
            </w:pPr>
            <w:r/>
            <w:r>
              <w:rPr>
                <w:sz w:val="19"/>
              </w:rPr>
              <w:t>LSS supports electronic batch records, step-by-step execution, and electronic batch release.</w:t>
            </w:r>
          </w:p>
        </w:tc>
        <w:tc>
          <w:tcPr>
            <w:tcW w:type="dxa" w:w="2880"/>
          </w:tcPr>
          <w:p>
            <w:pPr>
              <w:spacing w:after="20"/>
            </w:pPr>
            <w:r/>
            <w:r>
              <w:rPr>
                <w:sz w:val="19"/>
              </w:rPr>
              <w:t>PRODUCT CAPABILITY</w:t>
            </w:r>
          </w:p>
        </w:tc>
      </w:tr>
      <w:tr>
        <w:tc>
          <w:tcPr>
            <w:tcW w:type="dxa" w:w="2880"/>
          </w:tcPr>
          <w:p>
            <w:pPr>
              <w:spacing w:after="20"/>
            </w:pPr>
            <w:r/>
            <w:r>
              <w:rPr>
                <w:sz w:val="19"/>
              </w:rPr>
              <w:t>12</w:t>
            </w:r>
          </w:p>
        </w:tc>
        <w:tc>
          <w:tcPr>
            <w:tcW w:type="dxa" w:w="2880"/>
          </w:tcPr>
          <w:p>
            <w:pPr>
              <w:spacing w:after="20"/>
            </w:pPr>
            <w:r/>
            <w:r>
              <w:rPr>
                <w:sz w:val="19"/>
              </w:rPr>
              <w:t>LSS provides laboratory workflows (LIMS-lite): sample management, test methods, result recording, OOS/OOT investigation, COA generation, stability studies, environmental monitoring.</w:t>
            </w:r>
          </w:p>
        </w:tc>
        <w:tc>
          <w:tcPr>
            <w:tcW w:type="dxa" w:w="2880"/>
          </w:tcPr>
          <w:p>
            <w:pPr>
              <w:spacing w:after="20"/>
            </w:pPr>
            <w:r/>
            <w:r>
              <w:rPr>
                <w:sz w:val="19"/>
              </w:rPr>
              <w:t>PRODUCT CAPABILITY (positioned as "LIMS-lite" per architecture doc)</w:t>
            </w:r>
          </w:p>
        </w:tc>
      </w:tr>
      <w:tr>
        <w:tc>
          <w:tcPr>
            <w:tcW w:type="dxa" w:w="2880"/>
          </w:tcPr>
          <w:p>
            <w:pPr>
              <w:spacing w:after="20"/>
            </w:pPr>
            <w:r/>
            <w:r>
              <w:rPr>
                <w:sz w:val="19"/>
              </w:rPr>
              <w:t>13</w:t>
            </w:r>
          </w:p>
        </w:tc>
        <w:tc>
          <w:tcPr>
            <w:tcW w:type="dxa" w:w="2880"/>
          </w:tcPr>
          <w:p>
            <w:pPr>
              <w:spacing w:after="20"/>
            </w:pPr>
            <w:r/>
            <w:r>
              <w:rPr>
                <w:sz w:val="19"/>
              </w:rPr>
              <w:t>LSS includes sector modules for cosmetics (PIF, safety assessment, ISO 22716 process support) and medical devices (UDI/GS1, ISO 14971 risk, EU MDR process support). CPNP notification is planned product surface.</w:t>
            </w:r>
          </w:p>
        </w:tc>
        <w:tc>
          <w:tcPr>
            <w:tcW w:type="dxa" w:w="2880"/>
          </w:tcPr>
          <w:p>
            <w:pPr>
              <w:spacing w:after="20"/>
            </w:pPr>
            <w:r/>
            <w:r>
              <w:rPr>
                <w:sz w:val="19"/>
              </w:rPr>
              <w:t xml:space="preserve">PRODUCT CAPABILITY — CPNP </w:t>
            </w:r>
            <w:r>
              <w:rPr>
                <w:rFonts w:ascii="Consolas" w:hAnsi="Consolas"/>
                <w:sz w:val="19"/>
              </w:rPr>
              <w:t>[VERIFY CAPABILITY]</w:t>
            </w:r>
            <w:r>
              <w:rPr>
                <w:sz w:val="19"/>
              </w:rPr>
              <w:t xml:space="preserve"> (catalog-confirmed; spec confirms PIF/CPSR)</w:t>
            </w:r>
          </w:p>
        </w:tc>
      </w:tr>
      <w:tr>
        <w:tc>
          <w:tcPr>
            <w:tcW w:type="dxa" w:w="2880"/>
          </w:tcPr>
          <w:p>
            <w:pPr>
              <w:spacing w:after="20"/>
            </w:pPr>
            <w:r/>
            <w:r>
              <w:rPr>
                <w:sz w:val="19"/>
              </w:rPr>
              <w:t>14</w:t>
            </w:r>
          </w:p>
        </w:tc>
        <w:tc>
          <w:tcPr>
            <w:tcW w:type="dxa" w:w="2880"/>
          </w:tcPr>
          <w:p>
            <w:pPr>
              <w:spacing w:after="20"/>
            </w:pPr>
            <w:r/>
            <w:r>
              <w:rPr>
                <w:sz w:val="19"/>
              </w:rPr>
              <w:t>LSS is implemented via a structured, gated methodology: 105 discrete steps across 9 sequential phases with formal PASS/FAIL gates, including validation artifacts (Validation Master Plan, IQ/OQ/PQ protocol management, requirements traceability).</w:t>
            </w:r>
          </w:p>
        </w:tc>
        <w:tc>
          <w:tcPr>
            <w:tcW w:type="dxa" w:w="2880"/>
          </w:tcPr>
          <w:p>
            <w:pPr>
              <w:spacing w:after="20"/>
            </w:pPr>
            <w:r/>
            <w:r>
              <w:rPr>
                <w:sz w:val="19"/>
              </w:rPr>
              <w:t xml:space="preserve">FACT (documented methodology) — conditionality: "documented; conditional pending live execution"; timelines are functional-specification estimates </w:t>
            </w:r>
            <w:r>
              <w:rPr>
                <w:rFonts w:ascii="Consolas" w:hAnsi="Consolas"/>
                <w:sz w:val="19"/>
              </w:rPr>
              <w:t>[REQUIRES PRODUCT VERIFICATION]</w:t>
            </w:r>
          </w:p>
        </w:tc>
      </w:tr>
      <w:tr>
        <w:tc>
          <w:tcPr>
            <w:tcW w:type="dxa" w:w="2880"/>
          </w:tcPr>
          <w:p>
            <w:pPr>
              <w:spacing w:after="20"/>
            </w:pPr>
            <w:r/>
            <w:r>
              <w:rPr>
                <w:sz w:val="19"/>
              </w:rPr>
              <w:t>15</w:t>
            </w:r>
          </w:p>
        </w:tc>
        <w:tc>
          <w:tcPr>
            <w:tcW w:type="dxa" w:w="2880"/>
          </w:tcPr>
          <w:p>
            <w:pPr>
              <w:spacing w:after="20"/>
            </w:pPr>
            <w:r/>
            <w:r>
              <w:rPr>
                <w:sz w:val="19"/>
              </w:rPr>
              <w:t>LSS is delivered as a set of specialized modules on the Odoo 19 Community foundation.</w:t>
            </w:r>
          </w:p>
        </w:tc>
        <w:tc>
          <w:tcPr>
            <w:tcW w:type="dxa" w:w="2880"/>
          </w:tcPr>
          <w:p>
            <w:pPr>
              <w:spacing w:after="20"/>
            </w:pPr>
            <w:r/>
            <w:r>
              <w:rPr>
                <w:sz w:val="19"/>
              </w:rPr>
              <w:t xml:space="preserve">FACT — module availability and packaging: </w:t>
            </w:r>
            <w:r>
              <w:rPr>
                <w:rFonts w:ascii="Consolas" w:hAnsi="Consolas"/>
                <w:sz w:val="19"/>
              </w:rPr>
              <w:t>[REQUIRES PRODUCT VERIFICATION]</w:t>
            </w:r>
            <w:r>
              <w:rPr>
                <w:sz w:val="19"/>
              </w:rPr>
              <w:t xml:space="preserve"> (do not state "available now" / "in production")</w:t>
            </w:r>
          </w:p>
        </w:tc>
      </w:tr>
      <w:tr>
        <w:tc>
          <w:tcPr>
            <w:tcW w:type="dxa" w:w="2880"/>
          </w:tcPr>
          <w:p>
            <w:pPr>
              <w:spacing w:after="20"/>
            </w:pPr>
            <w:r/>
            <w:r>
              <w:rPr>
                <w:sz w:val="19"/>
              </w:rPr>
              <w:t>16</w:t>
            </w:r>
          </w:p>
        </w:tc>
        <w:tc>
          <w:tcPr>
            <w:tcW w:type="dxa" w:w="2880"/>
          </w:tcPr>
          <w:p>
            <w:pPr>
              <w:spacing w:after="20"/>
            </w:pPr>
            <w:r/>
            <w:r>
              <w:rPr>
                <w:sz w:val="19"/>
              </w:rPr>
              <w:t>Marketing: By connecting operations and quality on one data model, LSS is designed to reduce the reconciliation and re-keying effort that separate systems create — so evidence can be produced faster when questions are asked.</w:t>
            </w:r>
          </w:p>
        </w:tc>
        <w:tc>
          <w:tcPr>
            <w:tcW w:type="dxa" w:w="2880"/>
          </w:tcPr>
          <w:p>
            <w:pPr>
              <w:spacing w:after="20"/>
            </w:pPr>
            <w:r/>
            <w:r>
              <w:rPr>
                <w:sz w:val="19"/>
              </w:rPr>
              <w:t>MARKETING CLAIM (qualitative; grounded in the integration capability; no figures asserted)</w:t>
            </w:r>
          </w:p>
        </w:tc>
      </w:tr>
      <w:tr>
        <w:tc>
          <w:tcPr>
            <w:tcW w:type="dxa" w:w="2880"/>
          </w:tcPr>
          <w:p>
            <w:pPr>
              <w:spacing w:after="20"/>
            </w:pPr>
            <w:r/>
            <w:r>
              <w:rPr>
                <w:sz w:val="19"/>
              </w:rPr>
              <w:t>17</w:t>
            </w:r>
          </w:p>
        </w:tc>
        <w:tc>
          <w:tcPr>
            <w:tcW w:type="dxa" w:w="2880"/>
          </w:tcPr>
          <w:p>
            <w:pPr>
              <w:spacing w:after="20"/>
            </w:pPr>
            <w:r/>
            <w:r>
              <w:rPr>
                <w:sz w:val="19"/>
              </w:rPr>
              <w:t>Marketing: LSS's enforced workflows and immutable records are designed to strengthen data integrity and support faster, more defensible investigations.</w:t>
            </w:r>
          </w:p>
        </w:tc>
        <w:tc>
          <w:tcPr>
            <w:tcW w:type="dxa" w:w="2880"/>
          </w:tcPr>
          <w:p>
            <w:pPr>
              <w:spacing w:after="20"/>
            </w:pPr>
            <w:r/>
            <w:r>
              <w:rPr>
                <w:sz w:val="19"/>
              </w:rPr>
              <w:t>MARKETING CLAIM (qualitative; grounded in state-machine + audit-trail capabilities)</w:t>
            </w:r>
          </w:p>
        </w:tc>
      </w:tr>
      <w:tr>
        <w:tc>
          <w:tcPr>
            <w:tcW w:type="dxa" w:w="2880"/>
          </w:tcPr>
          <w:p>
            <w:pPr>
              <w:spacing w:after="20"/>
            </w:pPr>
            <w:r/>
            <w:r>
              <w:rPr>
                <w:sz w:val="19"/>
              </w:rPr>
              <w:t>18</w:t>
            </w:r>
          </w:p>
        </w:tc>
        <w:tc>
          <w:tcPr>
            <w:tcW w:type="dxa" w:w="2880"/>
          </w:tcPr>
          <w:p>
            <w:pPr>
              <w:spacing w:after="20"/>
            </w:pPr>
            <w:r/>
            <w:r>
              <w:rPr>
                <w:sz w:val="19"/>
              </w:rPr>
              <w:t>Marketing: The open-source foundation gives organizations visibility into, and control of, their own platform — no proprietary black box.</w:t>
            </w:r>
          </w:p>
        </w:tc>
        <w:tc>
          <w:tcPr>
            <w:tcW w:type="dxa" w:w="2880"/>
          </w:tcPr>
          <w:p>
            <w:pPr>
              <w:spacing w:after="20"/>
            </w:pPr>
            <w:r/>
            <w:r>
              <w:rPr>
                <w:sz w:val="19"/>
              </w:rPr>
              <w:t>MARKETING CLAIM (grounded in FACT 2; no licensing/commercial claims beyond the confirmed license facts)</w:t>
            </w:r>
          </w:p>
        </w:tc>
      </w:tr>
    </w:tbl>
    <w:p>
      <w:pPr>
        <w:spacing w:after="40"/>
      </w:pPr>
    </w:p>
    <w:p>
      <w:pPr>
        <w:spacing w:before="240" w:after="120"/>
      </w:pPr>
      <w:r>
        <w:rPr>
          <w:rFonts w:ascii="Calibri" w:hAnsi="Calibri"/>
          <w:b/>
          <w:color w:val="0E3A5D"/>
          <w:sz w:val="34"/>
        </w:rPr>
        <w:t>20. Claims That Must NOT Be Made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E3A5D"/>
          </w:tcPr>
          <w:p>
            <w:pPr>
              <w:spacing w:after="20"/>
            </w:pPr>
            <w:r>
              <w:rPr>
                <w:color w:val="FFFFFF"/>
              </w:rPr>
            </w:r>
            <w:r>
              <w:rPr>
                <w:b/>
                <w:color w:val="FFFFFF"/>
                <w:sz w:val="19"/>
              </w:rPr>
              <w:t>#</w:t>
            </w:r>
          </w:p>
        </w:tc>
        <w:tc>
          <w:tcPr>
            <w:tcW w:type="dxa" w:w="2160"/>
            <w:shd w:val="clear" w:color="auto" w:fill="0E3A5D"/>
          </w:tcPr>
          <w:p>
            <w:pPr>
              <w:spacing w:after="20"/>
            </w:pPr>
            <w:r>
              <w:rPr>
                <w:color w:val="FFFFFF"/>
              </w:rPr>
            </w:r>
            <w:r>
              <w:rPr>
                <w:b/>
                <w:color w:val="FFFFFF"/>
                <w:sz w:val="19"/>
              </w:rPr>
              <w:t>Prohibited claim / phrasing</w:t>
            </w:r>
          </w:p>
        </w:tc>
        <w:tc>
          <w:tcPr>
            <w:tcW w:type="dxa" w:w="2160"/>
            <w:shd w:val="clear" w:color="auto" w:fill="0E3A5D"/>
          </w:tcPr>
          <w:p>
            <w:pPr>
              <w:spacing w:after="20"/>
            </w:pPr>
            <w:r>
              <w:rPr>
                <w:color w:val="FFFFFF"/>
              </w:rPr>
            </w:r>
            <w:r>
              <w:rPr>
                <w:b/>
                <w:color w:val="FFFFFF"/>
                <w:sz w:val="19"/>
              </w:rPr>
              <w:t>Why it is prohibited</w:t>
            </w:r>
          </w:p>
        </w:tc>
        <w:tc>
          <w:tcPr>
            <w:tcW w:type="dxa" w:w="2160"/>
            <w:shd w:val="clear" w:color="auto" w:fill="0E3A5D"/>
          </w:tcPr>
          <w:p>
            <w:pPr>
              <w:spacing w:after="20"/>
            </w:pPr>
            <w:r>
              <w:rPr>
                <w:color w:val="FFFFFF"/>
              </w:rPr>
            </w:r>
            <w:r>
              <w:rPr>
                <w:b/>
                <w:color w:val="FFFFFF"/>
                <w:sz w:val="19"/>
              </w:rPr>
              <w:t>Safe alternative</w:t>
            </w:r>
          </w:p>
        </w:tc>
      </w:tr>
      <w:tr>
        <w:tc>
          <w:tcPr>
            <w:tcW w:type="dxa" w:w="2160"/>
          </w:tcPr>
          <w:p>
            <w:pPr>
              <w:spacing w:after="20"/>
            </w:pPr>
            <w:r/>
            <w:r>
              <w:rPr>
                <w:sz w:val="19"/>
              </w:rPr>
              <w:t>1</w:t>
            </w:r>
          </w:p>
        </w:tc>
        <w:tc>
          <w:tcPr>
            <w:tcW w:type="dxa" w:w="2160"/>
          </w:tcPr>
          <w:p>
            <w:pPr>
              <w:spacing w:after="20"/>
            </w:pPr>
            <w:r/>
            <w:r>
              <w:rPr>
                <w:sz w:val="19"/>
              </w:rPr>
              <w:t>"Odoo for pharma", "an Odoo add-on", "Odoo with extra modules"</w:t>
            </w:r>
          </w:p>
        </w:tc>
        <w:tc>
          <w:tcPr>
            <w:tcW w:type="dxa" w:w="2160"/>
          </w:tcPr>
          <w:p>
            <w:pPr>
              <w:spacing w:after="20"/>
            </w:pPr>
            <w:r/>
            <w:r>
              <w:rPr>
                <w:sz w:val="19"/>
              </w:rPr>
              <w:t>Ground rule: LSS is marketed as its own product; Odoo appears only as technological foundation</w:t>
            </w:r>
          </w:p>
        </w:tc>
        <w:tc>
          <w:tcPr>
            <w:tcW w:type="dxa" w:w="2160"/>
          </w:tcPr>
          <w:p>
            <w:pPr>
              <w:spacing w:after="20"/>
            </w:pPr>
            <w:r/>
            <w:r>
              <w:rPr>
                <w:sz w:val="19"/>
              </w:rPr>
              <w:t>"LSS is built on a proven open-source ERP foundation (Odoo 19 Community Edition)" — in technology/architecture contexts only</w:t>
            </w:r>
          </w:p>
        </w:tc>
      </w:tr>
      <w:tr>
        <w:tc>
          <w:tcPr>
            <w:tcW w:type="dxa" w:w="2160"/>
          </w:tcPr>
          <w:p>
            <w:pPr>
              <w:spacing w:after="20"/>
            </w:pPr>
            <w:r/>
            <w:r>
              <w:rPr>
                <w:sz w:val="19"/>
              </w:rPr>
              <w:t>2</w:t>
            </w:r>
          </w:p>
        </w:tc>
        <w:tc>
          <w:tcPr>
            <w:tcW w:type="dxa" w:w="2160"/>
          </w:tcPr>
          <w:p>
            <w:pPr>
              <w:spacing w:after="20"/>
            </w:pPr>
            <w:r/>
            <w:r>
              <w:rPr>
                <w:sz w:val="19"/>
              </w:rPr>
              <w:t>"Makes you GMP/FDA/ANPP/ISO/21 CFR Part 11 compliant", "100% compliant", "guaranteed compliance", "FDA approved", "GMP certified"</w:t>
            </w:r>
          </w:p>
        </w:tc>
        <w:tc>
          <w:tcPr>
            <w:tcW w:type="dxa" w:w="2160"/>
          </w:tcPr>
          <w:p>
            <w:pPr>
              <w:spacing w:after="20"/>
            </w:pPr>
            <w:r/>
            <w:r>
              <w:rPr>
                <w:sz w:val="19"/>
              </w:rPr>
              <w:t>Compliance is a property of the organization, not of software</w:t>
            </w:r>
          </w:p>
        </w:tc>
        <w:tc>
          <w:tcPr>
            <w:tcW w:type="dxa" w:w="2160"/>
          </w:tcPr>
          <w:p>
            <w:pPr>
              <w:spacing w:after="20"/>
            </w:pPr>
            <w:r/>
            <w:r>
              <w:rPr>
                <w:sz w:val="19"/>
              </w:rPr>
              <w:t>"Designed to support implementation of processes aligned with [framework]" / "provides controls that can support your compliance program"</w:t>
            </w:r>
          </w:p>
        </w:tc>
      </w:tr>
      <w:tr>
        <w:tc>
          <w:tcPr>
            <w:tcW w:type="dxa" w:w="2160"/>
          </w:tcPr>
          <w:p>
            <w:pPr>
              <w:spacing w:after="20"/>
            </w:pPr>
            <w:r/>
            <w:r>
              <w:rPr>
                <w:sz w:val="19"/>
              </w:rPr>
              <w:t>3</w:t>
            </w:r>
          </w:p>
        </w:tc>
        <w:tc>
          <w:tcPr>
            <w:tcW w:type="dxa" w:w="2160"/>
          </w:tcPr>
          <w:p>
            <w:pPr>
              <w:spacing w:after="20"/>
            </w:pPr>
            <w:r/>
            <w:r>
              <w:rPr>
                <w:sz w:val="19"/>
              </w:rPr>
              <w:t>"Inspection-ready", "inspection-proof", "audit-proof"</w:t>
            </w:r>
          </w:p>
        </w:tc>
        <w:tc>
          <w:tcPr>
            <w:tcW w:type="dxa" w:w="2160"/>
          </w:tcPr>
          <w:p>
            <w:pPr>
              <w:spacing w:after="20"/>
            </w:pPr>
            <w:r/>
            <w:r>
              <w:rPr>
                <w:sz w:val="19"/>
              </w:rPr>
              <w:t>No inspection-readiness claim is made anywhere in the source set</w:t>
            </w:r>
          </w:p>
        </w:tc>
        <w:tc>
          <w:tcPr>
            <w:tcW w:type="dxa" w:w="2160"/>
          </w:tcPr>
          <w:p>
            <w:pPr>
              <w:spacing w:after="20"/>
            </w:pPr>
            <w:r/>
            <w:r>
              <w:rPr>
                <w:sz w:val="19"/>
              </w:rPr>
              <w:t>"Helps you organize the evidence your inspections and investigations require"</w:t>
            </w:r>
          </w:p>
        </w:tc>
      </w:tr>
      <w:tr>
        <w:tc>
          <w:tcPr>
            <w:tcW w:type="dxa" w:w="2160"/>
          </w:tcPr>
          <w:p>
            <w:pPr>
              <w:spacing w:after="20"/>
            </w:pPr>
            <w:r/>
            <w:r>
              <w:rPr>
                <w:sz w:val="19"/>
              </w:rPr>
              <w:t>4</w:t>
            </w:r>
          </w:p>
        </w:tc>
        <w:tc>
          <w:tcPr>
            <w:tcW w:type="dxa" w:w="2160"/>
          </w:tcPr>
          <w:p>
            <w:pPr>
              <w:spacing w:after="20"/>
            </w:pPr>
            <w:r/>
            <w:r>
              <w:rPr>
                <w:sz w:val="19"/>
              </w:rPr>
              <w:t>"The world's leading…", "the only…", "best ERP", "market-leading"</w:t>
            </w:r>
          </w:p>
        </w:tc>
        <w:tc>
          <w:tcPr>
            <w:tcW w:type="dxa" w:w="2160"/>
          </w:tcPr>
          <w:p>
            <w:pPr>
              <w:spacing w:after="20"/>
            </w:pPr>
            <w:r/>
            <w:r>
              <w:rPr>
                <w:sz w:val="19"/>
              </w:rPr>
              <w:t>No market position data exists; superlatives are prohibited</w:t>
            </w:r>
          </w:p>
        </w:tc>
        <w:tc>
          <w:tcPr>
            <w:tcW w:type="dxa" w:w="2160"/>
          </w:tcPr>
          <w:p>
            <w:pPr>
              <w:spacing w:after="20"/>
            </w:pPr>
            <w:r/>
            <w:r>
              <w:rPr>
                <w:sz w:val="19"/>
              </w:rPr>
              <w:t>State the factual differentiation: "the integrated, life-sciences-specialized option"</w:t>
            </w:r>
          </w:p>
        </w:tc>
      </w:tr>
      <w:tr>
        <w:tc>
          <w:tcPr>
            <w:tcW w:type="dxa" w:w="2160"/>
          </w:tcPr>
          <w:p>
            <w:pPr>
              <w:spacing w:after="20"/>
            </w:pPr>
            <w:r/>
            <w:r>
              <w:rPr>
                <w:sz w:val="19"/>
              </w:rPr>
              <w:t>5</w:t>
            </w:r>
          </w:p>
        </w:tc>
        <w:tc>
          <w:tcPr>
            <w:tcW w:type="dxa" w:w="2160"/>
          </w:tcPr>
          <w:p>
            <w:pPr>
              <w:spacing w:after="20"/>
            </w:pPr>
            <w:r/>
            <w:r>
              <w:rPr>
                <w:sz w:val="19"/>
              </w:rPr>
              <w:t>"Available now", "in production", "deployed at customers", "installed at…"</w:t>
            </w:r>
          </w:p>
        </w:tc>
        <w:tc>
          <w:tcPr>
            <w:tcW w:type="dxa" w:w="2160"/>
          </w:tcPr>
          <w:p>
            <w:pPr>
              <w:spacing w:after="20"/>
            </w:pPr>
            <w:r/>
            <w:r>
              <w:rPr>
                <w:sz w:val="19"/>
              </w:rPr>
              <w:t>Custom modules are documented as architectural recommendations requiring custom development; no live configuration is confirmed</w:t>
            </w:r>
          </w:p>
        </w:tc>
        <w:tc>
          <w:tcPr>
            <w:tcW w:type="dxa" w:w="2160"/>
          </w:tcPr>
          <w:p>
            <w:pPr>
              <w:spacing w:after="20"/>
            </w:pPr>
            <w:r/>
            <w:r>
              <w:rPr>
                <w:sz w:val="19"/>
              </w:rPr>
              <w:t>"LSS is delivered as a set of specialized modules on the Odoo 19 Community foundation; module availability and packaging [REQUIRES PRODUCT VERIFICATION]"</w:t>
            </w:r>
          </w:p>
        </w:tc>
      </w:tr>
      <w:tr>
        <w:tc>
          <w:tcPr>
            <w:tcW w:type="dxa" w:w="2160"/>
          </w:tcPr>
          <w:p>
            <w:pPr>
              <w:spacing w:after="20"/>
            </w:pPr>
            <w:r/>
            <w:r>
              <w:rPr>
                <w:sz w:val="19"/>
              </w:rPr>
              <w:t>6</w:t>
            </w:r>
          </w:p>
        </w:tc>
        <w:tc>
          <w:tcPr>
            <w:tcW w:type="dxa" w:w="2160"/>
          </w:tcPr>
          <w:p>
            <w:pPr>
              <w:spacing w:after="20"/>
            </w:pPr>
            <w:r/>
            <w:r>
              <w:rPr>
                <w:sz w:val="19"/>
              </w:rPr>
              <w:t>Customer names, logos, case studies, testimonials, deployment counts</w:t>
            </w:r>
          </w:p>
        </w:tc>
        <w:tc>
          <w:tcPr>
            <w:tcW w:type="dxa" w:w="2160"/>
          </w:tcPr>
          <w:p>
            <w:pPr>
              <w:spacing w:after="20"/>
            </w:pPr>
            <w:r/>
            <w:r>
              <w:rPr>
                <w:sz w:val="19"/>
              </w:rPr>
              <w:t>No customer data exists in any source</w:t>
            </w:r>
          </w:p>
        </w:tc>
        <w:tc>
          <w:tcPr>
            <w:tcW w:type="dxa" w:w="2160"/>
          </w:tcPr>
          <w:p>
            <w:pPr>
              <w:spacing w:after="20"/>
            </w:pPr>
            <w:r/>
            <w:r>
              <w:rPr>
                <w:sz w:val="19"/>
              </w:rPr>
              <w:t xml:space="preserve">Use </w:t>
            </w:r>
            <w:r>
              <w:rPr>
                <w:rFonts w:ascii="Consolas" w:hAnsi="Consolas"/>
                <w:sz w:val="19"/>
              </w:rPr>
              <w:t>[REQUIRES CUSTOMER DATA]</w:t>
            </w:r>
            <w:r>
              <w:rPr>
                <w:sz w:val="19"/>
              </w:rPr>
              <w:t xml:space="preserve"> placeholders in customer-success templates</w:t>
            </w:r>
          </w:p>
        </w:tc>
      </w:tr>
      <w:tr>
        <w:tc>
          <w:tcPr>
            <w:tcW w:type="dxa" w:w="2160"/>
          </w:tcPr>
          <w:p>
            <w:pPr>
              <w:spacing w:after="20"/>
            </w:pPr>
            <w:r/>
            <w:r>
              <w:rPr>
                <w:sz w:val="19"/>
              </w:rPr>
              <w:t>7</w:t>
            </w:r>
          </w:p>
        </w:tc>
        <w:tc>
          <w:tcPr>
            <w:tcW w:type="dxa" w:w="2160"/>
          </w:tcPr>
          <w:p>
            <w:pPr>
              <w:spacing w:after="20"/>
            </w:pPr>
            <w:r/>
            <w:r>
              <w:rPr>
                <w:sz w:val="19"/>
              </w:rPr>
              <w:t>Pricing, editions, subscription tiers, ROI figures</w:t>
            </w:r>
          </w:p>
        </w:tc>
        <w:tc>
          <w:tcPr>
            <w:tcW w:type="dxa" w:w="2160"/>
          </w:tcPr>
          <w:p>
            <w:pPr>
              <w:spacing w:after="20"/>
            </w:pPr>
            <w:r/>
            <w:r>
              <w:rPr>
                <w:sz w:val="19"/>
              </w:rPr>
              <w:t>No pricing or packaging exists; EA performance targets are aspirational program objectives, not product results</w:t>
            </w:r>
          </w:p>
        </w:tc>
        <w:tc>
          <w:tcPr>
            <w:tcW w:type="dxa" w:w="2160"/>
          </w:tcPr>
          <w:p>
            <w:pPr>
              <w:spacing w:after="20"/>
            </w:pPr>
            <w:r/>
            <w:r>
              <w:rPr>
                <w:sz w:val="19"/>
              </w:rPr>
              <w:t xml:space="preserve">Use </w:t>
            </w:r>
            <w:r>
              <w:rPr>
                <w:rFonts w:ascii="Consolas" w:hAnsi="Consolas"/>
                <w:sz w:val="19"/>
              </w:rPr>
              <w:t>[REQUIRES PRODUCT VERIFICATION]</w:t>
            </w:r>
            <w:r>
              <w:rPr>
                <w:sz w:val="19"/>
              </w:rPr>
              <w:t>; never cite EA targets (e.g., "40% faster", "150% ROI") as product capabilities</w:t>
            </w:r>
          </w:p>
        </w:tc>
      </w:tr>
      <w:tr>
        <w:tc>
          <w:tcPr>
            <w:tcW w:type="dxa" w:w="2160"/>
          </w:tcPr>
          <w:p>
            <w:pPr>
              <w:spacing w:after="20"/>
            </w:pPr>
            <w:r/>
            <w:r>
              <w:rPr>
                <w:sz w:val="19"/>
              </w:rPr>
              <w:t>8</w:t>
            </w:r>
          </w:p>
        </w:tc>
        <w:tc>
          <w:tcPr>
            <w:tcW w:type="dxa" w:w="2160"/>
          </w:tcPr>
          <w:p>
            <w:pPr>
              <w:spacing w:after="20"/>
            </w:pPr>
            <w:r/>
            <w:r>
              <w:rPr>
                <w:sz w:val="19"/>
              </w:rPr>
              <w:t>"Pharmacovigilance module available" (unqualified)</w:t>
            </w:r>
          </w:p>
        </w:tc>
        <w:tc>
          <w:tcPr>
            <w:tcW w:type="dxa" w:w="2160"/>
          </w:tcPr>
          <w:p>
            <w:pPr>
              <w:spacing w:after="20"/>
            </w:pPr>
            <w:r/>
            <w:r>
              <w:rPr>
                <w:sz w:val="19"/>
              </w:rPr>
              <w:t>Catalog-confirmed module (LS Pharmacovigilance) but not confirmed in spec documents</w:t>
            </w:r>
          </w:p>
        </w:tc>
        <w:tc>
          <w:tcPr>
            <w:tcW w:type="dxa" w:w="2160"/>
          </w:tcPr>
          <w:p>
            <w:pPr>
              <w:spacing w:after="20"/>
            </w:pPr>
            <w:r/>
            <w:r>
              <w:rPr>
                <w:sz w:val="19"/>
              </w:rPr>
              <w:t>"The module catalog includes LS Pharmacovigilance as planned product surface [VERIFY CAPABILITY]"</w:t>
            </w:r>
          </w:p>
        </w:tc>
      </w:tr>
      <w:tr>
        <w:tc>
          <w:tcPr>
            <w:tcW w:type="dxa" w:w="2160"/>
          </w:tcPr>
          <w:p>
            <w:pPr>
              <w:spacing w:after="20"/>
            </w:pPr>
            <w:r/>
            <w:r>
              <w:rPr>
                <w:sz w:val="19"/>
              </w:rPr>
              <w:t>9</w:t>
            </w:r>
          </w:p>
        </w:tc>
        <w:tc>
          <w:tcPr>
            <w:tcW w:type="dxa" w:w="2160"/>
          </w:tcPr>
          <w:p>
            <w:pPr>
              <w:spacing w:after="20"/>
            </w:pPr>
            <w:r/>
            <w:r>
              <w:rPr>
                <w:sz w:val="19"/>
              </w:rPr>
              <w:t>"CPNP notification included" (unqualified)</w:t>
            </w:r>
          </w:p>
        </w:tc>
        <w:tc>
          <w:tcPr>
            <w:tcW w:type="dxa" w:w="2160"/>
          </w:tcPr>
          <w:p>
            <w:pPr>
              <w:spacing w:after="20"/>
            </w:pPr>
            <w:r/>
            <w:r>
              <w:rPr>
                <w:sz w:val="19"/>
              </w:rPr>
              <w:t>Catalog lists CPNP; spec confirms PIF/CPSR instead</w:t>
            </w:r>
          </w:p>
        </w:tc>
        <w:tc>
          <w:tcPr>
            <w:tcW w:type="dxa" w:w="2160"/>
          </w:tcPr>
          <w:p>
            <w:pPr>
              <w:spacing w:after="20"/>
            </w:pPr>
            <w:r/>
            <w:r>
              <w:rPr>
                <w:sz w:val="19"/>
              </w:rPr>
              <w:t>"PIF and safety assessment process support; CPNP notification as planned surface [VERIFY CAPABILITY]"</w:t>
            </w:r>
          </w:p>
        </w:tc>
      </w:tr>
      <w:tr>
        <w:tc>
          <w:tcPr>
            <w:tcW w:type="dxa" w:w="2160"/>
          </w:tcPr>
          <w:p>
            <w:pPr>
              <w:spacing w:after="20"/>
            </w:pPr>
            <w:r/>
            <w:r>
              <w:rPr>
                <w:sz w:val="19"/>
              </w:rPr>
              <w:t>10</w:t>
            </w:r>
          </w:p>
        </w:tc>
        <w:tc>
          <w:tcPr>
            <w:tcW w:type="dxa" w:w="2160"/>
          </w:tcPr>
          <w:p>
            <w:pPr>
              <w:spacing w:after="20"/>
            </w:pPr>
            <w:r/>
            <w:r>
              <w:rPr>
                <w:sz w:val="19"/>
              </w:rPr>
              <w:t>"GAMP-compliant"</w:t>
            </w:r>
          </w:p>
        </w:tc>
        <w:tc>
          <w:tcPr>
            <w:tcW w:type="dxa" w:w="2160"/>
          </w:tcPr>
          <w:p>
            <w:pPr>
              <w:spacing w:after="20"/>
            </w:pPr>
            <w:r/>
            <w:r>
              <w:rPr>
                <w:sz w:val="19"/>
              </w:rPr>
              <w:t>GAMP 5 is an ISPE methodology, not a regulation</w:t>
            </w:r>
          </w:p>
        </w:tc>
        <w:tc>
          <w:tcPr>
            <w:tcW w:type="dxa" w:w="2160"/>
          </w:tcPr>
          <w:p>
            <w:pPr>
              <w:spacing w:after="20"/>
            </w:pPr>
            <w:r/>
            <w:r>
              <w:rPr>
                <w:sz w:val="19"/>
              </w:rPr>
              <w:t>"Risk-based, validation-aware approach referencing CSV best practices (URS, IQ/OQ/PQ, VMP)"</w:t>
            </w:r>
          </w:p>
        </w:tc>
      </w:tr>
      <w:tr>
        <w:tc>
          <w:tcPr>
            <w:tcW w:type="dxa" w:w="2160"/>
          </w:tcPr>
          <w:p>
            <w:pPr>
              <w:spacing w:after="20"/>
            </w:pPr>
            <w:r/>
            <w:r>
              <w:rPr>
                <w:sz w:val="19"/>
              </w:rPr>
              <w:t>11</w:t>
            </w:r>
          </w:p>
        </w:tc>
        <w:tc>
          <w:tcPr>
            <w:tcW w:type="dxa" w:w="2160"/>
          </w:tcPr>
          <w:p>
            <w:pPr>
              <w:spacing w:after="20"/>
            </w:pPr>
            <w:r/>
            <w:r>
              <w:rPr>
                <w:sz w:val="19"/>
              </w:rPr>
              <w:t>"Full LIMS", "replaces your LIMS"</w:t>
            </w:r>
          </w:p>
        </w:tc>
        <w:tc>
          <w:tcPr>
            <w:tcW w:type="dxa" w:w="2160"/>
          </w:tcPr>
          <w:p>
            <w:pPr>
              <w:spacing w:after="20"/>
            </w:pPr>
            <w:r/>
            <w:r>
              <w:rPr>
                <w:sz w:val="19"/>
              </w:rPr>
              <w:t>The platform is positioned as LIMS-lite, not a full LIMS</w:t>
            </w:r>
          </w:p>
        </w:tc>
        <w:tc>
          <w:tcPr>
            <w:tcW w:type="dxa" w:w="2160"/>
          </w:tcPr>
          <w:p>
            <w:pPr>
              <w:spacing w:after="20"/>
            </w:pPr>
            <w:r/>
            <w:r>
              <w:rPr>
                <w:sz w:val="19"/>
              </w:rPr>
              <w:t>"LIMS-lite laboratory workflows: sample management, test execution, OOS/OOT, COAs, stability"</w:t>
            </w:r>
          </w:p>
        </w:tc>
      </w:tr>
      <w:tr>
        <w:tc>
          <w:tcPr>
            <w:tcW w:type="dxa" w:w="2160"/>
          </w:tcPr>
          <w:p>
            <w:pPr>
              <w:spacing w:after="20"/>
            </w:pPr>
            <w:r/>
            <w:r>
              <w:rPr>
                <w:sz w:val="19"/>
              </w:rPr>
              <w:t>12</w:t>
            </w:r>
          </w:p>
        </w:tc>
        <w:tc>
          <w:tcPr>
            <w:tcW w:type="dxa" w:w="2160"/>
          </w:tcPr>
          <w:p>
            <w:pPr>
              <w:spacing w:after="20"/>
            </w:pPr>
            <w:r/>
            <w:r>
              <w:rPr>
                <w:sz w:val="19"/>
              </w:rPr>
              <w:t>"Certified for ANPP / Algerian BPF conformity"</w:t>
            </w:r>
          </w:p>
        </w:tc>
        <w:tc>
          <w:tcPr>
            <w:tcW w:type="dxa" w:w="2160"/>
          </w:tcPr>
          <w:p>
            <w:pPr>
              <w:spacing w:after="20"/>
            </w:pPr>
            <w:r/>
            <w:r>
              <w:rPr>
                <w:sz w:val="19"/>
              </w:rPr>
              <w:t>Sources name ANPP/BPF by locator only; no conformity claimed</w:t>
            </w:r>
          </w:p>
        </w:tc>
        <w:tc>
          <w:tcPr>
            <w:tcW w:type="dxa" w:w="2160"/>
          </w:tcPr>
          <w:p>
            <w:pPr>
              <w:spacing w:after="20"/>
            </w:pPr>
            <w:r/>
            <w:r>
              <w:rPr>
                <w:sz w:val="19"/>
              </w:rPr>
              <w:t>"Designed to support ANPP-aligned processes [REQUIRES REGULATORY/LEGAL REVIEW]"</w:t>
            </w:r>
          </w:p>
        </w:tc>
      </w:tr>
      <w:tr>
        <w:tc>
          <w:tcPr>
            <w:tcW w:type="dxa" w:w="2160"/>
          </w:tcPr>
          <w:p>
            <w:pPr>
              <w:spacing w:after="20"/>
            </w:pPr>
            <w:r/>
            <w:r>
              <w:rPr>
                <w:sz w:val="19"/>
              </w:rPr>
              <w:t>13</w:t>
            </w:r>
          </w:p>
        </w:tc>
        <w:tc>
          <w:tcPr>
            <w:tcW w:type="dxa" w:w="2160"/>
          </w:tcPr>
          <w:p>
            <w:pPr>
              <w:spacing w:after="20"/>
            </w:pPr>
            <w:r/>
            <w:r>
              <w:rPr>
                <w:sz w:val="19"/>
              </w:rPr>
              <w:t>"Revolutionary / cutting-edge / innovative platform"</w:t>
            </w:r>
          </w:p>
        </w:tc>
        <w:tc>
          <w:tcPr>
            <w:tcW w:type="dxa" w:w="2160"/>
          </w:tcPr>
          <w:p>
            <w:pPr>
              <w:spacing w:after="20"/>
            </w:pPr>
            <w:r/>
            <w:r>
              <w:rPr>
                <w:sz w:val="19"/>
              </w:rPr>
              <w:t>Empty hype prohibited unless evidence-backed</w:t>
            </w:r>
          </w:p>
        </w:tc>
        <w:tc>
          <w:tcPr>
            <w:tcW w:type="dxa" w:w="2160"/>
          </w:tcPr>
          <w:p>
            <w:pPr>
              <w:spacing w:after="20"/>
            </w:pPr>
            <w:r/>
            <w:r>
              <w:rPr>
                <w:sz w:val="19"/>
              </w:rPr>
              <w:t>Describe the specific workflow problem and the capability that addresses it</w:t>
            </w:r>
          </w:p>
        </w:tc>
      </w:tr>
      <w:tr>
        <w:tc>
          <w:tcPr>
            <w:tcW w:type="dxa" w:w="2160"/>
          </w:tcPr>
          <w:p>
            <w:pPr>
              <w:spacing w:after="20"/>
            </w:pPr>
            <w:r/>
            <w:r>
              <w:rPr>
                <w:sz w:val="19"/>
              </w:rPr>
              <w:t>14</w:t>
            </w:r>
          </w:p>
        </w:tc>
        <w:tc>
          <w:tcPr>
            <w:tcW w:type="dxa" w:w="2160"/>
          </w:tcPr>
          <w:p>
            <w:pPr>
              <w:spacing w:after="20"/>
            </w:pPr>
            <w:r/>
            <w:r>
              <w:rPr>
                <w:sz w:val="19"/>
              </w:rPr>
              <w:t>Performance statistics ("reduces deviations by X%", "cuts batch release time by Y days")</w:t>
            </w:r>
          </w:p>
        </w:tc>
        <w:tc>
          <w:tcPr>
            <w:tcW w:type="dxa" w:w="2160"/>
          </w:tcPr>
          <w:p>
            <w:pPr>
              <w:spacing w:after="20"/>
            </w:pPr>
            <w:r/>
            <w:r>
              <w:rPr>
                <w:sz w:val="19"/>
              </w:rPr>
              <w:t>No benchmarks exist; EA targets are unverified aspirational objectives</w:t>
            </w:r>
          </w:p>
        </w:tc>
        <w:tc>
          <w:tcPr>
            <w:tcW w:type="dxa" w:w="2160"/>
          </w:tcPr>
          <w:p>
            <w:pPr>
              <w:spacing w:after="20"/>
            </w:pPr>
            <w:r/>
            <w:r>
              <w:rPr>
                <w:sz w:val="19"/>
              </w:rPr>
              <w:t>Qualitative outcome language: "designed to accelerate investigations by keeping a complete, linked history"</w:t>
            </w:r>
          </w:p>
        </w:tc>
      </w:tr>
    </w:tbl>
    <w:p>
      <w:pPr>
        <w:spacing w:after="40"/>
      </w:pPr>
    </w:p>
    <w:p>
      <w:pPr>
        <w:spacing w:before="240" w:after="120"/>
      </w:pPr>
      <w:r>
        <w:rPr>
          <w:rFonts w:ascii="Calibri" w:hAnsi="Calibri"/>
          <w:b/>
          <w:color w:val="0E3A5D"/>
          <w:sz w:val="34"/>
        </w:rPr>
        <w:t>21. Visual Identity Direction</w:t>
      </w:r>
    </w:p>
    <w:p>
      <w:pPr>
        <w:spacing w:after="120" w:line="276" w:lineRule="auto"/>
      </w:pPr>
      <w:r>
        <w:rPr>
          <w:b/>
          <w:sz w:val="22"/>
        </w:rPr>
        <w:t>Context:</w:t>
      </w:r>
      <w:r>
        <w:rPr>
          <w:sz w:val="22"/>
        </w:rPr>
        <w:t xml:space="preserve"> LSS must look like what it is: enterprise software for pharmaceutical, medical-device, and regulated manufacturing environments, where precision, trust, control, traceability, and regulated-industry expertise are the product. The identity must read "serious, scientific, engineered" — not "startup SaaS."</w:t>
      </w:r>
    </w:p>
    <w:p>
      <w:pPr>
        <w:spacing w:before="160" w:after="80"/>
      </w:pPr>
      <w:r>
        <w:rPr>
          <w:rFonts w:ascii="Calibri" w:hAnsi="Calibri"/>
          <w:b/>
          <w:color w:val="0B6E6E"/>
          <w:sz w:val="28"/>
        </w:rPr>
        <w:t>21.1 Design principles</w:t>
      </w:r>
    </w:p>
    <w:p>
      <w:pPr>
        <w:pStyle w:val="ListNumber"/>
        <w:spacing w:after="40"/>
      </w:pPr>
      <w:r>
        <w:rPr>
          <w:b/>
          <w:sz w:val="22"/>
        </w:rPr>
        <w:t>Precision before decoration.</w:t>
      </w:r>
      <w:r>
        <w:rPr>
          <w:sz w:val="22"/>
        </w:rPr>
        <w:t xml:space="preserve"> Every element earns its place; alignment is exact; nothing floats.</w:t>
      </w:r>
    </w:p>
    <w:p>
      <w:pPr>
        <w:pStyle w:val="ListNumber"/>
        <w:spacing w:after="40"/>
      </w:pPr>
      <w:r>
        <w:rPr>
          <w:b/>
          <w:sz w:val="22"/>
        </w:rPr>
        <w:t>Evidence over ornament.</w:t>
      </w:r>
      <w:r>
        <w:rPr>
          <w:sz w:val="22"/>
        </w:rPr>
        <w:t xml:space="preserve"> Data, records, and structure are the aesthetic — the identity shows the platform's discipline.</w:t>
      </w:r>
    </w:p>
    <w:p>
      <w:pPr>
        <w:pStyle w:val="ListNumber"/>
        <w:spacing w:after="40"/>
      </w:pPr>
      <w:r>
        <w:rPr>
          <w:b/>
          <w:sz w:val="22"/>
        </w:rPr>
        <w:t>Clarity under scrutiny.</w:t>
      </w:r>
      <w:r>
        <w:rPr>
          <w:sz w:val="22"/>
        </w:rPr>
        <w:t xml:space="preserve"> Typography and layout must remain legible at small sizes and under stress (dense tables, dashboards, print).</w:t>
      </w:r>
    </w:p>
    <w:p>
      <w:pPr>
        <w:pStyle w:val="ListNumber"/>
        <w:spacing w:after="40"/>
      </w:pPr>
      <w:r>
        <w:rPr>
          <w:b/>
          <w:sz w:val="22"/>
        </w:rPr>
        <w:t>Restraint.</w:t>
      </w:r>
      <w:r>
        <w:rPr>
          <w:sz w:val="22"/>
        </w:rPr>
        <w:t xml:space="preserve"> One idea per surface; whitespace is a tool, not emptiness.</w:t>
      </w:r>
    </w:p>
    <w:p>
      <w:pPr>
        <w:pStyle w:val="ListNumber"/>
        <w:spacing w:after="40"/>
      </w:pPr>
      <w:r>
        <w:rPr>
          <w:b/>
          <w:sz w:val="22"/>
        </w:rPr>
        <w:t>Consistency as trust.</w:t>
      </w:r>
      <w:r>
        <w:rPr>
          <w:sz w:val="22"/>
        </w:rPr>
        <w:t xml:space="preserve"> A strict grid, a small palette, a disciplined type system — repetition builds confidence.</w:t>
      </w:r>
    </w:p>
    <w:p>
      <w:pPr>
        <w:pStyle w:val="ListNumber"/>
        <w:spacing w:after="40"/>
      </w:pPr>
      <w:r>
        <w:rPr>
          <w:b/>
          <w:sz w:val="22"/>
        </w:rPr>
        <w:t>Accessibility.</w:t>
      </w:r>
      <w:r>
        <w:rPr>
          <w:sz w:val="22"/>
        </w:rPr>
        <w:t xml:space="preserve"> WCAG-minded contrast in all palettes; color never the only carrier of meaning (states also use icons/labels).</w:t>
      </w:r>
    </w:p>
    <w:p>
      <w:pPr>
        <w:spacing w:before="160" w:after="80"/>
      </w:pPr>
      <w:r>
        <w:rPr>
          <w:rFonts w:ascii="Calibri" w:hAnsi="Calibri"/>
          <w:b/>
          <w:color w:val="0B6E6E"/>
          <w:sz w:val="28"/>
        </w:rPr>
        <w:t>21.2 Color palette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E3A5D"/>
          </w:tcPr>
          <w:p>
            <w:pPr>
              <w:spacing w:after="20"/>
            </w:pPr>
            <w:r>
              <w:rPr>
                <w:color w:val="FFFFFF"/>
              </w:rPr>
            </w:r>
            <w:r>
              <w:rPr>
                <w:b/>
                <w:color w:val="FFFFFF"/>
                <w:sz w:val="19"/>
              </w:rPr>
              <w:t>Role</w:t>
            </w:r>
          </w:p>
        </w:tc>
        <w:tc>
          <w:tcPr>
            <w:tcW w:type="dxa" w:w="2160"/>
            <w:shd w:val="clear" w:color="auto" w:fill="0E3A5D"/>
          </w:tcPr>
          <w:p>
            <w:pPr>
              <w:spacing w:after="20"/>
            </w:pPr>
            <w:r>
              <w:rPr>
                <w:color w:val="FFFFFF"/>
              </w:rPr>
            </w:r>
            <w:r>
              <w:rPr>
                <w:b/>
                <w:color w:val="FFFFFF"/>
                <w:sz w:val="19"/>
              </w:rPr>
              <w:t>Color</w:t>
            </w:r>
          </w:p>
        </w:tc>
        <w:tc>
          <w:tcPr>
            <w:tcW w:type="dxa" w:w="2160"/>
            <w:shd w:val="clear" w:color="auto" w:fill="0E3A5D"/>
          </w:tcPr>
          <w:p>
            <w:pPr>
              <w:spacing w:after="20"/>
            </w:pPr>
            <w:r>
              <w:rPr>
                <w:color w:val="FFFFFF"/>
              </w:rPr>
            </w:r>
            <w:r>
              <w:rPr>
                <w:b/>
                <w:color w:val="FFFFFF"/>
                <w:sz w:val="19"/>
              </w:rPr>
              <w:t>Hex</w:t>
            </w:r>
          </w:p>
        </w:tc>
        <w:tc>
          <w:tcPr>
            <w:tcW w:type="dxa" w:w="2160"/>
            <w:shd w:val="clear" w:color="auto" w:fill="0E3A5D"/>
          </w:tcPr>
          <w:p>
            <w:pPr>
              <w:spacing w:after="20"/>
            </w:pPr>
            <w:r>
              <w:rPr>
                <w:color w:val="FFFFFF"/>
              </w:rPr>
            </w:r>
            <w:r>
              <w:rPr>
                <w:b/>
                <w:color w:val="FFFFFF"/>
                <w:sz w:val="19"/>
              </w:rPr>
              <w:t>Rationale</w:t>
            </w:r>
          </w:p>
        </w:tc>
      </w:tr>
      <w:tr>
        <w:tc>
          <w:tcPr>
            <w:tcW w:type="dxa" w:w="2160"/>
          </w:tcPr>
          <w:p>
            <w:pPr>
              <w:spacing w:after="20"/>
            </w:pPr>
            <w:r/>
            <w:r>
              <w:rPr>
                <w:sz w:val="19"/>
              </w:rPr>
              <w:t>Primary</w:t>
            </w:r>
          </w:p>
        </w:tc>
        <w:tc>
          <w:tcPr>
            <w:tcW w:type="dxa" w:w="2160"/>
          </w:tcPr>
          <w:p>
            <w:pPr>
              <w:spacing w:after="20"/>
            </w:pPr>
            <w:r/>
            <w:r>
              <w:rPr>
                <w:sz w:val="19"/>
              </w:rPr>
              <w:t>Deep Midnight Navy</w:t>
            </w:r>
          </w:p>
        </w:tc>
        <w:tc>
          <w:tcPr>
            <w:tcW w:type="dxa" w:w="2160"/>
          </w:tcPr>
          <w:p>
            <w:pPr>
              <w:spacing w:after="20"/>
            </w:pPr>
            <w:r/>
            <w:r>
              <w:rPr>
                <w:rFonts w:ascii="Consolas" w:hAnsi="Consolas"/>
                <w:sz w:val="19"/>
              </w:rPr>
              <w:t>#0C2E4A</w:t>
            </w:r>
          </w:p>
        </w:tc>
        <w:tc>
          <w:tcPr>
            <w:tcW w:type="dxa" w:w="2160"/>
          </w:tcPr>
          <w:p>
            <w:pPr>
              <w:spacing w:after="20"/>
            </w:pPr>
            <w:r/>
            <w:r>
              <w:rPr>
                <w:sz w:val="19"/>
              </w:rPr>
              <w:t>Authority, control, and technical depth; the "enterprise" anchor. Avoids generic SaaS indigo.</w:t>
            </w:r>
          </w:p>
        </w:tc>
      </w:tr>
      <w:tr>
        <w:tc>
          <w:tcPr>
            <w:tcW w:type="dxa" w:w="2160"/>
          </w:tcPr>
          <w:p>
            <w:pPr>
              <w:spacing w:after="20"/>
            </w:pPr>
            <w:r/>
            <w:r>
              <w:rPr>
                <w:sz w:val="19"/>
              </w:rPr>
              <w:t>Secondary</w:t>
            </w:r>
          </w:p>
        </w:tc>
        <w:tc>
          <w:tcPr>
            <w:tcW w:type="dxa" w:w="2160"/>
          </w:tcPr>
          <w:p>
            <w:pPr>
              <w:spacing w:after="20"/>
            </w:pPr>
            <w:r/>
            <w:r>
              <w:rPr>
                <w:sz w:val="19"/>
              </w:rPr>
              <w:t>Steel Slate Blue</w:t>
            </w:r>
          </w:p>
        </w:tc>
        <w:tc>
          <w:tcPr>
            <w:tcW w:type="dxa" w:w="2160"/>
          </w:tcPr>
          <w:p>
            <w:pPr>
              <w:spacing w:after="20"/>
            </w:pPr>
            <w:r/>
            <w:r>
              <w:rPr>
                <w:rFonts w:ascii="Consolas" w:hAnsi="Consolas"/>
                <w:sz w:val="19"/>
              </w:rPr>
              <w:t>#3E5C76</w:t>
            </w:r>
          </w:p>
        </w:tc>
        <w:tc>
          <w:tcPr>
            <w:tcW w:type="dxa" w:w="2160"/>
          </w:tcPr>
          <w:p>
            <w:pPr>
              <w:spacing w:after="20"/>
            </w:pPr>
            <w:r/>
            <w:r>
              <w:rPr>
                <w:sz w:val="19"/>
              </w:rPr>
              <w:t>Calm, professional secondary; supports hierarchy without competing.</w:t>
            </w:r>
          </w:p>
        </w:tc>
      </w:tr>
      <w:tr>
        <w:tc>
          <w:tcPr>
            <w:tcW w:type="dxa" w:w="2160"/>
          </w:tcPr>
          <w:p>
            <w:pPr>
              <w:spacing w:after="20"/>
            </w:pPr>
            <w:r/>
            <w:r>
              <w:rPr>
                <w:sz w:val="19"/>
              </w:rPr>
              <w:t>Secondary</w:t>
            </w:r>
          </w:p>
        </w:tc>
        <w:tc>
          <w:tcPr>
            <w:tcW w:type="dxa" w:w="2160"/>
          </w:tcPr>
          <w:p>
            <w:pPr>
              <w:spacing w:after="20"/>
            </w:pPr>
            <w:r/>
            <w:r>
              <w:rPr>
                <w:sz w:val="19"/>
              </w:rPr>
              <w:t>Ice Grey (neutrals)</w:t>
            </w:r>
          </w:p>
        </w:tc>
        <w:tc>
          <w:tcPr>
            <w:tcW w:type="dxa" w:w="2160"/>
          </w:tcPr>
          <w:p>
            <w:pPr>
              <w:spacing w:after="20"/>
            </w:pPr>
            <w:r/>
            <w:r>
              <w:rPr>
                <w:rFonts w:ascii="Consolas" w:hAnsi="Consolas"/>
                <w:sz w:val="19"/>
              </w:rPr>
              <w:t>#F4F6F8</w:t>
            </w:r>
            <w:r>
              <w:rPr>
                <w:sz w:val="19"/>
              </w:rPr>
              <w:t xml:space="preserve"> (surface), </w:t>
            </w:r>
            <w:r>
              <w:rPr>
                <w:rFonts w:ascii="Consolas" w:hAnsi="Consolas"/>
                <w:sz w:val="19"/>
              </w:rPr>
              <w:t>#1E2A35</w:t>
            </w:r>
            <w:r>
              <w:rPr>
                <w:sz w:val="19"/>
              </w:rPr>
              <w:t xml:space="preserve"> (text), </w:t>
            </w:r>
            <w:r>
              <w:rPr>
                <w:rFonts w:ascii="Consolas" w:hAnsi="Consolas"/>
                <w:sz w:val="19"/>
              </w:rPr>
              <w:t>#8A97A3</w:t>
            </w:r>
            <w:r>
              <w:rPr>
                <w:sz w:val="19"/>
              </w:rPr>
              <w:t xml:space="preserve"> (muted)</w:t>
            </w:r>
          </w:p>
        </w:tc>
        <w:tc>
          <w:tcPr>
            <w:tcW w:type="dxa" w:w="2160"/>
          </w:tcPr>
          <w:p>
            <w:pPr>
              <w:spacing w:after="20"/>
            </w:pPr>
            <w:r/>
            <w:r>
              <w:rPr>
                <w:sz w:val="19"/>
              </w:rPr>
              <w:t>Clean, clinical surfaces; document-like reading experience.</w:t>
            </w:r>
          </w:p>
        </w:tc>
      </w:tr>
      <w:tr>
        <w:tc>
          <w:tcPr>
            <w:tcW w:type="dxa" w:w="2160"/>
          </w:tcPr>
          <w:p>
            <w:pPr>
              <w:spacing w:after="20"/>
            </w:pPr>
            <w:r/>
            <w:r>
              <w:rPr>
                <w:sz w:val="19"/>
              </w:rPr>
              <w:t>Accent</w:t>
            </w:r>
          </w:p>
        </w:tc>
        <w:tc>
          <w:tcPr>
            <w:tcW w:type="dxa" w:w="2160"/>
          </w:tcPr>
          <w:p>
            <w:pPr>
              <w:spacing w:after="20"/>
            </w:pPr>
            <w:r/>
            <w:r>
              <w:rPr>
                <w:sz w:val="19"/>
              </w:rPr>
              <w:t>Release Teal</w:t>
            </w:r>
          </w:p>
        </w:tc>
        <w:tc>
          <w:tcPr>
            <w:tcW w:type="dxa" w:w="2160"/>
          </w:tcPr>
          <w:p>
            <w:pPr>
              <w:spacing w:after="20"/>
            </w:pPr>
            <w:r/>
            <w:r>
              <w:rPr>
                <w:rFonts w:ascii="Consolas" w:hAnsi="Consolas"/>
                <w:sz w:val="19"/>
              </w:rPr>
              <w:t>#0E7C7B</w:t>
            </w:r>
          </w:p>
        </w:tc>
        <w:tc>
          <w:tcPr>
            <w:tcW w:type="dxa" w:w="2160"/>
          </w:tcPr>
          <w:p>
            <w:pPr>
              <w:spacing w:after="20"/>
            </w:pPr>
            <w:r/>
            <w:r>
              <w:rPr>
                <w:sz w:val="19"/>
              </w:rPr>
              <w:t>The "quality/release" energy color — green-family without the cliché of bright success-green; used for released/approved states, primary CTAs, and the trace line.</w:t>
            </w:r>
          </w:p>
        </w:tc>
      </w:tr>
      <w:tr>
        <w:tc>
          <w:tcPr>
            <w:tcW w:type="dxa" w:w="2160"/>
          </w:tcPr>
          <w:p>
            <w:pPr>
              <w:spacing w:after="20"/>
            </w:pPr>
            <w:r/>
            <w:r>
              <w:rPr>
                <w:sz w:val="19"/>
              </w:rPr>
              <w:t>Accent</w:t>
            </w:r>
          </w:p>
        </w:tc>
        <w:tc>
          <w:tcPr>
            <w:tcW w:type="dxa" w:w="2160"/>
          </w:tcPr>
          <w:p>
            <w:pPr>
              <w:spacing w:after="20"/>
            </w:pPr>
            <w:r/>
            <w:r>
              <w:rPr>
                <w:sz w:val="19"/>
              </w:rPr>
              <w:t>Data Blue</w:t>
            </w:r>
          </w:p>
        </w:tc>
        <w:tc>
          <w:tcPr>
            <w:tcW w:type="dxa" w:w="2160"/>
          </w:tcPr>
          <w:p>
            <w:pPr>
              <w:spacing w:after="20"/>
            </w:pPr>
            <w:r/>
            <w:r>
              <w:rPr>
                <w:rFonts w:ascii="Consolas" w:hAnsi="Consolas"/>
                <w:sz w:val="19"/>
              </w:rPr>
              <w:t>#2563EB</w:t>
            </w:r>
          </w:p>
        </w:tc>
        <w:tc>
          <w:tcPr>
            <w:tcW w:type="dxa" w:w="2160"/>
          </w:tcPr>
          <w:p>
            <w:pPr>
              <w:spacing w:after="20"/>
            </w:pPr>
            <w:r/>
            <w:r>
              <w:rPr>
                <w:sz w:val="19"/>
              </w:rPr>
              <w:t>Links, interactive data, navigation; distinct from primary navy.</w:t>
            </w:r>
          </w:p>
        </w:tc>
      </w:tr>
      <w:tr>
        <w:tc>
          <w:tcPr>
            <w:tcW w:type="dxa" w:w="2160"/>
          </w:tcPr>
          <w:p>
            <w:pPr>
              <w:spacing w:after="20"/>
            </w:pPr>
            <w:r/>
            <w:r>
              <w:rPr>
                <w:sz w:val="19"/>
              </w:rPr>
              <w:t>Signal</w:t>
            </w:r>
          </w:p>
        </w:tc>
        <w:tc>
          <w:tcPr>
            <w:tcW w:type="dxa" w:w="2160"/>
          </w:tcPr>
          <w:p>
            <w:pPr>
              <w:spacing w:after="20"/>
            </w:pPr>
            <w:r/>
            <w:r>
              <w:rPr>
                <w:sz w:val="19"/>
              </w:rPr>
              <w:t>Alert Amber</w:t>
            </w:r>
          </w:p>
        </w:tc>
        <w:tc>
          <w:tcPr>
            <w:tcW w:type="dxa" w:w="2160"/>
          </w:tcPr>
          <w:p>
            <w:pPr>
              <w:spacing w:after="20"/>
            </w:pPr>
            <w:r/>
            <w:r>
              <w:rPr>
                <w:rFonts w:ascii="Consolas" w:hAnsi="Consolas"/>
                <w:sz w:val="19"/>
              </w:rPr>
              <w:t>#C7791E</w:t>
            </w:r>
          </w:p>
        </w:tc>
        <w:tc>
          <w:tcPr>
            <w:tcW w:type="dxa" w:w="2160"/>
          </w:tcPr>
          <w:p>
            <w:pPr>
              <w:spacing w:after="20"/>
            </w:pPr>
            <w:r/>
            <w:r>
              <w:rPr>
                <w:sz w:val="19"/>
              </w:rPr>
              <w:t>Deviations, warnings, expiring items — used sparingly and meaningfully.</w:t>
            </w:r>
          </w:p>
        </w:tc>
      </w:tr>
      <w:tr>
        <w:tc>
          <w:tcPr>
            <w:tcW w:type="dxa" w:w="2160"/>
          </w:tcPr>
          <w:p>
            <w:pPr>
              <w:spacing w:after="20"/>
            </w:pPr>
            <w:r/>
            <w:r>
              <w:rPr>
                <w:sz w:val="19"/>
              </w:rPr>
              <w:t>Signal</w:t>
            </w:r>
          </w:p>
        </w:tc>
        <w:tc>
          <w:tcPr>
            <w:tcW w:type="dxa" w:w="2160"/>
          </w:tcPr>
          <w:p>
            <w:pPr>
              <w:spacing w:after="20"/>
            </w:pPr>
            <w:r/>
            <w:r>
              <w:rPr>
                <w:sz w:val="19"/>
              </w:rPr>
              <w:t>Action Red</w:t>
            </w:r>
          </w:p>
        </w:tc>
        <w:tc>
          <w:tcPr>
            <w:tcW w:type="dxa" w:w="2160"/>
          </w:tcPr>
          <w:p>
            <w:pPr>
              <w:spacing w:after="20"/>
            </w:pPr>
            <w:r/>
            <w:r>
              <w:rPr>
                <w:rFonts w:ascii="Consolas" w:hAnsi="Consolas"/>
                <w:sz w:val="19"/>
              </w:rPr>
              <w:t>#B3261E</w:t>
            </w:r>
          </w:p>
        </w:tc>
        <w:tc>
          <w:tcPr>
            <w:tcW w:type="dxa" w:w="2160"/>
          </w:tcPr>
          <w:p>
            <w:pPr>
              <w:spacing w:after="20"/>
            </w:pPr>
            <w:r/>
            <w:r>
              <w:rPr>
                <w:sz w:val="19"/>
              </w:rPr>
              <w:t>Rejected/blocked/recall states only. Never decorative.</w:t>
            </w:r>
          </w:p>
        </w:tc>
      </w:tr>
    </w:tbl>
    <w:p>
      <w:pPr>
        <w:spacing w:after="40"/>
      </w:pPr>
    </w:p>
    <w:p>
      <w:pPr>
        <w:spacing w:after="120" w:line="276" w:lineRule="auto"/>
      </w:pPr>
      <w:r>
        <w:rPr>
          <w:i/>
          <w:sz w:val="22"/>
        </w:rPr>
        <w:t>Palette rules:</w:t>
      </w:r>
      <w:r>
        <w:rPr>
          <w:sz w:val="22"/>
        </w:rPr>
        <w:t xml:space="preserve"> signals (amber/red) are reserved for quality states, never for branding; the navy–slate–teal triad carries 90% of surfaces; gradients prohibited in brand marks (allowed only as subtle data-density fills in charts, if at all).</w:t>
      </w:r>
    </w:p>
    <w:p>
      <w:pPr>
        <w:spacing w:before="160" w:after="80"/>
      </w:pPr>
      <w:r>
        <w:rPr>
          <w:rFonts w:ascii="Calibri" w:hAnsi="Calibri"/>
          <w:b/>
          <w:color w:val="0B6E6E"/>
          <w:sz w:val="28"/>
        </w:rPr>
        <w:t>21.3 Typography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E3A5D"/>
          </w:tcPr>
          <w:p>
            <w:pPr>
              <w:spacing w:after="20"/>
            </w:pPr>
            <w:r>
              <w:rPr>
                <w:color w:val="FFFFFF"/>
              </w:rPr>
            </w:r>
            <w:r>
              <w:rPr>
                <w:b/>
                <w:color w:val="FFFFFF"/>
                <w:sz w:val="19"/>
              </w:rPr>
              <w:t>Role</w:t>
            </w:r>
          </w:p>
        </w:tc>
        <w:tc>
          <w:tcPr>
            <w:tcW w:type="dxa" w:w="2880"/>
            <w:shd w:val="clear" w:color="auto" w:fill="0E3A5D"/>
          </w:tcPr>
          <w:p>
            <w:pPr>
              <w:spacing w:after="20"/>
            </w:pPr>
            <w:r>
              <w:rPr>
                <w:color w:val="FFFFFF"/>
              </w:rPr>
            </w:r>
            <w:r>
              <w:rPr>
                <w:b/>
                <w:color w:val="FFFFFF"/>
                <w:sz w:val="19"/>
              </w:rPr>
              <w:t>Family (suggested)</w:t>
            </w:r>
          </w:p>
        </w:tc>
        <w:tc>
          <w:tcPr>
            <w:tcW w:type="dxa" w:w="2880"/>
            <w:shd w:val="clear" w:color="auto" w:fill="0E3A5D"/>
          </w:tcPr>
          <w:p>
            <w:pPr>
              <w:spacing w:after="20"/>
            </w:pPr>
            <w:r>
              <w:rPr>
                <w:color w:val="FFFFFF"/>
              </w:rPr>
            </w:r>
            <w:r>
              <w:rPr>
                <w:b/>
                <w:color w:val="FFFFFF"/>
                <w:sz w:val="19"/>
              </w:rPr>
              <w:t>Usage</w:t>
            </w:r>
          </w:p>
        </w:tc>
      </w:tr>
      <w:tr>
        <w:tc>
          <w:tcPr>
            <w:tcW w:type="dxa" w:w="2880"/>
          </w:tcPr>
          <w:p>
            <w:pPr>
              <w:spacing w:after="20"/>
            </w:pPr>
            <w:r/>
            <w:r>
              <w:rPr>
                <w:sz w:val="19"/>
              </w:rPr>
              <w:t>Headings</w:t>
            </w:r>
          </w:p>
        </w:tc>
        <w:tc>
          <w:tcPr>
            <w:tcW w:type="dxa" w:w="2880"/>
          </w:tcPr>
          <w:p>
            <w:pPr>
              <w:spacing w:after="20"/>
            </w:pPr>
            <w:r/>
            <w:r>
              <w:rPr>
                <w:b/>
                <w:sz w:val="19"/>
              </w:rPr>
              <w:t>IBM Plex Sans</w:t>
            </w:r>
            <w:r>
              <w:rPr>
                <w:sz w:val="19"/>
              </w:rPr>
              <w:t xml:space="preserve"> (SemiBold/Bold)</w:t>
            </w:r>
          </w:p>
        </w:tc>
        <w:tc>
          <w:tcPr>
            <w:tcW w:type="dxa" w:w="2880"/>
          </w:tcPr>
          <w:p>
            <w:pPr>
              <w:spacing w:after="20"/>
            </w:pPr>
            <w:r/>
            <w:r>
              <w:rPr>
                <w:sz w:val="19"/>
              </w:rPr>
              <w:t>Strong grotesque with engineering character; technical but human.</w:t>
            </w:r>
          </w:p>
        </w:tc>
      </w:tr>
      <w:tr>
        <w:tc>
          <w:tcPr>
            <w:tcW w:type="dxa" w:w="2880"/>
          </w:tcPr>
          <w:p>
            <w:pPr>
              <w:spacing w:after="20"/>
            </w:pPr>
            <w:r/>
            <w:r>
              <w:rPr>
                <w:sz w:val="19"/>
              </w:rPr>
              <w:t>Body</w:t>
            </w:r>
          </w:p>
        </w:tc>
        <w:tc>
          <w:tcPr>
            <w:tcW w:type="dxa" w:w="2880"/>
          </w:tcPr>
          <w:p>
            <w:pPr>
              <w:spacing w:after="20"/>
            </w:pPr>
            <w:r/>
            <w:r>
              <w:rPr>
                <w:b/>
                <w:sz w:val="19"/>
              </w:rPr>
              <w:t>IBM Plex Sans</w:t>
            </w:r>
            <w:r>
              <w:rPr>
                <w:sz w:val="19"/>
              </w:rPr>
              <w:t xml:space="preserve"> (Regular/Medium) or </w:t>
            </w:r>
            <w:r>
              <w:rPr>
                <w:b/>
                <w:sz w:val="19"/>
              </w:rPr>
              <w:t>Source Sans 3</w:t>
            </w:r>
          </w:p>
        </w:tc>
        <w:tc>
          <w:tcPr>
            <w:tcW w:type="dxa" w:w="2880"/>
          </w:tcPr>
          <w:p>
            <w:pPr>
              <w:spacing w:after="20"/>
            </w:pPr>
            <w:r/>
            <w:r>
              <w:rPr>
                <w:sz w:val="19"/>
              </w:rPr>
              <w:t>Interface and marketing copy; high legibility in dense contexts.</w:t>
            </w:r>
          </w:p>
        </w:tc>
      </w:tr>
      <w:tr>
        <w:tc>
          <w:tcPr>
            <w:tcW w:type="dxa" w:w="2880"/>
          </w:tcPr>
          <w:p>
            <w:pPr>
              <w:spacing w:after="20"/>
            </w:pPr>
            <w:r/>
            <w:r>
              <w:rPr>
                <w:sz w:val="19"/>
              </w:rPr>
              <w:t>Editorial accent (optional)</w:t>
            </w:r>
          </w:p>
        </w:tc>
        <w:tc>
          <w:tcPr>
            <w:tcW w:type="dxa" w:w="2880"/>
          </w:tcPr>
          <w:p>
            <w:pPr>
              <w:spacing w:after="20"/>
            </w:pPr>
            <w:r/>
            <w:r>
              <w:rPr>
                <w:b/>
                <w:sz w:val="19"/>
              </w:rPr>
              <w:t>IBM Plex Serif</w:t>
            </w:r>
            <w:r>
              <w:rPr>
                <w:sz w:val="19"/>
              </w:rPr>
              <w:t xml:space="preserve"> (sparingly)</w:t>
            </w:r>
          </w:p>
        </w:tc>
        <w:tc>
          <w:tcPr>
            <w:tcW w:type="dxa" w:w="2880"/>
          </w:tcPr>
          <w:p>
            <w:pPr>
              <w:spacing w:after="20"/>
            </w:pPr>
            <w:r/>
            <w:r>
              <w:rPr>
                <w:sz w:val="19"/>
              </w:rPr>
              <w:t>Long-form narrative, executive briefs, "science story" moments — never in UI.</w:t>
            </w:r>
          </w:p>
        </w:tc>
      </w:tr>
      <w:tr>
        <w:tc>
          <w:tcPr>
            <w:tcW w:type="dxa" w:w="2880"/>
          </w:tcPr>
          <w:p>
            <w:pPr>
              <w:spacing w:after="20"/>
            </w:pPr>
            <w:r/>
            <w:r>
              <w:rPr>
                <w:sz w:val="19"/>
              </w:rPr>
              <w:t>Data / identifiers</w:t>
            </w:r>
          </w:p>
        </w:tc>
        <w:tc>
          <w:tcPr>
            <w:tcW w:type="dxa" w:w="2880"/>
          </w:tcPr>
          <w:p>
            <w:pPr>
              <w:spacing w:after="20"/>
            </w:pPr>
            <w:r/>
            <w:r>
              <w:rPr>
                <w:b/>
                <w:sz w:val="19"/>
              </w:rPr>
              <w:t>IBM Plex Mono</w:t>
            </w:r>
          </w:p>
        </w:tc>
        <w:tc>
          <w:tcPr>
            <w:tcW w:type="dxa" w:w="2880"/>
          </w:tcPr>
          <w:p>
            <w:pPr>
              <w:spacing w:after="20"/>
            </w:pPr>
            <w:r/>
            <w:r>
              <w:rPr>
                <w:sz w:val="19"/>
              </w:rPr>
              <w:t>Batch numbers, lot IDs, document IDs, version stamps, timestamps, audit-log excerpts, code, table data headers. This is the "traceability" voice of the identity.</w:t>
            </w:r>
          </w:p>
        </w:tc>
      </w:tr>
    </w:tbl>
    <w:p>
      <w:pPr>
        <w:spacing w:after="40"/>
      </w:pPr>
    </w:p>
    <w:p>
      <w:pPr>
        <w:spacing w:after="120" w:line="276" w:lineRule="auto"/>
      </w:pPr>
      <w:r>
        <w:rPr>
          <w:i/>
          <w:sz w:val="22"/>
        </w:rPr>
        <w:t>Rules:</w:t>
      </w:r>
      <w:r>
        <w:rPr>
          <w:sz w:val="22"/>
        </w:rPr>
        <w:t xml:space="preserve"> type scale based on a 4px/8px modular scale; tabular numerals enabled for all numeric data; never use display serif or script faces; no condensed/compressed faces at small sizes.</w:t>
      </w:r>
    </w:p>
    <w:p>
      <w:pPr>
        <w:spacing w:before="160" w:after="80"/>
      </w:pPr>
      <w:r>
        <w:rPr>
          <w:rFonts w:ascii="Calibri" w:hAnsi="Calibri"/>
          <w:b/>
          <w:color w:val="0B6E6E"/>
          <w:sz w:val="28"/>
        </w:rPr>
        <w:t>21.4 Imagery style</w:t>
      </w:r>
    </w:p>
    <w:p>
      <w:pPr>
        <w:pStyle w:val="ListBullet"/>
        <w:spacing w:after="40"/>
      </w:pPr>
      <w:r>
        <w:rPr>
          <w:b/>
          <w:sz w:val="22"/>
        </w:rPr>
        <w:t>Documentary, not stocky.</w:t>
      </w:r>
      <w:r>
        <w:rPr>
          <w:sz w:val="22"/>
        </w:rPr>
        <w:t xml:space="preserve"> Real regulated-manufacturing environments: cleanrooms, production lines, laboratories, packaging, gowning areas — photographed with natural or controlled industrial light, shallow but precise focus.</w:t>
      </w:r>
    </w:p>
    <w:p>
      <w:pPr>
        <w:pStyle w:val="ListBullet"/>
        <w:spacing w:after="40"/>
      </w:pPr>
      <w:r>
        <w:rPr>
          <w:b/>
          <w:sz w:val="22"/>
        </w:rPr>
        <w:t>People with purpose.</w:t>
      </w:r>
      <w:r>
        <w:rPr>
          <w:sz w:val="22"/>
        </w:rPr>
        <w:t xml:space="preserve"> Operators, analysts, and QA professionals doing specific work (weighing, inspection, batch review, instrument operation) — in PPE, focused, never posed smiling at the camera.</w:t>
      </w:r>
    </w:p>
    <w:p>
      <w:pPr>
        <w:pStyle w:val="ListBullet"/>
        <w:spacing w:after="40"/>
      </w:pPr>
      <w:r>
        <w:rPr>
          <w:b/>
          <w:sz w:val="22"/>
        </w:rPr>
        <w:t>Macro and material detail.</w:t>
      </w:r>
      <w:r>
        <w:rPr>
          <w:sz w:val="22"/>
        </w:rPr>
        <w:t xml:space="preserve"> Close crops of equipment, batch labels, barcodes, instruments, raw materials — texture that signals "regulated precision."</w:t>
      </w:r>
    </w:p>
    <w:p>
      <w:pPr>
        <w:pStyle w:val="ListBullet"/>
        <w:spacing w:after="40"/>
      </w:pPr>
      <w:r>
        <w:rPr>
          <w:b/>
          <w:sz w:val="22"/>
        </w:rPr>
        <w:t>Data as scenery.</w:t>
      </w:r>
      <w:r>
        <w:rPr>
          <w:sz w:val="22"/>
        </w:rPr>
        <w:t xml:space="preserve"> Screens, printouts, batch records, audit logs, dashboards in situ — the product visibly at work. No fake UI: use real product surfaces.</w:t>
      </w:r>
    </w:p>
    <w:p>
      <w:pPr>
        <w:pStyle w:val="ListBullet"/>
        <w:spacing w:after="40"/>
      </w:pPr>
      <w:r>
        <w:rPr>
          <w:i/>
          <w:sz w:val="22"/>
        </w:rPr>
        <w:t>Avoid:</w:t>
      </w:r>
      <w:r>
        <w:rPr>
          <w:sz w:val="22"/>
        </w:rPr>
        <w:t xml:space="preserve"> handshakes, boardrooms, generic "team high-five", stock laboratory models holding empty test tubes, abstract particle graphics.</w:t>
      </w:r>
    </w:p>
    <w:p>
      <w:pPr>
        <w:spacing w:before="160" w:after="80"/>
      </w:pPr>
      <w:r>
        <w:rPr>
          <w:rFonts w:ascii="Calibri" w:hAnsi="Calibri"/>
          <w:b/>
          <w:color w:val="0B6E6E"/>
          <w:sz w:val="28"/>
        </w:rPr>
        <w:t>21.5 Iconography</w:t>
      </w:r>
    </w:p>
    <w:p>
      <w:pPr>
        <w:pStyle w:val="ListBullet"/>
        <w:spacing w:after="40"/>
      </w:pPr>
      <w:r>
        <w:rPr>
          <w:sz w:val="22"/>
        </w:rPr>
        <w:t>Consistent 1.5–2px stroke line icons, geometric, with square/circular corner discipline.</w:t>
      </w:r>
    </w:p>
    <w:p>
      <w:pPr>
        <w:pStyle w:val="ListBullet"/>
        <w:spacing w:after="40"/>
      </w:pPr>
      <w:r>
        <w:rPr>
          <w:sz w:val="22"/>
        </w:rPr>
        <w:t>System-diagram sensibility: nodes, paths, flows, state transitions (the traceability story told in icon form).</w:t>
      </w:r>
    </w:p>
    <w:p>
      <w:pPr>
        <w:pStyle w:val="ListBullet"/>
        <w:spacing w:after="40"/>
      </w:pPr>
      <w:r>
        <w:rPr>
          <w:sz w:val="22"/>
        </w:rPr>
        <w:t>Small, restrained set: document, signature, batch/lot, deviation, calibration, laboratory, recall, training, supplier, dashboard.</w:t>
      </w:r>
    </w:p>
    <w:p>
      <w:pPr>
        <w:pStyle w:val="ListBullet"/>
        <w:spacing w:after="40"/>
      </w:pPr>
      <w:r>
        <w:rPr>
          <w:sz w:val="22"/>
        </w:rPr>
        <w:t>Filled glyphs reserved for quality-state markers (released/blocked/warning) — always paired with a text label.</w:t>
      </w:r>
    </w:p>
    <w:p>
      <w:pPr>
        <w:pStyle w:val="ListBullet"/>
        <w:spacing w:after="40"/>
      </w:pPr>
      <w:r>
        <w:rPr>
          <w:i/>
          <w:sz w:val="22"/>
        </w:rPr>
        <w:t>Avoid:</w:t>
      </w:r>
      <w:r>
        <w:rPr>
          <w:sz w:val="22"/>
        </w:rPr>
        <w:t xml:space="preserve"> duotone/gradient icons, hand-drawn/scribble styles, emoji, 3D-rendered icons.</w:t>
      </w:r>
    </w:p>
    <w:p>
      <w:pPr>
        <w:spacing w:before="160" w:after="80"/>
      </w:pPr>
      <w:r>
        <w:rPr>
          <w:rFonts w:ascii="Calibri" w:hAnsi="Calibri"/>
          <w:b/>
          <w:color w:val="0B6E6E"/>
          <w:sz w:val="28"/>
        </w:rPr>
        <w:t>21.6 Layout / grid approach</w:t>
      </w:r>
    </w:p>
    <w:p>
      <w:pPr>
        <w:pStyle w:val="ListBullet"/>
        <w:spacing w:after="40"/>
      </w:pPr>
      <w:r>
        <w:rPr>
          <w:b/>
          <w:sz w:val="22"/>
        </w:rPr>
        <w:t>Strict modular grid</w:t>
      </w:r>
      <w:r>
        <w:rPr>
          <w:sz w:val="22"/>
        </w:rPr>
        <w:t xml:space="preserve"> (12-column web; 6-column print) with a fixed 8px baseline.</w:t>
      </w:r>
    </w:p>
    <w:p>
      <w:pPr>
        <w:pStyle w:val="ListBullet"/>
        <w:spacing w:after="40"/>
      </w:pPr>
      <w:r>
        <w:rPr>
          <w:b/>
          <w:sz w:val="22"/>
        </w:rPr>
        <w:t>Tabular alignment everywhere:</w:t>
      </w:r>
      <w:r>
        <w:rPr>
          <w:sz w:val="22"/>
        </w:rPr>
        <w:t xml:space="preserve"> numbers, IDs, and dates right-aligned or in monospace columns; table headers repeat on every page.</w:t>
      </w:r>
    </w:p>
    <w:p>
      <w:pPr>
        <w:pStyle w:val="ListBullet"/>
        <w:spacing w:after="40"/>
      </w:pPr>
      <w:r>
        <w:rPr>
          <w:b/>
          <w:sz w:val="22"/>
        </w:rPr>
        <w:t>Documentation-grade structure:</w:t>
      </w:r>
      <w:r>
        <w:rPr>
          <w:sz w:val="22"/>
        </w:rPr>
        <w:t xml:space="preserve"> numbered sections, clear hierarchies, running footers with document ID + version (a nod to controlled documents).</w:t>
      </w:r>
    </w:p>
    <w:p>
      <w:pPr>
        <w:pStyle w:val="ListBullet"/>
        <w:spacing w:after="40"/>
      </w:pPr>
      <w:r>
        <w:rPr>
          <w:sz w:val="22"/>
        </w:rPr>
        <w:t>Generous margins and whitespace; content left-aligned, ragged-right; no centered hero text blocks for dense content.</w:t>
      </w:r>
    </w:p>
    <w:p>
      <w:pPr>
        <w:pStyle w:val="ListBullet"/>
        <w:spacing w:after="40"/>
      </w:pPr>
      <w:r>
        <w:rPr>
          <w:sz w:val="22"/>
        </w:rPr>
        <w:t>Presentation style: Swiss/international typographic influence — strong grids, large type hierarchy, data-forward layouts.</w:t>
      </w:r>
    </w:p>
    <w:p>
      <w:pPr>
        <w:spacing w:before="160" w:after="80"/>
      </w:pPr>
      <w:r>
        <w:rPr>
          <w:rFonts w:ascii="Calibri" w:hAnsi="Calibri"/>
          <w:b/>
          <w:color w:val="0B6E6E"/>
          <w:sz w:val="28"/>
        </w:rPr>
        <w:t>21.7 Data-viz style</w:t>
      </w:r>
    </w:p>
    <w:p>
      <w:pPr>
        <w:pStyle w:val="ListBullet"/>
        <w:spacing w:after="40"/>
      </w:pPr>
      <w:r>
        <w:rPr>
          <w:sz w:val="22"/>
        </w:rPr>
        <w:t>Brand palette only; single-hue ramps for series, teal for the primary series.</w:t>
      </w:r>
    </w:p>
    <w:p>
      <w:pPr>
        <w:pStyle w:val="ListBullet"/>
        <w:spacing w:after="40"/>
      </w:pPr>
      <w:r>
        <w:rPr>
          <w:sz w:val="22"/>
        </w:rPr>
        <w:t>Axes labeled in full; every chart carries its source/date; units always present.</w:t>
      </w:r>
    </w:p>
    <w:p>
      <w:pPr>
        <w:pStyle w:val="ListBullet"/>
        <w:spacing w:after="40"/>
      </w:pPr>
      <w:r>
        <w:rPr>
          <w:sz w:val="22"/>
        </w:rPr>
        <w:t>Prefer tables, sparklines, and simple bar/line charts over 3D, donuts, or decorative charts.</w:t>
      </w:r>
    </w:p>
    <w:p>
      <w:pPr>
        <w:pStyle w:val="ListBullet"/>
        <w:spacing w:after="40"/>
      </w:pPr>
      <w:r>
        <w:rPr>
          <w:sz w:val="22"/>
        </w:rPr>
        <w:t>State visualization (workflow diagrams) uses the brand's state-machine language: clear node/transition styling, monospace IDs.</w:t>
      </w:r>
    </w:p>
    <w:p>
      <w:pPr>
        <w:pStyle w:val="ListBullet"/>
        <w:spacing w:after="40"/>
      </w:pPr>
      <w:r>
        <w:rPr>
          <w:i/>
          <w:sz w:val="22"/>
        </w:rPr>
        <w:t>Avoid:</w:t>
      </w:r>
      <w:r>
        <w:rPr>
          <w:sz w:val="22"/>
        </w:rPr>
        <w:t xml:space="preserve"> pie charts for &gt;5 segments, rainbow palettes, drop shadows, chart junk, animated transitions that obscure values.</w:t>
      </w:r>
    </w:p>
    <w:p>
      <w:pPr>
        <w:spacing w:before="160" w:after="80"/>
      </w:pPr>
      <w:r>
        <w:rPr>
          <w:rFonts w:ascii="Calibri" w:hAnsi="Calibri"/>
          <w:b/>
          <w:color w:val="0B6E6E"/>
          <w:sz w:val="28"/>
        </w:rPr>
        <w:t>21.8 Logo direction (concept only)</w:t>
      </w:r>
    </w:p>
    <w:p>
      <w:pPr>
        <w:pStyle w:val="ListBullet"/>
        <w:spacing w:after="40"/>
      </w:pPr>
      <w:r>
        <w:rPr>
          <w:b/>
          <w:sz w:val="22"/>
        </w:rPr>
        <w:t>Concept: "The Trace Node."</w:t>
      </w:r>
      <w:r>
        <w:rPr>
          <w:sz w:val="22"/>
        </w:rPr>
        <w:t xml:space="preserve"> A geometric mark combining three ideas: (a) a hexagon — molecular/science structure; (b) a connected path of nodes — traceability chain; (c) a resolved check-point at the path's end — release/quality decision. The mark reads as a system diagram, not a logo-swoosh.</w:t>
      </w:r>
    </w:p>
    <w:p>
      <w:pPr>
        <w:pStyle w:val="ListBullet"/>
        <w:spacing w:after="40"/>
      </w:pPr>
      <w:r>
        <w:rPr>
          <w:b/>
          <w:sz w:val="22"/>
        </w:rPr>
        <w:t>Wordmark:</w:t>
      </w:r>
      <w:r>
        <w:rPr>
          <w:sz w:val="22"/>
        </w:rPr>
        <w:t xml:space="preserve"> "LSS" in a strong grotesque (IBM Plex Sans Bold or equivalent), with "Life Sciences Suite" in small caps/letterspaced secondary line. Lockup: mark left, wordmark right, tagline below in mono or small caps.</w:t>
      </w:r>
    </w:p>
    <w:p>
      <w:pPr>
        <w:pStyle w:val="ListBullet"/>
        <w:spacing w:after="40"/>
      </w:pPr>
      <w:r>
        <w:rPr>
          <w:b/>
          <w:sz w:val="22"/>
        </w:rPr>
        <w:t>Behavior:</w:t>
      </w:r>
      <w:r>
        <w:rPr>
          <w:sz w:val="22"/>
        </w:rPr>
        <w:t xml:space="preserve"> monochrome-capable (navy on white, white on navy); teal reserved for the "release node" accent; must reproduce at 16px favicon size; no gradients, no 3D, no outline-only variants at small sizes.</w:t>
      </w:r>
    </w:p>
    <w:p>
      <w:pPr>
        <w:pStyle w:val="ListBullet"/>
        <w:spacing w:after="40"/>
      </w:pPr>
      <w:r>
        <w:rPr>
          <w:i/>
          <w:sz w:val="22"/>
        </w:rPr>
        <w:t>Avoid:</w:t>
      </w:r>
      <w:r>
        <w:rPr>
          <w:sz w:val="22"/>
        </w:rPr>
        <w:t xml:space="preserve"> beakers/molecules clichés (atom, DNA helix, pill), swooshes, orbs, abstract waves, "infinity" loops.</w:t>
      </w:r>
    </w:p>
    <w:p>
      <w:pPr>
        <w:spacing w:before="160" w:after="80"/>
      </w:pPr>
      <w:r>
        <w:rPr>
          <w:rFonts w:ascii="Calibri" w:hAnsi="Calibri"/>
          <w:b/>
          <w:color w:val="0B6E6E"/>
          <w:sz w:val="28"/>
        </w:rPr>
        <w:t>21.9 What to avoid (explicit)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E3A5D"/>
          </w:tcPr>
          <w:p>
            <w:pPr>
              <w:spacing w:after="20"/>
            </w:pPr>
            <w:r>
              <w:rPr>
                <w:color w:val="FFFFFF"/>
              </w:rPr>
            </w:r>
            <w:r>
              <w:rPr>
                <w:b/>
                <w:color w:val="FFFFFF"/>
                <w:sz w:val="19"/>
              </w:rPr>
              <w:t>Avoid</w:t>
            </w:r>
          </w:p>
        </w:tc>
        <w:tc>
          <w:tcPr>
            <w:tcW w:type="dxa" w:w="4320"/>
            <w:shd w:val="clear" w:color="auto" w:fill="0E3A5D"/>
          </w:tcPr>
          <w:p>
            <w:pPr>
              <w:spacing w:after="20"/>
            </w:pPr>
            <w:r>
              <w:rPr>
                <w:color w:val="FFFFFF"/>
              </w:rPr>
            </w:r>
            <w:r>
              <w:rPr>
                <w:b/>
                <w:color w:val="FFFFFF"/>
                <w:sz w:val="19"/>
              </w:rPr>
              <w:t>Because</w:t>
            </w:r>
          </w:p>
        </w:tc>
      </w:tr>
      <w:tr>
        <w:tc>
          <w:tcPr>
            <w:tcW w:type="dxa" w:w="4320"/>
          </w:tcPr>
          <w:p>
            <w:pPr>
              <w:spacing w:after="20"/>
            </w:pPr>
            <w:r/>
            <w:r>
              <w:rPr>
                <w:sz w:val="19"/>
              </w:rPr>
              <w:t>Purple–pink–teal SaaS gradient palettes</w:t>
            </w:r>
          </w:p>
        </w:tc>
        <w:tc>
          <w:tcPr>
            <w:tcW w:type="dxa" w:w="4320"/>
          </w:tcPr>
          <w:p>
            <w:pPr>
              <w:spacing w:after="20"/>
            </w:pPr>
            <w:r/>
            <w:r>
              <w:rPr>
                <w:sz w:val="19"/>
              </w:rPr>
              <w:t>Signals consumer startup, not regulated enterprise</w:t>
            </w:r>
          </w:p>
        </w:tc>
      </w:tr>
      <w:tr>
        <w:tc>
          <w:tcPr>
            <w:tcW w:type="dxa" w:w="4320"/>
          </w:tcPr>
          <w:p>
            <w:pPr>
              <w:spacing w:after="20"/>
            </w:pPr>
            <w:r/>
            <w:r>
              <w:rPr>
                <w:sz w:val="19"/>
              </w:rPr>
              <w:t>Glassmorphism, heavy shadows, rounded "bubbly" components</w:t>
            </w:r>
          </w:p>
        </w:tc>
        <w:tc>
          <w:tcPr>
            <w:tcW w:type="dxa" w:w="4320"/>
          </w:tcPr>
          <w:p>
            <w:pPr>
              <w:spacing w:after="20"/>
            </w:pPr>
            <w:r/>
            <w:r>
              <w:rPr>
                <w:sz w:val="19"/>
              </w:rPr>
              <w:t>Undermines precision and documentation-grade credibility</w:t>
            </w:r>
          </w:p>
        </w:tc>
      </w:tr>
      <w:tr>
        <w:tc>
          <w:tcPr>
            <w:tcW w:type="dxa" w:w="4320"/>
          </w:tcPr>
          <w:p>
            <w:pPr>
              <w:spacing w:after="20"/>
            </w:pPr>
            <w:r/>
            <w:r>
              <w:rPr>
                <w:sz w:val="19"/>
              </w:rPr>
              <w:t>Emoji or playful illustration in customer-facing material</w:t>
            </w:r>
          </w:p>
        </w:tc>
        <w:tc>
          <w:tcPr>
            <w:tcW w:type="dxa" w:w="4320"/>
          </w:tcPr>
          <w:p>
            <w:pPr>
              <w:spacing w:after="20"/>
            </w:pPr>
            <w:r/>
            <w:r>
              <w:rPr>
                <w:sz w:val="19"/>
              </w:rPr>
              <w:t>Inappropriate to the stakes of regulated manufacturing</w:t>
            </w:r>
          </w:p>
        </w:tc>
      </w:tr>
      <w:tr>
        <w:tc>
          <w:tcPr>
            <w:tcW w:type="dxa" w:w="4320"/>
          </w:tcPr>
          <w:p>
            <w:pPr>
              <w:spacing w:after="20"/>
            </w:pPr>
            <w:r/>
            <w:r>
              <w:rPr>
                <w:sz w:val="19"/>
              </w:rPr>
              <w:t>Generic startup hero ("abstract 3D shapes + white space")</w:t>
            </w:r>
          </w:p>
        </w:tc>
        <w:tc>
          <w:tcPr>
            <w:tcW w:type="dxa" w:w="4320"/>
          </w:tcPr>
          <w:p>
            <w:pPr>
              <w:spacing w:after="20"/>
            </w:pPr>
            <w:r/>
            <w:r>
              <w:rPr>
                <w:sz w:val="19"/>
              </w:rPr>
              <w:t>Looks like every other SaaS; conveys nothing about life sciences</w:t>
            </w:r>
          </w:p>
        </w:tc>
      </w:tr>
      <w:tr>
        <w:tc>
          <w:tcPr>
            <w:tcW w:type="dxa" w:w="4320"/>
          </w:tcPr>
          <w:p>
            <w:pPr>
              <w:spacing w:after="20"/>
            </w:pPr>
            <w:r/>
            <w:r>
              <w:rPr>
                <w:sz w:val="19"/>
              </w:rPr>
              <w:t>Fake/placeholder UI screenshots</w:t>
            </w:r>
          </w:p>
        </w:tc>
        <w:tc>
          <w:tcPr>
            <w:tcW w:type="dxa" w:w="4320"/>
          </w:tcPr>
          <w:p>
            <w:pPr>
              <w:spacing w:after="20"/>
            </w:pPr>
            <w:r/>
            <w:r>
              <w:rPr>
                <w:sz w:val="19"/>
              </w:rPr>
              <w:t>Destroys trust; use real product surfaces or abstract data motifs</w:t>
            </w:r>
          </w:p>
        </w:tc>
      </w:tr>
      <w:tr>
        <w:tc>
          <w:tcPr>
            <w:tcW w:type="dxa" w:w="4320"/>
          </w:tcPr>
          <w:p>
            <w:pPr>
              <w:spacing w:after="20"/>
            </w:pPr>
            <w:r/>
            <w:r>
              <w:rPr>
                <w:sz w:val="19"/>
              </w:rPr>
              <w:t>Superlative typography ("impact" faces, condensed display type)</w:t>
            </w:r>
          </w:p>
        </w:tc>
        <w:tc>
          <w:tcPr>
            <w:tcW w:type="dxa" w:w="4320"/>
          </w:tcPr>
          <w:p>
            <w:pPr>
              <w:spacing w:after="20"/>
            </w:pPr>
            <w:r/>
            <w:r>
              <w:rPr>
                <w:sz w:val="19"/>
              </w:rPr>
              <w:t>Reads as hype, not engineering</w:t>
            </w:r>
          </w:p>
        </w:tc>
      </w:tr>
      <w:tr>
        <w:tc>
          <w:tcPr>
            <w:tcW w:type="dxa" w:w="4320"/>
          </w:tcPr>
          <w:p>
            <w:pPr>
              <w:spacing w:after="20"/>
            </w:pPr>
            <w:r/>
            <w:r>
              <w:rPr>
                <w:sz w:val="19"/>
              </w:rPr>
              <w:t>Photos without PPE or with staged laboratory props</w:t>
            </w:r>
          </w:p>
        </w:tc>
        <w:tc>
          <w:tcPr>
            <w:tcW w:type="dxa" w:w="4320"/>
          </w:tcPr>
          <w:p>
            <w:pPr>
              <w:spacing w:after="20"/>
            </w:pPr>
            <w:r/>
            <w:r>
              <w:rPr>
                <w:sz w:val="19"/>
              </w:rPr>
              <w:t>Signals inauthenticity to domain experts</w:t>
            </w:r>
          </w:p>
        </w:tc>
      </w:tr>
    </w:tbl>
    <w:p>
      <w:pPr>
        <w:spacing w:after="40"/>
      </w:pPr>
    </w:p>
    <w:p>
      <w:pPr>
        <w:spacing w:after="120" w:line="276" w:lineRule="auto"/>
      </w:pPr>
      <w:r>
        <w:rPr>
          <w:i/>
          <w:sz w:val="22"/>
        </w:rPr>
        <w:t>End of Worker 01 — Brand Strategy. Ready for review against `shared/marketing_ground_rules.md`.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