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White Papers &amp; Lead Magnets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 X — 10 Educational Assets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 — WHITE PAPERS AND LEAD MAGNETS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Ten educational assets with concepts, target audiences, problems, full table-of-contents structures (with chapter content notes), lead-generation purpose, and CTAs. All ten are educational — genuinely useful, not brochures. Regulatory wording: "supports processes aligned with..." throughout.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1. Pharmaceutical ERP Selection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The Pharmaceutical ERP Selection Guide — Choosing an ERP That Fits Regulated Manufacturing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IT Directors, COOs, CFOs, Quality Directors at pharmaceutical manufacturers evaluating ERP replacement or first-time implementation.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ERP selection for pharma fails when buyers compare feature lists instead of process fit — then discover the chosen system can't support batch records, lot control, or validation without expensive custom work.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Why pharma ERP selection is different (regulated processes, data integrity, validation) — content: the four selection killers: process mismatch, quality disconnect, validation blindness, license lock-in.</w:t>
      </w:r>
    </w:p>
    <w:p>
      <w:pPr>
        <w:pStyle w:val="ListNumber"/>
        <w:spacing w:after="40"/>
      </w:pPr>
      <w:r>
        <w:rPr>
          <w:sz w:val="22"/>
        </w:rPr>
        <w:t>Building the requirements baseline — URS approach: business, functional, technical, regulatory requirements; who signs; how to avoid requirement inflation.</w:t>
      </w:r>
    </w:p>
    <w:p>
      <w:pPr>
        <w:pStyle w:val="ListNumber"/>
        <w:spacing w:after="40"/>
      </w:pPr>
      <w:r>
        <w:rPr>
          <w:sz w:val="22"/>
        </w:rPr>
        <w:t>Evaluating the process core — batch/lot lifecycle, material traceability, expiry and quarantine handling, manufacturing control: what to test in a demo, not just ask about.</w:t>
      </w:r>
    </w:p>
    <w:p>
      <w:pPr>
        <w:pStyle w:val="ListNumber"/>
        <w:spacing w:after="40"/>
      </w:pPr>
      <w:r>
        <w:rPr>
          <w:sz w:val="22"/>
        </w:rPr>
        <w:t>The ERP–QMS question — how quality processes (deviations, CAPA, documents) integrate or don't; the hidden cost of disconnected systems.</w:t>
      </w:r>
    </w:p>
    <w:p>
      <w:pPr>
        <w:pStyle w:val="ListNumber"/>
        <w:spacing w:after="40"/>
      </w:pPr>
      <w:r>
        <w:rPr>
          <w:sz w:val="22"/>
        </w:rPr>
        <w:t>Validation and CSV considerations — what "validatable" means: audit trails, electronic signatures, documented workflows; IQ/OQ/PQ planning; GAMP-style categorization as a planning tool, not a legal requirement [REQUIRES REGULATORY/LEGAL REVIEW].</w:t>
      </w:r>
    </w:p>
    <w:p>
      <w:pPr>
        <w:pStyle w:val="ListNumber"/>
        <w:spacing w:after="40"/>
      </w:pPr>
      <w:r>
        <w:rPr>
          <w:sz w:val="22"/>
        </w:rPr>
        <w:t>Total cost of ownership — license, implementation, customization, validation, training, upgrades, internal effort; a TCO framework (no invented benchmarks).</w:t>
      </w:r>
    </w:p>
    <w:p>
      <w:pPr>
        <w:pStyle w:val="ListNumber"/>
        <w:spacing w:after="40"/>
      </w:pPr>
      <w:r>
        <w:rPr>
          <w:sz w:val="22"/>
        </w:rPr>
        <w:t>Implementation approach — phased vs big-bang; gated methodology; resource reality.</w:t>
      </w:r>
    </w:p>
    <w:p>
      <w:pPr>
        <w:pStyle w:val="ListNumber"/>
        <w:spacing w:after="40"/>
      </w:pPr>
      <w:r>
        <w:rPr>
          <w:sz w:val="22"/>
        </w:rPr>
        <w:t>Red flags — vendors who claim compliance, demos without your processes, pricing that excludes validation, roadmap promises.</w:t>
      </w:r>
    </w:p>
    <w:p>
      <w:pPr>
        <w:pStyle w:val="ListNumber"/>
        <w:spacing w:after="40"/>
      </w:pPr>
      <w:r>
        <w:rPr>
          <w:sz w:val="22"/>
        </w:rPr>
        <w:t>Decision framework — weighted scoring template and selection team composition.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High-intent, gated. Qualifies organizations actively selecting an ERP (MQL → SQL signal). Funnel: Education → Lead.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the guide → follow-up sequence → "Talk to an advisor" /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2. Pharmaceutical QMS Selection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The Pharmaceutical QMS Selection Guide — Choosing Quality Management Software That Survives Real Use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Quality Directors, QA Managers, Regulatory Affairs Managers.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QMS tools get purchased for the demo and abandoned for the workflow — documents live outside, CAPA closes on paperwork, and the QMS becomes an expensive filing cabinet.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What a QMS must actually do — document control, deviations, CAPA, change control, audits, training, complaints: the process map.</w:t>
      </w:r>
    </w:p>
    <w:p>
      <w:pPr>
        <w:pStyle w:val="ListNumber"/>
        <w:spacing w:after="40"/>
      </w:pPr>
      <w:r>
        <w:rPr>
          <w:sz w:val="22"/>
        </w:rPr>
        <w:t>Document control beyond versioning — lifecycle, distribution, training linkage, retention, inspection evidence.</w:t>
      </w:r>
    </w:p>
    <w:p>
      <w:pPr>
        <w:pStyle w:val="ListNumber"/>
        <w:spacing w:after="40"/>
      </w:pPr>
      <w:r>
        <w:rPr>
          <w:sz w:val="22"/>
        </w:rPr>
        <w:t>Deviations and CAPA done right — classification, investigation, disposition, effectiveness verification; the "closes on evidence" standard.</w:t>
      </w:r>
    </w:p>
    <w:p>
      <w:pPr>
        <w:pStyle w:val="ListNumber"/>
        <w:spacing w:after="40"/>
      </w:pPr>
      <w:r>
        <w:rPr>
          <w:sz w:val="22"/>
        </w:rPr>
        <w:t>Change control and validation interplay — how change control protects validated state.</w:t>
      </w:r>
    </w:p>
    <w:p>
      <w:pPr>
        <w:pStyle w:val="ListNumber"/>
        <w:spacing w:after="40"/>
      </w:pPr>
      <w:r>
        <w:rPr>
          <w:sz w:val="22"/>
        </w:rPr>
        <w:t>Audit trails and electronic signatures — what to look for, what "supporting 21 CFR Part 11 / EU Annex 11 expectations" means in practice [REQUIRES REGULATORY/LEGAL REVIEW].</w:t>
      </w:r>
    </w:p>
    <w:p>
      <w:pPr>
        <w:pStyle w:val="ListNumber"/>
        <w:spacing w:after="40"/>
      </w:pPr>
      <w:r>
        <w:rPr>
          <w:sz w:val="22"/>
        </w:rPr>
        <w:t>Integration with operations — the QMS that sees the batch: ERP/QMS integration, or the Excel bridge.</w:t>
      </w:r>
    </w:p>
    <w:p>
      <w:pPr>
        <w:pStyle w:val="ListNumber"/>
        <w:spacing w:after="40"/>
      </w:pPr>
      <w:r>
        <w:rPr>
          <w:sz w:val="22"/>
        </w:rPr>
        <w:t>Demo evaluation checklist — 20 things to test in a QMS demo, tied to your workflows.</w:t>
      </w:r>
    </w:p>
    <w:p>
      <w:pPr>
        <w:pStyle w:val="ListNumber"/>
        <w:spacing w:after="40"/>
      </w:pPr>
      <w:r>
        <w:rPr>
          <w:sz w:val="22"/>
        </w:rPr>
        <w:t>Selection scorecard — criteria, weights, team.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Gated. Targets QMS evaluation/replacement projects. Funnel: Education → Lead.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assessment offer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3. Batch Genealogy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Batch Genealogy — The Data You Hope You Never Need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QA, Regulatory Affairs, Supply Chain Managers, and operations leaders.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When the question comes — "which lots fed this batch, who received it" — most organizations discover their genealogy is reconstructable only with days of manual work, and incomplete.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What batch genealogy is — forward and backward traceability; the family tree of a batch.</w:t>
      </w:r>
    </w:p>
    <w:p>
      <w:pPr>
        <w:pStyle w:val="ListNumber"/>
        <w:spacing w:after="40"/>
      </w:pPr>
      <w:r>
        <w:rPr>
          <w:sz w:val="22"/>
        </w:rPr>
        <w:t>Why it matters — complaints, recalls, audits, investigations, market withdrawals.</w:t>
      </w:r>
    </w:p>
    <w:p>
      <w:pPr>
        <w:pStyle w:val="ListNumber"/>
        <w:spacing w:after="40"/>
      </w:pPr>
      <w:r>
        <w:rPr>
          <w:sz w:val="22"/>
        </w:rPr>
        <w:t>The data model behind genealogy — lots, serials, movements, consumption, production, distribution: what must be captured at each step.</w:t>
      </w:r>
    </w:p>
    <w:p>
      <w:pPr>
        <w:pStyle w:val="ListNumber"/>
        <w:spacing w:after="40"/>
      </w:pPr>
      <w:r>
        <w:rPr>
          <w:sz w:val="22"/>
        </w:rPr>
        <w:t>Common failure modes — untracked materials, reused lot numbers, movements not recorded, data entered late.</w:t>
      </w:r>
    </w:p>
    <w:p>
      <w:pPr>
        <w:pStyle w:val="ListNumber"/>
        <w:spacing w:after="40"/>
      </w:pPr>
      <w:r>
        <w:rPr>
          <w:sz w:val="22"/>
        </w:rPr>
        <w:t>Genealogy in practice — raw materials → intermediates → finished batches → shipments → customers.</w:t>
      </w:r>
    </w:p>
    <w:p>
      <w:pPr>
        <w:pStyle w:val="ListNumber"/>
        <w:spacing w:after="40"/>
      </w:pPr>
      <w:r>
        <w:rPr>
          <w:sz w:val="22"/>
        </w:rPr>
        <w:t>Recall readiness — how genealogy supports recall classification, quantity reconciliation, and customer notification.</w:t>
      </w:r>
    </w:p>
    <w:p>
      <w:pPr>
        <w:pStyle w:val="ListNumber"/>
        <w:spacing w:after="40"/>
      </w:pPr>
      <w:r>
        <w:rPr>
          <w:sz w:val="22"/>
        </w:rPr>
        <w:t>Building the capability — configuration, process discipline, and the software controls that support it (LSS lot genealogy capabilities [VERIFY CAPABILITY]).</w:t>
      </w:r>
    </w:p>
    <w:p>
      <w:pPr>
        <w:pStyle w:val="ListNumber"/>
        <w:spacing w:after="40"/>
      </w:pPr>
      <w:r>
        <w:rPr>
          <w:sz w:val="22"/>
        </w:rPr>
        <w:t>Testing your genealogy — running a mock trace and a mock recall.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Gated. Educates and positions LSS traceability; strong follow-on to demo interest. Funnel: Education.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watch the genealogy video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4. GMP Digitalization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GMP Digitalization — A Practical Roadmap for Regulated Manufacturers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General Managers, COOs, Quality Directors, IT Directors.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Digitalization projects in GMP environments stall between ambition and validation; paper persists because the path is unclear.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Digitalization in a regulated context — what GMP-aligned digitalization means; compliance is the organization's achievement (honest framing).</w:t>
      </w:r>
    </w:p>
    <w:p>
      <w:pPr>
        <w:pStyle w:val="ListNumber"/>
        <w:spacing w:after="40"/>
      </w:pPr>
      <w:r>
        <w:rPr>
          <w:sz w:val="22"/>
        </w:rPr>
        <w:t>Where to start — the process map: which processes carry the most risk and effort today.</w:t>
      </w:r>
    </w:p>
    <w:p>
      <w:pPr>
        <w:pStyle w:val="ListNumber"/>
        <w:spacing w:after="40"/>
      </w:pPr>
      <w:r>
        <w:rPr>
          <w:sz w:val="22"/>
        </w:rPr>
        <w:t>The phased roadmap — foundation → controls → quality → supply chain → equipment → laboratory → manufacturing → validation closure: a gated approach (mirrors the LSS implementation methodology).</w:t>
      </w:r>
    </w:p>
    <w:p>
      <w:pPr>
        <w:pStyle w:val="ListNumber"/>
        <w:spacing w:after="40"/>
      </w:pPr>
      <w:r>
        <w:rPr>
          <w:sz w:val="22"/>
        </w:rPr>
        <w:t>Data integrity fundamentals — ALCOA+ in practice: attributable, legible, contemporaneous, original, accurate, complete, consistent, enduring, available.</w:t>
      </w:r>
    </w:p>
    <w:p>
      <w:pPr>
        <w:pStyle w:val="ListNumber"/>
        <w:spacing w:after="40"/>
      </w:pPr>
      <w:r>
        <w:rPr>
          <w:sz w:val="22"/>
        </w:rPr>
        <w:t>Electronic records and signatures — what to plan for, how to scope (support for 21 CFR Part 11 / EU Annex 11 expectations) [REQUIRES REGULATORY/LEGAL REVIEW].</w:t>
      </w:r>
    </w:p>
    <w:p>
      <w:pPr>
        <w:pStyle w:val="ListNumber"/>
        <w:spacing w:after="40"/>
      </w:pPr>
      <w:r>
        <w:rPr>
          <w:sz w:val="22"/>
        </w:rPr>
        <w:t>Validation planning — VMP, URS, IQ/OQ/PQ, requirements traceability: integrating validation into the project, not after it.</w:t>
      </w:r>
    </w:p>
    <w:p>
      <w:pPr>
        <w:pStyle w:val="ListNumber"/>
        <w:spacing w:after="40"/>
      </w:pPr>
      <w:r>
        <w:rPr>
          <w:sz w:val="22"/>
        </w:rPr>
        <w:t>Change management and training — people, not just software.</w:t>
      </w:r>
    </w:p>
    <w:p>
      <w:pPr>
        <w:pStyle w:val="ListNumber"/>
        <w:spacing w:after="40"/>
      </w:pPr>
      <w:r>
        <w:rPr>
          <w:sz w:val="22"/>
        </w:rPr>
        <w:t>Sequencing and quick wins — what to digitalize first, second, last.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Broad, gated. Frames the buyer's journey; positions LSS methodology. Funnel: Interest → Education.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digitalization assessment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5. ERP + QMS Architecture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ERP + QMS Architecture — One System or Two?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IT Architects, CIOs, Quality Directors.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Organizations choose between a best-of-breed QMS bolted onto an ERP (integration tax, duplicated master data, reconciliation) and an integrated platform (one data model, one audit trail) — without a framework for the decision.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The architecture question — integrated vs. interfaced: what each really costs.</w:t>
      </w:r>
    </w:p>
    <w:p>
      <w:pPr>
        <w:pStyle w:val="ListNumber"/>
        <w:spacing w:after="40"/>
      </w:pPr>
      <w:r>
        <w:rPr>
          <w:sz w:val="22"/>
        </w:rPr>
        <w:t>Where integration tax hides — master data duplication, reconciliation processes, audit trail gaps, release delays.</w:t>
      </w:r>
    </w:p>
    <w:p>
      <w:pPr>
        <w:pStyle w:val="ListNumber"/>
        <w:spacing w:after="40"/>
      </w:pPr>
      <w:r>
        <w:rPr>
          <w:sz w:val="22"/>
        </w:rPr>
        <w:t>The integrated model — one data model, one workflow engine, one audit infrastructure; what it enables (batch-to-quality visibility).</w:t>
      </w:r>
    </w:p>
    <w:p>
      <w:pPr>
        <w:pStyle w:val="ListNumber"/>
        <w:spacing w:after="40"/>
      </w:pPr>
      <w:r>
        <w:rPr>
          <w:sz w:val="22"/>
        </w:rPr>
        <w:t>The interfaced model — when it makes sense, and the controls it requires.</w:t>
      </w:r>
    </w:p>
    <w:p>
      <w:pPr>
        <w:pStyle w:val="ListNumber"/>
        <w:spacing w:after="40"/>
      </w:pPr>
      <w:r>
        <w:rPr>
          <w:sz w:val="22"/>
        </w:rPr>
        <w:t>Validation implications — validating one platform vs. validating interfaces and synchronization.</w:t>
      </w:r>
    </w:p>
    <w:p>
      <w:pPr>
        <w:pStyle w:val="ListNumber"/>
        <w:spacing w:after="40"/>
      </w:pPr>
      <w:r>
        <w:rPr>
          <w:sz w:val="22"/>
        </w:rPr>
        <w:t>Extensibility and openness — open-source foundations (Odoo 19 Community Edition), APIs, integration with LIMS/MES/WMS/EDI.</w:t>
      </w:r>
    </w:p>
    <w:p>
      <w:pPr>
        <w:pStyle w:val="ListNumber"/>
        <w:spacing w:after="40"/>
      </w:pPr>
      <w:r>
        <w:rPr>
          <w:sz w:val="22"/>
        </w:rPr>
        <w:t>Decision framework — criteria, weights, and the questions to ask vendors.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Gated, technical. Attracts IT/architecture stakeholders into the buying committee. Funnel: Education.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technical workshop offer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6. CAPA Management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CAPA That Closes on Evidence — A Practical Guide to Corrective and Preventive Action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 Managers, CAPA owners, Quality Engineers.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CAPA systems fill with records that close on implementation dates rather than verified effectiveness — audits find the pattern, and the pattern is costly.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What CAPA is for — correcting and preventing; the regulatory process context (GMP-aligned expectations).</w:t>
      </w:r>
    </w:p>
    <w:p>
      <w:pPr>
        <w:pStyle w:val="ListNumber"/>
        <w:spacing w:after="40"/>
      </w:pPr>
      <w:r>
        <w:rPr>
          <w:sz w:val="22"/>
        </w:rPr>
        <w:t>The CAPA lifecycle — identify → assess → investigate → plan → implement → verify → close: each stage's purpose and evidence.</w:t>
      </w:r>
    </w:p>
    <w:p>
      <w:pPr>
        <w:pStyle w:val="ListNumber"/>
        <w:spacing w:after="40"/>
      </w:pPr>
      <w:r>
        <w:rPr>
          <w:sz w:val="22"/>
        </w:rPr>
        <w:t>Root cause analysis done properly — 5 Whys, Ishikawa, FMEA: choosing the tool for the problem.</w:t>
      </w:r>
    </w:p>
    <w:p>
      <w:pPr>
        <w:pStyle w:val="ListNumber"/>
        <w:spacing w:after="40"/>
      </w:pPr>
      <w:r>
        <w:rPr>
          <w:sz w:val="22"/>
        </w:rPr>
        <w:t>Effectiveness verification — acceptance criteria before implementation; verifier independence.</w:t>
      </w:r>
    </w:p>
    <w:p>
      <w:pPr>
        <w:pStyle w:val="ListNumber"/>
        <w:spacing w:after="40"/>
      </w:pPr>
      <w:r>
        <w:rPr>
          <w:sz w:val="22"/>
        </w:rPr>
        <w:t>CAPA and change control — when actions require change control.</w:t>
      </w:r>
    </w:p>
    <w:p>
      <w:pPr>
        <w:pStyle w:val="ListNumber"/>
        <w:spacing w:after="40"/>
      </w:pPr>
      <w:r>
        <w:rPr>
          <w:sz w:val="22"/>
        </w:rPr>
        <w:t>CAPA metrics that mean something — aging, recurrence, effectiveness rate (measurement definitions, no invented benchmarks).</w:t>
      </w:r>
    </w:p>
    <w:p>
      <w:pPr>
        <w:pStyle w:val="ListNumber"/>
        <w:spacing w:after="40"/>
      </w:pPr>
      <w:r>
        <w:rPr>
          <w:sz w:val="22"/>
        </w:rPr>
        <w:t>Software support — what a CAPA module must enforce: no closure without effectiveness evidence [VERIFY CAPABILITY].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Gated, practitioner-focused. Funnel: Education → Lead.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CAPA-focused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7. Deviation Management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Deviation Management — Turning the Moment of Truth Into Controlled Evidence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QA, Production Managers, Quality Engineers.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Deviations are recorded late, investigated shallowly, and closed without impact assessment — creating both product risk and audit findings.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What counts as a deviation — process, procedure, specification, and system incidents.</w:t>
      </w:r>
    </w:p>
    <w:p>
      <w:pPr>
        <w:pStyle w:val="ListNumber"/>
        <w:spacing w:after="40"/>
      </w:pPr>
      <w:r>
        <w:rPr>
          <w:sz w:val="22"/>
        </w:rPr>
        <w:t>Recording discipline — contemporaneous capture, complete description, no editing of the original record.</w:t>
      </w:r>
    </w:p>
    <w:p>
      <w:pPr>
        <w:pStyle w:val="ListNumber"/>
        <w:spacing w:after="40"/>
      </w:pPr>
      <w:r>
        <w:rPr>
          <w:sz w:val="22"/>
        </w:rPr>
        <w:t>Classification and impact assessment — critical/major/minor; product impact and data-integrity impact.</w:t>
      </w:r>
    </w:p>
    <w:p>
      <w:pPr>
        <w:pStyle w:val="ListNumber"/>
        <w:spacing w:after="40"/>
      </w:pPr>
      <w:r>
        <w:rPr>
          <w:sz w:val="22"/>
        </w:rPr>
        <w:t>Investigation — evidence, root cause, and the questions that find it.</w:t>
      </w:r>
    </w:p>
    <w:p>
      <w:pPr>
        <w:pStyle w:val="ListNumber"/>
        <w:spacing w:after="40"/>
      </w:pPr>
      <w:r>
        <w:rPr>
          <w:sz w:val="22"/>
        </w:rPr>
        <w:t>Disposition — release, rework, reject: who decides, who signs.</w:t>
      </w:r>
    </w:p>
    <w:p>
      <w:pPr>
        <w:pStyle w:val="ListNumber"/>
        <w:spacing w:after="40"/>
      </w:pPr>
      <w:r>
        <w:rPr>
          <w:sz w:val="22"/>
        </w:rPr>
        <w:t>The CAPA connection — when a deviation must become a CAPA.</w:t>
      </w:r>
    </w:p>
    <w:p>
      <w:pPr>
        <w:pStyle w:val="ListNumber"/>
        <w:spacing w:after="40"/>
      </w:pPr>
      <w:r>
        <w:rPr>
          <w:sz w:val="22"/>
        </w:rPr>
        <w:t>Trending and review — patterns management should see.</w:t>
      </w:r>
    </w:p>
    <w:p>
      <w:pPr>
        <w:pStyle w:val="ListNumber"/>
        <w:spacing w:after="40"/>
      </w:pPr>
      <w:r>
        <w:rPr>
          <w:sz w:val="22"/>
        </w:rPr>
        <w:t>Software support — deviations connected to batches, documents, and CAPA [VERIFY CAPABILITY].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Gated, practitioner-focused. Funnel: Education → Lead.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demo (deviation workflow).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8. Pharmaceutical Traceability Guide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Pharmaceutical Traceability — From Raw Material to Patient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QA, Supply Chain, Regulatory Affairs, Warehouse Managers.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Traceability is fragmented across suppliers, warehouses, production, and distribution; end-to-end questions are answered slowly or not at all.</w:t>
      </w:r>
    </w:p>
    <w:p>
      <w:pPr>
        <w:pStyle w:val="ListBullet"/>
        <w:spacing w:after="40"/>
      </w:pPr>
      <w:r>
        <w:rPr>
          <w:b/>
          <w:sz w:val="22"/>
        </w:rPr>
        <w:t>Table of contents:</w:t>
      </w:r>
    </w:p>
    <w:p>
      <w:pPr>
        <w:pStyle w:val="ListNumber"/>
        <w:spacing w:after="40"/>
      </w:pPr>
      <w:r>
        <w:rPr>
          <w:sz w:val="22"/>
        </w:rPr>
        <w:t>Traceability fundamentals — lot, serial, and the units of traceability.</w:t>
      </w:r>
    </w:p>
    <w:p>
      <w:pPr>
        <w:pStyle w:val="ListNumber"/>
        <w:spacing w:after="40"/>
      </w:pPr>
      <w:r>
        <w:rPr>
          <w:sz w:val="22"/>
        </w:rPr>
        <w:t>The full chain — supplier lots → goods receipt → quarantine → QC → production consumption → finished batches → distribution → customers.</w:t>
      </w:r>
    </w:p>
    <w:p>
      <w:pPr>
        <w:pStyle w:val="ListNumber"/>
        <w:spacing w:after="40"/>
      </w:pPr>
      <w:r>
        <w:rPr>
          <w:sz w:val="22"/>
        </w:rPr>
        <w:t>Expiry, quarantine and release — the controls that keep the chain safe.</w:t>
      </w:r>
    </w:p>
    <w:p>
      <w:pPr>
        <w:pStyle w:val="ListNumber"/>
        <w:spacing w:after="40"/>
      </w:pPr>
      <w:r>
        <w:rPr>
          <w:sz w:val="22"/>
        </w:rPr>
        <w:t>Serialization and aggregation — GS1-aligned labeling, from unit to shipper [VERIFY CAPABILITY — GS1 depth].</w:t>
      </w:r>
    </w:p>
    <w:p>
      <w:pPr>
        <w:pStyle w:val="ListNumber"/>
        <w:spacing w:after="40"/>
      </w:pPr>
      <w:r>
        <w:rPr>
          <w:sz w:val="22"/>
        </w:rPr>
        <w:t>Distribution traceability — who received what, when, and in what condition.</w:t>
      </w:r>
    </w:p>
    <w:p>
      <w:pPr>
        <w:pStyle w:val="ListNumber"/>
        <w:spacing w:after="40"/>
      </w:pPr>
      <w:r>
        <w:rPr>
          <w:sz w:val="22"/>
        </w:rPr>
        <w:t>Recall and market action readiness — traceability as the substrate for recalls.</w:t>
      </w:r>
    </w:p>
    <w:p>
      <w:pPr>
        <w:pStyle w:val="ListNumber"/>
        <w:spacing w:after="40"/>
      </w:pPr>
      <w:r>
        <w:rPr>
          <w:sz w:val="22"/>
        </w:rPr>
        <w:t>Data integrity across the chain — the records that make traceability trustworthy.</w:t>
      </w:r>
    </w:p>
    <w:p>
      <w:pPr>
        <w:pStyle w:val="ListNumber"/>
        <w:spacing w:after="40"/>
      </w:pPr>
      <w:r>
        <w:rPr>
          <w:sz w:val="22"/>
        </w:rPr>
        <w:t>Implementing traceability — configuration, process discipline, software controls (LSS traceability modules).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Gated. Funnel: Education.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→ genealogy video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9. Digital Quality Management Checklist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The Digital Quality Management Checklist — 40 Questions Before You Replace Paper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QA Managers, Document Controllers, small-to-mid regulated manufacturers.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Teams know they need digital QMS but don't know what "done well" looks like; checklists force an honest baseline.</w:t>
      </w:r>
    </w:p>
    <w:p>
      <w:pPr>
        <w:pStyle w:val="ListBullet"/>
        <w:spacing w:after="40"/>
      </w:pPr>
      <w:r>
        <w:rPr>
          <w:b/>
          <w:sz w:val="22"/>
        </w:rPr>
        <w:t>Table of contents (checklist sections):</w:t>
      </w:r>
    </w:p>
    <w:p>
      <w:pPr>
        <w:pStyle w:val="ListNumber"/>
        <w:spacing w:after="40"/>
      </w:pPr>
      <w:r>
        <w:rPr>
          <w:sz w:val="22"/>
        </w:rPr>
        <w:t>Documents — lifecycle, approvals, distribution, retention, training linkage (8 questions)</w:t>
      </w:r>
    </w:p>
    <w:p>
      <w:pPr>
        <w:pStyle w:val="ListNumber"/>
        <w:spacing w:after="40"/>
      </w:pPr>
      <w:r>
        <w:rPr>
          <w:sz w:val="22"/>
        </w:rPr>
        <w:t>Deviations — capture, classification, investigation, disposition (6 questions)</w:t>
      </w:r>
    </w:p>
    <w:p>
      <w:pPr>
        <w:pStyle w:val="ListNumber"/>
        <w:spacing w:after="40"/>
      </w:pPr>
      <w:r>
        <w:rPr>
          <w:sz w:val="22"/>
        </w:rPr>
        <w:t>CAPA — effectiveness criteria, verification, closure discipline (6 questions)</w:t>
      </w:r>
    </w:p>
    <w:p>
      <w:pPr>
        <w:pStyle w:val="ListNumber"/>
        <w:spacing w:after="40"/>
      </w:pPr>
      <w:r>
        <w:rPr>
          <w:sz w:val="22"/>
        </w:rPr>
        <w:t>Change control — assessment, approval, validation impact (5 questions)</w:t>
      </w:r>
    </w:p>
    <w:p>
      <w:pPr>
        <w:pStyle w:val="ListNumber"/>
        <w:spacing w:after="40"/>
      </w:pPr>
      <w:r>
        <w:rPr>
          <w:sz w:val="22"/>
        </w:rPr>
        <w:t>Training — matrices, competency, document linkage (4 questions)</w:t>
      </w:r>
    </w:p>
    <w:p>
      <w:pPr>
        <w:pStyle w:val="ListNumber"/>
        <w:spacing w:after="40"/>
      </w:pPr>
      <w:r>
        <w:rPr>
          <w:sz w:val="22"/>
        </w:rPr>
        <w:t>Audit readiness — evidence assembly, revision history, inspection support (5 questions)</w:t>
      </w:r>
    </w:p>
    <w:p>
      <w:pPr>
        <w:pStyle w:val="ListNumber"/>
        <w:spacing w:after="40"/>
      </w:pPr>
      <w:r>
        <w:rPr>
          <w:sz w:val="22"/>
        </w:rPr>
        <w:t>Traceability — lot/serial capture, genealogy, recall readiness (6 questions)</w:t>
      </w:r>
    </w:p>
    <w:p>
      <w:pPr>
        <w:spacing w:after="120" w:line="276" w:lineRule="auto"/>
      </w:pPr>
      <w:r>
        <w:rPr>
          <w:sz w:val="22"/>
        </w:rPr>
        <w:t>Scoring guide: 0-40 → maturity bands (paper-bound / hybrid / controlled / connected) with next-step recommendations. No invented industry benchmarks — bands are relative maturity levels.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Ungated (or lightly gated) top-of-funnel lead magnet; high download volume; feeds email nurture. Funnel: Lead.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Download checklist → assessment →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10. Life Sciences Digitalization Assessment</w:t>
      </w:r>
    </w:p>
    <w:p>
      <w:pPr>
        <w:pStyle w:val="ListBullet"/>
        <w:spacing w:after="40"/>
      </w:pPr>
      <w:r>
        <w:rPr>
          <w:b/>
          <w:sz w:val="22"/>
        </w:rPr>
        <w:t>Title:</w:t>
      </w:r>
      <w:r>
        <w:rPr>
          <w:sz w:val="22"/>
        </w:rPr>
        <w:t xml:space="preserve"> The Life Sciences Digitalization Assessment — Where Is Your Operation Today?</w:t>
      </w:r>
    </w:p>
    <w:p>
      <w:pPr>
        <w:pStyle w:val="ListBullet"/>
        <w:spacing w:after="40"/>
      </w:pPr>
      <w:r>
        <w:rPr>
          <w:b/>
          <w:sz w:val="22"/>
        </w:rPr>
        <w:t>Target audience:</w:t>
      </w:r>
      <w:r>
        <w:rPr>
          <w:sz w:val="22"/>
        </w:rPr>
        <w:t xml:space="preserve"> General Managers, COOs, Quality Directors, IT Directors.</w:t>
      </w:r>
    </w:p>
    <w:p>
      <w:pPr>
        <w:pStyle w:val="ListBullet"/>
        <w:spacing w:after="40"/>
      </w:pPr>
      <w:r>
        <w:rPr>
          <w:b/>
          <w:sz w:val="22"/>
        </w:rPr>
        <w:t>Problem:</w:t>
      </w:r>
      <w:r>
        <w:rPr>
          <w:sz w:val="22"/>
        </w:rPr>
        <w:t xml:space="preserve"> Organizations don't know their digitalization baseline; without one, investments are guesses.</w:t>
      </w:r>
    </w:p>
    <w:p>
      <w:pPr>
        <w:pStyle w:val="ListBullet"/>
        <w:spacing w:after="40"/>
      </w:pPr>
      <w:r>
        <w:rPr>
          <w:b/>
          <w:sz w:val="22"/>
        </w:rPr>
        <w:t>Table of contents (assessment structure):</w:t>
      </w:r>
    </w:p>
    <w:p>
      <w:pPr>
        <w:pStyle w:val="ListNumber"/>
        <w:spacing w:after="40"/>
      </w:pPr>
      <w:r>
        <w:rPr>
          <w:sz w:val="22"/>
        </w:rPr>
        <w:t>Assessment design — 12-15 scored questions across six dimensions: process documentation, quality processes, manufacturing control, traceability, data integrity, systems integration.</w:t>
      </w:r>
    </w:p>
    <w:p>
      <w:pPr>
        <w:pStyle w:val="ListNumber"/>
        <w:spacing w:after="40"/>
      </w:pPr>
      <w:r>
        <w:rPr>
          <w:sz w:val="22"/>
        </w:rPr>
        <w:t>Question set — each question with 4 answer options mapped to maturity levels (paper / local tools / partially connected / connected &amp; controlled).</w:t>
      </w:r>
    </w:p>
    <w:p>
      <w:pPr>
        <w:pStyle w:val="ListNumber"/>
        <w:spacing w:after="40"/>
      </w:pPr>
      <w:r>
        <w:rPr>
          <w:sz w:val="22"/>
        </w:rPr>
        <w:t>Scoring model — dimension scores + overall band: 1-2 (foundation), 3 (hybrid), 4 (controlled), 5 (connected). Band descriptions and typical next steps per band.</w:t>
      </w:r>
    </w:p>
    <w:p>
      <w:pPr>
        <w:pStyle w:val="ListNumber"/>
        <w:spacing w:after="40"/>
      </w:pPr>
      <w:r>
        <w:rPr>
          <w:sz w:val="22"/>
        </w:rPr>
        <w:t>Output — a one-page report with dimension radar and prioritized improvement areas (deliverable: PDF report generated from web form).</w:t>
      </w:r>
    </w:p>
    <w:p>
      <w:pPr>
        <w:pStyle w:val="ListNumber"/>
        <w:spacing w:after="40"/>
      </w:pPr>
      <w:r>
        <w:rPr>
          <w:sz w:val="22"/>
        </w:rPr>
        <w:t>Follow-on — recommended reading (guides 1-8), and an optional consultation to discuss results.</w:t>
      </w:r>
    </w:p>
    <w:p>
      <w:pPr>
        <w:pStyle w:val="ListBullet"/>
        <w:spacing w:after="40"/>
      </w:pPr>
      <w:r>
        <w:rPr>
          <w:b/>
          <w:sz w:val="22"/>
        </w:rPr>
        <w:t>Lead-generation purpose:</w:t>
      </w:r>
      <w:r>
        <w:rPr>
          <w:sz w:val="22"/>
        </w:rPr>
        <w:t xml:space="preserve"> Interactive, gated by email. High engagement; produces qualified leads with known pain areas. Funnel: Lead → Qualification.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Start the assessment → get your report → talk to an advisor.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DISTRIBUTION &amp; PROMOTION PLAN</w:t>
      </w:r>
    </w:p>
    <w:p>
      <w:pPr>
        <w:spacing w:after="120" w:line="276" w:lineRule="auto"/>
      </w:pPr>
      <w:r>
        <w:rPr>
          <w:b/>
          <w:sz w:val="22"/>
        </w:rPr>
        <w:t>Ladder structure:</w:t>
      </w:r>
    </w:p>
    <w:p>
      <w:pPr>
        <w:pStyle w:val="ListBullet"/>
        <w:spacing w:after="40"/>
      </w:pPr>
      <w:r>
        <w:rPr>
          <w:b/>
          <w:sz w:val="22"/>
        </w:rPr>
        <w:t>Top of funnel (ungated/light):</w:t>
      </w:r>
      <w:r>
        <w:rPr>
          <w:sz w:val="22"/>
        </w:rPr>
        <w:t xml:space="preserve"> Digital QMS Checklist (ED-09) — broad capture.</w:t>
      </w:r>
    </w:p>
    <w:p>
      <w:pPr>
        <w:pStyle w:val="ListBullet"/>
        <w:spacing w:after="40"/>
      </w:pPr>
      <w:r>
        <w:rPr>
          <w:b/>
          <w:sz w:val="22"/>
        </w:rPr>
        <w:t>Middle:</w:t>
      </w:r>
      <w:r>
        <w:rPr>
          <w:sz w:val="22"/>
        </w:rPr>
        <w:t xml:space="preserve"> Digitalization Assessment (ED-10) + GMP Digitalization Guide (ED-04) — engagement and qualification.</w:t>
      </w:r>
    </w:p>
    <w:p>
      <w:pPr>
        <w:pStyle w:val="ListBullet"/>
        <w:spacing w:after="40"/>
      </w:pPr>
      <w:r>
        <w:rPr>
          <w:b/>
          <w:sz w:val="22"/>
        </w:rPr>
        <w:t>Deep (fully gated):</w:t>
      </w:r>
      <w:r>
        <w:rPr>
          <w:sz w:val="22"/>
        </w:rPr>
        <w:t xml:space="preserve"> ERP Selection Guide, QMS Selection Guide, Traceability Guide, Genealogy Guide, Architecture Guide — high-intent capture, nurture with sequences 2 and 3 (Part XII).</w:t>
      </w:r>
    </w:p>
    <w:p>
      <w:pPr>
        <w:spacing w:after="120" w:line="276" w:lineRule="auto"/>
      </w:pPr>
      <w:r>
        <w:rPr>
          <w:b/>
          <w:sz w:val="22"/>
        </w:rPr>
        <w:t>Placement:</w:t>
      </w:r>
      <w:r>
        <w:rPr>
          <w:sz w:val="22"/>
        </w:rPr>
        <w:t xml:space="preserve"> /resources hub with category pages; each guide has its own landing page with a summary, TOC preview, and form. Blog posts and LinkedIn posts (Part IX) drive traffic; Google Search campaigns (Part VIII) target guide-related keywords; retargeting pushes guide downloaders to the demo.</w:t>
      </w:r>
    </w:p>
    <w:p>
      <w:pPr>
        <w:spacing w:after="120" w:line="276" w:lineRule="auto"/>
      </w:pPr>
      <w:r>
        <w:rPr>
          <w:b/>
          <w:sz w:val="22"/>
        </w:rPr>
        <w:t>Gating strategy:</w:t>
      </w:r>
      <w:r>
        <w:rPr>
          <w:sz w:val="22"/>
        </w:rPr>
        <w:t xml:space="preserve"> Checklists and the assessment are ungated or email-only. Selection guides are fully gated (name, company, role, company size, industry). Nurture follows each download with the appropriate email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