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/>
          <w:b/>
          <w:color w:val="0E3A5D"/>
          <w:sz w:val="52"/>
        </w:rPr>
        <w:t>LSS Customer Success, Funnel, KPIs &amp; Launch Package</w:t>
      </w:r>
    </w:p>
    <w:p>
      <w:pPr>
        <w:jc w:val="center"/>
      </w:pPr>
      <w:r>
        <w:rPr>
          <w:rFonts w:ascii="Calibri" w:hAnsi="Calibri"/>
          <w:color w:val="0B6E6E"/>
          <w:sz w:val="28"/>
        </w:rPr>
        <w:t>Parts XVII–XIX, XXI — Templates, Funnel, KPI System, Launch Plan</w:t>
      </w:r>
    </w:p>
    <w:p>
      <w:pPr>
        <w:jc w:val="center"/>
      </w:pPr>
      <w:r>
        <w:rPr>
          <w:color w:val="444A52"/>
          <w:sz w:val="20"/>
        </w:rPr>
        <w:t>LSS — Life Sciences Suite  ·  Marketing &amp; Advertising Master Plan</w:t>
      </w:r>
    </w:p>
    <w:p>
      <w:r>
        <w:br w:type="page"/>
      </w:r>
    </w:p>
    <w:p>
      <w:pPr>
        <w:spacing w:before="120" w:after="200"/>
        <w:pBdr>
          <w:bottom w:val="single" w:sz="12" w:space="4" w:color="0E3A5D"/>
        </w:pBdr>
      </w:pPr>
      <w:r>
        <w:rPr>
          <w:rFonts w:ascii="Calibri" w:hAnsi="Calibri"/>
          <w:b/>
          <w:color w:val="0E3A5D"/>
          <w:sz w:val="44"/>
        </w:rPr>
        <w:t>PARTS XVII, XVIII, XIX, XXI — CUSTOMER SUCCESS, FUNNEL, KPIs, LAUNCH PACKAGE</w:t>
      </w:r>
    </w:p>
    <w:p>
      <w:pPr>
        <w:spacing w:after="120" w:line="276" w:lineRule="auto"/>
      </w:pPr>
      <w:r>
        <w:rPr>
          <w:b/>
          <w:sz w:val="22"/>
        </w:rPr>
        <w:t>LSS — Life Sciences Suite.</w:t>
      </w:r>
      <w:r>
        <w:rPr>
          <w:sz w:val="22"/>
        </w:rPr>
        <w:t xml:space="preserve"> Customer success templates, the complete marketing funnel, the KPI system, and the final commercial launch package.</w:t>
      </w:r>
    </w:p>
    <w:p>
      <w:pPr>
        <w:spacing w:before="120" w:after="200"/>
        <w:pBdr>
          <w:bottom w:val="single" w:sz="12" w:space="4" w:color="0E3A5D"/>
        </w:pBdr>
      </w:pPr>
      <w:r>
        <w:rPr>
          <w:rFonts w:ascii="Calibri" w:hAnsi="Calibri"/>
          <w:b/>
          <w:color w:val="0E3A5D"/>
          <w:sz w:val="44"/>
        </w:rPr>
        <w:t>PART XVII — CUSTOMER SUCCESS MATERIALS (Templates)</w:t>
      </w:r>
    </w:p>
    <w:p>
      <w:pPr>
        <w:spacing w:after="120" w:line="276" w:lineRule="auto"/>
      </w:pPr>
      <w:r>
        <w:rPr>
          <w:sz w:val="22"/>
        </w:rPr>
        <w:t>All templates use [REQUIRES CUSTOMER DATA] placeholders. No fabricated customers, quotes, or numbers. Publication rule: every template becomes publishable only when filled with real, consented customer information.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CS-01 Case Study Template (4-6 pages)</w:t>
      </w:r>
    </w:p>
    <w:p>
      <w:pPr>
        <w:pStyle w:val="ListNumber"/>
        <w:spacing w:after="40"/>
      </w:pPr>
      <w:r>
        <w:rPr>
          <w:b/>
          <w:sz w:val="22"/>
        </w:rPr>
        <w:t>Cover</w:t>
      </w:r>
      <w:r>
        <w:rPr>
          <w:sz w:val="22"/>
        </w:rPr>
        <w:t xml:space="preserve"> — [Customer name] · [Industry] · [Product/solution] · [One-line result statement]</w:t>
      </w:r>
    </w:p>
    <w:p>
      <w:pPr>
        <w:pStyle w:val="ListNumber"/>
        <w:spacing w:after="40"/>
      </w:pPr>
      <w:r>
        <w:rPr>
          <w:b/>
          <w:sz w:val="22"/>
        </w:rPr>
        <w:t>Executive summary</w:t>
      </w:r>
      <w:r>
        <w:rPr>
          <w:sz w:val="22"/>
        </w:rPr>
        <w:t xml:space="preserve"> — the challenge, the solution, the outcome (3 paragraphs, outcome placeholder)</w:t>
      </w:r>
    </w:p>
    <w:p>
      <w:pPr>
        <w:pStyle w:val="ListNumber"/>
        <w:spacing w:after="40"/>
      </w:pPr>
      <w:r>
        <w:rPr>
          <w:b/>
          <w:sz w:val="22"/>
        </w:rPr>
        <w:t>The customer</w:t>
      </w:r>
      <w:r>
        <w:rPr>
          <w:sz w:val="22"/>
        </w:rPr>
        <w:t xml:space="preserve"> — [REQUIRES CUSTOMER DATA]: organization profile, sites, products, size (with consent)</w:t>
      </w:r>
    </w:p>
    <w:p>
      <w:pPr>
        <w:pStyle w:val="ListNumber"/>
        <w:spacing w:after="40"/>
      </w:pPr>
      <w:r>
        <w:rPr>
          <w:b/>
          <w:sz w:val="22"/>
        </w:rPr>
        <w:t>The challenge</w:t>
      </w:r>
      <w:r>
        <w:rPr>
          <w:sz w:val="22"/>
        </w:rPr>
        <w:t xml:space="preserve"> — the business problem before LSS: processes, systems, pains (from customer interview: "Before LSS, our [process] was…"; quote placeholder)</w:t>
      </w:r>
    </w:p>
    <w:p>
      <w:pPr>
        <w:pStyle w:val="ListNumber"/>
        <w:spacing w:after="40"/>
      </w:pPr>
      <w:r>
        <w:rPr>
          <w:b/>
          <w:sz w:val="22"/>
        </w:rPr>
        <w:t>The decision</w:t>
      </w:r>
      <w:r>
        <w:rPr>
          <w:sz w:val="22"/>
        </w:rPr>
        <w:t xml:space="preserve"> — evaluation criteria, why LSS (quote placeholder)</w:t>
      </w:r>
    </w:p>
    <w:p>
      <w:pPr>
        <w:pStyle w:val="ListNumber"/>
        <w:spacing w:after="40"/>
      </w:pPr>
      <w:r>
        <w:rPr>
          <w:b/>
          <w:sz w:val="22"/>
        </w:rPr>
        <w:t>The implementation</w:t>
      </w:r>
      <w:r>
        <w:rPr>
          <w:sz w:val="22"/>
        </w:rPr>
        <w:t xml:space="preserve"> — approach, phases, timeline (with customer consent on details)</w:t>
      </w:r>
    </w:p>
    <w:p>
      <w:pPr>
        <w:pStyle w:val="ListNumber"/>
        <w:spacing w:after="40"/>
      </w:pPr>
      <w:r>
        <w:rPr>
          <w:b/>
          <w:sz w:val="22"/>
        </w:rPr>
        <w:t>The solution in practice</w:t>
      </w:r>
      <w:r>
        <w:rPr>
          <w:sz w:val="22"/>
        </w:rPr>
        <w:t xml:space="preserve"> — how key workflows run today (module references)</w:t>
      </w:r>
    </w:p>
    <w:p>
      <w:pPr>
        <w:pStyle w:val="ListNumber"/>
        <w:spacing w:after="40"/>
      </w:pPr>
      <w:r>
        <w:rPr>
          <w:b/>
          <w:sz w:val="22"/>
        </w:rPr>
        <w:t>Results</w:t>
      </w:r>
      <w:r>
        <w:rPr>
          <w:sz w:val="22"/>
        </w:rPr>
        <w:t xml:space="preserve"> — before/after table: [REQUIRES CUSTOMER DATA — customer-provided metrics only]; qualitative outcomes</w:t>
      </w:r>
    </w:p>
    <w:p>
      <w:pPr>
        <w:pStyle w:val="ListNumber"/>
        <w:spacing w:after="40"/>
      </w:pPr>
      <w:r>
        <w:rPr>
          <w:b/>
          <w:sz w:val="22"/>
        </w:rPr>
        <w:t>Customer quote</w:t>
      </w:r>
      <w:r>
        <w:rPr>
          <w:sz w:val="22"/>
        </w:rPr>
        <w:t xml:space="preserve"> — [REQUIRES CUSTOMER DATA]</w:t>
      </w:r>
    </w:p>
    <w:p>
      <w:pPr>
        <w:pStyle w:val="ListNumber"/>
        <w:spacing w:after="40"/>
      </w:pPr>
      <w:r>
        <w:rPr>
          <w:b/>
          <w:sz w:val="22"/>
        </w:rPr>
        <w:t>CTA</w:t>
      </w:r>
      <w:r>
        <w:rPr>
          <w:sz w:val="22"/>
        </w:rPr>
        <w:t xml:space="preserve"> — "See how LSS could work for your organization — request a demo"</w:t>
      </w:r>
    </w:p>
    <w:p>
      <w:pPr>
        <w:pStyle w:val="ListNumber"/>
        <w:spacing w:after="40"/>
      </w:pPr>
      <w:r>
        <w:rPr>
          <w:b/>
          <w:sz w:val="22"/>
        </w:rPr>
        <w:t>Disclosures</w:t>
      </w:r>
      <w:r>
        <w:rPr>
          <w:sz w:val="22"/>
        </w:rPr>
        <w:t xml:space="preserve"> — publication consent, metric definitions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CS-02 Customer Success Story Template (2-4 pages)</w:t>
      </w:r>
    </w:p>
    <w:p>
      <w:pPr>
        <w:spacing w:after="120" w:line="276" w:lineRule="auto"/>
      </w:pPr>
      <w:r>
        <w:rPr>
          <w:sz w:val="22"/>
        </w:rPr>
        <w:t>Shorter narrative: challenge (1 para) → what changed (workflow story) → outcome (customer-provided metrics + quote). Same disclosure rules.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CS-03 Implementation Story Template (2-4 pages)</w:t>
      </w:r>
    </w:p>
    <w:p>
      <w:pPr>
        <w:spacing w:after="120" w:line="276" w:lineRule="auto"/>
      </w:pPr>
      <w:r>
        <w:rPr>
          <w:sz w:val="22"/>
        </w:rPr>
        <w:t>Focus on the rollout: starting state → methodology (phased/gated, validation support) → milestones → lessons learned → customer advice to peers. Timeline visual required.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CS-04 Before/After Process Comparison Template (2 pages)</w:t>
      </w:r>
    </w:p>
    <w:p>
      <w:pPr>
        <w:spacing w:after="120" w:line="276" w:lineRule="auto"/>
      </w:pPr>
      <w:r>
        <w:rPr>
          <w:sz w:val="22"/>
        </w:rPr>
        <w:t>Side-by-side table/diagram per process: Document approval · Deviation handling · CAPA closure · Batch release · Audit prep · Lot traceability. Columns: Before (customer description) / After (customer description) / What changed. No vendor-authored "after" claims without customer confirmation.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CS-05 Customer Testimonial Template (card set)</w:t>
      </w:r>
    </w:p>
    <w:p>
      <w:pPr>
        <w:spacing w:after="120" w:line="276" w:lineRule="auto"/>
      </w:pPr>
      <w:r>
        <w:rPr>
          <w:sz w:val="22"/>
        </w:rPr>
        <w:t>Quote · Name · Title · Company · Context (what the quote refers to) · Consent status. Minimum 4-6 cards before publishing a set.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CS-06 ROI Story Template (2-4 pages)</w:t>
      </w:r>
    </w:p>
    <w:p>
      <w:pPr>
        <w:spacing w:after="120" w:line="276" w:lineRule="auto"/>
      </w:pPr>
      <w:r>
        <w:rPr>
          <w:sz w:val="22"/>
        </w:rPr>
        <w:t>Customer-provided metrics only: baseline costs (their figures) → investment → measured benefits → payback period (their calculation). Every number attributed to the customer's own measurement; definitions documented.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CS-07 Deployment Story Template (2-4 pages)</w:t>
      </w:r>
    </w:p>
    <w:p>
      <w:pPr>
        <w:spacing w:after="120" w:line="276" w:lineRule="auto"/>
      </w:pPr>
      <w:r>
        <w:rPr>
          <w:sz w:val="22"/>
        </w:rPr>
        <w:t>Technical narrative: environment, architecture, integration points, data migration, validation approach, go-live. For IT/validation audiences.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CS-08 Customer Reference Protocol (internal)</w:t>
      </w:r>
    </w:p>
    <w:p>
      <w:pPr>
        <w:pStyle w:val="ListBullet"/>
        <w:spacing w:after="40"/>
      </w:pPr>
      <w:r>
        <w:rPr>
          <w:sz w:val="22"/>
        </w:rPr>
        <w:t>Reference request process, consent forms, preparation questions, usage rules (sales only, no marketing use without consent), NDA handling.</w:t>
      </w:r>
    </w:p>
    <w:p>
      <w:pPr>
        <w:spacing w:before="120" w:after="200"/>
        <w:pBdr>
          <w:bottom w:val="single" w:sz="12" w:space="4" w:color="0E3A5D"/>
        </w:pBdr>
      </w:pPr>
      <w:r>
        <w:rPr>
          <w:rFonts w:ascii="Calibri" w:hAnsi="Calibri"/>
          <w:b/>
          <w:color w:val="0E3A5D"/>
          <w:sz w:val="44"/>
        </w:rPr>
        <w:t>PART XVIII — MARKETING FUNNEL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Stage-by-stage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304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Objective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Marketing material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CTA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Sales responsibility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Automation required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AWARENESS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Make LSS known to the target market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 campaign ads (AD-01/03/12), LinkedIn content (DI-02), industry articles (AD-04), display banners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LinkedIn, Google Display, industry sites, 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Follow / read / visit site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Impressions, reach, site visits, follower growth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None (marketing)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Ad platforms, tracking tags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INTEREST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Get prospects to engage with content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Problem-led ads (AD-01, AD-04), blog posts, webinar teasers, LinkedIn posts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LinkedIn, email, web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Click / subscribe / read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CTR, blog reads, email signups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None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CMS, email capture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EDUCATION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Build understanding of the problem and the answer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White papers (ED-01…10), guides, checklist, webinar, website solution pages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Website, email, LinkedIn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Download / watch / register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Downloads, webinar registrations, page depth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None (marketing)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Gating forms, nurture trigger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LEAD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Capture contact information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Gated assets (guides, assessment), demo-request form, event QR capture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Website forms, 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Submit form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Leads, cost per lead, lead quality score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SDR triage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Marketing automation, lead scoring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QUALIFICATION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Determine fit and priority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Qualification questionnaire (SA-07), assessment results, BANT questions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Calls, forms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Complete qualification call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Qualified leads (SQL), qualification rate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SDR (primary)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Lead scoring, CRM routing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DISCOVERY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Deeply understand the prospect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Discovery questionnaire (SA-06), discovery summary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calls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Complete discovery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Discovery calls completed, fit score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AE/SE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CRM notes, call recording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Demonstrate value on their process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Demo script (SA-02), demo scenarios (Part VII), one-pagers (PR)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Live demo (video)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Attend demo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Demos delivered, demo→next-step rate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AE/SE (primary)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Demo scheduler, calendar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TECHNICAL WORKSHOP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Validate architecture/integration/validation fit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Architecture page, technical deck, integration materials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Workshop call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Complete workshop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Workshops held, technical objections resolved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 (primary)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Workshop materials repository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BUSINESS CASE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Quantify value with the prospect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ROI template (SA-08), cost model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Working sessions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Approve business case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Business cases delivered, case→proposal rate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AE + prospect CFO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ROI model, CRM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PILOT/POC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Prove on a bounded scope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POC structure (SA-11), pilot environment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Pilot engagement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Pilot success criteria met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Pilot completion, criteria met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 + delivery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Pilot environment, tracking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PROPOSAL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Formalize the offer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Proposal template (SA-09)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Document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Proposal accepted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Proposals sent, win rate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AE (primary)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Proposal tool, CRM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CONTRACT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Close the agreement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Contract, terms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Legal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Signed contract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Contracts signed, cycle time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AE + legal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E-signature, CRM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IMPLEMENTATION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Deliver the solution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Implementation methodology, project governance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Delivery project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Go-live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Phase gates passed, go-live on plan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Delivery lead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PM tools, gates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CUSTOMER SUCCESS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Ensure adoption and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Training, support, success plans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Service delivery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Adoption &amp; value realized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Adoption metrics, CSAT, renewals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Customer Success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CS tooling, health scores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REFERENCE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Convert success into advocacy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CS templates (CS-01…08), reference protocol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Interviews, 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Consent to reference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References granted, co-marketing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Customer Success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Reference CRM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NEW LEADS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Close the loop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Case studies, referral ask, events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All channels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Referral / repeat engagement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Referrals, case-driven leads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+ CS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Referral tracking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Funnel narrative notes</w:t>
      </w:r>
    </w:p>
    <w:p>
      <w:pPr>
        <w:pStyle w:val="ListBullet"/>
        <w:spacing w:after="40"/>
      </w:pPr>
      <w:r>
        <w:rPr>
          <w:b/>
          <w:sz w:val="22"/>
        </w:rPr>
        <w:t>Education-heavy funnel:</w:t>
      </w:r>
      <w:r>
        <w:rPr>
          <w:sz w:val="22"/>
        </w:rPr>
        <w:t xml:space="preserve"> regulated buyers research deeply before engaging; the white-paper ladder (checklist → assessment → guides) is the engine of the education stage.</w:t>
      </w:r>
    </w:p>
    <w:p>
      <w:pPr>
        <w:pStyle w:val="ListBullet"/>
        <w:spacing w:after="40"/>
      </w:pPr>
      <w:r>
        <w:rPr>
          <w:b/>
          <w:sz w:val="22"/>
        </w:rPr>
        <w:t>Demo is the pivotal event:</w:t>
      </w:r>
      <w:r>
        <w:rPr>
          <w:sz w:val="22"/>
        </w:rPr>
        <w:t xml:space="preserve"> every earlier stage optimizes toward a demo framed on the prospect's process; every later stage depends on demo quality (Part VII).</w:t>
      </w:r>
    </w:p>
    <w:p>
      <w:pPr>
        <w:pStyle w:val="ListBullet"/>
        <w:spacing w:after="40"/>
      </w:pPr>
      <w:r>
        <w:rPr>
          <w:b/>
          <w:sz w:val="22"/>
        </w:rPr>
        <w:t>Validation-aware:</w:t>
      </w:r>
      <w:r>
        <w:rPr>
          <w:sz w:val="22"/>
        </w:rPr>
        <w:t xml:space="preserve"> technical workshop and business case stages must include validation planning, because it is a decision blocker for regulated buyers.</w:t>
      </w:r>
    </w:p>
    <w:p>
      <w:pPr>
        <w:pStyle w:val="ListBullet"/>
        <w:spacing w:after="40"/>
      </w:pPr>
      <w:r>
        <w:rPr>
          <w:b/>
          <w:sz w:val="22"/>
        </w:rPr>
        <w:t>Reference loop:</w:t>
      </w:r>
      <w:r>
        <w:rPr>
          <w:sz w:val="22"/>
        </w:rPr>
        <w:t xml:space="preserve"> customer success feeds references which feed new leads; without the CS→reference loop the funnel loses its strongest asset.</w:t>
      </w:r>
    </w:p>
    <w:p>
      <w:pPr>
        <w:spacing w:before="120" w:after="200"/>
        <w:pBdr>
          <w:bottom w:val="single" w:sz="12" w:space="4" w:color="0E3A5D"/>
        </w:pBdr>
      </w:pPr>
      <w:r>
        <w:rPr>
          <w:rFonts w:ascii="Calibri" w:hAnsi="Calibri"/>
          <w:b/>
          <w:color w:val="0E3A5D"/>
          <w:sz w:val="44"/>
        </w:rPr>
        <w:t>PART XIX — MARKETING KPI SYSTEM</w:t>
      </w:r>
    </w:p>
    <w:p>
      <w:pPr>
        <w:spacing w:after="120" w:line="276" w:lineRule="auto"/>
      </w:pPr>
      <w:r>
        <w:rPr>
          <w:b/>
          <w:sz w:val="22"/>
        </w:rPr>
        <w:t>Principle:</w:t>
      </w:r>
      <w:r>
        <w:rPr>
          <w:sz w:val="22"/>
        </w:rPr>
        <w:t xml:space="preserve"> No invented benchmark values. Each KPI is defined with measurement method, owner, and cadence; targets are set from the organization's own baseline after 2-3 quarters of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304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Definition / formula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What it measures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How to track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296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Cadence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Brand awareness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Surveyed recognition + share of search, branded search volume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Whether the market knows LSS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Branded search reports, surveys (annual), LinkedIn follower growth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Brand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Monthly (proxy), annual (survey)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Website traffic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Sessions, unique visitors, by source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Reach of the site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Analytics (GA4 or equivalent)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Weekly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Organic search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Organic sessions, keyword rankings, impressions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SEO health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Search console + analytics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Web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Monthly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LinkedIn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Impressions, engagement rate, follower growth, link clicks, leads attributed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Organic social performance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LinkedIn analytics + UTM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Content Mgr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Weekly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Lead generation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New leads (form fills, downloads, event captures)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Volume of captured contacts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CRM + automation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Demand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Weekly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MQL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Leads meeting marketing qualification (engagement/score threshold)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Marketing-ready leads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Lead scoring in automation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Demand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Weekly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SQL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MQLs accepted by sales after qualification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Sales-ready leads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CRM stage tracking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SDR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Weekly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Demo requests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Number of demo requests (by source)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Interest converting to action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CRM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Demand Gen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Weekly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Demo conversion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Demos requested → demos delivered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Show-up and delivery rate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CRM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AE/SE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Monthly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POC conversion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Demos delivered → POC started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Depth of interest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CRM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Monthly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Proposal conversion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POC/business case → proposal sent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Pipeline progression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CRM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Monthly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Customer acquisition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New customers signed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Closed business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CRM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Monthly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CAC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+ marketing spend ÷ new customers (period)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Cost efficiency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Finance + CRM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Exec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Quarterly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Sales cycle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Average days from lead → contract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Speed of the funnel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CRM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 Ops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Monthly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Pipeline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Weighted pipeline by stage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Future revenue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CRM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Sales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Weekly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CLV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Average revenue per customer × retention duration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Long-term value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Finance + CRM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Exec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Annually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Retention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Renewal rate, churn rate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Customer durability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CS tooling + CRM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Quarterly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Expansion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Upsell/cross-sell revenue, expansion rate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Growth within accounts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CRM + finance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CS/AE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Quarterly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/>
            <w:r>
              <w:rPr>
                <w:sz w:val="19"/>
              </w:rPr>
              <w:t>Referral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References granted, referral-sourced leads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Advocacy engine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CRM + CS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CS</w:t>
            </w:r>
          </w:p>
        </w:tc>
        <w:tc>
          <w:tcPr>
            <w:tcW w:type="dxa" w:w="1296"/>
          </w:tcPr>
          <w:p>
            <w:pPr>
              <w:spacing w:after="20"/>
            </w:pPr>
            <w:r/>
            <w:r>
              <w:rPr>
                <w:sz w:val="19"/>
              </w:rPr>
              <w:t>Quarterly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/>
          <w:sz w:val="22"/>
        </w:rPr>
        <w:t>Measurement guidance:</w:t>
      </w:r>
      <w:r>
        <w:rPr>
          <w:sz w:val="22"/>
        </w:rPr>
        <w:t xml:space="preserve"> define every funnel stage in the CRM with entry/exit criteria before launch; UTM all campaign traffic; agree attribution model (first-touch for awareness, last-touch for conversion, multi-touch for nurture) before data accumulates. Review KPI definitions quarterly; set targets from baseline after 2-3 quarters.</w:t>
      </w:r>
    </w:p>
    <w:p>
      <w:pPr>
        <w:spacing w:before="120" w:after="200"/>
        <w:pBdr>
          <w:bottom w:val="single" w:sz="12" w:space="4" w:color="0E3A5D"/>
        </w:pBdr>
      </w:pPr>
      <w:r>
        <w:rPr>
          <w:rFonts w:ascii="Calibri" w:hAnsi="Calibri"/>
          <w:b/>
          <w:color w:val="0E3A5D"/>
          <w:sz w:val="44"/>
        </w:rPr>
        <w:t>PART XXI — FINAL LAUNCH PACKAGE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The 16 launch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160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Source in master plan</w:t>
            </w:r>
          </w:p>
        </w:tc>
        <w:tc>
          <w:tcPr>
            <w:tcW w:type="dxa" w:w="2160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Status at launch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Brand guidelines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Part I + BR-01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Corporate brochure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Part III + CO-01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Sales deck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Part VI + SA-01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Product one-pagers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Part IV + PR-01…12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Ready (genealogy &amp; validation pages: verify)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Industry one-pagers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Part V + IN-01…06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Website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Part XI + DI-01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Ready (build per copy)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Demo environment messaging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Part VII (demo principles)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Ready (environment requires product team)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Demo script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Part VII + SA-02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LinkedIn campaign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Part IX + DI-02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Google campaign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Part VIII + AD-02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Lead magnet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Part X + ED-09/10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Email sequence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Part XII + DI-03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13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Sales qualification form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Part XIII + SA-07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14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Proposal template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Part XIII + SA-09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15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Case-study template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Part XVII + CS-01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Ready (template only)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16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Event materials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Part XIV + EV-01…10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sz w:val="19"/>
              </w:rPr>
              <w:t>Ready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A. Recommended production order</w:t>
      </w:r>
    </w:p>
    <w:p>
      <w:pPr>
        <w:pStyle w:val="ListBullet"/>
        <w:spacing w:after="40"/>
      </w:pPr>
      <w:r>
        <w:rPr>
          <w:b/>
          <w:sz w:val="22"/>
        </w:rPr>
        <w:t>Weeks 1-2 (foundation):</w:t>
      </w:r>
      <w:r>
        <w:rPr>
          <w:sz w:val="22"/>
        </w:rPr>
        <w:t xml:space="preserve"> Brand guidelines + logo + visual identity (BR-01/02/05) · messaging playbook (BR-04) · executive one-pager (CO-03) · sales deck v1 (SA-01) · presentation master (BR-08)</w:t>
      </w:r>
    </w:p>
    <w:p>
      <w:pPr>
        <w:pStyle w:val="ListBullet"/>
        <w:spacing w:after="40"/>
      </w:pPr>
      <w:r>
        <w:rPr>
          <w:b/>
          <w:sz w:val="22"/>
        </w:rPr>
        <w:t>Weeks 3-4 (core collateral):</w:t>
      </w:r>
      <w:r>
        <w:rPr>
          <w:sz w:val="22"/>
        </w:rPr>
        <w:t xml:space="preserve"> Corporate brochure (CO-01) · company profile (CO-02) · 12 product one-pagers (PR) · industry brochures (IN-01…05) · sales FAQ + objection guide (SA-04/05)</w:t>
      </w:r>
    </w:p>
    <w:p>
      <w:pPr>
        <w:pStyle w:val="ListBullet"/>
        <w:spacing w:after="40"/>
      </w:pPr>
      <w:r>
        <w:rPr>
          <w:b/>
          <w:sz w:val="22"/>
        </w:rPr>
        <w:t>Weeks 5-6 (digital):</w:t>
      </w:r>
      <w:r>
        <w:rPr>
          <w:sz w:val="22"/>
        </w:rPr>
        <w:t xml:space="preserve"> Website build (DI-01) with industry landing pages (IN-06) · LinkedIn company page + 90-day calendar (DI-02) · lead magnets: checklist (ED-09) + assessment (ED-10) · email sequences (DI-03)</w:t>
      </w:r>
    </w:p>
    <w:p>
      <w:pPr>
        <w:pStyle w:val="ListBullet"/>
        <w:spacing w:after="40"/>
      </w:pPr>
      <w:r>
        <w:rPr>
          <w:b/>
          <w:sz w:val="22"/>
        </w:rPr>
        <w:t>Weeks 7-8 (demand &amp; sales):</w:t>
      </w:r>
      <w:r>
        <w:rPr>
          <w:sz w:val="22"/>
        </w:rPr>
        <w:t xml:space="preserve"> Google Search campaigns (AD-02) · LinkedIn campaigns (AD-01) · demo script + environment (SA-02) · qualification + discovery questionnaires (SA-06/07) · proposal template (SA-09)</w:t>
      </w:r>
    </w:p>
    <w:p>
      <w:pPr>
        <w:pStyle w:val="ListBullet"/>
        <w:spacing w:after="40"/>
      </w:pPr>
      <w:r>
        <w:rPr>
          <w:b/>
          <w:sz w:val="22"/>
        </w:rPr>
        <w:t>Weeks 9-12 (activation):</w:t>
      </w:r>
      <w:r>
        <w:rPr>
          <w:sz w:val="22"/>
        </w:rPr>
        <w:t xml:space="preserve"> Display + retargeting (AD-03/07) · event kit for first trade show (EV) · case study template + reference protocol (CS) · webinar #1 · KPI dashboard baseline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B. Dependencies between assets</w:t>
      </w:r>
    </w:p>
    <w:p>
      <w:pPr>
        <w:pStyle w:val="ListBullet"/>
        <w:spacing w:after="40"/>
      </w:pPr>
      <w:r>
        <w:rPr>
          <w:sz w:val="22"/>
        </w:rPr>
        <w:t>Brand guidelines → all visual assets (brochures, deck, ads, web)</w:t>
      </w:r>
    </w:p>
    <w:p>
      <w:pPr>
        <w:pStyle w:val="ListBullet"/>
        <w:spacing w:after="40"/>
      </w:pPr>
      <w:r>
        <w:rPr>
          <w:sz w:val="22"/>
        </w:rPr>
        <w:t>Messaging playbook → all copy (positioning, claims, tagline use)</w:t>
      </w:r>
    </w:p>
    <w:p>
      <w:pPr>
        <w:pStyle w:val="ListBullet"/>
        <w:spacing w:after="40"/>
      </w:pPr>
      <w:r>
        <w:rPr>
          <w:sz w:val="22"/>
        </w:rPr>
        <w:t>Product fact base (module catalog + verification) → all product/industry collateral</w:t>
      </w:r>
    </w:p>
    <w:p>
      <w:pPr>
        <w:pStyle w:val="ListBullet"/>
        <w:spacing w:after="40"/>
      </w:pPr>
      <w:r>
        <w:rPr>
          <w:sz w:val="22"/>
        </w:rPr>
        <w:t>Sales deck v1 → product one-pagers + industry content (deck draws from both)</w:t>
      </w:r>
    </w:p>
    <w:p>
      <w:pPr>
        <w:pStyle w:val="ListBullet"/>
        <w:spacing w:after="40"/>
      </w:pPr>
      <w:r>
        <w:rPr>
          <w:sz w:val="22"/>
        </w:rPr>
        <w:t>Demo environment + script → all demo-driven campaigns (trade shows, retargeting, post-demo email)</w:t>
      </w:r>
    </w:p>
    <w:p>
      <w:pPr>
        <w:pStyle w:val="ListBullet"/>
        <w:spacing w:after="40"/>
      </w:pPr>
      <w:r>
        <w:rPr>
          <w:sz w:val="22"/>
        </w:rPr>
        <w:t>Website → Google/LinkedIn campaigns (landing destinations), lead magnets (gating), email (forms)</w:t>
      </w:r>
    </w:p>
    <w:p>
      <w:pPr>
        <w:pStyle w:val="ListBullet"/>
        <w:spacing w:after="40"/>
      </w:pPr>
      <w:r>
        <w:rPr>
          <w:sz w:val="22"/>
        </w:rPr>
        <w:t>Lead magnets → email sequences → qualification forms → demo funnel</w:t>
      </w:r>
    </w:p>
    <w:p>
      <w:pPr>
        <w:pStyle w:val="ListBullet"/>
        <w:spacing w:after="40"/>
      </w:pPr>
      <w:r>
        <w:rPr>
          <w:sz w:val="22"/>
        </w:rPr>
        <w:t>Case study template → publication only after first customer data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C. Assets requiring verified product information</w:t>
      </w:r>
    </w:p>
    <w:p>
      <w:pPr>
        <w:spacing w:after="120" w:line="276" w:lineRule="auto"/>
      </w:pPr>
      <w:r>
        <w:rPr>
          <w:sz w:val="22"/>
        </w:rPr>
        <w:t>Product one-pagers (PR-01…12 — genealogy, validation, analytics specifics) · demo script (environment behavior) · screenshots library (PR-13 — needs real system) · technology page (integration details, hosting options) · FAQ answers on pricing/packaging/support · implementation durations · CPNP/pharmacovigilance claims · FEFO/genealogy depth claims.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D. Assets requiring real customer information</w:t>
      </w:r>
    </w:p>
    <w:p>
      <w:pPr>
        <w:spacing w:after="120" w:line="276" w:lineRule="auto"/>
      </w:pPr>
      <w:r>
        <w:rPr>
          <w:sz w:val="22"/>
        </w:rPr>
        <w:t>Case studies, success stories, implementation stories, before/after comparisons, testimonials, ROI stories, deployment stories (all CS templates) · website logo strip and testimonial slots · reference program.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E. Assets requiring regulatory/legal review</w:t>
      </w:r>
    </w:p>
    <w:p>
      <w:pPr>
        <w:spacing w:after="120" w:line="276" w:lineRule="auto"/>
      </w:pPr>
      <w:r>
        <w:rPr>
          <w:sz w:val="22"/>
        </w:rPr>
        <w:t>Any copy naming regulations (brochure page 9, technology page, FAQ 5/14, QMS one-pager, industry materials referencing ISO/MDR/21 CFR Part 11/ANPP) · compliance-related claims ("supports compliance" formulations) · privacy policy and data handling for the website and lead capture · terms for the demo environment · email marketing consent practices.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F. Assets that can be generated immediately (from the confirmed fact base)</w:t>
      </w:r>
    </w:p>
    <w:p>
      <w:pPr>
        <w:spacing w:after="120" w:line="276" w:lineRule="auto"/>
      </w:pPr>
      <w:r>
        <w:rPr>
          <w:sz w:val="22"/>
        </w:rPr>
        <w:t>Brand strategy (Part I) · messaging playbook · corporate brochure and company profile (with placeholders) · sales deck · product one-pagers (with verification markers) · industry materials · website copy (Part XI) · advertising campaigns (Part VIII) · LinkedIn system (Part IX) · white paper structures (Part X) · email sequences (Part XII) · sales enablement toolkit (Part XIII) · event kit (Part XIV) · visual and video assets (Parts XV-XVI) · funnel and KPI definitions (Parts XVIII-XIX) · launch plan (this part).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G. Assets that should NOT be published until verified</w:t>
      </w:r>
    </w:p>
    <w:p>
      <w:pPr>
        <w:spacing w:after="120" w:line="276" w:lineRule="auto"/>
      </w:pPr>
      <w:r>
        <w:rPr>
          <w:sz w:val="22"/>
        </w:rPr>
        <w:t>Screenshots library (needs real system) · demo environment (needs working instance) · any performance/efficiency claims (none exist in the fact base — do not add) · case studies/testimonials (need customers) · pricing/packaging statements · regulatory naming beyond "supports processes aligned with..." · claims about genealogy, pharmacovigilance, CPNP, FEFO enforcement depth beyond catalog statements.</w:t>
      </w: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60/90-day launch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880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Weeks</w:t>
            </w:r>
          </w:p>
        </w:tc>
        <w:tc>
          <w:tcPr>
            <w:tcW w:type="dxa" w:w="2880"/>
            <w:shd w:val="clear" w:color="auto" w:fill="0E3A5D"/>
          </w:tcPr>
          <w:p>
            <w:pPr>
              <w:spacing w:after="2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9"/>
              </w:rPr>
              <w:t>Key milestones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Foundation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1-2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Brand + messaging approved; deck v1; exec one-pager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Core collateral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3-4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Brochure, profile, one-pagers, industry materials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Digital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5-6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Website live; LinkedIn active; lead magnets live; email live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Demand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7-8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Google + LinkedIn ads live; demo capability ready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Activation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9-10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Display/retargeting live; first event; webinar #1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Optimize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11-12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sz w:val="19"/>
              </w:rPr>
              <w:t>KPI baseline; campaign rebalance; first case-study interview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Calibri" w:hAnsi="Calibri"/>
          <w:b/>
          <w:color w:val="0E3A5D"/>
          <w:sz w:val="34"/>
        </w:rPr>
        <w:t>Pre-launch verification checklist</w:t>
      </w:r>
    </w:p>
    <w:p>
      <w:pPr>
        <w:pStyle w:val="ListBullet"/>
        <w:spacing w:after="40"/>
      </w:pPr>
      <w:r>
        <w:rPr>
          <w:sz w:val="22"/>
        </w:rPr>
        <w:t>[ ] Product team confirms module availability and packaging [REQUIRES PRODUCT VERIFICATION — critical path]</w:t>
      </w:r>
    </w:p>
    <w:p>
      <w:pPr>
        <w:pStyle w:val="ListBullet"/>
        <w:spacing w:after="40"/>
      </w:pPr>
      <w:r>
        <w:rPr>
          <w:sz w:val="22"/>
        </w:rPr>
        <w:t>[ ] Regulatory/legal review completed on all regulatory references</w:t>
      </w:r>
    </w:p>
    <w:p>
      <w:pPr>
        <w:pStyle w:val="ListBullet"/>
        <w:spacing w:after="40"/>
      </w:pPr>
      <w:r>
        <w:rPr>
          <w:sz w:val="22"/>
        </w:rPr>
        <w:t>[ ] Demo environment operational with realistic illustrative data</w:t>
      </w:r>
    </w:p>
    <w:p>
      <w:pPr>
        <w:pStyle w:val="ListBullet"/>
        <w:spacing w:after="40"/>
      </w:pPr>
      <w:r>
        <w:rPr>
          <w:sz w:val="22"/>
        </w:rPr>
        <w:t>[ ] Screenshots captured from the live environment (replace all mockups)</w:t>
      </w:r>
    </w:p>
    <w:p>
      <w:pPr>
        <w:pStyle w:val="ListBullet"/>
        <w:spacing w:after="40"/>
      </w:pPr>
      <w:r>
        <w:rPr>
          <w:sz w:val="22"/>
        </w:rPr>
        <w:t>[ ] Privacy/consent flows in place for forms and emails</w:t>
      </w:r>
    </w:p>
    <w:p>
      <w:pPr>
        <w:pStyle w:val="ListBullet"/>
        <w:spacing w:after="40"/>
      </w:pPr>
      <w:r>
        <w:rPr>
          <w:sz w:val="22"/>
        </w:rPr>
        <w:t>[ ] KPI tracking configured (analytics, CRM stages, attribution)</w:t>
      </w:r>
    </w:p>
    <w:p>
      <w:pPr>
        <w:pStyle w:val="ListBullet"/>
        <w:spacing w:after="40"/>
      </w:pPr>
      <w:r>
        <w:rPr>
          <w:sz w:val="22"/>
        </w:rPr>
        <w:t>[ ] Sales team trained on deck, demo, objections, and FAQ</w:t>
      </w:r>
    </w:p>
    <w:p>
      <w:pPr>
        <w:pStyle w:val="ListBullet"/>
        <w:spacing w:after="40"/>
      </w:pPr>
      <w:r>
        <w:rPr>
          <w:sz w:val="22"/>
        </w:rPr>
        <w:t>[ ] All "To be verified" items resolved or explicitly marked on published assets</w:t>
      </w:r>
    </w:p>
    <w:p>
      <w:pPr>
        <w:pStyle w:val="ListBullet"/>
        <w:spacing w:after="40"/>
      </w:pPr>
      <w:r>
        <w:rPr>
          <w:sz w:val="22"/>
        </w:rPr>
        <w:t>[ ] First customer reference interview scheduled (post-first-implementation)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