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  <w:t xml:space="preserve">LUME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</w:rPr>
        <w:t xml:space="preserve">System Design Review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LUME Product &amp; Engineering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July 18,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Codex architecture review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Product, platform, security, and operations owners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CLAUDE.md; docs/vision/product-vision.md; docs/scalability/monorepo-foundation.md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 review of LUME's current public web, admin/API, tenant-data, media, and deployment architecture, with a recommended stabilization path.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LUME is evolving into a multi-tenant dealership platform with two deliberately different surfaces: a performance-sensitive public Vite site and a data-heavy Next.js admin/API application. Shared packages, Supabase with tenant-scoped RLS, Cloudflare R2, and Vercel form a credible foundation. The recommended direction is to preserve this split while making public API ownership, generated database contracts, and operational evidence more explicit.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The system must serve public inventory and pages quickly, isolate tenant data, support visitor accounts and admin operations, and allow design/content configuration without exposing secrets. This review does not propose a framework rewrite, a new datastore, or microservices. It assumes Supabase remains the transactional source of truth and R2 remains the media store.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Keep every public and administrative data path tenant-scoped by construction and verifiable in tests.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Do not split the product into microservices or replace Supabase/R2 in the next phase.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Make the public inventory path consistently bounded: one paginated request before optional metadata and media work.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Do not move the root Vite app to apps/web until its documented trigger and a dedicated migration window.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Make migrations, public API contracts, and environment identity auditable through CI and staging parity.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Do not allow arbitrary CSS, JavaScript, storage keys, or cross-tenant asset references in tenant configuration.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Continue staging-first releases with production isolation checks and additive, reversible migrations.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Do not promise zero-latency public experiences; optimize the critical path while retaining correct fallbacks.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The codebase has moved beyond a cinematic prototype: it now has tenant-aware inventory, visitor state, Customer 360, website design revisions, background jobs, email/integration hooks, and public/admin deployments. The main architectural risk is not missing primitives; it is ambiguity at the seams. The Vite public app remains at the repository root, public APIs live mainly in the admin Next.js app while root Vercel functions must remain self-contained, and the hand-written Database type claims to mirror an early migration despite a much larger current migration history. If left unresolved, deployment drift and schema/API drift will become the dominant source of regressions.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00000"/>
        </w:rPr>
        <w:t xml:space="preserve">Treat the public site as an untrusted, performance-oriented client; treat Next.js route handlers and cron routes as the trusted application boundary; use Supabase RLS as the final tenant isolation boundary; and use R2 only for tenant-owned or product-owned objects addressed by validated keys. Every request must resolve a tenant once, carry it through explicit filters or claims, and never derive authority from a browser-supplied identifier alone.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</w:rPr>
        <w:t xml:space="preserve">Figure 1. LUME architecture: Public Vite site -&gt; tenant-scoped API boundary -&gt; Supabase/R2; Admin Next.js -&gt; trusted operations -&gt; the same tenant-scoped stores.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Public Vite application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Renders public pages, inventory, visitor UI, and the visual experience. Sends bounded tenant-scoped API requests.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Vercel static delivery; R2 public media; public API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Show a localized UI error or safe media fallback; never fall back to another tenant's data.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Next.js admin and API application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Authenticates staff, resolves tenant context, validates input, owns protected writes and public API reads.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Supabase Auth, tenant_members, tenant settings/design, environment allowlists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Fail closed for identity, membership, write authorization, and unsafe configuration; degrade reads safely when optional services are unavailable.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Supabase data plane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Stores tenants, vehicles, pages, visitors, operational events, revisions, quotas, and integrations under RLS.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Postgres, Auth, Storage metadata, pgvector RPCs, RLS policies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Public reads return bounded errors; trusted mutations use idempotent RPC/transaction patterns when state and history must change together.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Cloudflare R2 and asset pipeline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Stores public media and tenant uploads; database rows retain validated keys and ownership metadata.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R2 public bucket plus tenant asset records and upload validation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Uploads fail without creating misleading references; published revisions retain old asset references for rollback.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Delivery and observability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Vercel deployment checks, analytics/speed insights, error capture, staging parity, and route-level health/readiness.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Vercel telemetry plus tenant-scoped operational/analytics ledgers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Current checks are strong at build and migration time; add explicit latency/error SLOs and synthetic tenant journeys before larger rollout.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A visitor request carries a resolved tenant via validated host, query, or header; an admin request carries an authenticated Supabase session and tenant route context.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Normalize tenant once, origin-check public writes, validate typed payloads, resolve visitor sessions server-side, and require member role checks for admin actions.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Load only the tenant record, role/session state, active design/configuration, and request-specific rows with explicit tenant filters.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Read paths return small public projections; write paths apply a tenant-scoped state transition and return a typed result.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Persist operational state and append-only history before noncritical emails, webhooks, analytics, or background delivery.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External integrations are env-guarded and no-op safely when unprovisioned; retry only idempotent deliveries with bounded attempts and recorded outcomes.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Return a minimal response, record trusted operational events where required, and emit error/usage signals outside the visitor-critical path.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tenant_slug: canonical tenant routing identity; validate against the resolved active tenant.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actor_kind: visitor, authenticated member, or trusted system route; never trust a client-supplied privilege.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schema_version: normalizes legacy tenant themes/designs to the Luxury template compatibility layer.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tenant_id: mandatory relation on every tenant-owned record and explicit query filter.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field_name_5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JSON document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design/event payload: retain only needed operational fields; do not load password hashes or session tokens into UI projections.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field_name_6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asset key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asset_key: finite allowlisted slot with tenant ownership validation; resolve to a URL only at trusted display boundaries.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field_name_7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idempotency key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idempotency_key: identifies a retryable external delivery or state transition and suppresses duplicate side effects.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Tenant resolution and authorization precede every data access; operational state is durable before optional side effects.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Use database-generated IDs and timestamps; state transitions that need history use a trusted transaction/RPC and return whether a change occurred.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Record tenant_id, actor, action category, source record ID, design/template version, and delivery idempotency key when applicable.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Current-state tables are the source of truth for present UI; append-only operational events describe history; consent-gated browser analytics is not operational truth.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is published at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packages/db/src/schema.ts and the ordered supabase/migrations ledger; replace the hand-written mirror with generated types under a controlled workflow.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LUME should make current state and trusted history consistent for customer-impacting mutations, while allowing analytics, email, and webhooks to be eventually consistent. The visitor saved-vehicle history pattern is the model: repeated requests are harmless, cross-tenant/visitor attempts fail, and one successful state transition produces at most one operational event.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Repeated save/unsave or webhook delivery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Return the stable current state; create no duplicate current row or operational event.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Use unique constraints, transaction/RPC return flags, and delivery idempotency keys.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Database mutation or asset ownership validation fails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Return a typed failure; do not emit trusted history or downstream effects for an uncommitted mutation.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Prevents false Customer 360 history and leaves a route-level error signal for operators.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Email, CRM, domain, or webhook target fails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Keep core request success independent; record pending/failed delivery and retry through bounded workers when configured.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The primary transaction remains authoritative; delivery outcomes are separate, timestamped records.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Tenant design, bot, plan, or domain configuration changes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Use the resolved active revision/configuration for the request; publish creates a durable previous revision for restore.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Validate and persist a versioned document server-side; do not compose authority from mutable client state.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Supabase Auth plus tenant_members roles gate admin access; public endpoints resolve an active tenant and use explicit projections; RLS is the backstop.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Public and Customer 360 projections exclude password hashes, session tokens, and unrelated metadata. Browser bundles never receive service-role or LLM credentials.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Server-only environment variables live in the admin/Vercel environment; public VITE variables contain only browser-safe configuration; R2 write credentials stay server-only.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Migrations are additive and applied first to staging; production identity checks prevent cross-environment deploy/migration mistakes; unprovisioned integrations no-op safely.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Tenant-scoped exports/deletion routes must remain authorized and auditable; design revisions and operational events need explicit retention policy before enterprise scale.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Public API availability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Define a 99.9% monthly success target for list/detail/visitor-session reads.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Platform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sz w:val="16"/>
                <w:szCs w:val="16"/>
              </w:rPr>
              <w:t xml:space="preserve"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Inventory first-card path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Track p75 first cards and API TTFB by tenant; alert on sustained regression against staging baseline.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Public web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sz w:val="16"/>
                <w:szCs w:val="16"/>
              </w:rPr>
              <w:t xml:space="preserve"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Trusted mutation and external-delivery failures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Alert on mutation errors immediately; separate external delivery retry debt from visitor-facing errors.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Platform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sz w:val="16"/>
                <w:szCs w:val="16"/>
              </w:rPr>
              <w:t xml:space="preserve"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Environment/migration parity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Block promotion when deployment identity, migration ledger, or required flags do not match the target environment.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Release engineering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sz w:val="16"/>
                <w:szCs w:val="16"/>
              </w:rPr>
              <w:t xml:space="preserve"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Tenant-state reconciliation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Run a staging synthetic journey for public inventory, visitor save/unsave, admin asset update, and design publish/restore before promotion.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Platform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sz w:val="16"/>
                <w:szCs w:val="16"/>
              </w:rPr>
              <w:t xml:space="preserve">Recommended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Roll out tenant-sensitive changes through staging, keep default-off flags for risky routing/integrations, validate with a real demo tenant, and retain a rollback commit plus database revision restore path before main promotion.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Merge public and admin into one Next.js application now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One framework and routing/deployment surface.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High-risk rewrite of a working cinematic/WebGL client; defer until the documented apps/web trigger.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Keep all business logic in the browser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Fast iteration for purely visual experiences.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Cannot safely hold secrets, enforce tenant writes, or provide durable operational audit.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Split each domain into a separate service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Independent scaling and isolated deploys in theory.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Adds distributed consistency, observability, and release complexity before the product needs it.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Use browser analytics as the Customer 360 source of truth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Simple event collection and reporting.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Consent, ad blockers, retries, and spoofing make analytics unsuitable for trusted customer history.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What is the canonical public API deployment model after the next public-app move: proxy to admin Next.js, or a dedicated public API service? Document one contract and ownership model.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When do tenant design revisions, visitor data, delivery events, and raw imports expire or become exportable/deletable? Define retention by plan and jurisdiction.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What tenant and catalog scale triggers generated Supabase types, a durable shared cache, and the apps/web migration? Set explicit thresholds rather than reacting after drift.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Who owns contract compatibility across migrations, packages/db, root Vercel functions, and the public client? Assign an API/schema steward.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 xml:space="preserve">Keep the current Vite + Next + Supabase + R2 architecture. Do not rewrite it. Tighten contracts and observability first, then perform the public-app move only when its trigger is met. The first rollout audience should remain the staging demo tenant; broaden only after schema/API parity, synthetic journeys, and rollback evidence are recorded.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Contract baseline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Publish canonical public API and tenant-resolution contracts; add generated-schema or CI drift check.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Operational 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Add tenant-aware SLO dashboards and staging synthetic journeys for public/admin critical flows.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Contract rollout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Ship contract hardening to selected tenants; observe zero cross-tenant findings and no critical-path regression for one release cycle.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Scale trigger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</w:rPr>
              <w:t xml:space="preserve">Move the public app only when second-tenant/custom-domain scale requires it and the migration checklist has passed.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