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소프트웨어 개발 용역 계약서</w:t>
      </w:r>
    </w:p>
    <w:p>
      <w:r>
        <w:t xml:space="preserve">발주자 (주)달램 (이하 "갑")과 수급자 박수민 (이하 "을")은 다음과 같이 계약을 체결한다.</w:t>
      </w:r>
    </w:p>
    <w:p>
      <w:pPr>
        <w:pStyle w:val="Heading2"/>
      </w:pPr>
      <w:r>
        <w:t xml:space="preserve">제1조 (목적)</w:t>
      </w:r>
    </w:p>
    <w:p>
      <w:r>
        <w:t xml:space="preserve">본 계약은 갑이 을에게 위탁하는 "달램 예약 웹앱" 개발 용역의 범위와 대가, 권리·의무를 정함을 목적으로 한다.</w:t>
      </w:r>
    </w:p>
    <w:p>
      <w:pPr>
        <w:pStyle w:val="Heading2"/>
      </w:pPr>
      <w:r>
        <w:t xml:space="preserve">제2조 (과업의 범위)</w:t>
      </w:r>
    </w:p>
    <w:p>
      <w:r>
        <w:t xml:space="preserve">과업의 범위는 별첨 제안서 및 요구사항 정의서에 기재된 내용으로 한다. 문서에 기재되지 않은 사항은 과업 범위에 포함되지 않는다.</w:t>
      </w:r>
    </w:p>
    <w:p>
      <w:pPr>
        <w:pStyle w:val="Heading2"/>
      </w:pPr>
      <w:r>
        <w:t xml:space="preserve">제3조 (납기)</w:t>
      </w:r>
    </w:p>
    <w:p>
      <w:r>
        <w:t xml:space="preserve">납품일은 2026년 9월 30일로 한다. 일정 변경은 상호 합의한 경우에 한한다.</w:t>
      </w:r>
    </w:p>
    <w:p>
      <w:pPr>
        <w:pStyle w:val="Heading2"/>
      </w:pPr>
      <w:r>
        <w:t xml:space="preserve">제4조 (대금)</w:t>
      </w:r>
    </w:p>
    <w:tbl>
      <w:tblPr>
        <w:tblBorders>
          <w:top w:val="single" w:sz="4" w:color="D0D5DA"/>
          <w:left w:val="single" w:sz="4" w:color="D0D5DA"/>
          <w:bottom w:val="single" w:sz="4" w:color="D0D5DA"/>
          <w:right w:val="single" w:sz="4" w:color="D0D5DA"/>
          <w:insideH w:val="single" w:sz="4" w:color="D0D5DA"/>
          <w:insideV w:val="single" w:sz="4" w:color="D0D5D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금액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지급 시기</w:t>
            </w:r>
          </w:p>
        </w:tc>
      </w:tr>
      <w:tr>
        <w:tc>
          <w:tcPr>
            <w:tcW w:w="2400" w:type="dxa"/>
          </w:tcPr>
          <w:p>
            <w:r>
              <w:t xml:space="preserve">계약금</w:t>
            </w:r>
          </w:p>
        </w:tc>
        <w:tc>
          <w:tcPr>
            <w:tcW w:w="2400" w:type="dxa"/>
          </w:tcPr>
          <w:p>
            <w:r>
              <w:t xml:space="preserve">3,600,000원</w:t>
            </w:r>
          </w:p>
        </w:tc>
        <w:tc>
          <w:tcPr>
            <w:tcW w:w="2400" w:type="dxa"/>
          </w:tcPr>
          <w:p>
            <w:r>
              <w:t xml:space="preserve">계약 체결 후 7일 이내</w:t>
            </w:r>
          </w:p>
        </w:tc>
      </w:tr>
      <w:tr>
        <w:tc>
          <w:tcPr>
            <w:tcW w:w="2400" w:type="dxa"/>
          </w:tcPr>
          <w:p>
            <w:r>
              <w:t xml:space="preserve">중도금</w:t>
            </w:r>
          </w:p>
        </w:tc>
        <w:tc>
          <w:tcPr>
            <w:tcW w:w="2400" w:type="dxa"/>
          </w:tcPr>
          <w:p>
            <w:r>
              <w:t xml:space="preserve">4,800,000원</w:t>
            </w:r>
          </w:p>
        </w:tc>
        <w:tc>
          <w:tcPr>
            <w:tcW w:w="2400" w:type="dxa"/>
          </w:tcPr>
          <w:p>
            <w:r>
              <w:t xml:space="preserve">중간 산출물 인수 후</w:t>
            </w:r>
          </w:p>
        </w:tc>
      </w:tr>
      <w:tr>
        <w:tc>
          <w:tcPr>
            <w:tcW w:w="2400" w:type="dxa"/>
          </w:tcPr>
          <w:p>
            <w:r>
              <w:t xml:space="preserve">잔금</w:t>
            </w:r>
          </w:p>
        </w:tc>
        <w:tc>
          <w:tcPr>
            <w:tcW w:w="2400" w:type="dxa"/>
          </w:tcPr>
          <w:p>
            <w:r>
              <w:t xml:space="preserve">3,600,000원</w:t>
            </w:r>
          </w:p>
        </w:tc>
        <w:tc>
          <w:tcPr>
            <w:tcW w:w="2400" w:type="dxa"/>
          </w:tcPr>
          <w:p>
            <w:r>
              <w:t xml:space="preserve">최종 검수 완료 후</w:t>
            </w:r>
          </w:p>
        </w:tc>
      </w:tr>
    </w:tbl>
    <w:p>
      <w:pPr>
        <w:pStyle w:val="Heading2"/>
      </w:pPr>
      <w:r>
        <w:t xml:space="preserve">제5조 (과업 변경)</w:t>
      </w:r>
    </w:p>
    <w:p>
      <w:r>
        <w:t xml:space="preserve">과업 범위를 변경할 경우 변경 내용과 대가를 서면으로 합의한 후 착수한다. 서면 합의 없이 수행된 추가 작업에 대하여 을은 이행 의무를 지지 않는다.</w:t>
      </w:r>
    </w:p>
    <w:p>
      <w:pPr>
        <w:pStyle w:val="Heading2"/>
      </w:pPr>
      <w:r>
        <w:t xml:space="preserve">제6조 (하자 보수)</w:t>
      </w:r>
    </w:p>
    <w:p>
      <w:r>
        <w:t xml:space="preserve">을은 최종 검수 완료일로부터 3개월간 하자 보수를 수행한다. 단, 과업 범위 밖의 기능 추가는 하자 보수에 해당하지 않는다.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Heading2">
    <w:name w:val="heading 2"/>
    <w:pPr>
      <w:outlineLvl w:val="1"/>
    </w:pPr>
    <w:rPr>
      <w:b/>
    </w:rPr>
  </w:style>
  <w:style w:type="paragraph" w:styleId="Heading3">
    <w:name w:val="heading 3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