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A72234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0EA3A185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6" type="#_x0000_t75" style="width:18pt;height:15.45pt" o:ole="">
            <v:imagedata r:id="rId7" o:title=""/>
          </v:shape>
          <w:control r:id="rId8" w:name="DefaultOcxName4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287" type="#_x0000_t75" style="width:18pt;height:15.45pt" o:ole="">
            <v:imagedata r:id="rId9" o:title=""/>
          </v:shape>
          <w:control r:id="rId10" w:name="DefaultOcxName5" w:shapeid="_x0000_i1287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18pt;height:15.45pt" o:ole="">
            <v:imagedata r:id="rId7" o:title=""/>
          </v:shape>
          <w:control r:id="rId11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18pt;height:15.45pt" o:ole="">
            <v:imagedata r:id="rId7" o:title=""/>
          </v:shape>
          <w:control r:id="rId12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09427A94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288" type="#_x0000_t75" style="width:18pt;height:15.45pt" o:ole="">
            <v:imagedata r:id="rId9" o:title=""/>
          </v:shape>
          <w:control r:id="rId13" w:name="DefaultOcxName8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18pt;height:15.45pt" o:ole="">
            <v:imagedata r:id="rId7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118" type="#_x0000_t75" style="width:18pt;height:15.45pt" o:ole="">
            <v:imagedata r:id="rId7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18pt;height:15.45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2442EBF8" w:rsidR="00337CF7" w:rsidRPr="00FB2FA8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289" type="#_x0000_t75" style="width:18pt;height:15.45pt" o:ole="">
            <v:imagedata r:id="rId9" o:title=""/>
          </v:shape>
          <w:control r:id="rId17" w:name="DefaultOcxName12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127" type="#_x0000_t75" style="width:18pt;height:15.45pt" o:ole="">
            <v:imagedata r:id="rId7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18pt;height:15.45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18pt;height:15.45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4B319A67" w14:textId="77777777" w:rsidR="007D224B" w:rsidRPr="007D224B" w:rsidRDefault="007D224B" w:rsidP="007D2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D224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lastRenderedPageBreak/>
        <w:t>График показывает, что:</w:t>
      </w:r>
    </w:p>
    <w:p w14:paraId="48FD4DC4" w14:textId="77777777" w:rsidR="007D224B" w:rsidRPr="007D224B" w:rsidRDefault="007D224B" w:rsidP="007D22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D224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Продукт 1</w:t>
      </w:r>
      <w:r w:rsidRPr="007D224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лучше удерживает пользователей в долгосрочной перспективе.</w:t>
      </w:r>
    </w:p>
    <w:p w14:paraId="389D24B5" w14:textId="77777777" w:rsidR="007D224B" w:rsidRPr="007D224B" w:rsidRDefault="007D224B" w:rsidP="007D22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D224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Продукт 2</w:t>
      </w:r>
      <w:r w:rsidRPr="007D224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имеет высокое начальное удержание, но быстро теряет пользователей.</w:t>
      </w:r>
    </w:p>
    <w:p w14:paraId="7F95F8AF" w14:textId="77777777" w:rsidR="007D224B" w:rsidRPr="007D224B" w:rsidRDefault="007D224B" w:rsidP="007D2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D224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Возможные причины:</w:t>
      </w:r>
    </w:p>
    <w:p w14:paraId="377255F9" w14:textId="77777777" w:rsidR="007D224B" w:rsidRPr="007D224B" w:rsidRDefault="007D224B" w:rsidP="007D22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D224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Особенности продуктов:</w:t>
      </w:r>
      <w:r w:rsidRPr="007D224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функциональность, целевая аудитория, сложность использования.</w:t>
      </w:r>
    </w:p>
    <w:p w14:paraId="385909CC" w14:textId="77777777" w:rsidR="007D224B" w:rsidRPr="007D224B" w:rsidRDefault="007D224B" w:rsidP="007D22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D224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Маркетинг:</w:t>
      </w:r>
      <w:r w:rsidRPr="007D224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каналы привлечения, вовлечение пользователей.</w:t>
      </w: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3FE7CC41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18pt;height:15.45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18pt;height:15.45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142" type="#_x0000_t75" style="width:18pt;height:15.45pt" o:ole="">
            <v:imagedata r:id="rId7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18pt;height:15.45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3542AFE2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18pt;height:15.45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18pt;height:15.45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18pt;height:15.45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157" type="#_x0000_t75" style="width:18pt;height:15.45pt" o:ole="">
            <v:imagedata r:id="rId7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,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49A204D6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18pt;height:15.45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18pt;height:15.45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18pt;height:15.45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296" type="#_x0000_t75" style="width:18pt;height:15.45pt" o:ole="">
            <v:imagedata r:id="rId9" o:title=""/>
          </v:shape>
          <w:control r:id="rId33" w:name="DefaultOcxName33" w:shapeid="_x0000_i1296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1D1409FC" w14:textId="77777777" w:rsidR="00F562FA" w:rsidRDefault="00F562FA" w:rsidP="00C26043">
      <w:pPr>
        <w:rPr>
          <w:lang w:val="ru-RU"/>
        </w:rPr>
      </w:pP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49A368EC" w14:textId="644A404D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18pt;height:15.45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175" type="#_x0000_t75" style="width:18pt;height:15.45pt" o:ole="">
            <v:imagedata r:id="rId7" o:title=""/>
          </v:shape>
          <w:control r:id="rId35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178" type="#_x0000_t75" style="width:18pt;height:15.45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18pt;height:15.45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18pt;height:15.45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0F33F3F8" w14:textId="18662E74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69B3975B">
          <v:shape id="_x0000_i1187" type="#_x0000_t75" style="width:18pt;height:15.45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190" type="#_x0000_t75" style="width:18pt;height:15.45pt" o:ole="">
            <v:imagedata r:id="rId7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18pt;height:15.45pt" o:ole="">
            <v:imagedata r:id="rId7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18pt;height:15.45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18pt;height:15.45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72D92B9D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18pt;height:15.45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18pt;height:15.45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08" type="#_x0000_t75" style="width:18pt;height:15.45pt" o:ole="">
            <v:imagedata r:id="rId44" o:title=""/>
          </v:shape>
          <w:control r:id="rId47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14:paraId="2BB5C0AC" w14:textId="34F477A1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211" type="#_x0000_t75" style="width:18pt;height:15.45pt" o:ole="">
            <v:imagedata r:id="rId44" o:title=""/>
          </v:shape>
          <w:control r:id="rId48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47BB3EB2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18pt;height:15.45pt" o:ole="">
            <v:imagedata r:id="rId7" o:title=""/>
          </v:shape>
          <w:control r:id="rId49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5A420D32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18pt;height:15.45pt" o:ole="">
            <v:imagedata r:id="rId7" o:title=""/>
          </v:shape>
          <w:control r:id="rId51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0BECB8FD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D226C1D">
          <v:shape id="_x0000_i1220" type="#_x0000_t75" style="width:18pt;height:15.45pt" o:ole="">
            <v:imagedata r:id="rId7" o:title=""/>
          </v:shape>
          <w:control r:id="rId53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311B9A85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28A52045">
          <v:shape id="_x0000_i1223" type="#_x0000_t75" style="width:18pt;height:15.45pt" o:ole="">
            <v:imagedata r:id="rId7" o:title=""/>
          </v:shape>
          <w:control r:id="rId55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2249363A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18pt;height:15.45pt" o:ole="">
            <v:imagedata r:id="rId7" o:title=""/>
          </v:shape>
          <w:control r:id="rId57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28D5C84A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29" type="#_x0000_t75" style="width:18pt;height:15.45pt" o:ole="">
            <v:imagedata r:id="rId7" o:title=""/>
          </v:shape>
          <w:control r:id="rId59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2AE7BC2D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1D3F2090">
          <v:shape id="_x0000_i1295" type="#_x0000_t75" style="width:18pt;height:15.45pt" o:ole="">
            <v:imagedata r:id="rId9" o:title=""/>
          </v:shape>
          <w:control r:id="rId61" w:name="DefaultOcxName46121" w:shapeid="_x0000_i129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24426D56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2529F17D">
          <v:shape id="_x0000_i1235" type="#_x0000_t75" style="width:18pt;height:15.45pt" o:ole="">
            <v:imagedata r:id="rId7" o:title=""/>
          </v:shape>
          <w:control r:id="rId63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114CF314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96A37B6">
          <v:shape id="_x0000_i1293" type="#_x0000_t75" style="width:18pt;height:15.45pt" o:ole="">
            <v:imagedata r:id="rId65" o:title=""/>
          </v:shape>
          <w:control r:id="rId66" w:name="DefaultOcxName66" w:shapeid="_x0000_i1293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6FE8A4DD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AE828AA">
          <v:shape id="_x0000_i1241" type="#_x0000_t75" style="width:18pt;height:15.45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71622487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376D0329">
          <v:shape id="_x0000_i1294" type="#_x0000_t75" style="width:18pt;height:15.45pt" o:ole="">
            <v:imagedata r:id="rId65" o:title=""/>
          </v:shape>
          <w:control r:id="rId70" w:name="DefaultOcxName68" w:shapeid="_x0000_i129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287FE259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6C1F0A0B">
          <v:shape id="_x0000_i1247" type="#_x0000_t75" style="width:18pt;height:15.45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16A30146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18pt;height:15.45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728EF4E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290" type="#_x0000_t75" style="width:18pt;height:15.45pt" o:ole="">
            <v:imagedata r:id="rId9" o:title=""/>
          </v:shape>
          <w:control r:id="rId75" w:name="DefaultOcxName71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45D341B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5F4D4BF">
          <v:shape id="_x0000_i1256" type="#_x0000_t75" style="width:18pt;height:15.45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0835382B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18pt;height:15.45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6FEBE03E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291" type="#_x0000_t75" style="width:18pt;height:15.45pt" o:ole="">
            <v:imagedata r:id="rId9" o:title=""/>
          </v:shape>
          <w:control r:id="rId78" w:name="DefaultOcxName74" w:shapeid="_x0000_i1291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18pt;height:15.45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18pt;height:15.45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18pt;height:15.45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08305863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18pt;height:15.45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18571B15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292" type="#_x0000_t75" style="width:18pt;height:15.45pt" o:ole="">
            <v:imagedata r:id="rId9" o:title=""/>
          </v:shape>
          <w:control r:id="rId83" w:name="DefaultOcxName79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135D1890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18pt;height:15.45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50945729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6D849852">
          <v:shape id="_x0000_i1283" type="#_x0000_t75" style="width:18pt;height:15.45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47EFB9D8" w14:textId="77777777" w:rsidR="007D224B" w:rsidRPr="007D224B" w:rsidRDefault="007D224B" w:rsidP="007D2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D224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Несмотря на то, что в тестовой группе количество платежей немного выше, </w:t>
      </w:r>
      <w:r w:rsidRPr="007D224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разница в конверсии настолько мала, что ее можно считать статистически незначимой без проведения формального статистического теста</w:t>
      </w:r>
      <w:r w:rsidRPr="007D224B">
        <w:rPr>
          <w:rFonts w:ascii="Times New Roman" w:eastAsia="Times New Roman" w:hAnsi="Times New Roman" w:cs="Times New Roman"/>
          <w:sz w:val="24"/>
          <w:szCs w:val="24"/>
          <w:lang w:eastAsia="ru-KZ"/>
        </w:rPr>
        <w:t>. Другими словами, мы не можем с уверенностью сказать, что вариант B привел к значительному увеличению количества платежей по сравнению с вариантом A.</w:t>
      </w:r>
    </w:p>
    <w:p w14:paraId="52B9728D" w14:textId="77777777" w:rsidR="007D224B" w:rsidRPr="007D224B" w:rsidRDefault="007D224B" w:rsidP="007D2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D224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Рекомендации:</w:t>
      </w:r>
    </w:p>
    <w:p w14:paraId="2F6C7852" w14:textId="77777777" w:rsidR="007D224B" w:rsidRPr="007D224B" w:rsidRDefault="007D224B" w:rsidP="007D22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D224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Провести статистический тест:</w:t>
      </w:r>
      <w:r w:rsidRPr="007D224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Для подтверждения или опровержения наблюдаемой разницы необходимо провести t-тест для независимых выборок. Это позволит определить, является ли наблюдаемая разница статистически значимой.</w:t>
      </w:r>
    </w:p>
    <w:p w14:paraId="6F50A73F" w14:textId="77777777" w:rsidR="007D224B" w:rsidRPr="007D224B" w:rsidRDefault="007D224B" w:rsidP="007D22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D224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Увеличить размер выборки:</w:t>
      </w:r>
      <w:r w:rsidRPr="007D224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Более крупные выборки позволят получить более точные результаты и повысить статистическую мощность теста.</w:t>
      </w:r>
    </w:p>
    <w:p w14:paraId="676CB192" w14:textId="77777777" w:rsidR="00253CEA" w:rsidRPr="00A451CF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sectPr w:rsidR="00253CEA" w:rsidRPr="00A45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C4C232A"/>
    <w:multiLevelType w:val="multilevel"/>
    <w:tmpl w:val="5AC2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A36BC"/>
    <w:multiLevelType w:val="multilevel"/>
    <w:tmpl w:val="0D92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C6AD4"/>
    <w:multiLevelType w:val="multilevel"/>
    <w:tmpl w:val="0944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337CF7"/>
    <w:rsid w:val="00340062"/>
    <w:rsid w:val="00582132"/>
    <w:rsid w:val="00752A67"/>
    <w:rsid w:val="007D224B"/>
    <w:rsid w:val="00874863"/>
    <w:rsid w:val="008A743C"/>
    <w:rsid w:val="00A451CF"/>
    <w:rsid w:val="00A72234"/>
    <w:rsid w:val="00AD4A89"/>
    <w:rsid w:val="00B540E7"/>
    <w:rsid w:val="00C26043"/>
    <w:rsid w:val="00E83C6C"/>
    <w:rsid w:val="00EB5BAF"/>
    <w:rsid w:val="00F562FA"/>
    <w:rsid w:val="00F82522"/>
    <w:rsid w:val="00FA2D9C"/>
    <w:rsid w:val="00FB16AB"/>
    <w:rsid w:val="00FB2FA8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control" Target="activeX/activeX37.xml"/><Relationship Id="rId63" Type="http://schemas.openxmlformats.org/officeDocument/2006/relationships/control" Target="activeX/activeX46.xml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control" Target="activeX/activeX41.xml"/><Relationship Id="rId58" Type="http://schemas.openxmlformats.org/officeDocument/2006/relationships/image" Target="media/image9.png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8.xml"/><Relationship Id="rId56" Type="http://schemas.openxmlformats.org/officeDocument/2006/relationships/image" Target="media/image8.png"/><Relationship Id="rId64" Type="http://schemas.openxmlformats.org/officeDocument/2006/relationships/image" Target="media/image12.png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control" Target="activeX/activeX40.xml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control" Target="activeX/activeX44.xml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image" Target="media/image7.png"/><Relationship Id="rId62" Type="http://schemas.openxmlformats.org/officeDocument/2006/relationships/image" Target="media/image11.png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9.xml"/><Relationship Id="rId57" Type="http://schemas.openxmlformats.org/officeDocument/2006/relationships/control" Target="activeX/activeX43.xml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image" Target="media/image6.png"/><Relationship Id="rId60" Type="http://schemas.openxmlformats.org/officeDocument/2006/relationships/image" Target="media/image10.png"/><Relationship Id="rId65" Type="http://schemas.openxmlformats.org/officeDocument/2006/relationships/image" Target="media/image13.wmf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image" Target="media/image5.png"/><Relationship Id="rId55" Type="http://schemas.openxmlformats.org/officeDocument/2006/relationships/control" Target="activeX/activeX42.xml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control" Target="activeX/activeX45.xml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7</Pages>
  <Words>1278</Words>
  <Characters>7289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Marat Aizere</cp:lastModifiedBy>
  <cp:revision>7</cp:revision>
  <dcterms:created xsi:type="dcterms:W3CDTF">2024-09-05T08:54:00Z</dcterms:created>
  <dcterms:modified xsi:type="dcterms:W3CDTF">2024-11-04T12:53:00Z</dcterms:modified>
</cp:coreProperties>
</file>