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adjustRightInd/>
        <w:pStyle w:val="a1"/>
        <w:ind w:leftChars="0" w:left="0" w:right="0" w:firstLine="0"/>
        <w:wordWrap/>
        <w:spacing w:line="480"/>
        <w:rPr>
          <w:lang w:eastAsia="ko-KR"/>
          <w:rFonts w:ascii="Times New Roman" w:eastAsia="Times New Roman" w:hAnsi="Times New Roman" w:cs="Times New Roman" w:hint="eastAsia"/>
          <w:b/>
          <w:bCs/>
          <w:color w:val="000000"/>
          <w:sz w:val="32"/>
          <w:szCs w:val="32"/>
          <w:kern w:val="0"/>
          <w:u w:color="auto"/>
          <w:rtl w:val="off"/>
        </w:rPr>
      </w:pPr>
      <w:r>
        <w:rPr>
          <w:rFonts w:ascii="Times New Roman" w:eastAsia="Times New Roman" w:hAnsi="Times New Roman" w:cs="Times New Roman"/>
          <w:b/>
          <w:bCs/>
          <w:color w:val="000000"/>
          <w:sz w:val="32"/>
          <w:szCs w:val="32"/>
          <w:kern w:val="0"/>
          <w:u w:color="auto"/>
        </w:rPr>
        <w:t>Machine Learning-Powered Optimization of Bacterial Communities from Urban Soil</w:t>
      </w: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p>
    <w:p>
      <w:pPr>
        <w:adjustRightInd/>
        <w:pStyle w:val="a1"/>
        <w:ind w:leftChars="0" w:left="0" w:right="0" w:firstLine="0"/>
        <w:wordWrap/>
        <w:spacing w:line="480"/>
        <w:rPr>
          <w:lang w:eastAsia="ko-KR"/>
          <w:rFonts w:ascii="Times New Roman" w:eastAsia="Times New Roman" w:hAnsi="Times New Roman" w:cs="Times New Roman" w:hint="eastAsia"/>
          <w:b/>
          <w:bCs/>
          <w:color w:val="000000"/>
          <w:sz w:val="24"/>
          <w:szCs w:val="24"/>
          <w:kern w:val="0"/>
          <w:u w:color="auto"/>
          <w:rtl w:val="off"/>
        </w:rPr>
      </w:pPr>
      <w:r>
        <w:rPr>
          <w:lang w:eastAsia="ko-KR"/>
          <w:rFonts w:ascii="Times New Roman" w:eastAsia="Times New Roman" w:hAnsi="Times New Roman" w:cs="Times New Roman" w:hint="eastAsia"/>
          <w:b/>
          <w:bCs/>
          <w:color w:val="000000"/>
          <w:sz w:val="24"/>
          <w:szCs w:val="24"/>
          <w:kern w:val="0"/>
          <w:u w:color="auto"/>
          <w:rtl w:val="off"/>
        </w:rPr>
        <w:t>Abstract</w:t>
      </w: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w:t>
      </w: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p>
    <w:p>
      <w:pPr>
        <w:adjustRightInd/>
        <w:pStyle w:val="a1"/>
        <w:ind w:leftChars="0" w:left="0" w:right="0" w:firstLine="0"/>
        <w:wordWrap/>
        <w:spacing w:line="480"/>
        <w:rPr>
          <w:lang w:eastAsia="ko-KR"/>
          <w:rFonts w:ascii="Times New Roman" w:eastAsia="Times New Roman" w:hAnsi="Times New Roman" w:cs="Times New Roman" w:hint="eastAsia"/>
          <w:color w:val="000000"/>
          <w:sz w:val="24"/>
          <w:szCs w:val="24"/>
          <w:kern w:val="0"/>
          <w:u w:color="auto"/>
          <w:rtl w:val="off"/>
        </w:rPr>
      </w:pPr>
    </w:p>
    <w:p>
      <w:pPr>
        <w:adjustRightInd/>
        <w:pStyle w:val="a1"/>
        <w:ind w:leftChars="0" w:left="0" w:right="0" w:firstLine="0"/>
        <w:wordWrap/>
        <w:spacing w:line="480"/>
        <w:rPr>
          <w:lang w:eastAsia="ko-KR"/>
          <w:rFonts w:ascii="Times New Roman" w:eastAsia="Times New Roman" w:hAnsi="Times New Roman" w:cs="Times New Roman" w:hint="eastAsia"/>
          <w:b/>
          <w:color w:val="000000"/>
          <w:sz w:val="24"/>
          <w:szCs w:val="24"/>
          <w:kern w:val="0"/>
          <w:u w:color="auto"/>
          <w:rtl w:val="off"/>
        </w:rPr>
      </w:pPr>
      <w:r>
        <w:rPr>
          <w:lang w:eastAsia="ko-KR"/>
          <w:rFonts w:ascii="Times New Roman" w:eastAsia="Times New Roman" w:hAnsi="Times New Roman" w:cs="Times New Roman"/>
          <w:b/>
          <w:bCs/>
          <w:color w:val="000000"/>
          <w:sz w:val="24"/>
          <w:szCs w:val="24"/>
          <w:kern w:val="0"/>
          <w:u w:color="auto"/>
          <w:rtl w:val="off"/>
        </w:rPr>
        <w:t>Key words</w:t>
      </w:r>
      <w:r>
        <w:rPr>
          <w:lang w:eastAsia="ko-KR"/>
          <w:rFonts w:ascii="Times New Roman" w:eastAsia="Times New Roman" w:hAnsi="Times New Roman" w:cs="Times New Roman"/>
          <w:color w:val="000000"/>
          <w:sz w:val="24"/>
          <w:szCs w:val="24"/>
          <w:kern w:val="0"/>
          <w:u w:color="auto"/>
          <w:rtl w:val="off"/>
        </w:rPr>
        <w:t>: Urban soils, Biodiversity, Bacterial community, 16s rRNA, machine learning</w:t>
      </w:r>
      <w:r>
        <w:rPr>
          <w:rFonts w:ascii="Times New Roman" w:eastAsia="Times New Roman" w:hAnsi="Times New Roman" w:cs="Times New Roman"/>
          <w:color w:val="000000"/>
          <w:sz w:val="24"/>
          <w:szCs w:val="24"/>
          <w:kern w:val="0"/>
          <w:u w:color="auto"/>
        </w:rPr>
        <w:t xml:space="preserve"> </w:t>
      </w:r>
    </w:p>
    <w:p>
      <w:pPr>
        <w:adjustRightInd/>
        <w:pStyle w:val="a1"/>
        <w:ind w:leftChars="0" w:left="478" w:firstLineChars="0"/>
        <w:wordWrap/>
        <w:spacing w:line="480"/>
        <w:rPr>
          <w:lang w:eastAsia="ko-KR"/>
          <w:rFonts w:ascii="Times New Roman" w:eastAsia="Times New Roman" w:hAnsi="Times New Roman" w:cs="Times New Roman" w:hint="eastAsia"/>
          <w:b/>
          <w:color w:val="000000"/>
          <w:sz w:val="24"/>
          <w:szCs w:val="24"/>
          <w:kern w:val="0"/>
          <w:u w:color="auto"/>
          <w:rtl w:val="off"/>
        </w:rPr>
      </w:pPr>
    </w:p>
    <w:p>
      <w:pPr>
        <w:adjustRightInd/>
        <w:pStyle w:val="a1"/>
        <w:ind w:leftChars="0" w:firstLineChars="0"/>
        <w:wordWrap/>
        <w:numPr>
          <w:ilvl w:val="0"/>
          <w:numId w:val="1"/>
        </w:numPr>
        <w:spacing w:line="480"/>
        <w:rPr>
          <w:rFonts w:ascii="Times New Roman" w:eastAsia="Times New Roman" w:hAnsi="Times New Roman" w:cs="Times New Roman"/>
          <w:b/>
          <w:color w:val="000000"/>
          <w:sz w:val="24"/>
          <w:szCs w:val="24"/>
          <w:kern w:val="0"/>
          <w:u w:color="auto"/>
        </w:rPr>
      </w:pPr>
      <w:r>
        <w:rPr>
          <w:rFonts w:ascii="Times New Roman" w:eastAsia="Times New Roman" w:hAnsi="Times New Roman" w:cs="Times New Roman" w:hint="eastAsia"/>
          <w:b/>
          <w:color w:val="000000"/>
          <w:sz w:val="24"/>
          <w:szCs w:val="24"/>
          <w:kern w:val="0"/>
          <w:u w:color="auto"/>
        </w:rPr>
        <w:t>Introduction</w:t>
      </w:r>
    </w:p>
    <w:p>
      <w:pPr>
        <w:pStyle w:val="a0"/>
        <w:spacing w:line="480" w:lineRule="auto"/>
        <w:rPr>
          <w:lang w:eastAsia="ko-KR"/>
          <w:rFonts w:ascii="Times New Roman" w:eastAsia="Times New Roman" w:hAnsi="Times New Roman" w:cs="Times New Roman" w:hint="eastAsia"/>
          <w:b w:val="0"/>
          <w:sz w:val="24"/>
          <w:szCs w:val="24"/>
          <w:u w:color="auto"/>
          <w:rtl w:val="off"/>
        </w:rPr>
      </w:pPr>
    </w:p>
    <w:p>
      <w:pPr>
        <w:pStyle w:val="a0"/>
        <w:spacing w:line="480" w:lineRule="auto"/>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Soil is an essential environmental element, facilitating ecosystem functioning, nutrient cycling, and supporting various biological populations (J. envnm, 2026). In urban environments, soils play a vital role in mediating microclimates, sequestering carbon, and managing stormwater runoff. Despite these fundamental services, research in this regard for soil microorganisms remains somewhat patchy, with most urban soil research having focused predominantly on macro-level ecosystem services (Front. Microbiol., 2022). Consequently, the structural complexity and functional capabilities of bacterial communities residing in highly anthropogenically disturbed urban soils remain largely underexplored.</w:t>
      </w:r>
    </w:p>
    <w:p>
      <w:pPr>
        <w:pStyle w:val="a0"/>
        <w:spacing w:line="480" w:lineRule="auto"/>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Among their various ecological roles, microorganisms play a key role in the natural purification of pollutants, transforming hazardous organic and inorganic contaminants into benign substances through complex metabolic interactions. Exploiting these bacterial communities for bioremediation and environmental restoration requires precisely optimizing community composition and metabolic conditions. However, traditional empirical methods for microbiome engineering rely heavily on exhaustive trial-and-error approaches, which are severely constrained by high biological complexity, vast compositional search spaces, and resource-intensive experimentation.</w:t>
      </w:r>
    </w:p>
    <w:p>
      <w:pPr>
        <w:pStyle w:val="a0"/>
        <w:spacing w:line="480" w:lineRule="auto"/>
        <w:rPr>
          <w:lang w:eastAsia="ko-KR"/>
          <w:rFonts w:ascii="Times New Roman" w:eastAsia="Times New Roman" w:hAnsi="Times New Roman" w:cs="Times New Roman" w:hint="eastAsia"/>
          <w:color w:val="000000"/>
          <w:sz w:val="24"/>
          <w:szCs w:val="24"/>
          <w:kern w:val="0"/>
          <w:u w:color="auto"/>
          <w:rtl w:val="off"/>
        </w:rPr>
      </w:pPr>
      <w:r>
        <w:rPr>
          <w:lang w:eastAsia="ko-KR"/>
          <w:rFonts w:ascii="Times New Roman" w:eastAsia="Times New Roman" w:hAnsi="Times New Roman" w:cs="Times New Roman" w:hint="eastAsia"/>
          <w:color w:val="000000"/>
          <w:sz w:val="24"/>
          <w:szCs w:val="24"/>
          <w:kern w:val="0"/>
          <w:u w:color="auto"/>
          <w:rtl w:val="off"/>
        </w:rPr>
        <w:t>To overcome these methodological bottlenecks, data-driven computational strategies have emerged as promising alternatives. In this study, we utilize METIS, a versatile active machine learning workflow that performs data-driven biological goal optimization with minimal experimentation. By iteratively guiding experimental design through predictive modeling and active sampling, METIS enables the rapid identification of optimal bacterial consortia configurations tailored for enhanced pollutant degradation in urban soils. Here, we demonstrate the efficiency of machine learning-powered optimization in unlocking the functional potential of urban soil bacterial communities, presenting a scalable platform for future urban soil restoration and environmental biotechnology applications.</w:t>
      </w:r>
    </w:p>
    <w:p>
      <w:pPr>
        <w:pStyle w:val="a0"/>
        <w:spacing w:line="480" w:lineRule="auto"/>
        <w:rPr>
          <w:lang w:eastAsia="ko-KR"/>
          <w:rFonts w:ascii="Times New Roman" w:eastAsia="Times New Roman" w:hAnsi="Times New Roman" w:cs="Times New Roman" w:hint="eastAsia"/>
          <w:b/>
          <w:sz w:val="24"/>
          <w:szCs w:val="24"/>
          <w:u w:color="auto"/>
          <w:rtl w:val="off"/>
        </w:rPr>
      </w:pPr>
    </w:p>
    <w:p>
      <w:pPr>
        <w:pStyle w:val="a0"/>
        <w:spacing w:line="480" w:lineRule="auto"/>
        <w:rPr>
          <w:rFonts w:ascii="Times New Roman" w:eastAsia="Times New Roman" w:hAnsi="Times New Roman" w:cs="Times New Roman"/>
          <w:b/>
          <w:sz w:val="24"/>
          <w:szCs w:val="24"/>
          <w:u w:color="auto"/>
        </w:rPr>
      </w:pPr>
      <w:r>
        <w:rPr>
          <w:rFonts w:ascii="Times New Roman" w:eastAsia="Times New Roman" w:hAnsi="Times New Roman" w:cs="Times New Roman"/>
          <w:b/>
          <w:sz w:val="24"/>
          <w:szCs w:val="24"/>
          <w:u w:color="auto"/>
        </w:rPr>
        <w:br w:type="page"/>
      </w:r>
    </w:p>
    <w:p>
      <w:pPr>
        <w:pStyle w:val="a0"/>
        <w:spacing w:line="480" w:lineRule="auto"/>
        <w:rPr>
          <w:rFonts w:ascii="Times New Roman" w:eastAsia="Times New Roman" w:hAnsi="Times New Roman" w:cs="Times New Roman"/>
          <w:b/>
          <w:sz w:val="24"/>
          <w:szCs w:val="24"/>
          <w:u w:color="auto"/>
        </w:rPr>
      </w:pPr>
      <w:r>
        <w:rPr>
          <w:rFonts w:ascii="Times New Roman" w:eastAsia="Times New Roman" w:hAnsi="Times New Roman" w:cs="Times New Roman"/>
          <w:b/>
          <w:sz w:val="24"/>
          <w:szCs w:val="24"/>
          <w:u w:color="auto"/>
        </w:rPr>
        <w:t>Materials and methods</w:t>
      </w:r>
    </w:p>
    <w:p>
      <w:pPr>
        <w:spacing w:line="480"/>
        <w:rPr>
          <w:lang w:eastAsia="ko-KR"/>
          <w:rFonts w:ascii="Times New Roman" w:eastAsia="Times New Roman" w:hAnsi="Times New Roman" w:cs="Times New Roman" w:hint="eastAsia"/>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sz w:val="24"/>
          <w:szCs w:val="24"/>
          <w:u w:color="auto"/>
          <w:rtl w:val="off"/>
        </w:rPr>
        <w:t>Study site and sampling</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This study was conducted in the Seoul-Gyeonggi region (metropolitan area) of Korea. The average pH of the soil in Seoul-Gyeonggi is 8.17. The summer temperature is 26.1°C, and the summer precipitation is 892.1 mm.</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Our research areas, spanning the entire Seoul and Gyeonggi regions, are parks and roadsides.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These samples were handled using sterile gloves to prevent contamination, and were temporarily placed in a cooler in the field before being stored in a 􀀀-20℃ freezer.</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sz w:val="24"/>
          <w:szCs w:val="24"/>
          <w:u w:color="auto"/>
          <w:rtl w:val="off"/>
        </w:rPr>
        <w:t>Extraction</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Soil DNA was extracted using the DNeasy PowerSoil Pro Kit (Qiagen, Netherlands) following the user instructions.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hint="eastAsia"/>
          <w:sz w:val="24"/>
          <w:szCs w:val="24"/>
          <w:u w:color="auto"/>
          <w:rtl w:val="off"/>
        </w:rPr>
        <w:t>...</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b/>
          <w:sz w:val="24"/>
          <w:szCs w:val="24"/>
          <w:u w:color="auto"/>
          <w:rtl w:val="off"/>
        </w:rPr>
        <w:t>Amplification and sequencing</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Th</w:t>
      </w:r>
      <w:r>
        <w:rPr>
          <w:lang w:eastAsia="ko-KR"/>
          <w:rFonts w:ascii="Times New Roman" w:eastAsia="Times New Roman" w:hAnsi="Times New Roman" w:cs="Times New Roman"/>
          <w:sz w:val="24"/>
          <w:szCs w:val="24"/>
          <w:u w:color="auto"/>
          <w:rtl w:val="off"/>
        </w:rPr>
        <w:t>e...</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b/>
          <w:sz w:val="24"/>
          <w:szCs w:val="24"/>
          <w:u w:color="auto"/>
          <w:rtl w:val="off"/>
        </w:rPr>
        <w:t>Data analysis</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Th</w:t>
      </w:r>
      <w:r>
        <w:rPr>
          <w:lang w:eastAsia="ko-KR"/>
          <w:rFonts w:ascii="Times New Roman" w:eastAsia="Times New Roman" w:hAnsi="Times New Roman" w:cs="Times New Roman"/>
          <w:sz w:val="24"/>
          <w:szCs w:val="24"/>
          <w:u w:color="auto"/>
          <w:rtl w:val="off"/>
        </w:rPr>
        <w:t>e...</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p>
    <w:p>
      <w:pPr>
        <w:pStyle w:val="a0"/>
        <w:tabs>
          <w:tab w:val="left" w:pos="2748"/>
        </w:tabs>
        <w:spacing w:line="480" w:lineRule="auto"/>
        <w:rPr>
          <w:rFonts w:ascii="Times New Roman" w:eastAsia="Times New Roman" w:hAnsi="Times New Roman" w:cs="Times New Roman" w:hint="default"/>
          <w:u w:color="auto"/>
        </w:rPr>
      </w:pPr>
    </w:p>
    <w:p>
      <w:pPr>
        <w:spacing w:line="480"/>
        <w:rPr>
          <w:rFonts w:ascii="Times New Roman" w:eastAsia="Times New Roman" w:hAnsi="Times New Roman" w:cs="Times New Roman" w:hint="default"/>
          <w:u w:color="auto"/>
        </w:rPr>
      </w:pPr>
    </w:p>
    <w:p>
      <w:pPr>
        <w:spacing w:line="480"/>
        <w:rPr>
          <w:rFonts w:ascii="Times New Roman" w:eastAsia="Times New Roman" w:hAnsi="Times New Roman" w:cs="Times New Roman" w:hint="default"/>
          <w:u w:color="auto"/>
        </w:rPr>
      </w:pPr>
    </w:p>
    <w:p>
      <w:pPr>
        <w:spacing w:line="480"/>
        <w:rPr>
          <w:rFonts w:ascii="Times New Roman" w:eastAsia="Times New Roman" w:hAnsi="Times New Roman" w:cs="Times New Roman" w:hint="default"/>
          <w:u w:color="auto"/>
        </w:rPr>
      </w:pPr>
    </w:p>
    <w:p>
      <w:pPr>
        <w:spacing w:line="480"/>
        <w:rPr>
          <w:rFonts w:ascii="Times New Roman" w:eastAsia="Times New Roman" w:hAnsi="Times New Roman" w:cs="Times New Roman" w:hint="default"/>
          <w:u w:color="auto"/>
        </w:rPr>
      </w:pPr>
      <w:r>
        <w:rPr>
          <w:lang w:eastAsia="ko-KR"/>
          <w:rFonts w:ascii="Times New Roman" w:eastAsia="Times New Roman" w:hAnsi="Times New Roman" w:cs="Times New Roman"/>
          <w:b/>
          <w:sz w:val="24"/>
          <w:szCs w:val="24"/>
          <w:u w:color="auto"/>
          <w:rtl w:val="off"/>
        </w:rPr>
        <w:t>References</w:t>
      </w:r>
    </w:p>
    <w:p>
      <w:pPr>
        <w:spacing w:line="480"/>
        <w:rPr>
          <w:rFonts w:ascii="Times New Roman" w:eastAsia="Times New Roman" w:hAnsi="Times New Roman" w:cs="Times New Roman"/>
          <w:sz w:val="24"/>
          <w:szCs w:val="24"/>
          <w:u w:color="auto"/>
        </w:rPr>
      </w:pP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James Whitehead, Julien Roy, Stefan Hempel, Matthias C Rillig. Soil microbial communities shift along an urban gradient in Berlin, Germany. Front Microbiol. 12:13:972052 (2022). doi: 10.3389/fmicb.2022.972052.</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Weiwei Zhang, Jigang Han, et al. Diversity patterns and drivers of soil microbial communities in urban and suburban park soils of Shanghai, China. PeerJ. 15;9:e11231 (2021). doi: 10.7717/peerj.11231.</w:t>
      </w:r>
    </w:p>
    <w:p>
      <w:pPr>
        <w:pStyle w:val="a1"/>
        <w:numPr>
          <w:ilvl w:val="0"/>
          <w:numId w:val="2"/>
        </w:numPr>
        <w:spacing w:line="480"/>
        <w:rPr>
          <w:lang w:eastAsia="ko-KR"/>
          <w:rFonts w:ascii="Times New Roman" w:eastAsia="Times New Roman" w:hAnsi="Times New Roman" w:cs="Times New Roman" w:hint="eastAsia"/>
          <w:sz w:val="24"/>
          <w:szCs w:val="24"/>
          <w:u w:color="auto"/>
          <w:rtl w:val="off"/>
        </w:rPr>
      </w:pPr>
      <w:r>
        <w:rPr>
          <w:rFonts w:ascii="Times New Roman" w:eastAsia="Times New Roman" w:hAnsi="Times New Roman" w:cs="Times New Roman"/>
          <w:sz w:val="24"/>
          <w:szCs w:val="24"/>
          <w:u w:color="auto"/>
        </w:rPr>
        <w:t>Probst, Gomez-Brandon, et al. Fungal-bacterial associations in urban allotment garden soils. apsoil. 188:104896 (2023). doi: 10.1016/j.apsoil.2023.104896.</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Zachary Charlop-Powers, Clara C. Pregitzer, et al. Urban park soil microbiomes are a rich reservoir ofnatural product biosynthetic diversity. National Academy of Sciences. 113:51:14811-14816 (2016). doi: 10.101073/pnas.1615581113.</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Genome-Resolved Metagenomics Suggests Site-Specific Microbial Adaptations in Urban Soils Co-Contaminated with Hydrocarbons and Heavy Metals. Environments. 13(3);125 (2026). doi: 10.3390/environments13030125.</w:t>
      </w:r>
    </w:p>
    <w:p>
      <w:pPr>
        <w:pStyle w:val="a1"/>
        <w:numPr>
          <w:ilvl w:val="0"/>
          <w:numId w:val="2"/>
        </w:numPr>
        <w:spacing w:line="480"/>
        <w:rPr>
          <w:rFonts w:ascii="Times New Roman" w:eastAsia="Times New Roman" w:hAnsi="Times New Roman" w:cs="Times New Roman"/>
          <w:sz w:val="24"/>
          <w:szCs w:val="24"/>
          <w:u w:color="auto"/>
        </w:rPr>
      </w:pPr>
      <w:r>
        <w:rPr>
          <w:rFonts w:ascii="Times New Roman" w:eastAsia="Times New Roman" w:hAnsi="Times New Roman" w:cs="Times New Roman"/>
          <w:sz w:val="24"/>
          <w:szCs w:val="24"/>
          <w:u w:color="auto"/>
        </w:rPr>
        <w:t>Seok-Gon Park, Chae-Rim Heo, et al. Correlation between Land-use History, Soil Conditions, and Tree Vitality in an Urban Park. Korean Journal of environment and ecology. 40(3):233-247. doi: https://doi.org/10.13047/KJEE.2026.40.3.233.</w:t>
      </w:r>
    </w:p>
    <w:p>
      <w:pPr>
        <w:pStyle w:val="a1"/>
        <w:numPr>
          <w:ilvl w:val="0"/>
          <w:numId w:val="2"/>
        </w:numPr>
        <w:spacing w:line="480"/>
        <w:rPr>
          <w:lang w:eastAsia="ko-KR"/>
          <w:rFonts w:ascii="Times New Roman" w:eastAsia="Times New Roman" w:hAnsi="Times New Roman" w:cs="Times New Roman" w:hint="eastAsia"/>
          <w:u w:color="auto"/>
          <w:rtl w:val="off"/>
        </w:rPr>
      </w:pPr>
      <w:r>
        <w:rPr>
          <w:rFonts w:ascii="Times New Roman" w:eastAsia="Times New Roman" w:hAnsi="Times New Roman" w:cs="Times New Roman"/>
          <w:sz w:val="24"/>
          <w:szCs w:val="24"/>
          <w:u w:color="auto"/>
        </w:rPr>
        <w:t>Amir Pandi, Christoph Diehl, et al. A versatile active learning workflow for optimization of genetic and metabolic networks. Nat. Commun. 13:3876 (2022).</w:t>
      </w: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 xml:space="preserve">doi: 10.1038/s41467-022-31245-z. </w:t>
      </w:r>
    </w:p>
    <w:p>
      <w:pPr>
        <w:spacing w:line="480"/>
        <w:rPr>
          <w:lang w:eastAsia="ko-KR"/>
          <w:rFonts w:ascii="Times New Roman" w:eastAsia="Times New Roman" w:hAnsi="Times New Roman" w:cs="Times New Roman" w:hint="eastAsia"/>
          <w:u w:color="auto"/>
          <w:rtl w:val="off"/>
        </w:rPr>
      </w:pPr>
    </w:p>
    <w:p>
      <w:pPr>
        <w:spacing w:line="480"/>
        <w:rPr>
          <w:rFonts w:ascii="Times New Roman" w:eastAsia="Times New Roman" w:hAnsi="Times New Roman" w:cs="Times New Roman" w:hint="default"/>
          <w:u w:color="auto"/>
        </w:rPr>
      </w:pPr>
    </w:p>
    <w:p>
      <w:pPr>
        <w:tabs>
          <w:tab w:val="left" w:pos="1513"/>
        </w:tabs>
        <w:spacing w:line="480"/>
        <w:rPr>
          <w:rFonts w:ascii="Times New Roman" w:eastAsia="Times New Roman" w:hAnsi="Times New Roman" w:cs="Times New Roman" w:hint="default"/>
          <w:u w:color="auto"/>
        </w:rPr>
      </w:pPr>
      <w:r>
        <w:rPr>
          <w:rFonts w:ascii="Times New Roman" w:eastAsia="Times New Roman" w:hAnsi="Times New Roman" w:cs="Times New Roman" w:hint="default"/>
          <w:u w:color="auto"/>
        </w:rPr>
        <w:tab/>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E0002EFF" w:usb1="C000785B" w:usb2="00000009" w:usb3="00000001" w:csb0="400001FF" w:csb1="FFFF0000"/>
  </w:font>
  <w:font w:name="굴림">
    <w:panose1 w:val="020B0600000101010101"/>
    <w:notTrueType w:val="false"/>
    <w:sig w:usb0="B00002AF" w:usb1="69D77CFB" w:usb2="00000030" w:usb3="00000001" w:csb0="400800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39f6ce1"/>
    <w:multiLevelType w:val="hybridMultilevel"/>
    <w:tmpl w:val="1b18b97a"/>
    <w:lvl w:ilvl="0" w:tplc="190c5c5e">
      <w:start w:val="1"/>
      <w:lvlText w:val="%1."/>
      <w:lvlJc w:val="left"/>
      <w:pPr>
        <w:ind w:left="478" w:hanging="360"/>
      </w:pPr>
      <w:rPr>
        <w:rFonts w:hint="default"/>
      </w:rPr>
    </w:lvl>
    <w:lvl w:ilvl="1" w:tentative="on" w:tplc="4090019">
      <w:start w:val="1"/>
      <w:numFmt w:val="upperLetter"/>
      <w:lvlText w:val="%2."/>
      <w:lvlJc w:val="left"/>
      <w:pPr>
        <w:ind w:left="918" w:hanging="400"/>
      </w:pPr>
    </w:lvl>
    <w:lvl w:ilvl="2" w:tentative="on" w:tplc="409001b">
      <w:start w:val="1"/>
      <w:numFmt w:val="lowerRoman"/>
      <w:lvlText w:val="%3."/>
      <w:lvlJc w:val="right"/>
      <w:pPr>
        <w:ind w:left="1318" w:hanging="400"/>
      </w:pPr>
    </w:lvl>
    <w:lvl w:ilvl="3" w:tentative="on" w:tplc="409000f">
      <w:start w:val="1"/>
      <w:lvlText w:val="%4."/>
      <w:lvlJc w:val="left"/>
      <w:pPr>
        <w:ind w:left="1718" w:hanging="400"/>
      </w:pPr>
    </w:lvl>
    <w:lvl w:ilvl="4" w:tentative="on" w:tplc="4090019">
      <w:start w:val="1"/>
      <w:numFmt w:val="upperLetter"/>
      <w:lvlText w:val="%5."/>
      <w:lvlJc w:val="left"/>
      <w:pPr>
        <w:ind w:left="2118" w:hanging="400"/>
      </w:pPr>
    </w:lvl>
    <w:lvl w:ilvl="5" w:tentative="on" w:tplc="409001b">
      <w:start w:val="1"/>
      <w:numFmt w:val="lowerRoman"/>
      <w:lvlText w:val="%6."/>
      <w:lvlJc w:val="right"/>
      <w:pPr>
        <w:ind w:left="2518" w:hanging="400"/>
      </w:pPr>
    </w:lvl>
    <w:lvl w:ilvl="6" w:tentative="on" w:tplc="409000f">
      <w:start w:val="1"/>
      <w:lvlText w:val="%7."/>
      <w:lvlJc w:val="left"/>
      <w:pPr>
        <w:ind w:left="2918" w:hanging="400"/>
      </w:pPr>
    </w:lvl>
    <w:lvl w:ilvl="7" w:tentative="on" w:tplc="4090019">
      <w:start w:val="1"/>
      <w:numFmt w:val="upperLetter"/>
      <w:lvlText w:val="%8."/>
      <w:lvlJc w:val="left"/>
      <w:pPr>
        <w:ind w:left="3318" w:hanging="400"/>
      </w:pPr>
    </w:lvl>
    <w:lvl w:ilvl="8" w:tentative="on" w:tplc="409001b">
      <w:start w:val="1"/>
      <w:numFmt w:val="lowerRoman"/>
      <w:lvlText w:val="%9."/>
      <w:lvlJc w:val="right"/>
      <w:pPr>
        <w:ind w:left="3718" w:hanging="400"/>
      </w:pPr>
    </w:lvl>
  </w:abstractNum>
  <w:abstractNum w:abstractNumId="1">
    <w:nsid w:val="f3f7fef0"/>
    <w:multiLevelType w:val="hybridMultilevel"/>
    <w:lvl w:ilvl="0" w:tplc="409000f">
      <w:start w:val="1"/>
      <w:lvlText w:val="%1."/>
      <w:lvlJc w:val="left"/>
      <w:pPr>
        <w:ind w:left="800" w:hanging="400"/>
      </w:pPr>
      <w:rPr/>
    </w:lvl>
    <w:lvl w:ilvl="1" w:tplc="4392858c">
      <w:start w:val="1"/>
      <w:numFmt w:val="lowerLetter"/>
      <w:lvlText w:val="%2."/>
      <w:lvlJc w:val="left"/>
      <w:pPr>
        <w:ind w:left="1200" w:hanging="400"/>
      </w:pPr>
      <w:rPr/>
    </w:lvl>
    <w:lvl w:ilvl="2" w:tplc="409001b">
      <w:start w:val="1"/>
      <w:numFmt w:val="lowerRoman"/>
      <w:lvlText w:val="%3."/>
      <w:lvlJc w:val="left"/>
      <w:pPr>
        <w:ind w:left="1600" w:hanging="400"/>
      </w:pPr>
      <w:rPr/>
    </w:lvl>
    <w:lvl w:ilvl="3" w:tplc="409000f">
      <w:start w:val="1"/>
      <w:lvlText w:val="%4."/>
      <w:lvlJc w:val="left"/>
      <w:pPr>
        <w:ind w:left="2000" w:hanging="400"/>
      </w:pPr>
      <w:rPr/>
    </w:lvl>
    <w:lvl w:ilvl="4" w:tplc="4392858c">
      <w:start w:val="1"/>
      <w:numFmt w:val="lowerLetter"/>
      <w:lvlText w:val="%5."/>
      <w:lvlJc w:val="left"/>
      <w:pPr>
        <w:ind w:left="2400" w:hanging="400"/>
      </w:pPr>
      <w:rPr/>
    </w:lvl>
    <w:lvl w:ilvl="5" w:tplc="409001b">
      <w:start w:val="1"/>
      <w:numFmt w:val="lowerRoman"/>
      <w:lvlText w:val="%6."/>
      <w:lvlJc w:val="left"/>
      <w:pPr>
        <w:ind w:left="2800" w:hanging="400"/>
      </w:pPr>
      <w:rPr/>
    </w:lvl>
    <w:lvl w:ilvl="6" w:tplc="409000f">
      <w:start w:val="1"/>
      <w:lvlText w:val="%7."/>
      <w:lvlJc w:val="left"/>
      <w:pPr>
        <w:ind w:left="3200" w:hanging="400"/>
      </w:pPr>
      <w:rPr/>
    </w:lvl>
    <w:lvl w:ilvl="7" w:tplc="4392858c">
      <w:start w:val="1"/>
      <w:numFmt w:val="lowerLetter"/>
      <w:lvlText w:val="%8."/>
      <w:lvlJc w:val="left"/>
      <w:pPr>
        <w:ind w:left="3600" w:hanging="400"/>
      </w:pPr>
      <w:rPr/>
    </w:lvl>
    <w:lvl w:ilvl="8" w:tplc="409001b">
      <w:start w:val="1"/>
      <w:numFmt w:val="lowerRoman"/>
      <w:lvlText w:val="%9."/>
      <w:lvlJc w:val="left"/>
      <w:pPr>
        <w:ind w:left="4000" w:hanging="400"/>
      </w:pPr>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basedOn w:val="a2"/>
    <w:pPr>
      <w:spacing w:after="0" w:line="384" w:lineRule="auto"/>
      <w:textAlignment w:val="baseline"/>
    </w:pPr>
    <w:rPr>
      <w:rFonts w:ascii="굴림" w:eastAsia="굴림" w:hAnsi="굴림" w:cs="굴림"/>
      <w:color w:val="000000"/>
      <w:szCs w:val="20"/>
      <w:kern w:val="0"/>
    </w:rPr>
  </w:style>
  <w:style w:type="paragraph" w:styleId="a1">
    <w:name w:val="List Paragraph"/>
    <w:uiPriority w:val="34"/>
    <w:basedOn w:val="a2"/>
    <w:qFormat/>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jimin</dc:creator>
  <cp:keywords/>
  <dc:description/>
  <cp:lastModifiedBy>jimin</cp:lastModifiedBy>
  <cp:revision>1</cp:revision>
  <dcterms:created xsi:type="dcterms:W3CDTF">2026-09-03T15:03:48Z</dcterms:created>
  <dcterms:modified xsi:type="dcterms:W3CDTF">2026-09-03T18:45:02Z</dcterms:modified>
  <cp:version>1200.0100.01</cp:version>
</cp:coreProperties>
</file>