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i w:val="0"/>
          <w:color w:val="1F4E79"/>
          <w:sz w:val="36"/>
        </w:rPr>
        <w:t>수도권 도로변 및 공원 토양의 세균 군집 비교를 위한 분석 방법</w:t>
      </w:r>
    </w:p>
    <w:p>
      <w:pPr>
        <w:spacing w:after="240"/>
      </w:pPr>
      <w:r>
        <w:rPr>
          <w:rFonts w:ascii="Malgun Gothic" w:hAnsi="Malgun Gothic" w:eastAsia="Malgun Gothic"/>
          <w:b w:val="0"/>
          <w:i w:val="0"/>
          <w:color w:val="4B5563"/>
          <w:sz w:val="21"/>
        </w:rPr>
        <w:t>수도권 도로변 및 공원 토양의 세균 군집 비교와 환경 모니터링 바이오마커 발굴</w:t>
      </w:r>
    </w:p>
    <w:tbl>
      <w:tblPr>
        <w:tblStyle w:val="TableGrid"/>
        <w:tblW w:type="dxa" w:w="9360"/>
        <w:jc w:val="left"/>
        <w:tblLayout w:type="fixed"/>
        <w:tblLook w:firstColumn="1" w:firstRow="1" w:lastColumn="0" w:lastRow="0" w:noHBand="0" w:noVBand="1" w:val="04A0"/>
        <w:tblInd w:w="100" w:type="dxa"/>
        <w:tblLayout w:type="fixed"/>
      </w:tblPr>
      <w:tblGrid>
        <w:gridCol w:w="9360"/>
      </w:tblGrid>
      <w:tr>
        <w:tc>
          <w:tcPr>
            <w:tcW w:type="dxa" w:w="9360"/>
            <w:shd w:fill="F3F4F6"/>
            <w:tcMar>
              <w:top w:w="80" w:type="dxa"/>
              <w:start w:w="100" w:type="dxa"/>
              <w:bottom w:w="80" w:type="dxa"/>
              <w:end w:w="100" w:type="dxa"/>
            </w:tcMar>
          </w:tcPr>
          <w:p>
            <w:pPr>
              <w:spacing w:after="0"/>
            </w:pPr>
            <w:r>
              <w:rPr>
                <w:rFonts w:ascii="Malgun Gothic" w:hAnsi="Malgun Gothic" w:eastAsia="Malgun Gothic"/>
                <w:b/>
                <w:i w:val="0"/>
                <w:color w:val="1F4E79"/>
                <w:sz w:val="20"/>
              </w:rPr>
              <w:t xml:space="preserve">분석 전략  </w:t>
            </w:r>
            <w:r>
              <w:rPr>
                <w:rFonts w:ascii="Malgun Gothic" w:hAnsi="Malgun Gothic" w:eastAsia="Malgun Gothic"/>
                <w:b w:val="0"/>
                <w:i w:val="0"/>
                <w:color w:val="1F2937"/>
                <w:sz w:val="20"/>
              </w:rPr>
              <w:t>토양 세균 군집 비교에는 미생물 군집 DNA 기반 16S rRNA 유전자 앰플리콘 시퀀싱을 사용하고, 배양 분리균의 동정에는 준전장 16S rRNA 유전자 Sanger 염기서열 분석을 사용한다. 기능적 잠재력과 균주 수준의 정밀 분석이 필요하면 분리균 전장유전체 분석 또는 샷건 메타유전체 분석을 추가한다.</w:t>
            </w:r>
          </w:p>
        </w:tc>
      </w:tr>
    </w:tbl>
    <w:p>
      <w:pPr>
        <w:spacing w:after="0"/>
      </w:pPr>
    </w:p>
    <w:p>
      <w:pPr>
        <w:pStyle w:val="Heading1"/>
      </w:pPr>
      <w:r>
        <w:t>1. 전체 분석 흐름</w:t>
      </w:r>
    </w:p>
    <w:p>
      <w:pPr>
        <w:pStyle w:val="ListNumber"/>
        <w:spacing w:after="60" w:line="269" w:lineRule="auto"/>
        <w:ind w:left="461" w:hanging="317"/>
      </w:pPr>
      <w:r>
        <w:rPr>
          <w:rFonts w:ascii="Malgun Gothic" w:hAnsi="Malgun Gothic" w:eastAsia="Malgun Gothic"/>
          <w:b w:val="0"/>
          <w:i w:val="0"/>
          <w:color w:val="1F2937"/>
          <w:sz w:val="20"/>
        </w:rPr>
        <w:t>도로변과 공원에서 독립적인 생물학적 반복 시료를 채취하고 시료 위치, 토양 깊이, 식생, 교통량 및 채취 시간을 기록한다.</w:t>
      </w:r>
    </w:p>
    <w:p>
      <w:pPr>
        <w:pStyle w:val="ListNumber"/>
        <w:spacing w:after="60" w:line="269" w:lineRule="auto"/>
        <w:ind w:left="461" w:hanging="317"/>
      </w:pPr>
      <w:r>
        <w:rPr>
          <w:rFonts w:ascii="Malgun Gothic" w:hAnsi="Malgun Gothic" w:eastAsia="Malgun Gothic"/>
          <w:b w:val="0"/>
          <w:i w:val="0"/>
          <w:color w:val="1F2937"/>
          <w:sz w:val="20"/>
        </w:rPr>
        <w:t>토양에서 미생물 군집 DNA를 추출한 뒤 농도, 순도 및 무결성을 확인한다.</w:t>
      </w:r>
    </w:p>
    <w:p>
      <w:pPr>
        <w:pStyle w:val="ListNumber"/>
        <w:spacing w:after="60" w:line="269" w:lineRule="auto"/>
        <w:ind w:left="461" w:hanging="317"/>
      </w:pPr>
      <w:r>
        <w:rPr>
          <w:rFonts w:ascii="Malgun Gothic" w:hAnsi="Malgun Gothic" w:eastAsia="Malgun Gothic"/>
          <w:b w:val="0"/>
          <w:i w:val="0"/>
          <w:color w:val="1F2937"/>
          <w:sz w:val="20"/>
        </w:rPr>
        <w:t>16S rRNA 유전자 V4 영역을 증폭하고 정제한 후 dual index와 Illumina 어댑터를 부착한다.</w:t>
      </w:r>
    </w:p>
    <w:p>
      <w:pPr>
        <w:pStyle w:val="ListNumber"/>
        <w:spacing w:after="60" w:line="269" w:lineRule="auto"/>
        <w:ind w:left="461" w:hanging="317"/>
      </w:pPr>
      <w:r>
        <w:rPr>
          <w:rFonts w:ascii="Malgun Gothic" w:hAnsi="Malgun Gothic" w:eastAsia="Malgun Gothic"/>
          <w:b w:val="0"/>
          <w:i w:val="0"/>
          <w:color w:val="1F2937"/>
          <w:sz w:val="20"/>
        </w:rPr>
        <w:t>정량된 라이브러리를 동일 몰농도로 정규화하여 혼합한 뒤 iSeq 100에서 양방향 말단 염기서열 분석을 수행한다.</w:t>
      </w:r>
    </w:p>
    <w:p>
      <w:pPr>
        <w:pStyle w:val="ListNumber"/>
        <w:spacing w:after="60" w:line="269" w:lineRule="auto"/>
        <w:ind w:left="461" w:hanging="317"/>
      </w:pPr>
      <w:r>
        <w:rPr>
          <w:rFonts w:ascii="Malgun Gothic" w:hAnsi="Malgun Gothic" w:eastAsia="Malgun Gothic"/>
          <w:b w:val="0"/>
          <w:i w:val="0"/>
          <w:color w:val="1F2937"/>
          <w:sz w:val="20"/>
        </w:rPr>
        <w:t>품질 필터링, ASV 추론, 분류학적 할당, 다양성 및 차등 풍부도 분석을 수행한다.</w:t>
      </w:r>
    </w:p>
    <w:p>
      <w:pPr>
        <w:pStyle w:val="ListNumber"/>
        <w:spacing w:after="60" w:line="269" w:lineRule="auto"/>
        <w:ind w:left="461" w:hanging="317"/>
      </w:pPr>
      <w:r>
        <w:rPr>
          <w:rFonts w:ascii="Malgun Gothic" w:hAnsi="Malgun Gothic" w:eastAsia="Malgun Gothic"/>
          <w:b w:val="0"/>
          <w:i w:val="0"/>
          <w:color w:val="1F2937"/>
          <w:sz w:val="20"/>
        </w:rPr>
        <w:t>배양 분리균은 준전장 16S rRNA 유전자 Sanger 염기서열 분석과 BLAST를 이용하여 별도로 동정한다.</w:t>
      </w:r>
    </w:p>
    <w:p>
      <w:pPr>
        <w:pStyle w:val="Heading1"/>
      </w:pPr>
      <w:r>
        <w:t>2. 토양 미생물 군집 DNA 추출</w:t>
      </w:r>
    </w:p>
    <w:tbl>
      <w:tblPr>
        <w:tblStyle w:val="TableGrid"/>
        <w:tblW w:type="dxa" w:w="9360"/>
        <w:jc w:val="left"/>
        <w:tblLayout w:type="fixed"/>
        <w:tblLook w:firstColumn="1" w:firstRow="1" w:lastColumn="0" w:lastRow="0" w:noHBand="0" w:noVBand="1" w:val="04A0"/>
        <w:tblInd w:w="100" w:type="dxa"/>
        <w:tblLayout w:type="fixed"/>
      </w:tblPr>
      <w:tblGrid>
        <w:gridCol w:w="1181"/>
        <w:gridCol w:w="5443"/>
        <w:gridCol w:w="2736"/>
      </w:tblGrid>
      <w:tr>
        <w:trPr>
          <w:tblHeader w:val="true"/>
        </w:trPr>
        <w:tc>
          <w:tcPr>
            <w:tcW w:type="dxa" w:w="1181"/>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단계</w:t>
            </w:r>
          </w:p>
        </w:tc>
        <w:tc>
          <w:tcPr>
            <w:tcW w:type="dxa" w:w="5443"/>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실험 조건</w:t>
            </w:r>
          </w:p>
        </w:tc>
        <w:tc>
          <w:tcPr>
            <w:tcW w:type="dxa" w:w="273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목적</w:t>
            </w:r>
          </w:p>
        </w:tc>
      </w:tr>
      <w:tr>
        <w:tc>
          <w:tcPr>
            <w:tcW w:type="dxa" w:w="1181"/>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시료 준비</w:t>
            </w:r>
          </w:p>
        </w:tc>
        <w:tc>
          <w:tcPr>
            <w:tcW w:type="dxa" w:w="5443"/>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PowerBead Pro Tube를 spin down한 후 토양 최대 250 mg과 Solution CD1 800 µL를 첨가한다.</w:t>
            </w:r>
          </w:p>
        </w:tc>
        <w:tc>
          <w:tcPr>
            <w:tcW w:type="dxa" w:w="273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세포 용해 조건 형성</w:t>
            </w:r>
          </w:p>
        </w:tc>
      </w:tr>
      <w:tr>
        <w:tc>
          <w:tcPr>
            <w:tcW w:type="dxa" w:w="1181"/>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세포 파쇄</w:t>
            </w:r>
          </w:p>
        </w:tc>
        <w:tc>
          <w:tcPr>
            <w:tcW w:type="dxa" w:w="5443"/>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Vortex Adapter에 수평 장착하고 최대 속도로 약 10분간 vortex한다.</w:t>
            </w:r>
          </w:p>
        </w:tc>
        <w:tc>
          <w:tcPr>
            <w:tcW w:type="dxa" w:w="273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Bead beating에 의한 미생물 세포벽 파쇄</w:t>
            </w:r>
          </w:p>
        </w:tc>
      </w:tr>
      <w:tr>
        <w:tc>
          <w:tcPr>
            <w:tcW w:type="dxa" w:w="1181"/>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고형물 제거</w:t>
            </w:r>
          </w:p>
        </w:tc>
        <w:tc>
          <w:tcPr>
            <w:tcW w:type="dxa" w:w="5443"/>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15,000 ×g, 1분, 실온 원심분리 후 상층액 약 500–600 µL를 새 튜브로 옮긴다.</w:t>
            </w:r>
          </w:p>
        </w:tc>
        <w:tc>
          <w:tcPr>
            <w:tcW w:type="dxa" w:w="273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토양 입자와 bead 제거</w:t>
            </w:r>
          </w:p>
        </w:tc>
      </w:tr>
      <w:tr>
        <w:tc>
          <w:tcPr>
            <w:tcW w:type="dxa" w:w="1181"/>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저해물질 제거</w:t>
            </w:r>
          </w:p>
        </w:tc>
        <w:tc>
          <w:tcPr>
            <w:tcW w:type="dxa" w:w="5443"/>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Solution CD2 200 µL를 넣고 5초 vortex한 뒤 15,000 ×g에서 1분 원심분리한다. Pellet을 피하여 상층액을 회수한다.</w:t>
            </w:r>
          </w:p>
        </w:tc>
        <w:tc>
          <w:tcPr>
            <w:tcW w:type="dxa" w:w="273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휴믹산, 단백질, 다당류 등 PCR 저해물질 감소</w:t>
            </w:r>
          </w:p>
        </w:tc>
      </w:tr>
      <w:tr>
        <w:tc>
          <w:tcPr>
            <w:tcW w:type="dxa" w:w="1181"/>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DNA 결합</w:t>
            </w:r>
          </w:p>
        </w:tc>
        <w:tc>
          <w:tcPr>
            <w:tcW w:type="dxa" w:w="5443"/>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Solution CD3 600 µL를 혼합하고 650 µL씩 MB Spin Column에 넣어 15,000 ×g에서 1분 원심분리한다.</w:t>
            </w:r>
          </w:p>
        </w:tc>
        <w:tc>
          <w:tcPr>
            <w:tcW w:type="dxa" w:w="273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DNA의 실리카 membrane 결합</w:t>
            </w:r>
          </w:p>
        </w:tc>
      </w:tr>
      <w:tr>
        <w:tc>
          <w:tcPr>
            <w:tcW w:type="dxa" w:w="1181"/>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1차 세척</w:t>
            </w:r>
          </w:p>
        </w:tc>
        <w:tc>
          <w:tcPr>
            <w:tcW w:type="dxa" w:w="5443"/>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Solution EA 500 µL, 15,000 ×g, 1분</w:t>
            </w:r>
          </w:p>
        </w:tc>
        <w:tc>
          <w:tcPr>
            <w:tcW w:type="dxa" w:w="273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단백질 및 유기 오염물질 제거</w:t>
            </w:r>
          </w:p>
        </w:tc>
      </w:tr>
      <w:tr>
        <w:tc>
          <w:tcPr>
            <w:tcW w:type="dxa" w:w="1181"/>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2차 세척</w:t>
            </w:r>
          </w:p>
        </w:tc>
        <w:tc>
          <w:tcPr>
            <w:tcW w:type="dxa" w:w="5443"/>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Solution C5 500 µL, 15,000 ×g, 1분</w:t>
            </w:r>
          </w:p>
        </w:tc>
        <w:tc>
          <w:tcPr>
            <w:tcW w:type="dxa" w:w="273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잔류 염과 불순물 제거</w:t>
            </w:r>
          </w:p>
        </w:tc>
      </w:tr>
      <w:tr>
        <w:tc>
          <w:tcPr>
            <w:tcW w:type="dxa" w:w="1181"/>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Dry spin</w:t>
            </w:r>
          </w:p>
        </w:tc>
        <w:tc>
          <w:tcPr>
            <w:tcW w:type="dxa" w:w="5443"/>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새 collection tube에서 최대 16,000 ×g, 2분</w:t>
            </w:r>
          </w:p>
        </w:tc>
        <w:tc>
          <w:tcPr>
            <w:tcW w:type="dxa" w:w="273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잔류 ethanol 제거</w:t>
            </w:r>
          </w:p>
        </w:tc>
      </w:tr>
      <w:tr>
        <w:tc>
          <w:tcPr>
            <w:tcW w:type="dxa" w:w="1181"/>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용출</w:t>
            </w:r>
          </w:p>
        </w:tc>
        <w:tc>
          <w:tcPr>
            <w:tcW w:type="dxa" w:w="5443"/>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Membrane 중앙에 Solution C6 50–100 µL를 넣고 15,000 ×g에서 1분 원심분리한다.</w:t>
            </w:r>
          </w:p>
        </w:tc>
        <w:tc>
          <w:tcPr>
            <w:tcW w:type="dxa" w:w="273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정제 DNA 회수</w:t>
            </w:r>
          </w:p>
        </w:tc>
      </w:tr>
    </w:tbl>
    <w:p>
      <w:pPr>
        <w:spacing w:after="0"/>
      </w:pPr>
    </w:p>
    <w:tbl>
      <w:tblPr>
        <w:tblStyle w:val="TableGrid"/>
        <w:tblW w:type="dxa" w:w="9360"/>
        <w:jc w:val="left"/>
        <w:tblLayout w:type="fixed"/>
        <w:tblLook w:firstColumn="1" w:firstRow="1" w:lastColumn="0" w:lastRow="0" w:noHBand="0" w:noVBand="1" w:val="04A0"/>
        <w:tblInd w:w="100" w:type="dxa"/>
        <w:tblLayout w:type="fixed"/>
      </w:tblPr>
      <w:tblGrid>
        <w:gridCol w:w="9360"/>
      </w:tblGrid>
      <w:tr>
        <w:tc>
          <w:tcPr>
            <w:tcW w:type="dxa" w:w="9360"/>
            <w:shd w:fill="F3F4F6"/>
            <w:tcMar>
              <w:top w:w="80" w:type="dxa"/>
              <w:start w:w="100" w:type="dxa"/>
              <w:bottom w:w="80" w:type="dxa"/>
              <w:end w:w="100" w:type="dxa"/>
            </w:tcMar>
          </w:tcPr>
          <w:p>
            <w:pPr>
              <w:spacing w:after="0"/>
            </w:pPr>
            <w:r>
              <w:rPr>
                <w:rFonts w:ascii="Malgun Gothic" w:hAnsi="Malgun Gothic" w:eastAsia="Malgun Gothic"/>
                <w:b/>
                <w:i w:val="0"/>
                <w:color w:val="1F4E79"/>
                <w:sz w:val="20"/>
              </w:rPr>
              <w:t xml:space="preserve">주의  </w:t>
            </w:r>
            <w:r>
              <w:rPr>
                <w:rFonts w:ascii="Malgun Gothic" w:hAnsi="Malgun Gothic" w:eastAsia="Malgun Gothic"/>
                <w:b w:val="0"/>
                <w:i w:val="0"/>
                <w:color w:val="1F2937"/>
                <w:sz w:val="20"/>
              </w:rPr>
              <w:t>Solution CD2는 2–8°C, 다른 시약은 15–25°C에서 보관한다. CD3에 침전이 있으면 60°C에서 완전히 녹인 후 사용한다. 상층액 이동 시 pellet을 건드리지 않고, dry spin 후 ethanol이 남지 않도록 한다.</w:t>
            </w:r>
          </w:p>
        </w:tc>
      </w:tr>
    </w:tbl>
    <w:p>
      <w:pPr>
        <w:spacing w:after="0"/>
      </w:pPr>
    </w:p>
    <w:p>
      <w:pPr>
        <w:pStyle w:val="Heading1"/>
      </w:pPr>
      <w:r>
        <w:t>3. 추출 DNA의 농도·순도 및 무결성 평가</w:t>
      </w:r>
    </w:p>
    <w:tbl>
      <w:tblPr>
        <w:tblStyle w:val="TableGrid"/>
        <w:tblW w:type="dxa" w:w="9360"/>
        <w:jc w:val="left"/>
        <w:tblLayout w:type="fixed"/>
        <w:tblLook w:firstColumn="1" w:firstRow="1" w:lastColumn="0" w:lastRow="0" w:noHBand="0" w:noVBand="1" w:val="04A0"/>
        <w:tblInd w:w="100" w:type="dxa"/>
        <w:tblLayout w:type="fixed"/>
      </w:tblPr>
      <w:tblGrid>
        <w:gridCol w:w="1728"/>
        <w:gridCol w:w="3816"/>
        <w:gridCol w:w="3816"/>
      </w:tblGrid>
      <w:tr>
        <w:trPr>
          <w:tblHeader w:val="true"/>
        </w:trPr>
        <w:tc>
          <w:tcPr>
            <w:tcW w:type="dxa" w:w="1728"/>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확인 항목</w:t>
            </w:r>
          </w:p>
        </w:tc>
        <w:tc>
          <w:tcPr>
            <w:tcW w:type="dxa" w:w="381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권장 해석</w:t>
            </w:r>
          </w:p>
        </w:tc>
        <w:tc>
          <w:tcPr>
            <w:tcW w:type="dxa" w:w="381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조치</w:t>
            </w:r>
          </w:p>
        </w:tc>
      </w:tr>
      <w:tr>
        <w:tc>
          <w:tcPr>
            <w:tcW w:type="dxa" w:w="1728"/>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농도</w:t>
            </w:r>
          </w:p>
        </w:tc>
        <w:tc>
          <w:tcPr>
            <w:tcW w:type="dxa" w:w="38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NanoDrop A260으로 1차 확인; dsDNA에서 A260=1은 약 50 µg/mL</w:t>
            </w:r>
          </w:p>
        </w:tc>
        <w:tc>
          <w:tcPr>
            <w:tcW w:type="dxa" w:w="38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염기서열 분석 투입량 결정에는 Qubit dsDNA 정량값을 우선 사용</w:t>
            </w:r>
          </w:p>
        </w:tc>
      </w:tr>
      <w:tr>
        <w:tc>
          <w:tcPr>
            <w:tcW w:type="dxa" w:w="1728"/>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A260/A280</w:t>
            </w:r>
          </w:p>
        </w:tc>
        <w:tc>
          <w:tcPr>
            <w:tcW w:type="dxa" w:w="38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약 1.8이면 비교적 양호</w:t>
            </w:r>
          </w:p>
        </w:tc>
        <w:tc>
          <w:tcPr>
            <w:tcW w:type="dxa" w:w="38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낮으면 단백질 또는 phenol 오염 가능성 확인</w:t>
            </w:r>
          </w:p>
        </w:tc>
      </w:tr>
      <w:tr>
        <w:tc>
          <w:tcPr>
            <w:tcW w:type="dxa" w:w="1728"/>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A260/A230</w:t>
            </w:r>
          </w:p>
        </w:tc>
        <w:tc>
          <w:tcPr>
            <w:tcW w:type="dxa" w:w="38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약 2.0 전후가 바람직</w:t>
            </w:r>
          </w:p>
        </w:tc>
        <w:tc>
          <w:tcPr>
            <w:tcW w:type="dxa" w:w="38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낮으면 휴믹산·염 등 저해물질 가능성이 있으므로 추가 정제 검토</w:t>
            </w:r>
          </w:p>
        </w:tc>
      </w:tr>
      <w:tr>
        <w:tc>
          <w:tcPr>
            <w:tcW w:type="dxa" w:w="1728"/>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무결성</w:t>
            </w:r>
          </w:p>
        </w:tc>
        <w:tc>
          <w:tcPr>
            <w:tcW w:type="dxa" w:w="38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Agarose gel 또는 fragment analyzer에서 고분자 DNA 확인</w:t>
            </w:r>
          </w:p>
        </w:tc>
        <w:tc>
          <w:tcPr>
            <w:tcW w:type="dxa" w:w="38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심한 smear 또는 분해가 있으면 재추출 검토</w:t>
            </w:r>
          </w:p>
        </w:tc>
      </w:tr>
      <w:tr>
        <w:tc>
          <w:tcPr>
            <w:tcW w:type="dxa" w:w="1728"/>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음성대조</w:t>
            </w:r>
          </w:p>
        </w:tc>
        <w:tc>
          <w:tcPr>
            <w:tcW w:type="dxa" w:w="38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Extraction blank에서 DNA/PCR 신호가 없어야 함</w:t>
            </w:r>
          </w:p>
        </w:tc>
        <w:tc>
          <w:tcPr>
            <w:tcW w:type="dxa" w:w="38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오염 검출 시 batch 전체 재평가</w:t>
            </w:r>
          </w:p>
        </w:tc>
      </w:tr>
    </w:tbl>
    <w:p>
      <w:pPr>
        <w:spacing w:after="0"/>
      </w:pPr>
    </w:p>
    <w:p>
      <w:pPr>
        <w:pStyle w:val="Heading1"/>
      </w:pPr>
      <w:r>
        <w:t>4. 16S rRNA 유전자 V4 영역 앰플리콘 PCR</w:t>
      </w:r>
    </w:p>
    <w:p>
      <w:pPr>
        <w:pStyle w:val="Heading2"/>
      </w:pPr>
      <w:r>
        <w:t>4.1 표적 영역과 프라이머</w:t>
      </w:r>
    </w:p>
    <w:p>
      <w:pPr>
        <w:pStyle w:val="ListBullet"/>
        <w:spacing w:after="60" w:line="269" w:lineRule="auto"/>
        <w:ind w:left="360" w:hanging="259"/>
      </w:pPr>
      <w:r>
        <w:rPr>
          <w:rFonts w:ascii="Malgun Gothic" w:hAnsi="Malgun Gothic" w:eastAsia="Malgun Gothic"/>
          <w:b w:val="0"/>
          <w:i w:val="0"/>
          <w:color w:val="1F2937"/>
          <w:sz w:val="20"/>
        </w:rPr>
        <w:t>표적 영역: 16S rRNA 유전자 V4 영역, 약 292 bp</w:t>
      </w:r>
    </w:p>
    <w:p>
      <w:pPr>
        <w:pStyle w:val="ListBullet"/>
        <w:spacing w:after="60" w:line="269" w:lineRule="auto"/>
        <w:ind w:left="360" w:hanging="259"/>
      </w:pPr>
      <w:r>
        <w:rPr>
          <w:rFonts w:ascii="Malgun Gothic" w:hAnsi="Malgun Gothic" w:eastAsia="Malgun Gothic"/>
          <w:b w:val="0"/>
          <w:i w:val="0"/>
          <w:color w:val="1F2937"/>
          <w:sz w:val="20"/>
        </w:rPr>
        <w:t>Forward 프라이머 515F: CCTACGGGNGGCWGCAG</w:t>
      </w:r>
    </w:p>
    <w:p>
      <w:pPr>
        <w:pStyle w:val="ListBullet"/>
        <w:spacing w:after="60" w:line="269" w:lineRule="auto"/>
        <w:ind w:left="360" w:hanging="259"/>
      </w:pPr>
      <w:r>
        <w:rPr>
          <w:rFonts w:ascii="Malgun Gothic" w:hAnsi="Malgun Gothic" w:eastAsia="Malgun Gothic"/>
          <w:b w:val="0"/>
          <w:i w:val="0"/>
          <w:color w:val="1F2937"/>
          <w:sz w:val="20"/>
        </w:rPr>
        <w:t>Reverse 프라이머 806R: GACTACHVGGGTATCTAATCC</w:t>
      </w:r>
    </w:p>
    <w:p>
      <w:pPr>
        <w:pStyle w:val="ListBullet"/>
        <w:spacing w:after="60" w:line="269" w:lineRule="auto"/>
        <w:ind w:left="360" w:hanging="259"/>
      </w:pPr>
      <w:r>
        <w:rPr>
          <w:rFonts w:ascii="Malgun Gothic" w:hAnsi="Malgun Gothic" w:eastAsia="Malgun Gothic"/>
          <w:b w:val="0"/>
          <w:i w:val="0"/>
          <w:color w:val="1F2937"/>
          <w:sz w:val="20"/>
        </w:rPr>
        <w:t>1차 PCR에서는 표적 특이적 프라이머 앞에 Illumina overhang 서열을 부착한다.</w:t>
      </w:r>
    </w:p>
    <w:tbl>
      <w:tblPr>
        <w:tblStyle w:val="TableGrid"/>
        <w:tblW w:type="dxa" w:w="9360"/>
        <w:jc w:val="left"/>
        <w:tblLayout w:type="fixed"/>
        <w:tblLook w:firstColumn="1" w:firstRow="1" w:lastColumn="0" w:lastRow="0" w:noHBand="0" w:noVBand="1" w:val="04A0"/>
        <w:tblInd w:w="100" w:type="dxa"/>
        <w:tblLayout w:type="fixed"/>
      </w:tblPr>
      <w:tblGrid>
        <w:gridCol w:w="9360"/>
      </w:tblGrid>
      <w:tr>
        <w:tc>
          <w:tcPr>
            <w:tcW w:type="dxa" w:w="9360"/>
            <w:shd w:fill="F3F4F6"/>
            <w:tcMar>
              <w:top w:w="80" w:type="dxa"/>
              <w:start w:w="100" w:type="dxa"/>
              <w:bottom w:w="80" w:type="dxa"/>
              <w:end w:w="100" w:type="dxa"/>
            </w:tcMar>
          </w:tcPr>
          <w:p>
            <w:pPr>
              <w:spacing w:after="0"/>
            </w:pPr>
            <w:r>
              <w:rPr>
                <w:rFonts w:ascii="Malgun Gothic" w:hAnsi="Malgun Gothic" w:eastAsia="Malgun Gothic"/>
                <w:b/>
                <w:i w:val="0"/>
                <w:color w:val="1F4E79"/>
                <w:sz w:val="20"/>
              </w:rPr>
              <w:t xml:space="preserve">예상 산물 크기  </w:t>
            </w:r>
            <w:r>
              <w:rPr>
                <w:rFonts w:ascii="Malgun Gothic" w:hAnsi="Malgun Gothic" w:eastAsia="Malgun Gothic"/>
                <w:b w:val="0"/>
                <w:i w:val="0"/>
                <w:color w:val="1F2937"/>
                <w:sz w:val="20"/>
              </w:rPr>
              <w:t>V4 표적 약 292 bp → overhang 포함 1차 PCR 산물 약 359 bp → P5/P7 어댑터와 i5/i7 인덱스가 포함된 최종 라이브러리 약 428 bp.</w:t>
            </w:r>
          </w:p>
        </w:tc>
      </w:tr>
    </w:tbl>
    <w:p>
      <w:pPr>
        <w:spacing w:after="0"/>
      </w:pPr>
    </w:p>
    <w:p>
      <w:pPr>
        <w:pStyle w:val="Heading2"/>
      </w:pPr>
      <w:r>
        <w:t>4.2 1차 앰플리콘 PCR</w:t>
      </w:r>
    </w:p>
    <w:tbl>
      <w:tblPr>
        <w:tblStyle w:val="TableGrid"/>
        <w:tblW w:type="dxa" w:w="9360"/>
        <w:jc w:val="left"/>
        <w:tblLayout w:type="fixed"/>
        <w:tblLook w:firstColumn="1" w:firstRow="1" w:lastColumn="0" w:lastRow="0" w:noHBand="0" w:noVBand="1" w:val="04A0"/>
        <w:tblInd w:w="100" w:type="dxa"/>
        <w:tblLayout w:type="fixed"/>
      </w:tblPr>
      <w:tblGrid>
        <w:gridCol w:w="6696"/>
        <w:gridCol w:w="2664"/>
      </w:tblGrid>
      <w:tr>
        <w:trPr>
          <w:tblHeader w:val="true"/>
        </w:trPr>
        <w:tc>
          <w:tcPr>
            <w:tcW w:type="dxa" w:w="669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8"/>
              </w:rPr>
              <w:t>구성 성분</w:t>
            </w:r>
          </w:p>
        </w:tc>
        <w:tc>
          <w:tcPr>
            <w:tcW w:type="dxa" w:w="2664"/>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8"/>
              </w:rPr>
              <w:t>1개 시료당 부피</w:t>
            </w:r>
          </w:p>
        </w:tc>
      </w:tr>
      <w:tr>
        <w:tc>
          <w:tcPr>
            <w:tcW w:type="dxa" w:w="6696"/>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Microbial genomic DNA, 5 ng/µL</w:t>
            </w:r>
          </w:p>
        </w:tc>
        <w:tc>
          <w:tcPr>
            <w:tcW w:type="dxa" w:w="2664"/>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2.5 µL</w:t>
            </w:r>
          </w:p>
        </w:tc>
      </w:tr>
      <w:tr>
        <w:tc>
          <w:tcPr>
            <w:tcW w:type="dxa" w:w="6696"/>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Forward 프라이머, 1 µM</w:t>
            </w:r>
          </w:p>
        </w:tc>
        <w:tc>
          <w:tcPr>
            <w:tcW w:type="dxa" w:w="2664"/>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5.0 µL</w:t>
            </w:r>
          </w:p>
        </w:tc>
      </w:tr>
      <w:tr>
        <w:tc>
          <w:tcPr>
            <w:tcW w:type="dxa" w:w="6696"/>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Reverse 프라이머, 1 µM</w:t>
            </w:r>
          </w:p>
        </w:tc>
        <w:tc>
          <w:tcPr>
            <w:tcW w:type="dxa" w:w="2664"/>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5.0 µL</w:t>
            </w:r>
          </w:p>
        </w:tc>
      </w:tr>
      <w:tr>
        <w:tc>
          <w:tcPr>
            <w:tcW w:type="dxa" w:w="6696"/>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2× KAPA HiFi HotStart ReadyMix</w:t>
            </w:r>
          </w:p>
        </w:tc>
        <w:tc>
          <w:tcPr>
            <w:tcW w:type="dxa" w:w="2664"/>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12.5 µL</w:t>
            </w:r>
          </w:p>
        </w:tc>
      </w:tr>
      <w:tr>
        <w:tc>
          <w:tcPr>
            <w:tcW w:type="dxa" w:w="6696"/>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총 반응액</w:t>
            </w:r>
          </w:p>
        </w:tc>
        <w:tc>
          <w:tcPr>
            <w:tcW w:type="dxa" w:w="2664"/>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25.0 µL</w:t>
            </w:r>
          </w:p>
        </w:tc>
      </w:tr>
    </w:tbl>
    <w:p>
      <w:pPr>
        <w:spacing w:after="0"/>
      </w:pPr>
    </w:p>
    <w:tbl>
      <w:tblPr>
        <w:tblStyle w:val="TableGrid"/>
        <w:tblW w:type="dxa" w:w="9360"/>
        <w:jc w:val="left"/>
        <w:tblLayout w:type="fixed"/>
        <w:tblLook w:firstColumn="1" w:firstRow="1" w:lastColumn="0" w:lastRow="0" w:noHBand="0" w:noVBand="1" w:val="04A0"/>
        <w:tblInd w:w="100" w:type="dxa"/>
        <w:tblLayout w:type="fixed"/>
      </w:tblPr>
      <w:tblGrid>
        <w:gridCol w:w="3240"/>
        <w:gridCol w:w="2016"/>
        <w:gridCol w:w="2016"/>
        <w:gridCol w:w="2088"/>
      </w:tblGrid>
      <w:tr>
        <w:trPr>
          <w:tblHeader w:val="true"/>
        </w:trPr>
        <w:tc>
          <w:tcPr>
            <w:tcW w:type="dxa" w:w="3240"/>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단계</w:t>
            </w:r>
          </w:p>
        </w:tc>
        <w:tc>
          <w:tcPr>
            <w:tcW w:type="dxa" w:w="201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온도</w:t>
            </w:r>
          </w:p>
        </w:tc>
        <w:tc>
          <w:tcPr>
            <w:tcW w:type="dxa" w:w="201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시간</w:t>
            </w:r>
          </w:p>
        </w:tc>
        <w:tc>
          <w:tcPr>
            <w:tcW w:type="dxa" w:w="2088"/>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반복</w:t>
            </w:r>
          </w:p>
        </w:tc>
      </w:tr>
      <w:tr>
        <w:tc>
          <w:tcPr>
            <w:tcW w:type="dxa" w:w="3240"/>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초기 변성</w:t>
            </w:r>
          </w:p>
        </w:tc>
        <w:tc>
          <w:tcPr>
            <w:tcW w:type="dxa" w:w="20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95°C</w:t>
            </w:r>
          </w:p>
        </w:tc>
        <w:tc>
          <w:tcPr>
            <w:tcW w:type="dxa" w:w="20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3분</w:t>
            </w:r>
          </w:p>
        </w:tc>
        <w:tc>
          <w:tcPr>
            <w:tcW w:type="dxa" w:w="2088"/>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1회</w:t>
            </w:r>
          </w:p>
        </w:tc>
      </w:tr>
      <w:tr>
        <w:tc>
          <w:tcPr>
            <w:tcW w:type="dxa" w:w="3240"/>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변성</w:t>
            </w:r>
          </w:p>
        </w:tc>
        <w:tc>
          <w:tcPr>
            <w:tcW w:type="dxa" w:w="20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95°C</w:t>
            </w:r>
          </w:p>
        </w:tc>
        <w:tc>
          <w:tcPr>
            <w:tcW w:type="dxa" w:w="20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30초</w:t>
            </w:r>
          </w:p>
        </w:tc>
        <w:tc>
          <w:tcPr>
            <w:tcW w:type="dxa" w:w="2088"/>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25 cycles</w:t>
            </w:r>
          </w:p>
        </w:tc>
      </w:tr>
      <w:tr>
        <w:tc>
          <w:tcPr>
            <w:tcW w:type="dxa" w:w="3240"/>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결합(annealing)</w:t>
            </w:r>
          </w:p>
        </w:tc>
        <w:tc>
          <w:tcPr>
            <w:tcW w:type="dxa" w:w="20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55°C</w:t>
            </w:r>
          </w:p>
        </w:tc>
        <w:tc>
          <w:tcPr>
            <w:tcW w:type="dxa" w:w="20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30초</w:t>
            </w:r>
          </w:p>
        </w:tc>
        <w:tc>
          <w:tcPr>
            <w:tcW w:type="dxa" w:w="2088"/>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25회</w:t>
            </w:r>
          </w:p>
        </w:tc>
      </w:tr>
      <w:tr>
        <w:tc>
          <w:tcPr>
            <w:tcW w:type="dxa" w:w="3240"/>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신장(extension)</w:t>
            </w:r>
          </w:p>
        </w:tc>
        <w:tc>
          <w:tcPr>
            <w:tcW w:type="dxa" w:w="20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72°C</w:t>
            </w:r>
          </w:p>
        </w:tc>
        <w:tc>
          <w:tcPr>
            <w:tcW w:type="dxa" w:w="20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30초</w:t>
            </w:r>
          </w:p>
        </w:tc>
        <w:tc>
          <w:tcPr>
            <w:tcW w:type="dxa" w:w="2088"/>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25회</w:t>
            </w:r>
          </w:p>
        </w:tc>
      </w:tr>
      <w:tr>
        <w:tc>
          <w:tcPr>
            <w:tcW w:type="dxa" w:w="3240"/>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최종 신장</w:t>
            </w:r>
          </w:p>
        </w:tc>
        <w:tc>
          <w:tcPr>
            <w:tcW w:type="dxa" w:w="20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72°C</w:t>
            </w:r>
          </w:p>
        </w:tc>
        <w:tc>
          <w:tcPr>
            <w:tcW w:type="dxa" w:w="201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5분</w:t>
            </w:r>
          </w:p>
        </w:tc>
        <w:tc>
          <w:tcPr>
            <w:tcW w:type="dxa" w:w="2088"/>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1회</w:t>
            </w:r>
          </w:p>
        </w:tc>
      </w:tr>
      <w:tr>
        <w:tc>
          <w:tcPr>
            <w:tcW w:type="dxa" w:w="3240"/>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보관</w:t>
            </w:r>
          </w:p>
        </w:tc>
        <w:tc>
          <w:tcPr>
            <w:tcW w:type="dxa" w:w="20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4°C</w:t>
            </w:r>
          </w:p>
        </w:tc>
        <w:tc>
          <w:tcPr>
            <w:tcW w:type="dxa" w:w="201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유지</w:t>
            </w:r>
          </w:p>
        </w:tc>
        <w:tc>
          <w:tcPr>
            <w:tcW w:type="dxa" w:w="2088"/>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w:t>
            </w:r>
          </w:p>
        </w:tc>
      </w:tr>
    </w:tbl>
    <w:p>
      <w:pPr>
        <w:spacing w:after="0"/>
      </w:pPr>
    </w:p>
    <w:tbl>
      <w:tblPr>
        <w:tblStyle w:val="TableGrid"/>
        <w:tblW w:type="dxa" w:w="9360"/>
        <w:jc w:val="left"/>
        <w:tblLayout w:type="fixed"/>
        <w:tblLook w:firstColumn="1" w:firstRow="1" w:lastColumn="0" w:lastRow="0" w:noHBand="0" w:noVBand="1" w:val="04A0"/>
        <w:tblInd w:w="100" w:type="dxa"/>
        <w:tblLayout w:type="fixed"/>
      </w:tblPr>
      <w:tblGrid>
        <w:gridCol w:w="9360"/>
      </w:tblGrid>
      <w:tr>
        <w:tc>
          <w:tcPr>
            <w:tcW w:type="dxa" w:w="9360"/>
            <w:shd w:fill="F3F4F6"/>
            <w:tcMar>
              <w:top w:w="80" w:type="dxa"/>
              <w:start w:w="100" w:type="dxa"/>
              <w:bottom w:w="80" w:type="dxa"/>
              <w:end w:w="100" w:type="dxa"/>
            </w:tcMar>
          </w:tcPr>
          <w:p>
            <w:pPr>
              <w:spacing w:after="0"/>
            </w:pPr>
            <w:r>
              <w:rPr>
                <w:rFonts w:ascii="Malgun Gothic" w:hAnsi="Malgun Gothic" w:eastAsia="Malgun Gothic"/>
                <w:b/>
                <w:i w:val="0"/>
                <w:color w:val="1F4E79"/>
                <w:sz w:val="20"/>
              </w:rPr>
              <w:t xml:space="preserve">프로토콜 구분  </w:t>
            </w:r>
            <w:r>
              <w:rPr>
                <w:rFonts w:ascii="Malgun Gothic" w:hAnsi="Malgun Gothic" w:eastAsia="Malgun Gothic"/>
                <w:b w:val="0"/>
                <w:i w:val="0"/>
                <w:color w:val="1F2937"/>
                <w:sz w:val="20"/>
              </w:rPr>
              <w:t>V4 단독 분석과 V3–V4 분석은 표적 길이와 예상 라이브러리 크기가 다르다. V3–V4 프로토콜의 약 550 bp 산물 기준을 V4 라이브러리 품질관리에 그대로 적용하지 않는다.</w:t>
            </w:r>
          </w:p>
        </w:tc>
      </w:tr>
    </w:tbl>
    <w:p>
      <w:pPr>
        <w:spacing w:after="0"/>
      </w:pPr>
    </w:p>
    <w:p>
      <w:pPr>
        <w:pStyle w:val="Heading1"/>
      </w:pPr>
      <w:r>
        <w:t>5. PCR 산물 정제 및 인덱스 라이브러리 제작</w:t>
      </w:r>
    </w:p>
    <w:p>
      <w:pPr>
        <w:pStyle w:val="ListNumber"/>
        <w:spacing w:after="60" w:line="269" w:lineRule="auto"/>
        <w:ind w:left="461" w:hanging="317"/>
      </w:pPr>
      <w:r>
        <w:rPr>
          <w:rFonts w:ascii="Malgun Gothic" w:hAnsi="Malgun Gothic" w:eastAsia="Malgun Gothic"/>
          <w:b w:val="0"/>
          <w:i w:val="0"/>
          <w:color w:val="1F2937"/>
          <w:sz w:val="20"/>
        </w:rPr>
        <w:t>AMPure XP 비드를 충분히 vortex하여 균일하게 만든 뒤 PCR 산물과 혼합한다.</w:t>
      </w:r>
    </w:p>
    <w:p>
      <w:pPr>
        <w:pStyle w:val="ListNumber"/>
        <w:spacing w:after="60" w:line="269" w:lineRule="auto"/>
        <w:ind w:left="461" w:hanging="317"/>
      </w:pPr>
      <w:r>
        <w:rPr>
          <w:rFonts w:ascii="Malgun Gothic" w:hAnsi="Malgun Gothic" w:eastAsia="Malgun Gothic"/>
          <w:b w:val="0"/>
          <w:i w:val="0"/>
          <w:color w:val="1F2937"/>
          <w:sz w:val="20"/>
        </w:rPr>
        <w:t>상온에서 약 5분간 결합시키고 자성 스탠드에서 상층액이 투명해질 때까지 약 2분 둔다.</w:t>
      </w:r>
    </w:p>
    <w:p>
      <w:pPr>
        <w:pStyle w:val="ListNumber"/>
        <w:spacing w:after="60" w:line="269" w:lineRule="auto"/>
        <w:ind w:left="461" w:hanging="317"/>
      </w:pPr>
      <w:r>
        <w:rPr>
          <w:rFonts w:ascii="Malgun Gothic" w:hAnsi="Malgun Gothic" w:eastAsia="Malgun Gothic"/>
          <w:b w:val="0"/>
          <w:i w:val="0"/>
          <w:color w:val="1F2937"/>
          <w:sz w:val="20"/>
        </w:rPr>
        <w:t>자석 위에서 상층액을 제거하고 새로 준비한 80% ethanol 200 µL로 2회 세척한다.</w:t>
      </w:r>
    </w:p>
    <w:p>
      <w:pPr>
        <w:pStyle w:val="ListNumber"/>
        <w:spacing w:after="60" w:line="269" w:lineRule="auto"/>
        <w:ind w:left="461" w:hanging="317"/>
      </w:pPr>
      <w:r>
        <w:rPr>
          <w:rFonts w:ascii="Malgun Gothic" w:hAnsi="Malgun Gothic" w:eastAsia="Malgun Gothic"/>
          <w:b w:val="0"/>
          <w:i w:val="0"/>
          <w:color w:val="1F2937"/>
          <w:sz w:val="20"/>
        </w:rPr>
        <w:t>잔류 ethanol을 제거하고 비드를 약 10분간 공기 건조한다. 과도한 건조는 용출 효율을 낮출 수 있다.</w:t>
      </w:r>
    </w:p>
    <w:p>
      <w:pPr>
        <w:pStyle w:val="ListNumber"/>
        <w:spacing w:after="60" w:line="269" w:lineRule="auto"/>
        <w:ind w:left="461" w:hanging="317"/>
      </w:pPr>
      <w:r>
        <w:rPr>
          <w:rFonts w:ascii="Malgun Gothic" w:hAnsi="Malgun Gothic" w:eastAsia="Malgun Gothic"/>
          <w:b w:val="0"/>
          <w:i w:val="0"/>
          <w:color w:val="1F2937"/>
          <w:sz w:val="20"/>
        </w:rPr>
        <w:t>10 mM Tris-HCl pH 8.5 약 52.5 µL로 용출하고, 비드가 섞이지 않도록 정제액 약 50 µL를 회수한다.</w:t>
      </w:r>
    </w:p>
    <w:p>
      <w:pPr>
        <w:pStyle w:val="ListNumber"/>
        <w:spacing w:after="60" w:line="269" w:lineRule="auto"/>
        <w:ind w:left="461" w:hanging="317"/>
      </w:pPr>
      <w:r>
        <w:rPr>
          <w:rFonts w:ascii="Malgun Gothic" w:hAnsi="Malgun Gothic" w:eastAsia="Malgun Gothic"/>
          <w:b w:val="0"/>
          <w:i w:val="0"/>
          <w:color w:val="1F2937"/>
          <w:sz w:val="20"/>
        </w:rPr>
        <w:t>2차 PCR에서 P5/P7 어댑터와 시료별 dual index(i5/i7)를 부착한다.</w:t>
      </w:r>
    </w:p>
    <w:p>
      <w:pPr>
        <w:pStyle w:val="ListNumber"/>
        <w:spacing w:after="60" w:line="269" w:lineRule="auto"/>
        <w:ind w:left="461" w:hanging="317"/>
      </w:pPr>
      <w:r>
        <w:rPr>
          <w:rFonts w:ascii="Malgun Gothic" w:hAnsi="Malgun Gothic" w:eastAsia="Malgun Gothic"/>
          <w:b w:val="0"/>
          <w:i w:val="0"/>
          <w:color w:val="1F2937"/>
          <w:sz w:val="20"/>
        </w:rPr>
        <w:t>정제 후 fragment analyzer 또는 Bioanalyzer로 예상 크기와 primer dimer 유무를 확인하고 Qubit으로 정량한다.</w:t>
      </w:r>
    </w:p>
    <w:p>
      <w:pPr>
        <w:pStyle w:val="ListNumber"/>
        <w:spacing w:after="60" w:line="269" w:lineRule="auto"/>
        <w:ind w:left="461" w:hanging="317"/>
      </w:pPr>
      <w:r>
        <w:rPr>
          <w:rFonts w:ascii="Malgun Gothic" w:hAnsi="Malgun Gothic" w:eastAsia="Malgun Gothic"/>
          <w:b w:val="0"/>
          <w:i w:val="0"/>
          <w:color w:val="1F2937"/>
          <w:sz w:val="20"/>
        </w:rPr>
        <w:t>시료별 라이브러리를 동일 몰농도로 정규화한 뒤 혼합한다.</w:t>
      </w:r>
    </w:p>
    <w:p>
      <w:pPr>
        <w:pStyle w:val="Heading1"/>
      </w:pPr>
      <w:r>
        <w:t>6. Illumina iSeq 100 기반 염기서열 분석</w:t>
      </w:r>
    </w:p>
    <w:p>
      <w:pPr>
        <w:pStyle w:val="ListBullet"/>
        <w:spacing w:after="60" w:line="269" w:lineRule="auto"/>
        <w:ind w:left="360" w:hanging="259"/>
      </w:pPr>
      <w:r>
        <w:rPr>
          <w:rFonts w:ascii="Malgun Gothic" w:hAnsi="Malgun Gothic" w:eastAsia="Malgun Gothic"/>
          <w:b w:val="0"/>
          <w:i w:val="0"/>
          <w:color w:val="1F2937"/>
          <w:sz w:val="20"/>
        </w:rPr>
        <w:t>원리: Sequencing by Synthesis(SBS). 각 cycle에서 새로 첨가된 형광 염기를 촬영하여 염기서열을 판독한다.</w:t>
      </w:r>
    </w:p>
    <w:p>
      <w:pPr>
        <w:pStyle w:val="ListBullet"/>
        <w:spacing w:after="60" w:line="269" w:lineRule="auto"/>
        <w:ind w:left="360" w:hanging="259"/>
      </w:pPr>
      <w:r>
        <w:rPr>
          <w:rFonts w:ascii="Malgun Gothic" w:hAnsi="Malgun Gothic" w:eastAsia="Malgun Gothic"/>
          <w:b w:val="0"/>
          <w:i w:val="0"/>
          <w:color w:val="1F2937"/>
          <w:sz w:val="20"/>
        </w:rPr>
        <w:t>권장 설정: 약 292 bp의 V4 앰플리콘에 paired-end 2×150 bp를 적용하여 forward/reverse read의 중첩 구간을 확보한다.</w:t>
      </w:r>
    </w:p>
    <w:p>
      <w:pPr>
        <w:pStyle w:val="ListBullet"/>
        <w:spacing w:after="60" w:line="269" w:lineRule="auto"/>
        <w:ind w:left="360" w:hanging="259"/>
      </w:pPr>
      <w:r>
        <w:rPr>
          <w:rFonts w:ascii="Malgun Gothic" w:hAnsi="Malgun Gothic" w:eastAsia="Malgun Gothic"/>
          <w:b w:val="0"/>
          <w:i w:val="0"/>
          <w:color w:val="1F2937"/>
          <w:sz w:val="20"/>
        </w:rPr>
        <w:t>시료 구분: i5/i7 조합을 이용하여 염기서열 분석 후 시료별 read를 분리한다.</w:t>
      </w:r>
    </w:p>
    <w:p>
      <w:pPr>
        <w:pStyle w:val="ListBullet"/>
        <w:spacing w:after="60" w:line="269" w:lineRule="auto"/>
        <w:ind w:left="360" w:hanging="259"/>
      </w:pPr>
      <w:r>
        <w:rPr>
          <w:rFonts w:ascii="Malgun Gothic" w:hAnsi="Malgun Gothic" w:eastAsia="Malgun Gothic"/>
          <w:b w:val="0"/>
          <w:i w:val="0"/>
          <w:color w:val="1F2937"/>
          <w:sz w:val="20"/>
        </w:rPr>
        <w:t>Run 품질관리: 총 read 수, 시료별 read 분포, Q30, index 균형, PhiX 비율 및 음성대조 read를 확인한다.</w:t>
      </w:r>
    </w:p>
    <w:p>
      <w:pPr>
        <w:pStyle w:val="Heading1"/>
      </w:pPr>
      <w:r>
        <w:t>7. 16S rRNA 유전자 앰플리콘 데이터의 생물정보학 및 통계 분석</w:t>
      </w:r>
    </w:p>
    <w:tbl>
      <w:tblPr>
        <w:tblStyle w:val="TableGrid"/>
        <w:tblW w:type="dxa" w:w="9360"/>
        <w:jc w:val="left"/>
        <w:tblLayout w:type="fixed"/>
        <w:tblLook w:firstColumn="1" w:firstRow="1" w:lastColumn="0" w:lastRow="0" w:noHBand="0" w:noVBand="1" w:val="04A0"/>
        <w:tblInd w:w="100" w:type="dxa"/>
        <w:tblLayout w:type="fixed"/>
      </w:tblPr>
      <w:tblGrid>
        <w:gridCol w:w="2275"/>
        <w:gridCol w:w="7085"/>
      </w:tblGrid>
      <w:tr>
        <w:trPr>
          <w:tblHeader w:val="true"/>
        </w:trPr>
        <w:tc>
          <w:tcPr>
            <w:tcW w:type="dxa" w:w="2275"/>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분석 단계</w:t>
            </w:r>
          </w:p>
        </w:tc>
        <w:tc>
          <w:tcPr>
            <w:tcW w:type="dxa" w:w="7085"/>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권장 처리</w:t>
            </w:r>
          </w:p>
        </w:tc>
      </w:tr>
      <w:tr>
        <w:tc>
          <w:tcPr>
            <w:tcW w:type="dxa" w:w="2275"/>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시료별 서열 분리</w:t>
            </w:r>
          </w:p>
        </w:tc>
        <w:tc>
          <w:tcPr>
            <w:tcW w:type="dxa" w:w="7085"/>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i5/i7 index를 기준으로 시료별 FASTQ 파일 분리(demultiplexing)</w:t>
            </w:r>
          </w:p>
        </w:tc>
      </w:tr>
      <w:tr>
        <w:tc>
          <w:tcPr>
            <w:tcW w:type="dxa" w:w="2275"/>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프라이머 제거</w:t>
            </w:r>
          </w:p>
        </w:tc>
        <w:tc>
          <w:tcPr>
            <w:tcW w:type="dxa" w:w="7085"/>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cutadapt 등으로 프라이머 및 어댑터 서열 제거</w:t>
            </w:r>
          </w:p>
        </w:tc>
      </w:tr>
      <w:tr>
        <w:tc>
          <w:tcPr>
            <w:tcW w:type="dxa" w:w="2275"/>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품질 필터링</w:t>
            </w:r>
          </w:p>
        </w:tc>
        <w:tc>
          <w:tcPr>
            <w:tcW w:type="dxa" w:w="7085"/>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품질 저하 구간 trimming, 불확실 염기 제거 및 paired-end read 병합</w:t>
            </w:r>
          </w:p>
        </w:tc>
      </w:tr>
      <w:tr>
        <w:tc>
          <w:tcPr>
            <w:tcW w:type="dxa" w:w="2275"/>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ASV 추론</w:t>
            </w:r>
          </w:p>
        </w:tc>
        <w:tc>
          <w:tcPr>
            <w:tcW w:type="dxa" w:w="7085"/>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DADA2 또는 동등한 방법으로 오류 보정, chimera 제거 및 ASV table 생성</w:t>
            </w:r>
          </w:p>
        </w:tc>
      </w:tr>
      <w:tr>
        <w:tc>
          <w:tcPr>
            <w:tcW w:type="dxa" w:w="2275"/>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분류학적 할당</w:t>
            </w:r>
          </w:p>
        </w:tc>
        <w:tc>
          <w:tcPr>
            <w:tcW w:type="dxa" w:w="7085"/>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SILVA 등 분석 시점에 고정한 참조 데이터베이스와 동일 프라이머 구간을 사용</w:t>
            </w:r>
          </w:p>
        </w:tc>
      </w:tr>
      <w:tr>
        <w:tc>
          <w:tcPr>
            <w:tcW w:type="dxa" w:w="2275"/>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알파 다양성</w:t>
            </w:r>
          </w:p>
        </w:tc>
        <w:tc>
          <w:tcPr>
            <w:tcW w:type="dxa" w:w="7085"/>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Observed ASVs와 Shannon index 등으로 시료 내 다양성 평가</w:t>
            </w:r>
          </w:p>
        </w:tc>
      </w:tr>
      <w:tr>
        <w:tc>
          <w:tcPr>
            <w:tcW w:type="dxa" w:w="2275"/>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베타 다양성</w:t>
            </w:r>
          </w:p>
        </w:tc>
        <w:tc>
          <w:tcPr>
            <w:tcW w:type="dxa" w:w="7085"/>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Bray–Curtis 및 필요 시 UniFrac으로 시료 간 차이 평가; PCoA 시각화</w:t>
            </w:r>
          </w:p>
        </w:tc>
      </w:tr>
      <w:tr>
        <w:tc>
          <w:tcPr>
            <w:tcW w:type="dxa" w:w="2275"/>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군집 조성 차이 검정</w:t>
            </w:r>
          </w:p>
        </w:tc>
        <w:tc>
          <w:tcPr>
            <w:tcW w:type="dxa" w:w="7085"/>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PERMANOVA를 사용하되 군집 내 산포도 차이를 함께 확인</w:t>
            </w:r>
          </w:p>
        </w:tc>
      </w:tr>
      <w:tr>
        <w:tc>
          <w:tcPr>
            <w:tcW w:type="dxa" w:w="2275"/>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미생물 지표 후보 탐색</w:t>
            </w:r>
          </w:p>
        </w:tc>
        <w:tc>
          <w:tcPr>
            <w:tcW w:type="dxa" w:w="7085"/>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ANCOM-BC 등 조성자료 기반 방법을 우선하고 LEfSe는 탐색적 보조 결과로 사용</w:t>
            </w:r>
          </w:p>
        </w:tc>
      </w:tr>
    </w:tbl>
    <w:p>
      <w:pPr>
        <w:spacing w:after="0"/>
      </w:pPr>
    </w:p>
    <w:tbl>
      <w:tblPr>
        <w:tblStyle w:val="TableGrid"/>
        <w:tblW w:type="dxa" w:w="9360"/>
        <w:jc w:val="left"/>
        <w:tblLayout w:type="fixed"/>
        <w:tblLook w:firstColumn="1" w:firstRow="1" w:lastColumn="0" w:lastRow="0" w:noHBand="0" w:noVBand="1" w:val="04A0"/>
        <w:tblInd w:w="100" w:type="dxa"/>
        <w:tblLayout w:type="fixed"/>
      </w:tblPr>
      <w:tblGrid>
        <w:gridCol w:w="9360"/>
      </w:tblGrid>
      <w:tr>
        <w:tc>
          <w:tcPr>
            <w:tcW w:type="dxa" w:w="9360"/>
            <w:shd w:fill="F3F4F6"/>
            <w:tcMar>
              <w:top w:w="80" w:type="dxa"/>
              <w:start w:w="100" w:type="dxa"/>
              <w:bottom w:w="80" w:type="dxa"/>
              <w:end w:w="100" w:type="dxa"/>
            </w:tcMar>
          </w:tcPr>
          <w:p>
            <w:pPr>
              <w:spacing w:after="0"/>
            </w:pPr>
            <w:r>
              <w:rPr>
                <w:rFonts w:ascii="Malgun Gothic" w:hAnsi="Malgun Gothic" w:eastAsia="Malgun Gothic"/>
                <w:b/>
                <w:i w:val="0"/>
                <w:color w:val="1F4E79"/>
                <w:sz w:val="20"/>
              </w:rPr>
              <w:t xml:space="preserve">반복 설계  </w:t>
            </w:r>
            <w:r>
              <w:rPr>
                <w:rFonts w:ascii="Malgun Gothic" w:hAnsi="Malgun Gothic" w:eastAsia="Malgun Gothic"/>
                <w:b w:val="0"/>
                <w:i w:val="0"/>
                <w:color w:val="1F2937"/>
                <w:sz w:val="20"/>
              </w:rPr>
              <w:t>도로변과 공원의 차이는 단일 시료가 아니라 독립적인 생물학적 반복에서 검정한다. 토양 pH, 수분, 유기물, 식생, Cu/Pb/Cd/Zn 및 교통량을 함께 측정하여 잠재적 교란요인을 보정한다.</w:t>
            </w:r>
          </w:p>
        </w:tc>
      </w:tr>
    </w:tbl>
    <w:p>
      <w:pPr>
        <w:spacing w:after="0"/>
      </w:pPr>
    </w:p>
    <w:p>
      <w:pPr>
        <w:pStyle w:val="Heading1"/>
      </w:pPr>
      <w:r>
        <w:t>8. 분리균의 준전장 16S rRNA 유전자 Sanger 염기서열 분석</w:t>
      </w:r>
    </w:p>
    <w:p>
      <w:pPr>
        <w:pStyle w:val="ListNumber"/>
        <w:spacing w:after="60" w:line="269" w:lineRule="auto"/>
        <w:ind w:left="461" w:hanging="317"/>
      </w:pPr>
      <w:r>
        <w:rPr>
          <w:rFonts w:ascii="Malgun Gothic" w:hAnsi="Malgun Gothic" w:eastAsia="Malgun Gothic"/>
          <w:b w:val="0"/>
          <w:i w:val="0"/>
          <w:color w:val="1F2937"/>
          <w:sz w:val="20"/>
        </w:rPr>
        <w:t>순수 colony에서 유전체 DNA를 추출하거나 colony PCR을 수행한다.</w:t>
      </w:r>
    </w:p>
    <w:p>
      <w:pPr>
        <w:pStyle w:val="ListNumber"/>
        <w:spacing w:after="60" w:line="269" w:lineRule="auto"/>
        <w:ind w:left="461" w:hanging="317"/>
      </w:pPr>
      <w:r>
        <w:rPr>
          <w:rFonts w:ascii="Malgun Gothic" w:hAnsi="Malgun Gothic" w:eastAsia="Malgun Gothic"/>
          <w:b w:val="0"/>
          <w:i w:val="0"/>
          <w:color w:val="1F2937"/>
          <w:sz w:val="20"/>
        </w:rPr>
        <w:t>약 1,400–1,500 bp의 준전장 16S rRNA 유전자를 증폭한다.</w:t>
      </w:r>
    </w:p>
    <w:p>
      <w:pPr>
        <w:pStyle w:val="ListNumber"/>
        <w:spacing w:after="60" w:line="269" w:lineRule="auto"/>
        <w:ind w:left="461" w:hanging="317"/>
      </w:pPr>
      <w:r>
        <w:rPr>
          <w:rFonts w:ascii="Malgun Gothic" w:hAnsi="Malgun Gothic" w:eastAsia="Malgun Gothic"/>
          <w:b w:val="0"/>
          <w:i w:val="0"/>
          <w:color w:val="1F2937"/>
          <w:sz w:val="20"/>
        </w:rPr>
        <w:t>PCR 산물의 단일 band와 예상 크기를 확인한 뒤 정제한다.</w:t>
      </w:r>
    </w:p>
    <w:p>
      <w:pPr>
        <w:pStyle w:val="ListNumber"/>
        <w:spacing w:after="60" w:line="269" w:lineRule="auto"/>
        <w:ind w:left="461" w:hanging="317"/>
      </w:pPr>
      <w:r>
        <w:rPr>
          <w:rFonts w:ascii="Malgun Gothic" w:hAnsi="Malgun Gothic" w:eastAsia="Malgun Gothic"/>
          <w:b w:val="0"/>
          <w:i w:val="0"/>
          <w:color w:val="1F2937"/>
          <w:sz w:val="20"/>
        </w:rPr>
        <w:t>Forward와 reverse 방향으로 Sanger 염기서열 분석을 수행한다.</w:t>
      </w:r>
    </w:p>
    <w:p>
      <w:pPr>
        <w:pStyle w:val="ListNumber"/>
        <w:spacing w:after="60" w:line="269" w:lineRule="auto"/>
        <w:ind w:left="461" w:hanging="317"/>
      </w:pPr>
      <w:r>
        <w:rPr>
          <w:rFonts w:ascii="Malgun Gothic" w:hAnsi="Malgun Gothic" w:eastAsia="Malgun Gothic"/>
          <w:b w:val="0"/>
          <w:i w:val="0"/>
          <w:color w:val="1F2937"/>
          <w:sz w:val="20"/>
        </w:rPr>
        <w:t>저품질 말단을 trimming하고 reverse read를 reverse-complement한 뒤 중첩 consensus 서열을 만든다.</w:t>
      </w:r>
    </w:p>
    <w:p>
      <w:pPr>
        <w:pStyle w:val="ListNumber"/>
        <w:spacing w:after="60" w:line="269" w:lineRule="auto"/>
        <w:ind w:left="461" w:hanging="317"/>
      </w:pPr>
      <w:r>
        <w:rPr>
          <w:rFonts w:ascii="Malgun Gothic" w:hAnsi="Malgun Gothic" w:eastAsia="Malgun Gothic"/>
          <w:b w:val="0"/>
          <w:i w:val="0"/>
          <w:color w:val="1F2937"/>
          <w:sz w:val="20"/>
        </w:rPr>
        <w:t>NCBI 16S rRNA 데이터베이스에서 type material을 우선하여 BLAST하고 alignment length, query cover, identity, gap 및 E-value를 함께 평가한다.</w:t>
      </w:r>
    </w:p>
    <w:tbl>
      <w:tblPr>
        <w:tblStyle w:val="TableGrid"/>
        <w:tblW w:type="dxa" w:w="9360"/>
        <w:jc w:val="left"/>
        <w:tblLayout w:type="fixed"/>
        <w:tblLook w:firstColumn="1" w:firstRow="1" w:lastColumn="0" w:lastRow="0" w:noHBand="0" w:noVBand="1" w:val="04A0"/>
        <w:tblInd w:w="100" w:type="dxa"/>
        <w:tblLayout w:type="fixed"/>
      </w:tblPr>
      <w:tblGrid>
        <w:gridCol w:w="2304"/>
        <w:gridCol w:w="7056"/>
      </w:tblGrid>
      <w:tr>
        <w:trPr>
          <w:tblHeader w:val="true"/>
        </w:trPr>
        <w:tc>
          <w:tcPr>
            <w:tcW w:type="dxa" w:w="2304"/>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8"/>
              </w:rPr>
              <w:t>항목</w:t>
            </w:r>
          </w:p>
        </w:tc>
        <w:tc>
          <w:tcPr>
            <w:tcW w:type="dxa" w:w="7056"/>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8"/>
              </w:rPr>
              <w:t>권장 기준</w:t>
            </w:r>
          </w:p>
        </w:tc>
      </w:tr>
      <w:tr>
        <w:tc>
          <w:tcPr>
            <w:tcW w:type="dxa" w:w="2304"/>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Alignment length</w:t>
            </w:r>
          </w:p>
        </w:tc>
        <w:tc>
          <w:tcPr>
            <w:tcW w:type="dxa" w:w="705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최소 1,300 bp, 가능하면 1,400 bp 이상</w:t>
            </w:r>
          </w:p>
        </w:tc>
      </w:tr>
      <w:tr>
        <w:tc>
          <w:tcPr>
            <w:tcW w:type="dxa" w:w="2304"/>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Query cover</w:t>
            </w:r>
          </w:p>
        </w:tc>
        <w:tc>
          <w:tcPr>
            <w:tcW w:type="dxa" w:w="705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98% 이상, 가능하면 99–100%</w:t>
            </w:r>
          </w:p>
        </w:tc>
      </w:tr>
      <w:tr>
        <w:tc>
          <w:tcPr>
            <w:tcW w:type="dxa" w:w="2304"/>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Identity</w:t>
            </w:r>
          </w:p>
        </w:tc>
        <w:tc>
          <w:tcPr>
            <w:tcW w:type="dxa" w:w="705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98.65% 이상은 동일 종 후보로 검토할 수 있으나 종 확정 기준으로 단독 사용하지 않음</w:t>
            </w:r>
          </w:p>
        </w:tc>
      </w:tr>
      <w:tr>
        <w:tc>
          <w:tcPr>
            <w:tcW w:type="dxa" w:w="2304"/>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E-value</w:t>
            </w:r>
          </w:p>
        </w:tc>
        <w:tc>
          <w:tcPr>
            <w:tcW w:type="dxa" w:w="705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0 또는 사실상 0</w:t>
            </w:r>
          </w:p>
        </w:tc>
      </w:tr>
      <w:tr>
        <w:tc>
          <w:tcPr>
            <w:tcW w:type="dxa" w:w="2304"/>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Reference</w:t>
            </w:r>
          </w:p>
        </w:tc>
        <w:tc>
          <w:tcPr>
            <w:tcW w:type="dxa" w:w="7056"/>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Type strain 또는 curated RefSeq 16S accession 우선</w:t>
            </w:r>
          </w:p>
        </w:tc>
      </w:tr>
      <w:tr>
        <w:tc>
          <w:tcPr>
            <w:tcW w:type="dxa" w:w="2304"/>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8"/>
              </w:rPr>
              <w:t>다중 100% hit</w:t>
            </w:r>
          </w:p>
        </w:tc>
        <w:tc>
          <w:tcPr>
            <w:tcW w:type="dxa" w:w="7056"/>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8"/>
              </w:rPr>
              <w:t>동일한 16S 서열을 공유하는 근연종이 있으면 속 또는 종군(species group) 수준으로 보고</w:t>
            </w:r>
          </w:p>
        </w:tc>
      </w:tr>
    </w:tbl>
    <w:p>
      <w:pPr>
        <w:spacing w:after="0"/>
      </w:pPr>
    </w:p>
    <w:p>
      <w:pPr>
        <w:pStyle w:val="Heading1"/>
      </w:pPr>
      <w:r>
        <w:t>9. 16S rRNA 유전자 앰플리콘 시퀀싱과 샷건 메타유전체 분석의 비교</w:t>
      </w:r>
    </w:p>
    <w:tbl>
      <w:tblPr>
        <w:tblStyle w:val="TableGrid"/>
        <w:tblW w:type="dxa" w:w="9360"/>
        <w:jc w:val="left"/>
        <w:tblLayout w:type="fixed"/>
        <w:tblLook w:firstColumn="1" w:firstRow="1" w:lastColumn="0" w:lastRow="0" w:noHBand="0" w:noVBand="1" w:val="04A0"/>
        <w:tblInd w:w="100" w:type="dxa"/>
        <w:tblLayout w:type="fixed"/>
      </w:tblPr>
      <w:tblGrid>
        <w:gridCol w:w="1800"/>
        <w:gridCol w:w="3672"/>
        <w:gridCol w:w="3888"/>
      </w:tblGrid>
      <w:tr>
        <w:trPr>
          <w:tblHeader w:val="true"/>
        </w:trPr>
        <w:tc>
          <w:tcPr>
            <w:tcW w:type="dxa" w:w="1800"/>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구분</w:t>
            </w:r>
          </w:p>
        </w:tc>
        <w:tc>
          <w:tcPr>
            <w:tcW w:type="dxa" w:w="3672"/>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16S rRNA 유전자 앰플리콘</w:t>
            </w:r>
          </w:p>
        </w:tc>
        <w:tc>
          <w:tcPr>
            <w:tcW w:type="dxa" w:w="3888"/>
            <w:shd w:fill="EAF2F8"/>
            <w:vAlign w:val="center"/>
            <w:tcMar>
              <w:top w:w="80" w:type="dxa"/>
              <w:start w:w="100" w:type="dxa"/>
              <w:bottom w:w="80" w:type="dxa"/>
              <w:end w:w="100" w:type="dxa"/>
            </w:tcMar>
          </w:tcPr>
          <w:p>
            <w:pPr>
              <w:spacing w:after="0"/>
              <w:jc w:val="center"/>
            </w:pPr>
            <w:r>
              <w:rPr>
                <w:rFonts w:ascii="Malgun Gothic" w:hAnsi="Malgun Gothic" w:eastAsia="Malgun Gothic"/>
                <w:b/>
                <w:i w:val="0"/>
                <w:color w:val="1F4E79"/>
                <w:sz w:val="17"/>
              </w:rPr>
              <w:t>샷건 메타유전체 분석</w:t>
            </w:r>
          </w:p>
        </w:tc>
      </w:tr>
      <w:tr>
        <w:tc>
          <w:tcPr>
            <w:tcW w:type="dxa" w:w="1800"/>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분석 대상</w:t>
            </w:r>
          </w:p>
        </w:tc>
        <w:tc>
          <w:tcPr>
            <w:tcW w:type="dxa" w:w="3672"/>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16S rRNA 유전자 일부</w:t>
            </w:r>
          </w:p>
        </w:tc>
        <w:tc>
          <w:tcPr>
            <w:tcW w:type="dxa" w:w="3888"/>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시료 내 전체 DNA</w:t>
            </w:r>
          </w:p>
        </w:tc>
      </w:tr>
      <w:tr>
        <w:tc>
          <w:tcPr>
            <w:tcW w:type="dxa" w:w="1800"/>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주요 목적</w:t>
            </w:r>
          </w:p>
        </w:tc>
        <w:tc>
          <w:tcPr>
            <w:tcW w:type="dxa" w:w="3672"/>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세균 군집 조성과 다양성 비교</w:t>
            </w:r>
          </w:p>
        </w:tc>
        <w:tc>
          <w:tcPr>
            <w:tcW w:type="dxa" w:w="3888"/>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종·균주 및 기능 유전자 분석</w:t>
            </w:r>
          </w:p>
        </w:tc>
      </w:tr>
      <w:tr>
        <w:tc>
          <w:tcPr>
            <w:tcW w:type="dxa" w:w="1800"/>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분류 해상도</w:t>
            </w:r>
          </w:p>
        </w:tc>
        <w:tc>
          <w:tcPr>
            <w:tcW w:type="dxa" w:w="3672"/>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주로 속 수준; 일부 종은 구분 어려움</w:t>
            </w:r>
          </w:p>
        </w:tc>
        <w:tc>
          <w:tcPr>
            <w:tcW w:type="dxa" w:w="3888"/>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종 수준의 해상도 향상; 충분한 depth와 참조 유전체가 있을 때 일부 균주 구분 가능</w:t>
            </w:r>
          </w:p>
        </w:tc>
      </w:tr>
      <w:tr>
        <w:tc>
          <w:tcPr>
            <w:tcW w:type="dxa" w:w="1800"/>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기능 분석</w:t>
            </w:r>
          </w:p>
        </w:tc>
        <w:tc>
          <w:tcPr>
            <w:tcW w:type="dxa" w:w="3672"/>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기능 예측에 제한이 있으며 직접적인 유전자 확인 불가</w:t>
            </w:r>
          </w:p>
        </w:tc>
        <w:tc>
          <w:tcPr>
            <w:tcW w:type="dxa" w:w="3888"/>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기능 관련 유전자 보유 가능성과 군집의 기능적 잠재력 분석 가능</w:t>
            </w:r>
          </w:p>
        </w:tc>
      </w:tr>
      <w:tr>
        <w:tc>
          <w:tcPr>
            <w:tcW w:type="dxa" w:w="1800"/>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데이터 및 비용</w:t>
            </w:r>
          </w:p>
        </w:tc>
        <w:tc>
          <w:tcPr>
            <w:tcW w:type="dxa" w:w="3672"/>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상대적으로 낮음</w:t>
            </w:r>
          </w:p>
        </w:tc>
        <w:tc>
          <w:tcPr>
            <w:tcW w:type="dxa" w:w="3888"/>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상대적으로 높음</w:t>
            </w:r>
          </w:p>
        </w:tc>
      </w:tr>
      <w:tr>
        <w:tc>
          <w:tcPr>
            <w:tcW w:type="dxa" w:w="1800"/>
            <w:shd w:fill="FAFAFA"/>
            <w:vAlign w:val="center"/>
            <w:tcMar>
              <w:top w:w="80" w:type="dxa"/>
              <w:start w:w="100" w:type="dxa"/>
              <w:bottom w:w="80" w:type="dxa"/>
              <w:end w:w="100" w:type="dxa"/>
            </w:tcMar>
          </w:tcPr>
          <w:p>
            <w:pPr>
              <w:spacing w:after="0" w:line="252" w:lineRule="auto"/>
              <w:jc w:val="center"/>
            </w:pPr>
            <w:r>
              <w:rPr>
                <w:rFonts w:ascii="Malgun Gothic" w:hAnsi="Malgun Gothic" w:eastAsia="Malgun Gothic"/>
                <w:b w:val="0"/>
                <w:i w:val="0"/>
                <w:color w:val="1F2937"/>
                <w:sz w:val="17"/>
              </w:rPr>
              <w:t>프로젝트 활용</w:t>
            </w:r>
          </w:p>
        </w:tc>
        <w:tc>
          <w:tcPr>
            <w:tcW w:type="dxa" w:w="3672"/>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도로변·공원 군집 비교와 미생물 지표 후보의 1차 탐색</w:t>
            </w:r>
          </w:p>
        </w:tc>
        <w:tc>
          <w:tcPr>
            <w:tcW w:type="dxa" w:w="3888"/>
            <w:shd w:fill="FAFAFA"/>
            <w:vAlign w:val="center"/>
            <w:tcMar>
              <w:top w:w="80" w:type="dxa"/>
              <w:start w:w="100" w:type="dxa"/>
              <w:bottom w:w="80" w:type="dxa"/>
              <w:end w:w="100" w:type="dxa"/>
            </w:tcMar>
          </w:tcPr>
          <w:p>
            <w:pPr>
              <w:spacing w:after="0" w:line="252" w:lineRule="auto"/>
              <w:jc w:val="left"/>
            </w:pPr>
            <w:r>
              <w:rPr>
                <w:rFonts w:ascii="Malgun Gothic" w:hAnsi="Malgun Gothic" w:eastAsia="Malgun Gothic"/>
                <w:b w:val="0"/>
                <w:i w:val="0"/>
                <w:color w:val="1F2937"/>
                <w:sz w:val="17"/>
              </w:rPr>
              <w:t>분류 해상도 향상과 기능적 잠재력의 정밀 분석</w:t>
            </w:r>
          </w:p>
        </w:tc>
      </w:tr>
    </w:tbl>
    <w:p>
      <w:pPr>
        <w:spacing w:after="0"/>
      </w:pPr>
    </w:p>
    <w:p>
      <w:pPr>
        <w:pStyle w:val="Heading1"/>
      </w:pPr>
      <w:r>
        <w:t>10. 결과 보고 시 필수 기록</w:t>
      </w:r>
    </w:p>
    <w:p>
      <w:pPr>
        <w:pStyle w:val="ListBullet"/>
        <w:spacing w:after="60" w:line="269" w:lineRule="auto"/>
        <w:ind w:left="360" w:hanging="259"/>
      </w:pPr>
      <w:r>
        <w:rPr>
          <w:rFonts w:ascii="Malgun Gothic" w:hAnsi="Malgun Gothic" w:eastAsia="Malgun Gothic"/>
          <w:b w:val="0"/>
          <w:i w:val="0"/>
          <w:color w:val="1F2937"/>
          <w:sz w:val="20"/>
        </w:rPr>
        <w:t>시료 ID, 위치 좌표, 채취일, 토양 깊이, 보관 조건 및 처리 시간</w:t>
      </w:r>
    </w:p>
    <w:p>
      <w:pPr>
        <w:pStyle w:val="ListBullet"/>
        <w:spacing w:after="60" w:line="269" w:lineRule="auto"/>
        <w:ind w:left="360" w:hanging="259"/>
      </w:pPr>
      <w:r>
        <w:rPr>
          <w:rFonts w:ascii="Malgun Gothic" w:hAnsi="Malgun Gothic" w:eastAsia="Malgun Gothic"/>
          <w:b w:val="0"/>
          <w:i w:val="0"/>
          <w:color w:val="1F2937"/>
          <w:sz w:val="20"/>
        </w:rPr>
        <w:t>추출 batch, 시약 lot, extraction blank, PCR 음성대조 및 mock community</w:t>
      </w:r>
    </w:p>
    <w:p>
      <w:pPr>
        <w:pStyle w:val="ListBullet"/>
        <w:spacing w:after="60" w:line="269" w:lineRule="auto"/>
        <w:ind w:left="360" w:hanging="259"/>
      </w:pPr>
      <w:r>
        <w:rPr>
          <w:rFonts w:ascii="Malgun Gothic" w:hAnsi="Malgun Gothic" w:eastAsia="Malgun Gothic"/>
          <w:b w:val="0"/>
          <w:i w:val="0"/>
          <w:color w:val="1F2937"/>
          <w:sz w:val="20"/>
        </w:rPr>
        <w:t>DNA 농도, A260/A280, A260/A230 및 Qubit 결과</w:t>
      </w:r>
    </w:p>
    <w:p>
      <w:pPr>
        <w:pStyle w:val="ListBullet"/>
        <w:spacing w:after="60" w:line="269" w:lineRule="auto"/>
        <w:ind w:left="360" w:hanging="259"/>
      </w:pPr>
      <w:r>
        <w:rPr>
          <w:rFonts w:ascii="Malgun Gothic" w:hAnsi="Malgun Gothic" w:eastAsia="Malgun Gothic"/>
          <w:b w:val="0"/>
          <w:i w:val="0"/>
          <w:color w:val="1F2937"/>
          <w:sz w:val="20"/>
        </w:rPr>
        <w:t>프라이머 서열, PCR cycle 수 및 예상·관찰 앰플리콘 크기</w:t>
      </w:r>
    </w:p>
    <w:p>
      <w:pPr>
        <w:pStyle w:val="ListBullet"/>
        <w:spacing w:after="60" w:line="269" w:lineRule="auto"/>
        <w:ind w:left="360" w:hanging="259"/>
      </w:pPr>
      <w:r>
        <w:rPr>
          <w:rFonts w:ascii="Malgun Gothic" w:hAnsi="Malgun Gothic" w:eastAsia="Malgun Gothic"/>
          <w:b w:val="0"/>
          <w:i w:val="0"/>
          <w:color w:val="1F2937"/>
          <w:sz w:val="20"/>
        </w:rPr>
        <w:t>인덱스 조합, pooling 농도, sequencing run 정보 및 read 수</w:t>
      </w:r>
    </w:p>
    <w:p>
      <w:pPr>
        <w:pStyle w:val="ListBullet"/>
        <w:spacing w:after="60" w:line="269" w:lineRule="auto"/>
        <w:ind w:left="360" w:hanging="259"/>
      </w:pPr>
      <w:r>
        <w:rPr>
          <w:rFonts w:ascii="Malgun Gothic" w:hAnsi="Malgun Gothic" w:eastAsia="Malgun Gothic"/>
          <w:b w:val="0"/>
          <w:i w:val="0"/>
          <w:color w:val="1F2937"/>
          <w:sz w:val="20"/>
        </w:rPr>
        <w:t>품질 필터링 기준, software version, 참조 데이터베이스와 release</w:t>
      </w:r>
    </w:p>
    <w:p>
      <w:pPr>
        <w:pStyle w:val="ListBullet"/>
        <w:spacing w:after="60" w:line="269" w:lineRule="auto"/>
        <w:ind w:left="360" w:hanging="259"/>
      </w:pPr>
      <w:r>
        <w:rPr>
          <w:rFonts w:ascii="Malgun Gothic" w:hAnsi="Malgun Gothic" w:eastAsia="Malgun Gothic"/>
          <w:b w:val="0"/>
          <w:i w:val="0"/>
          <w:color w:val="1F2937"/>
          <w:sz w:val="20"/>
        </w:rPr>
        <w:t>통계 분석법, 다중검정 보정법, 효과크기와 신뢰구간</w:t>
      </w:r>
    </w:p>
    <w:sectPr w:rsidR="00FC693F" w:rsidRPr="0006063C" w:rsidSect="00034616">
      <w:footerReference w:type="default" r:id="rId9"/>
      <w:pgSz w:w="12240" w:h="15840"/>
      <w:pgMar w:top="1037" w:right="1440" w:bottom="1037"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i w:val="0"/>
        <w:color w:val="6B7280"/>
        <w:sz w:val="16"/>
      </w:rPr>
      <w:t>토양 세균 군집 및 분리균 분석 방법 | 16S rRNA 유전자 및 DNA 염기서열 분석</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algun Gothic" w:hAnsi="Malgun Gothic" w:eastAsia="Malgun Gothic"/>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Malgun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분석 방법 관련_v.1.01</dc:title>
  <dc:subject>토양 세균 군집 및 분리균 16S rRNA 분석 방법</dc:subject>
  <dc:creator>User</dc:creator>
  <cp:keywords/>
  <dc:description>generated by python-docx</dc:description>
  <cp:lastModifiedBy/>
  <cp:revision>1</cp:revision>
  <dcterms:created xsi:type="dcterms:W3CDTF">2013-12-23T23:15:00Z</dcterms:created>
  <dcterms:modified xsi:type="dcterms:W3CDTF">2013-12-23T23:15:00Z</dcterms:modified>
  <cp:category/>
</cp:coreProperties>
</file>