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/>
      </w:pPr>
      <w:r>
        <w:rPr>
          <w:rFonts w:ascii="Calibri" w:hAnsi="Calibri" w:eastAsia="맑은 고딕"/>
          <w:b/>
          <w:color w:val="D97706"/>
          <w:sz w:val="20"/>
        </w:rPr>
        <w:t>분석 보고서</w:t>
      </w:r>
    </w:p>
    <w:p>
      <w:pPr>
        <w:spacing w:after="120"/>
      </w:pPr>
      <w:r>
        <w:rPr>
          <w:rFonts w:ascii="Calibri" w:hAnsi="Calibri" w:eastAsia="맑은 고딕"/>
          <w:b/>
          <w:color w:val="17365D"/>
          <w:sz w:val="48"/>
        </w:rPr>
        <w:t>도로변 토양과 산림 토양의 세균 군집 비교</w:t>
      </w:r>
    </w:p>
    <w:p>
      <w:pPr>
        <w:spacing w:after="280"/>
      </w:pPr>
      <w:r>
        <w:rPr>
          <w:rFonts w:ascii="Calibri" w:hAnsi="Calibri" w:eastAsia="맑은 고딕"/>
          <w:color w:val="475467"/>
          <w:sz w:val="26"/>
        </w:rPr>
        <w:t>16S/NGS 분류학 상대풍부도 결과의 탐색적 비교 및 논문화 로드맵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50"/>
        <w:gridCol w:w="7610"/>
      </w:tblGrid>
      <w:tr>
        <w:tc>
          <w:tcPr>
            <w:tcW w:type="dxa" w:w="1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17365D"/>
                <w:sz w:val="19"/>
              </w:rPr>
              <w:t>구분</w:t>
            </w:r>
          </w:p>
        </w:tc>
        <w:tc>
          <w:tcPr>
            <w:tcW w:type="dxa" w:w="76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17365D"/>
                <w:sz w:val="19"/>
              </w:rPr>
              <w:t>내용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대상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도로변 토양 시료 1-16 (n=16) / 산림 토양 시료 17-32 (n=16)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원자료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taxonomic(1조).xlsx; Phylum, Class, Order, Family 수준 상대풍부도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분석일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2026-08-29</w:t>
            </w:r>
          </w:p>
        </w:tc>
      </w:tr>
      <w:tr>
        <w:tc>
          <w:tcPr>
            <w:tcW w:type="dxa" w:w="1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핵심 한계</w:t>
            </w:r>
          </w:p>
        </w:tc>
        <w:tc>
          <w:tcPr>
            <w:tcW w:type="dxa" w:w="7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원시 read count, ASV/OTU, 세부 환경 메타데이터가 없어 현재 결과는 탐색적 해석</w:t>
            </w:r>
          </w:p>
        </w:tc>
      </w:tr>
    </w:tbl>
    <w:p>
      <w:pPr>
        <w:spacing w:after="4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맑은 고딕"/>
                <w:b/>
                <w:color w:val="17365D"/>
                <w:sz w:val="22"/>
              </w:rPr>
              <w:t xml:space="preserve">핵심 결론  </w:t>
            </w:r>
            <w:r>
              <w:rPr>
                <w:rFonts w:ascii="Calibri" w:hAnsi="Calibri" w:eastAsia="맑은 고딕"/>
                <w:color w:val="334155"/>
                <w:sz w:val="22"/>
              </w:rPr>
              <w:t>도로변과 산림은 일부 조성 차이 후보를 보였으나, Family 수준 Bray-Curtis PERMANOVA에서는 전체 군집 분리가 통계적으로 확정되지 않았습니다 (p=0.113). 따라서 ‘도로 노출이 군집을 변화시킨다’가 아니라 ‘차이를 검증할 가설이 확인되었다’고 표현하는 것이 적절합니다.</w:t>
            </w:r>
          </w:p>
        </w:tc>
      </w:tr>
    </w:tbl>
    <w:p>
      <w:pPr>
        <w:pStyle w:val="Heading1"/>
        <w:keepNext/>
      </w:pPr>
      <w:r>
        <w:rPr>
          <w:rFonts w:ascii="Calibri" w:hAnsi="Calibri" w:eastAsia="맑은 고딕"/>
          <w:b/>
          <w:color w:val="2E74B5"/>
          <w:sz w:val="32"/>
        </w:rPr>
        <w:t>1. 현재 데이터에서 보이는 차이</w:t>
      </w:r>
    </w:p>
    <w:p>
      <w:r>
        <w:rPr>
          <w:rFonts w:ascii="Calibri" w:hAnsi="Calibri" w:eastAsia="맑은 고딕"/>
          <w:sz w:val="22"/>
        </w:rPr>
        <w:t xml:space="preserve">문(Phylum) 수준에서는 </w:t>
      </w:r>
      <w:r>
        <w:rPr>
          <w:rFonts w:ascii="Calibri" w:hAnsi="Calibri" w:eastAsia="맑은 고딕"/>
          <w:b/>
          <w:i/>
          <w:sz w:val="22"/>
        </w:rPr>
        <w:t>Actinobacteriota</w:t>
      </w:r>
      <w:r>
        <w:rPr>
          <w:rFonts w:ascii="Calibri" w:hAnsi="Calibri" w:eastAsia="맑은 고딕"/>
          <w:sz w:val="22"/>
        </w:rPr>
        <w:t xml:space="preserve">가 도로변에서 평균 56.6%로 산림(48.8%)보다 높았고, </w:t>
      </w:r>
      <w:r>
        <w:rPr>
          <w:rFonts w:ascii="Calibri" w:hAnsi="Calibri" w:eastAsia="맑은 고딕"/>
          <w:b/>
          <w:i/>
          <w:sz w:val="22"/>
        </w:rPr>
        <w:t>Proteobacteria</w:t>
      </w:r>
      <w:r>
        <w:rPr>
          <w:rFonts w:ascii="Calibri" w:hAnsi="Calibri" w:eastAsia="맑은 고딕"/>
          <w:sz w:val="22"/>
        </w:rPr>
        <w:t>는 산림에서 평균 35.1%로 도로변(28.9%)보다 높았습니다. 다만 이 두 차이는 FDR 보정 후 유의하지 않았습니다.</w:t>
      </w:r>
    </w:p>
    <w:p>
      <w:r>
        <w:rPr>
          <w:rFonts w:ascii="Calibri" w:hAnsi="Calibri" w:eastAsia="맑은 고딕"/>
          <w:sz w:val="22"/>
        </w:rPr>
        <w:t xml:space="preserve">가장 강한 탐색적 후보는 </w:t>
      </w:r>
      <w:r>
        <w:rPr>
          <w:rFonts w:ascii="Calibri" w:hAnsi="Calibri" w:eastAsia="맑은 고딕"/>
          <w:b/>
          <w:i/>
          <w:sz w:val="22"/>
        </w:rPr>
        <w:t>Gemmatimonadota / Gemmatimonadaceae</w:t>
      </w:r>
      <w:r>
        <w:rPr>
          <w:rFonts w:ascii="Calibri" w:hAnsi="Calibri" w:eastAsia="맑은 고딕"/>
          <w:sz w:val="22"/>
        </w:rPr>
        <w:t>로, 도로변 평균 6.14%와 산림 2.31%의 차이를 보였습니다 (문 수준 미보정 p=0.005, FDR q=0.060). q값이 0.05를 넘으므로 후속 검증 전에는 ‘유의한 표지균’으로 단정하면 안 됩니다.</w:t>
      </w:r>
    </w:p>
    <w:p>
      <w:r>
        <w:drawing>
          <wp:inline xmlns:a="http://schemas.openxmlformats.org/drawingml/2006/main" xmlns:pic="http://schemas.openxmlformats.org/drawingml/2006/picture">
            <wp:extent cx="5715000" cy="31735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_phylu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173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맑은 고딕"/>
          <w:i/>
          <w:color w:val="475467"/>
          <w:sz w:val="19"/>
        </w:rPr>
        <w:t>그림 1. 두 환경의 상위 문 수준 평균 상대풍부도</w:t>
      </w:r>
    </w:p>
    <w:p>
      <w:pPr>
        <w:spacing w:before="80" w:after="80"/>
      </w:pPr>
      <w:r>
        <w:rPr>
          <w:rFonts w:ascii="Calibri" w:hAnsi="Calibri" w:eastAsia="맑은 고딕"/>
          <w:i/>
          <w:color w:val="475467"/>
          <w:sz w:val="19"/>
        </w:rPr>
        <w:t>표 1. 절대 평균차가 큰 주요 문 수준 결과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80"/>
        <w:gridCol w:w="1320"/>
        <w:gridCol w:w="1320"/>
        <w:gridCol w:w="900"/>
        <w:gridCol w:w="900"/>
        <w:gridCol w:w="2640"/>
      </w:tblGrid>
      <w:tr>
        <w:tc>
          <w:tcPr>
            <w:tcW w:type="dxa" w:w="22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17365D"/>
                <w:sz w:val="19"/>
              </w:rPr>
              <w:t>문</w:t>
            </w:r>
          </w:p>
        </w:tc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17365D"/>
                <w:sz w:val="19"/>
              </w:rPr>
              <w:t>도로변 평균</w:t>
            </w:r>
          </w:p>
        </w:tc>
        <w:tc>
          <w:tcPr>
            <w:tcW w:type="dxa" w:w="132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17365D"/>
                <w:sz w:val="19"/>
              </w:rPr>
              <w:t>산림 평균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17365D"/>
                <w:sz w:val="19"/>
              </w:rPr>
              <w:t>p</w:t>
            </w:r>
          </w:p>
        </w:tc>
        <w:tc>
          <w:tcPr>
            <w:tcW w:type="dxa" w:w="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17365D"/>
                <w:sz w:val="19"/>
              </w:rPr>
              <w:t>FDR q</w:t>
            </w:r>
          </w:p>
        </w:tc>
        <w:tc>
          <w:tcPr>
            <w:tcW w:type="dxa" w:w="264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17365D"/>
                <w:sz w:val="19"/>
              </w:rPr>
              <w:t>방향</w:t>
            </w:r>
          </w:p>
        </w:tc>
      </w:tr>
      <w:t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Actinobacteriota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56.55%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48.83%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0.080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0.262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도로변 높음</w:t>
            </w:r>
          </w:p>
        </w:tc>
      </w:tr>
      <w:t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Proteobacteria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28.89%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35.06%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0.158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0.378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산림 높음</w:t>
            </w:r>
          </w:p>
        </w:tc>
      </w:tr>
      <w:t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Gemmatimonadota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6.14%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2.31%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0.005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0.060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도로변 높음</w:t>
            </w:r>
          </w:p>
        </w:tc>
      </w:tr>
      <w:t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Firmicutes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1.57%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6.14%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1.000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1.000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산림 높음 (산림 30번 영향 큼)</w:t>
            </w:r>
          </w:p>
        </w:tc>
      </w:tr>
      <w:tr>
        <w:tc>
          <w:tcPr>
            <w:tcW w:type="dxa" w:w="2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Myxococcota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1.08%</w:t>
            </w:r>
          </w:p>
        </w:tc>
        <w:tc>
          <w:tcPr>
            <w:tcW w:type="dxa" w:w="13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1.95%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0.024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0.145</w:t>
            </w:r>
          </w:p>
        </w:tc>
        <w:tc>
          <w:tcPr>
            <w:tcW w:type="dxa" w:w="2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산림 높음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rPr>
          <w:rFonts w:ascii="Calibri" w:hAnsi="Calibri" w:eastAsia="맑은 고딕"/>
          <w:b/>
          <w:color w:val="2E74B5"/>
          <w:sz w:val="32"/>
        </w:rPr>
        <w:t>2. 다양성과 군집 전체 구조</w:t>
      </w:r>
    </w:p>
    <w:p>
      <w:r>
        <w:t xml:space="preserve">Family 수준 Shannon 다양성은 도로변 평균 </w:t>
      </w:r>
      <w:r>
        <w:rPr>
          <w:rFonts w:ascii="Calibri" w:hAnsi="Calibri" w:eastAsia="맑은 고딕"/>
          <w:b/>
          <w:color w:val="D97706"/>
          <w:sz w:val="22"/>
        </w:rPr>
        <w:t>3.10</w:t>
      </w:r>
      <w:r>
        <w:t xml:space="preserve">, 산림 평균 </w:t>
      </w:r>
      <w:r>
        <w:rPr>
          <w:rFonts w:ascii="Calibri" w:hAnsi="Calibri" w:eastAsia="맑은 고딕"/>
          <w:b/>
          <w:color w:val="1E6F50"/>
          <w:sz w:val="22"/>
        </w:rPr>
        <w:t>2.92</w:t>
      </w:r>
      <w:r>
        <w:t>였습니다 (Mann-Whitney p=0.534). 산림의 낮은 평균은 30번 시료의 매우 낮은 다양성(H=0.52)에 크게 영향을 받습니다. 30번을 제외하면 산림 평균 H는 3.08로 도로변과 거의 비슷합니다.</w:t>
      </w:r>
    </w:p>
    <w:p>
      <w:r>
        <w:drawing>
          <wp:inline xmlns:a="http://schemas.openxmlformats.org/drawingml/2006/main" xmlns:pic="http://schemas.openxmlformats.org/drawingml/2006/picture">
            <wp:extent cx="5394960" cy="32240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pha_divers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224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맑은 고딕"/>
          <w:i/>
          <w:color w:val="475467"/>
          <w:sz w:val="19"/>
        </w:rPr>
        <w:t>그림 2. Family 수준 Shannon 다양성의 시료별 분포</w:t>
      </w:r>
    </w:p>
    <w:p>
      <w:r>
        <w:t xml:space="preserve">Bray-Curtis 거리 기반 PCoA에서 PC1과 PC2는 각각 </w:t>
      </w:r>
      <w:r>
        <w:rPr>
          <w:rFonts w:ascii="Calibri" w:hAnsi="Calibri" w:eastAsia="맑은 고딕"/>
          <w:b/>
          <w:sz w:val="22"/>
        </w:rPr>
        <w:t>24.9%와 19.6%</w:t>
      </w:r>
      <w:r>
        <w:t xml:space="preserve">의 양의 고유값 변이를 설명했습니다. PERMANOVA pseudo-F는 </w:t>
      </w:r>
      <w:r>
        <w:rPr>
          <w:rFonts w:ascii="Calibri" w:hAnsi="Calibri" w:eastAsia="맑은 고딕"/>
          <w:b/>
          <w:sz w:val="22"/>
        </w:rPr>
        <w:t>1.49</w:t>
      </w:r>
      <w:r>
        <w:t>, p=0.1126로, 현재 표본 및 자료 수준에서는 군집 전체가 두 그룹으로 분리된다고 결론내릴 수 없습니다.</w:t>
      </w:r>
    </w:p>
    <w:p>
      <w:r>
        <w:drawing>
          <wp:inline xmlns:a="http://schemas.openxmlformats.org/drawingml/2006/main" xmlns:pic="http://schemas.openxmlformats.org/drawingml/2006/picture">
            <wp:extent cx="5303520" cy="36082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o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08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맑은 고딕"/>
          <w:i/>
          <w:color w:val="475467"/>
          <w:sz w:val="19"/>
        </w:rPr>
        <w:t>그림 3. Family 수준 Bray-Curtis PCoA; 숫자는 시료 번호</w:t>
      </w:r>
    </w:p>
    <w:p>
      <w:pPr>
        <w:pStyle w:val="Heading1"/>
        <w:keepNext/>
      </w:pPr>
      <w:r>
        <w:rPr>
          <w:rFonts w:ascii="Calibri" w:hAnsi="Calibri" w:eastAsia="맑은 고딕"/>
          <w:b/>
          <w:color w:val="2E74B5"/>
          <w:sz w:val="32"/>
        </w:rPr>
        <w:t>3. 주의해야 할 결과와 해석 범위</w:t>
      </w:r>
    </w:p>
    <w:p>
      <w:pPr>
        <w:pStyle w:val="ListBullet"/>
        <w:spacing w:after="120"/>
      </w:pPr>
      <w:r>
        <w:rPr>
          <w:rFonts w:ascii="Calibri" w:hAnsi="Calibri" w:eastAsia="맑은 고딕"/>
          <w:color w:val="1F2937"/>
          <w:sz w:val="22"/>
        </w:rPr>
        <w:t>산림 30번은 Bacillaceae 79.60%, Mitochondria 20.03%로 구성되어 있으며, 다른 산림 시료의 전형을 나타낸다고 보기 어렵습니다. 현장 특이점, 시료혼입, 라이브러리 편향, 미토콘드리아 필터링 미적용 여부를 원시 데이터에서 확인해야 합니다.</w:t>
      </w:r>
    </w:p>
    <w:p>
      <w:pPr>
        <w:pStyle w:val="ListBullet"/>
        <w:spacing w:after="120"/>
      </w:pPr>
      <w:r>
        <w:rPr>
          <w:rFonts w:ascii="Calibri" w:hAnsi="Calibri" w:eastAsia="맑은 고딕"/>
          <w:color w:val="1F2937"/>
          <w:sz w:val="22"/>
        </w:rPr>
        <w:t>이 파일은 상대풍부도만 담고 있습니다. 한 균군의 비율 상승은 다른 균군의 절대량 감소를 의미하지 않을 수 있으므로, 절대균량이나 기능 변화를 말할 수 없습니다.</w:t>
      </w:r>
    </w:p>
    <w:p>
      <w:pPr>
        <w:pStyle w:val="ListBullet"/>
        <w:spacing w:after="120"/>
      </w:pPr>
      <w:r>
        <w:rPr>
          <w:rFonts w:ascii="Calibri" w:hAnsi="Calibri" w:eastAsia="맑은 고딕"/>
          <w:color w:val="1F2937"/>
          <w:sz w:val="22"/>
        </w:rPr>
        <w:t>현재 분류 해상도는 Family까지입니다. 특정 종의 병원성, 질소고정, 탄화수소 분해, 식물생장 촉진 기능은 Genus/Species와 기능 유전자 또는 실험 검증 없이는 주장할 수 없습니다.</w:t>
      </w:r>
    </w:p>
    <w:p>
      <w:pPr>
        <w:pStyle w:val="ListBullet"/>
        <w:spacing w:after="120"/>
      </w:pPr>
      <w:r>
        <w:rPr>
          <w:rFonts w:ascii="Calibri" w:hAnsi="Calibri" w:eastAsia="맑은 고딕"/>
          <w:color w:val="1F2937"/>
          <w:sz w:val="22"/>
        </w:rPr>
        <w:t>도로변과 산림은 도로 노출만 다른 조건이 아닐 수 있습니다. 토양 pH, 수분, 유기탄소, 식생, 토양 깊이, 계절, 거리, 교통량이 함께 달라질 수 있는 교란변수입니다.</w:t>
      </w:r>
    </w:p>
    <w:p>
      <w:pPr>
        <w:pStyle w:val="Heading1"/>
        <w:keepNext/>
      </w:pPr>
      <w:r>
        <w:rPr>
          <w:rFonts w:ascii="Calibri" w:hAnsi="Calibri" w:eastAsia="맑은 고딕"/>
          <w:b/>
          <w:color w:val="2E74B5"/>
          <w:sz w:val="32"/>
        </w:rPr>
        <w:t>4. 이 결과를 논문 또는 보고서로 발전시키는 방법</w:t>
      </w:r>
    </w:p>
    <w:p>
      <w:r>
        <w:rPr>
          <w:rFonts w:ascii="Calibri" w:hAnsi="Calibri" w:eastAsia="맑은 고딕"/>
          <w:b/>
          <w:color w:val="17365D"/>
          <w:sz w:val="22"/>
        </w:rPr>
        <w:t>권장 연구 질문</w:t>
      </w:r>
      <w:r>
        <w:t>: 도로 인접 환경과 산림 환경의 토양 세균 군집은 조성, 다양성 및 환경인자와의 연관성에서 차이를 보이는가?</w:t>
      </w:r>
    </w:p>
    <w:p>
      <w:pPr>
        <w:pStyle w:val="ListNumber"/>
        <w:spacing w:after="120"/>
      </w:pPr>
      <w:r>
        <w:rPr>
          <w:rFonts w:ascii="Calibri" w:hAnsi="Calibri" w:eastAsia="맑은 고딕"/>
          <w:color w:val="1F2937"/>
          <w:sz w:val="22"/>
        </w:rPr>
        <w:t>연구설계를 정교화합니다. 같은 지역권에서 도로와의 거리(예: 근접-중간-산림 내부)를 층화하고, 각 지점에서 동일 토심·동일 계절·반복 시료를 확보합니다. 가능하면 도로변과 산림을 쌍으로 매칭합니다.</w:t>
      </w:r>
    </w:p>
    <w:p>
      <w:pPr>
        <w:pStyle w:val="ListNumber"/>
        <w:spacing w:after="120"/>
      </w:pPr>
      <w:r>
        <w:rPr>
          <w:rFonts w:ascii="Calibri" w:hAnsi="Calibri" w:eastAsia="맑은 고딕"/>
          <w:color w:val="1F2937"/>
          <w:sz w:val="22"/>
        </w:rPr>
        <w:t>환경 메타데이터를 추가합니다. pH, 수분, EC/염류, 유기탄소, 총질소, C:N, 토성, Pb·Zn·Cu·Cd 등 중금속, PAH 또는 교통량/도로와의 거리를 함께 측정합니다. 그래야 ‘어떤 환경요인이 군집 차이와 연결되는가’를 분석할 수 있습니다.</w:t>
      </w:r>
    </w:p>
    <w:p>
      <w:pPr>
        <w:pStyle w:val="ListNumber"/>
        <w:spacing w:after="120"/>
      </w:pPr>
      <w:r>
        <w:rPr>
          <w:rFonts w:ascii="Calibri" w:hAnsi="Calibri" w:eastAsia="맑은 고딕"/>
          <w:color w:val="1F2937"/>
          <w:sz w:val="22"/>
        </w:rPr>
        <w:t>원시 ASV/OTU count table과 시퀀싱 품질정보를 확보합니다. DADA2 기반 ASV, read depth, 음성대조군, primer/데이터베이스 버전, chloroplast·mitochondria 필터링 기준을 Methods에 명확히 기록합니다.</w:t>
      </w:r>
    </w:p>
    <w:p>
      <w:pPr>
        <w:pStyle w:val="ListNumber"/>
        <w:spacing w:after="120"/>
      </w:pPr>
      <w:r>
        <w:rPr>
          <w:rFonts w:ascii="Calibri" w:hAnsi="Calibri" w:eastAsia="맑은 고딕"/>
          <w:color w:val="1F2937"/>
          <w:sz w:val="22"/>
        </w:rPr>
        <w:t>통계를 강화합니다. 알파다양성(Shannon, Simpson, observed ASVs), 베타다양성(Bray-Curtis/UniFrac, PERMANOVA와 dispersion test), 환경-군집 연관성(dbRDA/RDA)을 수행하고, 분류군 차이는 원시 count 기반 ANCOM-BC2 같은 조성자료 방법으로 FDR 보정합니다.</w:t>
      </w:r>
    </w:p>
    <w:p>
      <w:pPr>
        <w:pStyle w:val="ListNumber"/>
        <w:spacing w:after="120"/>
      </w:pPr>
      <w:r>
        <w:rPr>
          <w:rFonts w:ascii="Calibri" w:hAnsi="Calibri" w:eastAsia="맑은 고딕"/>
          <w:color w:val="1F2937"/>
          <w:sz w:val="22"/>
        </w:rPr>
        <w:t>기능 가설을 검증합니다. 16S 기반 기능예측은 탐색용으로 제한하고, 탄화수소 분해·금속 내성·질소순환을 핵심 주장으로 삼으려면 shotgun metagenomics, qPCR, 토양 효소활성 또는 배양 실험을 추가합니다.</w:t>
      </w:r>
    </w:p>
    <w:p>
      <w:pPr>
        <w:pStyle w:val="Heading1"/>
        <w:keepNext/>
      </w:pPr>
      <w:r>
        <w:rPr>
          <w:rFonts w:ascii="Calibri" w:hAnsi="Calibri" w:eastAsia="맑은 고딕"/>
          <w:b/>
          <w:color w:val="2E74B5"/>
          <w:sz w:val="32"/>
        </w:rPr>
        <w:t>5. 논문 스토리라인 제안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c>
          <w:tcPr>
            <w:tcW w:type="dxa" w:w="2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17365D"/>
                <w:sz w:val="19"/>
              </w:rPr>
              <w:t>서술 수준</w:t>
            </w:r>
          </w:p>
        </w:tc>
        <w:tc>
          <w:tcPr>
            <w:tcW w:type="dxa" w:w="7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b/>
                <w:color w:val="17365D"/>
                <w:sz w:val="19"/>
              </w:rPr>
              <w:t>권장 표현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주장 가능한 현재 수준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도로변과 산림 토양에서 일부 세균군의 상대풍부도 차이 후보가 관찰되었고, 대규모 검증을 위한 파일럿 근거를 제공한다.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추가 자료 후 주장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교통 관련 토양 환경인자와 세균 군집 변화의 연관성을 정량화하고, 특정 분류군 및 기능적 지표를 제시한다.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피해야 할 주장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Calibri" w:hAnsi="Calibri" w:eastAsia="맑은 고딕"/>
                <w:color w:val="1F2937"/>
                <w:sz w:val="18"/>
              </w:rPr>
              <w:t>현재 16S 상대풍부도 표만으로 도로 오염이 특정 기능을 유발했다거나, 특정 균이 금속을 분해/저항한다고 단정하는 것.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rPr>
          <w:rFonts w:ascii="Calibri" w:hAnsi="Calibri" w:eastAsia="맑은 고딕"/>
          <w:b/>
          <w:color w:val="2E74B5"/>
          <w:sz w:val="26"/>
        </w:rPr>
        <w:t>추천 제목</w:t>
      </w:r>
    </w:p>
    <w:p>
      <w:pPr>
        <w:pStyle w:val="ListBullet"/>
        <w:spacing w:after="120"/>
      </w:pPr>
      <w:r>
        <w:rPr>
          <w:rFonts w:ascii="Calibri" w:hAnsi="Calibri" w:eastAsia="맑은 고딕"/>
          <w:color w:val="1F2937"/>
          <w:sz w:val="22"/>
        </w:rPr>
        <w:t>국문: 도로 인접 환경과 산림 환경 토양의 세균 군집 비교: 16S rRNA 유전자 기반 파일럿 연구</w:t>
      </w:r>
    </w:p>
    <w:p>
      <w:pPr>
        <w:pStyle w:val="ListBullet"/>
        <w:spacing w:after="120"/>
      </w:pPr>
      <w:r>
        <w:rPr>
          <w:rFonts w:ascii="Calibri" w:hAnsi="Calibri" w:eastAsia="맑은 고딕"/>
          <w:color w:val="1F2937"/>
          <w:sz w:val="22"/>
        </w:rPr>
        <w:t>영문: Comparative profiling of roadside and forest soil bacterial communities: a pilot 16S rRNA gene amplicon study</w:t>
      </w:r>
    </w:p>
    <w:p>
      <w:pPr>
        <w:pStyle w:val="Heading2"/>
        <w:keepNext/>
      </w:pPr>
      <w:r>
        <w:rPr>
          <w:rFonts w:ascii="Calibri" w:hAnsi="Calibri" w:eastAsia="맑은 고딕"/>
          <w:b/>
          <w:color w:val="2E74B5"/>
          <w:sz w:val="26"/>
        </w:rPr>
        <w:t>초록의 뼈대</w:t>
      </w:r>
    </w:p>
    <w:p>
      <w:pPr>
        <w:pStyle w:val="ListBullet"/>
        <w:spacing w:after="120"/>
      </w:pPr>
      <w:r>
        <w:rPr>
          <w:rFonts w:ascii="Calibri" w:hAnsi="Calibri" w:eastAsia="맑은 고딕"/>
          <w:color w:val="1F2937"/>
          <w:sz w:val="22"/>
        </w:rPr>
        <w:t>배경: 도로 인접 토양은 교통, 제설염, 입자상 물질 및 토지교란에 노출될 수 있으며 토양 미생물군 변화를 일으킬 가능성이 있다.</w:t>
      </w:r>
    </w:p>
    <w:p>
      <w:pPr>
        <w:pStyle w:val="ListBullet"/>
        <w:spacing w:after="120"/>
      </w:pPr>
      <w:r>
        <w:rPr>
          <w:rFonts w:ascii="Calibri" w:hAnsi="Calibri" w:eastAsia="맑은 고딕"/>
          <w:color w:val="1F2937"/>
          <w:sz w:val="22"/>
        </w:rPr>
        <w:t>방법: 도로변 16개·산림 16개 토양 시료의 16S NGS 분류학 결과를 비교하고, 다양성 및 Bray-Curtis 기반 군집 구조를 탐색했다.</w:t>
      </w:r>
    </w:p>
    <w:p>
      <w:pPr>
        <w:pStyle w:val="ListBullet"/>
        <w:spacing w:after="120"/>
      </w:pPr>
      <w:r>
        <w:rPr>
          <w:rFonts w:ascii="Calibri" w:hAnsi="Calibri" w:eastAsia="맑은 고딕"/>
          <w:color w:val="1F2937"/>
          <w:sz w:val="22"/>
        </w:rPr>
        <w:t>결과: 일부 문·과 수준 차이 후보가 관찰되었으나, 다중검정 보정 및 전체 군집 검정에서는 확증적 결론에 이르지 못했다.</w:t>
      </w:r>
    </w:p>
    <w:p>
      <w:pPr>
        <w:pStyle w:val="ListBullet"/>
        <w:spacing w:after="120"/>
      </w:pPr>
      <w:r>
        <w:rPr>
          <w:rFonts w:ascii="Calibri" w:hAnsi="Calibri" w:eastAsia="맑은 고딕"/>
          <w:color w:val="1F2937"/>
          <w:sz w:val="22"/>
        </w:rPr>
        <w:t>결론: 환경 메타데이터와 원시 ASV count를 결합한 확장 연구가 필요하며, 현재 결과는 후속 가설 설정과 표본 설계의 근거가 된다.</w:t>
      </w:r>
    </w:p>
    <w:p>
      <w:pPr>
        <w:pStyle w:val="Heading1"/>
        <w:keepNext/>
      </w:pPr>
      <w:r>
        <w:rPr>
          <w:rFonts w:ascii="Calibri" w:hAnsi="Calibri" w:eastAsia="맑은 고딕"/>
          <w:b/>
          <w:color w:val="2E74B5"/>
          <w:sz w:val="32"/>
        </w:rPr>
        <w:t>6. 참고문헌 및 분석 방법 근거</w:t>
      </w:r>
    </w:p>
    <w:p>
      <w:pPr>
        <w:spacing w:after="100"/>
        <w:ind w:left="360" w:hanging="360"/>
      </w:pPr>
      <w:r>
        <w:rPr>
          <w:rFonts w:ascii="Calibri" w:hAnsi="Calibri" w:eastAsia="맑은 고딕"/>
          <w:color w:val="475467"/>
          <w:sz w:val="19"/>
        </w:rPr>
        <w:t>Indrapala, A. S. et al. (2021). The effects of vehicular emissions on the activity and diversity of the roadside soil microbial community. Environmental Pollution, 280, 116744. https://doi.org/10.1016/j.envpol.2021.116744</w:t>
      </w:r>
    </w:p>
    <w:p>
      <w:pPr>
        <w:spacing w:after="100"/>
        <w:ind w:left="360" w:hanging="360"/>
      </w:pPr>
      <w:r>
        <w:rPr>
          <w:rFonts w:ascii="Calibri" w:hAnsi="Calibri" w:eastAsia="맑은 고딕"/>
          <w:color w:val="475467"/>
          <w:sz w:val="19"/>
        </w:rPr>
        <w:t>Xie, Y. et al. (2022). Effects of elevation and distance from highway on the abundance and community structure of bacteria in soil along Qinghai-Tibet Highway. Frontiers in Microbiology, 12, 811993. https://pmc.ncbi.nlm.nih.gov/articles/PMC8701971/</w:t>
      </w:r>
    </w:p>
    <w:p>
      <w:pPr>
        <w:spacing w:after="100"/>
        <w:ind w:left="360" w:hanging="360"/>
      </w:pPr>
      <w:r>
        <w:rPr>
          <w:rFonts w:ascii="Calibri" w:hAnsi="Calibri" w:eastAsia="맑은 고딕"/>
          <w:color w:val="475467"/>
          <w:sz w:val="19"/>
        </w:rPr>
        <w:t>Lin, H. and Peddada, S. D. (2020). Analysis of compositions of microbiomes with bias correction. Nature Communications, 11, 3514. https://doi.org/10.1038/s41467-020-17041-7</w:t>
      </w:r>
    </w:p>
    <w:p>
      <w:pPr>
        <w:spacing w:after="100"/>
        <w:ind w:left="360" w:hanging="360"/>
      </w:pPr>
      <w:r>
        <w:rPr>
          <w:rFonts w:ascii="Calibri" w:hAnsi="Calibri" w:eastAsia="맑은 고딕"/>
          <w:color w:val="475467"/>
          <w:sz w:val="19"/>
        </w:rPr>
        <w:t>QIIME 2 Documentation. Taxonomy-based filtering, including mitochondrial and chloroplast exclusions. https://docs.qiime2.org/2024.10/tutorials/filtering/</w:t>
      </w:r>
    </w:p>
    <w:p>
      <w:pPr>
        <w:spacing w:after="100"/>
        <w:ind w:left="360" w:hanging="360"/>
      </w:pPr>
      <w:r>
        <w:rPr>
          <w:rFonts w:ascii="Calibri" w:hAnsi="Calibri" w:eastAsia="맑은 고딕"/>
          <w:color w:val="475467"/>
          <w:sz w:val="19"/>
        </w:rPr>
        <w:t>자료 출처: taxonomic(1조).xlsx (사용자 제공), 분석일 2026-08-29.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맑은 고딕"/>
        <w:color w:val="667085"/>
        <w:sz w:val="18"/>
      </w:rPr>
      <w:t xml:space="preserve">Page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맑은 고딕"/>
        <w:color w:val="667085"/>
        <w:sz w:val="18"/>
      </w:rPr>
      <w:t>마이크로바이옴 1조 | 도로변-산림 토양 NGS 비교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맑은 고딕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맑은 고딕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도로변 토양과 산림 토양의 세균 군집 비교</dc:title>
  <dc:subject>NGS 16S 분류학 결과의 탐색적 비교와 논문화 로드맵</dc:subject>
  <dc:creator>마이크로바이옴 1조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