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E74B5"/>
          <w:sz w:val="24"/>
        </w:rPr>
        <w:t>분석 방법 관련_v.1.03</w:t>
      </w:r>
    </w:p>
    <w:p>
      <w:pPr>
        <w:spacing w:after="120"/>
      </w:pPr>
      <w:r>
        <w:rPr>
          <w:b/>
          <w:color w:val="17365D"/>
          <w:sz w:val="44"/>
        </w:rPr>
        <w:t>한국 도로변 및 공원 토양 세균 군집의 비교 분석과</w:t>
        <w:br/>
        <w:t>유용 균주 AI 기반 배양 최적화</w:t>
      </w:r>
    </w:p>
    <w:p>
      <w:pPr>
        <w:spacing w:after="240"/>
      </w:pPr>
      <w:r>
        <w:rPr>
          <w:i/>
          <w:color w:val="475467"/>
          <w:sz w:val="21"/>
        </w:rPr>
        <w:t>토양 군집 비교–유용 균주 선별–배양 조건 평가 통합 분석안 · 2026-09-03</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90" w:type="dxa"/>
              <w:start w:w="120" w:type="dxa"/>
              <w:bottom w:w="90" w:type="dxa"/>
              <w:end w:w="120" w:type="dxa"/>
            </w:tcMar>
            <w:shd w:fill="17365D"/>
          </w:tcPr>
          <w:p>
            <w:pPr>
              <w:spacing w:after="20" w:line="252" w:lineRule="auto"/>
            </w:pPr>
            <w:r>
              <w:rPr>
                <w:b/>
                <w:color w:val="FFFFFF"/>
                <w:sz w:val="19"/>
              </w:rPr>
              <w:t>항목</w:t>
            </w:r>
          </w:p>
        </w:tc>
        <w:tc>
          <w:tcPr>
            <w:tcW w:type="dxa" w:w="7160"/>
            <w:vAlign w:val="center"/>
            <w:tcMar>
              <w:top w:w="90" w:type="dxa"/>
              <w:start w:w="120" w:type="dxa"/>
              <w:bottom w:w="90" w:type="dxa"/>
              <w:end w:w="120" w:type="dxa"/>
            </w:tcMar>
            <w:shd w:fill="17365D"/>
          </w:tcPr>
          <w:p>
            <w:pPr>
              <w:spacing w:after="20" w:line="252" w:lineRule="auto"/>
            </w:pPr>
            <w:r>
              <w:rPr>
                <w:b/>
                <w:color w:val="FFFFFF"/>
                <w:sz w:val="19"/>
              </w:rPr>
              <w:t>내용</w:t>
            </w:r>
          </w:p>
        </w:tc>
      </w:tr>
      <w:tr>
        <w:tc>
          <w:tcPr>
            <w:tcW w:type="dxa" w:w="2200"/>
            <w:vAlign w:val="center"/>
            <w:tcMar>
              <w:top w:w="90" w:type="dxa"/>
              <w:start w:w="120" w:type="dxa"/>
              <w:bottom w:w="90" w:type="dxa"/>
              <w:end w:w="120" w:type="dxa"/>
            </w:tcMar>
          </w:tcPr>
          <w:p>
            <w:pPr>
              <w:spacing w:after="20" w:line="252" w:lineRule="auto"/>
            </w:pPr>
            <w:r>
              <w:rPr>
                <w:sz w:val="19"/>
              </w:rPr>
              <w:t>문서 목적</w:t>
            </w:r>
          </w:p>
        </w:tc>
        <w:tc>
          <w:tcPr>
            <w:tcW w:type="dxa" w:w="7160"/>
            <w:vAlign w:val="center"/>
            <w:tcMar>
              <w:top w:w="90" w:type="dxa"/>
              <w:start w:w="120" w:type="dxa"/>
              <w:bottom w:w="90" w:type="dxa"/>
              <w:end w:w="120" w:type="dxa"/>
            </w:tcMar>
          </w:tcPr>
          <w:p>
            <w:pPr>
              <w:spacing w:after="20" w:line="252" w:lineRule="auto"/>
            </w:pPr>
            <w:r>
              <w:rPr>
                <w:sz w:val="19"/>
              </w:rPr>
              <w:t>토양 세균 군집 비교와 유용 균주 배양 최적화를 하나의 분석 흐름으로 정리</w:t>
            </w:r>
          </w:p>
        </w:tc>
      </w:tr>
      <w:tr>
        <w:tc>
          <w:tcPr>
            <w:tcW w:type="dxa" w:w="2200"/>
            <w:vAlign w:val="center"/>
            <w:tcMar>
              <w:top w:w="90" w:type="dxa"/>
              <w:start w:w="120" w:type="dxa"/>
              <w:bottom w:w="90" w:type="dxa"/>
              <w:end w:w="120" w:type="dxa"/>
            </w:tcMar>
            <w:shd w:fill="F8FAFC"/>
          </w:tcPr>
          <w:p>
            <w:pPr>
              <w:spacing w:after="20" w:line="252" w:lineRule="auto"/>
            </w:pPr>
            <w:r>
              <w:rPr>
                <w:sz w:val="19"/>
              </w:rPr>
              <w:t>환경미생물 자료</w:t>
            </w:r>
          </w:p>
        </w:tc>
        <w:tc>
          <w:tcPr>
            <w:tcW w:type="dxa" w:w="7160"/>
            <w:vAlign w:val="center"/>
            <w:tcMar>
              <w:top w:w="90" w:type="dxa"/>
              <w:start w:w="120" w:type="dxa"/>
              <w:bottom w:w="90" w:type="dxa"/>
              <w:end w:w="120" w:type="dxa"/>
            </w:tcMar>
            <w:shd w:fill="F8FAFC"/>
          </w:tcPr>
          <w:p>
            <w:pPr>
              <w:spacing w:after="20" w:line="252" w:lineRule="auto"/>
            </w:pPr>
            <w:r>
              <w:rPr>
                <w:sz w:val="19"/>
              </w:rPr>
              <w:t>16S rRNA gene amplicon 분류학 상대풍부도 자료, 총 32개 시료</w:t>
            </w:r>
          </w:p>
        </w:tc>
      </w:tr>
      <w:tr>
        <w:tc>
          <w:tcPr>
            <w:tcW w:type="dxa" w:w="2200"/>
            <w:vAlign w:val="center"/>
            <w:tcMar>
              <w:top w:w="90" w:type="dxa"/>
              <w:start w:w="120" w:type="dxa"/>
              <w:bottom w:w="90" w:type="dxa"/>
              <w:end w:w="120" w:type="dxa"/>
            </w:tcMar>
          </w:tcPr>
          <w:p>
            <w:pPr>
              <w:spacing w:after="20" w:line="252" w:lineRule="auto"/>
            </w:pPr>
            <w:r>
              <w:rPr>
                <w:sz w:val="19"/>
              </w:rPr>
              <w:t>배양 최적화 자료</w:t>
            </w:r>
          </w:p>
        </w:tc>
        <w:tc>
          <w:tcPr>
            <w:tcW w:type="dxa" w:w="7160"/>
            <w:vAlign w:val="center"/>
            <w:tcMar>
              <w:top w:w="90" w:type="dxa"/>
              <w:start w:w="120" w:type="dxa"/>
              <w:bottom w:w="90" w:type="dxa"/>
              <w:end w:w="120" w:type="dxa"/>
            </w:tcMar>
          </w:tcPr>
          <w:p>
            <w:pPr>
              <w:spacing w:after="20" w:line="252" w:lineRule="auto"/>
            </w:pPr>
            <w:r>
              <w:rPr>
                <w:sz w:val="19"/>
              </w:rPr>
              <w:t>Priestia megaterium 후보 균주의 1차 12조건 배양 및 OD 관측값</w:t>
            </w:r>
          </w:p>
        </w:tc>
      </w:tr>
      <w:tr>
        <w:tc>
          <w:tcPr>
            <w:tcW w:type="dxa" w:w="2200"/>
            <w:vAlign w:val="center"/>
            <w:tcMar>
              <w:top w:w="90" w:type="dxa"/>
              <w:start w:w="120" w:type="dxa"/>
              <w:bottom w:w="90" w:type="dxa"/>
              <w:end w:w="120" w:type="dxa"/>
            </w:tcMar>
            <w:shd w:fill="F8FAFC"/>
          </w:tcPr>
          <w:p>
            <w:pPr>
              <w:spacing w:after="20" w:line="252" w:lineRule="auto"/>
            </w:pPr>
            <w:r>
              <w:rPr>
                <w:sz w:val="19"/>
              </w:rPr>
              <w:t>문서 상태</w:t>
            </w:r>
          </w:p>
        </w:tc>
        <w:tc>
          <w:tcPr>
            <w:tcW w:type="dxa" w:w="7160"/>
            <w:vAlign w:val="center"/>
            <w:tcMar>
              <w:top w:w="90" w:type="dxa"/>
              <w:start w:w="120" w:type="dxa"/>
              <w:bottom w:w="90" w:type="dxa"/>
              <w:end w:w="120" w:type="dxa"/>
            </w:tcMar>
            <w:shd w:fill="F8FAFC"/>
          </w:tcPr>
          <w:p>
            <w:pPr>
              <w:spacing w:after="20" w:line="252" w:lineRule="auto"/>
            </w:pPr>
            <w:r>
              <w:rPr>
                <w:sz w:val="19"/>
              </w:rPr>
              <w:t>실험 방법은 추후 확정; 수행 분석과 후속 검증·AI 최적화 계획을 구분하여 기록</w:t>
            </w:r>
          </w:p>
        </w:tc>
      </w:tr>
    </w:tbl>
    <w:p>
      <w:pPr>
        <w:spacing w:after="0"/>
      </w:pPr>
    </w:p>
    <w:p>
      <w:pPr>
        <w:pStyle w:val="Heading1"/>
      </w:pPr>
      <w:r>
        <w:t>1. 분석 목적과 적용 범위</w:t>
      </w:r>
    </w:p>
    <w:p>
      <w:r>
        <w:t>본 프로젝트는 (1) 도로 인접 토양과 공원 토양의 세균 군집 조성·다양성을 비교하고, (2) 분리·동정된 후보 균주의 유용성과 안전성을 검증하며, (3) 배지 조성에 따른 생육 반응을 비교해 배양 조건 평가를 위한 기초자료를 확보하는 것을 목적으로 한다. 환경 군집 분석과 균주 배양 자료는 서로 다른 자료를 사용하므로 각 단계의 분석 단위와 결론을 구분한다. 현재 상대풍부도 자료만으로 절대균량이나 종·균주 수준 기능을 직접 추론하지 않는다.</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vAlign w:val="center"/>
          </w:tcPr>
          <w:p>
            <w:r>
              <w:rPr>
                <w:b/>
                <w:color w:val="17365D"/>
              </w:rPr>
              <w:t xml:space="preserve">분석 범위  </w:t>
            </w:r>
            <w:r>
              <w:t>토양 군집 비교는 기술통계, 비모수 그룹 비교, FDR 보정, Shannon 다양성, Bray-Curtis PCoA 및 PERMANOVA까지 수행되었다. 배양 관련 자료는 1차 12조건의 조성과 관측 OD를 기술하며, 표본과 반복 수가 적으므로 조건 간 차이는 탐색적으로 해석한다.</w:t>
            </w:r>
          </w:p>
        </w:tc>
      </w:tr>
    </w:tbl>
    <w:p>
      <w:pPr>
        <w:spacing w:after="0"/>
      </w:pPr>
    </w:p>
    <w:p>
      <w:pPr>
        <w:pStyle w:val="Heading1"/>
      </w:pPr>
      <w:r>
        <w:t>2. 입력자료와 시료 메타데이터</w:t>
      </w:r>
    </w:p>
    <w:tbl>
      <w:tblPr>
        <w:tblStyle w:val="TableGrid"/>
        <w:tblW w:type="dxa" w:w="9360"/>
        <w:tblLayout w:type="fixed"/>
        <w:tblLook w:firstColumn="1" w:firstRow="1" w:lastColumn="0" w:lastRow="0" w:noHBand="0" w:noVBand="1" w:val="04A0"/>
        <w:tblInd w:w="120" w:type="dxa"/>
      </w:tblPr>
      <w:tblGrid>
        <w:gridCol w:w="2800"/>
        <w:gridCol w:w="3400"/>
        <w:gridCol w:w="3160"/>
      </w:tblGrid>
      <w:tr>
        <w:trPr>
          <w:tblHeader w:val="true"/>
        </w:trPr>
        <w:tc>
          <w:tcPr>
            <w:tcW w:type="dxa" w:w="2800"/>
            <w:vAlign w:val="center"/>
            <w:tcMar>
              <w:top w:w="90" w:type="dxa"/>
              <w:start w:w="120" w:type="dxa"/>
              <w:bottom w:w="90" w:type="dxa"/>
              <w:end w:w="120" w:type="dxa"/>
            </w:tcMar>
            <w:shd w:fill="17365D"/>
          </w:tcPr>
          <w:p>
            <w:pPr>
              <w:spacing w:after="20" w:line="252" w:lineRule="auto"/>
            </w:pPr>
            <w:r>
              <w:rPr>
                <w:b/>
                <w:color w:val="FFFFFF"/>
                <w:sz w:val="19"/>
              </w:rPr>
              <w:t>자료</w:t>
            </w:r>
          </w:p>
        </w:tc>
        <w:tc>
          <w:tcPr>
            <w:tcW w:type="dxa" w:w="3400"/>
            <w:vAlign w:val="center"/>
            <w:tcMar>
              <w:top w:w="90" w:type="dxa"/>
              <w:start w:w="120" w:type="dxa"/>
              <w:bottom w:w="90" w:type="dxa"/>
              <w:end w:w="120" w:type="dxa"/>
            </w:tcMar>
            <w:shd w:fill="17365D"/>
          </w:tcPr>
          <w:p>
            <w:pPr>
              <w:spacing w:after="20" w:line="252" w:lineRule="auto"/>
            </w:pPr>
            <w:r>
              <w:rPr>
                <w:b/>
                <w:color w:val="FFFFFF"/>
                <w:sz w:val="19"/>
              </w:rPr>
              <w:t>확인된 내용</w:t>
            </w:r>
          </w:p>
        </w:tc>
        <w:tc>
          <w:tcPr>
            <w:tcW w:type="dxa" w:w="3160"/>
            <w:vAlign w:val="center"/>
            <w:tcMar>
              <w:top w:w="90" w:type="dxa"/>
              <w:start w:w="120" w:type="dxa"/>
              <w:bottom w:w="90" w:type="dxa"/>
              <w:end w:w="120" w:type="dxa"/>
            </w:tcMar>
            <w:shd w:fill="17365D"/>
          </w:tcPr>
          <w:p>
            <w:pPr>
              <w:spacing w:after="20" w:line="252" w:lineRule="auto"/>
            </w:pPr>
            <w:r>
              <w:rPr>
                <w:b/>
                <w:color w:val="FFFFFF"/>
                <w:sz w:val="19"/>
              </w:rPr>
              <w:t>분석상 역할</w:t>
            </w:r>
          </w:p>
        </w:tc>
      </w:tr>
      <w:tr>
        <w:tc>
          <w:tcPr>
            <w:tcW w:type="dxa" w:w="2800"/>
            <w:vAlign w:val="center"/>
            <w:tcMar>
              <w:top w:w="90" w:type="dxa"/>
              <w:start w:w="120" w:type="dxa"/>
              <w:bottom w:w="90" w:type="dxa"/>
              <w:end w:w="120" w:type="dxa"/>
            </w:tcMar>
          </w:tcPr>
          <w:p>
            <w:pPr>
              <w:spacing w:after="20" w:line="252" w:lineRule="auto"/>
            </w:pPr>
            <w:r>
              <w:rPr>
                <w:sz w:val="19"/>
              </w:rPr>
              <w:t>도로변_산림토양_NGS비교분석.xlsx</w:t>
            </w:r>
          </w:p>
        </w:tc>
        <w:tc>
          <w:tcPr>
            <w:tcW w:type="dxa" w:w="3400"/>
            <w:vAlign w:val="center"/>
            <w:tcMar>
              <w:top w:w="90" w:type="dxa"/>
              <w:start w:w="120" w:type="dxa"/>
              <w:bottom w:w="90" w:type="dxa"/>
              <w:end w:w="120" w:type="dxa"/>
            </w:tcMar>
          </w:tcPr>
          <w:p>
            <w:pPr>
              <w:spacing w:after="20" w:line="252" w:lineRule="auto"/>
            </w:pPr>
            <w:r>
              <w:rPr>
                <w:sz w:val="19"/>
              </w:rPr>
              <w:t>16개 시트; Phylum–Family 상대풍부도, 그룹 비교, 다양성, PCoA, 분석 안내</w:t>
            </w:r>
          </w:p>
        </w:tc>
        <w:tc>
          <w:tcPr>
            <w:tcW w:type="dxa" w:w="3160"/>
            <w:vAlign w:val="center"/>
            <w:tcMar>
              <w:top w:w="90" w:type="dxa"/>
              <w:start w:w="120" w:type="dxa"/>
              <w:bottom w:w="90" w:type="dxa"/>
              <w:end w:w="120" w:type="dxa"/>
            </w:tcMar>
          </w:tcPr>
          <w:p>
            <w:pPr>
              <w:spacing w:after="20" w:line="252" w:lineRule="auto"/>
            </w:pPr>
            <w:r>
              <w:rPr>
                <w:sz w:val="19"/>
              </w:rPr>
              <w:t>현재 통계분석의 직접 근거</w:t>
            </w:r>
          </w:p>
        </w:tc>
      </w:tr>
      <w:tr>
        <w:tc>
          <w:tcPr>
            <w:tcW w:type="dxa" w:w="2800"/>
            <w:vAlign w:val="center"/>
            <w:tcMar>
              <w:top w:w="90" w:type="dxa"/>
              <w:start w:w="120" w:type="dxa"/>
              <w:bottom w:w="90" w:type="dxa"/>
              <w:end w:w="120" w:type="dxa"/>
            </w:tcMar>
            <w:shd w:fill="F8FAFC"/>
          </w:tcPr>
          <w:p>
            <w:pPr>
              <w:spacing w:after="20" w:line="252" w:lineRule="auto"/>
            </w:pPr>
            <w:r>
              <w:rPr>
                <w:sz w:val="19"/>
              </w:rPr>
              <w:t>토양 샘플링 정보.xlsx</w:t>
            </w:r>
          </w:p>
        </w:tc>
        <w:tc>
          <w:tcPr>
            <w:tcW w:type="dxa" w:w="3400"/>
            <w:vAlign w:val="center"/>
            <w:tcMar>
              <w:top w:w="90" w:type="dxa"/>
              <w:start w:w="120" w:type="dxa"/>
              <w:bottom w:w="90" w:type="dxa"/>
              <w:end w:w="120" w:type="dxa"/>
            </w:tcMar>
            <w:shd w:fill="F8FAFC"/>
          </w:tcPr>
          <w:p>
            <w:pPr>
              <w:spacing w:after="20" w:line="252" w:lineRule="auto"/>
            </w:pPr>
            <w:r>
              <w:rPr>
                <w:sz w:val="19"/>
              </w:rPr>
              <w:t>32개 시료의 번호, 채취자, 위치, 채취시각, 특이사항</w:t>
            </w:r>
          </w:p>
        </w:tc>
        <w:tc>
          <w:tcPr>
            <w:tcW w:type="dxa" w:w="3160"/>
            <w:vAlign w:val="center"/>
            <w:tcMar>
              <w:top w:w="90" w:type="dxa"/>
              <w:start w:w="120" w:type="dxa"/>
              <w:bottom w:w="90" w:type="dxa"/>
              <w:end w:w="120" w:type="dxa"/>
            </w:tcMar>
            <w:shd w:fill="F8FAFC"/>
          </w:tcPr>
          <w:p>
            <w:pPr>
              <w:spacing w:after="20" w:line="252" w:lineRule="auto"/>
            </w:pPr>
            <w:r>
              <w:rPr>
                <w:sz w:val="19"/>
              </w:rPr>
              <w:t>시료 메타데이터 및 그룹 재검증</w:t>
            </w:r>
          </w:p>
        </w:tc>
      </w:tr>
      <w:tr>
        <w:tc>
          <w:tcPr>
            <w:tcW w:type="dxa" w:w="2800"/>
            <w:vAlign w:val="center"/>
            <w:tcMar>
              <w:top w:w="90" w:type="dxa"/>
              <w:start w:w="120" w:type="dxa"/>
              <w:bottom w:w="90" w:type="dxa"/>
              <w:end w:w="120" w:type="dxa"/>
            </w:tcMar>
          </w:tcPr>
          <w:p>
            <w:pPr>
              <w:spacing w:after="20" w:line="252" w:lineRule="auto"/>
            </w:pPr>
            <w:r>
              <w:rPr>
                <w:sz w:val="19"/>
              </w:rPr>
              <w:t>도로변_산림토양_NGS분석보고서.docx</w:t>
            </w:r>
          </w:p>
        </w:tc>
        <w:tc>
          <w:tcPr>
            <w:tcW w:type="dxa" w:w="3400"/>
            <w:vAlign w:val="center"/>
            <w:tcMar>
              <w:top w:w="90" w:type="dxa"/>
              <w:start w:w="120" w:type="dxa"/>
              <w:bottom w:w="90" w:type="dxa"/>
              <w:end w:w="120" w:type="dxa"/>
            </w:tcMar>
          </w:tcPr>
          <w:p>
            <w:pPr>
              <w:spacing w:after="20" w:line="252" w:lineRule="auto"/>
            </w:pPr>
            <w:r>
              <w:rPr>
                <w:sz w:val="19"/>
              </w:rPr>
              <w:t>기존 결과 해석, 통계 요약, 한계와 논문화 제안</w:t>
            </w:r>
          </w:p>
        </w:tc>
        <w:tc>
          <w:tcPr>
            <w:tcW w:type="dxa" w:w="3160"/>
            <w:vAlign w:val="center"/>
            <w:tcMar>
              <w:top w:w="90" w:type="dxa"/>
              <w:start w:w="120" w:type="dxa"/>
              <w:bottom w:w="90" w:type="dxa"/>
              <w:end w:w="120" w:type="dxa"/>
            </w:tcMar>
          </w:tcPr>
          <w:p>
            <w:pPr>
              <w:spacing w:after="20" w:line="252" w:lineRule="auto"/>
            </w:pPr>
            <w:r>
              <w:rPr>
                <w:sz w:val="19"/>
              </w:rPr>
              <w:t>문서 구조·표현 및 기존 해석의 기준</w:t>
            </w:r>
          </w:p>
        </w:tc>
      </w:tr>
    </w:tbl>
    <w:p>
      <w:pPr>
        <w:spacing w:after="0"/>
      </w:pPr>
    </w:p>
    <w:p>
      <w:pPr>
        <w:pStyle w:val="Heading2"/>
      </w:pPr>
      <w:r>
        <w:t>2.1 샘플링 정보 요약</w:t>
      </w:r>
    </w:p>
    <w:p>
      <w:r>
        <w:t>샘플링 정보에는 2026년 7월 18–20일 채취된 32개 기록이 포함되어 있다. 위치 명칭을 기준으로 보면 도로·주차장·공사장 인접 기록은 17개(46023–46039), 공원 기록은 15개(46054–46068)이다. 도로군에는 행신초등학교 육교 주변, 의정부 도로·주차장, 이수역 도로·주차장 및 가산역 주변이 포함되고, 공원군에는 뚝섬한강공원, 어린이대공원, 광명시 현충근린공원, 충효어린이공원 및 보라매공원이 포함된다.</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90" w:type="dxa"/>
              <w:start w:w="120" w:type="dxa"/>
              <w:bottom w:w="90" w:type="dxa"/>
              <w:end w:w="120" w:type="dxa"/>
            </w:tcMar>
            <w:vAlign w:val="center"/>
          </w:tcPr>
          <w:p>
            <w:r>
              <w:rPr>
                <w:b/>
                <w:color w:val="9C0006"/>
              </w:rPr>
              <w:t xml:space="preserve">필수 확인  </w:t>
            </w:r>
            <w:r>
              <w:t>비교분석 파일은 ‘도로변=시료 1–16, 산림=시료 17–32’로 정의하지만, 샘플링 정보는 위치 기준 17개 도로성 시료와 15개 공원 시료로 구성된다. 두 번호 체계의 대응표가 없으므로, 현 통계 결과를 17 대 15의 도로변–공원 비교로 재해석해서는 안 된다. 최종 분석 전에 NGS Sample ID와 채취번호의 1:1 crosswalk를 확정해야 한다.</w:t>
            </w:r>
          </w:p>
        </w:tc>
      </w:tr>
    </w:tbl>
    <w:p>
      <w:pPr>
        <w:spacing w:after="0"/>
      </w:pPr>
    </w:p>
    <w:p>
      <w:pPr>
        <w:pStyle w:val="Heading1"/>
      </w:pPr>
      <w:r>
        <w:t>3. 실험 방법 (추후 확정)</w:t>
      </w:r>
    </w:p>
    <w:p>
      <w:pPr>
        <w:pStyle w:val="ListBullet"/>
      </w:pPr>
      <w:r>
        <w:rPr>
          <w:strike/>
          <w:color w:val="7F7F7F"/>
        </w:rPr>
        <w:t>토양 채취 깊이, 1회 채취량, 채취 면적, 복합시료 구성 방식 및 시료 간 최소 간격을 기술한다.</w:t>
      </w:r>
    </w:p>
    <w:p>
      <w:pPr>
        <w:pStyle w:val="ListBullet"/>
      </w:pPr>
      <w:r>
        <w:rPr>
          <w:strike/>
          <w:color w:val="7F7F7F"/>
        </w:rPr>
        <w:t>시료 보관 온도와 운반 시간, DNA 추출 키트·투입량·추출 조건 및 음성대조군을 기술한다.</w:t>
      </w:r>
    </w:p>
    <w:p>
      <w:pPr>
        <w:pStyle w:val="ListBullet"/>
      </w:pPr>
      <w:r>
        <w:rPr>
          <w:strike/>
          <w:color w:val="7F7F7F"/>
        </w:rPr>
        <w:t>16S rRNA 표적 영역, primer 서열, PCR 조성·열순환 조건, library 제작법과 sequencing platform을 기술한다.</w:t>
      </w:r>
    </w:p>
    <w:p>
      <w:pPr>
        <w:pStyle w:val="ListBullet"/>
      </w:pPr>
      <w:r>
        <w:rPr>
          <w:strike/>
          <w:color w:val="7F7F7F"/>
        </w:rPr>
        <w:t>Demultiplexing, 품질 절단, chimera 제거, ASV/OTU 생성, taxonomy database와 버전을 기술한다.</w:t>
      </w:r>
    </w:p>
    <w:p>
      <w:pPr>
        <w:pStyle w:val="ListBullet"/>
      </w:pPr>
      <w:r>
        <w:rPr>
          <w:strike/>
          <w:color w:val="7F7F7F"/>
        </w:rPr>
        <w:t>후보 균주의 분리·순수배양, 접종량, 배양 온도·시간·교반 조건 및 OD 측정 파장을 기술한다.</w:t>
      </w:r>
    </w:p>
    <w:p>
      <w:pPr>
        <w:pStyle w:val="ListBullet"/>
      </w:pPr>
      <w:r>
        <w:rPr>
          <w:strike/>
          <w:color w:val="7F7F7F"/>
        </w:rPr>
        <w:t>배지 stock 제조법, 고정 혼합액의 성분별 농도, 배지 blank와 생물학적 반복 구성 및 기능성 시험법을 기술한다.</w:t>
      </w:r>
    </w:p>
    <w:tbl>
      <w:tblPr>
        <w:tblW w:type="dxa" w:w="9360"/>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vAlign w:val="center"/>
          </w:tcPr>
          <w:p>
            <w:r>
              <w:rPr>
                <w:b/>
                <w:color w:val="17365D"/>
              </w:rPr>
              <w:t xml:space="preserve">편집 메모  </w:t>
            </w:r>
            <w:r>
              <w:t>위 실험 방법은 사용자 요청에 따라 삭제하지 않고 취소선으로 보존했다. 확정된 실험 기록이 확보되면 취소선 문장을 실제 조건으로 교체한다.</w:t>
            </w:r>
          </w:p>
        </w:tc>
      </w:tr>
    </w:tbl>
    <w:p>
      <w:pPr>
        <w:spacing w:after="0"/>
      </w:pPr>
    </w:p>
    <w:p>
      <w:pPr>
        <w:pStyle w:val="Heading1"/>
      </w:pPr>
      <w:r>
        <w:t>4. 현재 수행된 분석 방법</w:t>
      </w:r>
    </w:p>
    <w:p>
      <w:pPr>
        <w:pStyle w:val="Heading2"/>
      </w:pPr>
      <w:r>
        <w:t>4.1 데이터 구조와 전처리</w:t>
      </w:r>
    </w:p>
    <w:p>
      <w:r>
        <w:t>제공된 상대풍부도 표에서 각 시료의 분류군 비율은 0–1 범위로 취급하였다. 분류 단계별로 Phylum, Class, Order 및 Family 표를 분리하여 분석하고, 각 분류군에 대해 그룹별 평균, 중앙값, 산림-도로변 평균차 및 검출률을 산출하였다. 검출률은 해당 그룹에서 상대풍부도가 0보다 큰 시료의 비율로 정의하였다.</w:t>
      </w:r>
    </w:p>
    <w:p>
      <w:pPr>
        <w:pStyle w:val="ListBullet"/>
      </w:pPr>
      <w:r>
        <w:t>현재 파일에는 원시 read count, ASV/OTU count table 및 시퀀싱 깊이가 포함되어 있지 않다.</w:t>
      </w:r>
    </w:p>
    <w:p>
      <w:pPr>
        <w:pStyle w:val="ListBullet"/>
      </w:pPr>
      <w:r>
        <w:t>Mitochondria와 Chloroplast의 필터링 여부는 확정되지 않았다.</w:t>
      </w:r>
    </w:p>
    <w:p>
      <w:pPr>
        <w:pStyle w:val="ListBullet"/>
      </w:pPr>
      <w:r>
        <w:t>0값은 현재 상대풍부도 표에 기록된 값을 그대로 사용했으며, 임의의 pseudocount를 적용하지 않았다.</w:t>
      </w:r>
    </w:p>
    <w:p>
      <w:pPr>
        <w:pStyle w:val="Heading2"/>
      </w:pPr>
      <w:r>
        <w:t>4.2 분류군별 그룹 비교</w:t>
      </w:r>
    </w:p>
    <w:p>
      <w:r>
        <w:t>각 분류 단계에서 도로변 그룹과 산림 그룹의 상대풍부도 분포를 Mann-Whitney U 검정으로 비교하였다. 분류군별 원 p값을 제시하고, 동일 분류 단계 내 다중검정에 대해 Benjamini-Hochberg 방법으로 false discovery rate(FDR)를 보정하여 q값을 산출하였다. q&lt;0.05를 우선적인 통계적 판정 기준으로 사용하고, p&lt;0.05이나 q≥0.05인 결과는 확증적 차이가 아닌 탐색적 후보로만 해석하였다.</w:t>
      </w:r>
    </w:p>
    <w:p>
      <w:pPr>
        <w:pStyle w:val="Heading2"/>
      </w:pPr>
      <w:r>
        <w:t>4.3 알파다양성</w:t>
      </w:r>
    </w:p>
    <w:p>
      <w:r>
        <w:t>Family 수준 상대풍부도 pᵢ를 사용하여 Shannon 지수 H=-Σpᵢln(pᵢ)를 계산하였다. 해석을 보조하기 위해 effective family number를 exp(H)로 계산하고, 상대풍부도가 0보다 큰 Family 범주의 수도 함께 제시하였다. 그룹 간 Shannon 지수는 Mann-Whitney U 검정으로 비교하였다. 이는 Family 수준 범주 다양성이며 실제 종수나 절대균량이 아니다.</w:t>
      </w:r>
    </w:p>
    <w:p>
      <w:pPr>
        <w:pStyle w:val="Heading2"/>
      </w:pPr>
      <w:r>
        <w:t>4.4 베타다양성과 군집 구조</w:t>
      </w:r>
    </w:p>
    <w:p>
      <w:r>
        <w:t>Family 수준 상대풍부도 벡터 사이의 Bray-Curtis 비유사도를 계산하고 principal coordinates analysis(PCoA)를 수행하였다. 그룹에 따른 전체 군집 구조 차이는 9,999회 permutation을 이용한 PERMANOVA로 검정하였다. 현재 파일에는 permutation seed와 사용 소프트웨어·버전이 기록되어 있지 않으므로 최종 재현성 문서에서 보완해야 한다. 또한 PERMANOVA 결과가 그룹 중심 차이인지 산포 차이인지 구분하기 위해 후속 분석에서는 multivariate dispersion 검정을 함께 수행한다.</w:t>
      </w:r>
    </w:p>
    <w:p>
      <w:pPr>
        <w:pStyle w:val="Heading2"/>
      </w:pPr>
      <w:r>
        <w:t>4.5 이상 시료와 민감도 분석</w:t>
      </w:r>
    </w:p>
    <w:p>
      <w:r>
        <w:t>Family 수준에서 시료 30은 Bacillaceae 79.60%, Mitochondria 20.03%, Shannon H=0.525로 다른 시료와 뚜렷하게 구별된다. 이 시료는 사전 기준 없이 단순 제외하지 않고, 원시 read와 음성대조군, 식물성 DNA 혼입, 분류·필터링 과정을 점검한다. 주 분석에는 전체 시료를 유지하되, 시료 30 포함/제외 결과를 민감도 분석으로 병기하는 방식을 사용한다.</w:t>
      </w:r>
    </w:p>
    <w:p>
      <w:pPr>
        <w:pStyle w:val="Heading1"/>
      </w:pPr>
      <w:r>
        <w:t>5. 현재 분석과 산출물의 연결</w:t>
      </w:r>
    </w:p>
    <w:tbl>
      <w:tblPr>
        <w:tblStyle w:val="TableGrid"/>
        <w:tblW w:type="dxa" w:w="9360"/>
        <w:tblLayout w:type="fixed"/>
        <w:tblLook w:firstColumn="1" w:firstRow="1" w:lastColumn="0" w:lastRow="0" w:noHBand="0" w:noVBand="1" w:val="04A0"/>
        <w:tblInd w:w="120" w:type="dxa"/>
      </w:tblPr>
      <w:tblGrid>
        <w:gridCol w:w="1900"/>
        <w:gridCol w:w="4200"/>
        <w:gridCol w:w="3260"/>
      </w:tblGrid>
      <w:tr>
        <w:trPr>
          <w:tblHeader w:val="true"/>
        </w:trPr>
        <w:tc>
          <w:tcPr>
            <w:tcW w:type="dxa" w:w="1900"/>
            <w:vAlign w:val="center"/>
            <w:tcMar>
              <w:top w:w="90" w:type="dxa"/>
              <w:start w:w="120" w:type="dxa"/>
              <w:bottom w:w="90" w:type="dxa"/>
              <w:end w:w="120" w:type="dxa"/>
            </w:tcMar>
            <w:shd w:fill="17365D"/>
          </w:tcPr>
          <w:p>
            <w:pPr>
              <w:spacing w:after="20" w:line="252" w:lineRule="auto"/>
            </w:pPr>
            <w:r>
              <w:rPr>
                <w:b/>
                <w:color w:val="FFFFFF"/>
                <w:sz w:val="19"/>
              </w:rPr>
              <w:t>분석</w:t>
            </w:r>
          </w:p>
        </w:tc>
        <w:tc>
          <w:tcPr>
            <w:tcW w:type="dxa" w:w="4200"/>
            <w:vAlign w:val="center"/>
            <w:tcMar>
              <w:top w:w="90" w:type="dxa"/>
              <w:start w:w="120" w:type="dxa"/>
              <w:bottom w:w="90" w:type="dxa"/>
              <w:end w:w="120" w:type="dxa"/>
            </w:tcMar>
            <w:shd w:fill="17365D"/>
          </w:tcPr>
          <w:p>
            <w:pPr>
              <w:spacing w:after="20" w:line="252" w:lineRule="auto"/>
            </w:pPr>
            <w:r>
              <w:rPr>
                <w:b/>
                <w:color w:val="FFFFFF"/>
                <w:sz w:val="19"/>
              </w:rPr>
              <w:t>현재 산출물</w:t>
            </w:r>
          </w:p>
        </w:tc>
        <w:tc>
          <w:tcPr>
            <w:tcW w:type="dxa" w:w="3260"/>
            <w:vAlign w:val="center"/>
            <w:tcMar>
              <w:top w:w="90" w:type="dxa"/>
              <w:start w:w="120" w:type="dxa"/>
              <w:bottom w:w="90" w:type="dxa"/>
              <w:end w:w="120" w:type="dxa"/>
            </w:tcMar>
            <w:shd w:fill="17365D"/>
          </w:tcPr>
          <w:p>
            <w:pPr>
              <w:spacing w:after="20" w:line="252" w:lineRule="auto"/>
            </w:pPr>
            <w:r>
              <w:rPr>
                <w:b/>
                <w:color w:val="FFFFFF"/>
                <w:sz w:val="19"/>
              </w:rPr>
              <w:t>해석 기준</w:t>
            </w:r>
          </w:p>
        </w:tc>
      </w:tr>
      <w:tr>
        <w:tc>
          <w:tcPr>
            <w:tcW w:type="dxa" w:w="1900"/>
            <w:vAlign w:val="center"/>
            <w:tcMar>
              <w:top w:w="90" w:type="dxa"/>
              <w:start w:w="120" w:type="dxa"/>
              <w:bottom w:w="90" w:type="dxa"/>
              <w:end w:w="120" w:type="dxa"/>
            </w:tcMar>
          </w:tcPr>
          <w:p>
            <w:pPr>
              <w:spacing w:after="20" w:line="252" w:lineRule="auto"/>
            </w:pPr>
            <w:r>
              <w:rPr>
                <w:sz w:val="19"/>
              </w:rPr>
              <w:t>분류군별 비교</w:t>
            </w:r>
          </w:p>
        </w:tc>
        <w:tc>
          <w:tcPr>
            <w:tcW w:type="dxa" w:w="4200"/>
            <w:vAlign w:val="center"/>
            <w:tcMar>
              <w:top w:w="90" w:type="dxa"/>
              <w:start w:w="120" w:type="dxa"/>
              <w:bottom w:w="90" w:type="dxa"/>
              <w:end w:w="120" w:type="dxa"/>
            </w:tcMar>
          </w:tcPr>
          <w:p>
            <w:pPr>
              <w:spacing w:after="20" w:line="252" w:lineRule="auto"/>
            </w:pPr>
            <w:r>
              <w:rPr>
                <w:sz w:val="19"/>
              </w:rPr>
              <w:t>Phylum–Family 평균·중앙값·검출률, Mann-Whitney p, BH-FDR q</w:t>
            </w:r>
          </w:p>
        </w:tc>
        <w:tc>
          <w:tcPr>
            <w:tcW w:type="dxa" w:w="3260"/>
            <w:vAlign w:val="center"/>
            <w:tcMar>
              <w:top w:w="90" w:type="dxa"/>
              <w:start w:w="120" w:type="dxa"/>
              <w:bottom w:w="90" w:type="dxa"/>
              <w:end w:w="120" w:type="dxa"/>
            </w:tcMar>
          </w:tcPr>
          <w:p>
            <w:pPr>
              <w:spacing w:after="20" w:line="252" w:lineRule="auto"/>
            </w:pPr>
            <w:r>
              <w:rPr>
                <w:sz w:val="19"/>
              </w:rPr>
              <w:t>q&lt;0.05 우선; 미보정 p만 유의하면 탐색적 후보</w:t>
            </w:r>
          </w:p>
        </w:tc>
      </w:tr>
      <w:tr>
        <w:tc>
          <w:tcPr>
            <w:tcW w:type="dxa" w:w="1900"/>
            <w:vAlign w:val="center"/>
            <w:tcMar>
              <w:top w:w="90" w:type="dxa"/>
              <w:start w:w="120" w:type="dxa"/>
              <w:bottom w:w="90" w:type="dxa"/>
              <w:end w:w="120" w:type="dxa"/>
            </w:tcMar>
            <w:shd w:fill="F8FAFC"/>
          </w:tcPr>
          <w:p>
            <w:pPr>
              <w:spacing w:after="20" w:line="252" w:lineRule="auto"/>
            </w:pPr>
            <w:r>
              <w:rPr>
                <w:sz w:val="19"/>
              </w:rPr>
              <w:t>알파다양성</w:t>
            </w:r>
          </w:p>
        </w:tc>
        <w:tc>
          <w:tcPr>
            <w:tcW w:type="dxa" w:w="4200"/>
            <w:vAlign w:val="center"/>
            <w:tcMar>
              <w:top w:w="90" w:type="dxa"/>
              <w:start w:w="120" w:type="dxa"/>
              <w:bottom w:w="90" w:type="dxa"/>
              <w:end w:w="120" w:type="dxa"/>
            </w:tcMar>
            <w:shd w:fill="F8FAFC"/>
          </w:tcPr>
          <w:p>
            <w:pPr>
              <w:spacing w:after="20" w:line="252" w:lineRule="auto"/>
            </w:pPr>
            <w:r>
              <w:rPr>
                <w:sz w:val="19"/>
              </w:rPr>
              <w:t>Family Shannon: 도로변 평균 3.10, 산림 평균 2.92; p=0.534</w:t>
            </w:r>
          </w:p>
        </w:tc>
        <w:tc>
          <w:tcPr>
            <w:tcW w:type="dxa" w:w="3260"/>
            <w:vAlign w:val="center"/>
            <w:tcMar>
              <w:top w:w="90" w:type="dxa"/>
              <w:start w:w="120" w:type="dxa"/>
              <w:bottom w:w="90" w:type="dxa"/>
              <w:end w:w="120" w:type="dxa"/>
            </w:tcMar>
            <w:shd w:fill="F8FAFC"/>
          </w:tcPr>
          <w:p>
            <w:pPr>
              <w:spacing w:after="20" w:line="252" w:lineRule="auto"/>
            </w:pPr>
            <w:r>
              <w:rPr>
                <w:sz w:val="19"/>
              </w:rPr>
              <w:t>현재 그룹 정의에서 뚜렷한 차이 근거 없음</w:t>
            </w:r>
          </w:p>
        </w:tc>
      </w:tr>
      <w:tr>
        <w:tc>
          <w:tcPr>
            <w:tcW w:type="dxa" w:w="1900"/>
            <w:vAlign w:val="center"/>
            <w:tcMar>
              <w:top w:w="90" w:type="dxa"/>
              <w:start w:w="120" w:type="dxa"/>
              <w:bottom w:w="90" w:type="dxa"/>
              <w:end w:w="120" w:type="dxa"/>
            </w:tcMar>
          </w:tcPr>
          <w:p>
            <w:pPr>
              <w:spacing w:after="20" w:line="252" w:lineRule="auto"/>
            </w:pPr>
            <w:r>
              <w:rPr>
                <w:sz w:val="19"/>
              </w:rPr>
              <w:t>PCoA</w:t>
            </w:r>
          </w:p>
        </w:tc>
        <w:tc>
          <w:tcPr>
            <w:tcW w:type="dxa" w:w="4200"/>
            <w:vAlign w:val="center"/>
            <w:tcMar>
              <w:top w:w="90" w:type="dxa"/>
              <w:start w:w="120" w:type="dxa"/>
              <w:bottom w:w="90" w:type="dxa"/>
              <w:end w:w="120" w:type="dxa"/>
            </w:tcMar>
          </w:tcPr>
          <w:p>
            <w:pPr>
              <w:spacing w:after="20" w:line="252" w:lineRule="auto"/>
            </w:pPr>
            <w:r>
              <w:rPr>
                <w:sz w:val="19"/>
              </w:rPr>
              <w:t>PC1 24.9%, PC2 19.6%</w:t>
            </w:r>
          </w:p>
        </w:tc>
        <w:tc>
          <w:tcPr>
            <w:tcW w:type="dxa" w:w="3260"/>
            <w:vAlign w:val="center"/>
            <w:tcMar>
              <w:top w:w="90" w:type="dxa"/>
              <w:start w:w="120" w:type="dxa"/>
              <w:bottom w:w="90" w:type="dxa"/>
              <w:end w:w="120" w:type="dxa"/>
            </w:tcMar>
          </w:tcPr>
          <w:p>
            <w:pPr>
              <w:spacing w:after="20" w:line="252" w:lineRule="auto"/>
            </w:pPr>
            <w:r>
              <w:rPr>
                <w:sz w:val="19"/>
              </w:rPr>
              <w:t>시각적 분리만으로 유의성 판단 금지</w:t>
            </w:r>
          </w:p>
        </w:tc>
      </w:tr>
      <w:tr>
        <w:tc>
          <w:tcPr>
            <w:tcW w:type="dxa" w:w="1900"/>
            <w:vAlign w:val="center"/>
            <w:tcMar>
              <w:top w:w="90" w:type="dxa"/>
              <w:start w:w="120" w:type="dxa"/>
              <w:bottom w:w="90" w:type="dxa"/>
              <w:end w:w="120" w:type="dxa"/>
            </w:tcMar>
            <w:shd w:fill="F8FAFC"/>
          </w:tcPr>
          <w:p>
            <w:pPr>
              <w:spacing w:after="20" w:line="252" w:lineRule="auto"/>
            </w:pPr>
            <w:r>
              <w:rPr>
                <w:sz w:val="19"/>
              </w:rPr>
              <w:t>PERMANOVA</w:t>
            </w:r>
          </w:p>
        </w:tc>
        <w:tc>
          <w:tcPr>
            <w:tcW w:type="dxa" w:w="4200"/>
            <w:vAlign w:val="center"/>
            <w:tcMar>
              <w:top w:w="90" w:type="dxa"/>
              <w:start w:w="120" w:type="dxa"/>
              <w:bottom w:w="90" w:type="dxa"/>
              <w:end w:w="120" w:type="dxa"/>
            </w:tcMar>
            <w:shd w:fill="F8FAFC"/>
          </w:tcPr>
          <w:p>
            <w:pPr>
              <w:spacing w:after="20" w:line="252" w:lineRule="auto"/>
            </w:pPr>
            <w:r>
              <w:rPr>
                <w:sz w:val="19"/>
              </w:rPr>
              <w:t>pseudo-F=1.492, permutation p=0.1126</w:t>
            </w:r>
          </w:p>
        </w:tc>
        <w:tc>
          <w:tcPr>
            <w:tcW w:type="dxa" w:w="3260"/>
            <w:vAlign w:val="center"/>
            <w:tcMar>
              <w:top w:w="90" w:type="dxa"/>
              <w:start w:w="120" w:type="dxa"/>
              <w:bottom w:w="90" w:type="dxa"/>
              <w:end w:w="120" w:type="dxa"/>
            </w:tcMar>
            <w:shd w:fill="F8FAFC"/>
          </w:tcPr>
          <w:p>
            <w:pPr>
              <w:spacing w:after="20" w:line="252" w:lineRule="auto"/>
            </w:pPr>
            <w:r>
              <w:rPr>
                <w:sz w:val="19"/>
              </w:rPr>
              <w:t>현재 자료에서 전체 군집 분리를 확정하지 않음</w:t>
            </w:r>
          </w:p>
        </w:tc>
      </w:tr>
      <w:tr>
        <w:tc>
          <w:tcPr>
            <w:tcW w:type="dxa" w:w="1900"/>
            <w:vAlign w:val="center"/>
            <w:tcMar>
              <w:top w:w="90" w:type="dxa"/>
              <w:start w:w="120" w:type="dxa"/>
              <w:bottom w:w="90" w:type="dxa"/>
              <w:end w:w="120" w:type="dxa"/>
            </w:tcMar>
          </w:tcPr>
          <w:p>
            <w:pPr>
              <w:spacing w:after="20" w:line="252" w:lineRule="auto"/>
            </w:pPr>
            <w:r>
              <w:rPr>
                <w:sz w:val="19"/>
              </w:rPr>
              <w:t>탐색적 후보</w:t>
            </w:r>
          </w:p>
        </w:tc>
        <w:tc>
          <w:tcPr>
            <w:tcW w:type="dxa" w:w="4200"/>
            <w:vAlign w:val="center"/>
            <w:tcMar>
              <w:top w:w="90" w:type="dxa"/>
              <w:start w:w="120" w:type="dxa"/>
              <w:bottom w:w="90" w:type="dxa"/>
              <w:end w:w="120" w:type="dxa"/>
            </w:tcMar>
          </w:tcPr>
          <w:p>
            <w:pPr>
              <w:spacing w:after="20" w:line="252" w:lineRule="auto"/>
            </w:pPr>
            <w:r>
              <w:rPr>
                <w:sz w:val="19"/>
              </w:rPr>
              <w:t>Gemmatimonadota: 도로변 6.14%, 산림 2.31%; p=0.005, q=0.060</w:t>
            </w:r>
          </w:p>
        </w:tc>
        <w:tc>
          <w:tcPr>
            <w:tcW w:type="dxa" w:w="3260"/>
            <w:vAlign w:val="center"/>
            <w:tcMar>
              <w:top w:w="90" w:type="dxa"/>
              <w:start w:w="120" w:type="dxa"/>
              <w:bottom w:w="90" w:type="dxa"/>
              <w:end w:w="120" w:type="dxa"/>
            </w:tcMar>
          </w:tcPr>
          <w:p>
            <w:pPr>
              <w:spacing w:after="20" w:line="252" w:lineRule="auto"/>
            </w:pPr>
            <w:r>
              <w:rPr>
                <w:sz w:val="19"/>
              </w:rPr>
              <w:t>FDR 0.05를 넘으므로 후보로만 기록</w:t>
            </w:r>
          </w:p>
        </w:tc>
      </w:tr>
    </w:tbl>
    <w:p>
      <w:pPr>
        <w:spacing w:after="0"/>
      </w:pPr>
    </w:p>
    <w:p>
      <w:pPr>
        <w:pStyle w:val="Heading1"/>
      </w:pPr>
      <w:r>
        <w:t>6. 유용 균주 선별 및 확인 전략</w:t>
      </w:r>
    </w:p>
    <w:p>
      <w:r>
        <w:t>16S rRNA 염기서열의 근연종 일치는 후보 동정으로 사용하되, 유용성의 근거로 직접 사용하지 않는다. Bacillus pumilus 계통군처럼 16S만으로 구분이 어려운 균주는 housekeeping gene 또는 전장유전체 기반 ANI로 재확인한다. 현재 배양 최적화 대상은 Priestia megaterium 후보 균주로 설정하되, 균주 수준 동정과 안전성·기능성 결과에 따라 대상을 변경할 수 있다.</w:t>
      </w:r>
    </w:p>
    <w:tbl>
      <w:tblPr>
        <w:tblStyle w:val="TableGrid"/>
        <w:tblW w:type="dxa" w:w="9360"/>
        <w:tblLayout w:type="fixed"/>
        <w:tblLook w:firstColumn="1" w:firstRow="1" w:lastColumn="0" w:lastRow="0" w:noHBand="0" w:noVBand="1" w:val="04A0"/>
        <w:tblInd w:w="120" w:type="dxa"/>
      </w:tblPr>
      <w:tblGrid>
        <w:gridCol w:w="1500"/>
        <w:gridCol w:w="4700"/>
        <w:gridCol w:w="3160"/>
      </w:tblGrid>
      <w:tr>
        <w:trPr>
          <w:tblHeader w:val="true"/>
        </w:trPr>
        <w:tc>
          <w:tcPr>
            <w:tcW w:type="dxa" w:w="1500"/>
            <w:vAlign w:val="center"/>
            <w:tcMar>
              <w:top w:w="90" w:type="dxa"/>
              <w:start w:w="120" w:type="dxa"/>
              <w:bottom w:w="90" w:type="dxa"/>
              <w:end w:w="120" w:type="dxa"/>
            </w:tcMar>
            <w:shd w:fill="17365D"/>
          </w:tcPr>
          <w:p>
            <w:pPr>
              <w:spacing w:after="20" w:line="252" w:lineRule="auto"/>
            </w:pPr>
            <w:r>
              <w:rPr>
                <w:b/>
                <w:color w:val="FFFFFF"/>
                <w:sz w:val="19"/>
              </w:rPr>
              <w:t>단계</w:t>
            </w:r>
          </w:p>
        </w:tc>
        <w:tc>
          <w:tcPr>
            <w:tcW w:type="dxa" w:w="4700"/>
            <w:vAlign w:val="center"/>
            <w:tcMar>
              <w:top w:w="90" w:type="dxa"/>
              <w:start w:w="120" w:type="dxa"/>
              <w:bottom w:w="90" w:type="dxa"/>
              <w:end w:w="120" w:type="dxa"/>
            </w:tcMar>
            <w:shd w:fill="17365D"/>
          </w:tcPr>
          <w:p>
            <w:pPr>
              <w:spacing w:after="20" w:line="252" w:lineRule="auto"/>
            </w:pPr>
            <w:r>
              <w:rPr>
                <w:b/>
                <w:color w:val="FFFFFF"/>
                <w:sz w:val="19"/>
              </w:rPr>
              <w:t>평가 내용</w:t>
            </w:r>
          </w:p>
        </w:tc>
        <w:tc>
          <w:tcPr>
            <w:tcW w:type="dxa" w:w="3160"/>
            <w:vAlign w:val="center"/>
            <w:tcMar>
              <w:top w:w="90" w:type="dxa"/>
              <w:start w:w="120" w:type="dxa"/>
              <w:bottom w:w="90" w:type="dxa"/>
              <w:end w:w="120" w:type="dxa"/>
            </w:tcMar>
            <w:shd w:fill="17365D"/>
          </w:tcPr>
          <w:p>
            <w:pPr>
              <w:spacing w:after="20" w:line="252" w:lineRule="auto"/>
            </w:pPr>
            <w:r>
              <w:rPr>
                <w:b/>
                <w:color w:val="FFFFFF"/>
                <w:sz w:val="19"/>
              </w:rPr>
              <w:t>판정 원칙</w:t>
            </w:r>
          </w:p>
        </w:tc>
      </w:tr>
      <w:tr>
        <w:tc>
          <w:tcPr>
            <w:tcW w:type="dxa" w:w="1500"/>
            <w:vAlign w:val="center"/>
            <w:tcMar>
              <w:top w:w="90" w:type="dxa"/>
              <w:start w:w="120" w:type="dxa"/>
              <w:bottom w:w="90" w:type="dxa"/>
              <w:end w:w="120" w:type="dxa"/>
            </w:tcMar>
          </w:tcPr>
          <w:p>
            <w:pPr>
              <w:spacing w:after="20" w:line="252" w:lineRule="auto"/>
            </w:pPr>
            <w:r>
              <w:rPr>
                <w:sz w:val="19"/>
              </w:rPr>
              <w:t>동정</w:t>
            </w:r>
          </w:p>
        </w:tc>
        <w:tc>
          <w:tcPr>
            <w:tcW w:type="dxa" w:w="4700"/>
            <w:vAlign w:val="center"/>
            <w:tcMar>
              <w:top w:w="90" w:type="dxa"/>
              <w:start w:w="120" w:type="dxa"/>
              <w:bottom w:w="90" w:type="dxa"/>
              <w:end w:w="120" w:type="dxa"/>
            </w:tcMar>
          </w:tcPr>
          <w:p>
            <w:pPr>
              <w:spacing w:after="20" w:line="252" w:lineRule="auto"/>
            </w:pPr>
            <w:r>
              <w:rPr>
                <w:sz w:val="19"/>
              </w:rPr>
              <w:t>16S 서열 품질, 근연종 비교, 필요 시 rpoB/gyrB 또는 WGS-ANI</w:t>
            </w:r>
          </w:p>
        </w:tc>
        <w:tc>
          <w:tcPr>
            <w:tcW w:type="dxa" w:w="3160"/>
            <w:vAlign w:val="center"/>
            <w:tcMar>
              <w:top w:w="90" w:type="dxa"/>
              <w:start w:w="120" w:type="dxa"/>
              <w:bottom w:w="90" w:type="dxa"/>
              <w:end w:w="120" w:type="dxa"/>
            </w:tcMar>
          </w:tcPr>
          <w:p>
            <w:pPr>
              <w:spacing w:after="20" w:line="252" w:lineRule="auto"/>
            </w:pPr>
            <w:r>
              <w:rPr>
                <w:sz w:val="19"/>
              </w:rPr>
              <w:t>종명은 확인 수준에 맞춰 후보/확정으로 구분</w:t>
            </w:r>
          </w:p>
        </w:tc>
      </w:tr>
      <w:tr>
        <w:tc>
          <w:tcPr>
            <w:tcW w:type="dxa" w:w="1500"/>
            <w:vAlign w:val="center"/>
            <w:tcMar>
              <w:top w:w="90" w:type="dxa"/>
              <w:start w:w="120" w:type="dxa"/>
              <w:bottom w:w="90" w:type="dxa"/>
              <w:end w:w="120" w:type="dxa"/>
            </w:tcMar>
            <w:shd w:fill="F8FAFC"/>
          </w:tcPr>
          <w:p>
            <w:pPr>
              <w:spacing w:after="20" w:line="252" w:lineRule="auto"/>
            </w:pPr>
            <w:r>
              <w:rPr>
                <w:sz w:val="19"/>
              </w:rPr>
              <w:t>안전성</w:t>
            </w:r>
          </w:p>
        </w:tc>
        <w:tc>
          <w:tcPr>
            <w:tcW w:type="dxa" w:w="4700"/>
            <w:vAlign w:val="center"/>
            <w:tcMar>
              <w:top w:w="90" w:type="dxa"/>
              <w:start w:w="120" w:type="dxa"/>
              <w:bottom w:w="90" w:type="dxa"/>
              <w:end w:w="120" w:type="dxa"/>
            </w:tcMar>
            <w:shd w:fill="F8FAFC"/>
          </w:tcPr>
          <w:p>
            <w:pPr>
              <w:spacing w:after="20" w:line="252" w:lineRule="auto"/>
            </w:pPr>
            <w:r>
              <w:rPr>
                <w:sz w:val="19"/>
              </w:rPr>
              <w:t>용혈, 항생제 내성, 독성·병원성 관련 유전자, 오염 여부</w:t>
            </w:r>
          </w:p>
        </w:tc>
        <w:tc>
          <w:tcPr>
            <w:tcW w:type="dxa" w:w="3160"/>
            <w:vAlign w:val="center"/>
            <w:tcMar>
              <w:top w:w="90" w:type="dxa"/>
              <w:start w:w="120" w:type="dxa"/>
              <w:bottom w:w="90" w:type="dxa"/>
              <w:end w:w="120" w:type="dxa"/>
            </w:tcMar>
            <w:shd w:fill="F8FAFC"/>
          </w:tcPr>
          <w:p>
            <w:pPr>
              <w:spacing w:after="20" w:line="252" w:lineRule="auto"/>
            </w:pPr>
            <w:r>
              <w:rPr>
                <w:sz w:val="19"/>
              </w:rPr>
              <w:t>안전성 우려가 있으면 기능성과 무관하게 제외 또는 보류</w:t>
            </w:r>
          </w:p>
        </w:tc>
      </w:tr>
      <w:tr>
        <w:tc>
          <w:tcPr>
            <w:tcW w:type="dxa" w:w="1500"/>
            <w:vAlign w:val="center"/>
            <w:tcMar>
              <w:top w:w="90" w:type="dxa"/>
              <w:start w:w="120" w:type="dxa"/>
              <w:bottom w:w="90" w:type="dxa"/>
              <w:end w:w="120" w:type="dxa"/>
            </w:tcMar>
          </w:tcPr>
          <w:p>
            <w:pPr>
              <w:spacing w:after="20" w:line="252" w:lineRule="auto"/>
            </w:pPr>
            <w:r>
              <w:rPr>
                <w:sz w:val="19"/>
              </w:rPr>
              <w:t>유용성</w:t>
            </w:r>
          </w:p>
        </w:tc>
        <w:tc>
          <w:tcPr>
            <w:tcW w:type="dxa" w:w="4700"/>
            <w:vAlign w:val="center"/>
            <w:tcMar>
              <w:top w:w="90" w:type="dxa"/>
              <w:start w:w="120" w:type="dxa"/>
              <w:bottom w:w="90" w:type="dxa"/>
              <w:end w:w="120" w:type="dxa"/>
            </w:tcMar>
          </w:tcPr>
          <w:p>
            <w:pPr>
              <w:spacing w:after="20" w:line="252" w:lineRule="auto"/>
            </w:pPr>
            <w:r>
              <w:rPr>
                <w:sz w:val="19"/>
              </w:rPr>
              <w:t>목표 기능에 맞는 효소활성, 식물생장 촉진, 길항성 등</w:t>
            </w:r>
          </w:p>
        </w:tc>
        <w:tc>
          <w:tcPr>
            <w:tcW w:type="dxa" w:w="3160"/>
            <w:vAlign w:val="center"/>
            <w:tcMar>
              <w:top w:w="90" w:type="dxa"/>
              <w:start w:w="120" w:type="dxa"/>
              <w:bottom w:w="90" w:type="dxa"/>
              <w:end w:w="120" w:type="dxa"/>
            </w:tcMar>
          </w:tcPr>
          <w:p>
            <w:pPr>
              <w:spacing w:after="20" w:line="252" w:lineRule="auto"/>
            </w:pPr>
            <w:r>
              <w:rPr>
                <w:sz w:val="19"/>
              </w:rPr>
              <w:t>분류명 대신 균주별 반복 실험으로 판단</w:t>
            </w:r>
          </w:p>
        </w:tc>
      </w:tr>
      <w:tr>
        <w:tc>
          <w:tcPr>
            <w:tcW w:type="dxa" w:w="1500"/>
            <w:vAlign w:val="center"/>
            <w:tcMar>
              <w:top w:w="90" w:type="dxa"/>
              <w:start w:w="120" w:type="dxa"/>
              <w:bottom w:w="90" w:type="dxa"/>
              <w:end w:w="120" w:type="dxa"/>
            </w:tcMar>
            <w:shd w:fill="F8FAFC"/>
          </w:tcPr>
          <w:p>
            <w:pPr>
              <w:spacing w:after="20" w:line="252" w:lineRule="auto"/>
            </w:pPr>
            <w:r>
              <w:rPr>
                <w:sz w:val="19"/>
              </w:rPr>
              <w:t>배양성</w:t>
            </w:r>
          </w:p>
        </w:tc>
        <w:tc>
          <w:tcPr>
            <w:tcW w:type="dxa" w:w="4700"/>
            <w:vAlign w:val="center"/>
            <w:tcMar>
              <w:top w:w="90" w:type="dxa"/>
              <w:start w:w="120" w:type="dxa"/>
              <w:bottom w:w="90" w:type="dxa"/>
              <w:end w:w="120" w:type="dxa"/>
            </w:tcMar>
            <w:shd w:fill="F8FAFC"/>
          </w:tcPr>
          <w:p>
            <w:pPr>
              <w:spacing w:after="20" w:line="252" w:lineRule="auto"/>
            </w:pPr>
            <w:r>
              <w:rPr>
                <w:sz w:val="19"/>
              </w:rPr>
              <w:t>OD, CFU, 배양시간, 배지 비용과 재현성</w:t>
            </w:r>
          </w:p>
        </w:tc>
        <w:tc>
          <w:tcPr>
            <w:tcW w:type="dxa" w:w="3160"/>
            <w:vAlign w:val="center"/>
            <w:tcMar>
              <w:top w:w="90" w:type="dxa"/>
              <w:start w:w="120" w:type="dxa"/>
              <w:bottom w:w="90" w:type="dxa"/>
              <w:end w:w="120" w:type="dxa"/>
            </w:tcMar>
            <w:shd w:fill="F8FAFC"/>
          </w:tcPr>
          <w:p>
            <w:pPr>
              <w:spacing w:after="20" w:line="252" w:lineRule="auto"/>
            </w:pPr>
            <w:r>
              <w:rPr>
                <w:sz w:val="19"/>
              </w:rPr>
              <w:t>OD 단독 결과는 생균수·생산성 지표와 교차 확인</w:t>
            </w:r>
          </w:p>
        </w:tc>
      </w:tr>
    </w:tbl>
    <w:p>
      <w:pPr>
        <w:spacing w:after="0"/>
      </w:pPr>
    </w:p>
    <w:p>
      <w:pPr>
        <w:pStyle w:val="Heading1"/>
      </w:pPr>
      <w:r>
        <w:t>7. AI 기반 배양 최적화</w:t>
      </w:r>
    </w:p>
    <w:p>
      <w:pPr>
        <w:pStyle w:val="Heading2"/>
      </w:pPr>
      <w:r>
        <w:t>7.1 배지 변수와 반응값</w:t>
      </w:r>
    </w:p>
    <w:p>
      <w:r>
        <w:t>최종 부피 1,000 µL에서 고정 혼합액 250 µL를 유지하고, 20× stock인 peptone(P), meat extract(M), yeast extract(Y), glucose(G)의 투입량을 조절하며 나머지를 멸균수로 보충한다. 각 stock 50 µL는 각각 MRS 기준 최종농도 10, 8, 4, 20 mg/mL에 해당한다. 접종액을 별도로 넣는 경우 그 부피만큼 물을 줄인다. 주 반응값은 배지 blank를 뺀 OD로 정의하며, 측정 파장과 배양시간은 실험 기록 확정 후 기입한다.</w:t>
      </w:r>
    </w:p>
    <w:p>
      <w:pPr>
        <w:pStyle w:val="Heading2"/>
      </w:pPr>
      <w:r>
        <w:t>7.2 1차 12조건과 관측 OD</w:t>
      </w:r>
    </w:p>
    <w:tbl>
      <w:tblPr>
        <w:tblStyle w:val="TableGrid"/>
        <w:tblW w:type="dxa" w:w="9360"/>
        <w:tblLayout w:type="fixed"/>
        <w:tblLook w:firstColumn="1" w:firstRow="1" w:lastColumn="0" w:lastRow="0" w:noHBand="0" w:noVBand="1" w:val="04A0"/>
        <w:tblInd w:w="120" w:type="dxa"/>
      </w:tblPr>
      <w:tblGrid>
        <w:gridCol w:w="760"/>
        <w:gridCol w:w="1100"/>
        <w:gridCol w:w="1100"/>
        <w:gridCol w:w="1100"/>
        <w:gridCol w:w="1100"/>
        <w:gridCol w:w="1800"/>
        <w:gridCol w:w="2400"/>
      </w:tblGrid>
      <w:tr>
        <w:trPr>
          <w:tblHeader w:val="true"/>
        </w:trPr>
        <w:tc>
          <w:tcPr>
            <w:tcW w:type="dxa" w:w="760"/>
            <w:vAlign w:val="center"/>
            <w:tcMar>
              <w:top w:w="90" w:type="dxa"/>
              <w:start w:w="120" w:type="dxa"/>
              <w:bottom w:w="90" w:type="dxa"/>
              <w:end w:w="120" w:type="dxa"/>
            </w:tcMar>
            <w:shd w:fill="17365D"/>
          </w:tcPr>
          <w:p>
            <w:pPr>
              <w:spacing w:after="20" w:line="252" w:lineRule="auto"/>
            </w:pPr>
            <w:r>
              <w:rPr>
                <w:b/>
                <w:color w:val="FFFFFF"/>
                <w:sz w:val="19"/>
              </w:rPr>
              <w:t>조건</w:t>
            </w:r>
          </w:p>
        </w:tc>
        <w:tc>
          <w:tcPr>
            <w:tcW w:type="dxa" w:w="1100"/>
            <w:vAlign w:val="center"/>
            <w:tcMar>
              <w:top w:w="90" w:type="dxa"/>
              <w:start w:w="120" w:type="dxa"/>
              <w:bottom w:w="90" w:type="dxa"/>
              <w:end w:w="120" w:type="dxa"/>
            </w:tcMar>
            <w:shd w:fill="17365D"/>
          </w:tcPr>
          <w:p>
            <w:pPr>
              <w:spacing w:after="20" w:line="252" w:lineRule="auto"/>
            </w:pPr>
            <w:r>
              <w:rPr>
                <w:b/>
                <w:color w:val="FFFFFF"/>
                <w:sz w:val="19"/>
              </w:rPr>
              <w:t>P</w:t>
            </w:r>
          </w:p>
        </w:tc>
        <w:tc>
          <w:tcPr>
            <w:tcW w:type="dxa" w:w="1100"/>
            <w:vAlign w:val="center"/>
            <w:tcMar>
              <w:top w:w="90" w:type="dxa"/>
              <w:start w:w="120" w:type="dxa"/>
              <w:bottom w:w="90" w:type="dxa"/>
              <w:end w:w="120" w:type="dxa"/>
            </w:tcMar>
            <w:shd w:fill="17365D"/>
          </w:tcPr>
          <w:p>
            <w:pPr>
              <w:spacing w:after="20" w:line="252" w:lineRule="auto"/>
            </w:pPr>
            <w:r>
              <w:rPr>
                <w:b/>
                <w:color w:val="FFFFFF"/>
                <w:sz w:val="19"/>
              </w:rPr>
              <w:t>M</w:t>
            </w:r>
          </w:p>
        </w:tc>
        <w:tc>
          <w:tcPr>
            <w:tcW w:type="dxa" w:w="1100"/>
            <w:vAlign w:val="center"/>
            <w:tcMar>
              <w:top w:w="90" w:type="dxa"/>
              <w:start w:w="120" w:type="dxa"/>
              <w:bottom w:w="90" w:type="dxa"/>
              <w:end w:w="120" w:type="dxa"/>
            </w:tcMar>
            <w:shd w:fill="17365D"/>
          </w:tcPr>
          <w:p>
            <w:pPr>
              <w:spacing w:after="20" w:line="252" w:lineRule="auto"/>
            </w:pPr>
            <w:r>
              <w:rPr>
                <w:b/>
                <w:color w:val="FFFFFF"/>
                <w:sz w:val="19"/>
              </w:rPr>
              <w:t>Y</w:t>
            </w:r>
          </w:p>
        </w:tc>
        <w:tc>
          <w:tcPr>
            <w:tcW w:type="dxa" w:w="1100"/>
            <w:vAlign w:val="center"/>
            <w:tcMar>
              <w:top w:w="90" w:type="dxa"/>
              <w:start w:w="120" w:type="dxa"/>
              <w:bottom w:w="90" w:type="dxa"/>
              <w:end w:w="120" w:type="dxa"/>
            </w:tcMar>
            <w:shd w:fill="17365D"/>
          </w:tcPr>
          <w:p>
            <w:pPr>
              <w:spacing w:after="20" w:line="252" w:lineRule="auto"/>
            </w:pPr>
            <w:r>
              <w:rPr>
                <w:b/>
                <w:color w:val="FFFFFF"/>
                <w:sz w:val="19"/>
              </w:rPr>
              <w:t>G</w:t>
            </w:r>
          </w:p>
        </w:tc>
        <w:tc>
          <w:tcPr>
            <w:tcW w:type="dxa" w:w="1800"/>
            <w:vAlign w:val="center"/>
            <w:tcMar>
              <w:top w:w="90" w:type="dxa"/>
              <w:start w:w="120" w:type="dxa"/>
              <w:bottom w:w="90" w:type="dxa"/>
              <w:end w:w="120" w:type="dxa"/>
            </w:tcMar>
            <w:shd w:fill="17365D"/>
          </w:tcPr>
          <w:p>
            <w:pPr>
              <w:spacing w:after="20" w:line="252" w:lineRule="auto"/>
            </w:pPr>
            <w:r>
              <w:rPr>
                <w:b/>
                <w:color w:val="FFFFFF"/>
                <w:sz w:val="19"/>
              </w:rPr>
              <w:t>Water</w:t>
            </w:r>
          </w:p>
        </w:tc>
        <w:tc>
          <w:tcPr>
            <w:tcW w:type="dxa" w:w="2400"/>
            <w:vAlign w:val="center"/>
            <w:tcMar>
              <w:top w:w="90" w:type="dxa"/>
              <w:start w:w="120" w:type="dxa"/>
              <w:bottom w:w="90" w:type="dxa"/>
              <w:end w:w="120" w:type="dxa"/>
            </w:tcMar>
            <w:shd w:fill="17365D"/>
          </w:tcPr>
          <w:p>
            <w:pPr>
              <w:spacing w:after="20" w:line="252" w:lineRule="auto"/>
            </w:pPr>
            <w:r>
              <w:rPr>
                <w:b/>
                <w:color w:val="FFFFFF"/>
                <w:sz w:val="19"/>
              </w:rPr>
              <w:t>OD</w:t>
            </w:r>
          </w:p>
        </w:tc>
      </w:tr>
      <w:tr>
        <w:tc>
          <w:tcPr>
            <w:tcW w:type="dxa" w:w="760"/>
            <w:vAlign w:val="center"/>
            <w:tcMar>
              <w:top w:w="90" w:type="dxa"/>
              <w:start w:w="120" w:type="dxa"/>
              <w:bottom w:w="90" w:type="dxa"/>
              <w:end w:w="120" w:type="dxa"/>
            </w:tcMar>
          </w:tcPr>
          <w:p>
            <w:pPr>
              <w:spacing w:after="20" w:line="252" w:lineRule="auto"/>
            </w:pPr>
            <w:r>
              <w:rPr>
                <w:sz w:val="19"/>
              </w:rPr>
              <w:t>1</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800"/>
            <w:vAlign w:val="center"/>
            <w:tcMar>
              <w:top w:w="90" w:type="dxa"/>
              <w:start w:w="120" w:type="dxa"/>
              <w:bottom w:w="90" w:type="dxa"/>
              <w:end w:w="120" w:type="dxa"/>
            </w:tcMar>
          </w:tcPr>
          <w:p>
            <w:pPr>
              <w:spacing w:after="20" w:line="252" w:lineRule="auto"/>
            </w:pPr>
            <w:r>
              <w:rPr>
                <w:sz w:val="19"/>
              </w:rPr>
              <w:t>550</w:t>
            </w:r>
          </w:p>
        </w:tc>
        <w:tc>
          <w:tcPr>
            <w:tcW w:type="dxa" w:w="2400"/>
            <w:vAlign w:val="center"/>
            <w:tcMar>
              <w:top w:w="90" w:type="dxa"/>
              <w:start w:w="120" w:type="dxa"/>
              <w:bottom w:w="90" w:type="dxa"/>
              <w:end w:w="120" w:type="dxa"/>
            </w:tcMar>
          </w:tcPr>
          <w:p>
            <w:pPr>
              <w:spacing w:after="20" w:line="252" w:lineRule="auto"/>
            </w:pPr>
            <w:r>
              <w:rPr>
                <w:sz w:val="19"/>
              </w:rPr>
              <w:t>0.563</w:t>
            </w:r>
          </w:p>
        </w:tc>
      </w:tr>
      <w:tr>
        <w:tc>
          <w:tcPr>
            <w:tcW w:type="dxa" w:w="760"/>
            <w:vAlign w:val="center"/>
            <w:tcMar>
              <w:top w:w="90" w:type="dxa"/>
              <w:start w:w="120" w:type="dxa"/>
              <w:bottom w:w="90" w:type="dxa"/>
              <w:end w:w="120" w:type="dxa"/>
            </w:tcMar>
            <w:shd w:fill="F8FAFC"/>
          </w:tcPr>
          <w:p>
            <w:pPr>
              <w:spacing w:after="20" w:line="252" w:lineRule="auto"/>
            </w:pPr>
            <w:r>
              <w:rPr>
                <w:sz w:val="19"/>
              </w:rPr>
              <w:t>2</w:t>
            </w:r>
          </w:p>
        </w:tc>
        <w:tc>
          <w:tcPr>
            <w:tcW w:type="dxa" w:w="1100"/>
            <w:vAlign w:val="center"/>
            <w:tcMar>
              <w:top w:w="90" w:type="dxa"/>
              <w:start w:w="120" w:type="dxa"/>
              <w:bottom w:w="90" w:type="dxa"/>
              <w:end w:w="120" w:type="dxa"/>
            </w:tcMar>
            <w:shd w:fill="F8FAFC"/>
          </w:tcPr>
          <w:p>
            <w:pPr>
              <w:spacing w:after="20" w:line="252" w:lineRule="auto"/>
            </w:pPr>
            <w:r>
              <w:rPr>
                <w:sz w:val="19"/>
              </w:rPr>
              <w:t>25</w:t>
            </w:r>
          </w:p>
        </w:tc>
        <w:tc>
          <w:tcPr>
            <w:tcW w:type="dxa" w:w="1100"/>
            <w:vAlign w:val="center"/>
            <w:tcMar>
              <w:top w:w="90" w:type="dxa"/>
              <w:start w:w="120" w:type="dxa"/>
              <w:bottom w:w="90" w:type="dxa"/>
              <w:end w:w="120" w:type="dxa"/>
            </w:tcMar>
            <w:shd w:fill="F8FAFC"/>
          </w:tcPr>
          <w:p>
            <w:pPr>
              <w:spacing w:after="20" w:line="252" w:lineRule="auto"/>
            </w:pPr>
            <w:r>
              <w:rPr>
                <w:sz w:val="19"/>
              </w:rPr>
              <w:t>25</w:t>
            </w:r>
          </w:p>
        </w:tc>
        <w:tc>
          <w:tcPr>
            <w:tcW w:type="dxa" w:w="1100"/>
            <w:vAlign w:val="center"/>
            <w:tcMar>
              <w:top w:w="90" w:type="dxa"/>
              <w:start w:w="120" w:type="dxa"/>
              <w:bottom w:w="90" w:type="dxa"/>
              <w:end w:w="120" w:type="dxa"/>
            </w:tcMar>
            <w:shd w:fill="F8FAFC"/>
          </w:tcPr>
          <w:p>
            <w:pPr>
              <w:spacing w:after="20" w:line="252" w:lineRule="auto"/>
            </w:pPr>
            <w:r>
              <w:rPr>
                <w:sz w:val="19"/>
              </w:rPr>
              <w:t>25</w:t>
            </w:r>
          </w:p>
        </w:tc>
        <w:tc>
          <w:tcPr>
            <w:tcW w:type="dxa" w:w="1100"/>
            <w:vAlign w:val="center"/>
            <w:tcMar>
              <w:top w:w="90" w:type="dxa"/>
              <w:start w:w="120" w:type="dxa"/>
              <w:bottom w:w="90" w:type="dxa"/>
              <w:end w:w="120" w:type="dxa"/>
            </w:tcMar>
            <w:shd w:fill="F8FAFC"/>
          </w:tcPr>
          <w:p>
            <w:pPr>
              <w:spacing w:after="20" w:line="252" w:lineRule="auto"/>
            </w:pPr>
            <w:r>
              <w:rPr>
                <w:sz w:val="19"/>
              </w:rPr>
              <w:t>25</w:t>
            </w:r>
          </w:p>
        </w:tc>
        <w:tc>
          <w:tcPr>
            <w:tcW w:type="dxa" w:w="1800"/>
            <w:vAlign w:val="center"/>
            <w:tcMar>
              <w:top w:w="90" w:type="dxa"/>
              <w:start w:w="120" w:type="dxa"/>
              <w:bottom w:w="90" w:type="dxa"/>
              <w:end w:w="120" w:type="dxa"/>
            </w:tcMar>
            <w:shd w:fill="F8FAFC"/>
          </w:tcPr>
          <w:p>
            <w:pPr>
              <w:spacing w:after="20" w:line="252" w:lineRule="auto"/>
            </w:pPr>
            <w:r>
              <w:rPr>
                <w:sz w:val="19"/>
              </w:rPr>
              <w:t>650</w:t>
            </w:r>
          </w:p>
        </w:tc>
        <w:tc>
          <w:tcPr>
            <w:tcW w:type="dxa" w:w="2400"/>
            <w:vAlign w:val="center"/>
            <w:tcMar>
              <w:top w:w="90" w:type="dxa"/>
              <w:start w:w="120" w:type="dxa"/>
              <w:bottom w:w="90" w:type="dxa"/>
              <w:end w:w="120" w:type="dxa"/>
            </w:tcMar>
            <w:shd w:fill="F8FAFC"/>
          </w:tcPr>
          <w:p>
            <w:pPr>
              <w:spacing w:after="20" w:line="252" w:lineRule="auto"/>
            </w:pPr>
            <w:r>
              <w:rPr>
                <w:sz w:val="19"/>
              </w:rPr>
              <w:t>0.621</w:t>
            </w:r>
          </w:p>
        </w:tc>
      </w:tr>
      <w:tr>
        <w:tc>
          <w:tcPr>
            <w:tcW w:type="dxa" w:w="760"/>
            <w:vAlign w:val="center"/>
            <w:tcMar>
              <w:top w:w="90" w:type="dxa"/>
              <w:start w:w="120" w:type="dxa"/>
              <w:bottom w:w="90" w:type="dxa"/>
              <w:end w:w="120" w:type="dxa"/>
            </w:tcMar>
          </w:tcPr>
          <w:p>
            <w:pPr>
              <w:spacing w:after="20" w:line="252" w:lineRule="auto"/>
            </w:pPr>
            <w:r>
              <w:rPr>
                <w:sz w:val="19"/>
              </w:rPr>
              <w:t>3</w:t>
            </w:r>
          </w:p>
        </w:tc>
        <w:tc>
          <w:tcPr>
            <w:tcW w:type="dxa" w:w="1100"/>
            <w:vAlign w:val="center"/>
            <w:tcMar>
              <w:top w:w="90" w:type="dxa"/>
              <w:start w:w="120" w:type="dxa"/>
              <w:bottom w:w="90" w:type="dxa"/>
              <w:end w:w="120" w:type="dxa"/>
            </w:tcMar>
          </w:tcPr>
          <w:p>
            <w:pPr>
              <w:spacing w:after="20" w:line="252" w:lineRule="auto"/>
            </w:pPr>
            <w:r>
              <w:rPr>
                <w:sz w:val="19"/>
              </w:rPr>
              <w:t>75</w:t>
            </w:r>
          </w:p>
        </w:tc>
        <w:tc>
          <w:tcPr>
            <w:tcW w:type="dxa" w:w="1100"/>
            <w:vAlign w:val="center"/>
            <w:tcMar>
              <w:top w:w="90" w:type="dxa"/>
              <w:start w:w="120" w:type="dxa"/>
              <w:bottom w:w="90" w:type="dxa"/>
              <w:end w:w="120" w:type="dxa"/>
            </w:tcMar>
          </w:tcPr>
          <w:p>
            <w:pPr>
              <w:spacing w:after="20" w:line="252" w:lineRule="auto"/>
            </w:pPr>
            <w:r>
              <w:rPr>
                <w:sz w:val="19"/>
              </w:rPr>
              <w:t>75</w:t>
            </w:r>
          </w:p>
        </w:tc>
        <w:tc>
          <w:tcPr>
            <w:tcW w:type="dxa" w:w="1100"/>
            <w:vAlign w:val="center"/>
            <w:tcMar>
              <w:top w:w="90" w:type="dxa"/>
              <w:start w:w="120" w:type="dxa"/>
              <w:bottom w:w="90" w:type="dxa"/>
              <w:end w:w="120" w:type="dxa"/>
            </w:tcMar>
          </w:tcPr>
          <w:p>
            <w:pPr>
              <w:spacing w:after="20" w:line="252" w:lineRule="auto"/>
            </w:pPr>
            <w:r>
              <w:rPr>
                <w:sz w:val="19"/>
              </w:rPr>
              <w:t>75</w:t>
            </w:r>
          </w:p>
        </w:tc>
        <w:tc>
          <w:tcPr>
            <w:tcW w:type="dxa" w:w="1100"/>
            <w:vAlign w:val="center"/>
            <w:tcMar>
              <w:top w:w="90" w:type="dxa"/>
              <w:start w:w="120" w:type="dxa"/>
              <w:bottom w:w="90" w:type="dxa"/>
              <w:end w:w="120" w:type="dxa"/>
            </w:tcMar>
          </w:tcPr>
          <w:p>
            <w:pPr>
              <w:spacing w:after="20" w:line="252" w:lineRule="auto"/>
            </w:pPr>
            <w:r>
              <w:rPr>
                <w:sz w:val="19"/>
              </w:rPr>
              <w:t>75</w:t>
            </w:r>
          </w:p>
        </w:tc>
        <w:tc>
          <w:tcPr>
            <w:tcW w:type="dxa" w:w="1800"/>
            <w:vAlign w:val="center"/>
            <w:tcMar>
              <w:top w:w="90" w:type="dxa"/>
              <w:start w:w="120" w:type="dxa"/>
              <w:bottom w:w="90" w:type="dxa"/>
              <w:end w:w="120" w:type="dxa"/>
            </w:tcMar>
          </w:tcPr>
          <w:p>
            <w:pPr>
              <w:spacing w:after="20" w:line="252" w:lineRule="auto"/>
            </w:pPr>
            <w:r>
              <w:rPr>
                <w:sz w:val="19"/>
              </w:rPr>
              <w:t>450</w:t>
            </w:r>
          </w:p>
        </w:tc>
        <w:tc>
          <w:tcPr>
            <w:tcW w:type="dxa" w:w="2400"/>
            <w:vAlign w:val="center"/>
            <w:tcMar>
              <w:top w:w="90" w:type="dxa"/>
              <w:start w:w="120" w:type="dxa"/>
              <w:bottom w:w="90" w:type="dxa"/>
              <w:end w:w="120" w:type="dxa"/>
            </w:tcMar>
          </w:tcPr>
          <w:p>
            <w:pPr>
              <w:spacing w:after="20" w:line="252" w:lineRule="auto"/>
            </w:pPr>
            <w:r>
              <w:rPr>
                <w:sz w:val="19"/>
              </w:rPr>
              <w:t>0.687</w:t>
            </w:r>
          </w:p>
        </w:tc>
      </w:tr>
      <w:tr>
        <w:tc>
          <w:tcPr>
            <w:tcW w:type="dxa" w:w="760"/>
            <w:vAlign w:val="center"/>
            <w:tcMar>
              <w:top w:w="90" w:type="dxa"/>
              <w:start w:w="120" w:type="dxa"/>
              <w:bottom w:w="90" w:type="dxa"/>
              <w:end w:w="120" w:type="dxa"/>
            </w:tcMar>
            <w:shd w:fill="F8FAFC"/>
          </w:tcPr>
          <w:p>
            <w:pPr>
              <w:spacing w:after="20" w:line="252" w:lineRule="auto"/>
            </w:pPr>
            <w:r>
              <w:rPr>
                <w:sz w:val="19"/>
              </w:rPr>
              <w:t>4</w:t>
            </w:r>
          </w:p>
        </w:tc>
        <w:tc>
          <w:tcPr>
            <w:tcW w:type="dxa" w:w="1100"/>
            <w:vAlign w:val="center"/>
            <w:tcMar>
              <w:top w:w="90" w:type="dxa"/>
              <w:start w:w="120" w:type="dxa"/>
              <w:bottom w:w="90" w:type="dxa"/>
              <w:end w:w="120" w:type="dxa"/>
            </w:tcMar>
            <w:shd w:fill="F8FAFC"/>
          </w:tcPr>
          <w:p>
            <w:pPr>
              <w:spacing w:after="20" w:line="252" w:lineRule="auto"/>
            </w:pPr>
            <w:r>
              <w:rPr>
                <w:sz w:val="19"/>
              </w:rPr>
              <w:t>100</w:t>
            </w:r>
          </w:p>
        </w:tc>
        <w:tc>
          <w:tcPr>
            <w:tcW w:type="dxa" w:w="1100"/>
            <w:vAlign w:val="center"/>
            <w:tcMar>
              <w:top w:w="90" w:type="dxa"/>
              <w:start w:w="120" w:type="dxa"/>
              <w:bottom w:w="90" w:type="dxa"/>
              <w:end w:w="120" w:type="dxa"/>
            </w:tcMar>
            <w:shd w:fill="F8FAFC"/>
          </w:tcPr>
          <w:p>
            <w:pPr>
              <w:spacing w:after="20" w:line="252" w:lineRule="auto"/>
            </w:pPr>
            <w:r>
              <w:rPr>
                <w:sz w:val="19"/>
              </w:rPr>
              <w:t>100</w:t>
            </w:r>
          </w:p>
        </w:tc>
        <w:tc>
          <w:tcPr>
            <w:tcW w:type="dxa" w:w="1100"/>
            <w:vAlign w:val="center"/>
            <w:tcMar>
              <w:top w:w="90" w:type="dxa"/>
              <w:start w:w="120" w:type="dxa"/>
              <w:bottom w:w="90" w:type="dxa"/>
              <w:end w:w="120" w:type="dxa"/>
            </w:tcMar>
            <w:shd w:fill="F8FAFC"/>
          </w:tcPr>
          <w:p>
            <w:pPr>
              <w:spacing w:after="20" w:line="252" w:lineRule="auto"/>
            </w:pPr>
            <w:r>
              <w:rPr>
                <w:sz w:val="19"/>
              </w:rPr>
              <w:t>100</w:t>
            </w:r>
          </w:p>
        </w:tc>
        <w:tc>
          <w:tcPr>
            <w:tcW w:type="dxa" w:w="1100"/>
            <w:vAlign w:val="center"/>
            <w:tcMar>
              <w:top w:w="90" w:type="dxa"/>
              <w:start w:w="120" w:type="dxa"/>
              <w:bottom w:w="90" w:type="dxa"/>
              <w:end w:w="120" w:type="dxa"/>
            </w:tcMar>
            <w:shd w:fill="F8FAFC"/>
          </w:tcPr>
          <w:p>
            <w:pPr>
              <w:spacing w:after="20" w:line="252" w:lineRule="auto"/>
            </w:pPr>
            <w:r>
              <w:rPr>
                <w:sz w:val="19"/>
              </w:rPr>
              <w:t>100</w:t>
            </w:r>
          </w:p>
        </w:tc>
        <w:tc>
          <w:tcPr>
            <w:tcW w:type="dxa" w:w="1800"/>
            <w:vAlign w:val="center"/>
            <w:tcMar>
              <w:top w:w="90" w:type="dxa"/>
              <w:start w:w="120" w:type="dxa"/>
              <w:bottom w:w="90" w:type="dxa"/>
              <w:end w:w="120" w:type="dxa"/>
            </w:tcMar>
            <w:shd w:fill="F8FAFC"/>
          </w:tcPr>
          <w:p>
            <w:pPr>
              <w:spacing w:after="20" w:line="252" w:lineRule="auto"/>
            </w:pPr>
            <w:r>
              <w:rPr>
                <w:sz w:val="19"/>
              </w:rPr>
              <w:t>350</w:t>
            </w:r>
          </w:p>
        </w:tc>
        <w:tc>
          <w:tcPr>
            <w:tcW w:type="dxa" w:w="2400"/>
            <w:vAlign w:val="center"/>
            <w:tcMar>
              <w:top w:w="90" w:type="dxa"/>
              <w:start w:w="120" w:type="dxa"/>
              <w:bottom w:w="90" w:type="dxa"/>
              <w:end w:w="120" w:type="dxa"/>
            </w:tcMar>
            <w:shd w:fill="F8FAFC"/>
          </w:tcPr>
          <w:p>
            <w:pPr>
              <w:spacing w:after="20" w:line="252" w:lineRule="auto"/>
            </w:pPr>
            <w:r>
              <w:rPr>
                <w:sz w:val="19"/>
              </w:rPr>
              <w:t>0.712</w:t>
            </w:r>
          </w:p>
        </w:tc>
      </w:tr>
      <w:tr>
        <w:tc>
          <w:tcPr>
            <w:tcW w:type="dxa" w:w="760"/>
            <w:vAlign w:val="center"/>
            <w:tcMar>
              <w:top w:w="90" w:type="dxa"/>
              <w:start w:w="120" w:type="dxa"/>
              <w:bottom w:w="90" w:type="dxa"/>
              <w:end w:w="120" w:type="dxa"/>
            </w:tcMar>
          </w:tcPr>
          <w:p>
            <w:pPr>
              <w:spacing w:after="20" w:line="252" w:lineRule="auto"/>
            </w:pPr>
            <w:r>
              <w:rPr>
                <w:sz w:val="19"/>
              </w:rPr>
              <w:t>5</w:t>
            </w:r>
          </w:p>
        </w:tc>
        <w:tc>
          <w:tcPr>
            <w:tcW w:type="dxa" w:w="1100"/>
            <w:vAlign w:val="center"/>
            <w:tcMar>
              <w:top w:w="90" w:type="dxa"/>
              <w:start w:w="120" w:type="dxa"/>
              <w:bottom w:w="90" w:type="dxa"/>
              <w:end w:w="120" w:type="dxa"/>
            </w:tcMar>
          </w:tcPr>
          <w:p>
            <w:pPr>
              <w:spacing w:after="20" w:line="252" w:lineRule="auto"/>
            </w:pPr>
            <w:r>
              <w:rPr>
                <w:sz w:val="19"/>
              </w:rPr>
              <w:t>100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800"/>
            <w:vAlign w:val="center"/>
            <w:tcMar>
              <w:top w:w="90" w:type="dxa"/>
              <w:start w:w="120" w:type="dxa"/>
              <w:bottom w:w="90" w:type="dxa"/>
              <w:end w:w="120" w:type="dxa"/>
            </w:tcMar>
          </w:tcPr>
          <w:p>
            <w:pPr>
              <w:spacing w:after="20" w:line="252" w:lineRule="auto"/>
            </w:pPr>
            <w:r>
              <w:rPr>
                <w:sz w:val="19"/>
              </w:rPr>
              <w:t>500</w:t>
            </w:r>
          </w:p>
        </w:tc>
        <w:tc>
          <w:tcPr>
            <w:tcW w:type="dxa" w:w="2400"/>
            <w:vAlign w:val="center"/>
            <w:tcMar>
              <w:top w:w="90" w:type="dxa"/>
              <w:start w:w="120" w:type="dxa"/>
              <w:bottom w:w="90" w:type="dxa"/>
              <w:end w:w="120" w:type="dxa"/>
            </w:tcMar>
          </w:tcPr>
          <w:p>
            <w:pPr>
              <w:spacing w:after="20" w:line="252" w:lineRule="auto"/>
            </w:pPr>
            <w:r>
              <w:rPr>
                <w:sz w:val="19"/>
              </w:rPr>
              <w:t>0.456</w:t>
            </w:r>
          </w:p>
        </w:tc>
      </w:tr>
      <w:tr>
        <w:tc>
          <w:tcPr>
            <w:tcW w:type="dxa" w:w="760"/>
            <w:vAlign w:val="center"/>
            <w:tcMar>
              <w:top w:w="90" w:type="dxa"/>
              <w:start w:w="120" w:type="dxa"/>
              <w:bottom w:w="90" w:type="dxa"/>
              <w:end w:w="120" w:type="dxa"/>
            </w:tcMar>
            <w:shd w:fill="F8FAFC"/>
          </w:tcPr>
          <w:p>
            <w:pPr>
              <w:spacing w:after="20" w:line="252" w:lineRule="auto"/>
            </w:pPr>
            <w:r>
              <w:rPr>
                <w:sz w:val="19"/>
              </w:rPr>
              <w:t>6</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100"/>
            <w:vAlign w:val="center"/>
            <w:tcMar>
              <w:top w:w="90" w:type="dxa"/>
              <w:start w:w="120" w:type="dxa"/>
              <w:bottom w:w="90" w:type="dxa"/>
              <w:end w:w="120" w:type="dxa"/>
            </w:tcMar>
            <w:shd w:fill="F8FAFC"/>
          </w:tcPr>
          <w:p>
            <w:pPr>
              <w:spacing w:after="20" w:line="252" w:lineRule="auto"/>
            </w:pPr>
            <w:r>
              <w:rPr>
                <w:sz w:val="19"/>
              </w:rPr>
              <w:t>100</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800"/>
            <w:vAlign w:val="center"/>
            <w:tcMar>
              <w:top w:w="90" w:type="dxa"/>
              <w:start w:w="120" w:type="dxa"/>
              <w:bottom w:w="90" w:type="dxa"/>
              <w:end w:w="120" w:type="dxa"/>
            </w:tcMar>
            <w:shd w:fill="F8FAFC"/>
          </w:tcPr>
          <w:p>
            <w:pPr>
              <w:spacing w:after="20" w:line="252" w:lineRule="auto"/>
            </w:pPr>
            <w:r>
              <w:rPr>
                <w:sz w:val="19"/>
              </w:rPr>
              <w:t>500</w:t>
            </w:r>
          </w:p>
        </w:tc>
        <w:tc>
          <w:tcPr>
            <w:tcW w:type="dxa" w:w="2400"/>
            <w:vAlign w:val="center"/>
            <w:tcMar>
              <w:top w:w="90" w:type="dxa"/>
              <w:start w:w="120" w:type="dxa"/>
              <w:bottom w:w="90" w:type="dxa"/>
              <w:end w:w="120" w:type="dxa"/>
            </w:tcMar>
            <w:shd w:fill="F8FAFC"/>
          </w:tcPr>
          <w:p>
            <w:pPr>
              <w:spacing w:after="20" w:line="252" w:lineRule="auto"/>
            </w:pPr>
            <w:r>
              <w:rPr>
                <w:sz w:val="19"/>
              </w:rPr>
              <w:t>0.758</w:t>
            </w:r>
          </w:p>
        </w:tc>
      </w:tr>
      <w:tr>
        <w:tc>
          <w:tcPr>
            <w:tcW w:type="dxa" w:w="760"/>
            <w:vAlign w:val="center"/>
            <w:tcMar>
              <w:top w:w="90" w:type="dxa"/>
              <w:start w:w="120" w:type="dxa"/>
              <w:bottom w:w="90" w:type="dxa"/>
              <w:end w:w="120" w:type="dxa"/>
            </w:tcMar>
          </w:tcPr>
          <w:p>
            <w:pPr>
              <w:spacing w:after="20" w:line="252" w:lineRule="auto"/>
            </w:pPr>
            <w:r>
              <w:rPr>
                <w:sz w:val="19"/>
              </w:rPr>
              <w:t>7</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100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800"/>
            <w:vAlign w:val="center"/>
            <w:tcMar>
              <w:top w:w="90" w:type="dxa"/>
              <w:start w:w="120" w:type="dxa"/>
              <w:bottom w:w="90" w:type="dxa"/>
              <w:end w:w="120" w:type="dxa"/>
            </w:tcMar>
          </w:tcPr>
          <w:p>
            <w:pPr>
              <w:spacing w:after="20" w:line="252" w:lineRule="auto"/>
            </w:pPr>
            <w:r>
              <w:rPr>
                <w:sz w:val="19"/>
              </w:rPr>
              <w:t>500</w:t>
            </w:r>
          </w:p>
        </w:tc>
        <w:tc>
          <w:tcPr>
            <w:tcW w:type="dxa" w:w="2400"/>
            <w:vAlign w:val="center"/>
            <w:tcMar>
              <w:top w:w="90" w:type="dxa"/>
              <w:start w:w="120" w:type="dxa"/>
              <w:bottom w:w="90" w:type="dxa"/>
              <w:end w:w="120" w:type="dxa"/>
            </w:tcMar>
          </w:tcPr>
          <w:p>
            <w:pPr>
              <w:spacing w:after="20" w:line="252" w:lineRule="auto"/>
            </w:pPr>
            <w:r>
              <w:rPr>
                <w:sz w:val="19"/>
              </w:rPr>
              <w:t>0.652</w:t>
            </w:r>
          </w:p>
        </w:tc>
      </w:tr>
      <w:tr>
        <w:tc>
          <w:tcPr>
            <w:tcW w:type="dxa" w:w="760"/>
            <w:vAlign w:val="center"/>
            <w:tcMar>
              <w:top w:w="90" w:type="dxa"/>
              <w:start w:w="120" w:type="dxa"/>
              <w:bottom w:w="90" w:type="dxa"/>
              <w:end w:w="120" w:type="dxa"/>
            </w:tcMar>
            <w:shd w:fill="F8FAFC"/>
          </w:tcPr>
          <w:p>
            <w:pPr>
              <w:spacing w:after="20" w:line="252" w:lineRule="auto"/>
            </w:pPr>
            <w:r>
              <w:rPr>
                <w:sz w:val="19"/>
              </w:rPr>
              <w:t>8</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100"/>
            <w:vAlign w:val="center"/>
            <w:tcMar>
              <w:top w:w="90" w:type="dxa"/>
              <w:start w:w="120" w:type="dxa"/>
              <w:bottom w:w="90" w:type="dxa"/>
              <w:end w:w="120" w:type="dxa"/>
            </w:tcMar>
            <w:shd w:fill="F8FAFC"/>
          </w:tcPr>
          <w:p>
            <w:pPr>
              <w:spacing w:after="20" w:line="252" w:lineRule="auto"/>
            </w:pPr>
            <w:r>
              <w:rPr>
                <w:sz w:val="19"/>
              </w:rPr>
              <w:t>100</w:t>
            </w:r>
          </w:p>
        </w:tc>
        <w:tc>
          <w:tcPr>
            <w:tcW w:type="dxa" w:w="1800"/>
            <w:vAlign w:val="center"/>
            <w:tcMar>
              <w:top w:w="90" w:type="dxa"/>
              <w:start w:w="120" w:type="dxa"/>
              <w:bottom w:w="90" w:type="dxa"/>
              <w:end w:w="120" w:type="dxa"/>
            </w:tcMar>
            <w:shd w:fill="F8FAFC"/>
          </w:tcPr>
          <w:p>
            <w:pPr>
              <w:spacing w:after="20" w:line="252" w:lineRule="auto"/>
            </w:pPr>
            <w:r>
              <w:rPr>
                <w:sz w:val="19"/>
              </w:rPr>
              <w:t>500</w:t>
            </w:r>
          </w:p>
        </w:tc>
        <w:tc>
          <w:tcPr>
            <w:tcW w:type="dxa" w:w="2400"/>
            <w:vAlign w:val="center"/>
            <w:tcMar>
              <w:top w:w="90" w:type="dxa"/>
              <w:start w:w="120" w:type="dxa"/>
              <w:bottom w:w="90" w:type="dxa"/>
              <w:end w:w="120" w:type="dxa"/>
            </w:tcMar>
            <w:shd w:fill="F8FAFC"/>
          </w:tcPr>
          <w:p>
            <w:pPr>
              <w:spacing w:after="20" w:line="252" w:lineRule="auto"/>
            </w:pPr>
            <w:r>
              <w:rPr>
                <w:sz w:val="19"/>
              </w:rPr>
              <w:t>0.522</w:t>
            </w:r>
          </w:p>
        </w:tc>
      </w:tr>
      <w:tr>
        <w:tc>
          <w:tcPr>
            <w:tcW w:type="dxa" w:w="760"/>
            <w:vAlign w:val="center"/>
            <w:tcMar>
              <w:top w:w="90" w:type="dxa"/>
              <w:start w:w="120" w:type="dxa"/>
              <w:bottom w:w="90" w:type="dxa"/>
              <w:end w:w="120" w:type="dxa"/>
            </w:tcMar>
          </w:tcPr>
          <w:p>
            <w:pPr>
              <w:spacing w:after="20" w:line="252" w:lineRule="auto"/>
            </w:pPr>
            <w:r>
              <w:rPr>
                <w:sz w:val="19"/>
              </w:rPr>
              <w:t>9</w:t>
            </w:r>
          </w:p>
        </w:tc>
        <w:tc>
          <w:tcPr>
            <w:tcW w:type="dxa" w:w="1100"/>
            <w:vAlign w:val="center"/>
            <w:tcMar>
              <w:top w:w="90" w:type="dxa"/>
              <w:start w:w="120" w:type="dxa"/>
              <w:bottom w:w="90" w:type="dxa"/>
              <w:end w:w="120" w:type="dxa"/>
            </w:tcMar>
          </w:tcPr>
          <w:p>
            <w:pPr>
              <w:spacing w:after="20" w:line="252" w:lineRule="auto"/>
            </w:pPr>
            <w:r>
              <w:rPr>
                <w:sz w:val="19"/>
              </w:rPr>
              <w:t>75</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75</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800"/>
            <w:vAlign w:val="center"/>
            <w:tcMar>
              <w:top w:w="90" w:type="dxa"/>
              <w:start w:w="120" w:type="dxa"/>
              <w:bottom w:w="90" w:type="dxa"/>
              <w:end w:w="120" w:type="dxa"/>
            </w:tcMar>
          </w:tcPr>
          <w:p>
            <w:pPr>
              <w:spacing w:after="20" w:line="252" w:lineRule="auto"/>
            </w:pPr>
            <w:r>
              <w:rPr>
                <w:sz w:val="19"/>
              </w:rPr>
              <w:t>500</w:t>
            </w:r>
          </w:p>
        </w:tc>
        <w:tc>
          <w:tcPr>
            <w:tcW w:type="dxa" w:w="2400"/>
            <w:vAlign w:val="center"/>
            <w:tcMar>
              <w:top w:w="90" w:type="dxa"/>
              <w:start w:w="120" w:type="dxa"/>
              <w:bottom w:w="90" w:type="dxa"/>
              <w:end w:w="120" w:type="dxa"/>
            </w:tcMar>
          </w:tcPr>
          <w:p>
            <w:pPr>
              <w:spacing w:after="20" w:line="252" w:lineRule="auto"/>
            </w:pPr>
            <w:r>
              <w:rPr>
                <w:sz w:val="19"/>
              </w:rPr>
              <w:t>0.459</w:t>
            </w:r>
          </w:p>
        </w:tc>
      </w:tr>
      <w:tr>
        <w:tc>
          <w:tcPr>
            <w:tcW w:type="dxa" w:w="760"/>
            <w:vAlign w:val="center"/>
            <w:tcMar>
              <w:top w:w="90" w:type="dxa"/>
              <w:start w:w="120" w:type="dxa"/>
              <w:bottom w:w="90" w:type="dxa"/>
              <w:end w:w="120" w:type="dxa"/>
            </w:tcMar>
            <w:shd w:fill="F8FAFC"/>
          </w:tcPr>
          <w:p>
            <w:pPr>
              <w:spacing w:after="20" w:line="252" w:lineRule="auto"/>
            </w:pPr>
            <w:r>
              <w:rPr>
                <w:sz w:val="19"/>
              </w:rPr>
              <w:t>10</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100"/>
            <w:vAlign w:val="center"/>
            <w:tcMar>
              <w:top w:w="90" w:type="dxa"/>
              <w:start w:w="120" w:type="dxa"/>
              <w:bottom w:w="90" w:type="dxa"/>
              <w:end w:w="120" w:type="dxa"/>
            </w:tcMar>
            <w:shd w:fill="F8FAFC"/>
          </w:tcPr>
          <w:p>
            <w:pPr>
              <w:spacing w:after="20" w:line="252" w:lineRule="auto"/>
            </w:pPr>
            <w:r>
              <w:rPr>
                <w:sz w:val="19"/>
              </w:rPr>
              <w:t>75</w:t>
            </w:r>
          </w:p>
        </w:tc>
        <w:tc>
          <w:tcPr>
            <w:tcW w:type="dxa" w:w="1100"/>
            <w:vAlign w:val="center"/>
            <w:tcMar>
              <w:top w:w="90" w:type="dxa"/>
              <w:start w:w="120" w:type="dxa"/>
              <w:bottom w:w="90" w:type="dxa"/>
              <w:end w:w="120" w:type="dxa"/>
            </w:tcMar>
            <w:shd w:fill="F8FAFC"/>
          </w:tcPr>
          <w:p>
            <w:pPr>
              <w:spacing w:after="20" w:line="252" w:lineRule="auto"/>
            </w:pPr>
            <w:r>
              <w:rPr>
                <w:sz w:val="19"/>
              </w:rPr>
              <w:t>75</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800"/>
            <w:vAlign w:val="center"/>
            <w:tcMar>
              <w:top w:w="90" w:type="dxa"/>
              <w:start w:w="120" w:type="dxa"/>
              <w:bottom w:w="90" w:type="dxa"/>
              <w:end w:w="120" w:type="dxa"/>
            </w:tcMar>
            <w:shd w:fill="F8FAFC"/>
          </w:tcPr>
          <w:p>
            <w:pPr>
              <w:spacing w:after="20" w:line="252" w:lineRule="auto"/>
            </w:pPr>
            <w:r>
              <w:rPr>
                <w:sz w:val="19"/>
              </w:rPr>
              <w:t>500</w:t>
            </w:r>
          </w:p>
        </w:tc>
        <w:tc>
          <w:tcPr>
            <w:tcW w:type="dxa" w:w="2400"/>
            <w:vAlign w:val="center"/>
            <w:tcMar>
              <w:top w:w="90" w:type="dxa"/>
              <w:start w:w="120" w:type="dxa"/>
              <w:bottom w:w="90" w:type="dxa"/>
              <w:end w:w="120" w:type="dxa"/>
            </w:tcMar>
            <w:shd w:fill="F8FAFC"/>
          </w:tcPr>
          <w:p>
            <w:pPr>
              <w:spacing w:after="20" w:line="252" w:lineRule="auto"/>
            </w:pPr>
            <w:r>
              <w:rPr>
                <w:sz w:val="19"/>
              </w:rPr>
              <w:t>0.589</w:t>
            </w:r>
          </w:p>
        </w:tc>
      </w:tr>
      <w:tr>
        <w:tc>
          <w:tcPr>
            <w:tcW w:type="dxa" w:w="760"/>
            <w:vAlign w:val="center"/>
            <w:tcMar>
              <w:top w:w="90" w:type="dxa"/>
              <w:start w:w="120" w:type="dxa"/>
              <w:bottom w:w="90" w:type="dxa"/>
              <w:end w:w="120" w:type="dxa"/>
            </w:tcMar>
          </w:tcPr>
          <w:p>
            <w:pPr>
              <w:spacing w:after="20" w:line="252" w:lineRule="auto"/>
            </w:pPr>
            <w:r>
              <w:rPr>
                <w:sz w:val="19"/>
              </w:rPr>
              <w:t>11</w:t>
            </w:r>
          </w:p>
        </w:tc>
        <w:tc>
          <w:tcPr>
            <w:tcW w:type="dxa" w:w="1100"/>
            <w:vAlign w:val="center"/>
            <w:tcMar>
              <w:top w:w="90" w:type="dxa"/>
              <w:start w:w="120" w:type="dxa"/>
              <w:bottom w:w="90" w:type="dxa"/>
              <w:end w:w="120" w:type="dxa"/>
            </w:tcMar>
          </w:tcPr>
          <w:p>
            <w:pPr>
              <w:spacing w:after="20" w:line="252" w:lineRule="auto"/>
            </w:pPr>
            <w:r>
              <w:rPr>
                <w:sz w:val="19"/>
              </w:rPr>
              <w:t>75</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50</w:t>
            </w:r>
          </w:p>
        </w:tc>
        <w:tc>
          <w:tcPr>
            <w:tcW w:type="dxa" w:w="1100"/>
            <w:vAlign w:val="center"/>
            <w:tcMar>
              <w:top w:w="90" w:type="dxa"/>
              <w:start w:w="120" w:type="dxa"/>
              <w:bottom w:w="90" w:type="dxa"/>
              <w:end w:w="120" w:type="dxa"/>
            </w:tcMar>
          </w:tcPr>
          <w:p>
            <w:pPr>
              <w:spacing w:after="20" w:line="252" w:lineRule="auto"/>
            </w:pPr>
            <w:r>
              <w:rPr>
                <w:sz w:val="19"/>
              </w:rPr>
              <w:t>75</w:t>
            </w:r>
          </w:p>
        </w:tc>
        <w:tc>
          <w:tcPr>
            <w:tcW w:type="dxa" w:w="1800"/>
            <w:vAlign w:val="center"/>
            <w:tcMar>
              <w:top w:w="90" w:type="dxa"/>
              <w:start w:w="120" w:type="dxa"/>
              <w:bottom w:w="90" w:type="dxa"/>
              <w:end w:w="120" w:type="dxa"/>
            </w:tcMar>
          </w:tcPr>
          <w:p>
            <w:pPr>
              <w:spacing w:after="20" w:line="252" w:lineRule="auto"/>
            </w:pPr>
            <w:r>
              <w:rPr>
                <w:sz w:val="19"/>
              </w:rPr>
              <w:t>500</w:t>
            </w:r>
          </w:p>
        </w:tc>
        <w:tc>
          <w:tcPr>
            <w:tcW w:type="dxa" w:w="2400"/>
            <w:vAlign w:val="center"/>
            <w:tcMar>
              <w:top w:w="90" w:type="dxa"/>
              <w:start w:w="120" w:type="dxa"/>
              <w:bottom w:w="90" w:type="dxa"/>
              <w:end w:w="120" w:type="dxa"/>
            </w:tcMar>
          </w:tcPr>
          <w:p>
            <w:pPr>
              <w:spacing w:after="20" w:line="252" w:lineRule="auto"/>
            </w:pPr>
            <w:r>
              <w:rPr>
                <w:sz w:val="19"/>
              </w:rPr>
              <w:t>0.346</w:t>
            </w:r>
          </w:p>
        </w:tc>
      </w:tr>
      <w:tr>
        <w:tc>
          <w:tcPr>
            <w:tcW w:type="dxa" w:w="760"/>
            <w:vAlign w:val="center"/>
            <w:tcMar>
              <w:top w:w="90" w:type="dxa"/>
              <w:start w:w="120" w:type="dxa"/>
              <w:bottom w:w="90" w:type="dxa"/>
              <w:end w:w="120" w:type="dxa"/>
            </w:tcMar>
            <w:shd w:fill="F8FAFC"/>
          </w:tcPr>
          <w:p>
            <w:pPr>
              <w:spacing w:after="20" w:line="252" w:lineRule="auto"/>
            </w:pPr>
            <w:r>
              <w:rPr>
                <w:sz w:val="19"/>
              </w:rPr>
              <w:t>12</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100"/>
            <w:vAlign w:val="center"/>
            <w:tcMar>
              <w:top w:w="90" w:type="dxa"/>
              <w:start w:w="120" w:type="dxa"/>
              <w:bottom w:w="90" w:type="dxa"/>
              <w:end w:w="120" w:type="dxa"/>
            </w:tcMar>
            <w:shd w:fill="F8FAFC"/>
          </w:tcPr>
          <w:p>
            <w:pPr>
              <w:spacing w:after="20" w:line="252" w:lineRule="auto"/>
            </w:pPr>
            <w:r>
              <w:rPr>
                <w:sz w:val="19"/>
              </w:rPr>
              <w:t>50</w:t>
            </w:r>
          </w:p>
        </w:tc>
        <w:tc>
          <w:tcPr>
            <w:tcW w:type="dxa" w:w="1100"/>
            <w:vAlign w:val="center"/>
            <w:tcMar>
              <w:top w:w="90" w:type="dxa"/>
              <w:start w:w="120" w:type="dxa"/>
              <w:bottom w:w="90" w:type="dxa"/>
              <w:end w:w="120" w:type="dxa"/>
            </w:tcMar>
            <w:shd w:fill="F8FAFC"/>
          </w:tcPr>
          <w:p>
            <w:pPr>
              <w:spacing w:after="20" w:line="252" w:lineRule="auto"/>
            </w:pPr>
            <w:r>
              <w:rPr>
                <w:sz w:val="19"/>
              </w:rPr>
              <w:t>75</w:t>
            </w:r>
          </w:p>
        </w:tc>
        <w:tc>
          <w:tcPr>
            <w:tcW w:type="dxa" w:w="1100"/>
            <w:vAlign w:val="center"/>
            <w:tcMar>
              <w:top w:w="90" w:type="dxa"/>
              <w:start w:w="120" w:type="dxa"/>
              <w:bottom w:w="90" w:type="dxa"/>
              <w:end w:w="120" w:type="dxa"/>
            </w:tcMar>
            <w:shd w:fill="F8FAFC"/>
          </w:tcPr>
          <w:p>
            <w:pPr>
              <w:spacing w:after="20" w:line="252" w:lineRule="auto"/>
            </w:pPr>
            <w:r>
              <w:rPr>
                <w:sz w:val="19"/>
              </w:rPr>
              <w:t>75</w:t>
            </w:r>
          </w:p>
        </w:tc>
        <w:tc>
          <w:tcPr>
            <w:tcW w:type="dxa" w:w="1800"/>
            <w:vAlign w:val="center"/>
            <w:tcMar>
              <w:top w:w="90" w:type="dxa"/>
              <w:start w:w="120" w:type="dxa"/>
              <w:bottom w:w="90" w:type="dxa"/>
              <w:end w:w="120" w:type="dxa"/>
            </w:tcMar>
            <w:shd w:fill="F8FAFC"/>
          </w:tcPr>
          <w:p>
            <w:pPr>
              <w:spacing w:after="20" w:line="252" w:lineRule="auto"/>
            </w:pPr>
            <w:r>
              <w:rPr>
                <w:sz w:val="19"/>
              </w:rPr>
              <w:t>500</w:t>
            </w:r>
          </w:p>
        </w:tc>
        <w:tc>
          <w:tcPr>
            <w:tcW w:type="dxa" w:w="2400"/>
            <w:vAlign w:val="center"/>
            <w:tcMar>
              <w:top w:w="90" w:type="dxa"/>
              <w:start w:w="120" w:type="dxa"/>
              <w:bottom w:w="90" w:type="dxa"/>
              <w:end w:w="120" w:type="dxa"/>
            </w:tcMar>
            <w:shd w:fill="F8FAFC"/>
          </w:tcPr>
          <w:p>
            <w:pPr>
              <w:spacing w:after="20" w:line="252" w:lineRule="auto"/>
            </w:pPr>
            <w:r>
              <w:rPr>
                <w:sz w:val="19"/>
              </w:rPr>
              <w:t>0.569</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vAlign w:val="center"/>
          </w:tcPr>
          <w:p>
            <w:r>
              <w:rPr>
                <w:b/>
                <w:color w:val="17365D"/>
              </w:rPr>
              <w:t xml:space="preserve">1차 결과  </w:t>
            </w:r>
            <w:r>
              <w:t>최고 관측값은 조건 6(P 50, M 100, Y 50, G 50 µL)의 OD 0.758이었다. 단, 반복 및 조건별 배지 blank 정보가 없어 조건 간 차이를 확정할 수 없다.</w:t>
            </w:r>
          </w:p>
        </w:tc>
      </w:tr>
    </w:tbl>
    <w:p>
      <w:pPr>
        <w:spacing w:after="0"/>
      </w:pPr>
    </w:p>
    <w:p>
      <w:pPr>
        <w:pStyle w:val="Heading1"/>
      </w:pPr>
      <w:r>
        <w:t>8. 선택적 AI 군집 분석 계획</w:t>
      </w:r>
    </w:p>
    <w:tbl>
      <w:tblPr>
        <w:tblW w:type="dxa" w:w="9360"/>
        <w:tblLayout w:type="fixed"/>
        <w:tblLook w:firstColumn="1" w:firstRow="1" w:lastColumn="0" w:lastRow="0" w:noHBand="0" w:noVBand="1" w:val="04A0"/>
        <w:tblInd w:w="120" w:type="dxa"/>
      </w:tblPr>
      <w:tblGrid>
        <w:gridCol w:w="9360"/>
      </w:tblGrid>
      <w:tr>
        <w:tc>
          <w:tcPr>
            <w:tcW w:type="dxa" w:w="9360"/>
            <w:shd w:fill="FFF4CE"/>
            <w:tcMar>
              <w:top w:w="90" w:type="dxa"/>
              <w:start w:w="120" w:type="dxa"/>
              <w:bottom w:w="90" w:type="dxa"/>
              <w:end w:w="120" w:type="dxa"/>
            </w:tcMar>
            <w:vAlign w:val="center"/>
          </w:tcPr>
          <w:p>
            <w:r>
              <w:rPr>
                <w:b/>
                <w:color w:val="9C0006"/>
              </w:rPr>
              <w:t xml:space="preserve">상태  </w:t>
            </w:r>
            <w:r>
              <w:t>원시 ASV count와 정확한 시료 매핑이 확보된 뒤 수행하는 보조 분석이며, 균주 배양 자료와 혼합하지 않는다.</w:t>
            </w:r>
          </w:p>
        </w:tc>
      </w:tr>
    </w:tbl>
    <w:p>
      <w:pPr>
        <w:spacing w:after="0"/>
      </w:pPr>
    </w:p>
    <w:p>
      <w:r>
        <w:t>표본 수가 32개로 작으므로 규제된 선형모형과 tree-based ensemble을 탐색적으로 비교한다. location-grouped nested cross-validation을 적용하고, balanced accuracy와 ROC-AUC, permutation null 성능을 보고한다. zero replacement, CLR 변환, feature 선택과 scaling은 각 학습 fold 내부에서 수행하며, 반복적으로 선택되는 feature만 후속 배양·분리 후보의 참고자료로 사용한다.</w:t>
      </w:r>
    </w:p>
    <w:p>
      <w:pPr>
        <w:pStyle w:val="Heading1"/>
      </w:pPr>
      <w:r>
        <w:t>9. 품질관리와 재현성 기록</w:t>
      </w:r>
    </w:p>
    <w:tbl>
      <w:tblPr>
        <w:tblStyle w:val="TableGrid"/>
        <w:tblW w:type="dxa" w:w="9360"/>
        <w:tblLayout w:type="fixed"/>
        <w:tblLook w:firstColumn="1" w:firstRow="1" w:lastColumn="0" w:lastRow="0" w:noHBand="0" w:noVBand="1" w:val="04A0"/>
        <w:tblInd w:w="120" w:type="dxa"/>
      </w:tblPr>
      <w:tblGrid>
        <w:gridCol w:w="2200"/>
        <w:gridCol w:w="2200"/>
        <w:gridCol w:w="4960"/>
      </w:tblGrid>
      <w:tr>
        <w:trPr>
          <w:tblHeader w:val="true"/>
        </w:trPr>
        <w:tc>
          <w:tcPr>
            <w:tcW w:type="dxa" w:w="2200"/>
            <w:vAlign w:val="center"/>
            <w:tcMar>
              <w:top w:w="90" w:type="dxa"/>
              <w:start w:w="120" w:type="dxa"/>
              <w:bottom w:w="90" w:type="dxa"/>
              <w:end w:w="120" w:type="dxa"/>
            </w:tcMar>
            <w:shd w:fill="17365D"/>
          </w:tcPr>
          <w:p>
            <w:pPr>
              <w:spacing w:after="20" w:line="252" w:lineRule="auto"/>
            </w:pPr>
            <w:r>
              <w:rPr>
                <w:b/>
                <w:color w:val="FFFFFF"/>
                <w:sz w:val="19"/>
              </w:rPr>
              <w:t>항목</w:t>
            </w:r>
          </w:p>
        </w:tc>
        <w:tc>
          <w:tcPr>
            <w:tcW w:type="dxa" w:w="2200"/>
            <w:vAlign w:val="center"/>
            <w:tcMar>
              <w:top w:w="90" w:type="dxa"/>
              <w:start w:w="120" w:type="dxa"/>
              <w:bottom w:w="90" w:type="dxa"/>
              <w:end w:w="120" w:type="dxa"/>
            </w:tcMar>
            <w:shd w:fill="17365D"/>
          </w:tcPr>
          <w:p>
            <w:pPr>
              <w:spacing w:after="20" w:line="252" w:lineRule="auto"/>
            </w:pPr>
            <w:r>
              <w:rPr>
                <w:b/>
                <w:color w:val="FFFFFF"/>
                <w:sz w:val="19"/>
              </w:rPr>
              <w:t>현재 상태</w:t>
            </w:r>
          </w:p>
        </w:tc>
        <w:tc>
          <w:tcPr>
            <w:tcW w:type="dxa" w:w="4960"/>
            <w:vAlign w:val="center"/>
            <w:tcMar>
              <w:top w:w="90" w:type="dxa"/>
              <w:start w:w="120" w:type="dxa"/>
              <w:bottom w:w="90" w:type="dxa"/>
              <w:end w:w="120" w:type="dxa"/>
            </w:tcMar>
            <w:shd w:fill="17365D"/>
          </w:tcPr>
          <w:p>
            <w:pPr>
              <w:spacing w:after="20" w:line="252" w:lineRule="auto"/>
            </w:pPr>
            <w:r>
              <w:rPr>
                <w:b/>
                <w:color w:val="FFFFFF"/>
                <w:sz w:val="19"/>
              </w:rPr>
              <w:t>최종 문서에 필요한 기록</w:t>
            </w:r>
          </w:p>
        </w:tc>
      </w:tr>
      <w:tr>
        <w:tc>
          <w:tcPr>
            <w:tcW w:type="dxa" w:w="2200"/>
            <w:vAlign w:val="center"/>
            <w:tcMar>
              <w:top w:w="90" w:type="dxa"/>
              <w:start w:w="120" w:type="dxa"/>
              <w:bottom w:w="90" w:type="dxa"/>
              <w:end w:w="120" w:type="dxa"/>
            </w:tcMar>
          </w:tcPr>
          <w:p>
            <w:pPr>
              <w:spacing w:after="20" w:line="252" w:lineRule="auto"/>
            </w:pPr>
            <w:r>
              <w:rPr>
                <w:sz w:val="19"/>
              </w:rPr>
              <w:t>시료 매핑</w:t>
            </w:r>
          </w:p>
        </w:tc>
        <w:tc>
          <w:tcPr>
            <w:tcW w:type="dxa" w:w="2200"/>
            <w:vAlign w:val="center"/>
            <w:tcMar>
              <w:top w:w="90" w:type="dxa"/>
              <w:start w:w="120" w:type="dxa"/>
              <w:bottom w:w="90" w:type="dxa"/>
              <w:end w:w="120" w:type="dxa"/>
            </w:tcMar>
          </w:tcPr>
          <w:p>
            <w:pPr>
              <w:spacing w:after="20" w:line="252" w:lineRule="auto"/>
            </w:pPr>
            <w:r>
              <w:rPr>
                <w:sz w:val="19"/>
              </w:rPr>
              <w:t>불일치 확인</w:t>
            </w:r>
          </w:p>
        </w:tc>
        <w:tc>
          <w:tcPr>
            <w:tcW w:type="dxa" w:w="4960"/>
            <w:vAlign w:val="center"/>
            <w:tcMar>
              <w:top w:w="90" w:type="dxa"/>
              <w:start w:w="120" w:type="dxa"/>
              <w:bottom w:w="90" w:type="dxa"/>
              <w:end w:w="120" w:type="dxa"/>
            </w:tcMar>
          </w:tcPr>
          <w:p>
            <w:pPr>
              <w:spacing w:after="20" w:line="252" w:lineRule="auto"/>
            </w:pPr>
            <w:r>
              <w:rPr>
                <w:sz w:val="19"/>
              </w:rPr>
              <w:t>NGS Sample ID ↔ 채취번호 ↔ 그룹 대응표</w:t>
            </w:r>
          </w:p>
        </w:tc>
      </w:tr>
      <w:tr>
        <w:tc>
          <w:tcPr>
            <w:tcW w:type="dxa" w:w="2200"/>
            <w:vAlign w:val="center"/>
            <w:tcMar>
              <w:top w:w="90" w:type="dxa"/>
              <w:start w:w="120" w:type="dxa"/>
              <w:bottom w:w="90" w:type="dxa"/>
              <w:end w:w="120" w:type="dxa"/>
            </w:tcMar>
            <w:shd w:fill="F8FAFC"/>
          </w:tcPr>
          <w:p>
            <w:pPr>
              <w:spacing w:after="20" w:line="252" w:lineRule="auto"/>
            </w:pPr>
            <w:r>
              <w:rPr>
                <w:sz w:val="19"/>
              </w:rPr>
              <w:t>원시 데이터</w:t>
            </w:r>
          </w:p>
        </w:tc>
        <w:tc>
          <w:tcPr>
            <w:tcW w:type="dxa" w:w="2200"/>
            <w:vAlign w:val="center"/>
            <w:tcMar>
              <w:top w:w="90" w:type="dxa"/>
              <w:start w:w="120" w:type="dxa"/>
              <w:bottom w:w="90" w:type="dxa"/>
              <w:end w:w="120" w:type="dxa"/>
            </w:tcMar>
            <w:shd w:fill="F8FAFC"/>
          </w:tcPr>
          <w:p>
            <w:pPr>
              <w:spacing w:after="20" w:line="252" w:lineRule="auto"/>
            </w:pPr>
            <w:r>
              <w:rPr>
                <w:sz w:val="19"/>
              </w:rPr>
              <w:t>미제공</w:t>
            </w:r>
          </w:p>
        </w:tc>
        <w:tc>
          <w:tcPr>
            <w:tcW w:type="dxa" w:w="4960"/>
            <w:vAlign w:val="center"/>
            <w:tcMar>
              <w:top w:w="90" w:type="dxa"/>
              <w:start w:w="120" w:type="dxa"/>
              <w:bottom w:w="90" w:type="dxa"/>
              <w:end w:w="120" w:type="dxa"/>
            </w:tcMar>
            <w:shd w:fill="F8FAFC"/>
          </w:tcPr>
          <w:p>
            <w:pPr>
              <w:spacing w:after="20" w:line="252" w:lineRule="auto"/>
            </w:pPr>
            <w:r>
              <w:rPr>
                <w:sz w:val="19"/>
              </w:rPr>
              <w:t>FASTQ, read depth, ASV count, taxonomy table</w:t>
            </w:r>
          </w:p>
        </w:tc>
      </w:tr>
      <w:tr>
        <w:tc>
          <w:tcPr>
            <w:tcW w:type="dxa" w:w="2200"/>
            <w:vAlign w:val="center"/>
            <w:tcMar>
              <w:top w:w="90" w:type="dxa"/>
              <w:start w:w="120" w:type="dxa"/>
              <w:bottom w:w="90" w:type="dxa"/>
              <w:end w:w="120" w:type="dxa"/>
            </w:tcMar>
          </w:tcPr>
          <w:p>
            <w:pPr>
              <w:spacing w:after="20" w:line="252" w:lineRule="auto"/>
            </w:pPr>
            <w:r>
              <w:rPr>
                <w:sz w:val="19"/>
              </w:rPr>
              <w:t>음성·양성대조군</w:t>
            </w:r>
          </w:p>
        </w:tc>
        <w:tc>
          <w:tcPr>
            <w:tcW w:type="dxa" w:w="2200"/>
            <w:vAlign w:val="center"/>
            <w:tcMar>
              <w:top w:w="90" w:type="dxa"/>
              <w:start w:w="120" w:type="dxa"/>
              <w:bottom w:w="90" w:type="dxa"/>
              <w:end w:w="120" w:type="dxa"/>
            </w:tcMar>
          </w:tcPr>
          <w:p>
            <w:pPr>
              <w:spacing w:after="20" w:line="252" w:lineRule="auto"/>
            </w:pPr>
            <w:r>
              <w:rPr>
                <w:sz w:val="19"/>
              </w:rPr>
              <w:t>미확인</w:t>
            </w:r>
          </w:p>
        </w:tc>
        <w:tc>
          <w:tcPr>
            <w:tcW w:type="dxa" w:w="4960"/>
            <w:vAlign w:val="center"/>
            <w:tcMar>
              <w:top w:w="90" w:type="dxa"/>
              <w:start w:w="120" w:type="dxa"/>
              <w:bottom w:w="90" w:type="dxa"/>
              <w:end w:w="120" w:type="dxa"/>
            </w:tcMar>
          </w:tcPr>
          <w:p>
            <w:pPr>
              <w:spacing w:after="20" w:line="252" w:lineRule="auto"/>
            </w:pPr>
            <w:r>
              <w:rPr>
                <w:sz w:val="19"/>
              </w:rPr>
              <w:t>추출 blank, PCR blank, mock community 결과</w:t>
            </w:r>
          </w:p>
        </w:tc>
      </w:tr>
      <w:tr>
        <w:tc>
          <w:tcPr>
            <w:tcW w:type="dxa" w:w="2200"/>
            <w:vAlign w:val="center"/>
            <w:tcMar>
              <w:top w:w="90" w:type="dxa"/>
              <w:start w:w="120" w:type="dxa"/>
              <w:bottom w:w="90" w:type="dxa"/>
              <w:end w:w="120" w:type="dxa"/>
            </w:tcMar>
            <w:shd w:fill="F8FAFC"/>
          </w:tcPr>
          <w:p>
            <w:pPr>
              <w:spacing w:after="20" w:line="252" w:lineRule="auto"/>
            </w:pPr>
            <w:r>
              <w:rPr>
                <w:sz w:val="19"/>
              </w:rPr>
              <w:t>분류 전처리</w:t>
            </w:r>
          </w:p>
        </w:tc>
        <w:tc>
          <w:tcPr>
            <w:tcW w:type="dxa" w:w="2200"/>
            <w:vAlign w:val="center"/>
            <w:tcMar>
              <w:top w:w="90" w:type="dxa"/>
              <w:start w:w="120" w:type="dxa"/>
              <w:bottom w:w="90" w:type="dxa"/>
              <w:end w:w="120" w:type="dxa"/>
            </w:tcMar>
            <w:shd w:fill="F8FAFC"/>
          </w:tcPr>
          <w:p>
            <w:pPr>
              <w:spacing w:after="20" w:line="252" w:lineRule="auto"/>
            </w:pPr>
            <w:r>
              <w:rPr>
                <w:sz w:val="19"/>
              </w:rPr>
              <w:t>미확인</w:t>
            </w:r>
          </w:p>
        </w:tc>
        <w:tc>
          <w:tcPr>
            <w:tcW w:type="dxa" w:w="4960"/>
            <w:vAlign w:val="center"/>
            <w:tcMar>
              <w:top w:w="90" w:type="dxa"/>
              <w:start w:w="120" w:type="dxa"/>
              <w:bottom w:w="90" w:type="dxa"/>
              <w:end w:w="120" w:type="dxa"/>
            </w:tcMar>
            <w:shd w:fill="F8FAFC"/>
          </w:tcPr>
          <w:p>
            <w:pPr>
              <w:spacing w:after="20" w:line="252" w:lineRule="auto"/>
            </w:pPr>
            <w:r>
              <w:rPr>
                <w:sz w:val="19"/>
              </w:rPr>
              <w:t>primer trimming, quality cutoff, chimera 및 contaminant 제거 기준</w:t>
            </w:r>
          </w:p>
        </w:tc>
      </w:tr>
      <w:tr>
        <w:tc>
          <w:tcPr>
            <w:tcW w:type="dxa" w:w="2200"/>
            <w:vAlign w:val="center"/>
            <w:tcMar>
              <w:top w:w="90" w:type="dxa"/>
              <w:start w:w="120" w:type="dxa"/>
              <w:bottom w:w="90" w:type="dxa"/>
              <w:end w:w="120" w:type="dxa"/>
            </w:tcMar>
          </w:tcPr>
          <w:p>
            <w:pPr>
              <w:spacing w:after="20" w:line="252" w:lineRule="auto"/>
            </w:pPr>
            <w:r>
              <w:rPr>
                <w:sz w:val="19"/>
              </w:rPr>
              <w:t>Taxonomy</w:t>
            </w:r>
          </w:p>
        </w:tc>
        <w:tc>
          <w:tcPr>
            <w:tcW w:type="dxa" w:w="2200"/>
            <w:vAlign w:val="center"/>
            <w:tcMar>
              <w:top w:w="90" w:type="dxa"/>
              <w:start w:w="120" w:type="dxa"/>
              <w:bottom w:w="90" w:type="dxa"/>
              <w:end w:w="120" w:type="dxa"/>
            </w:tcMar>
          </w:tcPr>
          <w:p>
            <w:pPr>
              <w:spacing w:after="20" w:line="252" w:lineRule="auto"/>
            </w:pPr>
            <w:r>
              <w:rPr>
                <w:sz w:val="19"/>
              </w:rPr>
              <w:t>Family까지 제공</w:t>
            </w:r>
          </w:p>
        </w:tc>
        <w:tc>
          <w:tcPr>
            <w:tcW w:type="dxa" w:w="4960"/>
            <w:vAlign w:val="center"/>
            <w:tcMar>
              <w:top w:w="90" w:type="dxa"/>
              <w:start w:w="120" w:type="dxa"/>
              <w:bottom w:w="90" w:type="dxa"/>
              <w:end w:w="120" w:type="dxa"/>
            </w:tcMar>
          </w:tcPr>
          <w:p>
            <w:pPr>
              <w:spacing w:after="20" w:line="252" w:lineRule="auto"/>
            </w:pPr>
            <w:r>
              <w:rPr>
                <w:sz w:val="19"/>
              </w:rPr>
              <w:t>database 이름·release, classifier와 confidence threshold</w:t>
            </w:r>
          </w:p>
        </w:tc>
      </w:tr>
      <w:tr>
        <w:tc>
          <w:tcPr>
            <w:tcW w:type="dxa" w:w="2200"/>
            <w:vAlign w:val="center"/>
            <w:tcMar>
              <w:top w:w="90" w:type="dxa"/>
              <w:start w:w="120" w:type="dxa"/>
              <w:bottom w:w="90" w:type="dxa"/>
              <w:end w:w="120" w:type="dxa"/>
            </w:tcMar>
            <w:shd w:fill="F8FAFC"/>
          </w:tcPr>
          <w:p>
            <w:pPr>
              <w:spacing w:after="20" w:line="252" w:lineRule="auto"/>
            </w:pPr>
            <w:r>
              <w:rPr>
                <w:sz w:val="19"/>
              </w:rPr>
              <w:t>통계 재현성</w:t>
            </w:r>
          </w:p>
        </w:tc>
        <w:tc>
          <w:tcPr>
            <w:tcW w:type="dxa" w:w="2200"/>
            <w:vAlign w:val="center"/>
            <w:tcMar>
              <w:top w:w="90" w:type="dxa"/>
              <w:start w:w="120" w:type="dxa"/>
              <w:bottom w:w="90" w:type="dxa"/>
              <w:end w:w="120" w:type="dxa"/>
            </w:tcMar>
            <w:shd w:fill="F8FAFC"/>
          </w:tcPr>
          <w:p>
            <w:pPr>
              <w:spacing w:after="20" w:line="252" w:lineRule="auto"/>
            </w:pPr>
            <w:r>
              <w:rPr>
                <w:sz w:val="19"/>
              </w:rPr>
              <w:t>일부 방법만 기록</w:t>
            </w:r>
          </w:p>
        </w:tc>
        <w:tc>
          <w:tcPr>
            <w:tcW w:type="dxa" w:w="4960"/>
            <w:vAlign w:val="center"/>
            <w:tcMar>
              <w:top w:w="90" w:type="dxa"/>
              <w:start w:w="120" w:type="dxa"/>
              <w:bottom w:w="90" w:type="dxa"/>
              <w:end w:w="120" w:type="dxa"/>
            </w:tcMar>
            <w:shd w:fill="F8FAFC"/>
          </w:tcPr>
          <w:p>
            <w:pPr>
              <w:spacing w:after="20" w:line="252" w:lineRule="auto"/>
            </w:pPr>
            <w:r>
              <w:rPr>
                <w:sz w:val="19"/>
              </w:rPr>
              <w:t>소프트웨어·package 버전, random seed, 분석 script</w:t>
            </w:r>
          </w:p>
        </w:tc>
      </w:tr>
      <w:tr>
        <w:tc>
          <w:tcPr>
            <w:tcW w:type="dxa" w:w="2200"/>
            <w:vAlign w:val="center"/>
            <w:tcMar>
              <w:top w:w="90" w:type="dxa"/>
              <w:start w:w="120" w:type="dxa"/>
              <w:bottom w:w="90" w:type="dxa"/>
              <w:end w:w="120" w:type="dxa"/>
            </w:tcMar>
          </w:tcPr>
          <w:p>
            <w:pPr>
              <w:spacing w:after="20" w:line="252" w:lineRule="auto"/>
            </w:pPr>
            <w:r>
              <w:rPr>
                <w:sz w:val="19"/>
              </w:rPr>
              <w:t>환경 공변량</w:t>
            </w:r>
          </w:p>
        </w:tc>
        <w:tc>
          <w:tcPr>
            <w:tcW w:type="dxa" w:w="2200"/>
            <w:vAlign w:val="center"/>
            <w:tcMar>
              <w:top w:w="90" w:type="dxa"/>
              <w:start w:w="120" w:type="dxa"/>
              <w:bottom w:w="90" w:type="dxa"/>
              <w:end w:w="120" w:type="dxa"/>
            </w:tcMar>
          </w:tcPr>
          <w:p>
            <w:pPr>
              <w:spacing w:after="20" w:line="252" w:lineRule="auto"/>
            </w:pPr>
            <w:r>
              <w:rPr>
                <w:sz w:val="19"/>
              </w:rPr>
              <w:t>위치·시각·특이사항만 제공</w:t>
            </w:r>
          </w:p>
        </w:tc>
        <w:tc>
          <w:tcPr>
            <w:tcW w:type="dxa" w:w="4960"/>
            <w:vAlign w:val="center"/>
            <w:tcMar>
              <w:top w:w="90" w:type="dxa"/>
              <w:start w:w="120" w:type="dxa"/>
              <w:bottom w:w="90" w:type="dxa"/>
              <w:end w:w="120" w:type="dxa"/>
            </w:tcMar>
          </w:tcPr>
          <w:p>
            <w:pPr>
              <w:spacing w:after="20" w:line="252" w:lineRule="auto"/>
            </w:pPr>
            <w:r>
              <w:rPr>
                <w:sz w:val="19"/>
              </w:rPr>
              <w:t>pH, 수분, EC, 유기탄소, 질소, 토성, 중금속, 도로거리 등</w:t>
            </w:r>
          </w:p>
        </w:tc>
      </w:tr>
      <w:tr>
        <w:tc>
          <w:tcPr>
            <w:tcW w:type="dxa" w:w="2200"/>
            <w:vAlign w:val="center"/>
            <w:tcMar>
              <w:top w:w="90" w:type="dxa"/>
              <w:start w:w="120" w:type="dxa"/>
              <w:bottom w:w="90" w:type="dxa"/>
              <w:end w:w="120" w:type="dxa"/>
            </w:tcMar>
            <w:shd w:fill="F8FAFC"/>
          </w:tcPr>
          <w:p>
            <w:pPr>
              <w:spacing w:after="20" w:line="252" w:lineRule="auto"/>
            </w:pPr>
            <w:r>
              <w:rPr>
                <w:sz w:val="19"/>
              </w:rPr>
              <w:t>균주 동정</w:t>
            </w:r>
          </w:p>
        </w:tc>
        <w:tc>
          <w:tcPr>
            <w:tcW w:type="dxa" w:w="2200"/>
            <w:vAlign w:val="center"/>
            <w:tcMar>
              <w:top w:w="90" w:type="dxa"/>
              <w:start w:w="120" w:type="dxa"/>
              <w:bottom w:w="90" w:type="dxa"/>
              <w:end w:w="120" w:type="dxa"/>
            </w:tcMar>
            <w:shd w:fill="F8FAFC"/>
          </w:tcPr>
          <w:p>
            <w:pPr>
              <w:spacing w:after="20" w:line="252" w:lineRule="auto"/>
            </w:pPr>
            <w:r>
              <w:rPr>
                <w:sz w:val="19"/>
              </w:rPr>
              <w:t>후보 수준</w:t>
            </w:r>
          </w:p>
        </w:tc>
        <w:tc>
          <w:tcPr>
            <w:tcW w:type="dxa" w:w="4960"/>
            <w:vAlign w:val="center"/>
            <w:tcMar>
              <w:top w:w="90" w:type="dxa"/>
              <w:start w:w="120" w:type="dxa"/>
              <w:bottom w:w="90" w:type="dxa"/>
              <w:end w:w="120" w:type="dxa"/>
            </w:tcMar>
            <w:shd w:fill="F8FAFC"/>
          </w:tcPr>
          <w:p>
            <w:pPr>
              <w:spacing w:after="20" w:line="252" w:lineRule="auto"/>
            </w:pPr>
            <w:r>
              <w:rPr>
                <w:sz w:val="19"/>
              </w:rPr>
              <w:t>원서열 품질, reference accession, 추가 동정 결과</w:t>
            </w:r>
          </w:p>
        </w:tc>
      </w:tr>
      <w:tr>
        <w:tc>
          <w:tcPr>
            <w:tcW w:type="dxa" w:w="2200"/>
            <w:vAlign w:val="center"/>
            <w:tcMar>
              <w:top w:w="90" w:type="dxa"/>
              <w:start w:w="120" w:type="dxa"/>
              <w:bottom w:w="90" w:type="dxa"/>
              <w:end w:w="120" w:type="dxa"/>
            </w:tcMar>
          </w:tcPr>
          <w:p>
            <w:pPr>
              <w:spacing w:after="20" w:line="252" w:lineRule="auto"/>
            </w:pPr>
            <w:r>
              <w:rPr>
                <w:sz w:val="19"/>
              </w:rPr>
              <w:t>배양 반응</w:t>
            </w:r>
          </w:p>
        </w:tc>
        <w:tc>
          <w:tcPr>
            <w:tcW w:type="dxa" w:w="2200"/>
            <w:vAlign w:val="center"/>
            <w:tcMar>
              <w:top w:w="90" w:type="dxa"/>
              <w:start w:w="120" w:type="dxa"/>
              <w:bottom w:w="90" w:type="dxa"/>
              <w:end w:w="120" w:type="dxa"/>
            </w:tcMar>
          </w:tcPr>
          <w:p>
            <w:pPr>
              <w:spacing w:after="20" w:line="252" w:lineRule="auto"/>
            </w:pPr>
            <w:r>
              <w:rPr>
                <w:sz w:val="19"/>
              </w:rPr>
              <w:t>1차 OD 단일값</w:t>
            </w:r>
          </w:p>
        </w:tc>
        <w:tc>
          <w:tcPr>
            <w:tcW w:type="dxa" w:w="4960"/>
            <w:vAlign w:val="center"/>
            <w:tcMar>
              <w:top w:w="90" w:type="dxa"/>
              <w:start w:w="120" w:type="dxa"/>
              <w:bottom w:w="90" w:type="dxa"/>
              <w:end w:w="120" w:type="dxa"/>
            </w:tcMar>
          </w:tcPr>
          <w:p>
            <w:pPr>
              <w:spacing w:after="20" w:line="252" w:lineRule="auto"/>
            </w:pPr>
            <w:r>
              <w:rPr>
                <w:sz w:val="19"/>
              </w:rPr>
              <w:t>파장·시간, blank, 반복, batch, CFU/기능성 보조지표</w:t>
            </w:r>
          </w:p>
        </w:tc>
      </w:tr>
    </w:tbl>
    <w:p>
      <w:pPr>
        <w:spacing w:after="0"/>
      </w:pPr>
    </w:p>
    <w:p>
      <w:pPr>
        <w:pStyle w:val="Heading1"/>
      </w:pPr>
      <w:r>
        <w:t>10. 보고 및 해석 원칙</w:t>
      </w:r>
    </w:p>
    <w:p>
      <w:pPr>
        <w:pStyle w:val="ListBullet"/>
      </w:pPr>
      <w:r>
        <w:t>상대풍부도의 증가는 절대균량 증가로 해석하지 않는다.</w:t>
      </w:r>
    </w:p>
    <w:p>
      <w:pPr>
        <w:pStyle w:val="ListBullet"/>
      </w:pPr>
      <w:r>
        <w:t>Family 수준 분류 결과로 특정 종의 병원성·유익성 또는 대사 기능을 단정하지 않는다.</w:t>
      </w:r>
    </w:p>
    <w:p>
      <w:pPr>
        <w:pStyle w:val="ListBullet"/>
      </w:pPr>
      <w:r>
        <w:t>도로 노출 효과는 pH, 수분, 식생, 토양 깊이, 채취 장소와 같은 교란변수를 고려하기 전에는 인과적으로 표현하지 않는다.</w:t>
      </w:r>
    </w:p>
    <w:p>
      <w:pPr>
        <w:pStyle w:val="ListBullet"/>
      </w:pPr>
      <w:r>
        <w:t>미보정 p값만 유의한 분류군은 ‘차이 후보’로 표현하고, FDR 보정 결과를 함께 제시한다.</w:t>
      </w:r>
    </w:p>
    <w:p>
      <w:pPr>
        <w:pStyle w:val="ListBullet"/>
      </w:pPr>
      <w:r>
        <w:t>AI 성능은 내부 교차검증 결과임을 명시하고, 독립 검증 자료 없이 일반화 가능성을 주장하지 않는다.</w:t>
      </w:r>
    </w:p>
    <w:p>
      <w:pPr>
        <w:pStyle w:val="ListBullet"/>
      </w:pPr>
      <w:r>
        <w:t>높은 OD를 유용성 또는 안전성으로 간주하지 않고, 균주별 기능시험과 안전성 평가를 별도로 수행한다.</w:t>
      </w:r>
    </w:p>
    <w:p>
      <w:pPr>
        <w:pStyle w:val="Heading1"/>
      </w:pPr>
      <w:r>
        <w:t>11. 최종 Methods 작성 전 확인사항</w:t>
      </w:r>
    </w:p>
    <w:p>
      <w:pPr>
        <w:pStyle w:val="ListBullet"/>
      </w:pPr>
      <w:r>
        <w:t>‘산림’과 ‘공원’ 용어 통일 및 그룹 정의 재확정</w:t>
      </w:r>
    </w:p>
    <w:p>
      <w:pPr>
        <w:pStyle w:val="ListBullet"/>
      </w:pPr>
      <w:r>
        <w:t>32개 NGS Sample ID와 채취번호의 1:1 매핑</w:t>
      </w:r>
    </w:p>
    <w:p>
      <w:pPr>
        <w:pStyle w:val="ListBullet"/>
      </w:pPr>
      <w:r>
        <w:t>토양 채취·보관·DNA 추출·PCR·sequencing 조건 입력</w:t>
      </w:r>
    </w:p>
    <w:p>
      <w:pPr>
        <w:pStyle w:val="ListBullet"/>
      </w:pPr>
      <w:r>
        <w:t>ASV/OTU 처리 및 taxonomy database 정보 입력</w:t>
      </w:r>
    </w:p>
    <w:p>
      <w:pPr>
        <w:pStyle w:val="ListBullet"/>
      </w:pPr>
      <w:r>
        <w:t>시료 30 QC 및 포함/제외 민감도 분석</w:t>
      </w:r>
    </w:p>
    <w:p>
      <w:pPr>
        <w:pStyle w:val="ListBullet"/>
      </w:pPr>
      <w:r>
        <w:t>통계 및 AI 분석 소프트웨어 버전·seed·script 보관</w:t>
      </w:r>
    </w:p>
    <w:p>
      <w:pPr>
        <w:pStyle w:val="ListBullet"/>
      </w:pPr>
      <w:r>
        <w:t>후보 균주의 strain ID, 동정 근거, 안전성·기능성 판정 기준 확정</w:t>
      </w:r>
    </w:p>
    <w:p>
      <w:pPr>
        <w:pStyle w:val="ListBullet"/>
      </w:pPr>
      <w:r>
        <w:t>배양 온도·시간·교반·접종량·OD 파장과 배지 blank 및 반복 설계 입력</w:t>
      </w:r>
    </w:p>
    <w:p>
      <w:pPr>
        <w:pStyle w:val="Heading1"/>
      </w:pPr>
      <w:r>
        <w:t>12. 참고문헌 및 방법 근거</w:t>
      </w:r>
    </w:p>
    <w:p>
      <w:pPr>
        <w:ind w:left="288" w:hanging="288"/>
      </w:pPr>
      <w:r>
        <w:t>Shannon, C. E. (1948). A mathematical theory of communication. Bell System Technical Journal, 27, 379–423 and 623–656.</w:t>
      </w:r>
    </w:p>
    <w:p>
      <w:pPr>
        <w:ind w:left="288" w:hanging="288"/>
      </w:pPr>
      <w:r>
        <w:t>Bray, J. R. and Curtis, J. T. (1957). An ordination of the upland forest communities of southern Wisconsin. Ecological Monographs, 27, 325–349.</w:t>
      </w:r>
    </w:p>
    <w:p>
      <w:pPr>
        <w:ind w:left="288" w:hanging="288"/>
      </w:pPr>
      <w:r>
        <w:t>Anderson, M. J. (2001). A new method for non-parametric multivariate analysis of variance. Austral Ecology, 26, 32–46. https://doi.org/10.1111/j.1442-9993.2001.01070.pp.x</w:t>
      </w:r>
    </w:p>
    <w:p>
      <w:pPr>
        <w:ind w:left="288" w:hanging="288"/>
      </w:pPr>
      <w:r>
        <w:t>Benjamini, Y. and Hochberg, Y. (1995). Controlling the false discovery rate: a practical and powerful approach to multiple testing. Journal of the Royal Statistical Society B, 57, 289–300.</w:t>
      </w:r>
    </w:p>
    <w:p>
      <w:pPr>
        <w:ind w:left="288" w:hanging="288"/>
      </w:pPr>
      <w:r>
        <w:t>Lin, H. and Peddada, S. D. (2020). Analysis of compositions of microbiomes with bias correction. Nature Communications, 11, 3514. https://doi.org/10.1038/s41467-020-17041-7</w:t>
      </w:r>
    </w:p>
    <w:p>
      <w:pPr>
        <w:ind w:left="288" w:hanging="288"/>
      </w:pPr>
      <w:r>
        <w:t>QIIME 2 Documentation. Taxonomy-based filtering and microbiome analysis guidance. https://docs.qiime2.org/</w:t>
      </w:r>
    </w:p>
    <w:p>
      <w:pPr>
        <w:ind w:left="288" w:hanging="288"/>
      </w:pPr>
      <w:r>
        <w:t>자료 출처: 도로변_산림토양_NGS비교분석.xlsx, 토양 샘플링 정보.xlsx, 도로변_산림토양_NGS분석보고서.docx (사용자 제공).</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맑은 고딕"/>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475467"/>
        <w:sz w:val="18"/>
      </w:rPr>
      <w:t>마이크로바이옴 1조 | 토양 군집 비교·유용 균주 배양 최적화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분석 방법 관련_v.1.03</dc:title>
  <dc:subject>도로변 및 공원 토양 세균 군집 비교와 유용 균주 AI 기반 배양 최적화</dc:subject>
  <dc:creator>마이크로바이옴 1조</dc:creator>
  <cp:keywords/>
  <dc:description>기존 분석보고서와 배양 실험 자료를 통합한 분석 방법 중심 개정</dc:description>
  <cp:lastModifiedBy/>
  <cp:revision>1</cp:revision>
  <dcterms:created xsi:type="dcterms:W3CDTF">2013-12-23T23:15:00Z</dcterms:created>
  <dcterms:modified xsi:type="dcterms:W3CDTF">2013-12-23T23:15:00Z</dcterms:modified>
  <cp:category/>
</cp:coreProperties>
</file>