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72D" w:rsidRPr="00494AD6" w:rsidRDefault="00A84E3C" w:rsidP="00301306">
      <w:pPr>
        <w:jc w:val="center"/>
        <w:rPr>
          <w:b/>
          <w:sz w:val="28"/>
          <w:szCs w:val="28"/>
        </w:rPr>
      </w:pPr>
      <w:r w:rsidRPr="00494AD6">
        <w:rPr>
          <w:b/>
          <w:sz w:val="28"/>
          <w:szCs w:val="28"/>
        </w:rPr>
        <w:t>Introduction to Operating Systems</w:t>
      </w:r>
    </w:p>
    <w:p w:rsidR="00A84E3C" w:rsidRPr="00301306" w:rsidRDefault="00A84E3C" w:rsidP="00301306">
      <w:pPr>
        <w:jc w:val="center"/>
        <w:rPr>
          <w:b/>
        </w:rPr>
      </w:pPr>
      <w:r w:rsidRPr="00301306">
        <w:rPr>
          <w:b/>
        </w:rPr>
        <w:t>CSI 4337</w:t>
      </w:r>
    </w:p>
    <w:p w:rsidR="00A84E3C" w:rsidRPr="00301306" w:rsidRDefault="00C74B7E" w:rsidP="00301306">
      <w:pPr>
        <w:jc w:val="center"/>
        <w:rPr>
          <w:b/>
        </w:rPr>
      </w:pPr>
      <w:r>
        <w:rPr>
          <w:b/>
        </w:rPr>
        <w:t>Spring 2018</w:t>
      </w:r>
    </w:p>
    <w:p w:rsidR="00A84E3C" w:rsidRDefault="00A84E3C"/>
    <w:p w:rsidR="00A84E3C" w:rsidRDefault="00A84E3C">
      <w:r>
        <w:t>Dr. Matthew Fendt</w:t>
      </w:r>
    </w:p>
    <w:p w:rsidR="00A84E3C" w:rsidRDefault="00A84E3C">
      <w:r>
        <w:t xml:space="preserve">Email: </w:t>
      </w:r>
      <w:hyperlink r:id="rId5" w:history="1">
        <w:r w:rsidRPr="001D029A">
          <w:rPr>
            <w:rStyle w:val="Hyperlink"/>
          </w:rPr>
          <w:t>Matthew_Fendt@baylor.edu</w:t>
        </w:r>
      </w:hyperlink>
    </w:p>
    <w:p w:rsidR="00A84E3C" w:rsidRDefault="00A84E3C">
      <w:r>
        <w:t xml:space="preserve">Office: </w:t>
      </w:r>
      <w:r w:rsidR="003B362C">
        <w:t>Hankamer 360.02</w:t>
      </w:r>
    </w:p>
    <w:p w:rsidR="00A84E3C" w:rsidRDefault="00A84E3C">
      <w:r>
        <w:t xml:space="preserve">Office Hours: </w:t>
      </w:r>
      <w:r w:rsidR="002E12A2">
        <w:t>See Canvas site</w:t>
      </w:r>
    </w:p>
    <w:p w:rsidR="00A84E3C" w:rsidRDefault="009F650F">
      <w:r>
        <w:t>Required Textbook: Operating Systems Concepts, 9</w:t>
      </w:r>
      <w:r w:rsidRPr="009F650F">
        <w:rPr>
          <w:vertAlign w:val="superscript"/>
        </w:rPr>
        <w:t>th</w:t>
      </w:r>
      <w:r>
        <w:t xml:space="preserve"> Edition by Silberschatz, Gagne and Galvin</w:t>
      </w:r>
    </w:p>
    <w:p w:rsidR="009F650F" w:rsidRDefault="009F650F">
      <w:r>
        <w:t>Prerequisites: Experience programming in C, Java, and UNIX</w:t>
      </w:r>
    </w:p>
    <w:p w:rsidR="00301306" w:rsidRDefault="00301306"/>
    <w:p w:rsidR="009F650F" w:rsidRPr="00301306" w:rsidRDefault="0011364A">
      <w:pPr>
        <w:rPr>
          <w:b/>
        </w:rPr>
      </w:pPr>
      <w:r w:rsidRPr="00301306">
        <w:rPr>
          <w:b/>
        </w:rPr>
        <w:t>Objectives:</w:t>
      </w:r>
    </w:p>
    <w:p w:rsidR="0011364A" w:rsidRDefault="00115DA5" w:rsidP="00115DA5">
      <w:pPr>
        <w:pStyle w:val="ListParagraph"/>
        <w:numPr>
          <w:ilvl w:val="0"/>
          <w:numId w:val="2"/>
        </w:numPr>
      </w:pPr>
      <w:r>
        <w:t>Understand the hardware and software components behind the creation of an operating system</w:t>
      </w:r>
    </w:p>
    <w:p w:rsidR="00115DA5" w:rsidRDefault="00115DA5" w:rsidP="00115DA5">
      <w:pPr>
        <w:pStyle w:val="ListParagraph"/>
        <w:numPr>
          <w:ilvl w:val="0"/>
          <w:numId w:val="2"/>
        </w:numPr>
      </w:pPr>
      <w:r>
        <w:t>Understand memory synchronization and semaphores</w:t>
      </w:r>
    </w:p>
    <w:p w:rsidR="00115DA5" w:rsidRDefault="00115DA5" w:rsidP="00115DA5">
      <w:pPr>
        <w:pStyle w:val="ListParagraph"/>
        <w:numPr>
          <w:ilvl w:val="0"/>
          <w:numId w:val="2"/>
        </w:numPr>
      </w:pPr>
      <w:r>
        <w:t>Discuss the tradeoffs the operating system makes between performance and interactivity</w:t>
      </w:r>
    </w:p>
    <w:p w:rsidR="00115DA5" w:rsidRDefault="00115DA5" w:rsidP="00115DA5">
      <w:pPr>
        <w:pStyle w:val="ListParagraph"/>
        <w:numPr>
          <w:ilvl w:val="0"/>
          <w:numId w:val="2"/>
        </w:numPr>
      </w:pPr>
      <w:r>
        <w:t>Understand how memory is created, accessed, and written</w:t>
      </w:r>
    </w:p>
    <w:p w:rsidR="00115DA5" w:rsidRDefault="00115DA5" w:rsidP="00115DA5">
      <w:pPr>
        <w:pStyle w:val="ListParagraph"/>
        <w:numPr>
          <w:ilvl w:val="0"/>
          <w:numId w:val="2"/>
        </w:numPr>
      </w:pPr>
      <w:r>
        <w:t>Understand the underlying behavior behind operation systems abstractions such as files, concurrency, and memory</w:t>
      </w:r>
    </w:p>
    <w:p w:rsidR="0011364A" w:rsidRDefault="0011364A"/>
    <w:p w:rsidR="0011364A" w:rsidRPr="00301306" w:rsidRDefault="0011364A">
      <w:pPr>
        <w:rPr>
          <w:b/>
        </w:rPr>
      </w:pPr>
      <w:r w:rsidRPr="00301306">
        <w:rPr>
          <w:b/>
        </w:rPr>
        <w:t>Grading:</w:t>
      </w:r>
    </w:p>
    <w:p w:rsidR="0011364A" w:rsidRDefault="0011364A">
      <w:r>
        <w:t xml:space="preserve">Two exams: </w:t>
      </w:r>
      <w:r>
        <w:tab/>
      </w:r>
      <w:r>
        <w:tab/>
      </w:r>
      <w:r>
        <w:tab/>
        <w:t>40%</w:t>
      </w:r>
    </w:p>
    <w:p w:rsidR="0011364A" w:rsidRDefault="00EB081A">
      <w:r>
        <w:t xml:space="preserve">Final: </w:t>
      </w:r>
      <w:r>
        <w:tab/>
      </w:r>
      <w:r>
        <w:tab/>
      </w:r>
      <w:r>
        <w:tab/>
      </w:r>
      <w:r>
        <w:tab/>
        <w:t>20</w:t>
      </w:r>
      <w:r w:rsidR="0011364A">
        <w:t>%</w:t>
      </w:r>
    </w:p>
    <w:p w:rsidR="0011364A" w:rsidRDefault="0011364A">
      <w:r>
        <w:t xml:space="preserve">Programming Assignments: </w:t>
      </w:r>
      <w:r>
        <w:tab/>
        <w:t>25%</w:t>
      </w:r>
    </w:p>
    <w:p w:rsidR="0011364A" w:rsidRDefault="0011364A">
      <w:r>
        <w:t>Quizzes and homework:</w:t>
      </w:r>
      <w:r>
        <w:tab/>
      </w:r>
      <w:r>
        <w:tab/>
        <w:t>15%</w:t>
      </w:r>
    </w:p>
    <w:p w:rsidR="0011364A" w:rsidRDefault="00DD4DFF">
      <w:pPr>
        <w:rPr>
          <w:sz w:val="20"/>
          <w:szCs w:val="20"/>
        </w:rPr>
      </w:pPr>
      <w:r w:rsidRPr="00AD7E91">
        <w:rPr>
          <w:sz w:val="20"/>
          <w:szCs w:val="20"/>
        </w:rPr>
        <w:t>A:92-100 A-: 90-91 B+ 88-89 B:82-87 B-: 80-81 C+ 78-79 C:72-77 C-:70-71 D+</w:t>
      </w:r>
      <w:r w:rsidR="00AD7E91" w:rsidRPr="00AD7E91">
        <w:rPr>
          <w:sz w:val="20"/>
          <w:szCs w:val="20"/>
        </w:rPr>
        <w:t>: 68-69 D: 62-67 D- 60-61 F:0-59</w:t>
      </w:r>
    </w:p>
    <w:p w:rsidR="00AC4256" w:rsidRDefault="00AC4256"/>
    <w:p w:rsidR="00AC4256" w:rsidRPr="00301306" w:rsidRDefault="00AC4256">
      <w:pPr>
        <w:rPr>
          <w:b/>
        </w:rPr>
      </w:pPr>
      <w:r w:rsidRPr="00301306">
        <w:rPr>
          <w:b/>
        </w:rPr>
        <w:t>Class Policies:</w:t>
      </w:r>
    </w:p>
    <w:p w:rsidR="00AC4256" w:rsidRDefault="00BA7A57" w:rsidP="00AC4256">
      <w:pPr>
        <w:pStyle w:val="ListParagraph"/>
        <w:numPr>
          <w:ilvl w:val="0"/>
          <w:numId w:val="1"/>
        </w:numPr>
      </w:pPr>
      <w:r>
        <w:t>You must attend 80% of the classes to pass the class.</w:t>
      </w:r>
    </w:p>
    <w:p w:rsidR="00AC4256" w:rsidRDefault="00AC4256" w:rsidP="00AC4256">
      <w:pPr>
        <w:pStyle w:val="ListParagraph"/>
        <w:numPr>
          <w:ilvl w:val="0"/>
          <w:numId w:val="1"/>
        </w:numPr>
      </w:pPr>
      <w:r>
        <w:t xml:space="preserve">Assignments must be submitted </w:t>
      </w:r>
      <w:r w:rsidRPr="00AC4256">
        <w:rPr>
          <w:u w:val="single"/>
        </w:rPr>
        <w:t>at the beginning of class</w:t>
      </w:r>
      <w:r>
        <w:t xml:space="preserve"> the day that they are due.  They will </w:t>
      </w:r>
      <w:r w:rsidR="002B6B1C">
        <w:t>not be accepted after that time.</w:t>
      </w:r>
    </w:p>
    <w:p w:rsidR="002B6B1C" w:rsidRDefault="00B71EFC" w:rsidP="00AC4256">
      <w:pPr>
        <w:pStyle w:val="ListParagraph"/>
        <w:numPr>
          <w:ilvl w:val="0"/>
          <w:numId w:val="1"/>
        </w:numPr>
      </w:pPr>
      <w:r>
        <w:t>Quizzes will be unannounced and there will be no make-up quizzes.</w:t>
      </w:r>
    </w:p>
    <w:p w:rsidR="00DF5559" w:rsidRDefault="00DF5559" w:rsidP="00AC4256">
      <w:pPr>
        <w:pStyle w:val="ListParagraph"/>
        <w:numPr>
          <w:ilvl w:val="0"/>
          <w:numId w:val="1"/>
        </w:numPr>
      </w:pPr>
      <w:r>
        <w:lastRenderedPageBreak/>
        <w:t>Cellphone usage in class will result in the student being excused from class for the day without credit for attendance.</w:t>
      </w:r>
      <w:bookmarkStart w:id="0" w:name="_GoBack"/>
      <w:bookmarkEnd w:id="0"/>
    </w:p>
    <w:p w:rsidR="00B71EFC" w:rsidRDefault="008F3420" w:rsidP="00AC4256">
      <w:pPr>
        <w:pStyle w:val="ListParagraph"/>
        <w:numPr>
          <w:ilvl w:val="0"/>
          <w:numId w:val="1"/>
        </w:numPr>
      </w:pPr>
      <w:r>
        <w:t xml:space="preserve">Grade change requests are due within 7 days of the date that the assignment is returned.  </w:t>
      </w:r>
      <w:r w:rsidR="002E12A2">
        <w:t>They must be submitted by stapling the Regrade Request form found on the Canvas site to the returned hardcopy of the assignment.  This can be done during class or during my office hours.</w:t>
      </w:r>
    </w:p>
    <w:p w:rsidR="00B80C4E" w:rsidRDefault="00B80C4E" w:rsidP="00B80C4E">
      <w:pPr>
        <w:pStyle w:val="ListParagraph"/>
        <w:numPr>
          <w:ilvl w:val="0"/>
          <w:numId w:val="1"/>
        </w:numPr>
      </w:pPr>
      <w:r>
        <w:t>There will be no make-up exams without an approved university</w:t>
      </w:r>
      <w:r w:rsidR="000C6C2E">
        <w:t xml:space="preserve"> absence</w:t>
      </w:r>
      <w:r>
        <w:t xml:space="preserve">, see </w:t>
      </w:r>
      <w:hyperlink r:id="rId6" w:history="1">
        <w:r w:rsidRPr="001D029A">
          <w:rPr>
            <w:rStyle w:val="Hyperlink"/>
          </w:rPr>
          <w:t>http://www.baylor.edu/facultyhandbook/index.php?id=70187</w:t>
        </w:r>
      </w:hyperlink>
      <w:r>
        <w:t>.  You will need to contact me within 24 hours to inform me of an excused absence to receive a make-up exam.</w:t>
      </w:r>
    </w:p>
    <w:p w:rsidR="0008205F" w:rsidRDefault="0008205F" w:rsidP="00B80C4E">
      <w:pPr>
        <w:pStyle w:val="ListParagraph"/>
        <w:numPr>
          <w:ilvl w:val="0"/>
          <w:numId w:val="1"/>
        </w:numPr>
      </w:pPr>
      <w:r>
        <w:t>Office Visit Policy: Office hour times are listed on the course Canvas site.  Office hours may also be available by appointment through email.  No questions will be answered about a program the day it is due.</w:t>
      </w:r>
    </w:p>
    <w:p w:rsidR="00B85819" w:rsidRDefault="00B85819" w:rsidP="00B80C4E">
      <w:pPr>
        <w:pStyle w:val="ListParagraph"/>
        <w:numPr>
          <w:ilvl w:val="0"/>
          <w:numId w:val="1"/>
        </w:numPr>
      </w:pPr>
      <w:r>
        <w:t>Additional information about the course will be listed on the course Canvas page.  It is the student’s responsibility to regularly check this page.  Failure to check the page is not an excuse if you are uninformed about an announcement.</w:t>
      </w:r>
    </w:p>
    <w:p w:rsidR="00DE246A" w:rsidRDefault="00DE246A" w:rsidP="00DE246A">
      <w:pPr>
        <w:pStyle w:val="xmsonormal"/>
        <w:shd w:val="clear" w:color="auto" w:fill="FFFFFF"/>
        <w:spacing w:before="0" w:beforeAutospacing="0" w:after="0" w:afterAutospacing="0"/>
        <w:ind w:left="720"/>
        <w:rPr>
          <w:rFonts w:ascii="Calibri" w:hAnsi="Calibri"/>
          <w:color w:val="212121"/>
        </w:rPr>
      </w:pPr>
      <w:r>
        <w:rPr>
          <w:rFonts w:ascii="Calibri" w:hAnsi="Calibri"/>
          <w:b/>
          <w:bCs/>
          <w:color w:val="212121"/>
          <w:sz w:val="22"/>
          <w:szCs w:val="22"/>
        </w:rPr>
        <w:t>Baylor University Title IX</w:t>
      </w:r>
    </w:p>
    <w:p w:rsidR="00DE246A" w:rsidRDefault="00DE246A" w:rsidP="00DE246A">
      <w:pPr>
        <w:pStyle w:val="xmsonormal"/>
        <w:shd w:val="clear" w:color="auto" w:fill="FFFFFF"/>
        <w:spacing w:before="0" w:beforeAutospacing="0" w:after="0" w:afterAutospacing="0"/>
        <w:ind w:left="720"/>
        <w:rPr>
          <w:rFonts w:ascii="Calibri" w:hAnsi="Calibri"/>
          <w:color w:val="212121"/>
        </w:rPr>
      </w:pPr>
      <w:r>
        <w:rPr>
          <w:rFonts w:ascii="Calibri" w:hAnsi="Calibri"/>
          <w:i/>
          <w:iCs/>
          <w:color w:val="212121"/>
          <w:sz w:val="22"/>
          <w:szCs w:val="22"/>
        </w:rPr>
        <w:t>Sexual and Gender-Based Harassment and Interpersonal Violence Policy</w:t>
      </w:r>
    </w:p>
    <w:p w:rsidR="00DE246A" w:rsidRDefault="00DE246A" w:rsidP="00DE246A">
      <w:pPr>
        <w:pStyle w:val="xmsonormal"/>
        <w:shd w:val="clear" w:color="auto" w:fill="FFFFFF"/>
        <w:spacing w:before="0" w:beforeAutospacing="0" w:after="0" w:afterAutospacing="0"/>
        <w:ind w:left="720"/>
        <w:rPr>
          <w:rFonts w:ascii="Calibri" w:hAnsi="Calibri"/>
          <w:color w:val="212121"/>
        </w:rPr>
      </w:pPr>
      <w:r>
        <w:rPr>
          <w:rFonts w:ascii="Calibri" w:hAnsi="Calibri"/>
          <w:color w:val="212121"/>
          <w:sz w:val="22"/>
          <w:szCs w:val="22"/>
        </w:rPr>
        <w:t>Baylor University does not discriminate on the basis of sex or gender in any of its education or employment programs and activities, and it does not tolerate discrimination or harassment on the basis of sex or gender. This policy prohibits sexual and gender-based harassment, sexual assault, sexual exploitation, stalking, intimate partner violence, and retaliation (collectively referred to as prohibited conduct).</w:t>
      </w:r>
    </w:p>
    <w:p w:rsidR="00DE246A" w:rsidRDefault="00DE246A" w:rsidP="00DE246A">
      <w:pPr>
        <w:pStyle w:val="xmsonormal"/>
        <w:shd w:val="clear" w:color="auto" w:fill="FFFFFF"/>
        <w:spacing w:before="0" w:beforeAutospacing="0" w:after="0" w:afterAutospacing="0"/>
        <w:ind w:left="720"/>
        <w:rPr>
          <w:rFonts w:ascii="Calibri" w:hAnsi="Calibri"/>
          <w:color w:val="212121"/>
        </w:rPr>
      </w:pPr>
      <w:r>
        <w:rPr>
          <w:rFonts w:ascii="Calibri" w:hAnsi="Calibri"/>
          <w:color w:val="212121"/>
          <w:sz w:val="22"/>
          <w:szCs w:val="22"/>
        </w:rPr>
        <w:t>For more information on how to report or to learn more about our policy and process, please visit </w:t>
      </w:r>
      <w:hyperlink r:id="rId7" w:tgtFrame="_blank" w:history="1">
        <w:r>
          <w:rPr>
            <w:rStyle w:val="Hyperlink"/>
            <w:rFonts w:ascii="Calibri" w:hAnsi="Calibri"/>
            <w:sz w:val="22"/>
            <w:szCs w:val="22"/>
          </w:rPr>
          <w:t>www.baylor.edu/titleix</w:t>
        </w:r>
      </w:hyperlink>
      <w:r>
        <w:rPr>
          <w:rFonts w:ascii="Calibri" w:hAnsi="Calibri"/>
          <w:color w:val="212121"/>
          <w:sz w:val="22"/>
          <w:szCs w:val="22"/>
        </w:rPr>
        <w:t> or call the Title IX Office at (254) 710-8454.</w:t>
      </w:r>
    </w:p>
    <w:p w:rsidR="00714701" w:rsidRDefault="00714701" w:rsidP="003F3D07">
      <w:pPr>
        <w:ind w:left="360"/>
      </w:pPr>
    </w:p>
    <w:p w:rsidR="003F3D07" w:rsidRPr="00301306" w:rsidRDefault="003F3D07" w:rsidP="003F3D07">
      <w:pPr>
        <w:ind w:left="360"/>
        <w:rPr>
          <w:b/>
        </w:rPr>
      </w:pPr>
      <w:r w:rsidRPr="00301306">
        <w:rPr>
          <w:b/>
        </w:rPr>
        <w:t>Academic Integrity</w:t>
      </w:r>
    </w:p>
    <w:p w:rsidR="003F3D07" w:rsidRDefault="003F3D07" w:rsidP="003F3D07">
      <w:pPr>
        <w:ind w:left="360"/>
      </w:pPr>
      <w:r>
        <w:t xml:space="preserve">Discussing the material </w:t>
      </w:r>
      <w:r w:rsidR="00095DC6">
        <w:t xml:space="preserve">at a high level </w:t>
      </w:r>
      <w:r>
        <w:t>and studying together is encouraged.  However, all of the work in this course is individual, so no collaboration is allowed.  Cheating will result in failure of the class for both the copier and copiee</w:t>
      </w:r>
      <w:r w:rsidR="004514A6">
        <w:t xml:space="preserve"> and they will be reported to the Honor’s Council</w:t>
      </w:r>
      <w:r>
        <w:t xml:space="preserve">.  Please talk to me if you have questions about </w:t>
      </w:r>
      <w:r w:rsidR="00D8553B">
        <w:t>a program or assignment</w:t>
      </w:r>
      <w:r>
        <w:t>, since the professor probably understands the material better than your fellow students anyway.  If you are unsure if a particular action is an academic integrity violation, check with me</w:t>
      </w:r>
      <w:r w:rsidR="005A1D6E">
        <w:t xml:space="preserve"> first</w:t>
      </w:r>
      <w:r>
        <w:t xml:space="preserve">. The Baylor honor code, </w:t>
      </w:r>
      <w:hyperlink r:id="rId8" w:history="1">
        <w:r w:rsidRPr="001D029A">
          <w:rPr>
            <w:rStyle w:val="Hyperlink"/>
          </w:rPr>
          <w:t>http://www.baylor.edu/honorcode/index.php?id=44060</w:t>
        </w:r>
      </w:hyperlink>
      <w:r>
        <w:t>, lists the following as some possible academic integrity violations:</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t>(1)</w:t>
      </w:r>
      <w:r w:rsidRPr="00494AD6">
        <w:rPr>
          <w:rFonts w:asciiTheme="minorHAnsi" w:hAnsiTheme="minorHAnsi"/>
          <w:sz w:val="22"/>
          <w:szCs w:val="22"/>
        </w:rPr>
        <w:t xml:space="preserve"> Offering for course credit as one's own work, in whole or in part, the work of another. </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t>(2)</w:t>
      </w:r>
      <w:r w:rsidRPr="00494AD6">
        <w:rPr>
          <w:rFonts w:asciiTheme="minorHAnsi" w:hAnsiTheme="minorHAnsi"/>
          <w:sz w:val="22"/>
          <w:szCs w:val="22"/>
        </w:rPr>
        <w:t xml:space="preserve"> Plagiarism, that is, incorporating into one's work offered for course credit passages taken either word for word or in substance from a work of another, unless the student credits the original author and identifies the original author's work with quotation marks, footnotes, or another appropriate written explanation. </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t>(3)</w:t>
      </w:r>
      <w:r w:rsidRPr="00494AD6">
        <w:rPr>
          <w:rFonts w:asciiTheme="minorHAnsi" w:hAnsiTheme="minorHAnsi"/>
          <w:sz w:val="22"/>
          <w:szCs w:val="22"/>
        </w:rPr>
        <w:t xml:space="preserve"> Offering for course credit one's own work, but work that one has previously offered for course credit in another course, unless one secures permission to do so prior to submission from the instructor in whose course the work is being offered. </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lastRenderedPageBreak/>
        <w:t>(4)</w:t>
      </w:r>
      <w:r w:rsidRPr="00494AD6">
        <w:rPr>
          <w:rFonts w:asciiTheme="minorHAnsi" w:hAnsiTheme="minorHAnsi"/>
          <w:sz w:val="22"/>
          <w:szCs w:val="22"/>
        </w:rPr>
        <w:t xml:space="preserve"> Offering for course credit work prepared in collaboration with another, unless the student secures the instructor's permission in advance of submission. A student does not prepare work in collaboration with another if he or she merely discusses with another a matter relevant to the work in question. </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t>(5)</w:t>
      </w:r>
      <w:r w:rsidRPr="00494AD6">
        <w:rPr>
          <w:rFonts w:asciiTheme="minorHAnsi" w:hAnsiTheme="minorHAnsi"/>
          <w:sz w:val="22"/>
          <w:szCs w:val="22"/>
        </w:rPr>
        <w:t xml:space="preserve"> Invading or attempting to invade the administrative security maintained for the preparation and storage of examinations. </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t>(6)</w:t>
      </w:r>
      <w:r w:rsidRPr="00494AD6">
        <w:rPr>
          <w:rFonts w:asciiTheme="minorHAnsi" w:hAnsiTheme="minorHAnsi"/>
          <w:sz w:val="22"/>
          <w:szCs w:val="22"/>
        </w:rPr>
        <w:t xml:space="preserve"> Using, during an examination period, material not authorized by the instructor giving the examination. </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t>(7)</w:t>
      </w:r>
      <w:r w:rsidRPr="00494AD6">
        <w:rPr>
          <w:rFonts w:asciiTheme="minorHAnsi" w:hAnsiTheme="minorHAnsi"/>
          <w:sz w:val="22"/>
          <w:szCs w:val="22"/>
        </w:rPr>
        <w:t xml:space="preserve"> Taking an examination for another student or knowingly permitting another person to take an examination for oneself.</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t>(8)</w:t>
      </w:r>
      <w:r w:rsidRPr="00494AD6">
        <w:rPr>
          <w:rFonts w:asciiTheme="minorHAnsi" w:hAnsiTheme="minorHAnsi"/>
          <w:sz w:val="22"/>
          <w:szCs w:val="22"/>
        </w:rPr>
        <w:t xml:space="preserve"> Giving, receiving, or obtaining information pertaining to an examination during an examination period, unless such action is authorized by the instructor giving the examination. </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t>(9)</w:t>
      </w:r>
      <w:r w:rsidRPr="00494AD6">
        <w:rPr>
          <w:rFonts w:asciiTheme="minorHAnsi" w:hAnsiTheme="minorHAnsi"/>
          <w:sz w:val="22"/>
          <w:szCs w:val="22"/>
        </w:rPr>
        <w:t xml:space="preserve"> Divulging the contents of an essay or objective examination designated by the instructor as an examination not to be removed from the examination room or discussed.</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t>(10)</w:t>
      </w:r>
      <w:r w:rsidRPr="00494AD6">
        <w:rPr>
          <w:rFonts w:asciiTheme="minorHAnsi" w:hAnsiTheme="minorHAnsi"/>
          <w:sz w:val="22"/>
          <w:szCs w:val="22"/>
        </w:rPr>
        <w:t xml:space="preserve"> Taking, keeping, misplacing, tampering with, or damaging the property of Baylor University, a faculty member, or another student, if one knows or should reasonably know that one would, by such conduct, obtain an unfair academic advantage. This section is intended to include, but not be limited to, material in a university library. </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t>(11)</w:t>
      </w:r>
      <w:r w:rsidRPr="00494AD6">
        <w:rPr>
          <w:rFonts w:asciiTheme="minorHAnsi" w:hAnsiTheme="minorHAnsi"/>
          <w:sz w:val="22"/>
          <w:szCs w:val="22"/>
        </w:rPr>
        <w:t xml:space="preserve"> Misrepresenting facts about one's self or another for the purpose of obtaining an advantage, either academic or financial, or for the purpose of injuring another student academically or financially, including providing false grades for resumes for placement use. </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t>(12)</w:t>
      </w:r>
      <w:r w:rsidRPr="00494AD6">
        <w:rPr>
          <w:rFonts w:asciiTheme="minorHAnsi" w:hAnsiTheme="minorHAnsi"/>
          <w:sz w:val="22"/>
          <w:szCs w:val="22"/>
        </w:rPr>
        <w:t xml:space="preserve"> Failing to follow the instructions of a professor in completing an assignment or examination, if one knows or should reasonably know that one would, by such conduct, obtain an unfair academic advantage. </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t>(13)</w:t>
      </w:r>
      <w:r w:rsidRPr="00494AD6">
        <w:rPr>
          <w:rFonts w:asciiTheme="minorHAnsi" w:hAnsiTheme="minorHAnsi"/>
          <w:sz w:val="22"/>
          <w:szCs w:val="22"/>
        </w:rPr>
        <w:t xml:space="preserve"> Taking, without first reporting such fact to the appropriate faculty member, an examination about which one has unauthorized information, even though such information was obtained unintentionally. </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t>(14)</w:t>
      </w:r>
      <w:r w:rsidRPr="00494AD6">
        <w:rPr>
          <w:rFonts w:asciiTheme="minorHAnsi" w:hAnsiTheme="minorHAnsi"/>
          <w:sz w:val="22"/>
          <w:szCs w:val="22"/>
        </w:rPr>
        <w:t xml:space="preserve"> Witnessing conduct which one knows or should reasonably know is dishonorable and failing to report it as required by this Honor Code. </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t>(15)</w:t>
      </w:r>
      <w:r w:rsidRPr="00494AD6">
        <w:rPr>
          <w:rFonts w:asciiTheme="minorHAnsi" w:hAnsiTheme="minorHAnsi"/>
          <w:sz w:val="22"/>
          <w:szCs w:val="22"/>
        </w:rPr>
        <w:t xml:space="preserve"> Communicating with a member of the Honor Council, other than the chair, about an alleged violation of the Honor Code that has been brought to the Honor Council, but not heard. It is the intent of this paragraph to prevent ex parte communications with members of the Honor Council. </w:t>
      </w:r>
    </w:p>
    <w:p w:rsidR="003F3D07" w:rsidRPr="00494AD6" w:rsidRDefault="003F3D07" w:rsidP="003F3D07">
      <w:pPr>
        <w:pStyle w:val="NormalWeb"/>
        <w:rPr>
          <w:rFonts w:asciiTheme="minorHAnsi" w:hAnsiTheme="minorHAnsi"/>
          <w:sz w:val="22"/>
          <w:szCs w:val="22"/>
        </w:rPr>
      </w:pPr>
      <w:r w:rsidRPr="00494AD6">
        <w:rPr>
          <w:rFonts w:asciiTheme="minorHAnsi" w:hAnsiTheme="minorHAnsi"/>
          <w:b/>
          <w:bCs/>
          <w:sz w:val="22"/>
          <w:szCs w:val="22"/>
        </w:rPr>
        <w:t>(16)</w:t>
      </w:r>
      <w:r w:rsidRPr="00494AD6">
        <w:rPr>
          <w:rFonts w:asciiTheme="minorHAnsi" w:hAnsiTheme="minorHAnsi"/>
          <w:sz w:val="22"/>
          <w:szCs w:val="22"/>
        </w:rPr>
        <w:t xml:space="preserve"> Altering or falsifying academic documents such as transcripts, change of schedule forms, closed class cards, doctors' excuses, grade reports, and other such documents. </w:t>
      </w:r>
    </w:p>
    <w:p w:rsidR="003F3D07" w:rsidRPr="00494AD6" w:rsidRDefault="003F3D07" w:rsidP="003F3D07">
      <w:pPr>
        <w:ind w:left="360"/>
      </w:pPr>
    </w:p>
    <w:sectPr w:rsidR="003F3D07" w:rsidRPr="00494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E50E19"/>
    <w:multiLevelType w:val="hybridMultilevel"/>
    <w:tmpl w:val="00F4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CE0321"/>
    <w:multiLevelType w:val="hybridMultilevel"/>
    <w:tmpl w:val="5A88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E3C"/>
    <w:rsid w:val="0008205F"/>
    <w:rsid w:val="00095DC6"/>
    <w:rsid w:val="000B762D"/>
    <w:rsid w:val="000C6C2E"/>
    <w:rsid w:val="0011364A"/>
    <w:rsid w:val="00115DA5"/>
    <w:rsid w:val="002B6B1C"/>
    <w:rsid w:val="002E12A2"/>
    <w:rsid w:val="002F4DD6"/>
    <w:rsid w:val="00301306"/>
    <w:rsid w:val="003B362C"/>
    <w:rsid w:val="003F3D07"/>
    <w:rsid w:val="004514A6"/>
    <w:rsid w:val="00494AD6"/>
    <w:rsid w:val="004C3451"/>
    <w:rsid w:val="005A1D6E"/>
    <w:rsid w:val="00714701"/>
    <w:rsid w:val="00831E29"/>
    <w:rsid w:val="008F3420"/>
    <w:rsid w:val="009F650F"/>
    <w:rsid w:val="00A84E3C"/>
    <w:rsid w:val="00AC4256"/>
    <w:rsid w:val="00AD7E91"/>
    <w:rsid w:val="00B71EFC"/>
    <w:rsid w:val="00B80C4E"/>
    <w:rsid w:val="00B85819"/>
    <w:rsid w:val="00BA7A57"/>
    <w:rsid w:val="00C74B7E"/>
    <w:rsid w:val="00C97A96"/>
    <w:rsid w:val="00D8553B"/>
    <w:rsid w:val="00DD4DFF"/>
    <w:rsid w:val="00DE246A"/>
    <w:rsid w:val="00DF5559"/>
    <w:rsid w:val="00EB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C56A5-3CC2-4619-BE6C-19BCCD04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E3C"/>
    <w:rPr>
      <w:color w:val="0563C1" w:themeColor="hyperlink"/>
      <w:u w:val="single"/>
    </w:rPr>
  </w:style>
  <w:style w:type="paragraph" w:styleId="ListParagraph">
    <w:name w:val="List Paragraph"/>
    <w:basedOn w:val="Normal"/>
    <w:uiPriority w:val="34"/>
    <w:qFormat/>
    <w:rsid w:val="00AC4256"/>
    <w:pPr>
      <w:ind w:left="720"/>
      <w:contextualSpacing/>
    </w:pPr>
  </w:style>
  <w:style w:type="paragraph" w:styleId="NormalWeb">
    <w:name w:val="Normal (Web)"/>
    <w:basedOn w:val="Normal"/>
    <w:uiPriority w:val="99"/>
    <w:semiHidden/>
    <w:unhideWhenUsed/>
    <w:rsid w:val="003F3D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DE24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644251">
      <w:bodyDiv w:val="1"/>
      <w:marLeft w:val="0"/>
      <w:marRight w:val="0"/>
      <w:marTop w:val="0"/>
      <w:marBottom w:val="0"/>
      <w:divBdr>
        <w:top w:val="none" w:sz="0" w:space="0" w:color="auto"/>
        <w:left w:val="none" w:sz="0" w:space="0" w:color="auto"/>
        <w:bottom w:val="none" w:sz="0" w:space="0" w:color="auto"/>
        <w:right w:val="none" w:sz="0" w:space="0" w:color="auto"/>
      </w:divBdr>
    </w:div>
    <w:div w:id="213235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ylor.edu/honorcode/index.php?id=44060" TargetMode="External"/><Relationship Id="rId3" Type="http://schemas.openxmlformats.org/officeDocument/2006/relationships/settings" Target="settings.xml"/><Relationship Id="rId7" Type="http://schemas.openxmlformats.org/officeDocument/2006/relationships/hyperlink" Target="http://www.baylor.edu/title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ylor.edu/facultyhandbook/index.php?id=70187" TargetMode="External"/><Relationship Id="rId5" Type="http://schemas.openxmlformats.org/officeDocument/2006/relationships/hyperlink" Target="mailto:Matthew_Fendt@baylor.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Baylor University - ECS</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Fendt</dc:creator>
  <cp:keywords/>
  <dc:description/>
  <cp:lastModifiedBy>Matthew Fendt</cp:lastModifiedBy>
  <cp:revision>31</cp:revision>
  <dcterms:created xsi:type="dcterms:W3CDTF">2014-11-06T18:55:00Z</dcterms:created>
  <dcterms:modified xsi:type="dcterms:W3CDTF">2018-01-05T18:47:00Z</dcterms:modified>
</cp:coreProperties>
</file>