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sz w:val="52"/>
          <w:szCs w:val="52"/>
          <w:rtl w:val="0"/>
        </w:rPr>
        <w:t xml:space="preserve">Literature Survey Report</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rFonts w:ascii="Calibri" w:cs="Calibri" w:eastAsia="Calibri" w:hAnsi="Calibri"/>
          <w:b w:val="1"/>
          <w:bCs w:val="1"/>
          <w:sz w:val="32"/>
          <w:szCs w:val="32"/>
          <w:rtl w:val="0"/>
        </w:rPr>
        <w:t xml:space="preserve">Learned, Uncertainty-Aware Scheduling for Lakehouse Storage Maintenance</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rFonts w:ascii="Calibri" w:cs="Calibri" w:eastAsia="Calibri" w:hAnsi="Calibri"/>
          <w:i w:val="1"/>
          <w:iCs w:val="1"/>
          <w:sz w:val="24"/>
          <w:szCs w:val="24"/>
          <w:rtl w:val="0"/>
        </w:rPr>
        <w:t xml:space="preserve">A survey of the compaction, table-layout-optimization, and learned-cost-model literature supporting a proposed research gap: learned, calibrated-uncertainty scheduling of storage maintenance operations relative to concurrent query-workload interference.</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b w:val="1"/>
          <w:bCs w:val="1"/>
          <w:sz w:val="22"/>
          <w:szCs w:val="22"/>
          <w:rtl w:val="0"/>
        </w:rPr>
        <w:t xml:space="preserve">Prepared by: </w:t>
      </w:r>
      <w:r w:rsidDel="00000000" w:rsidR="00000000" w:rsidRPr="00000000">
        <w:rPr>
          <w:rFonts w:ascii="Calibri" w:cs="Calibri" w:eastAsia="Calibri" w:hAnsi="Calibri"/>
          <w:sz w:val="22"/>
          <w:szCs w:val="22"/>
          <w:rtl w:val="0"/>
        </w:rPr>
        <w:t xml:space="preserve">Shashank Keshava Murthy, Shashank D, Prachi, Samarth</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b w:val="1"/>
          <w:bCs w:val="1"/>
          <w:sz w:val="22"/>
          <w:szCs w:val="22"/>
          <w:rtl w:val="0"/>
        </w:rPr>
        <w:t xml:space="preserve">Affiliation: </w:t>
      </w:r>
      <w:r w:rsidDel="00000000" w:rsidR="00000000" w:rsidRPr="00000000">
        <w:rPr>
          <w:rFonts w:ascii="Calibri" w:cs="Calibri" w:eastAsia="Calibri" w:hAnsi="Calibri"/>
          <w:sz w:val="22"/>
          <w:szCs w:val="22"/>
          <w:rtl w:val="0"/>
        </w:rPr>
        <w:t xml:space="preserve">PES University, Bengaluru — Centre for Data Science and Applied Machine Learning (CDSAML)</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Calibri" w:cs="Calibri" w:eastAsia="Calibri" w:hAnsi="Calibri"/>
          <w:b w:val="1"/>
          <w:bCs w:val="1"/>
          <w:sz w:val="22"/>
          <w:szCs w:val="22"/>
          <w:rtl w:val="0"/>
        </w:rPr>
        <w:t xml:space="preserve">Target Venue: </w:t>
      </w:r>
      <w:r w:rsidDel="00000000" w:rsidR="00000000" w:rsidRPr="00000000">
        <w:rPr>
          <w:rFonts w:ascii="Calibri" w:cs="Calibri" w:eastAsia="Calibri" w:hAnsi="Calibri"/>
          <w:sz w:val="22"/>
          <w:szCs w:val="22"/>
          <w:rtl w:val="0"/>
        </w:rPr>
        <w:t xml:space="preserve">PVLDB, February 2027 submission cycle</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Calibri" w:cs="Calibri" w:eastAsia="Calibri" w:hAnsi="Calibri"/>
          <w:b w:val="1"/>
          <w:bCs w:val="1"/>
          <w:sz w:val="22"/>
          <w:szCs w:val="22"/>
          <w:rtl w:val="0"/>
        </w:rPr>
        <w:t xml:space="preserve">Date: </w:t>
      </w:r>
      <w:r w:rsidDel="00000000" w:rsidR="00000000" w:rsidRPr="00000000">
        <w:rPr>
          <w:rFonts w:ascii="Calibri" w:cs="Calibri" w:eastAsia="Calibri" w:hAnsi="Calibri"/>
          <w:sz w:val="22"/>
          <w:szCs w:val="22"/>
          <w:rtl w:val="0"/>
        </w:rPr>
        <w:t xml:space="preserve">August 2026</w:t>
      </w:r>
      <w:r w:rsidDel="00000000" w:rsidR="00000000" w:rsidRPr="00000000">
        <w:rPr>
          <w:rtl w:val="0"/>
        </w:rPr>
      </w:r>
    </w:p>
    <w:p w:rsidR="00000000" w:rsidDel="00000000" w:rsidP="00000000" w:rsidRDefault="00000000" w:rsidRPr="00000000" w14:paraId="00000009">
      <w:pPr>
        <w:rPr/>
        <w:sectPr>
          <w:headerReference r:id="rId6" w:type="default"/>
          <w:pgSz w:h="15840" w:w="12240" w:orient="portrait"/>
          <w:pgMar w:bottom="1440" w:top="1440" w:left="1080" w:right="108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Rule="auto"/>
        <w:rPr>
          <w:color w:val="000000"/>
        </w:rPr>
      </w:pPr>
      <w:r w:rsidDel="00000000" w:rsidR="00000000" w:rsidRPr="00000000">
        <w:rPr>
          <w:color w:val="000000"/>
          <w:rtl w:val="0"/>
        </w:rPr>
        <w:t xml:space="preserve">Table of Contents</w:t>
      </w:r>
    </w:p>
    <w:sdt>
      <w:sdtPr>
        <w:id w:val="1361141086"/>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sectPr>
          <w:type w:val="nextPage"/>
          <w:pgSz w:h="15840" w:w="12240" w:orient="portrait"/>
          <w:pgMar w:bottom="1440" w:top="1440" w:left="1080" w:right="108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color w:val="000000"/>
        </w:rPr>
      </w:pPr>
      <w:r w:rsidDel="00000000" w:rsidR="00000000" w:rsidRPr="00000000">
        <w:rPr>
          <w:color w:val="000000"/>
          <w:rtl w:val="0"/>
        </w:rPr>
        <w:t xml:space="preserve">1. Purpose of This Survey</w:t>
      </w:r>
    </w:p>
    <w:p w:rsidR="00000000" w:rsidDel="00000000" w:rsidP="00000000" w:rsidRDefault="00000000" w:rsidRPr="00000000" w14:paraId="0000000F">
      <w:pPr>
        <w:spacing w:after="160" w:line="276" w:lineRule="auto"/>
        <w:jc w:val="both"/>
        <w:rPr/>
      </w:pPr>
      <w:r w:rsidDel="00000000" w:rsidR="00000000" w:rsidRPr="00000000">
        <w:rPr>
          <w:rFonts w:ascii="Calibri" w:cs="Calibri" w:eastAsia="Calibri" w:hAnsi="Calibri"/>
          <w:sz w:val="22"/>
          <w:szCs w:val="22"/>
          <w:rtl w:val="0"/>
        </w:rPr>
        <w:t xml:space="preserve">This document summarizes the literature review conducted to validate the research gap targeted by our proposed project: a learned, uncertainty-aware scheduler that decides when — not just whether or what — to execute storage maintenance (compaction) in lakehouse table formats such as Apache Iceberg, Delta Lake, and Apache Hudi. Six papers were reviewed in depth, spanning the compaction heuristics literature, workload-driven table layout optimization, learned cost models for database systems, and one directly competing recent preprint. For each paper we document what it contributes, the concrete mechanism by which it achieves that contribution, the evidence presented, and — most importantly for our purposes — the specific gap it leaves open. The final section lists our pivot topics: alternative research directions we can retreat to at defined checkpoints if the core timing hypothesis proves infeasible, so that the project has evaluated fallback options in advance rather than only after a setback.</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rFonts w:ascii="Calibri" w:cs="Calibri" w:eastAsia="Calibri" w:hAnsi="Calibri"/>
          <w:sz w:val="22"/>
          <w:szCs w:val="22"/>
          <w:rtl w:val="0"/>
        </w:rPr>
        <w:t xml:space="preserve">The central claim this survey supports is narrow and falsifiable: across all six papers reviewed, including one published in August 2026 that explicitly targets the same problem family, no published work learns to schedule maintenance execution timing relative to concurrent query-workload interference, and none does so with a calibrated-uncertainty fallback mechanism. Every paper either addresses a different decision (what to compact, what layout to choose, which engine to route a query to) or explicitly flags temporal/timing prediction as unaddressed future work in its own discussion section.</w:t>
      </w:r>
      <w:r w:rsidDel="00000000" w:rsidR="00000000" w:rsidRPr="00000000">
        <w:rPr>
          <w:rtl w:val="0"/>
        </w:rPr>
      </w:r>
    </w:p>
    <w:p w:rsidR="00000000" w:rsidDel="00000000" w:rsidP="00000000" w:rsidRDefault="00000000" w:rsidRPr="00000000" w14:paraId="00000011">
      <w:pPr>
        <w:pStyle w:val="Heading1"/>
        <w:spacing w:after="200" w:before="400" w:lineRule="auto"/>
        <w:rPr>
          <w:color w:val="000000"/>
        </w:rPr>
      </w:pPr>
      <w:r w:rsidDel="00000000" w:rsidR="00000000" w:rsidRPr="00000000">
        <w:rPr>
          <w:color w:val="000000"/>
          <w:rtl w:val="0"/>
        </w:rPr>
        <w:t xml:space="preserve">2. Summary Comparison Table</w:t>
      </w:r>
    </w:p>
    <w:p w:rsidR="00000000" w:rsidDel="00000000" w:rsidP="00000000" w:rsidRDefault="00000000" w:rsidRPr="00000000" w14:paraId="00000012">
      <w:pPr>
        <w:spacing w:after="160" w:line="276" w:lineRule="auto"/>
        <w:jc w:val="both"/>
        <w:rPr/>
        <w:sectPr>
          <w:type w:val="nextPage"/>
          <w:pgSz w:h="15840" w:w="12240" w:orient="portrait"/>
          <w:pgMar w:bottom="1440" w:top="1440" w:left="1080" w:right="1080" w:header="708" w:footer="708"/>
        </w:sectPr>
      </w:pPr>
      <w:r w:rsidDel="00000000" w:rsidR="00000000" w:rsidRPr="00000000">
        <w:rPr>
          <w:rFonts w:ascii="Calibri" w:cs="Calibri" w:eastAsia="Calibri" w:hAnsi="Calibri"/>
          <w:sz w:val="22"/>
          <w:szCs w:val="22"/>
          <w:rtl w:val="0"/>
        </w:rPr>
        <w:t xml:space="preserve">The table below gives a one-glance comparison across all six papers (rendered in landscape orientation for readability; the following page returns to portrait). Full evidence and evaluation detail for each paper is given in the narrative in Section 3.</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130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000"/>
      </w:tblPr>
      <w:tblGrid>
        <w:gridCol w:w="2000"/>
        <w:gridCol w:w="3600"/>
        <w:gridCol w:w="3600"/>
        <w:gridCol w:w="2100"/>
        <w:tblGridChange w:id="0">
          <w:tblGrid>
            <w:gridCol w:w="2000"/>
            <w:gridCol w:w="3600"/>
            <w:gridCol w:w="3600"/>
            <w:gridCol w:w="21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1"/>
                <w:bCs w:val="1"/>
                <w:sz w:val="20"/>
                <w:szCs w:val="20"/>
                <w:rtl w:val="0"/>
              </w:rPr>
              <w:t xml:space="preserve">Paper / Venue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sz w:val="20"/>
                <w:szCs w:val="20"/>
                <w:rtl w:val="0"/>
              </w:rPr>
              <w:t xml:space="preserve">Core Contribution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sz w:val="20"/>
                <w:szCs w:val="20"/>
                <w:rtl w:val="0"/>
              </w:rPr>
              <w:t xml:space="preserve">How It Achieves It (Mechanism)</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sz w:val="20"/>
                <w:szCs w:val="20"/>
                <w:rtl w:val="0"/>
              </w:rPr>
              <w:t xml:space="preserve">Gap It Leaves Open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b w:val="1"/>
                <w:bCs w:val="1"/>
                <w:sz w:val="20"/>
                <w:szCs w:val="20"/>
                <w:rtl w:val="0"/>
              </w:rPr>
              <w:t xml:space="preserve">AutoComp(Gruenheid et al., SIGMOD-Companion 2025)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b w:val="0"/>
                <w:bCs w:val="0"/>
                <w:sz w:val="20"/>
                <w:szCs w:val="20"/>
                <w:rtl w:val="0"/>
              </w:rPr>
              <w:t xml:space="preserve">First comprehensive automated compaction framework; decides which tables/partitions to compact and how urgently, at LinkedIn production scale (35K+ Iceberg tables).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Calibri" w:cs="Calibri" w:eastAsia="Calibri" w:hAnsi="Calibri"/>
                <w:b w:val="0"/>
                <w:bCs w:val="0"/>
                <w:sz w:val="20"/>
                <w:szCs w:val="20"/>
                <w:rtl w:val="0"/>
              </w:rPr>
              <w:t xml:space="preserve">Observe–Orient–Decide–Act (OODA) loop. Hand-built traits (file-count reduction, compute cost) scalarized into a weighted Multi-Objective Optimization Problem (MOOP) ranking function. Deterministic by explicit design (Non-Functional Requirement 2: Explainability).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0"/>
                <w:bCs w:val="0"/>
                <w:sz w:val="20"/>
                <w:szCs w:val="20"/>
                <w:rtl w:val="0"/>
              </w:rPr>
              <w:t xml:space="preserve">Scheduling logic (§4.4/§5) mentions off-peak deferral only as a one-line heuristic contingent on “predictable” usage — no forecasting, no learning, no uncertainty.</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1C">
            <w:pPr>
              <w:spacing w:after="40" w:lineRule="auto"/>
              <w:rPr/>
            </w:pPr>
            <w:r w:rsidDel="00000000" w:rsidR="00000000" w:rsidRPr="00000000">
              <w:rPr>
                <w:rFonts w:ascii="Calibri" w:cs="Calibri" w:eastAsia="Calibri" w:hAnsi="Calibri"/>
                <w:b w:val="1"/>
                <w:bCs w:val="1"/>
                <w:sz w:val="20"/>
                <w:szCs w:val="20"/>
                <w:rtl w:val="0"/>
              </w:rPr>
              <w:t xml:space="preserve">PTO(Meduri et al., IBM Research, SIGMOD 2026)</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0"/>
                <w:bCs w:val="0"/>
                <w:sz w:val="20"/>
                <w:szCs w:val="20"/>
                <w:rtl w:val="0"/>
              </w:rPr>
              <w:t xml:space="preserve">Learns the optimal physical layout (partitioning column, target file size, row-group size, sort strategy) for Iceberg tables from the query workload, via divide-and-conquer candidate search + gradient boosted trees.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0"/>
                <w:bCs w:val="0"/>
                <w:sz w:val="20"/>
                <w:szCs w:val="20"/>
                <w:rtl w:val="0"/>
              </w:rPr>
              <w:t xml:space="preserve">Two-step: (1) heuristically shortlist top-k candidate partitioning/sort columns using filter-column frequency and scan selectivity; (2) train a GBT regressor on skipping-benefit labels from a small (~3–4%) sampled subset of the candidate space, then predict the best full-scale layout.</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0"/>
                <w:bCs w:val="0"/>
                <w:sz w:val="20"/>
                <w:szCs w:val="20"/>
                <w:rtl w:val="0"/>
              </w:rPr>
              <w:t xml:space="preserve">Explicitly states in §2.3 that PTO “is expected to be run in the background periodically” — timing/scheduling is assumed away, not addressed. Answers what layout, never when to apply it relative to load.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0">
            <w:pPr>
              <w:spacing w:after="40" w:lineRule="auto"/>
              <w:rPr/>
            </w:pPr>
            <w:r w:rsidDel="00000000" w:rsidR="00000000" w:rsidRPr="00000000">
              <w:rPr>
                <w:rFonts w:ascii="Calibri" w:cs="Calibri" w:eastAsia="Calibri" w:hAnsi="Calibri"/>
                <w:b w:val="1"/>
                <w:bCs w:val="1"/>
                <w:sz w:val="20"/>
                <w:szCs w:val="20"/>
                <w:rtl w:val="0"/>
              </w:rPr>
              <w:t xml:space="preserve">Smart Compaction(Cutura &amp; Prakash, arXiv Aug 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0"/>
                <w:bCs w:val="0"/>
                <w:sz w:val="20"/>
                <w:szCs w:val="20"/>
                <w:rtl w:val="0"/>
              </w:rPr>
              <w:t xml:space="preserve">Predicts bin-packing compaction utility (continuous file-reduction ratio) directly from Iceberg manifest metadata, without reading data files. Shows the binary compact/don't-compact decision is a trivial deterministic threshold, but the continuous utility prediction genuinely benefits from ML.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b w:val="0"/>
                <w:bCs w:val="0"/>
                <w:sz w:val="20"/>
                <w:szCs w:val="20"/>
                <w:rtl w:val="0"/>
              </w:rPr>
              <w:t xml:space="preserve">17 metadata features (file counts, size statistics, partition-level ratios) extracted from manifests only. XGBoost regressor trained on 2,376 simulated Iceberg tables spanning 3 orders of magnitude in file size, engineered specifically to avoid a “tautology trap” where uniform file sizes make the task trivially solvable.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b w:val="0"/>
                <w:bCs w:val="0"/>
                <w:sz w:val="20"/>
                <w:szCs w:val="20"/>
                <w:rtl w:val="0"/>
              </w:rPr>
              <w:t xml:space="preserve">Static-snapshot only — zero query-load or concurrency features in the entire 17-feature set. §I.5 explicitly lists “Temporal evolution” as future work: “forecasting compaction need k commits ahead” is named directly as unaddressed.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24">
            <w:pPr>
              <w:spacing w:after="40" w:lineRule="auto"/>
              <w:rPr/>
            </w:pPr>
            <w:r w:rsidDel="00000000" w:rsidR="00000000" w:rsidRPr="00000000">
              <w:rPr>
                <w:rFonts w:ascii="Calibri" w:cs="Calibri" w:eastAsia="Calibri" w:hAnsi="Calibri"/>
                <w:b w:val="1"/>
                <w:bCs w:val="1"/>
                <w:sz w:val="20"/>
                <w:szCs w:val="20"/>
                <w:rtl w:val="0"/>
              </w:rPr>
              <w:t xml:space="preserve">Cross-Engine LCM(Strausz, Pardon, Giurgiu, IBM Research, PVLDB 2024/preprint)</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5">
            <w:pPr>
              <w:spacing w:after="40" w:lineRule="auto"/>
              <w:rPr/>
            </w:pPr>
            <w:r w:rsidDel="00000000" w:rsidR="00000000" w:rsidRPr="00000000">
              <w:rPr>
                <w:rFonts w:ascii="Calibri" w:cs="Calibri" w:eastAsia="Calibri" w:hAnsi="Calibri"/>
                <w:b w:val="0"/>
                <w:bCs w:val="0"/>
                <w:sz w:val="20"/>
                <w:szCs w:val="20"/>
                <w:rtl w:val="0"/>
              </w:rPr>
              <w:t xml:space="preserve">Learned cost model that routes SQL queries to the best-fit execution engine/provisioning (e.g., Presto vs. Spark, different worker counts) in a lakehouse, replacing manual a priori engine selection.</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6">
            <w:pPr>
              <w:spacing w:after="40" w:lineRule="auto"/>
              <w:rPr/>
            </w:pPr>
            <w:r w:rsidDel="00000000" w:rsidR="00000000" w:rsidRPr="00000000">
              <w:rPr>
                <w:rFonts w:ascii="Calibri" w:cs="Calibri" w:eastAsia="Calibri" w:hAnsi="Calibri"/>
                <w:b w:val="0"/>
                <w:bCs w:val="0"/>
                <w:sz w:val="20"/>
                <w:szCs w:val="20"/>
                <w:rtl w:val="0"/>
              </w:rPr>
              <w:t xml:space="preserve">Query plan (Substrait) encoded as a heterogeneous graph; a shared Bottom-Up Graph Neural Network embedding feeds multiple lightweight per-engine predictor heads (multi-task learning), so adding a new engine needs only a small fine-tuned head, not a full retrain.</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7">
            <w:pPr>
              <w:spacing w:after="40" w:lineRule="auto"/>
              <w:rPr/>
            </w:pPr>
            <w:r w:rsidDel="00000000" w:rsidR="00000000" w:rsidRPr="00000000">
              <w:rPr>
                <w:rFonts w:ascii="Calibri" w:cs="Calibri" w:eastAsia="Calibri" w:hAnsi="Calibri"/>
                <w:b w:val="0"/>
                <w:bCs w:val="0"/>
                <w:sz w:val="20"/>
                <w:szCs w:val="20"/>
                <w:rtl w:val="0"/>
              </w:rPr>
              <w:t xml:space="preserve">Not about maintenance timing at all — addresses query-to-engine routing, a different decision surface. Relevant only as a structural precedent (shared-embedding + multi-head cost prediction) and as a possible pivot direction (Pivot 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8">
            <w:pPr>
              <w:spacing w:after="40" w:lineRule="auto"/>
              <w:rPr/>
            </w:pPr>
            <w:r w:rsidDel="00000000" w:rsidR="00000000" w:rsidRPr="00000000">
              <w:rPr>
                <w:rFonts w:ascii="Calibri" w:cs="Calibri" w:eastAsia="Calibri" w:hAnsi="Calibri"/>
                <w:b w:val="1"/>
                <w:bCs w:val="1"/>
                <w:sz w:val="20"/>
                <w:szCs w:val="20"/>
                <w:rtl w:val="0"/>
              </w:rPr>
              <w:t xml:space="preserve">Table Format Optimizations in Managed Spark for Dataproc(Tarte et al., Google, FORMATS 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9">
            <w:pPr>
              <w:spacing w:after="40" w:lineRule="auto"/>
              <w:rPr/>
            </w:pPr>
            <w:r w:rsidDel="00000000" w:rsidR="00000000" w:rsidRPr="00000000">
              <w:rPr>
                <w:rFonts w:ascii="Calibri" w:cs="Calibri" w:eastAsia="Calibri" w:hAnsi="Calibri"/>
                <w:b w:val="0"/>
                <w:bCs w:val="0"/>
                <w:sz w:val="20"/>
                <w:szCs w:val="20"/>
                <w:rtl w:val="0"/>
              </w:rPr>
              <w:t xml:space="preserve">Production engineering paper on Google Cloud Dataproc: workload-aware I/O pruning, Precision Merge (row-level tracking to cut shuffle in MERGE), and intelligent compaction/VACUUM triggering using historical run patterns.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spacing w:after="40" w:lineRule="auto"/>
              <w:rPr/>
            </w:pPr>
            <w:r w:rsidDel="00000000" w:rsidR="00000000" w:rsidRPr="00000000">
              <w:rPr>
                <w:rFonts w:ascii="Calibri" w:cs="Calibri" w:eastAsia="Calibri" w:hAnsi="Calibri"/>
                <w:b w:val="0"/>
                <w:bCs w:val="0"/>
                <w:sz w:val="20"/>
                <w:szCs w:val="20"/>
                <w:rtl w:val="0"/>
              </w:rPr>
              <w:t xml:space="preserve">§2.1.3 “Intelligent Maintenance via Catalog”: the engine analyzes frequency/duration of past runs and the volume of data modified in the current run to infer whether the next write is likely far enough in the future, then auto-triggers OPTIMIZE during inferred idle cluster time.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spacing w:after="40" w:lineRule="auto"/>
              <w:rPr/>
            </w:pPr>
            <w:r w:rsidDel="00000000" w:rsidR="00000000" w:rsidRPr="00000000">
              <w:rPr>
                <w:rFonts w:ascii="Calibri" w:cs="Calibri" w:eastAsia="Calibri" w:hAnsi="Calibri"/>
                <w:b w:val="0"/>
                <w:bCs w:val="0"/>
                <w:sz w:val="20"/>
                <w:szCs w:val="20"/>
                <w:rtl w:val="0"/>
              </w:rPr>
              <w:t xml:space="preserve">Confirms production systems already treat idle-time-aware maintenance triggering as valuable enough to build — but describes only a historical-frequency heuristic. No published methodology, no learned model, no uncertainty quantification, no evaluation of the timing decision in isolation from the other optimizations.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2C">
            <w:pPr>
              <w:spacing w:after="40" w:lineRule="auto"/>
              <w:rPr/>
            </w:pPr>
            <w:r w:rsidDel="00000000" w:rsidR="00000000" w:rsidRPr="00000000">
              <w:rPr>
                <w:rFonts w:ascii="Calibri" w:cs="Calibri" w:eastAsia="Calibri" w:hAnsi="Calibri"/>
                <w:b w:val="1"/>
                <w:bCs w:val="1"/>
                <w:sz w:val="20"/>
                <w:szCs w:val="20"/>
                <w:rtl w:val="0"/>
              </w:rPr>
              <w:t xml:space="preserve">This Project(proposed)</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D">
            <w:pPr>
              <w:spacing w:after="40" w:lineRule="auto"/>
              <w:rPr/>
            </w:pPr>
            <w:r w:rsidDel="00000000" w:rsidR="00000000" w:rsidRPr="00000000">
              <w:rPr>
                <w:rFonts w:ascii="Calibri" w:cs="Calibri" w:eastAsia="Calibri" w:hAnsi="Calibri"/>
                <w:b w:val="0"/>
                <w:bCs w:val="0"/>
                <w:sz w:val="20"/>
                <w:szCs w:val="20"/>
                <w:rtl w:val="0"/>
              </w:rPr>
              <w:t xml:space="preserve">A learned model that predicts the temporal opportunity for maintenance under concurrent workload interference, paired with calibrated uncertainty that determines when to trust the learned prediction versus fall back to a conservative heuristic.</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E">
            <w:pPr>
              <w:spacing w:after="40" w:lineRule="auto"/>
              <w:rPr/>
            </w:pPr>
            <w:r w:rsidDel="00000000" w:rsidR="00000000" w:rsidRPr="00000000">
              <w:rPr>
                <w:rFonts w:ascii="Calibri" w:cs="Calibri" w:eastAsia="Calibri" w:hAnsi="Calibri"/>
                <w:b w:val="0"/>
                <w:bCs w:val="0"/>
                <w:sz w:val="20"/>
                <w:szCs w:val="20"/>
                <w:rtl w:val="0"/>
              </w:rPr>
              <w:t xml:space="preserve">Interference-cost regression trained on paired control/treatment LST-Bench runs (compaction size × concurrent load × time-of-day), with load realism driven by the Alibaba cluster-trace-v2018 diurnal signal; calibrated uncertainty (conformal prediction / quantile regression) gates a now/off-peak/defer scheduler.</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F">
            <w:pPr>
              <w:spacing w:after="40" w:lineRule="auto"/>
              <w:rPr/>
            </w:pPr>
            <w:r w:rsidDel="00000000" w:rsidR="00000000" w:rsidRPr="00000000">
              <w:rPr>
                <w:rFonts w:ascii="Calibri" w:cs="Calibri" w:eastAsia="Calibri" w:hAnsi="Calibri"/>
                <w:b w:val="0"/>
                <w:bCs w:val="0"/>
                <w:sz w:val="20"/>
                <w:szCs w:val="20"/>
                <w:rtl w:val="0"/>
              </w:rPr>
              <w:t xml:space="preserve">— (this is the gap the other six rows collectively leave open)</w:t>
            </w:r>
            <w:r w:rsidDel="00000000" w:rsidR="00000000" w:rsidRPr="00000000">
              <w:rPr>
                <w:rtl w:val="0"/>
              </w:rPr>
            </w:r>
          </w:p>
        </w:tc>
      </w:tr>
    </w:tbl>
    <w:p w:rsidR="00000000" w:rsidDel="00000000" w:rsidP="00000000" w:rsidRDefault="00000000" w:rsidRPr="00000000" w14:paraId="00000030">
      <w:pPr>
        <w:rPr/>
        <w:sectPr>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031">
      <w:pPr>
        <w:pStyle w:val="Heading1"/>
        <w:spacing w:after="200" w:before="400" w:lineRule="auto"/>
        <w:rPr>
          <w:color w:val="000000"/>
        </w:rPr>
      </w:pPr>
      <w:r w:rsidDel="00000000" w:rsidR="00000000" w:rsidRPr="00000000">
        <w:rPr>
          <w:color w:val="000000"/>
          <w:rtl w:val="0"/>
        </w:rPr>
        <w:t xml:space="preserve">3. Detailed Paper Summaries</w:t>
      </w:r>
    </w:p>
    <w:p w:rsidR="00000000" w:rsidDel="00000000" w:rsidP="00000000" w:rsidRDefault="00000000" w:rsidRPr="00000000" w14:paraId="00000032">
      <w:pPr>
        <w:pStyle w:val="Heading2"/>
        <w:spacing w:after="150" w:before="300" w:lineRule="auto"/>
        <w:rPr>
          <w:color w:val="000000"/>
        </w:rPr>
      </w:pPr>
      <w:r w:rsidDel="00000000" w:rsidR="00000000" w:rsidRPr="00000000">
        <w:rPr>
          <w:color w:val="000000"/>
          <w:rtl w:val="0"/>
        </w:rPr>
        <w:t xml:space="preserve">3.1 AutoComp: Automated Data Compaction for Log-Structured Tables in Data Lakes</w:t>
      </w:r>
    </w:p>
    <w:p w:rsidR="00000000" w:rsidDel="00000000" w:rsidP="00000000" w:rsidRDefault="00000000" w:rsidRPr="00000000" w14:paraId="00000033">
      <w:pPr>
        <w:spacing w:after="160" w:line="276" w:lineRule="auto"/>
        <w:jc w:val="both"/>
        <w:rPr/>
      </w:pPr>
      <w:r w:rsidDel="00000000" w:rsidR="00000000" w:rsidRPr="00000000">
        <w:rPr>
          <w:rFonts w:ascii="Calibri" w:cs="Calibri" w:eastAsia="Calibri" w:hAnsi="Calibri"/>
          <w:b w:val="1"/>
          <w:bCs w:val="1"/>
          <w:sz w:val="22"/>
          <w:szCs w:val="22"/>
          <w:rtl w:val="0"/>
        </w:rPr>
        <w:t xml:space="preserve">Authors / Venue: </w:t>
      </w:r>
      <w:r w:rsidDel="00000000" w:rsidR="00000000" w:rsidRPr="00000000">
        <w:rPr>
          <w:rFonts w:ascii="Calibri" w:cs="Calibri" w:eastAsia="Calibri" w:hAnsi="Calibri"/>
          <w:sz w:val="22"/>
          <w:szCs w:val="22"/>
          <w:rtl w:val="0"/>
        </w:rPr>
        <w:t xml:space="preserve">Gruenheid, Camacho-Rodríguez, Curino, Ramakrishnan (Microsoft); Pak, Sakdeo, Gandhi, Singhal (LinkedIn); Nilangekar, Abadi (University of Maryland). SIGMOD/PODS Companion 2025 (arXiv:2504.04186).</w:t>
      </w:r>
      <w:r w:rsidDel="00000000" w:rsidR="00000000" w:rsidRPr="00000000">
        <w:rPr>
          <w:rtl w:val="0"/>
        </w:rPr>
      </w:r>
    </w:p>
    <w:p w:rsidR="00000000" w:rsidDel="00000000" w:rsidP="00000000" w:rsidRDefault="00000000" w:rsidRPr="00000000" w14:paraId="00000034">
      <w:pPr>
        <w:pStyle w:val="Heading3"/>
        <w:spacing w:after="100" w:before="200" w:lineRule="auto"/>
        <w:rPr>
          <w:color w:val="000000"/>
        </w:rPr>
      </w:pPr>
      <w:r w:rsidDel="00000000" w:rsidR="00000000" w:rsidRPr="00000000">
        <w:rPr>
          <w:color w:val="000000"/>
          <w:rtl w:val="0"/>
        </w:rPr>
        <w:t xml:space="preserve">What it contributes</w:t>
      </w:r>
    </w:p>
    <w:p w:rsidR="00000000" w:rsidDel="00000000" w:rsidP="00000000" w:rsidRDefault="00000000" w:rsidRPr="00000000" w14:paraId="00000035">
      <w:pPr>
        <w:spacing w:after="160" w:line="276" w:lineRule="auto"/>
        <w:jc w:val="both"/>
        <w:rPr/>
      </w:pPr>
      <w:r w:rsidDel="00000000" w:rsidR="00000000" w:rsidRPr="00000000">
        <w:rPr>
          <w:rFonts w:ascii="Calibri" w:cs="Calibri" w:eastAsia="Calibri" w:hAnsi="Calibri"/>
          <w:sz w:val="22"/>
          <w:szCs w:val="22"/>
          <w:rtl w:val="0"/>
        </w:rPr>
        <w:t xml:space="preserve">AutoComp is the most comprehensive published automated compaction framework to date. It addresses the “small file problem” in log-structured table formats (Iceberg, Delta, Hudi) by deciding, at production scale, which tables or partitions should be compacted and how urgently, replacing LinkedIn's earlier manual and fixed-frequency compaction strategies across more than 35,000 onboarded Iceberg tables in their OpenHouse catalog.</w:t>
      </w:r>
      <w:r w:rsidDel="00000000" w:rsidR="00000000" w:rsidRPr="00000000">
        <w:rPr>
          <w:rtl w:val="0"/>
        </w:rPr>
      </w:r>
    </w:p>
    <w:p w:rsidR="00000000" w:rsidDel="00000000" w:rsidP="00000000" w:rsidRDefault="00000000" w:rsidRPr="00000000" w14:paraId="00000036">
      <w:pPr>
        <w:pStyle w:val="Heading3"/>
        <w:spacing w:after="100" w:before="200" w:lineRule="auto"/>
        <w:rPr>
          <w:color w:val="000000"/>
        </w:rPr>
      </w:pPr>
      <w:r w:rsidDel="00000000" w:rsidR="00000000" w:rsidRPr="00000000">
        <w:rPr>
          <w:color w:val="000000"/>
          <w:rtl w:val="0"/>
        </w:rPr>
        <w:t xml:space="preserve">How it achieves it</w:t>
      </w:r>
    </w:p>
    <w:p w:rsidR="00000000" w:rsidDel="00000000" w:rsidP="00000000" w:rsidRDefault="00000000" w:rsidRPr="00000000" w14:paraId="00000037">
      <w:pPr>
        <w:spacing w:after="160" w:line="276" w:lineRule="auto"/>
        <w:jc w:val="both"/>
        <w:rPr/>
      </w:pPr>
      <w:r w:rsidDel="00000000" w:rsidR="00000000" w:rsidRPr="00000000">
        <w:rPr>
          <w:rFonts w:ascii="Calibri" w:cs="Calibri" w:eastAsia="Calibri" w:hAnsi="Calibri"/>
          <w:sz w:val="22"/>
          <w:szCs w:val="22"/>
          <w:rtl w:val="0"/>
        </w:rPr>
        <w:t xml:space="preserve">The framework is structured around an Observe–Orient–Decide–Act (OODA) loop borrowed conceptually from Netflix's auto-optimize functionality. In the Observe phase, raw statistics (file counts, sizes) are extracted per candidate (table, partition, or snapshot scope). In Orient, these become derived “traits” — principally file-count reduction potential and estimated compute cost (GBHr, a function of executor memory and data size). In Decide, traits are min-max normalized and combined into a single scalarized score via a weighted-sum Multi-Objective Optimization Problem (MOOP): higher-scoring candidates are ranked first, and a greedy top-k selection fits as many high-priority tasks as the compute budget allows. In Act, selected candidates are scheduled — either via post-write “optimize-after-write” hooks or periodic standalone execution. Critically, determinism is an explicit design requirement (Non-Functional Requirement 2, “Explainability”): identical inputs must always produce identical decisions. AutoComp is engineered to not be a learned system.</w:t>
      </w:r>
      <w:r w:rsidDel="00000000" w:rsidR="00000000" w:rsidRPr="00000000">
        <w:rPr>
          <w:rtl w:val="0"/>
        </w:rPr>
      </w:r>
    </w:p>
    <w:p w:rsidR="00000000" w:rsidDel="00000000" w:rsidP="00000000" w:rsidRDefault="00000000" w:rsidRPr="00000000" w14:paraId="00000038">
      <w:pPr>
        <w:pStyle w:val="Heading3"/>
        <w:spacing w:after="100" w:before="200" w:lineRule="auto"/>
        <w:rPr>
          <w:color w:val="000000"/>
        </w:rPr>
      </w:pPr>
      <w:r w:rsidDel="00000000" w:rsidR="00000000" w:rsidRPr="00000000">
        <w:rPr>
          <w:color w:val="000000"/>
          <w:rtl w:val="0"/>
        </w:rPr>
        <w:t xml:space="preserve">Evidence</w:t>
      </w:r>
    </w:p>
    <w:p w:rsidR="00000000" w:rsidDel="00000000" w:rsidP="00000000" w:rsidRDefault="00000000" w:rsidRPr="00000000" w14:paraId="00000039">
      <w:pPr>
        <w:spacing w:after="160" w:line="276" w:lineRule="auto"/>
        <w:jc w:val="both"/>
        <w:rPr/>
      </w:pPr>
      <w:r w:rsidDel="00000000" w:rsidR="00000000" w:rsidRPr="00000000">
        <w:rPr>
          <w:rFonts w:ascii="Calibri" w:cs="Calibri" w:eastAsia="Calibri" w:hAnsi="Calibri"/>
          <w:sz w:val="22"/>
          <w:szCs w:val="22"/>
          <w:rtl w:val="0"/>
        </w:rPr>
        <w:t xml:space="preserve">Evaluated both synthetically (CAB-gen-generated TPC-H-schema workloads run through an extended LST-Bench, on Spark 3.1.1 + Iceberg 1.2.0) and in real production deployment. Headline results: up to 44% reduction in files smaller than 128MB in production; switching from manual top-100 to automatic top-10 candidate selection increased total file-count reduction by 12% while touching 10× fewer tables; self-reported estimator error of 19% underestimation on compute cost and 28% overestimation on file-count reduction, evidence that even a deployed, tuned heuristic carries real, unquantified error.</w:t>
      </w:r>
      <w:r w:rsidDel="00000000" w:rsidR="00000000" w:rsidRPr="00000000">
        <w:rPr>
          <w:rtl w:val="0"/>
        </w:rPr>
      </w:r>
    </w:p>
    <w:p w:rsidR="00000000" w:rsidDel="00000000" w:rsidP="00000000" w:rsidRDefault="00000000" w:rsidRPr="00000000" w14:paraId="0000003A">
      <w:pPr>
        <w:pStyle w:val="Heading3"/>
        <w:spacing w:after="100" w:before="200" w:lineRule="auto"/>
        <w:rPr>
          <w:color w:val="000000"/>
        </w:rPr>
      </w:pPr>
      <w:r w:rsidDel="00000000" w:rsidR="00000000" w:rsidRPr="00000000">
        <w:rPr>
          <w:color w:val="000000"/>
          <w:rtl w:val="0"/>
        </w:rPr>
        <w:t xml:space="preserve">Gap relevant to our project</w:t>
      </w:r>
    </w:p>
    <w:p w:rsidR="00000000" w:rsidDel="00000000" w:rsidP="00000000" w:rsidRDefault="00000000" w:rsidRPr="00000000" w14:paraId="0000003B">
      <w:pPr>
        <w:spacing w:after="160" w:line="276" w:lineRule="auto"/>
        <w:jc w:val="both"/>
        <w:rPr/>
      </w:pPr>
      <w:r w:rsidDel="00000000" w:rsidR="00000000" w:rsidRPr="00000000">
        <w:rPr>
          <w:rFonts w:ascii="Calibri" w:cs="Calibri" w:eastAsia="Calibri" w:hAnsi="Calibri"/>
          <w:sz w:val="22"/>
          <w:szCs w:val="22"/>
          <w:rtl w:val="0"/>
        </w:rPr>
        <w:t xml:space="preserve">Section 4.4 (“Compaction Scheduling”) and Section 5 (“Automatic Data Compaction”) mention off-peak deferral as one available scheduling option — “deferred to off-peak hours if usage patterns are predictable” — but this is a single sentence, not a mechanism. There is no forecasting model, no learned prediction of when off-peak will occur, and no handling of the case where usage patterns are not predictable. AutoComp's own Section 8 (“Discussion and Future Directions”) explicitly names “workload-awareness” and dynamic, learned weighting as open problems for future work — but frames these purely around candidate ranking and layout, never around execution timing relative to concurrent load.</w:t>
      </w:r>
      <w:r w:rsidDel="00000000" w:rsidR="00000000" w:rsidRPr="00000000">
        <w:rPr>
          <w:rtl w:val="0"/>
        </w:rPr>
      </w:r>
    </w:p>
    <w:p w:rsidR="00000000" w:rsidDel="00000000" w:rsidP="00000000" w:rsidRDefault="00000000" w:rsidRPr="00000000" w14:paraId="0000003C">
      <w:pPr>
        <w:pStyle w:val="Heading2"/>
        <w:spacing w:after="150" w:before="300" w:lineRule="auto"/>
        <w:rPr>
          <w:color w:val="000000"/>
        </w:rPr>
      </w:pPr>
      <w:r w:rsidDel="00000000" w:rsidR="00000000" w:rsidRPr="00000000">
        <w:rPr>
          <w:color w:val="000000"/>
          <w:rtl w:val="0"/>
        </w:rPr>
        <w:t xml:space="preserve">3.2 PTO: A Workload-Driven Predictive Table Optimizer for Lakehouse Systems</w:t>
      </w:r>
    </w:p>
    <w:p w:rsidR="00000000" w:rsidDel="00000000" w:rsidP="00000000" w:rsidRDefault="00000000" w:rsidRPr="00000000" w14:paraId="0000003D">
      <w:pPr>
        <w:spacing w:after="160" w:line="276" w:lineRule="auto"/>
        <w:jc w:val="both"/>
        <w:rPr/>
      </w:pPr>
      <w:r w:rsidDel="00000000" w:rsidR="00000000" w:rsidRPr="00000000">
        <w:rPr>
          <w:rFonts w:ascii="Calibri" w:cs="Calibri" w:eastAsia="Calibri" w:hAnsi="Calibri"/>
          <w:b w:val="1"/>
          <w:bCs w:val="1"/>
          <w:sz w:val="22"/>
          <w:szCs w:val="22"/>
          <w:rtl w:val="0"/>
        </w:rPr>
        <w:t xml:space="preserve">Authors / Venue: </w:t>
      </w:r>
      <w:r w:rsidDel="00000000" w:rsidR="00000000" w:rsidRPr="00000000">
        <w:rPr>
          <w:rFonts w:ascii="Calibri" w:cs="Calibri" w:eastAsia="Calibri" w:hAnsi="Calibri"/>
          <w:sz w:val="22"/>
          <w:szCs w:val="22"/>
          <w:rtl w:val="0"/>
        </w:rPr>
        <w:t xml:space="preserve">Meduri, Kreismann, Barber, Reinwald (IBM Research-Almaden). Proc. ACM Manag. Data (SIGMOD) 2026.</w:t>
      </w:r>
      <w:r w:rsidDel="00000000" w:rsidR="00000000" w:rsidRPr="00000000">
        <w:rPr>
          <w:rtl w:val="0"/>
        </w:rPr>
      </w:r>
    </w:p>
    <w:p w:rsidR="00000000" w:rsidDel="00000000" w:rsidP="00000000" w:rsidRDefault="00000000" w:rsidRPr="00000000" w14:paraId="0000003E">
      <w:pPr>
        <w:pStyle w:val="Heading3"/>
        <w:spacing w:after="100" w:before="200" w:lineRule="auto"/>
        <w:rPr>
          <w:color w:val="000000"/>
        </w:rPr>
      </w:pPr>
      <w:r w:rsidDel="00000000" w:rsidR="00000000" w:rsidRPr="00000000">
        <w:rPr>
          <w:color w:val="000000"/>
          <w:rtl w:val="0"/>
        </w:rPr>
        <w:t xml:space="preserve">What it contributes</w:t>
      </w:r>
    </w:p>
    <w:p w:rsidR="00000000" w:rsidDel="00000000" w:rsidP="00000000" w:rsidRDefault="00000000" w:rsidRPr="00000000" w14:paraId="0000003F">
      <w:pPr>
        <w:spacing w:after="160" w:line="276" w:lineRule="auto"/>
        <w:jc w:val="both"/>
        <w:rPr/>
      </w:pPr>
      <w:r w:rsidDel="00000000" w:rsidR="00000000" w:rsidRPr="00000000">
        <w:rPr>
          <w:rFonts w:ascii="Calibri" w:cs="Calibri" w:eastAsia="Calibri" w:hAnsi="Calibri"/>
          <w:sz w:val="22"/>
          <w:szCs w:val="22"/>
          <w:rtl w:val="0"/>
        </w:rPr>
        <w:t xml:space="preserve">PTO automatically co-discovers four interdependent physical layout parameters for Iceberg tables — partitioning column, target file size (TFS), row group size (RGS), and multidimensional sort strategy — from the query workload, replacing manual, expert-driven layout tuning. It is the closest published competitor to AutoComp in terms of ambition, but addresses a different decision axis (layout, not candidate selection).</w:t>
      </w:r>
      <w:r w:rsidDel="00000000" w:rsidR="00000000" w:rsidRPr="00000000">
        <w:rPr>
          <w:rtl w:val="0"/>
        </w:rPr>
      </w:r>
    </w:p>
    <w:p w:rsidR="00000000" w:rsidDel="00000000" w:rsidP="00000000" w:rsidRDefault="00000000" w:rsidRPr="00000000" w14:paraId="00000040">
      <w:pPr>
        <w:pStyle w:val="Heading3"/>
        <w:spacing w:after="100" w:before="200" w:lineRule="auto"/>
        <w:rPr>
          <w:color w:val="000000"/>
        </w:rPr>
      </w:pPr>
      <w:r w:rsidDel="00000000" w:rsidR="00000000" w:rsidRPr="00000000">
        <w:rPr>
          <w:color w:val="000000"/>
          <w:rtl w:val="0"/>
        </w:rPr>
        <w:t xml:space="preserve">How it achieves it</w:t>
      </w:r>
    </w:p>
    <w:p w:rsidR="00000000" w:rsidDel="00000000" w:rsidP="00000000" w:rsidRDefault="00000000" w:rsidRPr="00000000" w14:paraId="00000041">
      <w:pPr>
        <w:spacing w:after="160" w:line="276" w:lineRule="auto"/>
        <w:jc w:val="both"/>
        <w:rPr/>
      </w:pPr>
      <w:r w:rsidDel="00000000" w:rsidR="00000000" w:rsidRPr="00000000">
        <w:rPr>
          <w:rFonts w:ascii="Calibri" w:cs="Calibri" w:eastAsia="Calibri" w:hAnsi="Calibri"/>
          <w:sz w:val="22"/>
          <w:szCs w:val="22"/>
          <w:rtl w:val="0"/>
        </w:rPr>
        <w:t xml:space="preserve">A two-step divide-and-conquer approach avoids the combinatorial explosion of exhaustively evaluating every layout: first, candidate partitioning columns and sort schemes are shortlisted using filter-column frequency and scan selectivity from the query workload (with a Good-Turing estimator used to correct for undersampling when estimating sort-cluster sizes on sampled tables); second, a gradient boosted tree (GBT) regressor is trained on skipping-benefit labels measured on a small sampled subset (roughly 3–4% of the full candidate space, ~12 training layouts) and used to predict the best-performing full configuration across the remaining ~96–97% unlabeled candidates.</w:t>
      </w:r>
      <w:r w:rsidDel="00000000" w:rsidR="00000000" w:rsidRPr="00000000">
        <w:rPr>
          <w:rtl w:val="0"/>
        </w:rPr>
      </w:r>
    </w:p>
    <w:p w:rsidR="00000000" w:rsidDel="00000000" w:rsidP="00000000" w:rsidRDefault="00000000" w:rsidRPr="00000000" w14:paraId="00000042">
      <w:pPr>
        <w:pStyle w:val="Heading3"/>
        <w:spacing w:after="100" w:before="200" w:lineRule="auto"/>
        <w:rPr>
          <w:color w:val="000000"/>
        </w:rPr>
      </w:pPr>
      <w:r w:rsidDel="00000000" w:rsidR="00000000" w:rsidRPr="00000000">
        <w:rPr>
          <w:color w:val="000000"/>
          <w:rtl w:val="0"/>
        </w:rPr>
        <w:t xml:space="preserve">Evidence</w:t>
      </w:r>
    </w:p>
    <w:p w:rsidR="00000000" w:rsidDel="00000000" w:rsidP="00000000" w:rsidRDefault="00000000" w:rsidRPr="00000000" w14:paraId="00000043">
      <w:pPr>
        <w:spacing w:after="160" w:line="276" w:lineRule="auto"/>
        <w:jc w:val="both"/>
        <w:rPr/>
      </w:pPr>
      <w:r w:rsidDel="00000000" w:rsidR="00000000" w:rsidRPr="00000000">
        <w:rPr>
          <w:rFonts w:ascii="Calibri" w:cs="Calibri" w:eastAsia="Calibri" w:hAnsi="Calibri"/>
          <w:sz w:val="22"/>
          <w:szCs w:val="22"/>
          <w:rtl w:val="0"/>
        </w:rPr>
        <w:t xml:space="preserve">Evaluated on TPC-H and TPC-DS at scale factor 10,000 (10TB), on a Presto/Prestissimo (Velox) lakehouse engine. PTO achieves 11% average latency savings on TPC-H and 36% on TPC-DS versus default (unoptimized) layouts, with up to 11× speedup on scan-intensive queries, and benefits more queries than a carefully hand-tuned human-expert baseline (PTO_HumanExp) despite being fully automatic.</w:t>
      </w:r>
      <w:r w:rsidDel="00000000" w:rsidR="00000000" w:rsidRPr="00000000">
        <w:rPr>
          <w:rtl w:val="0"/>
        </w:rPr>
      </w:r>
    </w:p>
    <w:p w:rsidR="00000000" w:rsidDel="00000000" w:rsidP="00000000" w:rsidRDefault="00000000" w:rsidRPr="00000000" w14:paraId="00000044">
      <w:pPr>
        <w:pStyle w:val="Heading3"/>
        <w:spacing w:after="100" w:before="200" w:lineRule="auto"/>
        <w:rPr>
          <w:color w:val="000000"/>
        </w:rPr>
      </w:pPr>
      <w:r w:rsidDel="00000000" w:rsidR="00000000" w:rsidRPr="00000000">
        <w:rPr>
          <w:color w:val="000000"/>
          <w:rtl w:val="0"/>
        </w:rPr>
        <w:t xml:space="preserve">Gap relevant to our project</w:t>
      </w:r>
    </w:p>
    <w:p w:rsidR="00000000" w:rsidDel="00000000" w:rsidP="00000000" w:rsidRDefault="00000000" w:rsidRPr="00000000" w14:paraId="00000045">
      <w:pPr>
        <w:spacing w:after="160" w:line="276" w:lineRule="auto"/>
        <w:jc w:val="both"/>
        <w:rPr/>
      </w:pPr>
      <w:r w:rsidDel="00000000" w:rsidR="00000000" w:rsidRPr="00000000">
        <w:rPr>
          <w:rFonts w:ascii="Calibri" w:cs="Calibri" w:eastAsia="Calibri" w:hAnsi="Calibri"/>
          <w:sz w:val="22"/>
          <w:szCs w:val="22"/>
          <w:rtl w:val="0"/>
        </w:rPr>
        <w:t xml:space="preserve">Section 2.3, point 7, states directly: “In our experiments, we show the latencies of PTO ran in an offline manner; however, to support evolving queries and data, PTO is expected to be run in the background periodically.” Timing is assumed away by design — PTO answers what layout a table should have, never when layout optimization (which itself requires a costly rewrite, structurally similar to compaction) should be executed relative to concurrent query load. This is a clean, citable confirmation that even the most recent, most technically sophisticated layout-optimization work in this space treats scheduling timing as out of scope.</w:t>
      </w:r>
      <w:r w:rsidDel="00000000" w:rsidR="00000000" w:rsidRPr="00000000">
        <w:rPr>
          <w:rtl w:val="0"/>
        </w:rPr>
      </w:r>
    </w:p>
    <w:p w:rsidR="00000000" w:rsidDel="00000000" w:rsidP="00000000" w:rsidRDefault="00000000" w:rsidRPr="00000000" w14:paraId="00000046">
      <w:pPr>
        <w:pStyle w:val="Heading2"/>
        <w:spacing w:after="150" w:before="300" w:lineRule="auto"/>
        <w:rPr>
          <w:color w:val="000000"/>
        </w:rPr>
      </w:pPr>
      <w:r w:rsidDel="00000000" w:rsidR="00000000" w:rsidRPr="00000000">
        <w:rPr>
          <w:color w:val="000000"/>
          <w:rtl w:val="0"/>
        </w:rPr>
        <w:t xml:space="preserve">3.3 Smart Compaction: Predicting Compaction Utility from Lakehouse Table Metadata</w:t>
      </w:r>
    </w:p>
    <w:p w:rsidR="00000000" w:rsidDel="00000000" w:rsidP="00000000" w:rsidRDefault="00000000" w:rsidRPr="00000000" w14:paraId="00000047">
      <w:pPr>
        <w:spacing w:after="160" w:line="276" w:lineRule="auto"/>
        <w:jc w:val="both"/>
        <w:rPr/>
      </w:pPr>
      <w:r w:rsidDel="00000000" w:rsidR="00000000" w:rsidRPr="00000000">
        <w:rPr>
          <w:rFonts w:ascii="Calibri" w:cs="Calibri" w:eastAsia="Calibri" w:hAnsi="Calibri"/>
          <w:b w:val="1"/>
          <w:bCs w:val="1"/>
          <w:sz w:val="22"/>
          <w:szCs w:val="22"/>
          <w:rtl w:val="0"/>
        </w:rPr>
        <w:t xml:space="preserve">Authors / Venue: </w:t>
      </w:r>
      <w:r w:rsidDel="00000000" w:rsidR="00000000" w:rsidRPr="00000000">
        <w:rPr>
          <w:rFonts w:ascii="Calibri" w:cs="Calibri" w:eastAsia="Calibri" w:hAnsi="Calibri"/>
          <w:sz w:val="22"/>
          <w:szCs w:val="22"/>
          <w:rtl w:val="0"/>
        </w:rPr>
        <w:t xml:space="preserve">Cutura (European Central Bank &amp; DSTI), Prakash (IBM). arXiv:2608.08639, August 2026.</w:t>
      </w:r>
      <w:r w:rsidDel="00000000" w:rsidR="00000000" w:rsidRPr="00000000">
        <w:rPr>
          <w:rtl w:val="0"/>
        </w:rPr>
      </w:r>
    </w:p>
    <w:p w:rsidR="00000000" w:rsidDel="00000000" w:rsidP="00000000" w:rsidRDefault="00000000" w:rsidRPr="00000000" w14:paraId="00000048">
      <w:pPr>
        <w:pStyle w:val="Heading3"/>
        <w:spacing w:after="100" w:before="200" w:lineRule="auto"/>
        <w:rPr>
          <w:color w:val="000000"/>
        </w:rPr>
      </w:pPr>
      <w:r w:rsidDel="00000000" w:rsidR="00000000" w:rsidRPr="00000000">
        <w:rPr>
          <w:color w:val="000000"/>
          <w:rtl w:val="0"/>
        </w:rPr>
        <w:t xml:space="preserve">What it contributes</w:t>
      </w:r>
    </w:p>
    <w:p w:rsidR="00000000" w:rsidDel="00000000" w:rsidP="00000000" w:rsidRDefault="00000000" w:rsidRPr="00000000" w14:paraId="00000049">
      <w:pPr>
        <w:spacing w:after="160" w:line="276" w:lineRule="auto"/>
        <w:jc w:val="both"/>
        <w:rPr/>
      </w:pPr>
      <w:r w:rsidDel="00000000" w:rsidR="00000000" w:rsidRPr="00000000">
        <w:rPr>
          <w:rFonts w:ascii="Calibri" w:cs="Calibri" w:eastAsia="Calibri" w:hAnsi="Calibri"/>
          <w:sz w:val="22"/>
          <w:szCs w:val="22"/>
          <w:rtl w:val="0"/>
        </w:rPr>
        <w:t xml:space="preserve">The most directly adjacent paper to our proposed work, and the most recent (published within the current research-plan window). It asks whether metadata features alone can predict compaction utility — i.e., whether compacting a given table right now is worthwhile — and rigorously shows that the binary compact/don't-compact decision is a trivial, deterministic property of the bin-packing filter (a single threshold on max files per partition), while the continuous utility prediction (how much file reduction would result) is where machine learning genuinely adds value.</w:t>
      </w:r>
      <w:r w:rsidDel="00000000" w:rsidR="00000000" w:rsidRPr="00000000">
        <w:rPr>
          <w:rtl w:val="0"/>
        </w:rPr>
      </w:r>
    </w:p>
    <w:p w:rsidR="00000000" w:rsidDel="00000000" w:rsidP="00000000" w:rsidRDefault="00000000" w:rsidRPr="00000000" w14:paraId="0000004A">
      <w:pPr>
        <w:pStyle w:val="Heading3"/>
        <w:spacing w:after="100" w:before="200" w:lineRule="auto"/>
        <w:rPr>
          <w:color w:val="000000"/>
        </w:rPr>
      </w:pPr>
      <w:r w:rsidDel="00000000" w:rsidR="00000000" w:rsidRPr="00000000">
        <w:rPr>
          <w:color w:val="000000"/>
          <w:rtl w:val="0"/>
        </w:rPr>
        <w:t xml:space="preserve">How it achieves it</w:t>
      </w:r>
    </w:p>
    <w:p w:rsidR="00000000" w:rsidDel="00000000" w:rsidP="00000000" w:rsidRDefault="00000000" w:rsidRPr="00000000" w14:paraId="0000004B">
      <w:pPr>
        <w:spacing w:after="160" w:line="276" w:lineRule="auto"/>
        <w:jc w:val="both"/>
        <w:rPr/>
      </w:pPr>
      <w:r w:rsidDel="00000000" w:rsidR="00000000" w:rsidRPr="00000000">
        <w:rPr>
          <w:rFonts w:ascii="Calibri" w:cs="Calibri" w:eastAsia="Calibri" w:hAnsi="Calibri"/>
          <w:sz w:val="22"/>
          <w:szCs w:val="22"/>
          <w:rtl w:val="0"/>
        </w:rPr>
        <w:t xml:space="preserve">Builds a reproducible simulation generating 2,376 synthetic Iceberg tables spanning three orders of magnitude in file size, with heterogeneous write patterns and Zipfian partition skew specifically engineered to avoid a documented “tautology trap” (an earlier version of their parameter grid made the prediction trivially solvable in closed form because all files were uniformly small). Extracts 17 features exclusively from Iceberg manifest metadata — file/partition-level statistics and derived ratios — without reading any actual data files, and trains an XGBoost regressor to predict the continuous file-reduction ratio.</w:t>
      </w:r>
      <w:r w:rsidDel="00000000" w:rsidR="00000000" w:rsidRPr="00000000">
        <w:rPr>
          <w:rtl w:val="0"/>
        </w:rPr>
      </w:r>
    </w:p>
    <w:p w:rsidR="00000000" w:rsidDel="00000000" w:rsidP="00000000" w:rsidRDefault="00000000" w:rsidRPr="00000000" w14:paraId="0000004C">
      <w:pPr>
        <w:pStyle w:val="Heading3"/>
        <w:spacing w:after="100" w:before="200" w:lineRule="auto"/>
        <w:rPr>
          <w:color w:val="000000"/>
        </w:rPr>
      </w:pPr>
      <w:r w:rsidDel="00000000" w:rsidR="00000000" w:rsidRPr="00000000">
        <w:rPr>
          <w:color w:val="000000"/>
          <w:rtl w:val="0"/>
        </w:rPr>
        <w:t xml:space="preserve">Evidence</w:t>
      </w:r>
    </w:p>
    <w:p w:rsidR="00000000" w:rsidDel="00000000" w:rsidP="00000000" w:rsidRDefault="00000000" w:rsidRPr="00000000" w14:paraId="0000004D">
      <w:pPr>
        <w:spacing w:after="160" w:line="276" w:lineRule="auto"/>
        <w:jc w:val="both"/>
        <w:rPr/>
      </w:pPr>
      <w:r w:rsidDel="00000000" w:rsidR="00000000" w:rsidRPr="00000000">
        <w:rPr>
          <w:rFonts w:ascii="Calibri" w:cs="Calibri" w:eastAsia="Calibri" w:hAnsi="Calibri"/>
          <w:sz w:val="22"/>
          <w:szCs w:val="22"/>
          <w:rtl w:val="0"/>
        </w:rPr>
        <w:t xml:space="preserve">XGBoost regressor achieves R² = 0.998 (RMSE 0.013) in-distribution, with a bootstrap 95% CI of [0.996, 1.000] across 30 random seeds. Cross-schema validation on 96 TPC-H-derived tables (six relational schemas, no retraining) achieves R² = 0.976, confirming genuine transferable structure rather than overfitting to the synthetic schema. Two features (max/avg files-per-partition) alone account for over 95% of regressor gain. A downstream query benchmark on 52 TPC-H tables shows compaction benefits metadata-heavy queries (1.19× median COUNT(*) speedup) but can slow full-scan aggregations (0.45–0.76×) via reduced Spark task parallelism — a workload-dependent effect the authors argue motivates workload-aware scheduling.</w:t>
      </w:r>
      <w:r w:rsidDel="00000000" w:rsidR="00000000" w:rsidRPr="00000000">
        <w:rPr>
          <w:rtl w:val="0"/>
        </w:rPr>
      </w:r>
    </w:p>
    <w:p w:rsidR="00000000" w:rsidDel="00000000" w:rsidP="00000000" w:rsidRDefault="00000000" w:rsidRPr="00000000" w14:paraId="0000004E">
      <w:pPr>
        <w:pStyle w:val="Heading3"/>
        <w:spacing w:after="100" w:before="200" w:lineRule="auto"/>
        <w:rPr>
          <w:color w:val="000000"/>
        </w:rPr>
      </w:pPr>
      <w:r w:rsidDel="00000000" w:rsidR="00000000" w:rsidRPr="00000000">
        <w:rPr>
          <w:color w:val="000000"/>
          <w:rtl w:val="0"/>
        </w:rPr>
        <w:t xml:space="preserve">Gap relevant to our project</w:t>
      </w:r>
    </w:p>
    <w:p w:rsidR="00000000" w:rsidDel="00000000" w:rsidP="00000000" w:rsidRDefault="00000000" w:rsidRPr="00000000" w14:paraId="0000004F">
      <w:pPr>
        <w:spacing w:after="160" w:line="276" w:lineRule="auto"/>
        <w:jc w:val="both"/>
        <w:rPr/>
      </w:pPr>
      <w:r w:rsidDel="00000000" w:rsidR="00000000" w:rsidRPr="00000000">
        <w:rPr>
          <w:rFonts w:ascii="Calibri" w:cs="Calibri" w:eastAsia="Calibri" w:hAnsi="Calibri"/>
          <w:sz w:val="22"/>
          <w:szCs w:val="22"/>
          <w:rtl w:val="0"/>
        </w:rPr>
        <w:t xml:space="preserve">This is the single most important citation for establishing that our gap is still open as of the literature's current state. The entire 17-feature set is static-snapshot metadata only — there is no query-load, concurrency, or interference feature anywhere in the model. Section I.5 (“Threats to Validity”), under “Temporal evolution,” states verbatim: “Our model operates on static snapshots. Production tables evolve continuously; a table that does not need compaction now may need it after the next batch of writes. Temporal prediction (e.g., forecasting compaction need k commits ahead) is future work.” This is an independent, non-AutoComp-affiliated group explicitly naming the temporal dimension as unaddressed, published just weeks before this survey — strong, current confirmation that the timing gap has not been closed by anyone else in the interim.</w:t>
      </w:r>
      <w:r w:rsidDel="00000000" w:rsidR="00000000" w:rsidRPr="00000000">
        <w:rPr>
          <w:rtl w:val="0"/>
        </w:rPr>
      </w:r>
    </w:p>
    <w:p w:rsidR="00000000" w:rsidDel="00000000" w:rsidP="00000000" w:rsidRDefault="00000000" w:rsidRPr="00000000" w14:paraId="00000050">
      <w:pPr>
        <w:pStyle w:val="Heading2"/>
        <w:spacing w:after="150" w:before="300" w:lineRule="auto"/>
        <w:rPr>
          <w:color w:val="000000"/>
        </w:rPr>
      </w:pPr>
      <w:r w:rsidDel="00000000" w:rsidR="00000000" w:rsidRPr="00000000">
        <w:rPr>
          <w:color w:val="000000"/>
          <w:rtl w:val="0"/>
        </w:rPr>
        <w:t xml:space="preserve">3.4 A Learned Cost Model-Based Cross-Engine Optimizer for SQL Workloads</w:t>
      </w:r>
    </w:p>
    <w:p w:rsidR="00000000" w:rsidDel="00000000" w:rsidP="00000000" w:rsidRDefault="00000000" w:rsidRPr="00000000" w14:paraId="00000051">
      <w:pPr>
        <w:spacing w:after="160" w:line="276" w:lineRule="auto"/>
        <w:jc w:val="both"/>
        <w:rPr/>
      </w:pPr>
      <w:r w:rsidDel="00000000" w:rsidR="00000000" w:rsidRPr="00000000">
        <w:rPr>
          <w:rFonts w:ascii="Calibri" w:cs="Calibri" w:eastAsia="Calibri" w:hAnsi="Calibri"/>
          <w:b w:val="1"/>
          <w:bCs w:val="1"/>
          <w:sz w:val="22"/>
          <w:szCs w:val="22"/>
          <w:rtl w:val="0"/>
        </w:rPr>
        <w:t xml:space="preserve">Authors / Venue: </w:t>
      </w:r>
      <w:r w:rsidDel="00000000" w:rsidR="00000000" w:rsidRPr="00000000">
        <w:rPr>
          <w:rFonts w:ascii="Calibri" w:cs="Calibri" w:eastAsia="Calibri" w:hAnsi="Calibri"/>
          <w:sz w:val="22"/>
          <w:szCs w:val="22"/>
          <w:rtl w:val="0"/>
        </w:rPr>
        <w:t xml:space="preserve">Strausz, Pardon, Giurgiu (IBM Research, Switzerland). Proceedings of the VLDB Endowment (PVLDB), Vol. 14.</w:t>
      </w:r>
      <w:r w:rsidDel="00000000" w:rsidR="00000000" w:rsidRPr="00000000">
        <w:rPr>
          <w:rtl w:val="0"/>
        </w:rPr>
      </w:r>
    </w:p>
    <w:p w:rsidR="00000000" w:rsidDel="00000000" w:rsidP="00000000" w:rsidRDefault="00000000" w:rsidRPr="00000000" w14:paraId="00000052">
      <w:pPr>
        <w:pStyle w:val="Heading3"/>
        <w:spacing w:after="100" w:before="200" w:lineRule="auto"/>
        <w:rPr>
          <w:color w:val="000000"/>
        </w:rPr>
      </w:pPr>
      <w:r w:rsidDel="00000000" w:rsidR="00000000" w:rsidRPr="00000000">
        <w:rPr>
          <w:color w:val="000000"/>
          <w:rtl w:val="0"/>
        </w:rPr>
        <w:t xml:space="preserve">What it contributes</w:t>
      </w:r>
    </w:p>
    <w:p w:rsidR="00000000" w:rsidDel="00000000" w:rsidP="00000000" w:rsidRDefault="00000000" w:rsidRPr="00000000" w14:paraId="00000053">
      <w:pPr>
        <w:spacing w:after="160" w:line="276" w:lineRule="auto"/>
        <w:jc w:val="both"/>
        <w:rPr/>
      </w:pPr>
      <w:r w:rsidDel="00000000" w:rsidR="00000000" w:rsidRPr="00000000">
        <w:rPr>
          <w:rFonts w:ascii="Calibri" w:cs="Calibri" w:eastAsia="Calibri" w:hAnsi="Calibri"/>
          <w:sz w:val="22"/>
          <w:szCs w:val="22"/>
          <w:rtl w:val="0"/>
        </w:rPr>
        <w:t xml:space="preserve">Not a compaction or maintenance-timing paper at all — included in this survey as a structural precedent and a possible pivot direction, not as a direct competitor. It automates the selection of which SQL execution engine (and provisioning — e.g., Spark with 2 vs. 4 workers, or Presto) a given query should be routed to in a lakehouse with multiple available engines, replacing manual, a priori engine-selection decisions.</w:t>
      </w:r>
      <w:r w:rsidDel="00000000" w:rsidR="00000000" w:rsidRPr="00000000">
        <w:rPr>
          <w:rtl w:val="0"/>
        </w:rPr>
      </w:r>
    </w:p>
    <w:p w:rsidR="00000000" w:rsidDel="00000000" w:rsidP="00000000" w:rsidRDefault="00000000" w:rsidRPr="00000000" w14:paraId="00000054">
      <w:pPr>
        <w:pStyle w:val="Heading3"/>
        <w:spacing w:after="100" w:before="200" w:lineRule="auto"/>
        <w:rPr>
          <w:color w:val="000000"/>
        </w:rPr>
      </w:pPr>
      <w:r w:rsidDel="00000000" w:rsidR="00000000" w:rsidRPr="00000000">
        <w:rPr>
          <w:color w:val="000000"/>
          <w:rtl w:val="0"/>
        </w:rPr>
        <w:t xml:space="preserve">How it achieves it</w:t>
      </w:r>
    </w:p>
    <w:p w:rsidR="00000000" w:rsidDel="00000000" w:rsidP="00000000" w:rsidRDefault="00000000" w:rsidRPr="00000000" w14:paraId="00000055">
      <w:pPr>
        <w:spacing w:after="160" w:line="276" w:lineRule="auto"/>
        <w:jc w:val="both"/>
        <w:rPr/>
      </w:pPr>
      <w:r w:rsidDel="00000000" w:rsidR="00000000" w:rsidRPr="00000000">
        <w:rPr>
          <w:rFonts w:ascii="Calibri" w:cs="Calibri" w:eastAsia="Calibri" w:hAnsi="Calibri"/>
          <w:sz w:val="22"/>
          <w:szCs w:val="22"/>
          <w:rtl w:val="0"/>
        </w:rPr>
        <w:t xml:space="preserve">SQL queries are converted to an optimized Substrait logical plan and encoded as a heterogeneous graph (five node types: Relation, Operation, Literal, Field, Table). A Bottom-Up Graph Neural Network computes a single shared query embedding via mean-pooling over relation nodes; this embedding is then fed into multiple lightweight, engine-specific predictor heads (a multi-task learning formulation), so that adding support for a new engine requires only training a small new head on a few hundred queries, not retraining the whole model.</w:t>
      </w:r>
      <w:r w:rsidDel="00000000" w:rsidR="00000000" w:rsidRPr="00000000">
        <w:rPr>
          <w:rtl w:val="0"/>
        </w:rPr>
      </w:r>
    </w:p>
    <w:p w:rsidR="00000000" w:rsidDel="00000000" w:rsidP="00000000" w:rsidRDefault="00000000" w:rsidRPr="00000000" w14:paraId="00000056">
      <w:pPr>
        <w:pStyle w:val="Heading3"/>
        <w:spacing w:after="100" w:before="200" w:lineRule="auto"/>
        <w:rPr>
          <w:color w:val="000000"/>
        </w:rPr>
      </w:pPr>
      <w:r w:rsidDel="00000000" w:rsidR="00000000" w:rsidRPr="00000000">
        <w:rPr>
          <w:color w:val="000000"/>
          <w:rtl w:val="0"/>
        </w:rPr>
        <w:t xml:space="preserve">Evidence</w:t>
      </w:r>
    </w:p>
    <w:p w:rsidR="00000000" w:rsidDel="00000000" w:rsidP="00000000" w:rsidRDefault="00000000" w:rsidRPr="00000000" w14:paraId="00000057">
      <w:pPr>
        <w:spacing w:after="160" w:line="276" w:lineRule="auto"/>
        <w:jc w:val="both"/>
        <w:rPr/>
      </w:pPr>
      <w:r w:rsidDel="00000000" w:rsidR="00000000" w:rsidRPr="00000000">
        <w:rPr>
          <w:rFonts w:ascii="Calibri" w:cs="Calibri" w:eastAsia="Calibri" w:hAnsi="Calibri"/>
          <w:sz w:val="22"/>
          <w:szCs w:val="22"/>
          <w:rtl w:val="0"/>
        </w:rPr>
        <w:t xml:space="preserve">Evaluated on five datasets (TPC-H, TPC-DS, IMDB, Stack Overflow, a BIRD-SQL donor dataset) across five engine/provisioning configurations on IBM's watsonx.data lakehouse. Query-level routing based on the learned cost model reduces total workload runtime by up to 25.3% over random routing in a zero-shot setting and 30.4% in a few-shot setting; a newly added engine provisioning reaches comparable accuracy after fine-tuning on only ~250 queries.</w:t>
      </w:r>
      <w:r w:rsidDel="00000000" w:rsidR="00000000" w:rsidRPr="00000000">
        <w:rPr>
          <w:rtl w:val="0"/>
        </w:rPr>
      </w:r>
    </w:p>
    <w:p w:rsidR="00000000" w:rsidDel="00000000" w:rsidP="00000000" w:rsidRDefault="00000000" w:rsidRPr="00000000" w14:paraId="00000058">
      <w:pPr>
        <w:pStyle w:val="Heading3"/>
        <w:spacing w:after="100" w:before="200" w:lineRule="auto"/>
        <w:rPr>
          <w:color w:val="000000"/>
        </w:rPr>
      </w:pPr>
      <w:r w:rsidDel="00000000" w:rsidR="00000000" w:rsidRPr="00000000">
        <w:rPr>
          <w:color w:val="000000"/>
          <w:rtl w:val="0"/>
        </w:rPr>
        <w:t xml:space="preserve">Gap relevant to our project</w:t>
      </w:r>
    </w:p>
    <w:p w:rsidR="00000000" w:rsidDel="00000000" w:rsidP="00000000" w:rsidRDefault="00000000" w:rsidRPr="00000000" w14:paraId="00000059">
      <w:pPr>
        <w:spacing w:after="160" w:line="276" w:lineRule="auto"/>
        <w:jc w:val="both"/>
        <w:rPr/>
      </w:pPr>
      <w:r w:rsidDel="00000000" w:rsidR="00000000" w:rsidRPr="00000000">
        <w:rPr>
          <w:rFonts w:ascii="Calibri" w:cs="Calibri" w:eastAsia="Calibri" w:hAnsi="Calibri"/>
          <w:sz w:val="22"/>
          <w:szCs w:val="22"/>
          <w:rtl w:val="0"/>
        </w:rPr>
        <w:t xml:space="preserve">Addresses a genuinely different decision surface (which engine, not when to run maintenance) and is therefore not a competing claim to our gap. Its relevance is twofold: (1) it is a concrete published precedent that a learned cost model can displace a heuristic decision in a lakehouse-adjacent system, which supports the general feasibility of our approach; and (2) its shared-embedding, multi-head architecture is a directly reusable structural pattern for Pivot 5 (a joint engine/provisioning/timing decision), should the pure timing framing prove too hard to get clean signal on.</w:t>
      </w:r>
      <w:r w:rsidDel="00000000" w:rsidR="00000000" w:rsidRPr="00000000">
        <w:rPr>
          <w:rtl w:val="0"/>
        </w:rPr>
      </w:r>
    </w:p>
    <w:p w:rsidR="00000000" w:rsidDel="00000000" w:rsidP="00000000" w:rsidRDefault="00000000" w:rsidRPr="00000000" w14:paraId="0000005A">
      <w:pPr>
        <w:pStyle w:val="Heading2"/>
        <w:spacing w:after="150" w:before="300" w:lineRule="auto"/>
        <w:rPr>
          <w:color w:val="000000"/>
        </w:rPr>
      </w:pPr>
      <w:r w:rsidDel="00000000" w:rsidR="00000000" w:rsidRPr="00000000">
        <w:rPr>
          <w:color w:val="000000"/>
          <w:rtl w:val="0"/>
        </w:rPr>
        <w:t xml:space="preserve">3.5 Table Format Optimizations in Managed Spark for Dataproc</w:t>
      </w:r>
    </w:p>
    <w:p w:rsidR="00000000" w:rsidDel="00000000" w:rsidP="00000000" w:rsidRDefault="00000000" w:rsidRPr="00000000" w14:paraId="0000005B">
      <w:pPr>
        <w:spacing w:after="160" w:line="276" w:lineRule="auto"/>
        <w:jc w:val="both"/>
        <w:rPr/>
      </w:pPr>
      <w:r w:rsidDel="00000000" w:rsidR="00000000" w:rsidRPr="00000000">
        <w:rPr>
          <w:rFonts w:ascii="Calibri" w:cs="Calibri" w:eastAsia="Calibri" w:hAnsi="Calibri"/>
          <w:b w:val="1"/>
          <w:bCs w:val="1"/>
          <w:sz w:val="22"/>
          <w:szCs w:val="22"/>
          <w:rtl w:val="0"/>
        </w:rPr>
        <w:t xml:space="preserve">Authors / Venue: </w:t>
      </w:r>
      <w:r w:rsidDel="00000000" w:rsidR="00000000" w:rsidRPr="00000000">
        <w:rPr>
          <w:rFonts w:ascii="Calibri" w:cs="Calibri" w:eastAsia="Calibri" w:hAnsi="Calibri"/>
          <w:sz w:val="22"/>
          <w:szCs w:val="22"/>
          <w:rtl w:val="0"/>
        </w:rPr>
        <w:t xml:space="preserve">Tarte, Jayaraman, Modi, Karve, Lu, Badhya, Sarkar, Shah, Mangla, Cao, Liu, Zhu, Yan (Google, OpenAI). 1st International Workshop on Data FORMATS for Modern Architectures and Workloads (FORMATS '26), May–June 2026.</w:t>
      </w:r>
      <w:r w:rsidDel="00000000" w:rsidR="00000000" w:rsidRPr="00000000">
        <w:rPr>
          <w:rtl w:val="0"/>
        </w:rPr>
      </w:r>
    </w:p>
    <w:p w:rsidR="00000000" w:rsidDel="00000000" w:rsidP="00000000" w:rsidRDefault="00000000" w:rsidRPr="00000000" w14:paraId="0000005C">
      <w:pPr>
        <w:pStyle w:val="Heading3"/>
        <w:spacing w:after="100" w:before="200" w:lineRule="auto"/>
        <w:rPr>
          <w:color w:val="000000"/>
        </w:rPr>
      </w:pPr>
      <w:r w:rsidDel="00000000" w:rsidR="00000000" w:rsidRPr="00000000">
        <w:rPr>
          <w:color w:val="000000"/>
          <w:rtl w:val="0"/>
        </w:rPr>
        <w:t xml:space="preserve">What it contributes</w:t>
      </w:r>
    </w:p>
    <w:p w:rsidR="00000000" w:rsidDel="00000000" w:rsidP="00000000" w:rsidRDefault="00000000" w:rsidRPr="00000000" w14:paraId="0000005D">
      <w:pPr>
        <w:spacing w:after="160" w:line="276" w:lineRule="auto"/>
        <w:jc w:val="both"/>
        <w:rPr/>
      </w:pPr>
      <w:r w:rsidDel="00000000" w:rsidR="00000000" w:rsidRPr="00000000">
        <w:rPr>
          <w:rFonts w:ascii="Calibri" w:cs="Calibri" w:eastAsia="Calibri" w:hAnsi="Calibri"/>
          <w:sz w:val="22"/>
          <w:szCs w:val="22"/>
          <w:rtl w:val="0"/>
        </w:rPr>
        <w:t xml:space="preserve">A production-engineering paper from Google's managed Spark (Dataproc) team describing a suite of format-aware optimizations for transactional updates (MERGE) and table maintenance (compaction, VACUUM) on Delta Lake and Apache Iceberg. Its relevance to our survey is narrower than the other papers — one specific subsection provides direct, current, independent confirmation that production systems are already building ad hoc idle-time-aware maintenance triggering.</w:t>
      </w:r>
      <w:r w:rsidDel="00000000" w:rsidR="00000000" w:rsidRPr="00000000">
        <w:rPr>
          <w:rtl w:val="0"/>
        </w:rPr>
      </w:r>
    </w:p>
    <w:p w:rsidR="00000000" w:rsidDel="00000000" w:rsidP="00000000" w:rsidRDefault="00000000" w:rsidRPr="00000000" w14:paraId="0000005E">
      <w:pPr>
        <w:pStyle w:val="Heading3"/>
        <w:spacing w:after="100" w:before="200" w:lineRule="auto"/>
        <w:rPr>
          <w:color w:val="000000"/>
        </w:rPr>
      </w:pPr>
      <w:r w:rsidDel="00000000" w:rsidR="00000000" w:rsidRPr="00000000">
        <w:rPr>
          <w:color w:val="000000"/>
          <w:rtl w:val="0"/>
        </w:rPr>
        <w:t xml:space="preserve">How it achieves it</w:t>
      </w:r>
    </w:p>
    <w:p w:rsidR="00000000" w:rsidDel="00000000" w:rsidP="00000000" w:rsidRDefault="00000000" w:rsidRPr="00000000" w14:paraId="0000005F">
      <w:pPr>
        <w:spacing w:after="160" w:line="276" w:lineRule="auto"/>
        <w:jc w:val="both"/>
        <w:rPr/>
      </w:pPr>
      <w:r w:rsidDel="00000000" w:rsidR="00000000" w:rsidRPr="00000000">
        <w:rPr>
          <w:rFonts w:ascii="Calibri" w:cs="Calibri" w:eastAsia="Calibri" w:hAnsi="Calibri"/>
          <w:sz w:val="22"/>
          <w:szCs w:val="22"/>
          <w:rtl w:val="0"/>
        </w:rPr>
        <w:t xml:space="preserve">Three main techniques: (1) workload-aware data skipping and schema pruning that convert full-table scans into targeted I/O using runtime statistics and dynamic filtering; (2) Precision Merge, which decouples row identification from data rewriting using a row-level bitmap-indexing mechanism to avoid full-table shuffles during MERGE; (3) intelligent maintenance triggering, described in Section 2.1.3 (“Intelligent Maintenance via Catalog”): the engine tracks the historical frequency and duration of previous maintenance runs and the volume of data modified in the current run, and uses this to infer whether the next write operation is likely to occur far enough in the future to make compaction worthwhile now, automatically triggering OPTIMIZE to align with inferred idle cluster time.</w:t>
      </w:r>
      <w:r w:rsidDel="00000000" w:rsidR="00000000" w:rsidRPr="00000000">
        <w:rPr>
          <w:rtl w:val="0"/>
        </w:rPr>
      </w:r>
    </w:p>
    <w:p w:rsidR="00000000" w:rsidDel="00000000" w:rsidP="00000000" w:rsidRDefault="00000000" w:rsidRPr="00000000" w14:paraId="00000060">
      <w:pPr>
        <w:pStyle w:val="Heading3"/>
        <w:spacing w:after="100" w:before="200" w:lineRule="auto"/>
        <w:rPr>
          <w:color w:val="000000"/>
        </w:rPr>
      </w:pPr>
      <w:r w:rsidDel="00000000" w:rsidR="00000000" w:rsidRPr="00000000">
        <w:rPr>
          <w:color w:val="000000"/>
          <w:rtl w:val="0"/>
        </w:rPr>
        <w:t xml:space="preserve">Evidence</w:t>
      </w:r>
    </w:p>
    <w:p w:rsidR="00000000" w:rsidDel="00000000" w:rsidP="00000000" w:rsidRDefault="00000000" w:rsidRPr="00000000" w14:paraId="00000061">
      <w:pPr>
        <w:spacing w:after="160" w:line="276" w:lineRule="auto"/>
        <w:jc w:val="both"/>
        <w:rPr/>
      </w:pPr>
      <w:r w:rsidDel="00000000" w:rsidR="00000000" w:rsidRPr="00000000">
        <w:rPr>
          <w:rFonts w:ascii="Calibri" w:cs="Calibri" w:eastAsia="Calibri" w:hAnsi="Calibri"/>
          <w:sz w:val="22"/>
          <w:szCs w:val="22"/>
          <w:rtl w:val="0"/>
        </w:rPr>
        <w:t xml:space="preserve">Benchmarked on a TPC-DS-derived store_sales workload (1TB partitioned) and separately on TPC-DS-scale batch/streaming compaction workloads (1.25TB batch tables, 100GB streaming tables) on a 27-node Dataproc cluster. Reports over 50% reduction in execution time, a 10× reduction in shuffle volume, and up to 10× speedup in routine maintenance operations — though these figures aggregate across all three techniques combined (Precision Merge, layout optimization, and maintenance triggering), not the timing/triggering mechanism in isolation.</w:t>
      </w:r>
      <w:r w:rsidDel="00000000" w:rsidR="00000000" w:rsidRPr="00000000">
        <w:rPr>
          <w:rtl w:val="0"/>
        </w:rPr>
      </w:r>
    </w:p>
    <w:p w:rsidR="00000000" w:rsidDel="00000000" w:rsidP="00000000" w:rsidRDefault="00000000" w:rsidRPr="00000000" w14:paraId="00000062">
      <w:pPr>
        <w:pStyle w:val="Heading3"/>
        <w:spacing w:after="100" w:before="200" w:lineRule="auto"/>
        <w:rPr>
          <w:color w:val="000000"/>
        </w:rPr>
      </w:pPr>
      <w:r w:rsidDel="00000000" w:rsidR="00000000" w:rsidRPr="00000000">
        <w:rPr>
          <w:color w:val="000000"/>
          <w:rtl w:val="0"/>
        </w:rPr>
        <w:t xml:space="preserve">Gap relevant to our project</w:t>
      </w:r>
    </w:p>
    <w:p w:rsidR="00000000" w:rsidDel="00000000" w:rsidP="00000000" w:rsidRDefault="00000000" w:rsidRPr="00000000" w14:paraId="00000063">
      <w:pPr>
        <w:spacing w:after="160" w:line="276" w:lineRule="auto"/>
        <w:jc w:val="both"/>
        <w:rPr/>
      </w:pPr>
      <w:r w:rsidDel="00000000" w:rsidR="00000000" w:rsidRPr="00000000">
        <w:rPr>
          <w:rFonts w:ascii="Calibri" w:cs="Calibri" w:eastAsia="Calibri" w:hAnsi="Calibri"/>
          <w:sz w:val="22"/>
          <w:szCs w:val="22"/>
          <w:rtl w:val="0"/>
        </w:rPr>
        <w:t xml:space="preserve">This paper is valuable evidence for motivation rather than a competing methodology. It confirms that a third, independent production system — alongside Databricks Predictive Optimization and Snowflake automatic clustering, both cited in our problem statement — treats maintenance-timing-relative-to-load as valuable enough to engineer into a shipped product. But the mechanism described is a simple, deterministic, historical-frequency heuristic (no learned model, no uncertainty quantification, no evaluation of the timing decision's contribution in isolation, no published methodology for how the idle-time inference actually generalizes or fails). This strengthens the motivating claim in our problem statement that “no published methodology exists for how such scheduling should be learned, evaluated, or safely deployed,” and must be cited to avoid a reviewer familiar with the Dataproc paper flagging it as missed prior art.</w:t>
      </w:r>
      <w:r w:rsidDel="00000000" w:rsidR="00000000" w:rsidRPr="00000000">
        <w:rPr>
          <w:rtl w:val="0"/>
        </w:rPr>
      </w:r>
    </w:p>
    <w:p w:rsidR="00000000" w:rsidDel="00000000" w:rsidP="00000000" w:rsidRDefault="00000000" w:rsidRPr="00000000" w14:paraId="00000064">
      <w:pPr>
        <w:pStyle w:val="Heading2"/>
        <w:spacing w:after="150" w:before="300" w:lineRule="auto"/>
        <w:rPr>
          <w:color w:val="000000"/>
        </w:rPr>
      </w:pPr>
      <w:r w:rsidDel="00000000" w:rsidR="00000000" w:rsidRPr="00000000">
        <w:rPr>
          <w:color w:val="000000"/>
          <w:rtl w:val="0"/>
        </w:rPr>
        <w:t xml:space="preserve">3.6 Synthesis: Why the Gap Holds</w:t>
      </w:r>
    </w:p>
    <w:p w:rsidR="00000000" w:rsidDel="00000000" w:rsidP="00000000" w:rsidRDefault="00000000" w:rsidRPr="00000000" w14:paraId="00000065">
      <w:pPr>
        <w:spacing w:after="160" w:line="276" w:lineRule="auto"/>
        <w:jc w:val="both"/>
        <w:rPr/>
      </w:pPr>
      <w:r w:rsidDel="00000000" w:rsidR="00000000" w:rsidRPr="00000000">
        <w:rPr>
          <w:rFonts w:ascii="Calibri" w:cs="Calibri" w:eastAsia="Calibri" w:hAnsi="Calibri"/>
          <w:sz w:val="22"/>
          <w:szCs w:val="22"/>
          <w:rtl w:val="0"/>
        </w:rPr>
        <w:t xml:space="preserve">Laid side by side, these six papers cover every adjacent decision in the lakehouse maintenance space except the one we are proposing to address. AutoComp and Smart Compaction both address what/whether to compact — one via hand-built heuristics at production scale, the other via a learned model from static metadata. PTO addresses what layout a table should have. The cross-engine LCM paper addresses which engine a query should run on. The Dataproc paper confirms that industry already treats maintenance timing as valuable enough to build ad hoc solutions for, without publishing a general methodology. And critically, two independent papers — AutoComp's own Section 8 and Smart Compaction's Section I.5, published over a year apart by unrelated author groups — both explicitly name temporal/timing prediction as future work they did not attempt. That convergence, from unrelated teams arriving at the same open question independently, is stronger evidence of a genuine gap than a single paper's related-work section claiming novelty unilaterally.</w:t>
      </w:r>
      <w:r w:rsidDel="00000000" w:rsidR="00000000" w:rsidRPr="00000000">
        <w:rPr>
          <w:rtl w:val="0"/>
        </w:rPr>
      </w:r>
    </w:p>
    <w:p w:rsidR="00000000" w:rsidDel="00000000" w:rsidP="00000000" w:rsidRDefault="00000000" w:rsidRPr="00000000" w14:paraId="00000066">
      <w:pPr>
        <w:pStyle w:val="Heading1"/>
        <w:spacing w:after="200" w:before="400" w:lineRule="auto"/>
        <w:rPr>
          <w:color w:val="000000"/>
        </w:rPr>
      </w:pPr>
      <w:r w:rsidDel="00000000" w:rsidR="00000000" w:rsidRPr="00000000">
        <w:rPr>
          <w:color w:val="000000"/>
          <w:rtl w:val="0"/>
        </w:rPr>
        <w:t xml:space="preserve">4. Pivot Topics (Contingency Plan)</w:t>
      </w:r>
    </w:p>
    <w:p w:rsidR="00000000" w:rsidDel="00000000" w:rsidP="00000000" w:rsidRDefault="00000000" w:rsidRPr="00000000" w14:paraId="00000067">
      <w:pPr>
        <w:spacing w:after="160" w:line="276" w:lineRule="auto"/>
        <w:jc w:val="both"/>
        <w:rPr/>
      </w:pPr>
      <w:r w:rsidDel="00000000" w:rsidR="00000000" w:rsidRPr="00000000">
        <w:rPr>
          <w:rFonts w:ascii="Calibri" w:cs="Calibri" w:eastAsia="Calibri" w:hAnsi="Calibri"/>
          <w:sz w:val="22"/>
          <w:szCs w:val="22"/>
          <w:rtl w:val="0"/>
        </w:rPr>
        <w:t xml:space="preserve">The core project carries real execution risk, concentrated primarily in one place: whether the interference signal (query latency degradation caused by concurrent compaction, as a function of compaction size, concurrent load, and time-of-day) can be measured cleanly above Apache Spark's natural run-to-run variance. Our project execution plan includes explicit go/no-go gates tied to this and related risks. The five pivot directions below were developed specifically so that, if a gate is not met, the response is a pre-planned, evaluated redirection rather than an improvised one. They are ordered from smallest pivot (same infrastructure, adjacent question) to largest (different core research contribution), so that whichever gate fails, the team retreats to the smallest pivot that resolves the specific failure.</w:t>
      </w:r>
      <w:r w:rsidDel="00000000" w:rsidR="00000000" w:rsidRPr="00000000">
        <w:rPr>
          <w:rtl w:val="0"/>
        </w:rPr>
      </w:r>
    </w:p>
    <w:p w:rsidR="00000000" w:rsidDel="00000000" w:rsidP="00000000" w:rsidRDefault="00000000" w:rsidRPr="00000000" w14:paraId="00000068">
      <w:pPr>
        <w:pStyle w:val="Heading2"/>
        <w:spacing w:after="150" w:before="300" w:lineRule="auto"/>
        <w:rPr>
          <w:color w:val="000000"/>
        </w:rPr>
      </w:pPr>
      <w:r w:rsidDel="00000000" w:rsidR="00000000" w:rsidRPr="00000000">
        <w:rPr>
          <w:color w:val="000000"/>
          <w:rtl w:val="0"/>
        </w:rPr>
        <w:t xml:space="preserve">4.1 Pivot 1 — Empirical Characterization Paper</w:t>
      </w:r>
    </w:p>
    <w:p w:rsidR="00000000" w:rsidDel="00000000" w:rsidP="00000000" w:rsidRDefault="00000000" w:rsidRPr="00000000" w14:paraId="00000069">
      <w:pPr>
        <w:spacing w:after="160" w:line="276" w:lineRule="auto"/>
        <w:jc w:val="both"/>
        <w:rPr/>
      </w:pPr>
      <w:r w:rsidDel="00000000" w:rsidR="00000000" w:rsidRPr="00000000">
        <w:rPr>
          <w:rFonts w:ascii="Calibri" w:cs="Calibri" w:eastAsia="Calibri" w:hAnsi="Calibri"/>
          <w:b w:val="1"/>
          <w:bCs w:val="1"/>
          <w:sz w:val="22"/>
          <w:szCs w:val="22"/>
          <w:rtl w:val="0"/>
        </w:rPr>
        <w:t xml:space="preserve">Trigger: </w:t>
      </w:r>
      <w:r w:rsidDel="00000000" w:rsidR="00000000" w:rsidRPr="00000000">
        <w:rPr>
          <w:rFonts w:ascii="Calibri" w:cs="Calibri" w:eastAsia="Calibri" w:hAnsi="Calibri"/>
          <w:sz w:val="22"/>
          <w:szCs w:val="22"/>
          <w:rtl w:val="0"/>
        </w:rPr>
        <w:t xml:space="preserve">Interference signal proves too noisy to model above Spark's run-to-run variance.</w:t>
      </w: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Fonts w:ascii="Calibri" w:cs="Calibri" w:eastAsia="Calibri" w:hAnsi="Calibri"/>
          <w:sz w:val="22"/>
          <w:szCs w:val="22"/>
          <w:rtl w:val="0"/>
        </w:rPr>
        <w:t xml:space="preserve">Drop the learned-scheduler framing and publish the interference-measurement harness itself as the contribution: a rigorous, reproducible characterization of when compaction/query interference is and is not measurable above system noise, across compaction size × concurrent load × time-of-day. This follows the same “no new system, pure characterization” paper type as Sarkar et al.'s LSM compaction design space study (PVLDB 2021), a respected tier at this venue. Salvages essentially all of the interference-harness engineering investment; drops the learned model and uncertainty calibration.</w:t>
      </w:r>
      <w:r w:rsidDel="00000000" w:rsidR="00000000" w:rsidRPr="00000000">
        <w:rPr>
          <w:rtl w:val="0"/>
        </w:rPr>
      </w:r>
    </w:p>
    <w:p w:rsidR="00000000" w:rsidDel="00000000" w:rsidP="00000000" w:rsidRDefault="00000000" w:rsidRPr="00000000" w14:paraId="0000006B">
      <w:pPr>
        <w:pStyle w:val="Heading2"/>
        <w:spacing w:after="150" w:before="300" w:lineRule="auto"/>
        <w:rPr>
          <w:color w:val="000000"/>
        </w:rPr>
      </w:pPr>
      <w:r w:rsidDel="00000000" w:rsidR="00000000" w:rsidRPr="00000000">
        <w:rPr>
          <w:color w:val="000000"/>
          <w:rtl w:val="0"/>
        </w:rPr>
        <w:t xml:space="preserve">4.2 Pivot 2 — “Learning Uniformly Wins” or Honest Negative Result</w:t>
      </w:r>
    </w:p>
    <w:p w:rsidR="00000000" w:rsidDel="00000000" w:rsidP="00000000" w:rsidRDefault="00000000" w:rsidRPr="00000000" w14:paraId="0000006C">
      <w:pPr>
        <w:spacing w:after="160" w:line="276" w:lineRule="auto"/>
        <w:jc w:val="both"/>
        <w:rPr/>
      </w:pPr>
      <w:r w:rsidDel="00000000" w:rsidR="00000000" w:rsidRPr="00000000">
        <w:rPr>
          <w:rFonts w:ascii="Calibri" w:cs="Calibri" w:eastAsia="Calibri" w:hAnsi="Calibri"/>
          <w:b w:val="1"/>
          <w:bCs w:val="1"/>
          <w:sz w:val="22"/>
          <w:szCs w:val="22"/>
          <w:rtl w:val="0"/>
        </w:rPr>
        <w:t xml:space="preserve">Trigger: </w:t>
      </w:r>
      <w:r w:rsidDel="00000000" w:rsidR="00000000" w:rsidRPr="00000000">
        <w:rPr>
          <w:rFonts w:ascii="Calibri" w:cs="Calibri" w:eastAsia="Calibri" w:hAnsi="Calibri"/>
          <w:sz w:val="22"/>
          <w:szCs w:val="22"/>
          <w:rtl w:val="0"/>
        </w:rPr>
        <w:t xml:space="preserve">No clean, characterizable helps-vs-fails region for learned timing across the tested workload families.</w:t>
      </w:r>
      <w:r w:rsidDel="00000000" w:rsidR="00000000" w:rsidRPr="00000000">
        <w:rPr>
          <w:rtl w:val="0"/>
        </w:rPr>
      </w:r>
    </w:p>
    <w:p w:rsidR="00000000" w:rsidDel="00000000" w:rsidP="00000000" w:rsidRDefault="00000000" w:rsidRPr="00000000" w14:paraId="0000006D">
      <w:pPr>
        <w:spacing w:after="160" w:line="276" w:lineRule="auto"/>
        <w:jc w:val="both"/>
        <w:rPr/>
      </w:pPr>
      <w:r w:rsidDel="00000000" w:rsidR="00000000" w:rsidRPr="00000000">
        <w:rPr>
          <w:rFonts w:ascii="Calibri" w:cs="Calibri" w:eastAsia="Calibri" w:hAnsi="Calibri"/>
          <w:sz w:val="22"/>
          <w:szCs w:val="22"/>
          <w:rtl w:val="0"/>
        </w:rPr>
        <w:t xml:space="preserve">Two sub-variants depending on what the data shows: (a) if learned timing dominates every tested condition, reframe around when a learned scheduler is worth the added complexity over a heuristic, full stop; (b) if timing turns out to matter little relative to candidate selection, publish an honest negative result showing AutoComp-style what-to-compact decisions dominate when-to-compact decisions in practice — a defensible, if less exciting, contribution, especially paired with Pivot 1's characterization as supporting evidence for why timing turned out not to matter much.</w:t>
      </w:r>
      <w:r w:rsidDel="00000000" w:rsidR="00000000" w:rsidRPr="00000000">
        <w:rPr>
          <w:rtl w:val="0"/>
        </w:rPr>
      </w:r>
    </w:p>
    <w:p w:rsidR="00000000" w:rsidDel="00000000" w:rsidP="00000000" w:rsidRDefault="00000000" w:rsidRPr="00000000" w14:paraId="0000006E">
      <w:pPr>
        <w:pStyle w:val="Heading2"/>
        <w:spacing w:after="150" w:before="300" w:lineRule="auto"/>
        <w:rPr>
          <w:color w:val="000000"/>
        </w:rPr>
      </w:pPr>
      <w:r w:rsidDel="00000000" w:rsidR="00000000" w:rsidRPr="00000000">
        <w:rPr>
          <w:color w:val="000000"/>
          <w:rtl w:val="0"/>
        </w:rPr>
        <w:t xml:space="preserve">4.3 Pivot 3 — Narrow to the Uncertainty-Calibrated Interference-Cost Predictor</w:t>
      </w:r>
    </w:p>
    <w:p w:rsidR="00000000" w:rsidDel="00000000" w:rsidP="00000000" w:rsidRDefault="00000000" w:rsidRPr="00000000" w14:paraId="0000006F">
      <w:pPr>
        <w:spacing w:after="160" w:line="276" w:lineRule="auto"/>
        <w:jc w:val="both"/>
        <w:rPr/>
      </w:pPr>
      <w:r w:rsidDel="00000000" w:rsidR="00000000" w:rsidRPr="00000000">
        <w:rPr>
          <w:rFonts w:ascii="Calibri" w:cs="Calibri" w:eastAsia="Calibri" w:hAnsi="Calibri"/>
          <w:b w:val="1"/>
          <w:bCs w:val="1"/>
          <w:sz w:val="22"/>
          <w:szCs w:val="22"/>
          <w:rtl w:val="0"/>
        </w:rPr>
        <w:t xml:space="preserve">Trigger: </w:t>
      </w:r>
      <w:r w:rsidDel="00000000" w:rsidR="00000000" w:rsidRPr="00000000">
        <w:rPr>
          <w:rFonts w:ascii="Calibri" w:cs="Calibri" w:eastAsia="Calibri" w:hAnsi="Calibri"/>
          <w:sz w:val="22"/>
          <w:szCs w:val="22"/>
          <w:rtl w:val="0"/>
        </w:rPr>
        <w:t xml:space="preserve">The full end-to-end scheduler (forecaster + decision layer + fallback logic) is too ambitious for the remaining timeline, but the core interference-cost regression model works and calibrates cleanly.</w:t>
      </w: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rFonts w:ascii="Calibri" w:cs="Calibri" w:eastAsia="Calibri" w:hAnsi="Calibri"/>
          <w:sz w:val="22"/>
          <w:szCs w:val="22"/>
          <w:rtl w:val="0"/>
        </w:rPr>
        <w:t xml:space="preserve">Drop the full scheduling system and publish a standalone paper on predicting and calibrating compaction-interference cost as a signal — structurally analogous to Smart Compaction's regression contribution, but with workload-interference features as the novelty, since Smart Compaction's feature set is manifest-only and explicitly lacks any query-load signal. Closer to a strong short paper or SIGMOD industry/experience-track piece than a full VLDB research paper, but achievable within a compressed timeline since it requires the hardest engineering (the interference harness and forecaster) to have already succeeded.</w:t>
      </w:r>
      <w:r w:rsidDel="00000000" w:rsidR="00000000" w:rsidRPr="00000000">
        <w:rPr>
          <w:rtl w:val="0"/>
        </w:rPr>
      </w:r>
    </w:p>
    <w:p w:rsidR="00000000" w:rsidDel="00000000" w:rsidP="00000000" w:rsidRDefault="00000000" w:rsidRPr="00000000" w14:paraId="00000071">
      <w:pPr>
        <w:pStyle w:val="Heading2"/>
        <w:spacing w:after="150" w:before="300" w:lineRule="auto"/>
        <w:rPr>
          <w:color w:val="000000"/>
        </w:rPr>
      </w:pPr>
      <w:r w:rsidDel="00000000" w:rsidR="00000000" w:rsidRPr="00000000">
        <w:rPr>
          <w:color w:val="000000"/>
          <w:rtl w:val="0"/>
        </w:rPr>
        <w:t xml:space="preserve">4.4 Pivot 4 — Security of Learned Components in Lakehouse Maintenance Systems</w:t>
      </w:r>
    </w:p>
    <w:p w:rsidR="00000000" w:rsidDel="00000000" w:rsidP="00000000" w:rsidRDefault="00000000" w:rsidRPr="00000000" w14:paraId="00000072">
      <w:pPr>
        <w:spacing w:after="160" w:line="276" w:lineRule="auto"/>
        <w:jc w:val="both"/>
        <w:rPr/>
      </w:pPr>
      <w:r w:rsidDel="00000000" w:rsidR="00000000" w:rsidRPr="00000000">
        <w:rPr>
          <w:rFonts w:ascii="Calibri" w:cs="Calibri" w:eastAsia="Calibri" w:hAnsi="Calibri"/>
          <w:b w:val="1"/>
          <w:bCs w:val="1"/>
          <w:sz w:val="22"/>
          <w:szCs w:val="22"/>
          <w:rtl w:val="0"/>
        </w:rPr>
        <w:t xml:space="preserve">Trigger: </w:t>
      </w:r>
      <w:r w:rsidDel="00000000" w:rsidR="00000000" w:rsidRPr="00000000">
        <w:rPr>
          <w:rFonts w:ascii="Calibri" w:cs="Calibri" w:eastAsia="Calibri" w:hAnsi="Calibri"/>
          <w:sz w:val="22"/>
          <w:szCs w:val="22"/>
          <w:rtl w:val="0"/>
        </w:rPr>
        <w:t xml:space="preserve">The timing project collapses entirely (e.g., multiple core gates fail, or administrative blockers force a full redirect).</w:t>
      </w:r>
      <w:r w:rsidDel="00000000" w:rsidR="00000000" w:rsidRPr="00000000">
        <w:rPr>
          <w:rtl w:val="0"/>
        </w:rPr>
      </w:r>
    </w:p>
    <w:p w:rsidR="00000000" w:rsidDel="00000000" w:rsidP="00000000" w:rsidRDefault="00000000" w:rsidRPr="00000000" w14:paraId="00000073">
      <w:pPr>
        <w:spacing w:after="160" w:line="276" w:lineRule="auto"/>
        <w:jc w:val="both"/>
        <w:rPr/>
      </w:pPr>
      <w:r w:rsidDel="00000000" w:rsidR="00000000" w:rsidRPr="00000000">
        <w:rPr>
          <w:rFonts w:ascii="Calibri" w:cs="Calibri" w:eastAsia="Calibri" w:hAnsi="Calibri"/>
          <w:sz w:val="22"/>
          <w:szCs w:val="22"/>
          <w:rtl w:val="0"/>
        </w:rPr>
        <w:t xml:space="preserve">Route back to a direction explicitly identified and set aside earlier in this project's own gap-validation process: studying adversarial workload injection designed to manipulate a learned compaction or timing model into mistimed or resource-exhausting maintenance decisions. As lakehouse systems increasingly adopt learned maintenance components (Smart Compaction delivers one; AutoComp's own future-work section calls for ML-based prediction; three production systems already run undocumented learned/heuristic triggers), this attack surface is entirely unexamined in the literature. This is the largest pivot in terms of research-question distance, but carries near-zero ramp-up cost given the team's existing background in structural containment for compromised components (from prior TDSC/multi-agent-security work), and touches a genuinely unexplored intersection between two literatures that do not currently talk to each other.</w:t>
      </w:r>
      <w:r w:rsidDel="00000000" w:rsidR="00000000" w:rsidRPr="00000000">
        <w:rPr>
          <w:rtl w:val="0"/>
        </w:rPr>
      </w:r>
    </w:p>
    <w:p w:rsidR="00000000" w:rsidDel="00000000" w:rsidP="00000000" w:rsidRDefault="00000000" w:rsidRPr="00000000" w14:paraId="00000074">
      <w:pPr>
        <w:pStyle w:val="Heading2"/>
        <w:spacing w:after="150" w:before="300" w:lineRule="auto"/>
        <w:rPr>
          <w:color w:val="000000"/>
        </w:rPr>
      </w:pPr>
      <w:r w:rsidDel="00000000" w:rsidR="00000000" w:rsidRPr="00000000">
        <w:rPr>
          <w:color w:val="000000"/>
          <w:rtl w:val="0"/>
        </w:rPr>
        <w:t xml:space="preserve">4.5 Pivot 5 — Cross-Engine-Aware Timing (Joint Timing + Routing Decision)</w:t>
      </w:r>
    </w:p>
    <w:p w:rsidR="00000000" w:rsidDel="00000000" w:rsidP="00000000" w:rsidRDefault="00000000" w:rsidRPr="00000000" w14:paraId="00000075">
      <w:pPr>
        <w:spacing w:after="160" w:line="276" w:lineRule="auto"/>
        <w:jc w:val="both"/>
        <w:rPr/>
      </w:pPr>
      <w:r w:rsidDel="00000000" w:rsidR="00000000" w:rsidRPr="00000000">
        <w:rPr>
          <w:rFonts w:ascii="Calibri" w:cs="Calibri" w:eastAsia="Calibri" w:hAnsi="Calibri"/>
          <w:b w:val="1"/>
          <w:bCs w:val="1"/>
          <w:sz w:val="22"/>
          <w:szCs w:val="22"/>
          <w:rtl w:val="0"/>
        </w:rPr>
        <w:t xml:space="preserve">Trigger: </w:t>
      </w:r>
      <w:r w:rsidDel="00000000" w:rsidR="00000000" w:rsidRPr="00000000">
        <w:rPr>
          <w:rFonts w:ascii="Calibri" w:cs="Calibri" w:eastAsia="Calibri" w:hAnsi="Calibri"/>
          <w:sz w:val="22"/>
          <w:szCs w:val="22"/>
          <w:rtl w:val="0"/>
        </w:rPr>
        <w:t xml:space="preserve">“Peak vs. off-peak” proves too noisy or indirect a signal to learn cleanly, but the broader when/where question for maintenance remains viable under a different decision surface.</w:t>
      </w: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Fonts w:ascii="Calibri" w:cs="Calibri" w:eastAsia="Calibri" w:hAnsi="Calibri"/>
          <w:sz w:val="22"/>
          <w:szCs w:val="22"/>
          <w:rtl w:val="0"/>
        </w:rPr>
        <w:t xml:space="preserve">Merge the timing question with the engine-selection framing from the Strausz et al. cross-engine learned cost model (Section 3.4 above): instead of asking only when to compact, ask whether compaction should run now on the query-serving engine, be deferred, or be offloaded to a dedicated compaction engine/provisioning — a decision surface that is more directly observable and controllable than a scalar time-choice, and one for which a directly reusable published architecture (shared query embedding + multi-task per-option cost heads) already exists as a starting point.</w:t>
      </w:r>
      <w:r w:rsidDel="00000000" w:rsidR="00000000" w:rsidRPr="00000000">
        <w:rPr>
          <w:rtl w:val="0"/>
        </w:rPr>
      </w:r>
    </w:p>
    <w:p w:rsidR="00000000" w:rsidDel="00000000" w:rsidP="00000000" w:rsidRDefault="00000000" w:rsidRPr="00000000" w14:paraId="00000077">
      <w:pPr>
        <w:pStyle w:val="Heading2"/>
        <w:spacing w:after="150" w:before="300" w:lineRule="auto"/>
        <w:rPr>
          <w:color w:val="000000"/>
        </w:rPr>
      </w:pPr>
      <w:r w:rsidDel="00000000" w:rsidR="00000000" w:rsidRPr="00000000">
        <w:rPr>
          <w:color w:val="000000"/>
          <w:rtl w:val="0"/>
        </w:rPr>
        <w:t xml:space="preserve">4.6 Recommended Safety Nets</w:t>
      </w:r>
    </w:p>
    <w:p w:rsidR="00000000" w:rsidDel="00000000" w:rsidP="00000000" w:rsidRDefault="00000000" w:rsidRPr="00000000" w14:paraId="00000078">
      <w:pPr>
        <w:spacing w:after="160" w:line="276" w:lineRule="auto"/>
        <w:jc w:val="both"/>
        <w:rPr/>
      </w:pPr>
      <w:r w:rsidDel="00000000" w:rsidR="00000000" w:rsidRPr="00000000">
        <w:rPr>
          <w:rFonts w:ascii="Calibri" w:cs="Calibri" w:eastAsia="Calibri" w:hAnsi="Calibri"/>
          <w:sz w:val="22"/>
          <w:szCs w:val="22"/>
          <w:rtl w:val="0"/>
        </w:rPr>
        <w:t xml:space="preserve">Given the current investment in the interference-measurement harness and forecaster design, Pivots 1 and 3 are the most realistic near-term safety nets: both salvage the bulk of the hardest engineering work even if the full uncertainty-aware scheduler does not come together in time for the target submission cycle. Pivot 2 is available at essentially no additional cost regardless of which other pivot is chosen, since it is a reframing of results rather than a change in what gets built. Pivots 4 and 5 are held in reserve as larger, more distinct redirects for a more fundamental collapse of the timing angle.</w:t>
      </w:r>
      <w:r w:rsidDel="00000000" w:rsidR="00000000" w:rsidRPr="00000000">
        <w:rPr>
          <w:rtl w:val="0"/>
        </w:rPr>
      </w:r>
    </w:p>
    <w:p w:rsidR="00000000" w:rsidDel="00000000" w:rsidP="00000000" w:rsidRDefault="00000000" w:rsidRPr="00000000" w14:paraId="00000079">
      <w:pPr>
        <w:pStyle w:val="Heading1"/>
        <w:spacing w:after="200" w:before="400" w:lineRule="auto"/>
        <w:rPr>
          <w:color w:val="000000"/>
        </w:rPr>
      </w:pPr>
      <w:r w:rsidDel="00000000" w:rsidR="00000000" w:rsidRPr="00000000">
        <w:rPr>
          <w:color w:val="000000"/>
          <w:rtl w:val="0"/>
        </w:rPr>
        <w:t xml:space="preserve">5. Overall Assessment</w:t>
      </w:r>
    </w:p>
    <w:p w:rsidR="00000000" w:rsidDel="00000000" w:rsidP="00000000" w:rsidRDefault="00000000" w:rsidRPr="00000000" w14:paraId="0000007A">
      <w:pPr>
        <w:spacing w:after="160" w:line="276" w:lineRule="auto"/>
        <w:jc w:val="both"/>
        <w:rPr/>
      </w:pPr>
      <w:r w:rsidDel="00000000" w:rsidR="00000000" w:rsidRPr="00000000">
        <w:rPr>
          <w:rFonts w:ascii="Calibri" w:cs="Calibri" w:eastAsia="Calibri" w:hAnsi="Calibri"/>
          <w:sz w:val="22"/>
          <w:szCs w:val="22"/>
          <w:rtl w:val="0"/>
        </w:rPr>
        <w:t xml:space="preserve">Taken together, the six papers surveyed here support a specific, narrow, and current claim: the decision of when to execute lakehouse storage maintenance relative to concurrent query-workload interference — as opposed to what to compact or what layout to choose — remains unaddressed by any published, peer-reviewed or preprint methodology as of this survey, despite (a) two independent research groups explicitly naming it as open future work in their own papers, and (b) at least three named production systems (Databricks Predictive Optimization, Snowflake automatic clustering, and Google Dataproc's catalog-based idle-time triggering) already treating it as important enough to engineer ad hoc, undocumented solutions for. This combination — explicit academic acknowledgment of the gap plus convergent industry investment in informal solutions to it — is a stronger form of gap validation than either signal alone, and is the basis on which this survey concludes the proposed research direction is sound. The primary execution risk is not whether the gap exists, but whether the interference signal can be measured cleanly enough to support a learned model; the pivot topics in Section 4 exist specifically to ensure that risk has a pre-evaluated response rather than an improvised one.</w:t>
      </w:r>
      <w:r w:rsidDel="00000000" w:rsidR="00000000" w:rsidRPr="00000000">
        <w:rPr>
          <w:rtl w:val="0"/>
        </w:rPr>
      </w:r>
    </w:p>
    <w:sectPr>
      <w:type w:val="nextPage"/>
      <w:pgSz w:h="15840" w:w="12240" w:orient="portrait"/>
      <w:pgMar w:bottom="1440" w:top="144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