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52"/>
          <w:szCs w:val="52"/>
        </w:rPr>
        <w:t xml:space="preserve">Literature Survey Report</w:t>
      </w:r>
    </w:p>
    <w:p>
      <w:pPr>
        <w:spacing w:after="500"/>
        <w:jc w:val="center"/>
      </w:pPr>
      <w:r>
        <w:rPr>
          <w:rFonts w:ascii="Calibri" w:cs="Calibri" w:eastAsia="Calibri" w:hAnsi="Calibri"/>
          <w:b/>
          <w:bCs/>
          <w:color w:val="444444"/>
          <w:sz w:val="32"/>
          <w:szCs w:val="32"/>
        </w:rPr>
        <w:t xml:space="preserve">Learned, Uncertainty-Aware Scheduling for Lakehouse Storage Maintenance</w:t>
      </w:r>
    </w:p>
    <w:p>
      <w:pPr>
        <w:spacing w:after="900"/>
        <w:jc w:val="center"/>
      </w:pPr>
      <w:r>
        <w:rPr>
          <w:rFonts w:ascii="Calibri" w:cs="Calibri" w:eastAsia="Calibri" w:hAnsi="Calibri"/>
          <w:i/>
          <w:iCs/>
          <w:color w:val="555555"/>
          <w:sz w:val="24"/>
          <w:szCs w:val="24"/>
        </w:rPr>
        <w:t xml:space="preserve">A survey of the compaction, table-layout-optimization, and learned-cost-model literature supporting a proposed research gap: learned, calibrated-uncertainty scheduling of storage maintenance operations relative to concurrent query-workload interference.</w:t>
      </w:r>
    </w:p>
    <w:p>
      <w:pPr>
        <w:spacing w:after="80"/>
        <w:jc w:val="center"/>
      </w:pPr>
      <w:r>
        <w:rPr>
          <w:rFonts w:ascii="Calibri" w:cs="Calibri" w:eastAsia="Calibri" w:hAnsi="Calibri"/>
          <w:b/>
          <w:bCs/>
          <w:sz w:val="22"/>
          <w:szCs w:val="22"/>
        </w:rPr>
        <w:t xml:space="preserve">Prepared by: </w:t>
      </w:r>
      <w:r>
        <w:rPr>
          <w:rFonts w:ascii="Calibri" w:cs="Calibri" w:eastAsia="Calibri" w:hAnsi="Calibri"/>
          <w:sz w:val="22"/>
          <w:szCs w:val="22"/>
        </w:rPr>
        <w:t xml:space="preserve">Shashank Keshava Murthy, Shashank D, Prachi, Samarth</w:t>
      </w:r>
    </w:p>
    <w:p>
      <w:pPr>
        <w:spacing w:after="80"/>
        <w:jc w:val="center"/>
      </w:pPr>
      <w:r>
        <w:rPr>
          <w:rFonts w:ascii="Calibri" w:cs="Calibri" w:eastAsia="Calibri" w:hAnsi="Calibri"/>
          <w:b/>
          <w:bCs/>
          <w:sz w:val="22"/>
          <w:szCs w:val="22"/>
        </w:rPr>
        <w:t xml:space="preserve">Affiliation: </w:t>
      </w:r>
      <w:r>
        <w:rPr>
          <w:rFonts w:ascii="Calibri" w:cs="Calibri" w:eastAsia="Calibri" w:hAnsi="Calibri"/>
          <w:sz w:val="22"/>
          <w:szCs w:val="22"/>
        </w:rPr>
        <w:t xml:space="preserve">PES University, Bengaluru — Centre for Data Science and Applied Machine Learning (CDSAML)</w:t>
      </w:r>
    </w:p>
    <w:p>
      <w:pPr>
        <w:spacing w:after="80"/>
        <w:jc w:val="center"/>
      </w:pPr>
      <w:r>
        <w:rPr>
          <w:rFonts w:ascii="Calibri" w:cs="Calibri" w:eastAsia="Calibri" w:hAnsi="Calibri"/>
          <w:b/>
          <w:bCs/>
          <w:sz w:val="22"/>
          <w:szCs w:val="22"/>
        </w:rPr>
        <w:t xml:space="preserve">Target Venue: </w:t>
      </w:r>
      <w:r>
        <w:rPr>
          <w:rFonts w:ascii="Calibri" w:cs="Calibri" w:eastAsia="Calibri" w:hAnsi="Calibri"/>
          <w:sz w:val="22"/>
          <w:szCs w:val="22"/>
        </w:rPr>
        <w:t xml:space="preserve">PVLDB, February 2027 submission cycle</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August 2026</w:t>
      </w:r>
    </w:p>
    <w:p>
      <w:r>
        <w:br w:type="page"/>
      </w:r>
    </w:p>
    <w:p>
      <w:pPr>
        <w:sectPr>
          <w:pgSz w:w="12240" w:h="15840" w:orient="portrait"/>
          <w:pgMar w:top="1440" w:right="1080" w:bottom="1440" w:left="108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080" w:bottom="1440" w:left="1080" w:header="708" w:footer="708" w:gutter="0"/>
          <w:pgNumType/>
          <w:docGrid w:linePitch="360"/>
        </w:sectPr>
      </w:pPr>
    </w:p>
    <w:p>
      <w:pPr>
        <w:pStyle w:val="Heading1"/>
        <w:spacing w:after="200" w:before="400"/>
      </w:pPr>
      <w:r>
        <w:t xml:space="preserve">1. Purpose of This Survey</w:t>
      </w:r>
    </w:p>
    <w:p>
      <w:pPr>
        <w:spacing w:after="160" w:line="276"/>
        <w:jc w:val="both"/>
      </w:pPr>
      <w:r>
        <w:rPr>
          <w:rFonts w:ascii="Calibri" w:cs="Calibri" w:eastAsia="Calibri" w:hAnsi="Calibri"/>
          <w:sz w:val="22"/>
          <w:szCs w:val="22"/>
        </w:rPr>
        <w:t xml:space="preserve">This document summarizes the literature review conducted to validate the research gap targeted by our proposed project: a learned, uncertainty-aware scheduler that decides when — not just whether or what — to execute storage maintenance (compaction) in lakehouse table formats such as Apache Iceberg, Delta Lake, and Apache Hudi. Six papers were reviewed in depth, spanning the compaction heuristics literature, workload-driven table layout optimization, learned cost models for database systems, and one directly competing recent preprint. For each paper we document what it contributes, the concrete mechanism by which it achieves that contribution, the evidence presented, and — most importantly for our purposes — the specific gap it leaves open. The final section lists our pivot topics: alternative research directions we can retreat to at defined checkpoints if the core timing hypothesis proves infeasible, so that the project has evaluated fallback options in advance rather than only after a setback.</w:t>
      </w:r>
    </w:p>
    <w:p>
      <w:pPr>
        <w:spacing w:after="160" w:line="276"/>
        <w:jc w:val="both"/>
      </w:pPr>
      <w:r>
        <w:rPr>
          <w:rFonts w:ascii="Calibri" w:cs="Calibri" w:eastAsia="Calibri" w:hAnsi="Calibri"/>
          <w:sz w:val="22"/>
          <w:szCs w:val="22"/>
        </w:rPr>
        <w:t xml:space="preserve">The central claim this survey supports is narrow and falsifiable: across all six papers reviewed, including one published in August 2026 that explicitly targets the same problem family, no published work learns to schedule maintenance execution timing relative to concurrent query-workload interference, and none does so with a calibrated-uncertainty fallback mechanism. Every paper either addresses a different decision (what to compact, what layout to choose, which engine to route a query to) or explicitly flags temporal/timing prediction as unaddressed future work in its own discussion section.</w:t>
      </w:r>
    </w:p>
    <w:p>
      <w:pPr>
        <w:pStyle w:val="Heading1"/>
        <w:spacing w:after="200" w:before="400"/>
      </w:pPr>
      <w:r>
        <w:t xml:space="preserve">2. Summary Comparison Table</w:t>
      </w:r>
    </w:p>
    <w:p>
      <w:pPr>
        <w:spacing w:after="160" w:line="276"/>
        <w:jc w:val="both"/>
      </w:pPr>
      <w:r>
        <w:rPr>
          <w:rFonts w:ascii="Calibri" w:cs="Calibri" w:eastAsia="Calibri" w:hAnsi="Calibri"/>
          <w:sz w:val="22"/>
          <w:szCs w:val="22"/>
        </w:rPr>
        <w:t xml:space="preserve">The table below gives a one-glance comparison across all six papers (rendered in landscape orientation for readability; the following page returns to portrait). Full evidence and evaluation detail for each paper is given in the narrative in Section 3.</w:t>
      </w:r>
    </w:p>
    <w:p>
      <w:pPr>
        <w:sectPr>
          <w:pgSz w:w="12240" w:h="15840" w:orient="portrait"/>
          <w:pgMar w:top="1440" w:right="1080" w:bottom="1440" w:left="1080" w:header="708" w:footer="708" w:gutter="0"/>
          <w:pgNumType/>
          <w:docGrid w:linePitch="360"/>
        </w:sectPr>
      </w:pPr>
    </w:p>
    <w:tbl>
      <w:tblPr>
        <w:tblW w:type="dxa" w:w="11300"/>
        <w:tblBorders>
          <w:top w:val="single" w:color="999999" w:sz="2"/>
          <w:left w:val="single" w:color="999999" w:sz="2"/>
          <w:bottom w:val="single" w:color="999999" w:sz="2"/>
          <w:right w:val="single" w:color="999999" w:sz="2"/>
          <w:insideH w:val="single" w:color="CCCCCC" w:sz="2"/>
          <w:insideV w:val="single" w:color="CCCCCC" w:sz="2"/>
        </w:tblBorders>
      </w:tblPr>
      <w:tblGrid>
        <w:gridCol w:w="2000"/>
        <w:gridCol w:w="3600"/>
        <w:gridCol w:w="3600"/>
        <w:gridCol w:w="2100"/>
      </w:tblGrid>
      <w:tr>
        <w:tc>
          <w:tcPr>
            <w:tcW w:type="dxa" w:w="2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Paper / Venue</w:t>
            </w:r>
          </w:p>
        </w:tc>
        <w:tc>
          <w:tcPr>
            <w:tcW w:type="dxa" w:w="3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Core Contribution</w:t>
            </w:r>
          </w:p>
        </w:tc>
        <w:tc>
          <w:tcPr>
            <w:tcW w:type="dxa" w:w="3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How It Achieves It (Mechanism)</w:t>
            </w:r>
          </w:p>
        </w:tc>
        <w:tc>
          <w:tcPr>
            <w:tcW w:type="dxa" w:w="2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Gap It Leaves Open</w:t>
            </w:r>
          </w:p>
        </w:tc>
      </w:tr>
      <w:tr>
        <w:tc>
          <w:tcPr>
            <w:tcW w:type="dxa" w:w="2000"/>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AutoComp
(Gruenheid et al., SIGMOD-Companion 2025)</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First comprehensive automated compaction framework; decides which tables/partitions to compact and how urgently, at LinkedIn production scale (35K+ Iceberg tables).</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Observe–Orient–Decide–Act (OODA) loop. Hand-built traits (file-count reduction, compute cost) scalarized into a weighted Multi-Objective Optimization Problem (MOOP) ranking function. Deterministic by explicit design (Non-Functional Requirement 2: Explainability).</w:t>
            </w:r>
          </w:p>
        </w:tc>
        <w:tc>
          <w:tcPr>
            <w:tcW w:type="dxa" w:w="21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Scheduling logic (§4.4/§5) mentions off-peak deferral only as a one-line heuristic contingent on “predictable” usage — no forecasting, no learning, no uncertainty.</w:t>
            </w:r>
          </w:p>
        </w:tc>
      </w:tr>
      <w:tr>
        <w:tc>
          <w:tcPr>
            <w:tcW w:type="dxa" w:w="2000"/>
            <w:shd w:fill="F2F2F2" w:val="clear"/>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PTO
(Meduri et al., IBM Research, SIGMOD 2026)</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Learns the optimal physical layout (partitioning column, target file size, row-group size, sort strategy) for Iceberg tables from the query workload, via divide-and-conquer candidate search + gradient boosted trees.</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Two-step: (1) heuristically shortlist top-k candidate partitioning/sort columns using filter-column frequency and scan selectivity; (2) train a GBT regressor on skipping-benefit labels from a small (~3–4%) sampled subset of the candidate space, then predict the best full-scale layout.</w:t>
            </w:r>
          </w:p>
        </w:tc>
        <w:tc>
          <w:tcPr>
            <w:tcW w:type="dxa" w:w="21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Explicitly states in §2.3 that PTO “is expected to be run in the background periodically” — timing/scheduling is assumed away, not addressed. Answers what layout, never when to apply it relative to load.</w:t>
            </w:r>
          </w:p>
        </w:tc>
      </w:tr>
      <w:tr>
        <w:tc>
          <w:tcPr>
            <w:tcW w:type="dxa" w:w="2000"/>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Smart Compaction
(Cutura &amp; Prakash, arXiv Aug 2026)</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Predicts bin-packing compaction utility (continuous file-reduction ratio) directly from Iceberg manifest metadata, without reading data files. Shows the binary compact/don't-compact decision is a trivial deterministic threshold, but the continuous utility prediction genuinely benefits from ML.</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17 metadata features (file counts, size statistics, partition-level ratios) extracted from manifests only. XGBoost regressor trained on 2,376 simulated Iceberg tables spanning 3 orders of magnitude in file size, engineered specifically to avoid a “tautology trap” where uniform file sizes make the task trivially solvable.</w:t>
            </w:r>
          </w:p>
        </w:tc>
        <w:tc>
          <w:tcPr>
            <w:tcW w:type="dxa" w:w="21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Static-snapshot only — zero query-load or concurrency features in the entire 17-feature set. §I.5 explicitly lists “Temporal evolution” as future work: “forecasting compaction need k commits ahead” is named directly as unaddressed.</w:t>
            </w:r>
          </w:p>
        </w:tc>
      </w:tr>
      <w:tr>
        <w:tc>
          <w:tcPr>
            <w:tcW w:type="dxa" w:w="2000"/>
            <w:shd w:fill="F2F2F2" w:val="clear"/>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Cross-Engine LCM
(Strausz, Pardon, Giurgiu, IBM Research, PVLDB 2024/preprint)</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Learned cost model that routes SQL queries to the best-fit execution engine/provisioning (e.g., Presto vs. Spark, different worker counts) in a lakehouse, replacing manual a priori engine selection.</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Query plan (Substrait) encoded as a heterogeneous graph; a shared Bottom-Up Graph Neural Network embedding feeds multiple lightweight per-engine predictor heads (multi-task learning), so adding a new engine needs only a small fine-tuned head, not a full retrain.</w:t>
            </w:r>
          </w:p>
        </w:tc>
        <w:tc>
          <w:tcPr>
            <w:tcW w:type="dxa" w:w="21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Not about maintenance timing at all — addresses query-to-engine routing, a different decision surface. Relevant only as a structural precedent (shared-embedding + multi-head cost prediction) and as a possible pivot direction (Pivot 5).</w:t>
            </w:r>
          </w:p>
        </w:tc>
      </w:tr>
      <w:tr>
        <w:tc>
          <w:tcPr>
            <w:tcW w:type="dxa" w:w="2000"/>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Table Format Optimizations in Managed Spark for Dataproc
(Tarte et al., Google, FORMATS 2026)</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Production engineering paper on Google Cloud Dataproc: workload-aware I/O pruning, Precision Merge (row-level tracking to cut shuffle in MERGE), and intelligent compaction/VACUUM triggering using historical run patterns.</w:t>
            </w:r>
          </w:p>
        </w:tc>
        <w:tc>
          <w:tcPr>
            <w:tcW w:type="dxa" w:w="36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§2.1.3 “Intelligent Maintenance via Catalog”: the engine analyzes frequency/duration of past runs and the volume of data modified in the current run to infer whether the next write is likely far enough in the future, then auto-triggers OPTIMIZE during inferred idle cluster time.</w:t>
            </w:r>
          </w:p>
        </w:tc>
        <w:tc>
          <w:tcPr>
            <w:tcW w:type="dxa" w:w="2100"/>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Confirms production systems already treat idle-time-aware maintenance triggering as valuable enough to build — but describes only a historical-frequency heuristic. No published methodology, no learned model, no uncertainty quantification, no evaluation of the timing decision in isolation from the other optimizations.</w:t>
            </w:r>
          </w:p>
        </w:tc>
      </w:tr>
      <w:tr>
        <w:tc>
          <w:tcPr>
            <w:tcW w:type="dxa" w:w="2000"/>
            <w:shd w:fill="F2F2F2" w:val="clear"/>
            <w:tcMar>
              <w:top w:type="dxa" w:w="100"/>
              <w:left w:type="dxa" w:w="120"/>
              <w:bottom w:type="dxa" w:w="100"/>
              <w:right w:type="dxa" w:w="120"/>
            </w:tcMar>
            <w:vAlign w:val="center"/>
          </w:tcPr>
          <w:p>
            <w:pPr>
              <w:spacing w:after="40"/>
            </w:pPr>
            <w:r>
              <w:rPr>
                <w:rFonts w:ascii="Calibri" w:cs="Calibri" w:eastAsia="Calibri" w:hAnsi="Calibri"/>
                <w:b/>
                <w:bCs/>
                <w:sz w:val="20"/>
                <w:szCs w:val="20"/>
              </w:rPr>
              <w:t xml:space="preserve">This Project
(proposed)</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A learned model that predicts the temporal opportunity for maintenance under concurrent workload interference, paired with calibrated uncertainty that determines when to trust the learned prediction versus fall back to a conservative heuristic.</w:t>
            </w:r>
          </w:p>
        </w:tc>
        <w:tc>
          <w:tcPr>
            <w:tcW w:type="dxa" w:w="36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Interference-cost regression trained on paired control/treatment LST-Bench runs (compaction size × concurrent load × time-of-day), with load realism driven by the Alibaba cluster-trace-v2018 diurnal signal; calibrated uncertainty (conformal prediction / quantile regression) gates a now/off-peak/defer scheduler.</w:t>
            </w:r>
          </w:p>
        </w:tc>
        <w:tc>
          <w:tcPr>
            <w:tcW w:type="dxa" w:w="2100"/>
            <w:shd w:fill="F2F2F2" w:val="clear"/>
            <w:tcMar>
              <w:top w:type="dxa" w:w="100"/>
              <w:left w:type="dxa" w:w="120"/>
              <w:bottom w:type="dxa" w:w="100"/>
              <w:right w:type="dxa" w:w="120"/>
            </w:tcMar>
            <w:vAlign w:val="center"/>
          </w:tcPr>
          <w:p>
            <w:pPr>
              <w:spacing w:after="40"/>
            </w:pPr>
            <w:r>
              <w:rPr>
                <w:rFonts w:ascii="Calibri" w:cs="Calibri" w:eastAsia="Calibri" w:hAnsi="Calibri"/>
                <w:b w:val="false"/>
                <w:bCs w:val="false"/>
                <w:sz w:val="20"/>
                <w:szCs w:val="20"/>
              </w:rPr>
              <w:t xml:space="preserve">— (this is the gap the other six rows collectively leave open)</w:t>
            </w:r>
          </w:p>
        </w:tc>
      </w:tr>
    </w:tbl>
    <w:p>
      <w:pPr>
        <w:sectPr>
          <w:pgSz w:w="15840" w:h="12240" w:orient="portrait"/>
          <w:pgMar w:top="1080" w:right="1080" w:bottom="1080" w:left="1080" w:header="708" w:footer="708" w:gutter="0"/>
          <w:pgNumType/>
          <w:docGrid w:linePitch="360"/>
        </w:sectPr>
      </w:pPr>
    </w:p>
    <w:p>
      <w:pPr>
        <w:pStyle w:val="Heading1"/>
        <w:spacing w:after="200" w:before="400"/>
      </w:pPr>
      <w:r>
        <w:t xml:space="preserve">3. Detailed Paper Summaries</w:t>
      </w:r>
    </w:p>
    <w:p>
      <w:pPr>
        <w:pStyle w:val="Heading2"/>
        <w:spacing w:after="150" w:before="300"/>
      </w:pPr>
      <w:r>
        <w:t xml:space="preserve">3.1 AutoComp: Automated Data Compaction for Log-Structured Tables in Data Lakes</w:t>
      </w:r>
    </w:p>
    <w:p>
      <w:pPr>
        <w:spacing w:after="160" w:line="276"/>
        <w:jc w:val="both"/>
      </w:pPr>
      <w:r>
        <w:rPr>
          <w:rFonts w:ascii="Calibri" w:cs="Calibri" w:eastAsia="Calibri" w:hAnsi="Calibri"/>
          <w:b/>
          <w:bCs/>
          <w:sz w:val="22"/>
          <w:szCs w:val="22"/>
        </w:rPr>
        <w:t xml:space="preserve">Authors / Venue: </w:t>
      </w:r>
      <w:r>
        <w:rPr>
          <w:rFonts w:ascii="Calibri" w:cs="Calibri" w:eastAsia="Calibri" w:hAnsi="Calibri"/>
          <w:sz w:val="22"/>
          <w:szCs w:val="22"/>
        </w:rPr>
        <w:t xml:space="preserve">Gruenheid, Camacho-Rodríguez, Curino, Ramakrishnan (Microsoft); Pak, Sakdeo, Gandhi, Singhal (LinkedIn); Nilangekar, Abadi (University of Maryland). SIGMOD/PODS Companion 2025 (arXiv:2504.04186).</w:t>
      </w:r>
    </w:p>
    <w:p>
      <w:pPr>
        <w:pStyle w:val="Heading3"/>
        <w:spacing w:after="100" w:before="200"/>
      </w:pPr>
      <w:r>
        <w:t xml:space="preserve">What it contributes</w:t>
      </w:r>
    </w:p>
    <w:p>
      <w:pPr>
        <w:spacing w:after="160" w:line="276"/>
        <w:jc w:val="both"/>
      </w:pPr>
      <w:r>
        <w:rPr>
          <w:rFonts w:ascii="Calibri" w:cs="Calibri" w:eastAsia="Calibri" w:hAnsi="Calibri"/>
          <w:sz w:val="22"/>
          <w:szCs w:val="22"/>
        </w:rPr>
        <w:t xml:space="preserve">AutoComp is the most comprehensive published automated compaction framework to date. It addresses the “small file problem” in log-structured table formats (Iceberg, Delta, Hudi) by deciding, at production scale, which tables or partitions should be compacted and how urgently, replacing LinkedIn's earlier manual and fixed-frequency compaction strategies across more than 35,000 onboarded Iceberg tables in their OpenHouse catalog.</w:t>
      </w:r>
    </w:p>
    <w:p>
      <w:pPr>
        <w:pStyle w:val="Heading3"/>
        <w:spacing w:after="100" w:before="200"/>
      </w:pPr>
      <w:r>
        <w:t xml:space="preserve">How it achieves it</w:t>
      </w:r>
    </w:p>
    <w:p>
      <w:pPr>
        <w:spacing w:after="160" w:line="276"/>
        <w:jc w:val="both"/>
      </w:pPr>
      <w:r>
        <w:rPr>
          <w:rFonts w:ascii="Calibri" w:cs="Calibri" w:eastAsia="Calibri" w:hAnsi="Calibri"/>
          <w:sz w:val="22"/>
          <w:szCs w:val="22"/>
        </w:rPr>
        <w:t xml:space="preserve">The framework is structured around an Observe–Orient–Decide–Act (OODA) loop borrowed conceptually from Netflix's auto-optimize functionality. In the Observe phase, raw statistics (file counts, sizes) are extracted per candidate (table, partition, or snapshot scope). In Orient, these become derived “traits” — principally file-count reduction potential and estimated compute cost (GBHr, a function of executor memory and data size). In Decide, traits are min-max normalized and combined into a single scalarized score via a weighted-sum Multi-Objective Optimization Problem (MOOP): higher-scoring candidates are ranked first, and a greedy top-k selection fits as many high-priority tasks as the compute budget allows. In Act, selected candidates are scheduled — either via post-write “optimize-after-write” hooks or periodic standalone execution. Critically, determinism is an explicit design requirement (Non-Functional Requirement 2, “Explainability”): identical inputs must always produce identical decisions. AutoComp is engineered to not be a learned system.</w:t>
      </w:r>
    </w:p>
    <w:p>
      <w:pPr>
        <w:pStyle w:val="Heading3"/>
        <w:spacing w:after="100" w:before="200"/>
      </w:pPr>
      <w:r>
        <w:t xml:space="preserve">Evidence</w:t>
      </w:r>
    </w:p>
    <w:p>
      <w:pPr>
        <w:spacing w:after="160" w:line="276"/>
        <w:jc w:val="both"/>
      </w:pPr>
      <w:r>
        <w:rPr>
          <w:rFonts w:ascii="Calibri" w:cs="Calibri" w:eastAsia="Calibri" w:hAnsi="Calibri"/>
          <w:sz w:val="22"/>
          <w:szCs w:val="22"/>
        </w:rPr>
        <w:t xml:space="preserve">Evaluated both synthetically (CAB-gen-generated TPC-H-schema workloads run through an extended LST-Bench, on Spark 3.1.1 + Iceberg 1.2.0) and in real production deployment. Headline results: up to 44% reduction in files smaller than 128MB in production; switching from manual top-100 to automatic top-10 candidate selection increased total file-count reduction by 12% while touching 10× fewer tables; self-reported estimator error of 19% underestimation on compute cost and 28% overestimation on file-count reduction, evidence that even a deployed, tuned heuristic carries real, unquantified error.</w:t>
      </w:r>
    </w:p>
    <w:p>
      <w:pPr>
        <w:pStyle w:val="Heading3"/>
        <w:spacing w:after="100" w:before="200"/>
      </w:pPr>
      <w:r>
        <w:t xml:space="preserve">Gap relevant to our project</w:t>
      </w:r>
    </w:p>
    <w:p>
      <w:pPr>
        <w:spacing w:after="160" w:line="276"/>
        <w:jc w:val="both"/>
      </w:pPr>
      <w:r>
        <w:rPr>
          <w:rFonts w:ascii="Calibri" w:cs="Calibri" w:eastAsia="Calibri" w:hAnsi="Calibri"/>
          <w:sz w:val="22"/>
          <w:szCs w:val="22"/>
        </w:rPr>
        <w:t xml:space="preserve">Section 4.4 (“Compaction Scheduling”) and Section 5 (“Automatic Data Compaction”) mention off-peak deferral as one available scheduling option — “deferred to off-peak hours if usage patterns are predictable” — but this is a single sentence, not a mechanism. There is no forecasting model, no learned prediction of when off-peak will occur, and no handling of the case where usage patterns are not predictable. AutoComp's own Section 8 (“Discussion and Future Directions”) explicitly names “workload-awareness” and dynamic, learned weighting as open problems for future work — but frames these purely around candidate ranking and layout, never around execution timing relative to concurrent load.</w:t>
      </w:r>
    </w:p>
    <w:p>
      <w:pPr>
        <w:pStyle w:val="Heading2"/>
        <w:spacing w:after="150" w:before="300"/>
      </w:pPr>
      <w:r>
        <w:t xml:space="preserve">3.2 PTO: A Workload-Driven Predictive Table Optimizer for Lakehouse Systems</w:t>
      </w:r>
    </w:p>
    <w:p>
      <w:pPr>
        <w:spacing w:after="160" w:line="276"/>
        <w:jc w:val="both"/>
      </w:pPr>
      <w:r>
        <w:rPr>
          <w:rFonts w:ascii="Calibri" w:cs="Calibri" w:eastAsia="Calibri" w:hAnsi="Calibri"/>
          <w:b/>
          <w:bCs/>
          <w:sz w:val="22"/>
          <w:szCs w:val="22"/>
        </w:rPr>
        <w:t xml:space="preserve">Authors / Venue: </w:t>
      </w:r>
      <w:r>
        <w:rPr>
          <w:rFonts w:ascii="Calibri" w:cs="Calibri" w:eastAsia="Calibri" w:hAnsi="Calibri"/>
          <w:sz w:val="22"/>
          <w:szCs w:val="22"/>
        </w:rPr>
        <w:t xml:space="preserve">Meduri, Kreismann, Barber, Reinwald (IBM Research-Almaden). Proc. ACM Manag. Data (SIGMOD) 2026.</w:t>
      </w:r>
    </w:p>
    <w:p>
      <w:pPr>
        <w:pStyle w:val="Heading3"/>
        <w:spacing w:after="100" w:before="200"/>
      </w:pPr>
      <w:r>
        <w:t xml:space="preserve">What it contributes</w:t>
      </w:r>
    </w:p>
    <w:p>
      <w:pPr>
        <w:spacing w:after="160" w:line="276"/>
        <w:jc w:val="both"/>
      </w:pPr>
      <w:r>
        <w:rPr>
          <w:rFonts w:ascii="Calibri" w:cs="Calibri" w:eastAsia="Calibri" w:hAnsi="Calibri"/>
          <w:sz w:val="22"/>
          <w:szCs w:val="22"/>
        </w:rPr>
        <w:t xml:space="preserve">PTO automatically co-discovers four interdependent physical layout parameters for Iceberg tables — partitioning column, target file size (TFS), row group size (RGS), and multidimensional sort strategy — from the query workload, replacing manual, expert-driven layout tuning. It is the closest published competitor to AutoComp in terms of ambition, but addresses a different decision axis (layout, not candidate selection).</w:t>
      </w:r>
    </w:p>
    <w:p>
      <w:pPr>
        <w:pStyle w:val="Heading3"/>
        <w:spacing w:after="100" w:before="200"/>
      </w:pPr>
      <w:r>
        <w:t xml:space="preserve">How it achieves it</w:t>
      </w:r>
    </w:p>
    <w:p>
      <w:pPr>
        <w:spacing w:after="160" w:line="276"/>
        <w:jc w:val="both"/>
      </w:pPr>
      <w:r>
        <w:rPr>
          <w:rFonts w:ascii="Calibri" w:cs="Calibri" w:eastAsia="Calibri" w:hAnsi="Calibri"/>
          <w:sz w:val="22"/>
          <w:szCs w:val="22"/>
        </w:rPr>
        <w:t xml:space="preserve">A two-step divide-and-conquer approach avoids the combinatorial explosion of exhaustively evaluating every layout: first, candidate partitioning columns and sort schemes are shortlisted using filter-column frequency and scan selectivity from the query workload (with a Good-Turing estimator used to correct for undersampling when estimating sort-cluster sizes on sampled tables); second, a gradient boosted tree (GBT) regressor is trained on skipping-benefit labels measured on a small sampled subset (roughly 3–4% of the full candidate space, ~12 training layouts) and used to predict the best-performing full configuration across the remaining ~96–97% unlabeled candidates.</w:t>
      </w:r>
    </w:p>
    <w:p>
      <w:pPr>
        <w:pStyle w:val="Heading3"/>
        <w:spacing w:after="100" w:before="200"/>
      </w:pPr>
      <w:r>
        <w:t xml:space="preserve">Evidence</w:t>
      </w:r>
    </w:p>
    <w:p>
      <w:pPr>
        <w:spacing w:after="160" w:line="276"/>
        <w:jc w:val="both"/>
      </w:pPr>
      <w:r>
        <w:rPr>
          <w:rFonts w:ascii="Calibri" w:cs="Calibri" w:eastAsia="Calibri" w:hAnsi="Calibri"/>
          <w:sz w:val="22"/>
          <w:szCs w:val="22"/>
        </w:rPr>
        <w:t xml:space="preserve">Evaluated on TPC-H and TPC-DS at scale factor 10,000 (10TB), on a Presto/Prestissimo (Velox) lakehouse engine. PTO achieves 11% average latency savings on TPC-H and 36% on TPC-DS versus default (unoptimized) layouts, with up to 11× speedup on scan-intensive queries, and benefits more queries than a carefully hand-tuned human-expert baseline (PTO_HumanExp) despite being fully automatic.</w:t>
      </w:r>
    </w:p>
    <w:p>
      <w:pPr>
        <w:pStyle w:val="Heading3"/>
        <w:spacing w:after="100" w:before="200"/>
      </w:pPr>
      <w:r>
        <w:t xml:space="preserve">Gap relevant to our project</w:t>
      </w:r>
    </w:p>
    <w:p>
      <w:pPr>
        <w:spacing w:after="160" w:line="276"/>
        <w:jc w:val="both"/>
      </w:pPr>
      <w:r>
        <w:rPr>
          <w:rFonts w:ascii="Calibri" w:cs="Calibri" w:eastAsia="Calibri" w:hAnsi="Calibri"/>
          <w:sz w:val="22"/>
          <w:szCs w:val="22"/>
        </w:rPr>
        <w:t xml:space="preserve">Section 2.3, point 7, states directly: “In our experiments, we show the latencies of PTO ran in an offline manner; however, to support evolving queries and data, PTO is expected to be run in the background periodically.” Timing is assumed away by design — PTO answers what layout a table should have, never when layout optimization (which itself requires a costly rewrite, structurally similar to compaction) should be executed relative to concurrent query load. This is a clean, citable confirmation that even the most recent, most technically sophisticated layout-optimization work in this space treats scheduling timing as out of scope.</w:t>
      </w:r>
    </w:p>
    <w:p>
      <w:pPr>
        <w:pStyle w:val="Heading2"/>
        <w:spacing w:after="150" w:before="300"/>
      </w:pPr>
      <w:r>
        <w:t xml:space="preserve">3.3 Smart Compaction: Predicting Compaction Utility from Lakehouse Table Metadata</w:t>
      </w:r>
    </w:p>
    <w:p>
      <w:pPr>
        <w:spacing w:after="160" w:line="276"/>
        <w:jc w:val="both"/>
      </w:pPr>
      <w:r>
        <w:rPr>
          <w:rFonts w:ascii="Calibri" w:cs="Calibri" w:eastAsia="Calibri" w:hAnsi="Calibri"/>
          <w:b/>
          <w:bCs/>
          <w:sz w:val="22"/>
          <w:szCs w:val="22"/>
        </w:rPr>
        <w:t xml:space="preserve">Authors / Venue: </w:t>
      </w:r>
      <w:r>
        <w:rPr>
          <w:rFonts w:ascii="Calibri" w:cs="Calibri" w:eastAsia="Calibri" w:hAnsi="Calibri"/>
          <w:sz w:val="22"/>
          <w:szCs w:val="22"/>
        </w:rPr>
        <w:t xml:space="preserve">Cutura (European Central Bank &amp; DSTI), Prakash (IBM). arXiv:2608.08639, August 2026.</w:t>
      </w:r>
    </w:p>
    <w:p>
      <w:pPr>
        <w:pStyle w:val="Heading3"/>
        <w:spacing w:after="100" w:before="200"/>
      </w:pPr>
      <w:r>
        <w:t xml:space="preserve">What it contributes</w:t>
      </w:r>
    </w:p>
    <w:p>
      <w:pPr>
        <w:spacing w:after="160" w:line="276"/>
        <w:jc w:val="both"/>
      </w:pPr>
      <w:r>
        <w:rPr>
          <w:rFonts w:ascii="Calibri" w:cs="Calibri" w:eastAsia="Calibri" w:hAnsi="Calibri"/>
          <w:sz w:val="22"/>
          <w:szCs w:val="22"/>
        </w:rPr>
        <w:t xml:space="preserve">The most directly adjacent paper to our proposed work, and the most recent (published within the current research-plan window). It asks whether metadata features alone can predict compaction utility — i.e., whether compacting a given table right now is worthwhile — and rigorously shows that the binary compact/don't-compact decision is a trivial, deterministic property of the bin-packing filter (a single threshold on max files per partition), while the continuous utility prediction (how much file reduction would result) is where machine learning genuinely adds value.</w:t>
      </w:r>
    </w:p>
    <w:p>
      <w:pPr>
        <w:pStyle w:val="Heading3"/>
        <w:spacing w:after="100" w:before="200"/>
      </w:pPr>
      <w:r>
        <w:t xml:space="preserve">How it achieves it</w:t>
      </w:r>
    </w:p>
    <w:p>
      <w:pPr>
        <w:spacing w:after="160" w:line="276"/>
        <w:jc w:val="both"/>
      </w:pPr>
      <w:r>
        <w:rPr>
          <w:rFonts w:ascii="Calibri" w:cs="Calibri" w:eastAsia="Calibri" w:hAnsi="Calibri"/>
          <w:sz w:val="22"/>
          <w:szCs w:val="22"/>
        </w:rPr>
        <w:t xml:space="preserve">Builds a reproducible simulation generating 2,376 synthetic Iceberg tables spanning three orders of magnitude in file size, with heterogeneous write patterns and Zipfian partition skew specifically engineered to avoid a documented “tautology trap” (an earlier version of their parameter grid made the prediction trivially solvable in closed form because all files were uniformly small). Extracts 17 features exclusively from Iceberg manifest metadata — file/partition-level statistics and derived ratios — without reading any actual data files, and trains an XGBoost regressor to predict the continuous file-reduction ratio.</w:t>
      </w:r>
    </w:p>
    <w:p>
      <w:pPr>
        <w:pStyle w:val="Heading3"/>
        <w:spacing w:after="100" w:before="200"/>
      </w:pPr>
      <w:r>
        <w:t xml:space="preserve">Evidence</w:t>
      </w:r>
    </w:p>
    <w:p>
      <w:pPr>
        <w:spacing w:after="160" w:line="276"/>
        <w:jc w:val="both"/>
      </w:pPr>
      <w:r>
        <w:rPr>
          <w:rFonts w:ascii="Calibri" w:cs="Calibri" w:eastAsia="Calibri" w:hAnsi="Calibri"/>
          <w:sz w:val="22"/>
          <w:szCs w:val="22"/>
        </w:rPr>
        <w:t xml:space="preserve">XGBoost regressor achieves R² = 0.998 (RMSE 0.013) in-distribution, with a bootstrap 95% CI of [0.996, 1.000] across 30 random seeds. Cross-schema validation on 96 TPC-H-derived tables (six relational schemas, no retraining) achieves R² = 0.976, confirming genuine transferable structure rather than overfitting to the synthetic schema. Two features (max/avg files-per-partition) alone account for over 95% of regressor gain. A downstream query benchmark on 52 TPC-H tables shows compaction benefits metadata-heavy queries (1.19× median COUNT(*) speedup) but can slow full-scan aggregations (0.45–0.76×) via reduced Spark task parallelism — a workload-dependent effect the authors argue motivates workload-aware scheduling.</w:t>
      </w:r>
    </w:p>
    <w:p>
      <w:pPr>
        <w:pStyle w:val="Heading3"/>
        <w:spacing w:after="100" w:before="200"/>
      </w:pPr>
      <w:r>
        <w:t xml:space="preserve">Gap relevant to our project</w:t>
      </w:r>
    </w:p>
    <w:p>
      <w:pPr>
        <w:spacing w:after="160" w:line="276"/>
        <w:jc w:val="both"/>
      </w:pPr>
      <w:r>
        <w:rPr>
          <w:rFonts w:ascii="Calibri" w:cs="Calibri" w:eastAsia="Calibri" w:hAnsi="Calibri"/>
          <w:sz w:val="22"/>
          <w:szCs w:val="22"/>
        </w:rPr>
        <w:t xml:space="preserve">This is the single most important citation for establishing that our gap is still open as of the literature's current state. The entire 17-feature set is static-snapshot metadata only — there is no query-load, concurrency, or interference feature anywhere in the model. Section I.5 (“Threats to Validity”), under “Temporal evolution,” states verbatim: “Our model operates on static snapshots. Production tables evolve continuously; a table that does not need compaction now may need it after the next batch of writes. Temporal prediction (e.g., forecasting compaction need k commits ahead) is future work.” This is an independent, non-AutoComp-affiliated group explicitly naming the temporal dimension as unaddressed, published just weeks before this survey — strong, current confirmation that the timing gap has not been closed by anyone else in the interim.</w:t>
      </w:r>
    </w:p>
    <w:p>
      <w:pPr>
        <w:pStyle w:val="Heading2"/>
        <w:spacing w:after="150" w:before="300"/>
      </w:pPr>
      <w:r>
        <w:t xml:space="preserve">3.4 A Learned Cost Model-Based Cross-Engine Optimizer for SQL Workloads</w:t>
      </w:r>
    </w:p>
    <w:p>
      <w:pPr>
        <w:spacing w:after="160" w:line="276"/>
        <w:jc w:val="both"/>
      </w:pPr>
      <w:r>
        <w:rPr>
          <w:rFonts w:ascii="Calibri" w:cs="Calibri" w:eastAsia="Calibri" w:hAnsi="Calibri"/>
          <w:b/>
          <w:bCs/>
          <w:sz w:val="22"/>
          <w:szCs w:val="22"/>
        </w:rPr>
        <w:t xml:space="preserve">Authors / Venue: </w:t>
      </w:r>
      <w:r>
        <w:rPr>
          <w:rFonts w:ascii="Calibri" w:cs="Calibri" w:eastAsia="Calibri" w:hAnsi="Calibri"/>
          <w:sz w:val="22"/>
          <w:szCs w:val="22"/>
        </w:rPr>
        <w:t xml:space="preserve">Strausz, Pardon, Giurgiu (IBM Research, Switzerland). Proceedings of the VLDB Endowment (PVLDB), Vol. 14.</w:t>
      </w:r>
    </w:p>
    <w:p>
      <w:pPr>
        <w:pStyle w:val="Heading3"/>
        <w:spacing w:after="100" w:before="200"/>
      </w:pPr>
      <w:r>
        <w:t xml:space="preserve">What it contributes</w:t>
      </w:r>
    </w:p>
    <w:p>
      <w:pPr>
        <w:spacing w:after="160" w:line="276"/>
        <w:jc w:val="both"/>
      </w:pPr>
      <w:r>
        <w:rPr>
          <w:rFonts w:ascii="Calibri" w:cs="Calibri" w:eastAsia="Calibri" w:hAnsi="Calibri"/>
          <w:sz w:val="22"/>
          <w:szCs w:val="22"/>
        </w:rPr>
        <w:t xml:space="preserve">Not a compaction or maintenance-timing paper at all — included in this survey as a structural precedent and a possible pivot direction, not as a direct competitor. It automates the selection of which SQL execution engine (and provisioning — e.g., Spark with 2 vs. 4 workers, or Presto) a given query should be routed to in a lakehouse with multiple available engines, replacing manual, a priori engine-selection decisions.</w:t>
      </w:r>
    </w:p>
    <w:p>
      <w:pPr>
        <w:pStyle w:val="Heading3"/>
        <w:spacing w:after="100" w:before="200"/>
      </w:pPr>
      <w:r>
        <w:t xml:space="preserve">How it achieves it</w:t>
      </w:r>
    </w:p>
    <w:p>
      <w:pPr>
        <w:spacing w:after="160" w:line="276"/>
        <w:jc w:val="both"/>
      </w:pPr>
      <w:r>
        <w:rPr>
          <w:rFonts w:ascii="Calibri" w:cs="Calibri" w:eastAsia="Calibri" w:hAnsi="Calibri"/>
          <w:sz w:val="22"/>
          <w:szCs w:val="22"/>
        </w:rPr>
        <w:t xml:space="preserve">SQL queries are converted to an optimized Substrait logical plan and encoded as a heterogeneous graph (five node types: Relation, Operation, Literal, Field, Table). A Bottom-Up Graph Neural Network computes a single shared query embedding via mean-pooling over relation nodes; this embedding is then fed into multiple lightweight, engine-specific predictor heads (a multi-task learning formulation), so that adding support for a new engine requires only training a small new head on a few hundred queries, not retraining the whole model.</w:t>
      </w:r>
    </w:p>
    <w:p>
      <w:pPr>
        <w:pStyle w:val="Heading3"/>
        <w:spacing w:after="100" w:before="200"/>
      </w:pPr>
      <w:r>
        <w:t xml:space="preserve">Evidence</w:t>
      </w:r>
    </w:p>
    <w:p>
      <w:pPr>
        <w:spacing w:after="160" w:line="276"/>
        <w:jc w:val="both"/>
      </w:pPr>
      <w:r>
        <w:rPr>
          <w:rFonts w:ascii="Calibri" w:cs="Calibri" w:eastAsia="Calibri" w:hAnsi="Calibri"/>
          <w:sz w:val="22"/>
          <w:szCs w:val="22"/>
        </w:rPr>
        <w:t xml:space="preserve">Evaluated on five datasets (TPC-H, TPC-DS, IMDB, Stack Overflow, a BIRD-SQL donor dataset) across five engine/provisioning configurations on IBM's watsonx.data lakehouse. Query-level routing based on the learned cost model reduces total workload runtime by up to 25.3% over random routing in a zero-shot setting and 30.4% in a few-shot setting; a newly added engine provisioning reaches comparable accuracy after fine-tuning on only ~250 queries.</w:t>
      </w:r>
    </w:p>
    <w:p>
      <w:pPr>
        <w:pStyle w:val="Heading3"/>
        <w:spacing w:after="100" w:before="200"/>
      </w:pPr>
      <w:r>
        <w:t xml:space="preserve">Gap relevant to our project</w:t>
      </w:r>
    </w:p>
    <w:p>
      <w:pPr>
        <w:spacing w:after="160" w:line="276"/>
        <w:jc w:val="both"/>
      </w:pPr>
      <w:r>
        <w:rPr>
          <w:rFonts w:ascii="Calibri" w:cs="Calibri" w:eastAsia="Calibri" w:hAnsi="Calibri"/>
          <w:sz w:val="22"/>
          <w:szCs w:val="22"/>
        </w:rPr>
        <w:t xml:space="preserve">Addresses a genuinely different decision surface (which engine, not when to run maintenance) and is therefore not a competing claim to our gap. Its relevance is twofold: (1) it is a concrete published precedent that a learned cost model can displace a heuristic decision in a lakehouse-adjacent system, which supports the general feasibility of our approach; and (2) its shared-embedding, multi-head architecture is a directly reusable structural pattern for Pivot 5 (a joint engine/provisioning/timing decision), should the pure timing framing prove too hard to get clean signal on.</w:t>
      </w:r>
    </w:p>
    <w:p>
      <w:pPr>
        <w:pStyle w:val="Heading2"/>
        <w:spacing w:after="150" w:before="300"/>
      </w:pPr>
      <w:r>
        <w:t xml:space="preserve">3.5 Table Format Optimizations in Managed Spark for Dataproc</w:t>
      </w:r>
    </w:p>
    <w:p>
      <w:pPr>
        <w:spacing w:after="160" w:line="276"/>
        <w:jc w:val="both"/>
      </w:pPr>
      <w:r>
        <w:rPr>
          <w:rFonts w:ascii="Calibri" w:cs="Calibri" w:eastAsia="Calibri" w:hAnsi="Calibri"/>
          <w:b/>
          <w:bCs/>
          <w:sz w:val="22"/>
          <w:szCs w:val="22"/>
        </w:rPr>
        <w:t xml:space="preserve">Authors / Venue: </w:t>
      </w:r>
      <w:r>
        <w:rPr>
          <w:rFonts w:ascii="Calibri" w:cs="Calibri" w:eastAsia="Calibri" w:hAnsi="Calibri"/>
          <w:sz w:val="22"/>
          <w:szCs w:val="22"/>
        </w:rPr>
        <w:t xml:space="preserve">Tarte, Jayaraman, Modi, Karve, Lu, Badhya, Sarkar, Shah, Mangla, Cao, Liu, Zhu, Yan (Google, OpenAI). 1st International Workshop on Data FORMATS for Modern Architectures and Workloads (FORMATS '26), May–June 2026.</w:t>
      </w:r>
    </w:p>
    <w:p>
      <w:pPr>
        <w:pStyle w:val="Heading3"/>
        <w:spacing w:after="100" w:before="200"/>
      </w:pPr>
      <w:r>
        <w:t xml:space="preserve">What it contributes</w:t>
      </w:r>
    </w:p>
    <w:p>
      <w:pPr>
        <w:spacing w:after="160" w:line="276"/>
        <w:jc w:val="both"/>
      </w:pPr>
      <w:r>
        <w:rPr>
          <w:rFonts w:ascii="Calibri" w:cs="Calibri" w:eastAsia="Calibri" w:hAnsi="Calibri"/>
          <w:sz w:val="22"/>
          <w:szCs w:val="22"/>
        </w:rPr>
        <w:t xml:space="preserve">A production-engineering paper from Google's managed Spark (Dataproc) team describing a suite of format-aware optimizations for transactional updates (MERGE) and table maintenance (compaction, VACUUM) on Delta Lake and Apache Iceberg. Its relevance to our survey is narrower than the other papers — one specific subsection provides direct, current, independent confirmation that production systems are already building ad hoc idle-time-aware maintenance triggering.</w:t>
      </w:r>
    </w:p>
    <w:p>
      <w:pPr>
        <w:pStyle w:val="Heading3"/>
        <w:spacing w:after="100" w:before="200"/>
      </w:pPr>
      <w:r>
        <w:t xml:space="preserve">How it achieves it</w:t>
      </w:r>
    </w:p>
    <w:p>
      <w:pPr>
        <w:spacing w:after="160" w:line="276"/>
        <w:jc w:val="both"/>
      </w:pPr>
      <w:r>
        <w:rPr>
          <w:rFonts w:ascii="Calibri" w:cs="Calibri" w:eastAsia="Calibri" w:hAnsi="Calibri"/>
          <w:sz w:val="22"/>
          <w:szCs w:val="22"/>
        </w:rPr>
        <w:t xml:space="preserve">Three main techniques: (1) workload-aware data skipping and schema pruning that convert full-table scans into targeted I/O using runtime statistics and dynamic filtering; (2) Precision Merge, which decouples row identification from data rewriting using a row-level bitmap-indexing mechanism to avoid full-table shuffles during MERGE; (3) intelligent maintenance triggering, described in Section 2.1.3 (“Intelligent Maintenance via Catalog”): the engine tracks the historical frequency and duration of previous maintenance runs and the volume of data modified in the current run, and uses this to infer whether the next write operation is likely to occur far enough in the future to make compaction worthwhile now, automatically triggering OPTIMIZE to align with inferred idle cluster time.</w:t>
      </w:r>
    </w:p>
    <w:p>
      <w:pPr>
        <w:pStyle w:val="Heading3"/>
        <w:spacing w:after="100" w:before="200"/>
      </w:pPr>
      <w:r>
        <w:t xml:space="preserve">Evidence</w:t>
      </w:r>
    </w:p>
    <w:p>
      <w:pPr>
        <w:spacing w:after="160" w:line="276"/>
        <w:jc w:val="both"/>
      </w:pPr>
      <w:r>
        <w:rPr>
          <w:rFonts w:ascii="Calibri" w:cs="Calibri" w:eastAsia="Calibri" w:hAnsi="Calibri"/>
          <w:sz w:val="22"/>
          <w:szCs w:val="22"/>
        </w:rPr>
        <w:t xml:space="preserve">Benchmarked on a TPC-DS-derived store_sales workload (1TB partitioned) and separately on TPC-DS-scale batch/streaming compaction workloads (1.25TB batch tables, 100GB streaming tables) on a 27-node Dataproc cluster. Reports over 50% reduction in execution time, a 10× reduction in shuffle volume, and up to 10× speedup in routine maintenance operations — though these figures aggregate across all three techniques combined (Precision Merge, layout optimization, and maintenance triggering), not the timing/triggering mechanism in isolation.</w:t>
      </w:r>
    </w:p>
    <w:p>
      <w:pPr>
        <w:pStyle w:val="Heading3"/>
        <w:spacing w:after="100" w:before="200"/>
      </w:pPr>
      <w:r>
        <w:t xml:space="preserve">Gap relevant to our project</w:t>
      </w:r>
    </w:p>
    <w:p>
      <w:pPr>
        <w:spacing w:after="160" w:line="276"/>
        <w:jc w:val="both"/>
      </w:pPr>
      <w:r>
        <w:rPr>
          <w:rFonts w:ascii="Calibri" w:cs="Calibri" w:eastAsia="Calibri" w:hAnsi="Calibri"/>
          <w:sz w:val="22"/>
          <w:szCs w:val="22"/>
        </w:rPr>
        <w:t xml:space="preserve">This paper is valuable evidence for motivation rather than a competing methodology. It confirms that a third, independent production system — alongside Databricks Predictive Optimization and Snowflake automatic clustering, both cited in our problem statement — treats maintenance-timing-relative-to-load as valuable enough to engineer into a shipped product. But the mechanism described is a simple, deterministic, historical-frequency heuristic (no learned model, no uncertainty quantification, no evaluation of the timing decision's contribution in isolation, no published methodology for how the idle-time inference actually generalizes or fails). This strengthens the motivating claim in our problem statement that “no published methodology exists for how such scheduling should be learned, evaluated, or safely deployed,” and must be cited to avoid a reviewer familiar with the Dataproc paper flagging it as missed prior art.</w:t>
      </w:r>
    </w:p>
    <w:p>
      <w:pPr>
        <w:pStyle w:val="Heading2"/>
        <w:spacing w:after="150" w:before="300"/>
      </w:pPr>
      <w:r>
        <w:t xml:space="preserve">3.6 Synthesis: Why the Gap Holds</w:t>
      </w:r>
    </w:p>
    <w:p>
      <w:pPr>
        <w:spacing w:after="160" w:line="276"/>
        <w:jc w:val="both"/>
      </w:pPr>
      <w:r>
        <w:rPr>
          <w:rFonts w:ascii="Calibri" w:cs="Calibri" w:eastAsia="Calibri" w:hAnsi="Calibri"/>
          <w:sz w:val="22"/>
          <w:szCs w:val="22"/>
        </w:rPr>
        <w:t xml:space="preserve">Laid side by side, these six papers cover every adjacent decision in the lakehouse maintenance space except the one we are proposing to address. AutoComp and Smart Compaction both address what/whether to compact — one via hand-built heuristics at production scale, the other via a learned model from static metadata. PTO addresses what layout a table should have. The cross-engine LCM paper addresses which engine a query should run on. The Dataproc paper confirms that industry already treats maintenance timing as valuable enough to build ad hoc solutions for, without publishing a general methodology. And critically, two independent papers — AutoComp's own Section 8 and Smart Compaction's Section I.5, published over a year apart by unrelated author groups — both explicitly name temporal/timing prediction as future work they did not attempt. That convergence, from unrelated teams arriving at the same open question independently, is stronger evidence of a genuine gap than a single paper's related-work section claiming novelty unilaterally.</w:t>
      </w:r>
    </w:p>
    <w:p>
      <w:pPr>
        <w:pStyle w:val="Heading1"/>
        <w:spacing w:after="200" w:before="400"/>
      </w:pPr>
      <w:r>
        <w:t xml:space="preserve">4. Pivot Topics (Contingency Plan)</w:t>
      </w:r>
    </w:p>
    <w:p>
      <w:pPr>
        <w:spacing w:after="160" w:line="276"/>
        <w:jc w:val="both"/>
      </w:pPr>
      <w:r>
        <w:rPr>
          <w:rFonts w:ascii="Calibri" w:cs="Calibri" w:eastAsia="Calibri" w:hAnsi="Calibri"/>
          <w:sz w:val="22"/>
          <w:szCs w:val="22"/>
        </w:rPr>
        <w:t xml:space="preserve">The core project carries real execution risk, concentrated primarily in one place: whether the interference signal (query latency degradation caused by concurrent compaction, as a function of compaction size, concurrent load, and time-of-day) can be measured cleanly above Apache Spark's natural run-to-run variance. Our project execution plan includes explicit go/no-go gates tied to this and related risks. The five pivot directions below were developed specifically so that, if a gate is not met, the response is a pre-planned, evaluated redirection rather than an improvised one. They are ordered from smallest pivot (same infrastructure, adjacent question) to largest (different core research contribution), so that whichever gate fails, the team retreats to the smallest pivot that resolves the specific failure.</w:t>
      </w:r>
    </w:p>
    <w:p>
      <w:pPr>
        <w:pStyle w:val="Heading2"/>
        <w:spacing w:after="150" w:before="300"/>
      </w:pPr>
      <w:r>
        <w:t xml:space="preserve">4.1 Pivot 1 — Empirical Characterization Paper</w:t>
      </w:r>
    </w:p>
    <w:p>
      <w:pPr>
        <w:spacing w:after="160" w:line="276"/>
        <w:jc w:val="both"/>
      </w:pPr>
      <w:r>
        <w:rPr>
          <w:rFonts w:ascii="Calibri" w:cs="Calibri" w:eastAsia="Calibri" w:hAnsi="Calibri"/>
          <w:b/>
          <w:bCs/>
          <w:sz w:val="22"/>
          <w:szCs w:val="22"/>
        </w:rPr>
        <w:t xml:space="preserve">Trigger: </w:t>
      </w:r>
      <w:r>
        <w:rPr>
          <w:rFonts w:ascii="Calibri" w:cs="Calibri" w:eastAsia="Calibri" w:hAnsi="Calibri"/>
          <w:sz w:val="22"/>
          <w:szCs w:val="22"/>
        </w:rPr>
        <w:t xml:space="preserve">Interference signal proves too noisy to model above Spark's run-to-run variance.</w:t>
      </w:r>
    </w:p>
    <w:p>
      <w:pPr>
        <w:spacing w:after="160" w:line="276"/>
        <w:jc w:val="both"/>
      </w:pPr>
      <w:r>
        <w:rPr>
          <w:rFonts w:ascii="Calibri" w:cs="Calibri" w:eastAsia="Calibri" w:hAnsi="Calibri"/>
          <w:sz w:val="22"/>
          <w:szCs w:val="22"/>
        </w:rPr>
        <w:t xml:space="preserve">Drop the learned-scheduler framing and publish the interference-measurement harness itself as the contribution: a rigorous, reproducible characterization of when compaction/query interference is and is not measurable above system noise, across compaction size × concurrent load × time-of-day. This follows the same “no new system, pure characterization” paper type as Sarkar et al.'s LSM compaction design space study (PVLDB 2021), a respected tier at this venue. Salvages essentially all of the interference-harness engineering investment; drops the learned model and uncertainty calibration.</w:t>
      </w:r>
    </w:p>
    <w:p>
      <w:pPr>
        <w:pStyle w:val="Heading2"/>
        <w:spacing w:after="150" w:before="300"/>
      </w:pPr>
      <w:r>
        <w:t xml:space="preserve">4.2 Pivot 2 — “Learning Uniformly Wins” or Honest Negative Result</w:t>
      </w:r>
    </w:p>
    <w:p>
      <w:pPr>
        <w:spacing w:after="160" w:line="276"/>
        <w:jc w:val="both"/>
      </w:pPr>
      <w:r>
        <w:rPr>
          <w:rFonts w:ascii="Calibri" w:cs="Calibri" w:eastAsia="Calibri" w:hAnsi="Calibri"/>
          <w:b/>
          <w:bCs/>
          <w:sz w:val="22"/>
          <w:szCs w:val="22"/>
        </w:rPr>
        <w:t xml:space="preserve">Trigger: </w:t>
      </w:r>
      <w:r>
        <w:rPr>
          <w:rFonts w:ascii="Calibri" w:cs="Calibri" w:eastAsia="Calibri" w:hAnsi="Calibri"/>
          <w:sz w:val="22"/>
          <w:szCs w:val="22"/>
        </w:rPr>
        <w:t xml:space="preserve">No clean, characterizable helps-vs-fails region for learned timing across the tested workload families.</w:t>
      </w:r>
    </w:p>
    <w:p>
      <w:pPr>
        <w:spacing w:after="160" w:line="276"/>
        <w:jc w:val="both"/>
      </w:pPr>
      <w:r>
        <w:rPr>
          <w:rFonts w:ascii="Calibri" w:cs="Calibri" w:eastAsia="Calibri" w:hAnsi="Calibri"/>
          <w:sz w:val="22"/>
          <w:szCs w:val="22"/>
        </w:rPr>
        <w:t xml:space="preserve">Two sub-variants depending on what the data shows: (a) if learned timing dominates every tested condition, reframe around when a learned scheduler is worth the added complexity over a heuristic, full stop; (b) if timing turns out to matter little relative to candidate selection, publish an honest negative result showing AutoComp-style what-to-compact decisions dominate when-to-compact decisions in practice — a defensible, if less exciting, contribution, especially paired with Pivot 1's characterization as supporting evidence for why timing turned out not to matter much.</w:t>
      </w:r>
    </w:p>
    <w:p>
      <w:pPr>
        <w:pStyle w:val="Heading2"/>
        <w:spacing w:after="150" w:before="300"/>
      </w:pPr>
      <w:r>
        <w:t xml:space="preserve">4.3 Pivot 3 — Narrow to the Uncertainty-Calibrated Interference-Cost Predictor</w:t>
      </w:r>
    </w:p>
    <w:p>
      <w:pPr>
        <w:spacing w:after="160" w:line="276"/>
        <w:jc w:val="both"/>
      </w:pPr>
      <w:r>
        <w:rPr>
          <w:rFonts w:ascii="Calibri" w:cs="Calibri" w:eastAsia="Calibri" w:hAnsi="Calibri"/>
          <w:b/>
          <w:bCs/>
          <w:sz w:val="22"/>
          <w:szCs w:val="22"/>
        </w:rPr>
        <w:t xml:space="preserve">Trigger: </w:t>
      </w:r>
      <w:r>
        <w:rPr>
          <w:rFonts w:ascii="Calibri" w:cs="Calibri" w:eastAsia="Calibri" w:hAnsi="Calibri"/>
          <w:sz w:val="22"/>
          <w:szCs w:val="22"/>
        </w:rPr>
        <w:t xml:space="preserve">The full end-to-end scheduler (forecaster + decision layer + fallback logic) is too ambitious for the remaining timeline, but the core interference-cost regression model works and calibrates cleanly.</w:t>
      </w:r>
    </w:p>
    <w:p>
      <w:pPr>
        <w:spacing w:after="160" w:line="276"/>
        <w:jc w:val="both"/>
      </w:pPr>
      <w:r>
        <w:rPr>
          <w:rFonts w:ascii="Calibri" w:cs="Calibri" w:eastAsia="Calibri" w:hAnsi="Calibri"/>
          <w:sz w:val="22"/>
          <w:szCs w:val="22"/>
        </w:rPr>
        <w:t xml:space="preserve">Drop the full scheduling system and publish a standalone paper on predicting and calibrating compaction-interference cost as a signal — structurally analogous to Smart Compaction's regression contribution, but with workload-interference features as the novelty, since Smart Compaction's feature set is manifest-only and explicitly lacks any query-load signal. Closer to a strong short paper or SIGMOD industry/experience-track piece than a full VLDB research paper, but achievable within a compressed timeline since it requires the hardest engineering (the interference harness and forecaster) to have already succeeded.</w:t>
      </w:r>
    </w:p>
    <w:p>
      <w:pPr>
        <w:pStyle w:val="Heading2"/>
        <w:spacing w:after="150" w:before="300"/>
      </w:pPr>
      <w:r>
        <w:t xml:space="preserve">4.4 Pivot 4 — Security of Learned Components in Lakehouse Maintenance Systems</w:t>
      </w:r>
    </w:p>
    <w:p>
      <w:pPr>
        <w:spacing w:after="160" w:line="276"/>
        <w:jc w:val="both"/>
      </w:pPr>
      <w:r>
        <w:rPr>
          <w:rFonts w:ascii="Calibri" w:cs="Calibri" w:eastAsia="Calibri" w:hAnsi="Calibri"/>
          <w:b/>
          <w:bCs/>
          <w:sz w:val="22"/>
          <w:szCs w:val="22"/>
        </w:rPr>
        <w:t xml:space="preserve">Trigger: </w:t>
      </w:r>
      <w:r>
        <w:rPr>
          <w:rFonts w:ascii="Calibri" w:cs="Calibri" w:eastAsia="Calibri" w:hAnsi="Calibri"/>
          <w:sz w:val="22"/>
          <w:szCs w:val="22"/>
        </w:rPr>
        <w:t xml:space="preserve">The timing project collapses entirely (e.g., multiple core gates fail, or administrative blockers force a full redirect).</w:t>
      </w:r>
    </w:p>
    <w:p>
      <w:pPr>
        <w:spacing w:after="160" w:line="276"/>
        <w:jc w:val="both"/>
      </w:pPr>
      <w:r>
        <w:rPr>
          <w:rFonts w:ascii="Calibri" w:cs="Calibri" w:eastAsia="Calibri" w:hAnsi="Calibri"/>
          <w:sz w:val="22"/>
          <w:szCs w:val="22"/>
        </w:rPr>
        <w:t xml:space="preserve">Route back to a direction explicitly identified and set aside earlier in this project's own gap-validation process: studying adversarial workload injection designed to manipulate a learned compaction or timing model into mistimed or resource-exhausting maintenance decisions. As lakehouse systems increasingly adopt learned maintenance components (Smart Compaction delivers one; AutoComp's own future-work section calls for ML-based prediction; three production systems already run undocumented learned/heuristic triggers), this attack surface is entirely unexamined in the literature. This is the largest pivot in terms of research-question distance, but carries near-zero ramp-up cost given the team's existing background in structural containment for compromised components (from prior TDSC/multi-agent-security work), and touches a genuinely unexplored intersection between two literatures that do not currently talk to each other.</w:t>
      </w:r>
    </w:p>
    <w:p>
      <w:pPr>
        <w:pStyle w:val="Heading2"/>
        <w:spacing w:after="150" w:before="300"/>
      </w:pPr>
      <w:r>
        <w:t xml:space="preserve">4.5 Pivot 5 — Cross-Engine-Aware Timing (Joint Timing + Routing Decision)</w:t>
      </w:r>
    </w:p>
    <w:p>
      <w:pPr>
        <w:spacing w:after="160" w:line="276"/>
        <w:jc w:val="both"/>
      </w:pPr>
      <w:r>
        <w:rPr>
          <w:rFonts w:ascii="Calibri" w:cs="Calibri" w:eastAsia="Calibri" w:hAnsi="Calibri"/>
          <w:b/>
          <w:bCs/>
          <w:sz w:val="22"/>
          <w:szCs w:val="22"/>
        </w:rPr>
        <w:t xml:space="preserve">Trigger: </w:t>
      </w:r>
      <w:r>
        <w:rPr>
          <w:rFonts w:ascii="Calibri" w:cs="Calibri" w:eastAsia="Calibri" w:hAnsi="Calibri"/>
          <w:sz w:val="22"/>
          <w:szCs w:val="22"/>
        </w:rPr>
        <w:t xml:space="preserve">“Peak vs. off-peak” proves too noisy or indirect a signal to learn cleanly, but the broader when/where question for maintenance remains viable under a different decision surface.</w:t>
      </w:r>
    </w:p>
    <w:p>
      <w:pPr>
        <w:spacing w:after="160" w:line="276"/>
        <w:jc w:val="both"/>
      </w:pPr>
      <w:r>
        <w:rPr>
          <w:rFonts w:ascii="Calibri" w:cs="Calibri" w:eastAsia="Calibri" w:hAnsi="Calibri"/>
          <w:sz w:val="22"/>
          <w:szCs w:val="22"/>
        </w:rPr>
        <w:t xml:space="preserve">Merge the timing question with the engine-selection framing from the Strausz et al. cross-engine learned cost model (Section 3.4 above): instead of asking only when to compact, ask whether compaction should run now on the query-serving engine, be deferred, or be offloaded to a dedicated compaction engine/provisioning — a decision surface that is more directly observable and controllable than a scalar time-choice, and one for which a directly reusable published architecture (shared query embedding + multi-task per-option cost heads) already exists as a starting point.</w:t>
      </w:r>
    </w:p>
    <w:p>
      <w:pPr>
        <w:pStyle w:val="Heading2"/>
        <w:spacing w:after="150" w:before="300"/>
      </w:pPr>
      <w:r>
        <w:t xml:space="preserve">4.6 Recommended Safety Nets</w:t>
      </w:r>
    </w:p>
    <w:p>
      <w:pPr>
        <w:spacing w:after="160" w:line="276"/>
        <w:jc w:val="both"/>
      </w:pPr>
      <w:r>
        <w:rPr>
          <w:rFonts w:ascii="Calibri" w:cs="Calibri" w:eastAsia="Calibri" w:hAnsi="Calibri"/>
          <w:sz w:val="22"/>
          <w:szCs w:val="22"/>
        </w:rPr>
        <w:t xml:space="preserve">Given the current investment in the interference-measurement harness and forecaster design, Pivots 1 and 3 are the most realistic near-term safety nets: both salvage the bulk of the hardest engineering work even if the full uncertainty-aware scheduler does not come together in time for the target submission cycle. Pivot 2 is available at essentially no additional cost regardless of which other pivot is chosen, since it is a reframing of results rather than a change in what gets built. Pivots 4 and 5 are held in reserve as larger, more distinct redirects for a more fundamental collapse of the timing angle.</w:t>
      </w:r>
    </w:p>
    <w:p>
      <w:pPr>
        <w:pStyle w:val="Heading1"/>
        <w:spacing w:after="200" w:before="400"/>
      </w:pPr>
      <w:r>
        <w:t xml:space="preserve">5. Overall Assessment</w:t>
      </w:r>
    </w:p>
    <w:p>
      <w:pPr>
        <w:spacing w:after="160" w:line="276"/>
        <w:jc w:val="both"/>
      </w:pPr>
      <w:r>
        <w:rPr>
          <w:rFonts w:ascii="Calibri" w:cs="Calibri" w:eastAsia="Calibri" w:hAnsi="Calibri"/>
          <w:sz w:val="22"/>
          <w:szCs w:val="22"/>
        </w:rPr>
        <w:t xml:space="preserve">Taken together, the six papers surveyed here support a specific, narrow, and current claim: the decision of when to execute lakehouse storage maintenance relative to concurrent query-workload interference — as opposed to what to compact or what layout to choose — remains unaddressed by any published, peer-reviewed or preprint methodology as of this survey, despite (a) two independent research groups explicitly naming it as open future work in their own papers, and (b) at least three named production systems (Databricks Predictive Optimization, Snowflake automatic clustering, and Google Dataproc's catalog-based idle-time triggering) already treating it as important enough to engineer ad hoc, undocumented solutions for. This combination — explicit academic acknowledgment of the gap plus convergent industry investment in informal solutions to it — is a stronger form of gap validation than either signal alone, and is the basis on which this survey concludes the proposed research direction is sound. The primary execution risk is not whether the gap exists, but whether the interference signal can be measured cleanly enough to support a learned model; the pivot topics in Section 4 exist specifically to ensure that risk has a pre-evaluated response rather than an improvised one.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2026-08-20T05:24:54.686Z</dcterms:created>
  <dcterms:modified xsi:type="dcterms:W3CDTF">2026-08-20T05:24:54.686Z</dcterms:modified>
</cp:coreProperties>
</file>

<file path=docProps/custom.xml><?xml version="1.0" encoding="utf-8"?>
<Properties xmlns="http://schemas.openxmlformats.org/officeDocument/2006/custom-properties" xmlns:vt="http://schemas.openxmlformats.org/officeDocument/2006/docPropsVTypes"/>
</file>