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jc w:val="center"/>
      </w:pPr>
      <w:r>
        <w:rPr>
          <w:rFonts w:ascii="Calibri" w:hAnsi="Calibri"/>
          <w:b/>
          <w:color w:val="1F497D"/>
          <w:sz w:val="40"/>
        </w:rPr>
        <w:t>Predictive and Uncertainty-Aware Scheduling of Apache Iceberg Maintenance Under Concurrent Analytical Workloads</w:t>
      </w:r>
    </w:p>
    <w:p>
      <w:pPr>
        <w:spacing w:before="0" w:after="40"/>
        <w:jc w:val="center"/>
      </w:pPr>
      <w:r>
        <w:rPr>
          <w:b/>
        </w:rPr>
        <w:t>Shashank Keshava Murthy</w:t>
      </w:r>
      <w:r>
        <w:t xml:space="preserve">  </w:t>
      </w:r>
    </w:p>
    <w:p>
      <w:pPr>
        <w:spacing w:before="0" w:after="40"/>
        <w:jc w:val="center"/>
      </w:pPr>
      <w:r>
        <w:rPr>
          <w:i/>
        </w:rPr>
        <w:t>PES University, Bangalore</w:t>
      </w:r>
      <w:r>
        <w:t xml:space="preserve">  </w:t>
      </w:r>
    </w:p>
    <w:p>
      <w:pPr>
        <w:spacing w:before="0" w:after="40"/>
        <w:jc w:val="center"/>
      </w:pPr>
      <w:r>
        <w:rPr>
          <w:b/>
        </w:rPr>
        <w:t>Shashank D</w:t>
      </w:r>
      <w:r>
        <w:t xml:space="preserve">  </w:t>
      </w:r>
    </w:p>
    <w:p>
      <w:pPr>
        <w:spacing w:before="0" w:after="40"/>
        <w:jc w:val="center"/>
      </w:pPr>
      <w:r>
        <w:rPr>
          <w:i/>
        </w:rPr>
        <w:t>PES University, Bangalore</w:t>
      </w:r>
      <w:r>
        <w:t xml:space="preserve">  </w:t>
      </w:r>
    </w:p>
    <w:p>
      <w:pPr>
        <w:spacing w:before="0" w:after="80"/>
        <w:jc w:val="left"/>
      </w:pPr>
      <w:r>
        <w:rPr>
          <w:b/>
        </w:rPr>
        <w:t>Prachi Jalan</w:t>
      </w:r>
      <w:r>
        <w:t xml:space="preserve">  </w:t>
      </w:r>
    </w:p>
    <w:p>
      <w:pPr>
        <w:spacing w:before="0" w:after="40"/>
        <w:jc w:val="center"/>
      </w:pPr>
      <w:r>
        <w:rPr>
          <w:i/>
        </w:rPr>
        <w:t>PES University, Bangalore</w:t>
      </w:r>
      <w:r>
        <w:t xml:space="preserve">  </w:t>
      </w:r>
    </w:p>
    <w:p>
      <w:pPr>
        <w:spacing w:before="0" w:after="80"/>
        <w:jc w:val="left"/>
      </w:pPr>
      <w:r>
        <w:rPr>
          <w:b/>
        </w:rPr>
        <w:t>Samarth</w:t>
      </w:r>
      <w:r>
        <w:t xml:space="preserve">  </w:t>
      </w:r>
    </w:p>
    <w:p>
      <w:pPr>
        <w:spacing w:before="0" w:after="40"/>
        <w:jc w:val="center"/>
      </w:pPr>
      <w:r>
        <w:rPr>
          <w:i/>
        </w:rPr>
        <w:t>PES University, Bangalore</w:t>
      </w:r>
      <w:r>
        <w:t xml:space="preserve">  </w:t>
      </w:r>
    </w:p>
    <w:p>
      <w:pPr>
        <w:spacing w:before="280" w:after="120"/>
        <w:jc w:val="left"/>
      </w:pPr>
      <w:r>
        <w:rPr>
          <w:rFonts w:ascii="Calibri" w:hAnsi="Calibri"/>
          <w:b/>
          <w:color w:val="1F497D"/>
          <w:sz w:val="30"/>
        </w:rPr>
        <w:t>Abstract</w:t>
      </w:r>
    </w:p>
    <w:p>
      <w:pPr>
        <w:spacing w:before="0" w:after="80"/>
        <w:jc w:val="left"/>
      </w:pPr>
      <w:r>
        <w:t>Modern analytical data platforms increasingly rely on open table formats like Apache Iceberg to manage large-scale data lakes. To ensure long-term read efficiency, these engines run background physical layout maintenance, such as small-file compaction (</w:t>
      </w:r>
      <w:r>
        <w:rPr>
          <w:rFonts w:ascii="Consolas" w:hAnsi="Consolas"/>
          <w:color w:val="8B0000"/>
          <w:sz w:val="19"/>
        </w:rPr>
        <w:t>rewrite_data_files</w:t>
      </w:r>
      <w:r>
        <w:t xml:space="preserve">). However, background compaction competes directly with foreground analytical queries for CPU, executor memory, I/O bandwidth, and OS page cache. Existing platforms rely on static off-peak crons, crude resource threshold heuristics, or layout-only optimizers that determine </w:t>
      </w:r>
      <w:r>
        <w:rPr>
          <w:i/>
        </w:rPr>
        <w:t>what</w:t>
      </w:r>
      <w:r>
        <w:t xml:space="preserve"> to compact without predicting </w:t>
      </w:r>
      <w:r>
        <w:rPr>
          <w:i/>
        </w:rPr>
        <w:t>when</w:t>
      </w:r>
      <w:r>
        <w:t xml:space="preserve"> to execute maintenance relative to concurrent workload pressure.</w:t>
      </w:r>
    </w:p>
    <w:p>
      <w:pPr>
        <w:spacing w:before="0" w:after="80"/>
        <w:jc w:val="left"/>
      </w:pPr>
      <w:r>
        <w:t>This paper presents an empirical and predictive framework for learned, uncertainty-aware timing of Apache Iceberg table maintenance under concurrent analytical query execution. Through a comprehensive multi-phase experimental study on Apache Spark and TPC-H workloads—comprising both discrete paired sweeps and a continuous 4.13-hour physical workload trace (</w:t>
      </w:r>
      <w:r>
        <w:rPr>
          <w:rFonts w:ascii="Cambria Math" w:hAnsi="Cambria Math"/>
          <w:i/>
          <w:color w:val="003366"/>
        </w:rPr>
        <w:t>14,867</w:t>
      </w:r>
      <w:r>
        <w:t xml:space="preserve"> 1Hz telemetry records and </w:t>
      </w:r>
      <w:r>
        <w:rPr>
          <w:rFonts w:ascii="Cambria Math" w:hAnsi="Cambria Math"/>
          <w:i/>
          <w:color w:val="003366"/>
        </w:rPr>
        <w:t>778</w:t>
      </w:r>
      <w:r>
        <w:t xml:space="preserve"> physical query dispatches across 5 non-homogeneous Poisson process regimes)—we quantify interference dynamics, evaluate machine learning regressors for pre-decision interference prediction, and formulate uncertainty-bounded scheduling policies.</w:t>
      </w:r>
    </w:p>
    <w:p>
      <w:pPr>
        <w:spacing w:before="0" w:after="80"/>
        <w:jc w:val="left"/>
      </w:pPr>
      <w:r>
        <w:t>Our discrete measurement phase (</w:t>
      </w:r>
      <w:r>
        <w:rPr>
          <w:rFonts w:ascii="Cambria Math" w:hAnsi="Cambria Math"/>
          <w:i/>
          <w:color w:val="003366"/>
        </w:rPr>
        <w:t>N=528</w:t>
      </w:r>
      <w:r>
        <w:t xml:space="preserve"> query executions across 20 paired trials) demonstrates that concurrent Iceberg compaction induces statistically significant query latency degradation, yielding a mean Query Interference Ratio (QIR) of </w:t>
      </w:r>
      <w:r>
        <w:rPr>
          <w:rFonts w:ascii="Cambria Math" w:hAnsi="Cambria Math"/>
          <w:i/>
          <w:color w:val="003366"/>
        </w:rPr>
        <w:t>+10.38\%</w:t>
      </w:r>
      <w:r>
        <w:t xml:space="preserve"> under FIFO task scheduling (</w:t>
      </w:r>
      <w:r>
        <w:rPr>
          <w:rFonts w:ascii="Cambria Math" w:hAnsi="Cambria Math"/>
          <w:i/>
          <w:color w:val="003366"/>
        </w:rPr>
        <w:t>p=0.00161, d_z=1.165</w:t>
      </w:r>
      <w:r>
        <w:t xml:space="preserve">) and </w:t>
      </w:r>
      <w:r>
        <w:rPr>
          <w:rFonts w:ascii="Cambria Math" w:hAnsi="Cambria Math"/>
          <w:i/>
          <w:color w:val="003366"/>
        </w:rPr>
        <w:t>+12.77\%</w:t>
      </w:r>
      <w:r>
        <w:t xml:space="preserve"> under FAIR task pool scheduling (</w:t>
      </w:r>
      <w:r>
        <w:rPr>
          <w:rFonts w:ascii="Cambria Math" w:hAnsi="Cambria Math"/>
          <w:i/>
          <w:color w:val="003366"/>
        </w:rPr>
        <w:t>p&lt;0.00001, d_z=2.497</w:t>
      </w:r>
      <w:r>
        <w:t xml:space="preserve">), with latency spikes reaching </w:t>
      </w:r>
      <w:r>
        <w:rPr>
          <w:rFonts w:ascii="Cambria Math" w:hAnsi="Cambria Math"/>
          <w:i/>
          <w:color w:val="003366"/>
        </w:rPr>
        <w:t>+20.95\%</w:t>
      </w:r>
      <w:r>
        <w:t xml:space="preserve"> for heavy join/aggregation queries (Q14). In Phase 3B (</w:t>
      </w:r>
      <w:r>
        <w:rPr>
          <w:rFonts w:ascii="Cambria Math" w:hAnsi="Cambria Math"/>
          <w:i/>
          <w:color w:val="003366"/>
        </w:rPr>
        <w:t>N=168</w:t>
      </w:r>
      <w:r>
        <w:t xml:space="preserve"> paired observations across a 12-configuration sweep), we enforce strict pre-decision feature isolation to prevent information leakage; a Random Forest regressor predicts continuous QIR with a Mean Absolute Error (MAE) of </w:t>
      </w:r>
      <w:r>
        <w:rPr>
          <w:rFonts w:ascii="Cambria Math" w:hAnsi="Cambria Math"/>
          <w:i/>
          <w:color w:val="003366"/>
        </w:rPr>
        <w:t>5.38\%</w:t>
      </w:r>
      <w:r>
        <w:t xml:space="preserve">. Conversely, binary Service Level Agreement (SLA) violation classification yields an ROC-AUC of only </w:t>
      </w:r>
      <w:r>
        <w:rPr>
          <w:rFonts w:ascii="Cambria Math" w:hAnsi="Cambria Math"/>
          <w:i/>
          <w:color w:val="003366"/>
        </w:rPr>
        <w:t>0.531</w:t>
      </w:r>
      <w:r>
        <w:t>, representing a critical negative result demonstrating that binary classification fails under severe class imbalance and boundary noise.</w:t>
      </w:r>
    </w:p>
    <w:p>
      <w:pPr>
        <w:spacing w:before="0" w:after="80"/>
        <w:jc w:val="left"/>
      </w:pPr>
      <w:r>
        <w:t>In Phase 4 and Phase 5, we evaluate sliding-window temporal feature engineering (</w:t>
      </w:r>
      <w:r>
        <w:rPr>
          <w:rFonts w:ascii="Cambria Math" w:hAnsi="Cambria Math"/>
          <w:i/>
          <w:color w:val="003366"/>
        </w:rPr>
        <w:t>60</w:t>
      </w:r>
      <w:r>
        <w:t xml:space="preserve">s rolling windows predicting </w:t>
      </w:r>
      <w:r>
        <w:rPr>
          <w:rFonts w:ascii="Cambria Math" w:hAnsi="Cambria Math"/>
          <w:i/>
          <w:color w:val="003366"/>
        </w:rPr>
        <w:t>300</w:t>
      </w:r>
      <w:r>
        <w:t>s execution horizons) and deploy an 8-policy scheduling harness across continuous physical workload traces (</w:t>
      </w:r>
      <w:r>
        <w:rPr>
          <w:rFonts w:ascii="Cambria Math" w:hAnsi="Cambria Math"/>
          <w:i/>
          <w:color w:val="003366"/>
        </w:rPr>
        <w:t>N=2,115</w:t>
      </w:r>
      <w:r>
        <w:t xml:space="preserve"> decision windows). The learned ML PointPrediction policy achieves </w:t>
      </w:r>
      <w:r>
        <w:rPr>
          <w:b/>
        </w:rPr>
        <w:t>$64.43\%$ maintenance completion</w:t>
      </w:r>
      <w:r>
        <w:t xml:space="preserve"> while reducing query SLA violations from </w:t>
      </w:r>
      <w:r>
        <w:rPr>
          <w:b/>
        </w:rPr>
        <w:t>$12.99\%$ (AlwaysRun) down to $8.43\%$</w:t>
      </w:r>
      <w:r>
        <w:t xml:space="preserve">—a </w:t>
      </w:r>
      <w:r>
        <w:rPr>
          <w:b/>
        </w:rPr>
        <w:t>$35.1\%$ relative SLA violation reduction</w:t>
      </w:r>
      <w:r>
        <w:t xml:space="preserve"> over baseline execution. Furthermore, zero-shot Out-of-Domain (OOD) testing on unseen file fragmentation states (100 and 350 files) proves that while point-prediction models degrade under structural distribution shift (</w:t>
      </w:r>
      <w:r>
        <w:rPr>
          <w:rFonts w:ascii="Cambria Math" w:hAnsi="Cambria Math"/>
          <w:i/>
          <w:color w:val="003366"/>
        </w:rPr>
        <w:t>R^2 &lt; 0</w:t>
      </w:r>
      <w:r>
        <w:t>), split-conformal quantile upper-bound modeling (</w:t>
      </w:r>
      <w:r>
        <w:rPr>
          <w:rFonts w:ascii="Cambria Math" w:hAnsi="Cambria Math"/>
          <w:i/>
          <w:color w:val="003366"/>
        </w:rPr>
        <w:t>q=0.95</w:t>
      </w:r>
      <w:r>
        <w:t xml:space="preserve">) achieves </w:t>
      </w:r>
      <w:r>
        <w:rPr>
          <w:b/>
        </w:rPr>
        <w:t>exact $95.00\%$ empirical coverage invariance</w:t>
      </w:r>
      <w:r>
        <w:t xml:space="preserve"> on OOD data. This work provides the first empirical and mathematical proof that conformal quantile bounds afford robust safety guarantees for dynamic database maintenance scheduling.</w:t>
      </w:r>
    </w:p>
    <w:p>
      <w:pPr>
        <w:spacing w:before="280" w:after="120"/>
        <w:jc w:val="left"/>
      </w:pPr>
      <w:r>
        <w:rPr>
          <w:rFonts w:ascii="Calibri" w:hAnsi="Calibri"/>
          <w:b/>
          <w:color w:val="1F497D"/>
          <w:sz w:val="30"/>
        </w:rPr>
        <w:t>1. Introduction</w:t>
      </w:r>
    </w:p>
    <w:p>
      <w:pPr>
        <w:spacing w:before="0" w:after="80"/>
        <w:jc w:val="left"/>
      </w:pPr>
      <w:r>
        <w:t>Modern analytical data architectures have evolved from traditional monolithic data warehouses into decoupled "data lakehouses" built on top of object stores (e.g., AWS S3, HDFS, Azure ADLS) and open storage formats such as Apache Iceberg, Apache Hudi, and Delta Lake. These formats support ACID transactions, schema evolution, and fine-grained partition evolution over petabyte-scale datasets. However, continuous streaming ingestion, micro-batch writes, and frequent update/delete operations cause physical table layouts to degrade over time. In particular, tables accumulate millions of small files, inflating metadata manifests, degrading query planning performance, and creating severe file-open and I/O serialization overheads during query execution.</w:t>
      </w:r>
    </w:p>
    <w:p>
      <w:pPr>
        <w:spacing w:before="0" w:after="80"/>
        <w:jc w:val="left"/>
      </w:pPr>
      <w:r>
        <w:t xml:space="preserve">To preserve table health and query responsiveness, lakehouse engines execute background maintenance procedures. In Apache Iceberg, the </w:t>
      </w:r>
      <w:r>
        <w:rPr>
          <w:rFonts w:ascii="Consolas" w:hAnsi="Consolas"/>
          <w:color w:val="8B0000"/>
          <w:sz w:val="19"/>
        </w:rPr>
        <w:t>rewrite_data_files</w:t>
      </w:r>
      <w:r>
        <w:t xml:space="preserve"> procedure merges fragmented small data files into contiguous, bin-packed columnar files (e.g., 128 MB or 512 MB Parquet files). While data compaction significantly improves long-term query performance, its short-term execution incurs massive physical resource overhead. Compaction reads large volumes of small files, decompresses columnar blocks, re-sorts records, and writes merged target files. When executed concurrently with user analytical queries, compaction contends for shared compute executors, JVM heap memory, disk I/O, network bandwidth, and operating-system page cache.</w:t>
      </w:r>
    </w:p>
    <w:p>
      <w:pPr>
        <w:spacing w:before="200" w:after="80"/>
        <w:jc w:val="left"/>
      </w:pPr>
      <w:r>
        <w:rPr>
          <w:rFonts w:ascii="Calibri" w:hAnsi="Calibri"/>
          <w:b/>
          <w:color w:val="366092"/>
          <w:sz w:val="25"/>
        </w:rPr>
        <w:t>1.1 The Operational Paradox and Existing Limitations</w:t>
      </w:r>
    </w:p>
    <w:p>
      <w:pPr>
        <w:spacing w:before="0" w:after="80"/>
        <w:jc w:val="left"/>
      </w:pPr>
      <w:r>
        <w:t xml:space="preserve">This dynamic introduces a fundamental operational paradox: </w:t>
      </w:r>
      <w:r>
        <w:rPr>
          <w:i/>
        </w:rPr>
        <w:t>maintenance is necessary to prevent long-term table degradation, but its immediate execution degrades foreground query latencies.</w:t>
      </w:r>
      <w:r>
        <w:t xml:space="preserve"> Existing database engines and lakehouse management frameworks address this problem using simplistic operational paradigms:</w:t>
      </w:r>
    </w:p>
    <w:p>
      <w:pPr>
        <w:pStyle w:val="ListNumber"/>
        <w:spacing w:before="0" w:after="60"/>
        <w:jc w:val="left"/>
      </w:pPr>
      <w:r>
        <w:rPr>
          <w:b/>
        </w:rPr>
        <w:t>Static Cron / Off-Peak Rules:</w:t>
      </w:r>
      <w:r>
        <w:t xml:space="preserve"> Maintenance is scheduled at arbitrary fixed intervals (e.g., 2:00 AM daily). This strategy fails in global 24/7 cloud enterprise setups where non-stationary analytical workloads persist continuously without predictable low-load windows.</w:t>
      </w:r>
    </w:p>
    <w:p>
      <w:pPr>
        <w:pStyle w:val="ListNumber"/>
        <w:spacing w:before="0" w:after="60"/>
        <w:jc w:val="left"/>
      </w:pPr>
      <w:r>
        <w:rPr>
          <w:b/>
        </w:rPr>
        <w:t>Coarse Resource Thresholds:</w:t>
      </w:r>
      <w:r>
        <w:t xml:space="preserve"> Maintenance triggers only when host CPU or memory utilization drops below a static scalar threshold (e.g., CPU </w:t>
      </w:r>
      <w:r>
        <w:rPr>
          <w:rFonts w:ascii="Cambria Math" w:hAnsi="Cambria Math"/>
          <w:i/>
          <w:color w:val="003366"/>
        </w:rPr>
        <w:t>&lt; 30\%</w:t>
      </w:r>
      <w:r>
        <w:t>). These rules are blind to active query stage characteristics, query structural complexity, and storage fragmentation geometry.</w:t>
      </w:r>
    </w:p>
    <w:p>
      <w:pPr>
        <w:pStyle w:val="ListNumber"/>
        <w:spacing w:before="0" w:after="60"/>
        <w:jc w:val="left"/>
      </w:pPr>
      <w:r>
        <w:rPr>
          <w:b/>
        </w:rPr>
        <w:t>Layout-Only Optimizers:</w:t>
      </w:r>
      <w:r>
        <w:t xml:space="preserve"> Frameworks like AutoComp \cite{autocomp}, Smart Compaction \cite{smartcompaction}, and PTO \cite{pto} optimize </w:t>
      </w:r>
      <w:r>
        <w:rPr>
          <w:i/>
        </w:rPr>
        <w:t>what</w:t>
      </w:r>
      <w:r>
        <w:t xml:space="preserve"> tables or partitions to compact and </w:t>
      </w:r>
      <w:r>
        <w:rPr>
          <w:i/>
        </w:rPr>
        <w:t>how</w:t>
      </w:r>
      <w:r>
        <w:t xml:space="preserve"> to lay out data. However, they treat maintenance execution as an isolated operation, ignoring the interference penalty imposed on active foreground query streams.</w:t>
      </w:r>
    </w:p>
    <w:p>
      <w:pPr>
        <w:pStyle w:val="ListNumber"/>
        <w:spacing w:before="0" w:after="60"/>
        <w:jc w:val="left"/>
      </w:pPr>
      <w:r>
        <w:rPr>
          <w:b/>
        </w:rPr>
        <w:t>Uncertainty-Blind RL Schedulers:</w:t>
      </w:r>
      <w:r>
        <w:t xml:space="preserve"> Recent reinforcement learning approaches (e.g., Karim et al. \cite{karim2026}) attempt to optimize action timing but lack distribution-free safety guarantees. When confronted with unobserved workload surges or distribution shifts, uncalibrated ML models make dangerously overconfident scheduling decisions that trigger catastrophic query SLA violations.</w:t>
      </w:r>
    </w:p>
    <w:p>
      <w:pPr>
        <w:spacing w:before="200" w:after="80"/>
        <w:jc w:val="left"/>
      </w:pPr>
      <w:r>
        <w:rPr>
          <w:rFonts w:ascii="Calibri" w:hAnsi="Calibri"/>
          <w:b/>
          <w:color w:val="366092"/>
          <w:sz w:val="25"/>
        </w:rPr>
        <w:t>1.2 Core Research Question</w:t>
      </w:r>
    </w:p>
    <w:p>
      <w:pPr>
        <w:spacing w:before="0" w:after="80"/>
        <w:jc w:val="left"/>
      </w:pPr>
      <w:r>
        <w:t>This project addresses the operational challenge through explicit workload interference prediction, continuous temporal sequence modeling, and distribution-free uncertainty calibration. We pose the core research question:</w:t>
      </w:r>
    </w:p>
    <w:p>
      <w:pPr>
        <w:spacing w:before="80" w:after="80"/>
        <w:ind w:left="576"/>
        <w:jc w:val="left"/>
      </w:pPr>
      <w:r>
        <w:rPr>
          <w:b/>
          <w:i/>
          <w:color w:val="444444"/>
        </w:rPr>
        <w:t>Given that lakehouse table maintenance must be executed to preserve long-term read health, *when* should it be scheduled relative to active query workload dynamics to maximize storage throughput while providing explicit, empirical guarantees against query SLA violations?</w:t>
      </w:r>
    </w:p>
    <w:p>
      <w:pPr>
        <w:spacing w:before="200" w:after="80"/>
        <w:jc w:val="left"/>
      </w:pPr>
      <w:r>
        <w:rPr>
          <w:rFonts w:ascii="Calibri" w:hAnsi="Calibri"/>
          <w:b/>
          <w:color w:val="366092"/>
          <w:sz w:val="25"/>
        </w:rPr>
        <w:t>1.3 Key Contributions</w:t>
      </w:r>
    </w:p>
    <w:p>
      <w:pPr>
        <w:spacing w:before="0" w:after="80"/>
        <w:jc w:val="left"/>
      </w:pPr>
      <w:r>
        <w:t>To answer this question, we design, implement, and scientifically validate a learned, uncertainty-aware scheduling framework for Apache Iceberg on Apache Spark. Our primary contributions are:</w:t>
      </w:r>
    </w:p>
    <w:p>
      <w:pPr>
        <w:pStyle w:val="ListBullet"/>
        <w:spacing w:before="0" w:after="60"/>
        <w:jc w:val="left"/>
      </w:pPr>
      <w:r>
        <w:rPr>
          <w:b/>
        </w:rPr>
        <w:t>Empirical Interference Quantification (Phase 3A):</w:t>
      </w:r>
      <w:r>
        <w:t xml:space="preserve"> We build an automated, counterbalanced experimental harness over TPC-H benchmarks (</w:t>
      </w:r>
      <w:r>
        <w:rPr>
          <w:rFonts w:ascii="Cambria Math" w:hAnsi="Cambria Math"/>
          <w:i/>
          <w:color w:val="003366"/>
        </w:rPr>
        <w:t>N=528</w:t>
      </w:r>
      <w:r>
        <w:t xml:space="preserve"> query executions) with verified temporal overlap (</w:t>
      </w:r>
      <w:r>
        <w:rPr>
          <w:rFonts w:ascii="Cambria Math" w:hAnsi="Cambria Math"/>
          <w:i/>
          <w:color w:val="003366"/>
        </w:rPr>
        <w:t>OverlapRatio \ge 0.95</w:t>
      </w:r>
      <w:r>
        <w:t xml:space="preserve">). We provide statistical proof (Wilcoxon signed-rank test </w:t>
      </w:r>
      <w:r>
        <w:rPr>
          <w:rFonts w:ascii="Cambria Math" w:hAnsi="Cambria Math"/>
          <w:i/>
          <w:color w:val="003366"/>
        </w:rPr>
        <w:t>p=0.00161</w:t>
      </w:r>
      <w:r>
        <w:t xml:space="preserve">, Cohen's </w:t>
      </w:r>
      <w:r>
        <w:rPr>
          <w:rFonts w:ascii="Cambria Math" w:hAnsi="Cambria Math"/>
          <w:i/>
          <w:color w:val="003366"/>
        </w:rPr>
        <w:t>d_z=1.165</w:t>
      </w:r>
      <w:r>
        <w:t>) that concurrent Iceberg compaction causes severe query latency degradation (</w:t>
      </w:r>
      <w:r>
        <w:rPr>
          <w:rFonts w:ascii="Cambria Math" w:hAnsi="Cambria Math"/>
          <w:i/>
          <w:color w:val="003366"/>
        </w:rPr>
        <w:t>+10.38\%</w:t>
      </w:r>
      <w:r>
        <w:t xml:space="preserve"> to </w:t>
      </w:r>
      <w:r>
        <w:rPr>
          <w:rFonts w:ascii="Cambria Math" w:hAnsi="Cambria Math"/>
          <w:i/>
          <w:color w:val="003366"/>
        </w:rPr>
        <w:t>+12.77\%</w:t>
      </w:r>
      <w:r>
        <w:t xml:space="preserve"> mean QIR, peaking at </w:t>
      </w:r>
      <w:r>
        <w:rPr>
          <w:rFonts w:ascii="Cambria Math" w:hAnsi="Cambria Math"/>
          <w:i/>
          <w:color w:val="003366"/>
        </w:rPr>
        <w:t>+20.95\%</w:t>
      </w:r>
      <w:r>
        <w:t>). Furthermore, we establish that task-slot isolation (Spark FAIR scheduling pools) fails to mitigate interference caused by physical I/O and memory channel contention.</w:t>
      </w:r>
    </w:p>
    <w:p>
      <w:pPr>
        <w:pStyle w:val="ListBullet"/>
        <w:spacing w:before="0" w:after="60"/>
        <w:jc w:val="left"/>
      </w:pPr>
      <w:r>
        <w:rPr>
          <w:b/>
        </w:rPr>
        <w:t>Leakage-Isolated Predictive Signal Matrix (Phase 3B):</w:t>
      </w:r>
      <w:r>
        <w:t xml:space="preserve"> We formulate a prediction matrix strictly isolated to pre-decision state variables (</w:t>
      </w:r>
      <w:r>
        <w:rPr>
          <w:rFonts w:ascii="Cambria Math" w:hAnsi="Cambria Math"/>
          <w:i/>
          <w:color w:val="003366"/>
        </w:rPr>
        <w:t>X_{\text{pred}}</w:t>
      </w:r>
      <w:r>
        <w:t>), proving that post-execution telemetry (</w:t>
      </w:r>
      <w:r>
        <w:rPr>
          <w:rFonts w:ascii="Cambria Math" w:hAnsi="Cambria Math"/>
          <w:i/>
          <w:color w:val="003366"/>
        </w:rPr>
        <w:t>X_{\text{eval}}</w:t>
      </w:r>
      <w:r>
        <w:t xml:space="preserve">) causes severe information leakage. We train point regressors (MAE </w:t>
      </w:r>
      <w:r>
        <w:rPr>
          <w:rFonts w:ascii="Cambria Math" w:hAnsi="Cambria Math"/>
          <w:i/>
          <w:color w:val="003366"/>
        </w:rPr>
        <w:t>5.38\%</w:t>
      </w:r>
      <w:r>
        <w:t>) and publish a critical negative result: binary SLA classification (</w:t>
      </w:r>
      <w:r>
        <w:rPr>
          <w:rFonts w:ascii="Cambria Math" w:hAnsi="Cambria Math"/>
          <w:i/>
          <w:color w:val="003366"/>
        </w:rPr>
        <w:t>QIR &gt; 15\%</w:t>
      </w:r>
      <w:r>
        <w:t xml:space="preserve">) achieves an ROC-AUC of only </w:t>
      </w:r>
      <w:r>
        <w:rPr>
          <w:rFonts w:ascii="Cambria Math" w:hAnsi="Cambria Math"/>
          <w:i/>
          <w:color w:val="003366"/>
        </w:rPr>
        <w:t>0.531</w:t>
      </w:r>
      <w:r>
        <w:t>, demonstrating that binary classifiers fail under severe class imbalance and aleatoric boundary noise.</w:t>
      </w:r>
    </w:p>
    <w:p>
      <w:pPr>
        <w:pStyle w:val="ListBullet"/>
        <w:spacing w:before="0" w:after="60"/>
        <w:jc w:val="left"/>
      </w:pPr>
      <w:r>
        <w:rPr>
          <w:b/>
        </w:rPr>
        <w:t>Continuous Physical Workload Infrastructure (Phase 4):</w:t>
      </w:r>
      <w:r>
        <w:t xml:space="preserve"> We construct a 1Hz telemetry collector and a Non-Homogeneous Poisson Process (NHPP) query arrival generator simulating 5 distinct operational regimes (LOW, MODERATE, HIGH, BURST, RECOVERY). We execute a continuous 4.13-hour physical experiment logging </w:t>
      </w:r>
      <w:r>
        <w:rPr>
          <w:rFonts w:ascii="Cambria Math" w:hAnsi="Cambria Math"/>
          <w:i/>
          <w:color w:val="003366"/>
        </w:rPr>
        <w:t>14,867</w:t>
      </w:r>
      <w:r>
        <w:t xml:space="preserve"> 1Hz telemetry records and </w:t>
      </w:r>
      <w:r>
        <w:rPr>
          <w:rFonts w:ascii="Cambria Math" w:hAnsi="Cambria Math"/>
          <w:i/>
          <w:color w:val="003366"/>
        </w:rPr>
        <w:t>778</w:t>
      </w:r>
      <w:r>
        <w:t xml:space="preserve"> physical query dispatches, constructing a temporal sliding window feature dataset (</w:t>
      </w:r>
      <w:r>
        <w:rPr>
          <w:rFonts w:ascii="Cambria Math" w:hAnsi="Cambria Math"/>
          <w:i/>
          <w:color w:val="003366"/>
        </w:rPr>
        <w:t>60</w:t>
      </w:r>
      <w:r>
        <w:t xml:space="preserve">s rolling statistics predicting </w:t>
      </w:r>
      <w:r>
        <w:rPr>
          <w:rFonts w:ascii="Cambria Math" w:hAnsi="Cambria Math"/>
          <w:i/>
          <w:color w:val="003366"/>
        </w:rPr>
        <w:t>300</w:t>
      </w:r>
      <w:r>
        <w:t>s target horizons).</w:t>
      </w:r>
    </w:p>
    <w:p>
      <w:pPr>
        <w:pStyle w:val="ListBullet"/>
        <w:spacing w:before="0" w:after="60"/>
        <w:jc w:val="left"/>
      </w:pPr>
      <w:r>
        <w:rPr>
          <w:b/>
        </w:rPr>
        <w:t>Multi-Policy Trace Replay &amp; Pareto Superiority (Phase 5):</w:t>
      </w:r>
      <w:r>
        <w:t xml:space="preserve"> We implement an 8-policy scheduling harness with bounded starvation protection (</w:t>
      </w:r>
      <w:r>
        <w:rPr>
          <w:rFonts w:ascii="Cambria Math" w:hAnsi="Cambria Math"/>
          <w:i/>
          <w:color w:val="003366"/>
        </w:rPr>
        <w:t>K_{\text{max}}=3</w:t>
      </w:r>
      <w:r>
        <w:t>). Replaying the continuous 4-hour trace (</w:t>
      </w:r>
      <w:r>
        <w:rPr>
          <w:rFonts w:ascii="Cambria Math" w:hAnsi="Cambria Math"/>
          <w:i/>
          <w:color w:val="003366"/>
        </w:rPr>
        <w:t>N=2,115</w:t>
      </w:r>
      <w:r>
        <w:t xml:space="preserve"> decision windows), we prove that our ML PointPrediction policy achieves </w:t>
      </w:r>
      <w:r>
        <w:rPr>
          <w:b/>
        </w:rPr>
        <w:t>$64.43\%$ maintenance completion</w:t>
      </w:r>
      <w:r>
        <w:t xml:space="preserve"> while reducing query SLA violations from </w:t>
      </w:r>
      <w:r>
        <w:rPr>
          <w:b/>
        </w:rPr>
        <w:t>$12.99\%$ (AlwaysRun) down to $8.43\%$</w:t>
      </w:r>
      <w:r>
        <w:t xml:space="preserve">—a </w:t>
      </w:r>
      <w:r>
        <w:rPr>
          <w:b/>
        </w:rPr>
        <w:t>$35.1\%$ relative SLA violation reduction</w:t>
      </w:r>
      <w:r>
        <w:t>.</w:t>
      </w:r>
    </w:p>
    <w:p>
      <w:pPr>
        <w:pStyle w:val="ListBullet"/>
        <w:spacing w:before="0" w:after="60"/>
        <w:jc w:val="left"/>
      </w:pPr>
      <w:r>
        <w:rPr>
          <w:b/>
        </w:rPr>
        <w:t>Rigorous Scientific Falsification &amp; Zero-Shot OOD Proof (Phase 3D):</w:t>
      </w:r>
      <w:r>
        <w:t xml:space="preserve"> We subject our models to Leave-One-Configuration-Out Cross Validation (LOCO-CV across 12 folds) and trivial scalar baseline comparisons. We demonstrate that while all point-prediction models fail under zero-shot Out-of-Domain (OOD) file fragmentations (</w:t>
      </w:r>
      <w:r>
        <w:rPr>
          <w:rFonts w:ascii="Cambria Math" w:hAnsi="Cambria Math"/>
          <w:i/>
          <w:color w:val="003366"/>
        </w:rPr>
        <w:t>100</w:t>
      </w:r>
      <w:r>
        <w:t xml:space="preserve"> and </w:t>
      </w:r>
      <w:r>
        <w:rPr>
          <w:rFonts w:ascii="Cambria Math" w:hAnsi="Cambria Math"/>
          <w:i/>
          <w:color w:val="003366"/>
        </w:rPr>
        <w:t>350</w:t>
      </w:r>
      <w:r>
        <w:t xml:space="preserve"> files, </w:t>
      </w:r>
      <w:r>
        <w:rPr>
          <w:rFonts w:ascii="Cambria Math" w:hAnsi="Cambria Math"/>
          <w:i/>
          <w:color w:val="003366"/>
        </w:rPr>
        <w:t>N=80</w:t>
      </w:r>
      <w:r>
        <w:t xml:space="preserve"> trials, </w:t>
      </w:r>
      <w:r>
        <w:rPr>
          <w:rFonts w:ascii="Cambria Math" w:hAnsi="Cambria Math"/>
          <w:i/>
          <w:color w:val="003366"/>
        </w:rPr>
        <w:t>R^2 &lt; 0</w:t>
      </w:r>
      <w:r>
        <w:t>), our split-conformal quantile upper-bound model (</w:t>
      </w:r>
      <w:r>
        <w:rPr>
          <w:rFonts w:ascii="Cambria Math" w:hAnsi="Cambria Math"/>
          <w:i/>
          <w:color w:val="003366"/>
        </w:rPr>
        <w:t>q=0.95</w:t>
      </w:r>
      <w:r>
        <w:t xml:space="preserve">) achieves </w:t>
      </w:r>
      <w:r>
        <w:rPr>
          <w:b/>
        </w:rPr>
        <w:t>exact $95.00\%$ empirical coverage invariance</w:t>
      </w:r>
      <w:r>
        <w:t>, proving that conformal upper bounds maintain distribution-free safety guarantees under structural workload shifts.</w:t>
      </w:r>
    </w:p>
    <w:p>
      <w:pPr>
        <w:spacing w:before="280" w:after="120"/>
        <w:jc w:val="left"/>
      </w:pPr>
      <w:r>
        <w:rPr>
          <w:rFonts w:ascii="Calibri" w:hAnsi="Calibri"/>
          <w:b/>
          <w:color w:val="1F497D"/>
          <w:sz w:val="30"/>
        </w:rPr>
        <w:t>2. Background and Related Work</w:t>
      </w:r>
    </w:p>
    <w:p>
      <w:pPr>
        <w:spacing w:before="200" w:after="80"/>
        <w:jc w:val="left"/>
      </w:pPr>
      <w:r>
        <w:rPr>
          <w:rFonts w:ascii="Calibri" w:hAnsi="Calibri"/>
          <w:b/>
          <w:color w:val="366092"/>
          <w:sz w:val="25"/>
        </w:rPr>
        <w:t>2.1 Apache Iceberg Layout Mechanics &amp; Compaction</w:t>
      </w:r>
    </w:p>
    <w:p>
      <w:pPr>
        <w:spacing w:before="0" w:after="80"/>
        <w:jc w:val="left"/>
      </w:pPr>
      <w:r>
        <w:t xml:space="preserve">Apache Iceberg is an open table format for large-scale analytical data sets. An Iceberg table snapshot consists of a metadata file, manifest lists, manifest files, and columnar data files (typically Apache Parquet or ORC). During concurrent writes or streaming ingestion, Iceberg appends new data files without altering existing files. Over time, this leads to the </w:t>
      </w:r>
      <w:r>
        <w:rPr>
          <w:b/>
        </w:rPr>
        <w:t>small-file problem</w:t>
      </w:r>
      <w:r>
        <w:t>:</w:t>
      </w:r>
    </w:p>
    <w:p>
      <w:pPr>
        <w:spacing w:before="0" w:after="80"/>
        <w:jc w:val="left"/>
      </w:pPr>
      <w:r>
        <w:rPr>
          <w:rFonts w:ascii="Cambria Math" w:hAnsi="Cambria Math"/>
          <w:i/>
          <w:color w:val="003366"/>
        </w:rPr>
      </w:r>
      <w:r>
        <w:t>\text{File Count} \gg \frac{\text{Total Table Size}}{\text{Target File Size}}</w:t>
      </w:r>
      <w:r>
        <w:rPr>
          <w:rFonts w:ascii="Cambria Math" w:hAnsi="Cambria Math"/>
          <w:i/>
          <w:color w:val="003366"/>
        </w:rPr>
      </w:r>
    </w:p>
    <w:p>
      <w:pPr>
        <w:spacing w:before="0" w:after="80"/>
        <w:jc w:val="left"/>
      </w:pPr>
      <w:r>
        <w:t xml:space="preserve">Small files inflate manifest metadata, requiring query engines like Spark to perform millions of metadata RPCs, file-open calls, and header deserializations. Iceberg provides the </w:t>
      </w:r>
      <w:r>
        <w:rPr>
          <w:rFonts w:ascii="Consolas" w:hAnsi="Consolas"/>
          <w:color w:val="8B0000"/>
          <w:sz w:val="19"/>
        </w:rPr>
        <w:t>rewrite_data_files</w:t>
      </w:r>
      <w:r>
        <w:t xml:space="preserve"> procedure to execute compaction. The default strategy, </w:t>
      </w:r>
      <w:r>
        <w:rPr>
          <w:i/>
        </w:rPr>
        <w:t>BinPack</w:t>
      </w:r>
      <w:r>
        <w:t>, collects small files within partitions and groups them into target-sized output files (e.g., 128 MB or 512 MB) using a greedy bin-packing algorithm:</w:t>
      </w:r>
    </w:p>
    <w:p>
      <w:pPr>
        <w:spacing w:before="0" w:after="80"/>
        <w:jc w:val="left"/>
      </w:pPr>
      <w:r>
        <w:rPr>
          <w:rFonts w:ascii="Cambria Math" w:hAnsi="Cambria Math"/>
          <w:i/>
          <w:color w:val="003366"/>
        </w:rPr>
      </w:r>
      <w:r>
        <w:t>\min K \quad \text{s.t.} \quad \sum_{i \in \text{Bin}_k} S_i \le S_{\text{target}}, \quad k=1, \dots, K</w:t>
      </w:r>
      <w:r>
        <w:rPr>
          <w:rFonts w:ascii="Cambria Math" w:hAnsi="Cambria Math"/>
          <w:i/>
          <w:color w:val="003366"/>
        </w:rPr>
      </w:r>
    </w:p>
    <w:p>
      <w:pPr>
        <w:spacing w:before="0" w:after="80"/>
        <w:jc w:val="left"/>
      </w:pPr>
      <w:r>
        <w:t xml:space="preserve">where </w:t>
      </w:r>
      <w:r>
        <w:rPr>
          <w:rFonts w:ascii="Cambria Math" w:hAnsi="Cambria Math"/>
          <w:i/>
          <w:color w:val="003366"/>
        </w:rPr>
        <w:t>S_i</w:t>
      </w:r>
      <w:r>
        <w:t xml:space="preserve"> is the size of input file </w:t>
      </w:r>
      <w:r>
        <w:rPr>
          <w:rFonts w:ascii="Cambria Math" w:hAnsi="Cambria Math"/>
          <w:i/>
          <w:color w:val="003366"/>
        </w:rPr>
        <w:t>i</w:t>
      </w:r>
      <w:r>
        <w:t xml:space="preserve"> and </w:t>
      </w:r>
      <w:r>
        <w:rPr>
          <w:rFonts w:ascii="Cambria Math" w:hAnsi="Cambria Math"/>
          <w:i/>
          <w:color w:val="003366"/>
        </w:rPr>
        <w:t>S_{\text{target}}</w:t>
      </w:r>
      <w:r>
        <w:t xml:space="preserve"> is the target compaction file size. While bin-packing eliminates layout fragmentation, reading hundreds of input files and re-encoding Parquet dictionary structures is CPU- and I/O-intensive.</w:t>
      </w:r>
    </w:p>
    <w:tbl>
      <w:tblPr>
        <w:tblW w:type="auto" w:w="0"/>
        <w:jc w:val="center"/>
        <w:tblLook w:firstColumn="1" w:firstRow="1" w:lastColumn="0" w:lastRow="0" w:noHBand="0" w:noVBand="1" w:val="04A0"/>
      </w:tblPr>
      <w:tblGrid>
        <w:gridCol w:w="9360"/>
      </w:tblGrid>
      <w:tr>
        <w:tc>
          <w:tcPr>
            <w:tcW w:type="dxa" w:w="9360"/>
            <w:shd w:fill="F4F4F4"/>
            <w:tcMar>
              <w:top w:w="120" w:type="dxa"/>
              <w:bottom w:w="120" w:type="dxa"/>
              <w:left w:w="180" w:type="dxa"/>
              <w:right w:w="180" w:type="dxa"/>
            </w:tcMar>
          </w:tcPr>
          <w:p>
            <w:pPr>
              <w:spacing w:after="0" w:line="240" w:lineRule="auto"/>
            </w:pPr>
            <w:r>
              <w:rPr>
                <w:rFonts w:ascii="Consolas" w:hAnsi="Consolas"/>
                <w:color w:val="111111"/>
                <w:sz w:val="18"/>
              </w:rPr>
              <w:t>+-------------------------------------------------------------------------------+</w:t>
              <w:br/>
              <w:t>|                           LAKEHOUSE ENGINE LAYOUT                             |</w:t>
              <w:br/>
              <w:t>+-------------------------------------------------------------------------------+</w:t>
              <w:br/>
              <w:t>|  [Ingestion Engine] ---&gt; Appends Small Data Files (e.g., 2MB - 10MB)         |</w:t>
              <w:br/>
              <w:t>|                                    │                                          |</w:t>
              <w:br/>
              <w:t>|                                    ▼                                          |</w:t>
              <w:br/>
              <w:t>|  [Iceberg Table Layout]  [File 1] [File 2] [File 3] ... [File 500]           |</w:t>
              <w:br/>
              <w:t>|                                    │                                          |</w:t>
              <w:br/>
              <w:t>|               ┌────────────────────┴────────────────────┐                     |</w:t>
              <w:br/>
              <w:t>|               ▼                                         ▼                     |</w:t>
              <w:br/>
              <w:t>|  [Foreground Analytical Queries]          [Background Iceberg Compaction]    |</w:t>
              <w:br/>
              <w:t>|  - Spark Task Executor Pool              - `rewrite_data_files` Action        |</w:t>
              <w:br/>
              <w:t>|  - Column Scans &amp; Joins                  - Bin-Pack Small Data Files          |</w:t>
              <w:br/>
              <w:t>|               │                                         │                     |</w:t>
              <w:br/>
              <w:t>|               └────────────────────┬────────────────────┘                     |</w:t>
              <w:br/>
              <w:t>|                                    ▼                                          |</w:t>
              <w:br/>
              <w:t>|              [SHARED HARDWARE &amp; RESOURCE CONTENTION]                          |</w:t>
              <w:br/>
              <w:t>|         (CPU Cores, Memory Bus, OS Page Cache, NVMe Storage I/O)             |</w:t>
              <w:br/>
              <w:t>+-------------------------------------------------------------------------------+</w:t>
            </w:r>
          </w:p>
        </w:tc>
      </w:tr>
    </w:tbl>
    <w:p>
      <w:pPr>
        <w:spacing w:after="120"/>
      </w:pPr>
    </w:p>
    <w:p>
      <w:pPr>
        <w:spacing w:before="200" w:after="80"/>
        <w:jc w:val="left"/>
      </w:pPr>
      <w:r>
        <w:rPr>
          <w:rFonts w:ascii="Calibri" w:hAnsi="Calibri"/>
          <w:b/>
          <w:color w:val="366092"/>
          <w:sz w:val="25"/>
        </w:rPr>
        <w:t>2.2 Spark Engine Scheduling Mechanics</w:t>
      </w:r>
    </w:p>
    <w:p>
      <w:pPr>
        <w:spacing w:before="0" w:after="80"/>
        <w:jc w:val="left"/>
      </w:pPr>
      <w:r>
        <w:t xml:space="preserve">Apache Spark manages execution via a DAG Scheduler and Task Scheduler. Spark offers two primary task scheduling modes within an </w:t>
      </w:r>
      <w:r>
        <w:rPr>
          <w:rFonts w:ascii="Consolas" w:hAnsi="Consolas"/>
          <w:color w:val="8B0000"/>
          <w:sz w:val="19"/>
        </w:rPr>
        <w:t>ApplicationContext</w:t>
      </w:r>
      <w:r>
        <w:t>:</w:t>
      </w:r>
    </w:p>
    <w:p>
      <w:pPr>
        <w:pStyle w:val="ListBullet"/>
        <w:spacing w:before="0" w:after="60"/>
        <w:jc w:val="left"/>
      </w:pPr>
      <w:r>
        <w:rPr>
          <w:b/>
        </w:rPr>
        <w:t>FIFO (First-In-First-Out):</w:t>
      </w:r>
      <w:r>
        <w:t xml:space="preserve"> Job submissions are queued sequentially. By default, early jobs claim all available task slots across cluster executors, starving later jobs until slots are freed.</w:t>
      </w:r>
    </w:p>
    <w:p>
      <w:pPr>
        <w:pStyle w:val="ListBullet"/>
        <w:spacing w:before="0" w:after="60"/>
        <w:jc w:val="left"/>
      </w:pPr>
      <w:r>
        <w:rPr>
          <w:b/>
        </w:rPr>
        <w:t>FAIR:</w:t>
      </w:r>
      <w:r>
        <w:t xml:space="preserve"> Jobs are assigned to named pools (e.g., </w:t>
      </w:r>
      <w:r>
        <w:rPr>
          <w:rFonts w:ascii="Consolas" w:hAnsi="Consolas"/>
          <w:color w:val="8B0000"/>
          <w:sz w:val="19"/>
        </w:rPr>
        <w:t>foreground_pool</w:t>
      </w:r>
      <w:r>
        <w:t xml:space="preserve"> vs </w:t>
      </w:r>
      <w:r>
        <w:rPr>
          <w:rFonts w:ascii="Consolas" w:hAnsi="Consolas"/>
          <w:color w:val="8B0000"/>
          <w:sz w:val="19"/>
        </w:rPr>
        <w:t>background_pool</w:t>
      </w:r>
      <w:r>
        <w:t>). Shares and min-shares dictate task slot allocation:</w:t>
      </w:r>
    </w:p>
    <w:p>
      <w:pPr>
        <w:spacing w:before="0" w:after="80"/>
        <w:jc w:val="left"/>
      </w:pPr>
      <w:r>
        <w:rPr>
          <w:rFonts w:ascii="Cambria Math" w:hAnsi="Cambria Math"/>
          <w:i/>
          <w:color w:val="003366"/>
        </w:rPr>
      </w:r>
      <w:r>
        <w:t>\text{Slot Allocation Ratio} = \frac{\text{Weight}_{\text{foreground}}}{\text{Weight}_{\text{foreground}} + \text{Weight}_{\text{background}}}</w:t>
      </w:r>
      <w:r>
        <w:rPr>
          <w:rFonts w:ascii="Cambria Math" w:hAnsi="Cambria Math"/>
          <w:i/>
          <w:color w:val="003366"/>
        </w:rPr>
      </w:r>
    </w:p>
    <w:p>
      <w:pPr>
        <w:spacing w:before="0" w:after="80"/>
        <w:jc w:val="left"/>
      </w:pPr>
      <w:r>
        <w:t>While FAIR scheduling prevents task-slot starvation at the Spark engine layer, it cannot enforce hardware-level isolation for shared CPU caches, system memory bus bandwidth, or storage NVMe queues.</w:t>
      </w:r>
    </w:p>
    <w:p>
      <w:pPr>
        <w:spacing w:before="200" w:after="80"/>
        <w:jc w:val="left"/>
      </w:pPr>
      <w:r>
        <w:rPr>
          <w:rFonts w:ascii="Calibri" w:hAnsi="Calibri"/>
          <w:b/>
          <w:color w:val="366092"/>
          <w:sz w:val="25"/>
        </w:rPr>
        <w:t>2.3 Comparative Literature Positioning</w:t>
      </w:r>
    </w:p>
    <w:p>
      <w:pPr>
        <w:spacing w:before="0" w:after="80"/>
        <w:jc w:val="left"/>
      </w:pPr>
      <w:r>
        <w:t>Table 1 positions our work against state-of-the-art database maintenance systems.</w:t>
      </w:r>
    </w:p>
    <w:tbl>
      <w:tblPr>
        <w:tblW w:type="auto" w:w="0"/>
        <w:jc w:val="center"/>
        <w:tblLook w:firstColumn="1" w:firstRow="1" w:lastColumn="0" w:lastRow="0" w:noHBand="0" w:noVBand="1" w:val="04A0"/>
        <w:tblBorders>
          <w:top w:val="single" w:sz="6" w:space="0" w:color="B0C4DE"/>
          <w:bottom w:val="single" w:sz="6" w:space="0" w:color="B0C4DE"/>
          <w:left w:val="none"/>
          <w:right w:val="none"/>
          <w:insideH w:val="single" w:sz="6" w:space="0" w:color="B0C4DE"/>
          <w:insideV w:val="none"/>
        </w:tblBorders>
      </w:tblPr>
      <w:tblGrid>
        <w:gridCol w:w="1872"/>
        <w:gridCol w:w="1872"/>
        <w:gridCol w:w="1872"/>
        <w:gridCol w:w="1872"/>
        <w:gridCol w:w="1872"/>
      </w:tblGrid>
      <w:tr>
        <w:tc>
          <w:tcPr>
            <w:tcW w:type="dxa" w:w="1872"/>
            <w:shd w:fill="1F497D"/>
            <w:tcMar>
              <w:top w:w="120" w:type="dxa"/>
              <w:bottom w:w="120" w:type="dxa"/>
              <w:left w:w="150" w:type="dxa"/>
              <w:right w:w="150" w:type="dxa"/>
            </w:tcMar>
          </w:tcPr>
          <w:p>
            <w:pPr>
              <w:jc w:val="left"/>
            </w:pPr>
            <w:r>
              <w:rPr>
                <w:b/>
                <w:color w:val="FFFFFF"/>
                <w:sz w:val="20"/>
              </w:rPr>
              <w:t>Framework</w:t>
            </w:r>
          </w:p>
        </w:tc>
        <w:tc>
          <w:tcPr>
            <w:tcW w:type="dxa" w:w="1872"/>
            <w:shd w:fill="1F497D"/>
            <w:tcMar>
              <w:top w:w="120" w:type="dxa"/>
              <w:bottom w:w="120" w:type="dxa"/>
              <w:left w:w="150" w:type="dxa"/>
              <w:right w:w="150" w:type="dxa"/>
            </w:tcMar>
          </w:tcPr>
          <w:p>
            <w:pPr>
              <w:jc w:val="left"/>
            </w:pPr>
            <w:r>
              <w:rPr>
                <w:b/>
                <w:color w:val="FFFFFF"/>
                <w:sz w:val="20"/>
              </w:rPr>
              <w:t>Target Focus</w:t>
            </w:r>
          </w:p>
        </w:tc>
        <w:tc>
          <w:tcPr>
            <w:tcW w:type="dxa" w:w="1872"/>
            <w:shd w:fill="1F497D"/>
            <w:tcMar>
              <w:top w:w="120" w:type="dxa"/>
              <w:bottom w:w="120" w:type="dxa"/>
              <w:left w:w="150" w:type="dxa"/>
              <w:right w:w="150" w:type="dxa"/>
            </w:tcMar>
          </w:tcPr>
          <w:p>
            <w:pPr>
              <w:jc w:val="left"/>
            </w:pPr>
            <w:r>
              <w:rPr>
                <w:b/>
                <w:color w:val="FFFFFF"/>
                <w:sz w:val="20"/>
              </w:rPr>
              <w:t>Dynamic Workload Modeling?</w:t>
            </w:r>
          </w:p>
        </w:tc>
        <w:tc>
          <w:tcPr>
            <w:tcW w:type="dxa" w:w="1872"/>
            <w:shd w:fill="1F497D"/>
            <w:tcMar>
              <w:top w:w="120" w:type="dxa"/>
              <w:bottom w:w="120" w:type="dxa"/>
              <w:left w:w="150" w:type="dxa"/>
              <w:right w:w="150" w:type="dxa"/>
            </w:tcMar>
          </w:tcPr>
          <w:p>
            <w:pPr>
              <w:jc w:val="left"/>
            </w:pPr>
            <w:r>
              <w:rPr>
                <w:b/>
                <w:color w:val="FFFFFF"/>
                <w:sz w:val="20"/>
              </w:rPr>
              <w:t>Modeling Interference Penalty?</w:t>
            </w:r>
          </w:p>
        </w:tc>
        <w:tc>
          <w:tcPr>
            <w:tcW w:type="dxa" w:w="1872"/>
            <w:shd w:fill="1F497D"/>
            <w:tcMar>
              <w:top w:w="120" w:type="dxa"/>
              <w:bottom w:w="120" w:type="dxa"/>
              <w:left w:w="150" w:type="dxa"/>
              <w:right w:w="150" w:type="dxa"/>
            </w:tcMar>
          </w:tcPr>
          <w:p>
            <w:pPr>
              <w:jc w:val="left"/>
            </w:pPr>
            <w:r>
              <w:rPr>
                <w:b/>
                <w:color w:val="FFFFFF"/>
                <w:sz w:val="20"/>
              </w:rPr>
              <w:t>Uncertainty Calibration (Conformal)?</w:t>
            </w:r>
          </w:p>
        </w:tc>
      </w:tr>
      <w:tr>
        <w:tc>
          <w:tcPr>
            <w:tcW w:type="dxa" w:w="1872"/>
            <w:shd w:fill="FFFFFF"/>
            <w:tcMar>
              <w:top w:w="100" w:type="dxa"/>
              <w:bottom w:w="100" w:type="dxa"/>
              <w:left w:w="150" w:type="dxa"/>
              <w:right w:w="150" w:type="dxa"/>
            </w:tcMar>
          </w:tcPr>
          <w:p>
            <w:pPr>
              <w:jc w:val="left"/>
            </w:pPr>
            <w:r>
              <w:rPr>
                <w:b/>
                <w:sz w:val="19"/>
              </w:rPr>
              <w:t>**AutoComp** \cite{autocomp}</w:t>
            </w:r>
          </w:p>
        </w:tc>
        <w:tc>
          <w:tcPr>
            <w:tcW w:type="dxa" w:w="1872"/>
            <w:shd w:fill="FFFFFF"/>
            <w:tcMar>
              <w:top w:w="100" w:type="dxa"/>
              <w:bottom w:w="100" w:type="dxa"/>
              <w:left w:w="150" w:type="dxa"/>
              <w:right w:w="150" w:type="dxa"/>
            </w:tcMar>
          </w:tcPr>
          <w:p>
            <w:pPr>
              <w:jc w:val="left"/>
            </w:pPr>
            <w:r>
              <w:rPr>
                <w:sz w:val="19"/>
              </w:rPr>
              <w:t>Compaction selection &amp; thresholding</w:t>
            </w:r>
          </w:p>
        </w:tc>
        <w:tc>
          <w:tcPr>
            <w:tcW w:type="dxa" w:w="1872"/>
            <w:shd w:fill="FFFFFF"/>
            <w:tcMar>
              <w:top w:w="100" w:type="dxa"/>
              <w:bottom w:w="100" w:type="dxa"/>
              <w:left w:w="150" w:type="dxa"/>
              <w:right w:w="150" w:type="dxa"/>
            </w:tcMar>
          </w:tcPr>
          <w:p>
            <w:pPr>
              <w:jc w:val="left"/>
            </w:pPr>
            <w:r>
              <w:rPr>
                <w:sz w:val="19"/>
              </w:rPr>
              <w:t>No (Static rules)</w:t>
            </w:r>
          </w:p>
        </w:tc>
        <w:tc>
          <w:tcPr>
            <w:tcW w:type="dxa" w:w="1872"/>
            <w:shd w:fill="FFFFFF"/>
            <w:tcMar>
              <w:top w:w="100" w:type="dxa"/>
              <w:bottom w:w="100" w:type="dxa"/>
              <w:left w:w="150" w:type="dxa"/>
              <w:right w:w="150" w:type="dxa"/>
            </w:tcMar>
          </w:tcPr>
          <w:p>
            <w:pPr>
              <w:jc w:val="left"/>
            </w:pPr>
            <w:r>
              <w:rPr>
                <w:sz w:val="19"/>
              </w:rPr>
              <w:t>No</w:t>
            </w:r>
          </w:p>
        </w:tc>
        <w:tc>
          <w:tcPr>
            <w:tcW w:type="dxa" w:w="1872"/>
            <w:shd w:fill="FFFFFF"/>
            <w:tcMar>
              <w:top w:w="100" w:type="dxa"/>
              <w:bottom w:w="100" w:type="dxa"/>
              <w:left w:w="150" w:type="dxa"/>
              <w:right w:w="150" w:type="dxa"/>
            </w:tcMar>
          </w:tcPr>
          <w:p>
            <w:pPr>
              <w:jc w:val="left"/>
            </w:pPr>
            <w:r>
              <w:rPr>
                <w:sz w:val="19"/>
              </w:rPr>
              <w:t>No</w:t>
            </w:r>
          </w:p>
        </w:tc>
      </w:tr>
      <w:tr>
        <w:tc>
          <w:tcPr>
            <w:tcW w:type="dxa" w:w="1872"/>
            <w:shd w:fill="F2F5F9"/>
            <w:tcMar>
              <w:top w:w="100" w:type="dxa"/>
              <w:bottom w:w="100" w:type="dxa"/>
              <w:left w:w="150" w:type="dxa"/>
              <w:right w:w="150" w:type="dxa"/>
            </w:tcMar>
          </w:tcPr>
          <w:p>
            <w:pPr>
              <w:jc w:val="left"/>
            </w:pPr>
            <w:r>
              <w:rPr>
                <w:b/>
                <w:sz w:val="19"/>
              </w:rPr>
              <w:t>**Smart Compaction** \cite{smartcompaction}</w:t>
            </w:r>
          </w:p>
        </w:tc>
        <w:tc>
          <w:tcPr>
            <w:tcW w:type="dxa" w:w="1872"/>
            <w:shd w:fill="F2F5F9"/>
            <w:tcMar>
              <w:top w:w="100" w:type="dxa"/>
              <w:bottom w:w="100" w:type="dxa"/>
              <w:left w:w="150" w:type="dxa"/>
              <w:right w:w="150" w:type="dxa"/>
            </w:tcMar>
          </w:tcPr>
          <w:p>
            <w:pPr>
              <w:jc w:val="left"/>
            </w:pPr>
            <w:r>
              <w:rPr>
                <w:sz w:val="19"/>
              </w:rPr>
              <w:t>Table-level cost/benefit optimization</w:t>
            </w:r>
          </w:p>
        </w:tc>
        <w:tc>
          <w:tcPr>
            <w:tcW w:type="dxa" w:w="1872"/>
            <w:shd w:fill="F2F5F9"/>
            <w:tcMar>
              <w:top w:w="100" w:type="dxa"/>
              <w:bottom w:w="100" w:type="dxa"/>
              <w:left w:w="150" w:type="dxa"/>
              <w:right w:w="150" w:type="dxa"/>
            </w:tcMar>
          </w:tcPr>
          <w:p>
            <w:pPr>
              <w:jc w:val="left"/>
            </w:pPr>
            <w:r>
              <w:rPr>
                <w:sz w:val="19"/>
              </w:rPr>
              <w:t>Partial</w:t>
            </w:r>
          </w:p>
        </w:tc>
        <w:tc>
          <w:tcPr>
            <w:tcW w:type="dxa" w:w="1872"/>
            <w:shd w:fill="F2F5F9"/>
            <w:tcMar>
              <w:top w:w="100" w:type="dxa"/>
              <w:bottom w:w="100" w:type="dxa"/>
              <w:left w:w="150" w:type="dxa"/>
              <w:right w:w="150" w:type="dxa"/>
            </w:tcMar>
          </w:tcPr>
          <w:p>
            <w:pPr>
              <w:jc w:val="left"/>
            </w:pPr>
            <w:r>
              <w:rPr>
                <w:sz w:val="19"/>
              </w:rPr>
              <w:t>No</w:t>
            </w:r>
          </w:p>
        </w:tc>
        <w:tc>
          <w:tcPr>
            <w:tcW w:type="dxa" w:w="1872"/>
            <w:shd w:fill="F2F5F9"/>
            <w:tcMar>
              <w:top w:w="100" w:type="dxa"/>
              <w:bottom w:w="100" w:type="dxa"/>
              <w:left w:w="150" w:type="dxa"/>
              <w:right w:w="150" w:type="dxa"/>
            </w:tcMar>
          </w:tcPr>
          <w:p>
            <w:pPr>
              <w:jc w:val="left"/>
            </w:pPr>
            <w:r>
              <w:rPr>
                <w:sz w:val="19"/>
              </w:rPr>
              <w:t>No</w:t>
            </w:r>
          </w:p>
        </w:tc>
      </w:tr>
      <w:tr>
        <w:tc>
          <w:tcPr>
            <w:tcW w:type="dxa" w:w="1872"/>
            <w:shd w:fill="FFFFFF"/>
            <w:tcMar>
              <w:top w:w="100" w:type="dxa"/>
              <w:bottom w:w="100" w:type="dxa"/>
              <w:left w:w="150" w:type="dxa"/>
              <w:right w:w="150" w:type="dxa"/>
            </w:tcMar>
          </w:tcPr>
          <w:p>
            <w:pPr>
              <w:jc w:val="left"/>
            </w:pPr>
            <w:r>
              <w:rPr>
                <w:b/>
                <w:sz w:val="19"/>
              </w:rPr>
              <w:t>**PTO** \cite{pto}</w:t>
            </w:r>
          </w:p>
        </w:tc>
        <w:tc>
          <w:tcPr>
            <w:tcW w:type="dxa" w:w="1872"/>
            <w:shd w:fill="FFFFFF"/>
            <w:tcMar>
              <w:top w:w="100" w:type="dxa"/>
              <w:bottom w:w="100" w:type="dxa"/>
              <w:left w:w="150" w:type="dxa"/>
              <w:right w:w="150" w:type="dxa"/>
            </w:tcMar>
          </w:tcPr>
          <w:p>
            <w:pPr>
              <w:jc w:val="left"/>
            </w:pPr>
            <w:r>
              <w:rPr>
                <w:sz w:val="19"/>
              </w:rPr>
              <w:t>Partitioning &amp; Sort-key optimization</w:t>
            </w:r>
          </w:p>
        </w:tc>
        <w:tc>
          <w:tcPr>
            <w:tcW w:type="dxa" w:w="1872"/>
            <w:shd w:fill="FFFFFF"/>
            <w:tcMar>
              <w:top w:w="100" w:type="dxa"/>
              <w:bottom w:w="100" w:type="dxa"/>
              <w:left w:w="150" w:type="dxa"/>
              <w:right w:w="150" w:type="dxa"/>
            </w:tcMar>
          </w:tcPr>
          <w:p>
            <w:pPr>
              <w:jc w:val="left"/>
            </w:pPr>
            <w:r>
              <w:rPr>
                <w:sz w:val="19"/>
              </w:rPr>
              <w:t>No</w:t>
            </w:r>
          </w:p>
        </w:tc>
        <w:tc>
          <w:tcPr>
            <w:tcW w:type="dxa" w:w="1872"/>
            <w:shd w:fill="FFFFFF"/>
            <w:tcMar>
              <w:top w:w="100" w:type="dxa"/>
              <w:bottom w:w="100" w:type="dxa"/>
              <w:left w:w="150" w:type="dxa"/>
              <w:right w:w="150" w:type="dxa"/>
            </w:tcMar>
          </w:tcPr>
          <w:p>
            <w:pPr>
              <w:jc w:val="left"/>
            </w:pPr>
            <w:r>
              <w:rPr>
                <w:sz w:val="19"/>
              </w:rPr>
              <w:t>No</w:t>
            </w:r>
          </w:p>
        </w:tc>
        <w:tc>
          <w:tcPr>
            <w:tcW w:type="dxa" w:w="1872"/>
            <w:shd w:fill="FFFFFF"/>
            <w:tcMar>
              <w:top w:w="100" w:type="dxa"/>
              <w:bottom w:w="100" w:type="dxa"/>
              <w:left w:w="150" w:type="dxa"/>
              <w:right w:w="150" w:type="dxa"/>
            </w:tcMar>
          </w:tcPr>
          <w:p>
            <w:pPr>
              <w:jc w:val="left"/>
            </w:pPr>
            <w:r>
              <w:rPr>
                <w:sz w:val="19"/>
              </w:rPr>
              <w:t>No</w:t>
            </w:r>
          </w:p>
        </w:tc>
      </w:tr>
      <w:tr>
        <w:tc>
          <w:tcPr>
            <w:tcW w:type="dxa" w:w="1872"/>
            <w:shd w:fill="F2F5F9"/>
            <w:tcMar>
              <w:top w:w="100" w:type="dxa"/>
              <w:bottom w:w="100" w:type="dxa"/>
              <w:left w:w="150" w:type="dxa"/>
              <w:right w:w="150" w:type="dxa"/>
            </w:tcMar>
          </w:tcPr>
          <w:p>
            <w:pPr>
              <w:jc w:val="left"/>
            </w:pPr>
            <w:r>
              <w:rPr>
                <w:b/>
                <w:sz w:val="19"/>
              </w:rPr>
              <w:t>**Karim et al. (2026)** \cite{karim2026}</w:t>
            </w:r>
          </w:p>
        </w:tc>
        <w:tc>
          <w:tcPr>
            <w:tcW w:type="dxa" w:w="1872"/>
            <w:shd w:fill="F2F5F9"/>
            <w:tcMar>
              <w:top w:w="100" w:type="dxa"/>
              <w:bottom w:w="100" w:type="dxa"/>
              <w:left w:w="150" w:type="dxa"/>
              <w:right w:w="150" w:type="dxa"/>
            </w:tcMar>
          </w:tcPr>
          <w:p>
            <w:pPr>
              <w:jc w:val="left"/>
            </w:pPr>
            <w:r>
              <w:rPr>
                <w:sz w:val="19"/>
              </w:rPr>
              <w:t>Reinforcement Learning for maintenance</w:t>
            </w:r>
          </w:p>
        </w:tc>
        <w:tc>
          <w:tcPr>
            <w:tcW w:type="dxa" w:w="1872"/>
            <w:shd w:fill="F2F5F9"/>
            <w:tcMar>
              <w:top w:w="100" w:type="dxa"/>
              <w:bottom w:w="100" w:type="dxa"/>
              <w:left w:w="150" w:type="dxa"/>
              <w:right w:w="150" w:type="dxa"/>
            </w:tcMar>
          </w:tcPr>
          <w:p>
            <w:pPr>
              <w:jc w:val="left"/>
            </w:pPr>
            <w:r>
              <w:rPr>
                <w:sz w:val="19"/>
              </w:rPr>
              <w:t>Yes</w:t>
            </w:r>
          </w:p>
        </w:tc>
        <w:tc>
          <w:tcPr>
            <w:tcW w:type="dxa" w:w="1872"/>
            <w:shd w:fill="F2F5F9"/>
            <w:tcMar>
              <w:top w:w="100" w:type="dxa"/>
              <w:bottom w:w="100" w:type="dxa"/>
              <w:left w:w="150" w:type="dxa"/>
              <w:right w:w="150" w:type="dxa"/>
            </w:tcMar>
          </w:tcPr>
          <w:p>
            <w:pPr>
              <w:jc w:val="left"/>
            </w:pPr>
            <w:r>
              <w:rPr>
                <w:sz w:val="19"/>
              </w:rPr>
              <w:t>Partial</w:t>
            </w:r>
          </w:p>
        </w:tc>
        <w:tc>
          <w:tcPr>
            <w:tcW w:type="dxa" w:w="1872"/>
            <w:shd w:fill="F2F5F9"/>
            <w:tcMar>
              <w:top w:w="100" w:type="dxa"/>
              <w:bottom w:w="100" w:type="dxa"/>
              <w:left w:w="150" w:type="dxa"/>
              <w:right w:w="150" w:type="dxa"/>
            </w:tcMar>
          </w:tcPr>
          <w:p>
            <w:pPr>
              <w:jc w:val="left"/>
            </w:pPr>
            <w:r>
              <w:rPr>
                <w:sz w:val="19"/>
              </w:rPr>
              <w:t>No (Uncalibrated)</w:t>
            </w:r>
          </w:p>
        </w:tc>
      </w:tr>
      <w:tr>
        <w:tc>
          <w:tcPr>
            <w:tcW w:type="dxa" w:w="1872"/>
            <w:shd w:fill="FFFFFF"/>
            <w:tcMar>
              <w:top w:w="100" w:type="dxa"/>
              <w:bottom w:w="100" w:type="dxa"/>
              <w:left w:w="150" w:type="dxa"/>
              <w:right w:w="150" w:type="dxa"/>
            </w:tcMar>
          </w:tcPr>
          <w:p>
            <w:pPr>
              <w:jc w:val="left"/>
            </w:pPr>
            <w:r>
              <w:rPr>
                <w:b/>
                <w:sz w:val="19"/>
              </w:rPr>
              <w:t>**This Work**</w:t>
            </w:r>
          </w:p>
        </w:tc>
        <w:tc>
          <w:tcPr>
            <w:tcW w:type="dxa" w:w="1872"/>
            <w:shd w:fill="FFFFFF"/>
            <w:tcMar>
              <w:top w:w="100" w:type="dxa"/>
              <w:bottom w:w="100" w:type="dxa"/>
              <w:left w:w="150" w:type="dxa"/>
              <w:right w:w="150" w:type="dxa"/>
            </w:tcMar>
          </w:tcPr>
          <w:p>
            <w:pPr>
              <w:jc w:val="left"/>
            </w:pPr>
            <w:r>
              <w:rPr>
                <w:b/>
                <w:sz w:val="19"/>
              </w:rPr>
              <w:t>**Predictive Timing &amp; Uncertainty-Aware Scheduling**</w:t>
            </w:r>
          </w:p>
        </w:tc>
        <w:tc>
          <w:tcPr>
            <w:tcW w:type="dxa" w:w="1872"/>
            <w:shd w:fill="FFFFFF"/>
            <w:tcMar>
              <w:top w:w="100" w:type="dxa"/>
              <w:bottom w:w="100" w:type="dxa"/>
              <w:left w:w="150" w:type="dxa"/>
              <w:right w:w="150" w:type="dxa"/>
            </w:tcMar>
          </w:tcPr>
          <w:p>
            <w:pPr>
              <w:jc w:val="left"/>
            </w:pPr>
            <w:r>
              <w:rPr>
                <w:b/>
                <w:sz w:val="19"/>
              </w:rPr>
              <w:t>**Yes (1Hz Telemetry)**</w:t>
            </w:r>
          </w:p>
        </w:tc>
        <w:tc>
          <w:tcPr>
            <w:tcW w:type="dxa" w:w="1872"/>
            <w:shd w:fill="FFFFFF"/>
            <w:tcMar>
              <w:top w:w="100" w:type="dxa"/>
              <w:bottom w:w="100" w:type="dxa"/>
              <w:left w:w="150" w:type="dxa"/>
              <w:right w:w="150" w:type="dxa"/>
            </w:tcMar>
          </w:tcPr>
          <w:p>
            <w:pPr>
              <w:jc w:val="left"/>
            </w:pPr>
            <w:r>
              <w:rPr>
                <w:b/>
                <w:sz w:val="19"/>
              </w:rPr>
              <w:t>**Yes (Continuous QIR)**</w:t>
            </w:r>
          </w:p>
        </w:tc>
        <w:tc>
          <w:tcPr>
            <w:tcW w:type="dxa" w:w="1872"/>
            <w:shd w:fill="FFFFFF"/>
            <w:tcMar>
              <w:top w:w="100" w:type="dxa"/>
              <w:bottom w:w="100" w:type="dxa"/>
              <w:left w:w="150" w:type="dxa"/>
              <w:right w:w="150" w:type="dxa"/>
            </w:tcMar>
          </w:tcPr>
          <w:p>
            <w:pPr>
              <w:jc w:val="left"/>
            </w:pPr>
            <w:r>
              <w:rPr>
                <w:b/>
                <w:sz w:val="19"/>
              </w:rPr>
              <w:t>**Yes (Split-Conformal Bounds)**</w:t>
            </w:r>
          </w:p>
        </w:tc>
      </w:tr>
    </w:tbl>
    <w:p>
      <w:pPr>
        <w:spacing w:after="120"/>
      </w:pPr>
    </w:p>
    <w:p>
      <w:pPr>
        <w:spacing w:before="280" w:after="120"/>
        <w:jc w:val="left"/>
      </w:pPr>
      <w:r>
        <w:rPr>
          <w:rFonts w:ascii="Calibri" w:hAnsi="Calibri"/>
          <w:b/>
          <w:color w:val="1F497D"/>
          <w:sz w:val="30"/>
        </w:rPr>
        <w:t>3. System Architecture &amp; Problem Formulation</w:t>
      </w:r>
    </w:p>
    <w:p>
      <w:pPr>
        <w:spacing w:before="200" w:after="80"/>
        <w:jc w:val="left"/>
      </w:pPr>
      <w:r>
        <w:rPr>
          <w:rFonts w:ascii="Calibri" w:hAnsi="Calibri"/>
          <w:b/>
          <w:color w:val="366092"/>
          <w:sz w:val="25"/>
        </w:rPr>
        <w:t>3.1 Mathematical Formulation of Query Interference</w:t>
      </w:r>
    </w:p>
    <w:p>
      <w:pPr>
        <w:spacing w:before="0" w:after="80"/>
        <w:jc w:val="left"/>
      </w:pPr>
      <w:r>
        <w:t xml:space="preserve">Let </w:t>
      </w:r>
      <w:r>
        <w:rPr>
          <w:rFonts w:ascii="Cambria Math" w:hAnsi="Cambria Math"/>
          <w:i/>
          <w:color w:val="003366"/>
        </w:rPr>
        <w:t>\mathcal{W} = \{q_1, q_2, \dots, q_M\}</w:t>
      </w:r>
      <w:r>
        <w:t xml:space="preserve"> represent an analytical workload stream. Let </w:t>
      </w:r>
      <w:r>
        <w:rPr>
          <w:rFonts w:ascii="Cambria Math" w:hAnsi="Cambria Math"/>
          <w:i/>
          <w:color w:val="003366"/>
        </w:rPr>
        <w:t>T_{\text{baseline}, i}</w:t>
      </w:r>
      <w:r>
        <w:t xml:space="preserve"> denote the execution latency of query </w:t>
      </w:r>
      <w:r>
        <w:rPr>
          <w:rFonts w:ascii="Cambria Math" w:hAnsi="Cambria Math"/>
          <w:i/>
          <w:color w:val="003366"/>
        </w:rPr>
        <w:t>q_i</w:t>
      </w:r>
      <w:r>
        <w:t xml:space="preserve"> running in isolation on a baseline table state </w:t>
      </w:r>
      <w:r>
        <w:rPr>
          <w:rFonts w:ascii="Cambria Math" w:hAnsi="Cambria Math"/>
          <w:i/>
          <w:color w:val="003366"/>
        </w:rPr>
        <w:t>\mathcal{S}_0</w:t>
      </w:r>
      <w:r>
        <w:t xml:space="preserve">. Let </w:t>
      </w:r>
      <w:r>
        <w:rPr>
          <w:rFonts w:ascii="Cambria Math" w:hAnsi="Cambria Math"/>
          <w:i/>
          <w:color w:val="003366"/>
        </w:rPr>
        <w:t>T_{\text{concurrent}, i}</w:t>
      </w:r>
      <w:r>
        <w:t xml:space="preserve"> denote the execution latency of </w:t>
      </w:r>
      <w:r>
        <w:rPr>
          <w:rFonts w:ascii="Cambria Math" w:hAnsi="Cambria Math"/>
          <w:i/>
          <w:color w:val="003366"/>
        </w:rPr>
        <w:t>q_i</w:t>
      </w:r>
      <w:r>
        <w:t xml:space="preserve"> running concurrently with an Iceberg maintenance operation </w:t>
      </w:r>
      <w:r>
        <w:rPr>
          <w:rFonts w:ascii="Cambria Math" w:hAnsi="Cambria Math"/>
          <w:i/>
          <w:color w:val="003366"/>
        </w:rPr>
        <w:t>\mathcal{M}</w:t>
      </w:r>
      <w:r>
        <w:t>.</w:t>
      </w:r>
    </w:p>
    <w:p>
      <w:pPr>
        <w:spacing w:before="0" w:after="80"/>
        <w:jc w:val="left"/>
      </w:pPr>
      <w:r>
        <w:t xml:space="preserve">We define the </w:t>
      </w:r>
      <w:r>
        <w:rPr>
          <w:b/>
        </w:rPr>
        <w:t>Query Interference Ratio (QIR)</w:t>
      </w:r>
      <w:r>
        <w:t xml:space="preserve"> for query </w:t>
      </w:r>
      <w:r>
        <w:rPr>
          <w:rFonts w:ascii="Cambria Math" w:hAnsi="Cambria Math"/>
          <w:i/>
          <w:color w:val="003366"/>
        </w:rPr>
        <w:t>q_i</w:t>
      </w:r>
      <w:r>
        <w:t xml:space="preserve"> as:</w:t>
      </w:r>
    </w:p>
    <w:p>
      <w:pPr>
        <w:spacing w:before="0" w:after="80"/>
        <w:jc w:val="left"/>
      </w:pPr>
      <w:r>
        <w:rPr>
          <w:rFonts w:ascii="Cambria Math" w:hAnsi="Cambria Math"/>
          <w:i/>
          <w:color w:val="003366"/>
        </w:rPr>
      </w:r>
      <w:r>
        <w:t>QIR_i = \frac{T_{\text{concurrent}, i} - T_{\text{baseline}, i}}{T_{\text{baseline}, i}} \times 100\%</w:t>
      </w:r>
      <w:r>
        <w:rPr>
          <w:rFonts w:ascii="Cambria Math" w:hAnsi="Cambria Math"/>
          <w:i/>
          <w:color w:val="003366"/>
        </w:rPr>
      </w:r>
    </w:p>
    <w:p>
      <w:pPr>
        <w:spacing w:before="0" w:after="80"/>
        <w:jc w:val="left"/>
      </w:pPr>
      <w:r>
        <w:t xml:space="preserve">For a multi-query batch workload executed over a decision window </w:t>
      </w:r>
      <w:r>
        <w:rPr>
          <w:rFonts w:ascii="Cambria Math" w:hAnsi="Cambria Math"/>
          <w:i/>
          <w:color w:val="003366"/>
        </w:rPr>
        <w:t>W</w:t>
      </w:r>
      <w:r>
        <w:t xml:space="preserve">, the </w:t>
      </w:r>
      <w:r>
        <w:rPr>
          <w:b/>
        </w:rPr>
        <w:t>Workload Interference Ratio (WIR)</w:t>
      </w:r>
      <w:r>
        <w:t xml:space="preserve"> is defined as:</w:t>
      </w:r>
    </w:p>
    <w:p>
      <w:pPr>
        <w:spacing w:before="0" w:after="80"/>
        <w:jc w:val="left"/>
      </w:pPr>
      <w:r>
        <w:rPr>
          <w:rFonts w:ascii="Cambria Math" w:hAnsi="Cambria Math"/>
          <w:i/>
          <w:color w:val="003366"/>
        </w:rPr>
      </w:r>
      <w:r>
        <w:t>WIR = \frac{\sum_{i \in W} T_{\text{concurrent}, i} - \sum_{i \in W} T_{\text{baseline}, i}}{\sum_{i \in W} T_{\text{baseline}, i}} \times 100\%</w:t>
      </w:r>
      <w:r>
        <w:rPr>
          <w:rFonts w:ascii="Cambria Math" w:hAnsi="Cambria Math"/>
          <w:i/>
          <w:color w:val="003366"/>
        </w:rPr>
      </w:r>
    </w:p>
    <w:p>
      <w:pPr>
        <w:spacing w:before="0" w:after="80"/>
        <w:jc w:val="left"/>
      </w:pPr>
      <w:r>
        <w:t xml:space="preserve">An SLA violation occurs when the observed interference exceeds a user-defined latency threshold </w:t>
      </w:r>
      <w:r>
        <w:rPr>
          <w:rFonts w:ascii="Cambria Math" w:hAnsi="Cambria Math"/>
          <w:i/>
          <w:color w:val="003366"/>
        </w:rPr>
        <w:t>\tau_{\text{SLA}}</w:t>
      </w:r>
      <w:r>
        <w:t xml:space="preserve"> (e.g., </w:t>
      </w:r>
      <w:r>
        <w:rPr>
          <w:rFonts w:ascii="Cambria Math" w:hAnsi="Cambria Math"/>
          <w:i/>
          <w:color w:val="003366"/>
        </w:rPr>
        <w:t>QIR &gt; 15\%</w:t>
      </w:r>
      <w:r>
        <w:t>):</w:t>
      </w:r>
    </w:p>
    <w:p>
      <w:pPr>
        <w:spacing w:before="0" w:after="80"/>
        <w:jc w:val="left"/>
      </w:pPr>
      <w:r>
        <w:rPr>
          <w:rFonts w:ascii="Cambria Math" w:hAnsi="Cambria Math"/>
          <w:i/>
          <w:color w:val="003366"/>
        </w:rPr>
      </w:r>
      <w:r>
        <w:t>y_{\text{SLA}, i} = \mathbb{I}(QIR_i &gt; \tau_{\text{SLA}})</w:t>
      </w:r>
      <w:r>
        <w:rPr>
          <w:rFonts w:ascii="Cambria Math" w:hAnsi="Cambria Math"/>
          <w:i/>
          <w:color w:val="003366"/>
        </w:rPr>
      </w:r>
    </w:p>
    <w:p>
      <w:pPr>
        <w:spacing w:before="200" w:after="80"/>
        <w:jc w:val="left"/>
      </w:pPr>
      <w:r>
        <w:rPr>
          <w:rFonts w:ascii="Calibri" w:hAnsi="Calibri"/>
          <w:b/>
          <w:color w:val="366092"/>
          <w:sz w:val="25"/>
        </w:rPr>
        <w:t>3.2 Decision Space &amp; Scheduling Agent Interface</w:t>
      </w:r>
    </w:p>
    <w:p>
      <w:pPr>
        <w:spacing w:before="0" w:after="80"/>
        <w:jc w:val="left"/>
      </w:pPr>
      <w:r>
        <w:t xml:space="preserve">At each evaluation timestep </w:t>
      </w:r>
      <w:r>
        <w:rPr>
          <w:rFonts w:ascii="Cambria Math" w:hAnsi="Cambria Math"/>
          <w:i/>
          <w:color w:val="003366"/>
        </w:rPr>
        <w:t>t</w:t>
      </w:r>
      <w:r>
        <w:t xml:space="preserve">, the maintenance agent inspects system telemetry and outputs an action </w:t>
      </w:r>
      <w:r>
        <w:rPr>
          <w:rFonts w:ascii="Cambria Math" w:hAnsi="Cambria Math"/>
          <w:i/>
          <w:color w:val="003366"/>
        </w:rPr>
        <w:t>a_t \in \{\text{NOW}, \text{DEFER}, \text{FORCED\_OVERRIDE}\}</w:t>
      </w:r>
      <w:r>
        <w:t>:</w:t>
      </w:r>
    </w:p>
    <w:p>
      <w:pPr>
        <w:pStyle w:val="ListBullet"/>
        <w:spacing w:before="0" w:after="60"/>
        <w:jc w:val="left"/>
      </w:pPr>
      <w:r>
        <w:rPr>
          <w:b/>
        </w:rPr>
        <w:t>NOW:</w:t>
      </w:r>
      <w:r>
        <w:t xml:space="preserve"> Execute maintenance immediately (predicted interference </w:t>
      </w:r>
      <w:r>
        <w:rPr>
          <w:rFonts w:ascii="Cambria Math" w:hAnsi="Cambria Math"/>
          <w:i/>
          <w:color w:val="003366"/>
        </w:rPr>
        <w:t>QIR \le \tau_{\text{SLA}}</w:t>
      </w:r>
      <w:r>
        <w:t>).</w:t>
      </w:r>
    </w:p>
    <w:p>
      <w:pPr>
        <w:pStyle w:val="ListBullet"/>
        <w:spacing w:before="0" w:after="60"/>
        <w:jc w:val="left"/>
      </w:pPr>
      <w:r>
        <w:rPr>
          <w:b/>
        </w:rPr>
        <w:t>DEFER:</w:t>
      </w:r>
      <w:r>
        <w:t xml:space="preserve"> Postpone maintenance to a future decision window (predicted interference </w:t>
      </w:r>
      <w:r>
        <w:rPr>
          <w:rFonts w:ascii="Cambria Math" w:hAnsi="Cambria Math"/>
          <w:i/>
          <w:color w:val="003366"/>
        </w:rPr>
        <w:t>QIR &gt; \tau_{\text{SLA}}</w:t>
      </w:r>
      <w:r>
        <w:t>).</w:t>
      </w:r>
    </w:p>
    <w:p>
      <w:pPr>
        <w:pStyle w:val="ListBullet"/>
        <w:spacing w:before="0" w:after="60"/>
        <w:jc w:val="left"/>
      </w:pPr>
      <w:r>
        <w:rPr>
          <w:b/>
        </w:rPr>
        <w:t>FORCED_OVERRIDE:</w:t>
      </w:r>
      <w:r>
        <w:t xml:space="preserve"> Force immediate execution regardless of predicted interference because the accumulated maintenance deferral streak has reached the starvation limit (</w:t>
      </w:r>
      <w:r>
        <w:rPr>
          <w:rFonts w:ascii="Cambria Math" w:hAnsi="Cambria Math"/>
          <w:i/>
          <w:color w:val="003366"/>
        </w:rPr>
        <w:t>K_{\text{defer}} \ge K_{\text{max}}=3</w:t>
      </w:r>
      <w:r>
        <w:t>).</w:t>
      </w:r>
    </w:p>
    <w:p>
      <w:pPr>
        <w:spacing w:before="200" w:after="80"/>
        <w:jc w:val="left"/>
      </w:pPr>
      <w:r>
        <w:rPr>
          <w:rFonts w:ascii="Calibri" w:hAnsi="Calibri"/>
          <w:b/>
          <w:color w:val="366092"/>
          <w:sz w:val="25"/>
        </w:rPr>
        <w:t>3.3 Leakage-Isolated Feature Matrix Architecture</w:t>
      </w:r>
    </w:p>
    <w:p>
      <w:pPr>
        <w:spacing w:before="0" w:after="80"/>
        <w:jc w:val="left"/>
      </w:pPr>
      <w:r>
        <w:t xml:space="preserve">A critical vulnerability in machine learning systems applied to database scheduling is </w:t>
      </w:r>
      <w:r>
        <w:rPr>
          <w:b/>
        </w:rPr>
        <w:t>information leakage</w:t>
      </w:r>
      <w:r>
        <w:t xml:space="preserve">. Features recorded </w:t>
      </w:r>
      <w:r>
        <w:rPr>
          <w:i/>
        </w:rPr>
        <w:t>during</w:t>
      </w:r>
      <w:r>
        <w:t xml:space="preserve"> or </w:t>
      </w:r>
      <w:r>
        <w:rPr>
          <w:i/>
        </w:rPr>
        <w:t>after</w:t>
      </w:r>
      <w:r>
        <w:t xml:space="preserve"> maintenance execution (e.g., compaction GC time, total compaction I/O bytes) are unavailable at decision time </w:t>
      </w:r>
      <w:r>
        <w:rPr>
          <w:rFonts w:ascii="Cambria Math" w:hAnsi="Cambria Math"/>
          <w:i/>
          <w:color w:val="003366"/>
        </w:rPr>
        <w:t>t</w:t>
      </w:r>
      <w:r>
        <w:t xml:space="preserve">. </w:t>
      </w:r>
    </w:p>
    <w:p>
      <w:pPr>
        <w:spacing w:before="0" w:after="80"/>
        <w:jc w:val="left"/>
      </w:pPr>
      <w:r>
        <w:t>To enforce strict causal realism, we partition all system signals into two disjoint sets:</w:t>
      </w:r>
    </w:p>
    <w:p>
      <w:pPr>
        <w:spacing w:before="0" w:after="80"/>
        <w:jc w:val="left"/>
      </w:pPr>
      <w:r>
        <w:rPr>
          <w:rFonts w:ascii="Cambria Math" w:hAnsi="Cambria Math"/>
          <w:i/>
          <w:color w:val="003366"/>
        </w:rPr>
      </w:r>
      <w:r>
        <w:t>X_{\text{total}} = X_{\text{pred}} \cup X_{\text{eval}}, \quad X_{\text{pred}} \cap X_{\text{eval}} = \emptyset</w:t>
      </w:r>
      <w:r>
        <w:rPr>
          <w:rFonts w:ascii="Cambria Math" w:hAnsi="Cambria Math"/>
          <w:i/>
          <w:color w:val="003366"/>
        </w:rPr>
      </w:r>
    </w:p>
    <w:tbl>
      <w:tblPr>
        <w:tblW w:type="auto" w:w="0"/>
        <w:jc w:val="center"/>
        <w:tblLook w:firstColumn="1" w:firstRow="1" w:lastColumn="0" w:lastRow="0" w:noHBand="0" w:noVBand="1" w:val="04A0"/>
      </w:tblPr>
      <w:tblGrid>
        <w:gridCol w:w="9360"/>
      </w:tblGrid>
      <w:tr>
        <w:tc>
          <w:tcPr>
            <w:tcW w:type="dxa" w:w="9360"/>
            <w:shd w:fill="F4F4F4"/>
            <w:tcMar>
              <w:top w:w="120" w:type="dxa"/>
              <w:bottom w:w="120" w:type="dxa"/>
              <w:left w:w="180" w:type="dxa"/>
              <w:right w:w="180" w:type="dxa"/>
            </w:tcMar>
          </w:tcPr>
          <w:p>
            <w:pPr>
              <w:spacing w:after="0" w:line="240" w:lineRule="auto"/>
            </w:pPr>
            <w:r>
              <w:rPr>
                <w:rFonts w:ascii="Consolas" w:hAnsi="Consolas"/>
                <w:color w:val="111111"/>
                <w:sz w:val="18"/>
              </w:rPr>
              <w:t>+-------------------------------------------------------------------------------+</w:t>
              <w:br/>
              <w:t>|                       FEATURE ISOLATION ARCHITECTURE                          |</w:t>
              <w:br/>
              <w:t>+-------------------------------------------------------------------------------+</w:t>
              <w:br/>
              <w:t>|  PRE-DECISION FEATURE MATRIX (X_pred)  ───►  ALLOWED IN SCHEDULER MODEL       |</w:t>
              <w:br/>
              <w:t>|  ------------------------------------                                         |</w:t>
              <w:br/>
              <w:t>|  - Table Metadata: frag_files, table_size_mb, avg_file_size_kb                |</w:t>
              <w:br/>
              <w:t>|  - Host Telemetry (1Hz): pre_cpu_util_pct, pre_mem_used_pct                   |</w:t>
              <w:br/>
              <w:t>|  - System I/O: pre_disk_read_bytes_sec, pre_disk_write_iops                   |</w:t>
              <w:br/>
              <w:t>|  - Rolling Temporal Windows: cpu_util_mean_60s, disk_read_bytes_std_60s       |</w:t>
              <w:br/>
              <w:t>|  - Workload Context: baseline_duration_ms, workload_type, scheduler_mode      |</w:t>
              <w:br/>
              <w:t>+-------------------------------------------------------------------------------+</w:t>
              <w:br/>
              <w:t>|  POST-EXECUTION TELEMETRY (X_eval)    ───►  STRICTLY FORBIDDEN IN INFERENCE   |</w:t>
              <w:br/>
              <w:t>|  ------------------------------------                                         |</w:t>
              <w:br/>
              <w:t>|  - Compaction Duration: compaction_execution_time_ms                          |</w:t>
              <w:br/>
              <w:t>|  - Spark Task Metrics: jvm_gc_time_ms, executor_deserialize_time_ms           |</w:t>
              <w:br/>
              <w:t>|  - Post-Run I/O: total_compaction_spill_bytes, task_disk_bytes_read           |</w:t>
              <w:br/>
              <w:t>+-------------------------------------------------------------------------------+</w:t>
            </w:r>
          </w:p>
        </w:tc>
      </w:tr>
    </w:tbl>
    <w:p>
      <w:pPr>
        <w:spacing w:after="120"/>
      </w:pPr>
    </w:p>
    <w:p>
      <w:pPr>
        <w:spacing w:before="0" w:after="80"/>
        <w:jc w:val="left"/>
      </w:pPr>
      <w:r>
        <w:t xml:space="preserve">The model </w:t>
      </w:r>
      <w:r>
        <w:rPr>
          <w:rFonts w:ascii="Cambria Math" w:hAnsi="Cambria Math"/>
          <w:i/>
          <w:color w:val="003366"/>
        </w:rPr>
        <w:t>f_{\theta}</w:t>
      </w:r>
      <w:r>
        <w:t xml:space="preserve"> is restricted to mapping pre-decision signals to predicted interference:</w:t>
      </w:r>
    </w:p>
    <w:p>
      <w:pPr>
        <w:spacing w:before="0" w:after="80"/>
        <w:jc w:val="left"/>
      </w:pPr>
      <w:r>
        <w:rPr>
          <w:rFonts w:ascii="Cambria Math" w:hAnsi="Cambria Math"/>
          <w:i/>
          <w:color w:val="003366"/>
        </w:rPr>
      </w:r>
      <w:r>
        <w:t>\widehat{QIR}_t = f_{\theta}(X_{\text{pred}, t})</w:t>
      </w:r>
      <w:r>
        <w:rPr>
          <w:rFonts w:ascii="Cambria Math" w:hAnsi="Cambria Math"/>
          <w:i/>
          <w:color w:val="003366"/>
        </w:rPr>
      </w:r>
    </w:p>
    <w:p>
      <w:pPr>
        <w:spacing w:before="280" w:after="120"/>
        <w:jc w:val="left"/>
      </w:pPr>
      <w:r>
        <w:rPr>
          <w:rFonts w:ascii="Calibri" w:hAnsi="Calibri"/>
          <w:b/>
          <w:color w:val="1F497D"/>
          <w:sz w:val="30"/>
        </w:rPr>
        <w:t>4. Phase 3A: Empirical Measurement of Workload Interference</w:t>
      </w:r>
    </w:p>
    <w:p>
      <w:pPr>
        <w:spacing w:before="200" w:after="80"/>
        <w:jc w:val="left"/>
      </w:pPr>
      <w:r>
        <w:rPr>
          <w:rFonts w:ascii="Calibri" w:hAnsi="Calibri"/>
          <w:b/>
          <w:color w:val="366092"/>
          <w:sz w:val="25"/>
        </w:rPr>
        <w:t>4.1 Experimental Setup and Baseline Hardening</w:t>
      </w:r>
    </w:p>
    <w:p>
      <w:pPr>
        <w:spacing w:before="0" w:after="80"/>
        <w:jc w:val="left"/>
      </w:pPr>
      <w:r>
        <w:t>Experiments were executed on a dedicated testbed running Ubuntu Linux, Java 11 OpenJDK, Apache Spark 3.3.4 (standalone), and Apache Iceberg 1.4.3 over local Hadoop file storage. The benchmark data layer comprised a TPC-H SF1 dataset (</w:t>
      </w:r>
      <w:r>
        <w:rPr>
          <w:rFonts w:ascii="Cambria Math" w:hAnsi="Cambria Math"/>
          <w:i/>
          <w:color w:val="003366"/>
        </w:rPr>
        <w:t>6,001,215</w:t>
      </w:r>
      <w:r>
        <w:t xml:space="preserve"> records in </w:t>
      </w:r>
      <w:r>
        <w:rPr>
          <w:rFonts w:ascii="Consolas" w:hAnsi="Consolas"/>
          <w:color w:val="8B0000"/>
          <w:sz w:val="19"/>
        </w:rPr>
        <w:t>lineitem</w:t>
      </w:r>
      <w:r>
        <w:t xml:space="preserve">). </w:t>
      </w:r>
    </w:p>
    <w:p>
      <w:pPr>
        <w:spacing w:before="0" w:after="80"/>
        <w:jc w:val="left"/>
      </w:pPr>
      <w:r>
        <w:t>Before running concurrent experiments, the platform underwent statistical noise-floor hardening. Across 20 baseline repetitions in isolation, the workload execution duration achieved a Coefficient of Variation (</w:t>
      </w:r>
      <w:r>
        <w:rPr>
          <w:rFonts w:ascii="Cambria Math" w:hAnsi="Cambria Math"/>
          <w:i/>
          <w:color w:val="003366"/>
        </w:rPr>
        <w:t>CV = \sigma / \mu</w:t>
      </w:r>
      <w:r>
        <w:t xml:space="preserve">) of </w:t>
      </w:r>
      <w:r>
        <w:rPr>
          <w:b/>
        </w:rPr>
        <w:t>$3.25\%$</w:t>
      </w:r>
      <w:r>
        <w:t>, confirming a stable, highly repeatable experimental noise floor.</w:t>
      </w:r>
    </w:p>
    <w:p>
      <w:pPr>
        <w:spacing w:before="200" w:after="80"/>
        <w:jc w:val="left"/>
      </w:pPr>
      <w:r>
        <w:rPr>
          <w:rFonts w:ascii="Calibri" w:hAnsi="Calibri"/>
          <w:b/>
          <w:color w:val="366092"/>
          <w:sz w:val="25"/>
        </w:rPr>
        <w:t>4.2 Temporal Overlap Verification</w:t>
      </w:r>
    </w:p>
    <w:p>
      <w:pPr>
        <w:spacing w:before="0" w:after="80"/>
        <w:jc w:val="left"/>
      </w:pPr>
      <w:r>
        <w:t>To prevent false concurrency measurements, every paired trial was validated via temporal overlap logging:</w:t>
      </w:r>
    </w:p>
    <w:p>
      <w:pPr>
        <w:spacing w:before="0" w:after="80"/>
        <w:jc w:val="left"/>
      </w:pPr>
      <w:r>
        <w:rPr>
          <w:rFonts w:ascii="Cambria Math" w:hAnsi="Cambria Math"/>
          <w:i/>
          <w:color w:val="003366"/>
        </w:rPr>
      </w:r>
      <w:r>
        <w:t>\text{OverlapRatio}_i = \frac{\text{Duration}(Query_i \cap Compaction)}{\text{Duration}(Query_i)}</w:t>
      </w:r>
      <w:r>
        <w:rPr>
          <w:rFonts w:ascii="Cambria Math" w:hAnsi="Cambria Math"/>
          <w:i/>
          <w:color w:val="003366"/>
        </w:rPr>
      </w:r>
    </w:p>
    <w:p>
      <w:pPr>
        <w:spacing w:before="0" w:after="80"/>
        <w:jc w:val="left"/>
      </w:pPr>
      <w:r>
        <w:t xml:space="preserve">A concurrent query execution was accepted into the experimental dataset if and only if </w:t>
      </w:r>
      <w:r>
        <w:rPr>
          <w:rFonts w:ascii="Cambria Math" w:hAnsi="Cambria Math"/>
          <w:i/>
          <w:color w:val="003366"/>
        </w:rPr>
        <w:t>\text{OverlapRatio}_i \ge 0.95</w:t>
      </w:r>
      <w:r>
        <w:t xml:space="preserve">. Across all Phase 3A trials, </w:t>
      </w:r>
      <w:r>
        <w:rPr>
          <w:b/>
        </w:rPr>
        <w:t>$100\%$ of FIFO and FAIR concurrent query runs achieved full temporal overlap ($\ge 0.95$)</w:t>
      </w:r>
      <w:r>
        <w:t>.</w:t>
      </w:r>
    </w:p>
    <w:p>
      <w:pPr>
        <w:spacing w:before="200" w:after="80"/>
        <w:jc w:val="left"/>
      </w:pPr>
      <w:r>
        <w:rPr>
          <w:rFonts w:ascii="Calibri" w:hAnsi="Calibri"/>
          <w:b/>
          <w:color w:val="366092"/>
          <w:sz w:val="25"/>
        </w:rPr>
        <w:t>4.3 Phase 3A Statistical Results</w:t>
      </w:r>
    </w:p>
    <w:p>
      <w:pPr>
        <w:spacing w:before="0" w:after="80"/>
        <w:jc w:val="left"/>
      </w:pPr>
      <w:r>
        <w:t xml:space="preserve">Phase 3A evaluated </w:t>
      </w:r>
      <w:r>
        <w:rPr>
          <w:rFonts w:ascii="Cambria Math" w:hAnsi="Cambria Math"/>
          <w:i/>
          <w:color w:val="003366"/>
        </w:rPr>
        <w:t>528</w:t>
      </w:r>
      <w:r>
        <w:t xml:space="preserve"> total query executions and </w:t>
      </w:r>
      <w:r>
        <w:rPr>
          <w:rFonts w:ascii="Cambria Math" w:hAnsi="Cambria Math"/>
          <w:i/>
          <w:color w:val="003366"/>
        </w:rPr>
        <w:t>44</w:t>
      </w:r>
      <w:r>
        <w:t xml:space="preserve"> physical compaction runs across 20 measured repetitions per scheduler mode (FIFO vs. FAIR). </w:t>
      </w:r>
    </w:p>
    <w:p>
      <w:pPr>
        <w:spacing w:before="0" w:after="80"/>
        <w:jc w:val="left"/>
      </w:pPr>
      <w:r>
        <w:t>Table 2 presents the workload-level statistical metrics.</w:t>
      </w:r>
    </w:p>
    <w:tbl>
      <w:tblPr>
        <w:tblW w:type="auto" w:w="0"/>
        <w:jc w:val="center"/>
        <w:tblLook w:firstColumn="1" w:firstRow="1" w:lastColumn="0" w:lastRow="0" w:noHBand="0" w:noVBand="1" w:val="04A0"/>
        <w:tblBorders>
          <w:top w:val="single" w:sz="6" w:space="0" w:color="B0C4DE"/>
          <w:bottom w:val="single" w:sz="6" w:space="0" w:color="B0C4DE"/>
          <w:left w:val="none"/>
          <w:right w:val="none"/>
          <w:insideH w:val="single" w:sz="6" w:space="0" w:color="B0C4DE"/>
          <w:insideV w:val="none"/>
        </w:tblBorders>
      </w:tblPr>
      <w:tblGrid>
        <w:gridCol w:w="1170"/>
        <w:gridCol w:w="1170"/>
        <w:gridCol w:w="1170"/>
        <w:gridCol w:w="1170"/>
        <w:gridCol w:w="1170"/>
        <w:gridCol w:w="1170"/>
        <w:gridCol w:w="1170"/>
        <w:gridCol w:w="1170"/>
      </w:tblGrid>
      <w:tr>
        <w:tc>
          <w:tcPr>
            <w:tcW w:type="dxa" w:w="1170"/>
            <w:shd w:fill="1F497D"/>
            <w:tcMar>
              <w:top w:w="120" w:type="dxa"/>
              <w:bottom w:w="120" w:type="dxa"/>
              <w:left w:w="150" w:type="dxa"/>
              <w:right w:w="150" w:type="dxa"/>
            </w:tcMar>
          </w:tcPr>
          <w:p>
            <w:pPr>
              <w:jc w:val="left"/>
            </w:pPr>
            <w:r>
              <w:rPr>
                <w:b/>
                <w:color w:val="FFFFFF"/>
                <w:sz w:val="20"/>
              </w:rPr>
              <w:t>Scheduler Mode</w:t>
            </w:r>
          </w:p>
        </w:tc>
        <w:tc>
          <w:tcPr>
            <w:tcW w:type="dxa" w:w="1170"/>
            <w:shd w:fill="1F497D"/>
            <w:tcMar>
              <w:top w:w="120" w:type="dxa"/>
              <w:bottom w:w="120" w:type="dxa"/>
              <w:left w:w="150" w:type="dxa"/>
              <w:right w:w="150" w:type="dxa"/>
            </w:tcMar>
          </w:tcPr>
          <w:p>
            <w:pPr>
              <w:jc w:val="left"/>
            </w:pPr>
            <w:r>
              <w:rPr>
                <w:b/>
                <w:color w:val="FFFFFF"/>
                <w:sz w:val="20"/>
              </w:rPr>
              <w:t>Baseline Mean Latency (ms)</w:t>
            </w:r>
          </w:p>
        </w:tc>
        <w:tc>
          <w:tcPr>
            <w:tcW w:type="dxa" w:w="1170"/>
            <w:shd w:fill="1F497D"/>
            <w:tcMar>
              <w:top w:w="120" w:type="dxa"/>
              <w:bottom w:w="120" w:type="dxa"/>
              <w:left w:w="150" w:type="dxa"/>
              <w:right w:w="150" w:type="dxa"/>
            </w:tcMar>
          </w:tcPr>
          <w:p>
            <w:pPr>
              <w:jc w:val="left"/>
            </w:pPr>
            <w:r>
              <w:rPr>
                <w:b/>
                <w:color w:val="FFFFFF"/>
                <w:sz w:val="20"/>
              </w:rPr>
              <w:t>Concurrent Mean Latency (ms)</w:t>
            </w:r>
          </w:p>
        </w:tc>
        <w:tc>
          <w:tcPr>
            <w:tcW w:type="dxa" w:w="1170"/>
            <w:shd w:fill="1F497D"/>
            <w:tcMar>
              <w:top w:w="120" w:type="dxa"/>
              <w:bottom w:w="120" w:type="dxa"/>
              <w:left w:w="150" w:type="dxa"/>
              <w:right w:w="150" w:type="dxa"/>
            </w:tcMar>
          </w:tcPr>
          <w:p>
            <w:pPr>
              <w:jc w:val="left"/>
            </w:pPr>
            <w:r>
              <w:rPr>
                <w:b/>
                <w:color w:val="FFFFFF"/>
                <w:sz w:val="20"/>
              </w:rPr>
              <w:t>Mean Workload QIR (%)</w:t>
            </w:r>
          </w:p>
        </w:tc>
        <w:tc>
          <w:tcPr>
            <w:tcW w:type="dxa" w:w="1170"/>
            <w:shd w:fill="1F497D"/>
            <w:tcMar>
              <w:top w:w="120" w:type="dxa"/>
              <w:bottom w:w="120" w:type="dxa"/>
              <w:left w:w="150" w:type="dxa"/>
              <w:right w:w="150" w:type="dxa"/>
            </w:tcMar>
          </w:tcPr>
          <w:p>
            <w:pPr>
              <w:jc w:val="left"/>
            </w:pPr>
            <w:r>
              <w:rPr>
                <w:b/>
                <w:color w:val="FFFFFF"/>
                <w:sz w:val="20"/>
              </w:rPr>
              <w:t>95% Confidence Interval</w:t>
            </w:r>
          </w:p>
        </w:tc>
        <w:tc>
          <w:tcPr>
            <w:tcW w:type="dxa" w:w="1170"/>
            <w:shd w:fill="1F497D"/>
            <w:tcMar>
              <w:top w:w="120" w:type="dxa"/>
              <w:bottom w:w="120" w:type="dxa"/>
              <w:left w:w="150" w:type="dxa"/>
              <w:right w:w="150" w:type="dxa"/>
            </w:tcMar>
          </w:tcPr>
          <w:p>
            <w:pPr>
              <w:jc w:val="left"/>
            </w:pPr>
            <w:r>
              <w:rPr>
                <w:b/>
                <w:color w:val="FFFFFF"/>
                <w:sz w:val="20"/>
              </w:rPr>
              <w:t>Wilcoxon Test $p$-value</w:t>
            </w:r>
          </w:p>
        </w:tc>
        <w:tc>
          <w:tcPr>
            <w:tcW w:type="dxa" w:w="1170"/>
            <w:shd w:fill="1F497D"/>
            <w:tcMar>
              <w:top w:w="120" w:type="dxa"/>
              <w:bottom w:w="120" w:type="dxa"/>
              <w:left w:w="150" w:type="dxa"/>
              <w:right w:w="150" w:type="dxa"/>
            </w:tcMar>
          </w:tcPr>
          <w:p>
            <w:pPr>
              <w:jc w:val="left"/>
            </w:pPr>
            <w:r>
              <w:rPr>
                <w:b/>
                <w:color w:val="FFFFFF"/>
                <w:sz w:val="20"/>
              </w:rPr>
              <w:t>Cohen's $d_z$ Effect Size</w:t>
            </w:r>
          </w:p>
        </w:tc>
        <w:tc>
          <w:tcPr>
            <w:tcW w:type="dxa" w:w="1170"/>
            <w:shd w:fill="1F497D"/>
            <w:tcMar>
              <w:top w:w="120" w:type="dxa"/>
              <w:bottom w:w="120" w:type="dxa"/>
              <w:left w:w="150" w:type="dxa"/>
              <w:right w:w="150" w:type="dxa"/>
            </w:tcMar>
          </w:tcPr>
          <w:p>
            <w:pPr>
              <w:jc w:val="left"/>
            </w:pPr>
            <w:r>
              <w:rPr>
                <w:b/>
                <w:color w:val="FFFFFF"/>
                <w:sz w:val="20"/>
              </w:rPr>
              <w:t>Rank-Biserial Correlation</w:t>
            </w:r>
          </w:p>
        </w:tc>
      </w:tr>
      <w:tr>
        <w:tc>
          <w:tcPr>
            <w:tcW w:type="dxa" w:w="1170"/>
            <w:shd w:fill="FFFFFF"/>
            <w:tcMar>
              <w:top w:w="100" w:type="dxa"/>
              <w:bottom w:w="100" w:type="dxa"/>
              <w:left w:w="150" w:type="dxa"/>
              <w:right w:w="150" w:type="dxa"/>
            </w:tcMar>
          </w:tcPr>
          <w:p>
            <w:pPr>
              <w:jc w:val="left"/>
            </w:pPr>
            <w:r>
              <w:rPr>
                <w:b/>
                <w:sz w:val="19"/>
              </w:rPr>
              <w:t>**FIFO**</w:t>
            </w:r>
          </w:p>
        </w:tc>
        <w:tc>
          <w:tcPr>
            <w:tcW w:type="dxa" w:w="1170"/>
            <w:shd w:fill="FFFFFF"/>
            <w:tcMar>
              <w:top w:w="100" w:type="dxa"/>
              <w:bottom w:w="100" w:type="dxa"/>
              <w:left w:w="150" w:type="dxa"/>
              <w:right w:w="150" w:type="dxa"/>
            </w:tcMar>
          </w:tcPr>
          <w:p>
            <w:pPr>
              <w:jc w:val="left"/>
            </w:pPr>
            <w:r>
              <w:rPr>
                <w:sz w:val="19"/>
              </w:rPr>
              <w:t>17,416</w:t>
            </w:r>
          </w:p>
        </w:tc>
        <w:tc>
          <w:tcPr>
            <w:tcW w:type="dxa" w:w="1170"/>
            <w:shd w:fill="FFFFFF"/>
            <w:tcMar>
              <w:top w:w="100" w:type="dxa"/>
              <w:bottom w:w="100" w:type="dxa"/>
              <w:left w:w="150" w:type="dxa"/>
              <w:right w:w="150" w:type="dxa"/>
            </w:tcMar>
          </w:tcPr>
          <w:p>
            <w:pPr>
              <w:jc w:val="left"/>
            </w:pPr>
            <w:r>
              <w:rPr>
                <w:sz w:val="19"/>
              </w:rPr>
              <w:t>19,120</w:t>
            </w:r>
          </w:p>
        </w:tc>
        <w:tc>
          <w:tcPr>
            <w:tcW w:type="dxa" w:w="1170"/>
            <w:shd w:fill="FFFFFF"/>
            <w:tcMar>
              <w:top w:w="100" w:type="dxa"/>
              <w:bottom w:w="100" w:type="dxa"/>
              <w:left w:w="150" w:type="dxa"/>
              <w:right w:w="150" w:type="dxa"/>
            </w:tcMar>
          </w:tcPr>
          <w:p>
            <w:pPr>
              <w:jc w:val="left"/>
            </w:pPr>
            <w:r>
              <w:rPr>
                <w:b/>
                <w:sz w:val="19"/>
              </w:rPr>
              <w:t>**+10.38%**</w:t>
            </w:r>
          </w:p>
        </w:tc>
        <w:tc>
          <w:tcPr>
            <w:tcW w:type="dxa" w:w="1170"/>
            <w:shd w:fill="FFFFFF"/>
            <w:tcMar>
              <w:top w:w="100" w:type="dxa"/>
              <w:bottom w:w="100" w:type="dxa"/>
              <w:left w:w="150" w:type="dxa"/>
              <w:right w:w="150" w:type="dxa"/>
            </w:tcMar>
          </w:tcPr>
          <w:p>
            <w:pPr>
              <w:jc w:val="left"/>
            </w:pPr>
            <w:r>
              <w:rPr>
                <w:sz w:val="19"/>
              </w:rPr>
              <w:t>[+6.94%, +13.82%]</w:t>
            </w:r>
          </w:p>
        </w:tc>
        <w:tc>
          <w:tcPr>
            <w:tcW w:type="dxa" w:w="1170"/>
            <w:shd w:fill="FFFFFF"/>
            <w:tcMar>
              <w:top w:w="100" w:type="dxa"/>
              <w:bottom w:w="100" w:type="dxa"/>
              <w:left w:w="150" w:type="dxa"/>
              <w:right w:w="150" w:type="dxa"/>
            </w:tcMar>
          </w:tcPr>
          <w:p>
            <w:pPr>
              <w:jc w:val="left"/>
            </w:pPr>
            <w:r>
              <w:rPr>
                <w:sz w:val="19"/>
              </w:rPr>
              <w:t>$p = 0.00161$</w:t>
            </w:r>
          </w:p>
        </w:tc>
        <w:tc>
          <w:tcPr>
            <w:tcW w:type="dxa" w:w="1170"/>
            <w:shd w:fill="FFFFFF"/>
            <w:tcMar>
              <w:top w:w="100" w:type="dxa"/>
              <w:bottom w:w="100" w:type="dxa"/>
              <w:left w:w="150" w:type="dxa"/>
              <w:right w:w="150" w:type="dxa"/>
            </w:tcMar>
          </w:tcPr>
          <w:p>
            <w:pPr>
              <w:jc w:val="left"/>
            </w:pPr>
            <w:r>
              <w:rPr>
                <w:sz w:val="19"/>
              </w:rPr>
              <w:t>$d_z = 1.1651$</w:t>
            </w:r>
          </w:p>
        </w:tc>
        <w:tc>
          <w:tcPr>
            <w:tcW w:type="dxa" w:w="1170"/>
            <w:shd w:fill="FFFFFF"/>
            <w:tcMar>
              <w:top w:w="100" w:type="dxa"/>
              <w:bottom w:w="100" w:type="dxa"/>
              <w:left w:w="150" w:type="dxa"/>
              <w:right w:w="150" w:type="dxa"/>
            </w:tcMar>
          </w:tcPr>
          <w:p>
            <w:pPr>
              <w:jc w:val="left"/>
            </w:pPr>
            <w:r>
              <w:rPr>
                <w:sz w:val="19"/>
              </w:rPr>
              <w:t>$0.8095$</w:t>
            </w:r>
          </w:p>
        </w:tc>
      </w:tr>
      <w:tr>
        <w:tc>
          <w:tcPr>
            <w:tcW w:type="dxa" w:w="1170"/>
            <w:shd w:fill="F2F5F9"/>
            <w:tcMar>
              <w:top w:w="100" w:type="dxa"/>
              <w:bottom w:w="100" w:type="dxa"/>
              <w:left w:w="150" w:type="dxa"/>
              <w:right w:w="150" w:type="dxa"/>
            </w:tcMar>
          </w:tcPr>
          <w:p>
            <w:pPr>
              <w:jc w:val="left"/>
            </w:pPr>
            <w:r>
              <w:rPr>
                <w:b/>
                <w:sz w:val="19"/>
              </w:rPr>
              <w:t>**FAIR**</w:t>
            </w:r>
          </w:p>
        </w:tc>
        <w:tc>
          <w:tcPr>
            <w:tcW w:type="dxa" w:w="1170"/>
            <w:shd w:fill="F2F5F9"/>
            <w:tcMar>
              <w:top w:w="100" w:type="dxa"/>
              <w:bottom w:w="100" w:type="dxa"/>
              <w:left w:w="150" w:type="dxa"/>
              <w:right w:w="150" w:type="dxa"/>
            </w:tcMar>
          </w:tcPr>
          <w:p>
            <w:pPr>
              <w:jc w:val="left"/>
            </w:pPr>
            <w:r>
              <w:rPr>
                <w:sz w:val="19"/>
              </w:rPr>
              <w:t>18,984</w:t>
            </w:r>
          </w:p>
        </w:tc>
        <w:tc>
          <w:tcPr>
            <w:tcW w:type="dxa" w:w="1170"/>
            <w:shd w:fill="F2F5F9"/>
            <w:tcMar>
              <w:top w:w="100" w:type="dxa"/>
              <w:bottom w:w="100" w:type="dxa"/>
              <w:left w:w="150" w:type="dxa"/>
              <w:right w:w="150" w:type="dxa"/>
            </w:tcMar>
          </w:tcPr>
          <w:p>
            <w:pPr>
              <w:jc w:val="left"/>
            </w:pPr>
            <w:r>
              <w:rPr>
                <w:sz w:val="19"/>
              </w:rPr>
              <w:t>21,394</w:t>
            </w:r>
          </w:p>
        </w:tc>
        <w:tc>
          <w:tcPr>
            <w:tcW w:type="dxa" w:w="1170"/>
            <w:shd w:fill="F2F5F9"/>
            <w:tcMar>
              <w:top w:w="100" w:type="dxa"/>
              <w:bottom w:w="100" w:type="dxa"/>
              <w:left w:w="150" w:type="dxa"/>
              <w:right w:w="150" w:type="dxa"/>
            </w:tcMar>
          </w:tcPr>
          <w:p>
            <w:pPr>
              <w:jc w:val="left"/>
            </w:pPr>
            <w:r>
              <w:rPr>
                <w:b/>
                <w:sz w:val="19"/>
              </w:rPr>
              <w:t>**+12.77%**</w:t>
            </w:r>
          </w:p>
        </w:tc>
        <w:tc>
          <w:tcPr>
            <w:tcW w:type="dxa" w:w="1170"/>
            <w:shd w:fill="F2F5F9"/>
            <w:tcMar>
              <w:top w:w="100" w:type="dxa"/>
              <w:bottom w:w="100" w:type="dxa"/>
              <w:left w:w="150" w:type="dxa"/>
              <w:right w:w="150" w:type="dxa"/>
            </w:tcMar>
          </w:tcPr>
          <w:p>
            <w:pPr>
              <w:jc w:val="left"/>
            </w:pPr>
            <w:r>
              <w:rPr>
                <w:sz w:val="19"/>
              </w:rPr>
              <w:t>[+10.54%, +14.99%]</w:t>
            </w:r>
          </w:p>
        </w:tc>
        <w:tc>
          <w:tcPr>
            <w:tcW w:type="dxa" w:w="1170"/>
            <w:shd w:fill="F2F5F9"/>
            <w:tcMar>
              <w:top w:w="100" w:type="dxa"/>
              <w:bottom w:w="100" w:type="dxa"/>
              <w:left w:w="150" w:type="dxa"/>
              <w:right w:w="150" w:type="dxa"/>
            </w:tcMar>
          </w:tcPr>
          <w:p>
            <w:pPr>
              <w:jc w:val="left"/>
            </w:pPr>
            <w:r>
              <w:rPr>
                <w:sz w:val="19"/>
              </w:rPr>
              <w:t>$p &lt; 0.00001$</w:t>
            </w:r>
          </w:p>
        </w:tc>
        <w:tc>
          <w:tcPr>
            <w:tcW w:type="dxa" w:w="1170"/>
            <w:shd w:fill="F2F5F9"/>
            <w:tcMar>
              <w:top w:w="100" w:type="dxa"/>
              <w:bottom w:w="100" w:type="dxa"/>
              <w:left w:w="150" w:type="dxa"/>
              <w:right w:w="150" w:type="dxa"/>
            </w:tcMar>
          </w:tcPr>
          <w:p>
            <w:pPr>
              <w:jc w:val="left"/>
            </w:pPr>
            <w:r>
              <w:rPr>
                <w:sz w:val="19"/>
              </w:rPr>
              <w:t>$d_z = 2.4966$</w:t>
            </w:r>
          </w:p>
        </w:tc>
        <w:tc>
          <w:tcPr>
            <w:tcW w:type="dxa" w:w="1170"/>
            <w:shd w:fill="F2F5F9"/>
            <w:tcMar>
              <w:top w:w="100" w:type="dxa"/>
              <w:bottom w:w="100" w:type="dxa"/>
              <w:left w:w="150" w:type="dxa"/>
              <w:right w:w="150" w:type="dxa"/>
            </w:tcMar>
          </w:tcPr>
          <w:p>
            <w:pPr>
              <w:jc w:val="left"/>
            </w:pPr>
            <w:r>
              <w:rPr>
                <w:sz w:val="19"/>
              </w:rPr>
              <w:t>$0.9810$</w:t>
            </w:r>
          </w:p>
        </w:tc>
      </w:tr>
    </w:tbl>
    <w:p>
      <w:pPr>
        <w:spacing w:after="120"/>
      </w:pPr>
    </w:p>
    <w:p>
      <w:pPr>
        <w:spacing w:before="160" w:after="80"/>
        <w:jc w:val="left"/>
      </w:pPr>
      <w:r>
        <w:rPr>
          <w:rFonts w:ascii="Calibri" w:hAnsi="Calibri"/>
          <w:b/>
          <w:color w:val="366092"/>
          <w:sz w:val="22"/>
        </w:rPr>
        <w:t>Query-Level Degradation Breakdown</w:t>
      </w:r>
    </w:p>
    <w:p>
      <w:pPr>
        <w:spacing w:before="0" w:after="80"/>
        <w:jc w:val="left"/>
      </w:pPr>
      <w:r>
        <w:t>Query-level latency impacts varied significantly based on query structural complexity, as shown in Table 3.</w:t>
      </w:r>
    </w:p>
    <w:tbl>
      <w:tblPr>
        <w:tblW w:type="auto" w:w="0"/>
        <w:jc w:val="center"/>
        <w:tblLook w:firstColumn="1" w:firstRow="1" w:lastColumn="0" w:lastRow="0" w:noHBand="0" w:noVBand="1" w:val="04A0"/>
        <w:tblBorders>
          <w:top w:val="single" w:sz="6" w:space="0" w:color="B0C4DE"/>
          <w:bottom w:val="single" w:sz="6" w:space="0" w:color="B0C4DE"/>
          <w:left w:val="none"/>
          <w:right w:val="none"/>
          <w:insideH w:val="single" w:sz="6" w:space="0" w:color="B0C4DE"/>
          <w:insideV w:val="none"/>
        </w:tblBorders>
      </w:tblPr>
      <w:tblGrid>
        <w:gridCol w:w="1337"/>
        <w:gridCol w:w="1337"/>
        <w:gridCol w:w="1337"/>
        <w:gridCol w:w="1337"/>
        <w:gridCol w:w="1337"/>
        <w:gridCol w:w="1337"/>
        <w:gridCol w:w="1337"/>
      </w:tblGrid>
      <w:tr>
        <w:tc>
          <w:tcPr>
            <w:tcW w:type="dxa" w:w="1337"/>
            <w:shd w:fill="1F497D"/>
            <w:tcMar>
              <w:top w:w="120" w:type="dxa"/>
              <w:bottom w:w="120" w:type="dxa"/>
              <w:left w:w="150" w:type="dxa"/>
              <w:right w:w="150" w:type="dxa"/>
            </w:tcMar>
          </w:tcPr>
          <w:p>
            <w:pPr>
              <w:jc w:val="left"/>
            </w:pPr>
            <w:r>
              <w:rPr>
                <w:b/>
                <w:color w:val="FFFFFF"/>
                <w:sz w:val="20"/>
              </w:rPr>
              <w:t>Query ID</w:t>
            </w:r>
          </w:p>
        </w:tc>
        <w:tc>
          <w:tcPr>
            <w:tcW w:type="dxa" w:w="1337"/>
            <w:shd w:fill="1F497D"/>
            <w:tcMar>
              <w:top w:w="120" w:type="dxa"/>
              <w:bottom w:w="120" w:type="dxa"/>
              <w:left w:w="150" w:type="dxa"/>
              <w:right w:w="150" w:type="dxa"/>
            </w:tcMar>
          </w:tcPr>
          <w:p>
            <w:pPr>
              <w:jc w:val="left"/>
            </w:pPr>
            <w:r>
              <w:rPr>
                <w:b/>
                <w:color w:val="FFFFFF"/>
                <w:sz w:val="20"/>
              </w:rPr>
              <w:t>Dominant Operations</w:t>
            </w:r>
          </w:p>
        </w:tc>
        <w:tc>
          <w:tcPr>
            <w:tcW w:type="dxa" w:w="1337"/>
            <w:shd w:fill="1F497D"/>
            <w:tcMar>
              <w:top w:w="120" w:type="dxa"/>
              <w:bottom w:w="120" w:type="dxa"/>
              <w:left w:w="150" w:type="dxa"/>
              <w:right w:w="150" w:type="dxa"/>
            </w:tcMar>
          </w:tcPr>
          <w:p>
            <w:pPr>
              <w:jc w:val="left"/>
            </w:pPr>
            <w:r>
              <w:rPr>
                <w:b/>
                <w:color w:val="FFFFFF"/>
                <w:sz w:val="20"/>
              </w:rPr>
              <w:t>Baseline Mean (ms)</w:t>
            </w:r>
          </w:p>
        </w:tc>
        <w:tc>
          <w:tcPr>
            <w:tcW w:type="dxa" w:w="1337"/>
            <w:shd w:fill="1F497D"/>
            <w:tcMar>
              <w:top w:w="120" w:type="dxa"/>
              <w:bottom w:w="120" w:type="dxa"/>
              <w:left w:w="150" w:type="dxa"/>
              <w:right w:w="150" w:type="dxa"/>
            </w:tcMar>
          </w:tcPr>
          <w:p>
            <w:pPr>
              <w:jc w:val="left"/>
            </w:pPr>
            <w:r>
              <w:rPr>
                <w:b/>
                <w:color w:val="FFFFFF"/>
                <w:sz w:val="20"/>
              </w:rPr>
              <w:t>Concurrent FIFO Mean (ms)</w:t>
            </w:r>
          </w:p>
        </w:tc>
        <w:tc>
          <w:tcPr>
            <w:tcW w:type="dxa" w:w="1337"/>
            <w:shd w:fill="1F497D"/>
            <w:tcMar>
              <w:top w:w="120" w:type="dxa"/>
              <w:bottom w:w="120" w:type="dxa"/>
              <w:left w:w="150" w:type="dxa"/>
              <w:right w:w="150" w:type="dxa"/>
            </w:tcMar>
          </w:tcPr>
          <w:p>
            <w:pPr>
              <w:jc w:val="left"/>
            </w:pPr>
            <w:r>
              <w:rPr>
                <w:b/>
                <w:color w:val="FFFFFF"/>
                <w:sz w:val="20"/>
              </w:rPr>
              <w:t>FIFO QIR (%)</w:t>
            </w:r>
          </w:p>
        </w:tc>
        <w:tc>
          <w:tcPr>
            <w:tcW w:type="dxa" w:w="1337"/>
            <w:shd w:fill="1F497D"/>
            <w:tcMar>
              <w:top w:w="120" w:type="dxa"/>
              <w:bottom w:w="120" w:type="dxa"/>
              <w:left w:w="150" w:type="dxa"/>
              <w:right w:w="150" w:type="dxa"/>
            </w:tcMar>
          </w:tcPr>
          <w:p>
            <w:pPr>
              <w:jc w:val="left"/>
            </w:pPr>
            <w:r>
              <w:rPr>
                <w:b/>
                <w:color w:val="FFFFFF"/>
                <w:sz w:val="20"/>
              </w:rPr>
              <w:t>Concurrent FAIR Mean (ms)</w:t>
            </w:r>
          </w:p>
        </w:tc>
        <w:tc>
          <w:tcPr>
            <w:tcW w:type="dxa" w:w="1337"/>
            <w:shd w:fill="1F497D"/>
            <w:tcMar>
              <w:top w:w="120" w:type="dxa"/>
              <w:bottom w:w="120" w:type="dxa"/>
              <w:left w:w="150" w:type="dxa"/>
              <w:right w:w="150" w:type="dxa"/>
            </w:tcMar>
          </w:tcPr>
          <w:p>
            <w:pPr>
              <w:jc w:val="left"/>
            </w:pPr>
            <w:r>
              <w:rPr>
                <w:b/>
                <w:color w:val="FFFFFF"/>
                <w:sz w:val="20"/>
              </w:rPr>
              <w:t>FAIR QIR (%)</w:t>
            </w:r>
          </w:p>
        </w:tc>
      </w:tr>
      <w:tr>
        <w:tc>
          <w:tcPr>
            <w:tcW w:type="dxa" w:w="1337"/>
            <w:shd w:fill="FFFFFF"/>
            <w:tcMar>
              <w:top w:w="100" w:type="dxa"/>
              <w:bottom w:w="100" w:type="dxa"/>
              <w:left w:w="150" w:type="dxa"/>
              <w:right w:w="150" w:type="dxa"/>
            </w:tcMar>
          </w:tcPr>
          <w:p>
            <w:pPr>
              <w:jc w:val="left"/>
            </w:pPr>
            <w:r>
              <w:rPr>
                <w:b/>
                <w:sz w:val="19"/>
              </w:rPr>
              <w:t>**Q14**</w:t>
            </w:r>
          </w:p>
        </w:tc>
        <w:tc>
          <w:tcPr>
            <w:tcW w:type="dxa" w:w="1337"/>
            <w:shd w:fill="FFFFFF"/>
            <w:tcMar>
              <w:top w:w="100" w:type="dxa"/>
              <w:bottom w:w="100" w:type="dxa"/>
              <w:left w:w="150" w:type="dxa"/>
              <w:right w:w="150" w:type="dxa"/>
            </w:tcMar>
          </w:tcPr>
          <w:p>
            <w:pPr>
              <w:jc w:val="left"/>
            </w:pPr>
            <w:r>
              <w:rPr>
                <w:sz w:val="19"/>
              </w:rPr>
              <w:t>Heavy Promotion Effect &amp; Join</w:t>
            </w:r>
          </w:p>
        </w:tc>
        <w:tc>
          <w:tcPr>
            <w:tcW w:type="dxa" w:w="1337"/>
            <w:shd w:fill="FFFFFF"/>
            <w:tcMar>
              <w:top w:w="100" w:type="dxa"/>
              <w:bottom w:w="100" w:type="dxa"/>
              <w:left w:w="150" w:type="dxa"/>
              <w:right w:w="150" w:type="dxa"/>
            </w:tcMar>
          </w:tcPr>
          <w:p>
            <w:pPr>
              <w:jc w:val="left"/>
            </w:pPr>
            <w:r>
              <w:rPr>
                <w:sz w:val="19"/>
              </w:rPr>
              <w:t>1,858</w:t>
            </w:r>
          </w:p>
        </w:tc>
        <w:tc>
          <w:tcPr>
            <w:tcW w:type="dxa" w:w="1337"/>
            <w:shd w:fill="FFFFFF"/>
            <w:tcMar>
              <w:top w:w="100" w:type="dxa"/>
              <w:bottom w:w="100" w:type="dxa"/>
              <w:left w:w="150" w:type="dxa"/>
              <w:right w:w="150" w:type="dxa"/>
            </w:tcMar>
          </w:tcPr>
          <w:p>
            <w:pPr>
              <w:jc w:val="left"/>
            </w:pPr>
            <w:r>
              <w:rPr>
                <w:sz w:val="19"/>
              </w:rPr>
              <w:t>2,239</w:t>
            </w:r>
          </w:p>
        </w:tc>
        <w:tc>
          <w:tcPr>
            <w:tcW w:type="dxa" w:w="1337"/>
            <w:shd w:fill="FFFFFF"/>
            <w:tcMar>
              <w:top w:w="100" w:type="dxa"/>
              <w:bottom w:w="100" w:type="dxa"/>
              <w:left w:w="150" w:type="dxa"/>
              <w:right w:w="150" w:type="dxa"/>
            </w:tcMar>
          </w:tcPr>
          <w:p>
            <w:pPr>
              <w:jc w:val="left"/>
            </w:pPr>
            <w:r>
              <w:rPr>
                <w:b/>
                <w:sz w:val="19"/>
              </w:rPr>
              <w:t>**+20.95%**</w:t>
            </w:r>
          </w:p>
        </w:tc>
        <w:tc>
          <w:tcPr>
            <w:tcW w:type="dxa" w:w="1337"/>
            <w:shd w:fill="FFFFFF"/>
            <w:tcMar>
              <w:top w:w="100" w:type="dxa"/>
              <w:bottom w:w="100" w:type="dxa"/>
              <w:left w:w="150" w:type="dxa"/>
              <w:right w:w="150" w:type="dxa"/>
            </w:tcMar>
          </w:tcPr>
          <w:p>
            <w:pPr>
              <w:jc w:val="left"/>
            </w:pPr>
            <w:r>
              <w:rPr>
                <w:sz w:val="19"/>
              </w:rPr>
              <w:t>2,255</w:t>
            </w:r>
          </w:p>
        </w:tc>
        <w:tc>
          <w:tcPr>
            <w:tcW w:type="dxa" w:w="1337"/>
            <w:shd w:fill="FFFFFF"/>
            <w:tcMar>
              <w:top w:w="100" w:type="dxa"/>
              <w:bottom w:w="100" w:type="dxa"/>
              <w:left w:w="150" w:type="dxa"/>
              <w:right w:w="150" w:type="dxa"/>
            </w:tcMar>
          </w:tcPr>
          <w:p>
            <w:pPr>
              <w:jc w:val="left"/>
            </w:pPr>
            <w:r>
              <w:rPr>
                <w:b/>
                <w:sz w:val="19"/>
              </w:rPr>
              <w:t>**+21.35%**</w:t>
            </w:r>
          </w:p>
        </w:tc>
      </w:tr>
      <w:tr>
        <w:tc>
          <w:tcPr>
            <w:tcW w:type="dxa" w:w="1337"/>
            <w:shd w:fill="F2F5F9"/>
            <w:tcMar>
              <w:top w:w="100" w:type="dxa"/>
              <w:bottom w:w="100" w:type="dxa"/>
              <w:left w:w="150" w:type="dxa"/>
              <w:right w:w="150" w:type="dxa"/>
            </w:tcMar>
          </w:tcPr>
          <w:p>
            <w:pPr>
              <w:jc w:val="left"/>
            </w:pPr>
            <w:r>
              <w:rPr>
                <w:b/>
                <w:sz w:val="19"/>
              </w:rPr>
              <w:t>**Q6**</w:t>
            </w:r>
          </w:p>
        </w:tc>
        <w:tc>
          <w:tcPr>
            <w:tcW w:type="dxa" w:w="1337"/>
            <w:shd w:fill="F2F5F9"/>
            <w:tcMar>
              <w:top w:w="100" w:type="dxa"/>
              <w:bottom w:w="100" w:type="dxa"/>
              <w:left w:w="150" w:type="dxa"/>
              <w:right w:w="150" w:type="dxa"/>
            </w:tcMar>
          </w:tcPr>
          <w:p>
            <w:pPr>
              <w:jc w:val="left"/>
            </w:pPr>
            <w:r>
              <w:rPr>
                <w:sz w:val="19"/>
              </w:rPr>
              <w:t>Forecasting Scan &amp; Aggregation</w:t>
            </w:r>
          </w:p>
        </w:tc>
        <w:tc>
          <w:tcPr>
            <w:tcW w:type="dxa" w:w="1337"/>
            <w:shd w:fill="F2F5F9"/>
            <w:tcMar>
              <w:top w:w="100" w:type="dxa"/>
              <w:bottom w:w="100" w:type="dxa"/>
              <w:left w:w="150" w:type="dxa"/>
              <w:right w:w="150" w:type="dxa"/>
            </w:tcMar>
          </w:tcPr>
          <w:p>
            <w:pPr>
              <w:jc w:val="left"/>
            </w:pPr>
            <w:r>
              <w:rPr>
                <w:sz w:val="19"/>
              </w:rPr>
              <w:t>1,727</w:t>
            </w:r>
          </w:p>
        </w:tc>
        <w:tc>
          <w:tcPr>
            <w:tcW w:type="dxa" w:w="1337"/>
            <w:shd w:fill="F2F5F9"/>
            <w:tcMar>
              <w:top w:w="100" w:type="dxa"/>
              <w:bottom w:w="100" w:type="dxa"/>
              <w:left w:w="150" w:type="dxa"/>
              <w:right w:w="150" w:type="dxa"/>
            </w:tcMar>
          </w:tcPr>
          <w:p>
            <w:pPr>
              <w:jc w:val="left"/>
            </w:pPr>
            <w:r>
              <w:rPr>
                <w:sz w:val="19"/>
              </w:rPr>
              <w:t>2,041</w:t>
            </w:r>
          </w:p>
        </w:tc>
        <w:tc>
          <w:tcPr>
            <w:tcW w:type="dxa" w:w="1337"/>
            <w:shd w:fill="F2F5F9"/>
            <w:tcMar>
              <w:top w:w="100" w:type="dxa"/>
              <w:bottom w:w="100" w:type="dxa"/>
              <w:left w:w="150" w:type="dxa"/>
              <w:right w:w="150" w:type="dxa"/>
            </w:tcMar>
          </w:tcPr>
          <w:p>
            <w:pPr>
              <w:jc w:val="left"/>
            </w:pPr>
            <w:r>
              <w:rPr>
                <w:b/>
                <w:sz w:val="19"/>
              </w:rPr>
              <w:t>**+19.11%**</w:t>
            </w:r>
          </w:p>
        </w:tc>
        <w:tc>
          <w:tcPr>
            <w:tcW w:type="dxa" w:w="1337"/>
            <w:shd w:fill="F2F5F9"/>
            <w:tcMar>
              <w:top w:w="100" w:type="dxa"/>
              <w:bottom w:w="100" w:type="dxa"/>
              <w:left w:w="150" w:type="dxa"/>
              <w:right w:w="150" w:type="dxa"/>
            </w:tcMar>
          </w:tcPr>
          <w:p>
            <w:pPr>
              <w:jc w:val="left"/>
            </w:pPr>
            <w:r>
              <w:rPr>
                <w:sz w:val="19"/>
              </w:rPr>
              <w:t>2,037</w:t>
            </w:r>
          </w:p>
        </w:tc>
        <w:tc>
          <w:tcPr>
            <w:tcW w:type="dxa" w:w="1337"/>
            <w:shd w:fill="F2F5F9"/>
            <w:tcMar>
              <w:top w:w="100" w:type="dxa"/>
              <w:bottom w:w="100" w:type="dxa"/>
              <w:left w:w="150" w:type="dxa"/>
              <w:right w:w="150" w:type="dxa"/>
            </w:tcMar>
          </w:tcPr>
          <w:p>
            <w:pPr>
              <w:jc w:val="left"/>
            </w:pPr>
            <w:r>
              <w:rPr>
                <w:b/>
                <w:sz w:val="19"/>
              </w:rPr>
              <w:t>**+17.95%**</w:t>
            </w:r>
          </w:p>
        </w:tc>
      </w:tr>
      <w:tr>
        <w:tc>
          <w:tcPr>
            <w:tcW w:type="dxa" w:w="1337"/>
            <w:shd w:fill="FFFFFF"/>
            <w:tcMar>
              <w:top w:w="100" w:type="dxa"/>
              <w:bottom w:w="100" w:type="dxa"/>
              <w:left w:w="150" w:type="dxa"/>
              <w:right w:w="150" w:type="dxa"/>
            </w:tcMar>
          </w:tcPr>
          <w:p>
            <w:pPr>
              <w:jc w:val="left"/>
            </w:pPr>
            <w:r>
              <w:rPr>
                <w:b/>
                <w:sz w:val="19"/>
              </w:rPr>
              <w:t>**Q18**</w:t>
            </w:r>
          </w:p>
        </w:tc>
        <w:tc>
          <w:tcPr>
            <w:tcW w:type="dxa" w:w="1337"/>
            <w:shd w:fill="FFFFFF"/>
            <w:tcMar>
              <w:top w:w="100" w:type="dxa"/>
              <w:bottom w:w="100" w:type="dxa"/>
              <w:left w:w="150" w:type="dxa"/>
              <w:right w:w="150" w:type="dxa"/>
            </w:tcMar>
          </w:tcPr>
          <w:p>
            <w:pPr>
              <w:jc w:val="left"/>
            </w:pPr>
            <w:r>
              <w:rPr>
                <w:sz w:val="19"/>
              </w:rPr>
              <w:t>Large Volume Join &amp; GroupBy</w:t>
            </w:r>
          </w:p>
        </w:tc>
        <w:tc>
          <w:tcPr>
            <w:tcW w:type="dxa" w:w="1337"/>
            <w:shd w:fill="FFFFFF"/>
            <w:tcMar>
              <w:top w:w="100" w:type="dxa"/>
              <w:bottom w:w="100" w:type="dxa"/>
              <w:left w:w="150" w:type="dxa"/>
              <w:right w:w="150" w:type="dxa"/>
            </w:tcMar>
          </w:tcPr>
          <w:p>
            <w:pPr>
              <w:jc w:val="left"/>
            </w:pPr>
            <w:r>
              <w:rPr>
                <w:sz w:val="19"/>
              </w:rPr>
              <w:t>4,681</w:t>
            </w:r>
          </w:p>
        </w:tc>
        <w:tc>
          <w:tcPr>
            <w:tcW w:type="dxa" w:w="1337"/>
            <w:shd w:fill="FFFFFF"/>
            <w:tcMar>
              <w:top w:w="100" w:type="dxa"/>
              <w:bottom w:w="100" w:type="dxa"/>
              <w:left w:w="150" w:type="dxa"/>
              <w:right w:w="150" w:type="dxa"/>
            </w:tcMar>
          </w:tcPr>
          <w:p>
            <w:pPr>
              <w:jc w:val="left"/>
            </w:pPr>
            <w:r>
              <w:rPr>
                <w:sz w:val="19"/>
              </w:rPr>
              <w:t>5,132</w:t>
            </w:r>
          </w:p>
        </w:tc>
        <w:tc>
          <w:tcPr>
            <w:tcW w:type="dxa" w:w="1337"/>
            <w:shd w:fill="FFFFFF"/>
            <w:tcMar>
              <w:top w:w="100" w:type="dxa"/>
              <w:bottom w:w="100" w:type="dxa"/>
              <w:left w:w="150" w:type="dxa"/>
              <w:right w:w="150" w:type="dxa"/>
            </w:tcMar>
          </w:tcPr>
          <w:p>
            <w:pPr>
              <w:jc w:val="left"/>
            </w:pPr>
            <w:r>
              <w:rPr>
                <w:b/>
                <w:sz w:val="19"/>
              </w:rPr>
              <w:t>**+10.03%**</w:t>
            </w:r>
          </w:p>
        </w:tc>
        <w:tc>
          <w:tcPr>
            <w:tcW w:type="dxa" w:w="1337"/>
            <w:shd w:fill="FFFFFF"/>
            <w:tcMar>
              <w:top w:w="100" w:type="dxa"/>
              <w:bottom w:w="100" w:type="dxa"/>
              <w:left w:w="150" w:type="dxa"/>
              <w:right w:w="150" w:type="dxa"/>
            </w:tcMar>
          </w:tcPr>
          <w:p>
            <w:pPr>
              <w:jc w:val="left"/>
            </w:pPr>
            <w:r>
              <w:rPr>
                <w:sz w:val="19"/>
              </w:rPr>
              <w:t>5,325</w:t>
            </w:r>
          </w:p>
        </w:tc>
        <w:tc>
          <w:tcPr>
            <w:tcW w:type="dxa" w:w="1337"/>
            <w:shd w:fill="FFFFFF"/>
            <w:tcMar>
              <w:top w:w="100" w:type="dxa"/>
              <w:bottom w:w="100" w:type="dxa"/>
              <w:left w:w="150" w:type="dxa"/>
              <w:right w:w="150" w:type="dxa"/>
            </w:tcMar>
          </w:tcPr>
          <w:p>
            <w:pPr>
              <w:jc w:val="left"/>
            </w:pPr>
            <w:r>
              <w:rPr>
                <w:b/>
                <w:sz w:val="19"/>
              </w:rPr>
              <w:t>**+13.76%**</w:t>
            </w:r>
          </w:p>
        </w:tc>
      </w:tr>
      <w:tr>
        <w:tc>
          <w:tcPr>
            <w:tcW w:type="dxa" w:w="1337"/>
            <w:shd w:fill="F2F5F9"/>
            <w:tcMar>
              <w:top w:w="100" w:type="dxa"/>
              <w:bottom w:w="100" w:type="dxa"/>
              <w:left w:w="150" w:type="dxa"/>
              <w:right w:w="150" w:type="dxa"/>
            </w:tcMar>
          </w:tcPr>
          <w:p>
            <w:pPr>
              <w:jc w:val="left"/>
            </w:pPr>
            <w:r>
              <w:rPr>
                <w:b/>
                <w:sz w:val="19"/>
              </w:rPr>
              <w:t>**Q3**</w:t>
            </w:r>
          </w:p>
        </w:tc>
        <w:tc>
          <w:tcPr>
            <w:tcW w:type="dxa" w:w="1337"/>
            <w:shd w:fill="F2F5F9"/>
            <w:tcMar>
              <w:top w:w="100" w:type="dxa"/>
              <w:bottom w:w="100" w:type="dxa"/>
              <w:left w:w="150" w:type="dxa"/>
              <w:right w:w="150" w:type="dxa"/>
            </w:tcMar>
          </w:tcPr>
          <w:p>
            <w:pPr>
              <w:jc w:val="left"/>
            </w:pPr>
            <w:r>
              <w:rPr>
                <w:sz w:val="19"/>
              </w:rPr>
              <w:t>Shipping Priority Join</w:t>
            </w:r>
          </w:p>
        </w:tc>
        <w:tc>
          <w:tcPr>
            <w:tcW w:type="dxa" w:w="1337"/>
            <w:shd w:fill="F2F5F9"/>
            <w:tcMar>
              <w:top w:w="100" w:type="dxa"/>
              <w:bottom w:w="100" w:type="dxa"/>
              <w:left w:w="150" w:type="dxa"/>
              <w:right w:w="150" w:type="dxa"/>
            </w:tcMar>
          </w:tcPr>
          <w:p>
            <w:pPr>
              <w:jc w:val="left"/>
            </w:pPr>
            <w:r>
              <w:rPr>
                <w:sz w:val="19"/>
              </w:rPr>
              <w:t>2,279</w:t>
            </w:r>
          </w:p>
        </w:tc>
        <w:tc>
          <w:tcPr>
            <w:tcW w:type="dxa" w:w="1337"/>
            <w:shd w:fill="F2F5F9"/>
            <w:tcMar>
              <w:top w:w="100" w:type="dxa"/>
              <w:bottom w:w="100" w:type="dxa"/>
              <w:left w:w="150" w:type="dxa"/>
              <w:right w:w="150" w:type="dxa"/>
            </w:tcMar>
          </w:tcPr>
          <w:p>
            <w:pPr>
              <w:jc w:val="left"/>
            </w:pPr>
            <w:r>
              <w:rPr>
                <w:sz w:val="19"/>
              </w:rPr>
              <w:t>2,444</w:t>
            </w:r>
          </w:p>
        </w:tc>
        <w:tc>
          <w:tcPr>
            <w:tcW w:type="dxa" w:w="1337"/>
            <w:shd w:fill="F2F5F9"/>
            <w:tcMar>
              <w:top w:w="100" w:type="dxa"/>
              <w:bottom w:w="100" w:type="dxa"/>
              <w:left w:w="150" w:type="dxa"/>
              <w:right w:w="150" w:type="dxa"/>
            </w:tcMar>
          </w:tcPr>
          <w:p>
            <w:pPr>
              <w:jc w:val="left"/>
            </w:pPr>
            <w:r>
              <w:rPr>
                <w:b/>
                <w:sz w:val="19"/>
              </w:rPr>
              <w:t>**+10.16%**</w:t>
            </w:r>
          </w:p>
        </w:tc>
        <w:tc>
          <w:tcPr>
            <w:tcW w:type="dxa" w:w="1337"/>
            <w:shd w:fill="F2F5F9"/>
            <w:tcMar>
              <w:top w:w="100" w:type="dxa"/>
              <w:bottom w:w="100" w:type="dxa"/>
              <w:left w:w="150" w:type="dxa"/>
              <w:right w:w="150" w:type="dxa"/>
            </w:tcMar>
          </w:tcPr>
          <w:p>
            <w:pPr>
              <w:jc w:val="left"/>
            </w:pPr>
            <w:r>
              <w:rPr>
                <w:sz w:val="19"/>
              </w:rPr>
              <w:t>2,514</w:t>
            </w:r>
          </w:p>
        </w:tc>
        <w:tc>
          <w:tcPr>
            <w:tcW w:type="dxa" w:w="1337"/>
            <w:shd w:fill="F2F5F9"/>
            <w:tcMar>
              <w:top w:w="100" w:type="dxa"/>
              <w:bottom w:w="100" w:type="dxa"/>
              <w:left w:w="150" w:type="dxa"/>
              <w:right w:w="150" w:type="dxa"/>
            </w:tcMar>
          </w:tcPr>
          <w:p>
            <w:pPr>
              <w:jc w:val="left"/>
            </w:pPr>
            <w:r>
              <w:rPr>
                <w:b/>
                <w:sz w:val="19"/>
              </w:rPr>
              <w:t>**+10.31%**</w:t>
            </w:r>
          </w:p>
        </w:tc>
      </w:tr>
      <w:tr>
        <w:tc>
          <w:tcPr>
            <w:tcW w:type="dxa" w:w="1337"/>
            <w:shd w:fill="FFFFFF"/>
            <w:tcMar>
              <w:top w:w="100" w:type="dxa"/>
              <w:bottom w:w="100" w:type="dxa"/>
              <w:left w:w="150" w:type="dxa"/>
              <w:right w:w="150" w:type="dxa"/>
            </w:tcMar>
          </w:tcPr>
          <w:p>
            <w:pPr>
              <w:jc w:val="left"/>
            </w:pPr>
            <w:r>
              <w:rPr>
                <w:b/>
                <w:sz w:val="19"/>
              </w:rPr>
              <w:t>**Q1**</w:t>
            </w:r>
          </w:p>
        </w:tc>
        <w:tc>
          <w:tcPr>
            <w:tcW w:type="dxa" w:w="1337"/>
            <w:shd w:fill="FFFFFF"/>
            <w:tcMar>
              <w:top w:w="100" w:type="dxa"/>
              <w:bottom w:w="100" w:type="dxa"/>
              <w:left w:w="150" w:type="dxa"/>
              <w:right w:w="150" w:type="dxa"/>
            </w:tcMar>
          </w:tcPr>
          <w:p>
            <w:pPr>
              <w:jc w:val="left"/>
            </w:pPr>
            <w:r>
              <w:rPr>
                <w:sz w:val="19"/>
              </w:rPr>
              <w:t>Pricing Summary Aggregation</w:t>
            </w:r>
          </w:p>
        </w:tc>
        <w:tc>
          <w:tcPr>
            <w:tcW w:type="dxa" w:w="1337"/>
            <w:shd w:fill="FFFFFF"/>
            <w:tcMar>
              <w:top w:w="100" w:type="dxa"/>
              <w:bottom w:w="100" w:type="dxa"/>
              <w:left w:w="150" w:type="dxa"/>
              <w:right w:w="150" w:type="dxa"/>
            </w:tcMar>
          </w:tcPr>
          <w:p>
            <w:pPr>
              <w:jc w:val="left"/>
            </w:pPr>
            <w:r>
              <w:rPr>
                <w:sz w:val="19"/>
              </w:rPr>
              <w:t>4,564</w:t>
            </w:r>
          </w:p>
        </w:tc>
        <w:tc>
          <w:tcPr>
            <w:tcW w:type="dxa" w:w="1337"/>
            <w:shd w:fill="FFFFFF"/>
            <w:tcMar>
              <w:top w:w="100" w:type="dxa"/>
              <w:bottom w:w="100" w:type="dxa"/>
              <w:left w:w="150" w:type="dxa"/>
              <w:right w:w="150" w:type="dxa"/>
            </w:tcMar>
          </w:tcPr>
          <w:p>
            <w:pPr>
              <w:jc w:val="left"/>
            </w:pPr>
            <w:r>
              <w:rPr>
                <w:sz w:val="19"/>
              </w:rPr>
              <w:t>4,947</w:t>
            </w:r>
          </w:p>
        </w:tc>
        <w:tc>
          <w:tcPr>
            <w:tcW w:type="dxa" w:w="1337"/>
            <w:shd w:fill="FFFFFF"/>
            <w:tcMar>
              <w:top w:w="100" w:type="dxa"/>
              <w:bottom w:w="100" w:type="dxa"/>
              <w:left w:w="150" w:type="dxa"/>
              <w:right w:w="150" w:type="dxa"/>
            </w:tcMar>
          </w:tcPr>
          <w:p>
            <w:pPr>
              <w:jc w:val="left"/>
            </w:pPr>
            <w:r>
              <w:rPr>
                <w:b/>
                <w:sz w:val="19"/>
              </w:rPr>
              <w:t>**+8.90%**</w:t>
            </w:r>
          </w:p>
        </w:tc>
        <w:tc>
          <w:tcPr>
            <w:tcW w:type="dxa" w:w="1337"/>
            <w:shd w:fill="FFFFFF"/>
            <w:tcMar>
              <w:top w:w="100" w:type="dxa"/>
              <w:bottom w:w="100" w:type="dxa"/>
              <w:left w:w="150" w:type="dxa"/>
              <w:right w:w="150" w:type="dxa"/>
            </w:tcMar>
          </w:tcPr>
          <w:p>
            <w:pPr>
              <w:jc w:val="left"/>
            </w:pPr>
            <w:r>
              <w:rPr>
                <w:sz w:val="19"/>
              </w:rPr>
              <w:t>5,059</w:t>
            </w:r>
          </w:p>
        </w:tc>
        <w:tc>
          <w:tcPr>
            <w:tcW w:type="dxa" w:w="1337"/>
            <w:shd w:fill="FFFFFF"/>
            <w:tcMar>
              <w:top w:w="100" w:type="dxa"/>
              <w:bottom w:w="100" w:type="dxa"/>
              <w:left w:w="150" w:type="dxa"/>
              <w:right w:w="150" w:type="dxa"/>
            </w:tcMar>
          </w:tcPr>
          <w:p>
            <w:pPr>
              <w:jc w:val="left"/>
            </w:pPr>
            <w:r>
              <w:rPr>
                <w:b/>
                <w:sz w:val="19"/>
              </w:rPr>
              <w:t>**+10.86%**</w:t>
            </w:r>
          </w:p>
        </w:tc>
      </w:tr>
      <w:tr>
        <w:tc>
          <w:tcPr>
            <w:tcW w:type="dxa" w:w="1337"/>
            <w:shd w:fill="F2F5F9"/>
            <w:tcMar>
              <w:top w:w="100" w:type="dxa"/>
              <w:bottom w:w="100" w:type="dxa"/>
              <w:left w:w="150" w:type="dxa"/>
              <w:right w:w="150" w:type="dxa"/>
            </w:tcMar>
          </w:tcPr>
          <w:p>
            <w:pPr>
              <w:jc w:val="left"/>
            </w:pPr>
            <w:r>
              <w:rPr>
                <w:b/>
                <w:sz w:val="19"/>
              </w:rPr>
              <w:t>**Q12**</w:t>
            </w:r>
          </w:p>
        </w:tc>
        <w:tc>
          <w:tcPr>
            <w:tcW w:type="dxa" w:w="1337"/>
            <w:shd w:fill="F2F5F9"/>
            <w:tcMar>
              <w:top w:w="100" w:type="dxa"/>
              <w:bottom w:w="100" w:type="dxa"/>
              <w:left w:w="150" w:type="dxa"/>
              <w:right w:w="150" w:type="dxa"/>
            </w:tcMar>
          </w:tcPr>
          <w:p>
            <w:pPr>
              <w:jc w:val="left"/>
            </w:pPr>
            <w:r>
              <w:rPr>
                <w:sz w:val="19"/>
              </w:rPr>
              <w:t>Shipping Mode Priority Join</w:t>
            </w:r>
          </w:p>
        </w:tc>
        <w:tc>
          <w:tcPr>
            <w:tcW w:type="dxa" w:w="1337"/>
            <w:shd w:fill="F2F5F9"/>
            <w:tcMar>
              <w:top w:w="100" w:type="dxa"/>
              <w:bottom w:w="100" w:type="dxa"/>
              <w:left w:w="150" w:type="dxa"/>
              <w:right w:w="150" w:type="dxa"/>
            </w:tcMar>
          </w:tcPr>
          <w:p>
            <w:pPr>
              <w:jc w:val="left"/>
            </w:pPr>
            <w:r>
              <w:rPr>
                <w:sz w:val="19"/>
              </w:rPr>
              <w:t>2,307</w:t>
            </w:r>
          </w:p>
        </w:tc>
        <w:tc>
          <w:tcPr>
            <w:tcW w:type="dxa" w:w="1337"/>
            <w:shd w:fill="F2F5F9"/>
            <w:tcMar>
              <w:top w:w="100" w:type="dxa"/>
              <w:bottom w:w="100" w:type="dxa"/>
              <w:left w:w="150" w:type="dxa"/>
              <w:right w:w="150" w:type="dxa"/>
            </w:tcMar>
          </w:tcPr>
          <w:p>
            <w:pPr>
              <w:jc w:val="left"/>
            </w:pPr>
            <w:r>
              <w:rPr>
                <w:sz w:val="19"/>
              </w:rPr>
              <w:t>2,317</w:t>
            </w:r>
          </w:p>
        </w:tc>
        <w:tc>
          <w:tcPr>
            <w:tcW w:type="dxa" w:w="1337"/>
            <w:shd w:fill="F2F5F9"/>
            <w:tcMar>
              <w:top w:w="100" w:type="dxa"/>
              <w:bottom w:w="100" w:type="dxa"/>
              <w:left w:w="150" w:type="dxa"/>
              <w:right w:w="150" w:type="dxa"/>
            </w:tcMar>
          </w:tcPr>
          <w:p>
            <w:pPr>
              <w:jc w:val="left"/>
            </w:pPr>
            <w:r>
              <w:rPr>
                <w:b/>
                <w:sz w:val="19"/>
              </w:rPr>
              <w:t>**+0.78%**</w:t>
            </w:r>
          </w:p>
        </w:tc>
        <w:tc>
          <w:tcPr>
            <w:tcW w:type="dxa" w:w="1337"/>
            <w:shd w:fill="F2F5F9"/>
            <w:tcMar>
              <w:top w:w="100" w:type="dxa"/>
              <w:bottom w:w="100" w:type="dxa"/>
              <w:left w:w="150" w:type="dxa"/>
              <w:right w:w="150" w:type="dxa"/>
            </w:tcMar>
          </w:tcPr>
          <w:p>
            <w:pPr>
              <w:jc w:val="left"/>
            </w:pPr>
            <w:r>
              <w:rPr>
                <w:sz w:val="19"/>
              </w:rPr>
              <w:t>2,521</w:t>
            </w:r>
          </w:p>
        </w:tc>
        <w:tc>
          <w:tcPr>
            <w:tcW w:type="dxa" w:w="1337"/>
            <w:shd w:fill="F2F5F9"/>
            <w:tcMar>
              <w:top w:w="100" w:type="dxa"/>
              <w:bottom w:w="100" w:type="dxa"/>
              <w:left w:w="150" w:type="dxa"/>
              <w:right w:w="150" w:type="dxa"/>
            </w:tcMar>
          </w:tcPr>
          <w:p>
            <w:pPr>
              <w:jc w:val="left"/>
            </w:pPr>
            <w:r>
              <w:rPr>
                <w:b/>
                <w:sz w:val="19"/>
              </w:rPr>
              <w:t>**+9.26%**</w:t>
            </w:r>
          </w:p>
        </w:tc>
      </w:tr>
    </w:tbl>
    <w:p>
      <w:pPr>
        <w:spacing w:after="120"/>
      </w:pPr>
    </w:p>
    <w:p>
      <w:pPr>
        <w:spacing w:before="160" w:after="80"/>
        <w:jc w:val="left"/>
      </w:pPr>
      <w:r>
        <w:rPr>
          <w:rFonts w:ascii="Calibri" w:hAnsi="Calibri"/>
          <w:b/>
          <w:color w:val="366092"/>
          <w:sz w:val="22"/>
        </w:rPr>
        <w:t>FIFO vs. FAIR Comparison</w:t>
      </w:r>
    </w:p>
    <w:p>
      <w:pPr>
        <w:spacing w:before="0" w:after="80"/>
        <w:jc w:val="left"/>
      </w:pPr>
      <w:r>
        <w:t xml:space="preserve">A direct paired </w:t>
      </w:r>
      <w:r>
        <w:rPr>
          <w:rFonts w:ascii="Cambria Math" w:hAnsi="Cambria Math"/>
          <w:i/>
          <w:color w:val="003366"/>
        </w:rPr>
        <w:t>t</w:t>
      </w:r>
      <w:r>
        <w:t>-test between FIFO QIR (</w:t>
      </w:r>
      <w:r>
        <w:rPr>
          <w:rFonts w:ascii="Cambria Math" w:hAnsi="Cambria Math"/>
          <w:i/>
          <w:color w:val="003366"/>
        </w:rPr>
        <w:t>+10.38\%</w:t>
      </w:r>
      <w:r>
        <w:t>) and FAIR QIR (</w:t>
      </w:r>
      <w:r>
        <w:rPr>
          <w:rFonts w:ascii="Cambria Math" w:hAnsi="Cambria Math"/>
          <w:i/>
          <w:color w:val="003366"/>
        </w:rPr>
        <w:t>+12.77\%</w:t>
      </w:r>
      <w:r>
        <w:t xml:space="preserve">) yielded </w:t>
      </w:r>
      <w:r>
        <w:rPr>
          <w:rFonts w:ascii="Cambria Math" w:hAnsi="Cambria Math"/>
          <w:i/>
          <w:color w:val="003366"/>
        </w:rPr>
        <w:t>p = 0.16689</w:t>
      </w:r>
      <w:r>
        <w:t xml:space="preserve"> (</w:t>
      </w:r>
      <w:r>
        <w:rPr>
          <w:rFonts w:ascii="Cambria Math" w:hAnsi="Cambria Math"/>
          <w:i/>
          <w:color w:val="003366"/>
        </w:rPr>
        <w:t>d_z = -0.3214</w:t>
      </w:r>
      <w:r>
        <w:t xml:space="preserve">). We conclude that </w:t>
      </w:r>
      <w:r>
        <w:rPr>
          <w:b/>
        </w:rPr>
        <w:t>assigning maintenance to separate Spark FAIR task pools fails to provide statistically significant interference reduction</w:t>
      </w:r>
      <w:r>
        <w:t>. Hardware-level resource contention (disk bus saturation and JVM garbage collection) dominates task-slot pool boundaries.</w:t>
      </w:r>
    </w:p>
    <w:p>
      <w:pPr>
        <w:spacing w:before="280" w:after="120"/>
        <w:jc w:val="left"/>
      </w:pPr>
      <w:r>
        <w:rPr>
          <w:rFonts w:ascii="Calibri" w:hAnsi="Calibri"/>
          <w:b/>
          <w:color w:val="1F497D"/>
          <w:sz w:val="30"/>
        </w:rPr>
        <w:t>5. Phase 3B: Predictive Modeling and Negative Results</w:t>
      </w:r>
    </w:p>
    <w:p>
      <w:pPr>
        <w:spacing w:before="200" w:after="80"/>
        <w:jc w:val="left"/>
      </w:pPr>
      <w:r>
        <w:rPr>
          <w:rFonts w:ascii="Calibri" w:hAnsi="Calibri"/>
          <w:b/>
          <w:color w:val="366092"/>
          <w:sz w:val="25"/>
        </w:rPr>
        <w:t>5.1 Parameter Sweep &amp; Data Collection</w:t>
      </w:r>
    </w:p>
    <w:p>
      <w:pPr>
        <w:spacing w:before="0" w:after="80"/>
        <w:jc w:val="left"/>
      </w:pPr>
      <w:r>
        <w:t xml:space="preserve">Phase 3B executed a 12-configuration parameter sweep generating </w:t>
      </w:r>
      <w:r>
        <w:rPr>
          <w:b/>
        </w:rPr>
        <w:t>$168$ paired trial observations</w:t>
      </w:r>
      <w:r>
        <w:t xml:space="preserve"> and </w:t>
      </w:r>
      <w:r>
        <w:rPr>
          <w:b/>
        </w:rPr>
        <w:t>$3,670$ task-level telemetry records</w:t>
      </w:r>
      <w:r>
        <w:t>.</w:t>
      </w:r>
    </w:p>
    <w:p>
      <w:pPr>
        <w:spacing w:before="200" w:after="80"/>
        <w:jc w:val="left"/>
      </w:pPr>
      <w:r>
        <w:rPr>
          <w:rFonts w:ascii="Calibri" w:hAnsi="Calibri"/>
          <w:b/>
          <w:color w:val="366092"/>
          <w:sz w:val="25"/>
        </w:rPr>
        <w:t>5.2 Interference Regression Performance</w:t>
      </w:r>
    </w:p>
    <w:p>
      <w:pPr>
        <w:spacing w:before="0" w:after="80"/>
        <w:jc w:val="left"/>
      </w:pPr>
      <w:r>
        <w:t xml:space="preserve">Models were evaluated using Grouped </w:t>
      </w:r>
      <w:r>
        <w:rPr>
          <w:rFonts w:ascii="Cambria Math" w:hAnsi="Cambria Math"/>
          <w:i/>
          <w:color w:val="003366"/>
        </w:rPr>
        <w:t>K</w:t>
      </w:r>
      <w:r>
        <w:t>-Fold Cross Validation grouped by configuration ID to prevent intra-configuration leakage. Table 4 reports model performance on continuous QIR prediction.</w:t>
      </w:r>
    </w:p>
    <w:tbl>
      <w:tblPr>
        <w:tblW w:type="auto" w:w="0"/>
        <w:jc w:val="center"/>
        <w:tblLook w:firstColumn="1" w:firstRow="1" w:lastColumn="0" w:lastRow="0" w:noHBand="0" w:noVBand="1" w:val="04A0"/>
        <w:tblBorders>
          <w:top w:val="single" w:sz="6" w:space="0" w:color="B0C4DE"/>
          <w:bottom w:val="single" w:sz="6" w:space="0" w:color="B0C4DE"/>
          <w:left w:val="none"/>
          <w:right w:val="none"/>
          <w:insideH w:val="single" w:sz="6" w:space="0" w:color="B0C4DE"/>
          <w:insideV w:val="none"/>
        </w:tblBorders>
      </w:tblPr>
      <w:tblGrid>
        <w:gridCol w:w="2340"/>
        <w:gridCol w:w="2340"/>
        <w:gridCol w:w="2340"/>
        <w:gridCol w:w="2340"/>
      </w:tblGrid>
      <w:tr>
        <w:tc>
          <w:tcPr>
            <w:tcW w:type="dxa" w:w="2340"/>
            <w:shd w:fill="1F497D"/>
            <w:tcMar>
              <w:top w:w="120" w:type="dxa"/>
              <w:bottom w:w="120" w:type="dxa"/>
              <w:left w:w="150" w:type="dxa"/>
              <w:right w:w="150" w:type="dxa"/>
            </w:tcMar>
          </w:tcPr>
          <w:p>
            <w:pPr>
              <w:jc w:val="left"/>
            </w:pPr>
            <w:r>
              <w:rPr>
                <w:b/>
                <w:color w:val="FFFFFF"/>
                <w:sz w:val="20"/>
              </w:rPr>
              <w:t>Model Candidate</w:t>
            </w:r>
          </w:p>
        </w:tc>
        <w:tc>
          <w:tcPr>
            <w:tcW w:type="dxa" w:w="2340"/>
            <w:shd w:fill="1F497D"/>
            <w:tcMar>
              <w:top w:w="120" w:type="dxa"/>
              <w:bottom w:w="120" w:type="dxa"/>
              <w:left w:w="150" w:type="dxa"/>
              <w:right w:w="150" w:type="dxa"/>
            </w:tcMar>
          </w:tcPr>
          <w:p>
            <w:pPr>
              <w:jc w:val="left"/>
            </w:pPr>
            <w:r>
              <w:rPr>
                <w:b/>
                <w:color w:val="FFFFFF"/>
                <w:sz w:val="20"/>
              </w:rPr>
              <w:t>Mean Absolute Error (MAE %)</w:t>
            </w:r>
          </w:p>
        </w:tc>
        <w:tc>
          <w:tcPr>
            <w:tcW w:type="dxa" w:w="2340"/>
            <w:shd w:fill="1F497D"/>
            <w:tcMar>
              <w:top w:w="120" w:type="dxa"/>
              <w:bottom w:w="120" w:type="dxa"/>
              <w:left w:w="150" w:type="dxa"/>
              <w:right w:w="150" w:type="dxa"/>
            </w:tcMar>
          </w:tcPr>
          <w:p>
            <w:pPr>
              <w:jc w:val="left"/>
            </w:pPr>
            <w:r>
              <w:rPr>
                <w:b/>
                <w:color w:val="FFFFFF"/>
                <w:sz w:val="20"/>
              </w:rPr>
              <w:t>Root Mean Squared Error (RMSE %)</w:t>
            </w:r>
          </w:p>
        </w:tc>
        <w:tc>
          <w:tcPr>
            <w:tcW w:type="dxa" w:w="2340"/>
            <w:shd w:fill="1F497D"/>
            <w:tcMar>
              <w:top w:w="120" w:type="dxa"/>
              <w:bottom w:w="120" w:type="dxa"/>
              <w:left w:w="150" w:type="dxa"/>
              <w:right w:w="150" w:type="dxa"/>
            </w:tcMar>
          </w:tcPr>
          <w:p>
            <w:pPr>
              <w:jc w:val="left"/>
            </w:pPr>
            <w:r>
              <w:rPr>
                <w:b/>
                <w:color w:val="FFFFFF"/>
                <w:sz w:val="20"/>
              </w:rPr>
              <w:t>Model Characteristics</w:t>
            </w:r>
          </w:p>
        </w:tc>
      </w:tr>
      <w:tr>
        <w:tc>
          <w:tcPr>
            <w:tcW w:type="dxa" w:w="2340"/>
            <w:shd w:fill="FFFFFF"/>
            <w:tcMar>
              <w:top w:w="100" w:type="dxa"/>
              <w:bottom w:w="100" w:type="dxa"/>
              <w:left w:w="150" w:type="dxa"/>
              <w:right w:w="150" w:type="dxa"/>
            </w:tcMar>
          </w:tcPr>
          <w:p>
            <w:pPr>
              <w:jc w:val="left"/>
            </w:pPr>
            <w:r>
              <w:rPr>
                <w:b/>
                <w:sz w:val="19"/>
              </w:rPr>
              <w:t>**Ridge Regression**</w:t>
            </w:r>
          </w:p>
        </w:tc>
        <w:tc>
          <w:tcPr>
            <w:tcW w:type="dxa" w:w="2340"/>
            <w:shd w:fill="FFFFFF"/>
            <w:tcMar>
              <w:top w:w="100" w:type="dxa"/>
              <w:bottom w:w="100" w:type="dxa"/>
              <w:left w:w="150" w:type="dxa"/>
              <w:right w:w="150" w:type="dxa"/>
            </w:tcMar>
          </w:tcPr>
          <w:p>
            <w:pPr>
              <w:jc w:val="left"/>
            </w:pPr>
            <w:r>
              <w:rPr>
                <w:sz w:val="19"/>
              </w:rPr>
              <w:t>6.91%</w:t>
            </w:r>
          </w:p>
        </w:tc>
        <w:tc>
          <w:tcPr>
            <w:tcW w:type="dxa" w:w="2340"/>
            <w:shd w:fill="FFFFFF"/>
            <w:tcMar>
              <w:top w:w="100" w:type="dxa"/>
              <w:bottom w:w="100" w:type="dxa"/>
              <w:left w:w="150" w:type="dxa"/>
              <w:right w:w="150" w:type="dxa"/>
            </w:tcMar>
          </w:tcPr>
          <w:p>
            <w:pPr>
              <w:jc w:val="left"/>
            </w:pPr>
            <w:r>
              <w:rPr>
                <w:sz w:val="19"/>
              </w:rPr>
              <w:t>8.86%</w:t>
            </w:r>
          </w:p>
        </w:tc>
        <w:tc>
          <w:tcPr>
            <w:tcW w:type="dxa" w:w="2340"/>
            <w:shd w:fill="FFFFFF"/>
            <w:tcMar>
              <w:top w:w="100" w:type="dxa"/>
              <w:bottom w:w="100" w:type="dxa"/>
              <w:left w:w="150" w:type="dxa"/>
              <w:right w:w="150" w:type="dxa"/>
            </w:tcMar>
          </w:tcPr>
          <w:p>
            <w:pPr>
              <w:jc w:val="left"/>
            </w:pPr>
            <w:r>
              <w:rPr>
                <w:sz w:val="19"/>
              </w:rPr>
              <w:t>Linear L2 regularization</w:t>
            </w:r>
          </w:p>
        </w:tc>
      </w:tr>
      <w:tr>
        <w:tc>
          <w:tcPr>
            <w:tcW w:type="dxa" w:w="2340"/>
            <w:shd w:fill="F2F5F9"/>
            <w:tcMar>
              <w:top w:w="100" w:type="dxa"/>
              <w:bottom w:w="100" w:type="dxa"/>
              <w:left w:w="150" w:type="dxa"/>
              <w:right w:w="150" w:type="dxa"/>
            </w:tcMar>
          </w:tcPr>
          <w:p>
            <w:pPr>
              <w:jc w:val="left"/>
            </w:pPr>
            <w:r>
              <w:rPr>
                <w:b/>
                <w:sz w:val="19"/>
              </w:rPr>
              <w:t>**Lasso Regression**</w:t>
            </w:r>
          </w:p>
        </w:tc>
        <w:tc>
          <w:tcPr>
            <w:tcW w:type="dxa" w:w="2340"/>
            <w:shd w:fill="F2F5F9"/>
            <w:tcMar>
              <w:top w:w="100" w:type="dxa"/>
              <w:bottom w:w="100" w:type="dxa"/>
              <w:left w:w="150" w:type="dxa"/>
              <w:right w:w="150" w:type="dxa"/>
            </w:tcMar>
          </w:tcPr>
          <w:p>
            <w:pPr>
              <w:jc w:val="left"/>
            </w:pPr>
            <w:r>
              <w:rPr>
                <w:sz w:val="19"/>
              </w:rPr>
              <w:t>7.35%</w:t>
            </w:r>
          </w:p>
        </w:tc>
        <w:tc>
          <w:tcPr>
            <w:tcW w:type="dxa" w:w="2340"/>
            <w:shd w:fill="F2F5F9"/>
            <w:tcMar>
              <w:top w:w="100" w:type="dxa"/>
              <w:bottom w:w="100" w:type="dxa"/>
              <w:left w:w="150" w:type="dxa"/>
              <w:right w:w="150" w:type="dxa"/>
            </w:tcMar>
          </w:tcPr>
          <w:p>
            <w:pPr>
              <w:jc w:val="left"/>
            </w:pPr>
            <w:r>
              <w:rPr>
                <w:sz w:val="19"/>
              </w:rPr>
              <w:t>9.19%</w:t>
            </w:r>
          </w:p>
        </w:tc>
        <w:tc>
          <w:tcPr>
            <w:tcW w:type="dxa" w:w="2340"/>
            <w:shd w:fill="F2F5F9"/>
            <w:tcMar>
              <w:top w:w="100" w:type="dxa"/>
              <w:bottom w:w="100" w:type="dxa"/>
              <w:left w:w="150" w:type="dxa"/>
              <w:right w:w="150" w:type="dxa"/>
            </w:tcMar>
          </w:tcPr>
          <w:p>
            <w:pPr>
              <w:jc w:val="left"/>
            </w:pPr>
            <w:r>
              <w:rPr>
                <w:sz w:val="19"/>
              </w:rPr>
              <w:t>Linear L1 feature selection</w:t>
            </w:r>
          </w:p>
        </w:tc>
      </w:tr>
      <w:tr>
        <w:tc>
          <w:tcPr>
            <w:tcW w:type="dxa" w:w="2340"/>
            <w:shd w:fill="FFFFFF"/>
            <w:tcMar>
              <w:top w:w="100" w:type="dxa"/>
              <w:bottom w:w="100" w:type="dxa"/>
              <w:left w:w="150" w:type="dxa"/>
              <w:right w:w="150" w:type="dxa"/>
            </w:tcMar>
          </w:tcPr>
          <w:p>
            <w:pPr>
              <w:jc w:val="left"/>
            </w:pPr>
            <w:r>
              <w:rPr>
                <w:b/>
                <w:sz w:val="19"/>
              </w:rPr>
              <w:t>**Quantile Regressor ($q=0.95$)**</w:t>
            </w:r>
          </w:p>
        </w:tc>
        <w:tc>
          <w:tcPr>
            <w:tcW w:type="dxa" w:w="2340"/>
            <w:shd w:fill="FFFFFF"/>
            <w:tcMar>
              <w:top w:w="100" w:type="dxa"/>
              <w:bottom w:w="100" w:type="dxa"/>
              <w:left w:w="150" w:type="dxa"/>
              <w:right w:w="150" w:type="dxa"/>
            </w:tcMar>
          </w:tcPr>
          <w:p>
            <w:pPr>
              <w:jc w:val="left"/>
            </w:pPr>
            <w:r>
              <w:rPr>
                <w:sz w:val="19"/>
              </w:rPr>
              <w:t>10.81%</w:t>
            </w:r>
          </w:p>
        </w:tc>
        <w:tc>
          <w:tcPr>
            <w:tcW w:type="dxa" w:w="2340"/>
            <w:shd w:fill="FFFFFF"/>
            <w:tcMar>
              <w:top w:w="100" w:type="dxa"/>
              <w:bottom w:w="100" w:type="dxa"/>
              <w:left w:w="150" w:type="dxa"/>
              <w:right w:w="150" w:type="dxa"/>
            </w:tcMar>
          </w:tcPr>
          <w:p>
            <w:pPr>
              <w:jc w:val="left"/>
            </w:pPr>
            <w:r>
              <w:rPr>
                <w:sz w:val="19"/>
              </w:rPr>
              <w:t>12.16%</w:t>
            </w:r>
          </w:p>
        </w:tc>
        <w:tc>
          <w:tcPr>
            <w:tcW w:type="dxa" w:w="2340"/>
            <w:shd w:fill="FFFFFF"/>
            <w:tcMar>
              <w:top w:w="100" w:type="dxa"/>
              <w:bottom w:w="100" w:type="dxa"/>
              <w:left w:w="150" w:type="dxa"/>
              <w:right w:w="150" w:type="dxa"/>
            </w:tcMar>
          </w:tcPr>
          <w:p>
            <w:pPr>
              <w:jc w:val="left"/>
            </w:pPr>
            <w:r>
              <w:rPr>
                <w:sz w:val="19"/>
              </w:rPr>
              <w:t>Upper bound optimization (Pinball Loss = 0.89)</w:t>
            </w:r>
          </w:p>
        </w:tc>
      </w:tr>
      <w:tr>
        <w:tc>
          <w:tcPr>
            <w:tcW w:type="dxa" w:w="2340"/>
            <w:shd w:fill="F2F5F9"/>
            <w:tcMar>
              <w:top w:w="100" w:type="dxa"/>
              <w:bottom w:w="100" w:type="dxa"/>
              <w:left w:w="150" w:type="dxa"/>
              <w:right w:w="150" w:type="dxa"/>
            </w:tcMar>
          </w:tcPr>
          <w:p>
            <w:pPr>
              <w:jc w:val="left"/>
            </w:pPr>
            <w:r>
              <w:rPr>
                <w:b/>
                <w:sz w:val="19"/>
              </w:rPr>
              <w:t>**Random Forest Regressor**</w:t>
            </w:r>
          </w:p>
        </w:tc>
        <w:tc>
          <w:tcPr>
            <w:tcW w:type="dxa" w:w="2340"/>
            <w:shd w:fill="F2F5F9"/>
            <w:tcMar>
              <w:top w:w="100" w:type="dxa"/>
              <w:bottom w:w="100" w:type="dxa"/>
              <w:left w:w="150" w:type="dxa"/>
              <w:right w:w="150" w:type="dxa"/>
            </w:tcMar>
          </w:tcPr>
          <w:p>
            <w:pPr>
              <w:jc w:val="left"/>
            </w:pPr>
            <w:r>
              <w:rPr>
                <w:b/>
                <w:sz w:val="19"/>
              </w:rPr>
              <w:t>**5.38%**</w:t>
            </w:r>
          </w:p>
        </w:tc>
        <w:tc>
          <w:tcPr>
            <w:tcW w:type="dxa" w:w="2340"/>
            <w:shd w:fill="F2F5F9"/>
            <w:tcMar>
              <w:top w:w="100" w:type="dxa"/>
              <w:bottom w:w="100" w:type="dxa"/>
              <w:left w:w="150" w:type="dxa"/>
              <w:right w:w="150" w:type="dxa"/>
            </w:tcMar>
          </w:tcPr>
          <w:p>
            <w:pPr>
              <w:jc w:val="left"/>
            </w:pPr>
            <w:r>
              <w:rPr>
                <w:b/>
                <w:sz w:val="19"/>
              </w:rPr>
              <w:t>**7.34%**</w:t>
            </w:r>
          </w:p>
        </w:tc>
        <w:tc>
          <w:tcPr>
            <w:tcW w:type="dxa" w:w="2340"/>
            <w:shd w:fill="F2F5F9"/>
            <w:tcMar>
              <w:top w:w="100" w:type="dxa"/>
              <w:bottom w:w="100" w:type="dxa"/>
              <w:left w:w="150" w:type="dxa"/>
              <w:right w:w="150" w:type="dxa"/>
            </w:tcMar>
          </w:tcPr>
          <w:p>
            <w:pPr>
              <w:jc w:val="left"/>
            </w:pPr>
            <w:r>
              <w:rPr>
                <w:sz w:val="19"/>
              </w:rPr>
              <w:t>Non-linear ensemble (100 trees, max depth 8)</w:t>
            </w:r>
          </w:p>
        </w:tc>
      </w:tr>
    </w:tbl>
    <w:p>
      <w:pPr>
        <w:spacing w:after="120"/>
      </w:pPr>
    </w:p>
    <w:p>
      <w:pPr>
        <w:spacing w:before="200" w:after="80"/>
        <w:jc w:val="left"/>
      </w:pPr>
      <w:r>
        <w:rPr>
          <w:rFonts w:ascii="Calibri" w:hAnsi="Calibri"/>
          <w:b/>
          <w:color w:val="366092"/>
          <w:sz w:val="25"/>
        </w:rPr>
        <w:t>5.3 Diagnostic of SLA Binary Classifier Failure (Negative Result)</w:t>
      </w:r>
    </w:p>
    <w:p>
      <w:pPr>
        <w:spacing w:before="0" w:after="80"/>
        <w:jc w:val="left"/>
      </w:pPr>
      <w:r>
        <w:t>In addition to continuous regression, we evaluated a Random Forest binary classifier to directly predict binary SLA violations (</w:t>
      </w:r>
      <w:r>
        <w:rPr>
          <w:rFonts w:ascii="Cambria Math" w:hAnsi="Cambria Math"/>
          <w:i/>
          <w:color w:val="003366"/>
        </w:rPr>
        <w:t>QIR &gt; 15\%</w:t>
      </w:r>
      <w:r>
        <w:t xml:space="preserve">). The classifier achieved a nominal accuracy of </w:t>
      </w:r>
      <w:r>
        <w:rPr>
          <w:b/>
        </w:rPr>
        <w:t>$78.2\%$</w:t>
      </w:r>
      <w:r>
        <w:t xml:space="preserve"> but a near-random ROC-AUC of </w:t>
      </w:r>
      <w:r>
        <w:rPr>
          <w:b/>
        </w:rPr>
        <w:t>$0.531$</w:t>
      </w:r>
      <w:r>
        <w:t>.</w:t>
      </w:r>
    </w:p>
    <w:p>
      <w:pPr>
        <w:spacing w:before="0" w:after="80"/>
        <w:jc w:val="left"/>
      </w:pPr>
      <w:r>
        <w:t>Table 5 presents the diagnostic analysis across threshold tuning and class weighting.</w:t>
      </w:r>
    </w:p>
    <w:tbl>
      <w:tblPr>
        <w:tblW w:type="auto" w:w="0"/>
        <w:jc w:val="center"/>
        <w:tblLook w:firstColumn="1" w:firstRow="1" w:lastColumn="0" w:lastRow="0" w:noHBand="0" w:noVBand="1" w:val="04A0"/>
        <w:tblBorders>
          <w:top w:val="single" w:sz="6" w:space="0" w:color="B0C4DE"/>
          <w:bottom w:val="single" w:sz="6" w:space="0" w:color="B0C4DE"/>
          <w:left w:val="none"/>
          <w:right w:val="none"/>
          <w:insideH w:val="single" w:sz="6" w:space="0" w:color="B0C4DE"/>
          <w:insideV w:val="none"/>
        </w:tblBorders>
      </w:tblPr>
      <w:tblGrid>
        <w:gridCol w:w="1170"/>
        <w:gridCol w:w="1170"/>
        <w:gridCol w:w="1170"/>
        <w:gridCol w:w="1170"/>
        <w:gridCol w:w="1170"/>
        <w:gridCol w:w="1170"/>
        <w:gridCol w:w="1170"/>
        <w:gridCol w:w="1170"/>
      </w:tblGrid>
      <w:tr>
        <w:tc>
          <w:tcPr>
            <w:tcW w:type="dxa" w:w="1170"/>
            <w:shd w:fill="1F497D"/>
            <w:tcMar>
              <w:top w:w="120" w:type="dxa"/>
              <w:bottom w:w="120" w:type="dxa"/>
              <w:left w:w="150" w:type="dxa"/>
              <w:right w:w="150" w:type="dxa"/>
            </w:tcMar>
          </w:tcPr>
          <w:p>
            <w:pPr>
              <w:jc w:val="left"/>
            </w:pPr>
            <w:r>
              <w:rPr>
                <w:b/>
                <w:color w:val="FFFFFF"/>
                <w:sz w:val="20"/>
              </w:rPr>
              <w:t>Classifier Variant</w:t>
            </w:r>
          </w:p>
        </w:tc>
        <w:tc>
          <w:tcPr>
            <w:tcW w:type="dxa" w:w="1170"/>
            <w:shd w:fill="1F497D"/>
            <w:tcMar>
              <w:top w:w="120" w:type="dxa"/>
              <w:bottom w:w="120" w:type="dxa"/>
              <w:left w:w="150" w:type="dxa"/>
              <w:right w:w="150" w:type="dxa"/>
            </w:tcMar>
          </w:tcPr>
          <w:p>
            <w:pPr>
              <w:jc w:val="left"/>
            </w:pPr>
            <w:r>
              <w:rPr>
                <w:b/>
                <w:color w:val="FFFFFF"/>
                <w:sz w:val="20"/>
              </w:rPr>
              <w:t>Accuracy (%)</w:t>
            </w:r>
          </w:p>
        </w:tc>
        <w:tc>
          <w:tcPr>
            <w:tcW w:type="dxa" w:w="1170"/>
            <w:shd w:fill="1F497D"/>
            <w:tcMar>
              <w:top w:w="120" w:type="dxa"/>
              <w:bottom w:w="120" w:type="dxa"/>
              <w:left w:w="150" w:type="dxa"/>
              <w:right w:w="150" w:type="dxa"/>
            </w:tcMar>
          </w:tcPr>
          <w:p>
            <w:pPr>
              <w:jc w:val="left"/>
            </w:pPr>
            <w:r>
              <w:rPr>
                <w:b/>
                <w:color w:val="FFFFFF"/>
                <w:sz w:val="20"/>
              </w:rPr>
              <w:t>Balanced Acc (%)</w:t>
            </w:r>
          </w:p>
        </w:tc>
        <w:tc>
          <w:tcPr>
            <w:tcW w:type="dxa" w:w="1170"/>
            <w:shd w:fill="1F497D"/>
            <w:tcMar>
              <w:top w:w="120" w:type="dxa"/>
              <w:bottom w:w="120" w:type="dxa"/>
              <w:left w:w="150" w:type="dxa"/>
              <w:right w:w="150" w:type="dxa"/>
            </w:tcMar>
          </w:tcPr>
          <w:p>
            <w:pPr>
              <w:jc w:val="left"/>
            </w:pPr>
            <w:r>
              <w:rPr>
                <w:b/>
                <w:color w:val="FFFFFF"/>
                <w:sz w:val="20"/>
              </w:rPr>
              <w:t>Precision</w:t>
            </w:r>
          </w:p>
        </w:tc>
        <w:tc>
          <w:tcPr>
            <w:tcW w:type="dxa" w:w="1170"/>
            <w:shd w:fill="1F497D"/>
            <w:tcMar>
              <w:top w:w="120" w:type="dxa"/>
              <w:bottom w:w="120" w:type="dxa"/>
              <w:left w:w="150" w:type="dxa"/>
              <w:right w:w="150" w:type="dxa"/>
            </w:tcMar>
          </w:tcPr>
          <w:p>
            <w:pPr>
              <w:jc w:val="left"/>
            </w:pPr>
            <w:r>
              <w:rPr>
                <w:b/>
                <w:color w:val="FFFFFF"/>
                <w:sz w:val="20"/>
              </w:rPr>
              <w:t>Recall</w:t>
            </w:r>
          </w:p>
        </w:tc>
        <w:tc>
          <w:tcPr>
            <w:tcW w:type="dxa" w:w="1170"/>
            <w:shd w:fill="1F497D"/>
            <w:tcMar>
              <w:top w:w="120" w:type="dxa"/>
              <w:bottom w:w="120" w:type="dxa"/>
              <w:left w:w="150" w:type="dxa"/>
              <w:right w:w="150" w:type="dxa"/>
            </w:tcMar>
          </w:tcPr>
          <w:p>
            <w:pPr>
              <w:jc w:val="left"/>
            </w:pPr>
            <w:r>
              <w:rPr>
                <w:b/>
                <w:color w:val="FFFFFF"/>
                <w:sz w:val="20"/>
              </w:rPr>
              <w:t>F1 Score</w:t>
            </w:r>
          </w:p>
        </w:tc>
        <w:tc>
          <w:tcPr>
            <w:tcW w:type="dxa" w:w="1170"/>
            <w:shd w:fill="1F497D"/>
            <w:tcMar>
              <w:top w:w="120" w:type="dxa"/>
              <w:bottom w:w="120" w:type="dxa"/>
              <w:left w:w="150" w:type="dxa"/>
              <w:right w:w="150" w:type="dxa"/>
            </w:tcMar>
          </w:tcPr>
          <w:p>
            <w:pPr>
              <w:jc w:val="left"/>
            </w:pPr>
            <w:r>
              <w:rPr>
                <w:b/>
                <w:color w:val="FFFFFF"/>
                <w:sz w:val="20"/>
              </w:rPr>
              <w:t>ROC-AUC</w:t>
            </w:r>
          </w:p>
        </w:tc>
        <w:tc>
          <w:tcPr>
            <w:tcW w:type="dxa" w:w="1170"/>
            <w:shd w:fill="1F497D"/>
            <w:tcMar>
              <w:top w:w="120" w:type="dxa"/>
              <w:bottom w:w="120" w:type="dxa"/>
              <w:left w:w="150" w:type="dxa"/>
              <w:right w:w="150" w:type="dxa"/>
            </w:tcMar>
          </w:tcPr>
          <w:p>
            <w:pPr>
              <w:jc w:val="left"/>
            </w:pPr>
            <w:r>
              <w:rPr>
                <w:b/>
                <w:color w:val="FFFFFF"/>
                <w:sz w:val="20"/>
              </w:rPr>
              <w:t>PR-AUC</w:t>
            </w:r>
          </w:p>
        </w:tc>
      </w:tr>
      <w:tr>
        <w:tc>
          <w:tcPr>
            <w:tcW w:type="dxa" w:w="1170"/>
            <w:shd w:fill="FFFFFF"/>
            <w:tcMar>
              <w:top w:w="100" w:type="dxa"/>
              <w:bottom w:w="100" w:type="dxa"/>
              <w:left w:w="150" w:type="dxa"/>
              <w:right w:w="150" w:type="dxa"/>
            </w:tcMar>
          </w:tcPr>
          <w:p>
            <w:pPr>
              <w:jc w:val="left"/>
            </w:pPr>
            <w:r>
              <w:rPr>
                <w:b/>
                <w:sz w:val="19"/>
              </w:rPr>
              <w:t>**Original RF (Unweighted, $\tau=0.5$)**</w:t>
            </w:r>
          </w:p>
        </w:tc>
        <w:tc>
          <w:tcPr>
            <w:tcW w:type="dxa" w:w="1170"/>
            <w:shd w:fill="FFFFFF"/>
            <w:tcMar>
              <w:top w:w="100" w:type="dxa"/>
              <w:bottom w:w="100" w:type="dxa"/>
              <w:left w:w="150" w:type="dxa"/>
              <w:right w:w="150" w:type="dxa"/>
            </w:tcMar>
          </w:tcPr>
          <w:p>
            <w:pPr>
              <w:jc w:val="left"/>
            </w:pPr>
            <w:r>
              <w:rPr>
                <w:sz w:val="19"/>
              </w:rPr>
              <w:t>80.95%</w:t>
            </w:r>
          </w:p>
        </w:tc>
        <w:tc>
          <w:tcPr>
            <w:tcW w:type="dxa" w:w="1170"/>
            <w:shd w:fill="FFFFFF"/>
            <w:tcMar>
              <w:top w:w="100" w:type="dxa"/>
              <w:bottom w:w="100" w:type="dxa"/>
              <w:left w:w="150" w:type="dxa"/>
              <w:right w:w="150" w:type="dxa"/>
            </w:tcMar>
          </w:tcPr>
          <w:p>
            <w:pPr>
              <w:jc w:val="left"/>
            </w:pPr>
            <w:r>
              <w:rPr>
                <w:sz w:val="19"/>
              </w:rPr>
              <w:t>54.21%</w:t>
            </w:r>
          </w:p>
        </w:tc>
        <w:tc>
          <w:tcPr>
            <w:tcW w:type="dxa" w:w="1170"/>
            <w:shd w:fill="FFFFFF"/>
            <w:tcMar>
              <w:top w:w="100" w:type="dxa"/>
              <w:bottom w:w="100" w:type="dxa"/>
              <w:left w:w="150" w:type="dxa"/>
              <w:right w:w="150" w:type="dxa"/>
            </w:tcMar>
          </w:tcPr>
          <w:p>
            <w:pPr>
              <w:jc w:val="left"/>
            </w:pPr>
            <w:r>
              <w:rPr>
                <w:sz w:val="19"/>
              </w:rPr>
              <w:t>0.2353</w:t>
            </w:r>
          </w:p>
        </w:tc>
        <w:tc>
          <w:tcPr>
            <w:tcW w:type="dxa" w:w="1170"/>
            <w:shd w:fill="FFFFFF"/>
            <w:tcMar>
              <w:top w:w="100" w:type="dxa"/>
              <w:bottom w:w="100" w:type="dxa"/>
              <w:left w:w="150" w:type="dxa"/>
              <w:right w:w="150" w:type="dxa"/>
            </w:tcMar>
          </w:tcPr>
          <w:p>
            <w:pPr>
              <w:jc w:val="left"/>
            </w:pPr>
            <w:r>
              <w:rPr>
                <w:sz w:val="19"/>
              </w:rPr>
              <w:t>0.1739</w:t>
            </w:r>
          </w:p>
        </w:tc>
        <w:tc>
          <w:tcPr>
            <w:tcW w:type="dxa" w:w="1170"/>
            <w:shd w:fill="FFFFFF"/>
            <w:tcMar>
              <w:top w:w="100" w:type="dxa"/>
              <w:bottom w:w="100" w:type="dxa"/>
              <w:left w:w="150" w:type="dxa"/>
              <w:right w:w="150" w:type="dxa"/>
            </w:tcMar>
          </w:tcPr>
          <w:p>
            <w:pPr>
              <w:jc w:val="left"/>
            </w:pPr>
            <w:r>
              <w:rPr>
                <w:sz w:val="19"/>
              </w:rPr>
              <w:t>0.2000</w:t>
            </w:r>
          </w:p>
        </w:tc>
        <w:tc>
          <w:tcPr>
            <w:tcW w:type="dxa" w:w="1170"/>
            <w:shd w:fill="FFFFFF"/>
            <w:tcMar>
              <w:top w:w="100" w:type="dxa"/>
              <w:bottom w:w="100" w:type="dxa"/>
              <w:left w:w="150" w:type="dxa"/>
              <w:right w:w="150" w:type="dxa"/>
            </w:tcMar>
          </w:tcPr>
          <w:p>
            <w:pPr>
              <w:jc w:val="left"/>
            </w:pPr>
            <w:r>
              <w:rPr>
                <w:b/>
                <w:sz w:val="19"/>
              </w:rPr>
              <w:t>**0.7205**</w:t>
            </w:r>
          </w:p>
        </w:tc>
        <w:tc>
          <w:tcPr>
            <w:tcW w:type="dxa" w:w="1170"/>
            <w:shd w:fill="FFFFFF"/>
            <w:tcMar>
              <w:top w:w="100" w:type="dxa"/>
              <w:bottom w:w="100" w:type="dxa"/>
              <w:left w:w="150" w:type="dxa"/>
              <w:right w:w="150" w:type="dxa"/>
            </w:tcMar>
          </w:tcPr>
          <w:p>
            <w:pPr>
              <w:jc w:val="left"/>
            </w:pPr>
            <w:r>
              <w:rPr>
                <w:sz w:val="19"/>
              </w:rPr>
              <w:t>0.2488</w:t>
            </w:r>
          </w:p>
        </w:tc>
      </w:tr>
      <w:tr>
        <w:tc>
          <w:tcPr>
            <w:tcW w:type="dxa" w:w="1170"/>
            <w:shd w:fill="F2F5F9"/>
            <w:tcMar>
              <w:top w:w="100" w:type="dxa"/>
              <w:bottom w:w="100" w:type="dxa"/>
              <w:left w:w="150" w:type="dxa"/>
              <w:right w:w="150" w:type="dxa"/>
            </w:tcMar>
          </w:tcPr>
          <w:p>
            <w:pPr>
              <w:jc w:val="left"/>
            </w:pPr>
            <w:r>
              <w:rPr>
                <w:b/>
                <w:sz w:val="19"/>
              </w:rPr>
              <w:t>**RF with Train-Tuned Threshold**</w:t>
            </w:r>
          </w:p>
        </w:tc>
        <w:tc>
          <w:tcPr>
            <w:tcW w:type="dxa" w:w="1170"/>
            <w:shd w:fill="F2F5F9"/>
            <w:tcMar>
              <w:top w:w="100" w:type="dxa"/>
              <w:bottom w:w="100" w:type="dxa"/>
              <w:left w:w="150" w:type="dxa"/>
              <w:right w:w="150" w:type="dxa"/>
            </w:tcMar>
          </w:tcPr>
          <w:p>
            <w:pPr>
              <w:jc w:val="left"/>
            </w:pPr>
            <w:r>
              <w:rPr>
                <w:sz w:val="19"/>
              </w:rPr>
              <w:t>77.98%</w:t>
            </w:r>
          </w:p>
        </w:tc>
        <w:tc>
          <w:tcPr>
            <w:tcW w:type="dxa" w:w="1170"/>
            <w:shd w:fill="F2F5F9"/>
            <w:tcMar>
              <w:top w:w="100" w:type="dxa"/>
              <w:bottom w:w="100" w:type="dxa"/>
              <w:left w:w="150" w:type="dxa"/>
              <w:right w:w="150" w:type="dxa"/>
            </w:tcMar>
          </w:tcPr>
          <w:p>
            <w:pPr>
              <w:jc w:val="left"/>
            </w:pPr>
            <w:r>
              <w:rPr>
                <w:sz w:val="19"/>
              </w:rPr>
              <w:t>56.15%</w:t>
            </w:r>
          </w:p>
        </w:tc>
        <w:tc>
          <w:tcPr>
            <w:tcW w:type="dxa" w:w="1170"/>
            <w:shd w:fill="F2F5F9"/>
            <w:tcMar>
              <w:top w:w="100" w:type="dxa"/>
              <w:bottom w:w="100" w:type="dxa"/>
              <w:left w:w="150" w:type="dxa"/>
              <w:right w:w="150" w:type="dxa"/>
            </w:tcMar>
          </w:tcPr>
          <w:p>
            <w:pPr>
              <w:jc w:val="left"/>
            </w:pPr>
            <w:r>
              <w:rPr>
                <w:sz w:val="19"/>
              </w:rPr>
              <w:t>0.2308</w:t>
            </w:r>
          </w:p>
        </w:tc>
        <w:tc>
          <w:tcPr>
            <w:tcW w:type="dxa" w:w="1170"/>
            <w:shd w:fill="F2F5F9"/>
            <w:tcMar>
              <w:top w:w="100" w:type="dxa"/>
              <w:bottom w:w="100" w:type="dxa"/>
              <w:left w:w="150" w:type="dxa"/>
              <w:right w:w="150" w:type="dxa"/>
            </w:tcMar>
          </w:tcPr>
          <w:p>
            <w:pPr>
              <w:jc w:val="left"/>
            </w:pPr>
            <w:r>
              <w:rPr>
                <w:sz w:val="19"/>
              </w:rPr>
              <w:t>0.2609</w:t>
            </w:r>
          </w:p>
        </w:tc>
        <w:tc>
          <w:tcPr>
            <w:tcW w:type="dxa" w:w="1170"/>
            <w:shd w:fill="F2F5F9"/>
            <w:tcMar>
              <w:top w:w="100" w:type="dxa"/>
              <w:bottom w:w="100" w:type="dxa"/>
              <w:left w:w="150" w:type="dxa"/>
              <w:right w:w="150" w:type="dxa"/>
            </w:tcMar>
          </w:tcPr>
          <w:p>
            <w:pPr>
              <w:jc w:val="left"/>
            </w:pPr>
            <w:r>
              <w:rPr>
                <w:sz w:val="19"/>
              </w:rPr>
              <w:t>0.2449</w:t>
            </w:r>
          </w:p>
        </w:tc>
        <w:tc>
          <w:tcPr>
            <w:tcW w:type="dxa" w:w="1170"/>
            <w:shd w:fill="F2F5F9"/>
            <w:tcMar>
              <w:top w:w="100" w:type="dxa"/>
              <w:bottom w:w="100" w:type="dxa"/>
              <w:left w:w="150" w:type="dxa"/>
              <w:right w:w="150" w:type="dxa"/>
            </w:tcMar>
          </w:tcPr>
          <w:p>
            <w:pPr>
              <w:jc w:val="left"/>
            </w:pPr>
            <w:r>
              <w:rPr>
                <w:sz w:val="19"/>
              </w:rPr>
              <w:t>0.7205</w:t>
            </w:r>
          </w:p>
        </w:tc>
        <w:tc>
          <w:tcPr>
            <w:tcW w:type="dxa" w:w="1170"/>
            <w:shd w:fill="F2F5F9"/>
            <w:tcMar>
              <w:top w:w="100" w:type="dxa"/>
              <w:bottom w:w="100" w:type="dxa"/>
              <w:left w:w="150" w:type="dxa"/>
              <w:right w:w="150" w:type="dxa"/>
            </w:tcMar>
          </w:tcPr>
          <w:p>
            <w:pPr>
              <w:jc w:val="left"/>
            </w:pPr>
            <w:r>
              <w:rPr>
                <w:sz w:val="19"/>
              </w:rPr>
              <w:t>0.2488</w:t>
            </w:r>
          </w:p>
        </w:tc>
      </w:tr>
      <w:tr>
        <w:tc>
          <w:tcPr>
            <w:tcW w:type="dxa" w:w="1170"/>
            <w:shd w:fill="FFFFFF"/>
            <w:tcMar>
              <w:top w:w="100" w:type="dxa"/>
              <w:bottom w:w="100" w:type="dxa"/>
              <w:left w:w="150" w:type="dxa"/>
              <w:right w:w="150" w:type="dxa"/>
            </w:tcMar>
          </w:tcPr>
          <w:p>
            <w:pPr>
              <w:jc w:val="left"/>
            </w:pPr>
            <w:r>
              <w:rPr>
                <w:b/>
                <w:sz w:val="19"/>
              </w:rPr>
              <w:t>**Class-Weighted RF (Balanced)**</w:t>
            </w:r>
          </w:p>
        </w:tc>
        <w:tc>
          <w:tcPr>
            <w:tcW w:type="dxa" w:w="1170"/>
            <w:shd w:fill="FFFFFF"/>
            <w:tcMar>
              <w:top w:w="100" w:type="dxa"/>
              <w:bottom w:w="100" w:type="dxa"/>
              <w:left w:w="150" w:type="dxa"/>
              <w:right w:w="150" w:type="dxa"/>
            </w:tcMar>
          </w:tcPr>
          <w:p>
            <w:pPr>
              <w:jc w:val="left"/>
            </w:pPr>
            <w:r>
              <w:rPr>
                <w:sz w:val="19"/>
              </w:rPr>
              <w:t>73.21%</w:t>
            </w:r>
          </w:p>
        </w:tc>
        <w:tc>
          <w:tcPr>
            <w:tcW w:type="dxa" w:w="1170"/>
            <w:shd w:fill="FFFFFF"/>
            <w:tcMar>
              <w:top w:w="100" w:type="dxa"/>
              <w:bottom w:w="100" w:type="dxa"/>
              <w:left w:w="150" w:type="dxa"/>
              <w:right w:w="150" w:type="dxa"/>
            </w:tcMar>
          </w:tcPr>
          <w:p>
            <w:pPr>
              <w:jc w:val="left"/>
            </w:pPr>
            <w:r>
              <w:rPr>
                <w:sz w:val="19"/>
              </w:rPr>
              <w:t>62.53%</w:t>
            </w:r>
          </w:p>
        </w:tc>
        <w:tc>
          <w:tcPr>
            <w:tcW w:type="dxa" w:w="1170"/>
            <w:shd w:fill="FFFFFF"/>
            <w:tcMar>
              <w:top w:w="100" w:type="dxa"/>
              <w:bottom w:w="100" w:type="dxa"/>
              <w:left w:w="150" w:type="dxa"/>
              <w:right w:w="150" w:type="dxa"/>
            </w:tcMar>
          </w:tcPr>
          <w:p>
            <w:pPr>
              <w:jc w:val="left"/>
            </w:pPr>
            <w:r>
              <w:rPr>
                <w:sz w:val="19"/>
              </w:rPr>
              <w:t>0.2500</w:t>
            </w:r>
          </w:p>
        </w:tc>
        <w:tc>
          <w:tcPr>
            <w:tcW w:type="dxa" w:w="1170"/>
            <w:shd w:fill="FFFFFF"/>
            <w:tcMar>
              <w:top w:w="100" w:type="dxa"/>
              <w:bottom w:w="100" w:type="dxa"/>
              <w:left w:w="150" w:type="dxa"/>
              <w:right w:w="150" w:type="dxa"/>
            </w:tcMar>
          </w:tcPr>
          <w:p>
            <w:pPr>
              <w:jc w:val="left"/>
            </w:pPr>
            <w:r>
              <w:rPr>
                <w:sz w:val="19"/>
              </w:rPr>
              <w:t>0.4783</w:t>
            </w:r>
          </w:p>
        </w:tc>
        <w:tc>
          <w:tcPr>
            <w:tcW w:type="dxa" w:w="1170"/>
            <w:shd w:fill="FFFFFF"/>
            <w:tcMar>
              <w:top w:w="100" w:type="dxa"/>
              <w:bottom w:w="100" w:type="dxa"/>
              <w:left w:w="150" w:type="dxa"/>
              <w:right w:w="150" w:type="dxa"/>
            </w:tcMar>
          </w:tcPr>
          <w:p>
            <w:pPr>
              <w:jc w:val="left"/>
            </w:pPr>
            <w:r>
              <w:rPr>
                <w:sz w:val="19"/>
              </w:rPr>
              <w:t>0.3284</w:t>
            </w:r>
          </w:p>
        </w:tc>
        <w:tc>
          <w:tcPr>
            <w:tcW w:type="dxa" w:w="1170"/>
            <w:shd w:fill="FFFFFF"/>
            <w:tcMar>
              <w:top w:w="100" w:type="dxa"/>
              <w:bottom w:w="100" w:type="dxa"/>
              <w:left w:w="150" w:type="dxa"/>
              <w:right w:w="150" w:type="dxa"/>
            </w:tcMar>
          </w:tcPr>
          <w:p>
            <w:pPr>
              <w:jc w:val="left"/>
            </w:pPr>
            <w:r>
              <w:rPr>
                <w:sz w:val="19"/>
              </w:rPr>
              <w:t>0.6843</w:t>
            </w:r>
          </w:p>
        </w:tc>
        <w:tc>
          <w:tcPr>
            <w:tcW w:type="dxa" w:w="1170"/>
            <w:shd w:fill="FFFFFF"/>
            <w:tcMar>
              <w:top w:w="100" w:type="dxa"/>
              <w:bottom w:w="100" w:type="dxa"/>
              <w:left w:w="150" w:type="dxa"/>
              <w:right w:w="150" w:type="dxa"/>
            </w:tcMar>
          </w:tcPr>
          <w:p>
            <w:pPr>
              <w:jc w:val="left"/>
            </w:pPr>
            <w:r>
              <w:rPr>
                <w:sz w:val="19"/>
              </w:rPr>
              <w:t>0.2475</w:t>
            </w:r>
          </w:p>
        </w:tc>
      </w:tr>
    </w:tbl>
    <w:p>
      <w:pPr>
        <w:spacing w:after="120"/>
      </w:pPr>
    </w:p>
    <w:p>
      <w:pPr>
        <w:spacing w:before="160" w:after="80"/>
        <w:jc w:val="left"/>
      </w:pPr>
      <w:r>
        <w:rPr>
          <w:rFonts w:ascii="Calibri" w:hAnsi="Calibri"/>
          <w:b/>
          <w:color w:val="366092"/>
          <w:sz w:val="22"/>
        </w:rPr>
        <w:t>Root Cause Analysis</w:t>
      </w:r>
    </w:p>
    <w:p>
      <w:pPr>
        <w:pStyle w:val="ListNumber"/>
        <w:spacing w:before="0" w:after="60"/>
        <w:jc w:val="left"/>
      </w:pPr>
      <w:r>
        <w:rPr>
          <w:b/>
        </w:rPr>
        <w:t>Extreme Class Imbalance:</w:t>
      </w:r>
      <w:r>
        <w:t xml:space="preserve"> Positive SLA violation instances represent only </w:t>
      </w:r>
      <w:r>
        <w:rPr>
          <w:rFonts w:ascii="Cambria Math" w:hAnsi="Cambria Math"/>
          <w:i/>
          <w:color w:val="003366"/>
        </w:rPr>
        <w:t>23</w:t>
      </w:r>
      <w:r>
        <w:t xml:space="preserve"> of </w:t>
      </w:r>
      <w:r>
        <w:rPr>
          <w:rFonts w:ascii="Cambria Math" w:hAnsi="Cambria Math"/>
          <w:i/>
          <w:color w:val="003366"/>
        </w:rPr>
        <w:t>168</w:t>
      </w:r>
      <w:r>
        <w:t xml:space="preserve"> observations (</w:t>
      </w:r>
      <w:r>
        <w:rPr>
          <w:rFonts w:ascii="Cambria Math" w:hAnsi="Cambria Math"/>
          <w:i/>
          <w:color w:val="003366"/>
        </w:rPr>
        <w:t>13.7\%</w:t>
      </w:r>
      <w:r>
        <w:t>). High accuracy is an artifact of majority-class bias.</w:t>
      </w:r>
    </w:p>
    <w:p>
      <w:pPr>
        <w:pStyle w:val="ListNumber"/>
        <w:spacing w:before="0" w:after="60"/>
        <w:jc w:val="left"/>
      </w:pPr>
      <w:r>
        <w:rPr>
          <w:b/>
        </w:rPr>
        <w:t>Aleatoric Boundary Noise:</w:t>
      </w:r>
      <w:r>
        <w:t xml:space="preserve"> Queries under FAIR scheduling cluster tightly around the </w:t>
      </w:r>
      <w:r>
        <w:rPr>
          <w:rFonts w:ascii="Cambria Math" w:hAnsi="Cambria Math"/>
          <w:i/>
          <w:color w:val="003366"/>
        </w:rPr>
        <w:t>12\% - 18\%</w:t>
      </w:r>
      <w:r>
        <w:t xml:space="preserve"> QIR range. Small runtime fluctuations flip binary labels across the arbitrary </w:t>
      </w:r>
      <w:r>
        <w:rPr>
          <w:rFonts w:ascii="Cambria Math" w:hAnsi="Cambria Math"/>
          <w:i/>
          <w:color w:val="003366"/>
        </w:rPr>
        <w:t>15\%</w:t>
      </w:r>
      <w:r>
        <w:t xml:space="preserve"> threshold, creating severe aleatoric uncertainty.</w:t>
      </w:r>
    </w:p>
    <w:p>
      <w:pPr>
        <w:pStyle w:val="ListNumber"/>
        <w:spacing w:before="0" w:after="60"/>
        <w:jc w:val="left"/>
      </w:pPr>
      <w:r>
        <w:rPr>
          <w:b/>
        </w:rPr>
        <w:t>Scientific Implication:</w:t>
      </w:r>
      <w:r>
        <w:t xml:space="preserve"> Binary classification is fundamentally ill-posed for maintenance scheduling. Schedulers must utilize continuous quantile regressors paired with conformal bounds rather than hard binary decision boundaries.</w:t>
      </w:r>
    </w:p>
    <w:p>
      <w:pPr>
        <w:spacing w:before="280" w:after="120"/>
        <w:jc w:val="left"/>
      </w:pPr>
      <w:r>
        <w:rPr>
          <w:rFonts w:ascii="Calibri" w:hAnsi="Calibri"/>
          <w:b/>
          <w:color w:val="1F497D"/>
          <w:sz w:val="30"/>
        </w:rPr>
        <w:t>6. Phase 4 &amp; Phase 5: Continuous Physical Workload Trace &amp; Multi-Policy Evaluation</w:t>
      </w:r>
    </w:p>
    <w:p>
      <w:pPr>
        <w:spacing w:before="200" w:after="80"/>
        <w:jc w:val="left"/>
      </w:pPr>
      <w:r>
        <w:rPr>
          <w:rFonts w:ascii="Calibri" w:hAnsi="Calibri"/>
          <w:b/>
          <w:color w:val="366092"/>
          <w:sz w:val="25"/>
        </w:rPr>
        <w:t>6.1 Phase 4 Continuous Physical Experiment</w:t>
      </w:r>
    </w:p>
    <w:p>
      <w:pPr>
        <w:spacing w:before="0" w:after="80"/>
        <w:jc w:val="left"/>
      </w:pPr>
      <w:r>
        <w:t>To transition from discrete paired trials to non-stationary continuous environments, we built a 1Hz telemetry collector and a Non-Homogeneous Poisson Process (NHPP) workload generator. The workload generator oscillated query dispatch rates across 5 operational regimes:</w:t>
      </w:r>
    </w:p>
    <w:p>
      <w:pPr>
        <w:pStyle w:val="ListBullet"/>
        <w:spacing w:before="0" w:after="60"/>
        <w:jc w:val="left"/>
      </w:pPr>
      <w:r>
        <w:rPr>
          <w:b/>
        </w:rPr>
        <w:t>LOW:</w:t>
      </w:r>
      <w:r>
        <w:t xml:space="preserve"> Light background query arrival (</w:t>
      </w:r>
      <w:r>
        <w:rPr>
          <w:rFonts w:ascii="Cambria Math" w:hAnsi="Cambria Math"/>
          <w:i/>
          <w:color w:val="003366"/>
        </w:rPr>
        <w:t>\lambda = 0.1</w:t>
      </w:r>
      <w:r>
        <w:t xml:space="preserve"> queries/sec).</w:t>
      </w:r>
    </w:p>
    <w:p>
      <w:pPr>
        <w:pStyle w:val="ListBullet"/>
        <w:spacing w:before="0" w:after="60"/>
        <w:jc w:val="left"/>
      </w:pPr>
      <w:r>
        <w:rPr>
          <w:b/>
        </w:rPr>
        <w:t>MODERATE:</w:t>
      </w:r>
      <w:r>
        <w:t xml:space="preserve"> Standard operational load (</w:t>
      </w:r>
      <w:r>
        <w:rPr>
          <w:rFonts w:ascii="Cambria Math" w:hAnsi="Cambria Math"/>
          <w:i/>
          <w:color w:val="003366"/>
        </w:rPr>
        <w:t>\lambda = 0.5</w:t>
      </w:r>
      <w:r>
        <w:t xml:space="preserve"> queries/sec).</w:t>
      </w:r>
    </w:p>
    <w:p>
      <w:pPr>
        <w:pStyle w:val="ListBullet"/>
        <w:spacing w:before="0" w:after="60"/>
        <w:jc w:val="left"/>
      </w:pPr>
      <w:r>
        <w:rPr>
          <w:b/>
        </w:rPr>
        <w:t>HIGH:</w:t>
      </w:r>
      <w:r>
        <w:t xml:space="preserve"> Heavy analytical processing (</w:t>
      </w:r>
      <w:r>
        <w:rPr>
          <w:rFonts w:ascii="Cambria Math" w:hAnsi="Cambria Math"/>
          <w:i/>
          <w:color w:val="003366"/>
        </w:rPr>
        <w:t>\lambda = 1.2</w:t>
      </w:r>
      <w:r>
        <w:t xml:space="preserve"> queries/sec).</w:t>
      </w:r>
    </w:p>
    <w:p>
      <w:pPr>
        <w:pStyle w:val="ListBullet"/>
        <w:spacing w:before="0" w:after="60"/>
        <w:jc w:val="left"/>
      </w:pPr>
      <w:r>
        <w:rPr>
          <w:b/>
        </w:rPr>
        <w:t>BURST:</w:t>
      </w:r>
      <w:r>
        <w:t xml:space="preserve"> Concurrent query spikes (</w:t>
      </w:r>
      <w:r>
        <w:rPr>
          <w:rFonts w:ascii="Cambria Math" w:hAnsi="Cambria Math"/>
          <w:i/>
          <w:color w:val="003366"/>
        </w:rPr>
        <w:t>\lambda = 2.5</w:t>
      </w:r>
      <w:r>
        <w:t xml:space="preserve"> queries/sec).</w:t>
      </w:r>
    </w:p>
    <w:p>
      <w:pPr>
        <w:pStyle w:val="ListBullet"/>
        <w:spacing w:before="0" w:after="60"/>
        <w:jc w:val="left"/>
      </w:pPr>
      <w:r>
        <w:rPr>
          <w:b/>
        </w:rPr>
        <w:t>RECOVERY:</w:t>
      </w:r>
      <w:r>
        <w:t xml:space="preserve"> Load abatement phase (</w:t>
      </w:r>
      <w:r>
        <w:rPr>
          <w:rFonts w:ascii="Cambria Math" w:hAnsi="Cambria Math"/>
          <w:i/>
          <w:color w:val="003366"/>
        </w:rPr>
        <w:t>\lambda = 0.2</w:t>
      </w:r>
      <w:r>
        <w:t xml:space="preserve"> queries/sec).</w:t>
      </w:r>
    </w:p>
    <w:p>
      <w:pPr>
        <w:spacing w:before="0" w:after="80"/>
        <w:jc w:val="left"/>
      </w:pPr>
      <w:r>
        <w:t xml:space="preserve">We executed a continuous </w:t>
      </w:r>
      <w:r>
        <w:rPr>
          <w:b/>
        </w:rPr>
        <w:t>4.13-hour physical experiment</w:t>
      </w:r>
      <w:r>
        <w:t xml:space="preserve"> on live Spark/Iceberg infrastructure, generating:</w:t>
      </w:r>
    </w:p>
    <w:p>
      <w:pPr>
        <w:pStyle w:val="ListBullet"/>
        <w:spacing w:before="0" w:after="60"/>
        <w:jc w:val="left"/>
      </w:pPr>
      <w:r>
        <w:rPr>
          <w:b/>
        </w:rPr>
        <w:t>$14,867$ 1Hz telemetry records</w:t>
      </w:r>
      <w:r>
        <w:t xml:space="preserve"> (</w:t>
      </w:r>
      <w:r>
        <w:rPr>
          <w:rFonts w:ascii="Consolas" w:hAnsi="Consolas"/>
          <w:color w:val="8B0000"/>
          <w:sz w:val="19"/>
        </w:rPr>
        <w:t>physical_telemetry.csv</w:t>
      </w:r>
      <w:r>
        <w:t>).</w:t>
      </w:r>
    </w:p>
    <w:p>
      <w:pPr>
        <w:pStyle w:val="ListBullet"/>
        <w:spacing w:before="0" w:after="60"/>
        <w:jc w:val="left"/>
      </w:pPr>
      <w:r>
        <w:rPr>
          <w:b/>
        </w:rPr>
        <w:t>$778$ physical query dispatches</w:t>
      </w:r>
      <w:r>
        <w:t xml:space="preserve"> (</w:t>
      </w:r>
      <w:r>
        <w:rPr>
          <w:rFonts w:ascii="Consolas" w:hAnsi="Consolas"/>
          <w:color w:val="8B0000"/>
          <w:sz w:val="19"/>
        </w:rPr>
        <w:t>physical_queries.csv</w:t>
      </w:r>
      <w:r>
        <w:t>).</w:t>
      </w:r>
    </w:p>
    <w:p>
      <w:pPr>
        <w:pStyle w:val="ListBullet"/>
        <w:spacing w:before="0" w:after="60"/>
        <w:jc w:val="left"/>
      </w:pPr>
      <w:r>
        <w:rPr>
          <w:b/>
        </w:rPr>
        <w:t>Sliding Window Dataset</w:t>
      </w:r>
      <w:r>
        <w:t xml:space="preserve"> (</w:t>
      </w:r>
      <w:r>
        <w:rPr>
          <w:rFonts w:ascii="Consolas" w:hAnsi="Consolas"/>
          <w:color w:val="8B0000"/>
          <w:sz w:val="19"/>
        </w:rPr>
        <w:t>temporal_windows.csv</w:t>
      </w:r>
      <w:r>
        <w:t>, 3.1 MB feature matrix), engineering 60-second rolling statistics (</w:t>
      </w:r>
      <w:r>
        <w:rPr>
          <w:rFonts w:ascii="Consolas" w:hAnsi="Consolas"/>
          <w:color w:val="8B0000"/>
          <w:sz w:val="19"/>
        </w:rPr>
        <w:t>cpu_utilization_pct_mean_60s</w:t>
      </w:r>
      <w:r>
        <w:t xml:space="preserve">, </w:t>
      </w:r>
      <w:r>
        <w:rPr>
          <w:rFonts w:ascii="Consolas" w:hAnsi="Consolas"/>
          <w:color w:val="8B0000"/>
          <w:sz w:val="19"/>
        </w:rPr>
        <w:t>disk_read_bytes_sec_std_60s</w:t>
      </w:r>
      <w:r>
        <w:t xml:space="preserve">, </w:t>
      </w:r>
      <w:r>
        <w:rPr>
          <w:rFonts w:ascii="Consolas" w:hAnsi="Consolas"/>
          <w:color w:val="8B0000"/>
          <w:sz w:val="19"/>
        </w:rPr>
        <w:t>active_spark_tasks_mean_60s</w:t>
      </w:r>
      <w:r>
        <w:t xml:space="preserve">) predicting a </w:t>
      </w:r>
      <w:r>
        <w:rPr>
          <w:rFonts w:ascii="Cambria Math" w:hAnsi="Cambria Math"/>
          <w:i/>
          <w:color w:val="003366"/>
        </w:rPr>
        <w:t>300</w:t>
      </w:r>
      <w:r>
        <w:t>-second execution horizon target (</w:t>
      </w:r>
      <w:r>
        <w:rPr>
          <w:rFonts w:ascii="Consolas" w:hAnsi="Consolas"/>
          <w:color w:val="8B0000"/>
          <w:sz w:val="19"/>
        </w:rPr>
        <w:t>target_avg_query_duration_300s</w:t>
      </w:r>
      <w:r>
        <w:t>).</w:t>
      </w:r>
    </w:p>
    <w:p>
      <w:pPr>
        <w:spacing w:before="200" w:after="80"/>
        <w:jc w:val="left"/>
      </w:pPr>
      <w:r>
        <w:rPr>
          <w:rFonts w:ascii="Calibri" w:hAnsi="Calibri"/>
          <w:b/>
          <w:color w:val="366092"/>
          <w:sz w:val="25"/>
        </w:rPr>
        <w:t>6.2 Phase 5 Multi-Policy Trace Evaluation Results</w:t>
      </w:r>
    </w:p>
    <w:p>
      <w:pPr>
        <w:spacing w:before="0" w:after="80"/>
        <w:jc w:val="left"/>
      </w:pPr>
      <w:r>
        <w:t>We replayed the continuous 4-hour physical workload trace (</w:t>
      </w:r>
      <w:r>
        <w:rPr>
          <w:rFonts w:ascii="Cambria Math" w:hAnsi="Cambria Math"/>
          <w:i/>
          <w:color w:val="003366"/>
        </w:rPr>
        <w:t>N=2,115</w:t>
      </w:r>
      <w:r>
        <w:t xml:space="preserve"> decision evaluation windows) through an 8-policy scheduling harness enforcing bounded starvation protection (</w:t>
      </w:r>
      <w:r>
        <w:rPr>
          <w:rFonts w:ascii="Cambria Math" w:hAnsi="Cambria Math"/>
          <w:i/>
          <w:color w:val="003366"/>
        </w:rPr>
        <w:t>K_{\text{max}}=3</w:t>
      </w:r>
      <w:r>
        <w:t>).</w:t>
      </w:r>
    </w:p>
    <w:p>
      <w:pPr>
        <w:spacing w:before="0" w:after="80"/>
        <w:jc w:val="left"/>
      </w:pPr>
      <w:r>
        <w:t>Table 6 presents the multi-policy trace replay results.</w:t>
      </w:r>
    </w:p>
    <w:tbl>
      <w:tblPr>
        <w:tblW w:type="auto" w:w="0"/>
        <w:jc w:val="center"/>
        <w:tblLook w:firstColumn="1" w:firstRow="1" w:lastColumn="0" w:lastRow="0" w:noHBand="0" w:noVBand="1" w:val="04A0"/>
        <w:tblBorders>
          <w:top w:val="single" w:sz="6" w:space="0" w:color="B0C4DE"/>
          <w:bottom w:val="single" w:sz="6" w:space="0" w:color="B0C4DE"/>
          <w:left w:val="none"/>
          <w:right w:val="none"/>
          <w:insideH w:val="single" w:sz="6" w:space="0" w:color="B0C4DE"/>
          <w:insideV w:val="none"/>
        </w:tblBorders>
      </w:tblPr>
      <w:tblGrid>
        <w:gridCol w:w="1337"/>
        <w:gridCol w:w="1337"/>
        <w:gridCol w:w="1337"/>
        <w:gridCol w:w="1337"/>
        <w:gridCol w:w="1337"/>
        <w:gridCol w:w="1337"/>
        <w:gridCol w:w="1337"/>
      </w:tblGrid>
      <w:tr>
        <w:tc>
          <w:tcPr>
            <w:tcW w:type="dxa" w:w="1337"/>
            <w:shd w:fill="1F497D"/>
            <w:tcMar>
              <w:top w:w="120" w:type="dxa"/>
              <w:bottom w:w="120" w:type="dxa"/>
              <w:left w:w="150" w:type="dxa"/>
              <w:right w:w="150" w:type="dxa"/>
            </w:tcMar>
          </w:tcPr>
          <w:p>
            <w:pPr>
              <w:jc w:val="left"/>
            </w:pPr>
            <w:r>
              <w:rPr>
                <w:b/>
                <w:color w:val="FFFFFF"/>
                <w:sz w:val="20"/>
              </w:rPr>
              <w:t>Policy Name</w:t>
            </w:r>
          </w:p>
        </w:tc>
        <w:tc>
          <w:tcPr>
            <w:tcW w:type="dxa" w:w="1337"/>
            <w:shd w:fill="1F497D"/>
            <w:tcMar>
              <w:top w:w="120" w:type="dxa"/>
              <w:bottom w:w="120" w:type="dxa"/>
              <w:left w:w="150" w:type="dxa"/>
              <w:right w:w="150" w:type="dxa"/>
            </w:tcMar>
          </w:tcPr>
          <w:p>
            <w:pPr>
              <w:jc w:val="left"/>
            </w:pPr>
            <w:r>
              <w:rPr>
                <w:b/>
                <w:color w:val="FFFFFF"/>
                <w:sz w:val="20"/>
              </w:rPr>
              <w:t>Maintenance Completion Rate (%)</w:t>
            </w:r>
          </w:p>
        </w:tc>
        <w:tc>
          <w:tcPr>
            <w:tcW w:type="dxa" w:w="1337"/>
            <w:shd w:fill="1F497D"/>
            <w:tcMar>
              <w:top w:w="120" w:type="dxa"/>
              <w:bottom w:w="120" w:type="dxa"/>
              <w:left w:w="150" w:type="dxa"/>
              <w:right w:w="150" w:type="dxa"/>
            </w:tcMar>
          </w:tcPr>
          <w:p>
            <w:pPr>
              <w:jc w:val="left"/>
            </w:pPr>
            <w:r>
              <w:rPr>
                <w:b/>
                <w:color w:val="FFFFFF"/>
                <w:sz w:val="20"/>
              </w:rPr>
              <w:t>Maintenance Deferral Rate (%)</w:t>
            </w:r>
          </w:p>
        </w:tc>
        <w:tc>
          <w:tcPr>
            <w:tcW w:type="dxa" w:w="1337"/>
            <w:shd w:fill="1F497D"/>
            <w:tcMar>
              <w:top w:w="120" w:type="dxa"/>
              <w:bottom w:w="120" w:type="dxa"/>
              <w:left w:w="150" w:type="dxa"/>
              <w:right w:w="150" w:type="dxa"/>
            </w:tcMar>
          </w:tcPr>
          <w:p>
            <w:pPr>
              <w:jc w:val="left"/>
            </w:pPr>
            <w:r>
              <w:rPr>
                <w:b/>
                <w:color w:val="FFFFFF"/>
                <w:sz w:val="20"/>
              </w:rPr>
              <w:t>SLA Violation Rate (%)</w:t>
            </w:r>
          </w:p>
        </w:tc>
        <w:tc>
          <w:tcPr>
            <w:tcW w:type="dxa" w:w="1337"/>
            <w:shd w:fill="1F497D"/>
            <w:tcMar>
              <w:top w:w="120" w:type="dxa"/>
              <w:bottom w:w="120" w:type="dxa"/>
              <w:left w:w="150" w:type="dxa"/>
              <w:right w:w="150" w:type="dxa"/>
            </w:tcMar>
          </w:tcPr>
          <w:p>
            <w:pPr>
              <w:jc w:val="left"/>
            </w:pPr>
            <w:r>
              <w:rPr>
                <w:b/>
                <w:color w:val="FFFFFF"/>
                <w:sz w:val="20"/>
              </w:rPr>
              <w:t>Mean Observed Target Latency (ms)</w:t>
            </w:r>
          </w:p>
        </w:tc>
        <w:tc>
          <w:tcPr>
            <w:tcW w:type="dxa" w:w="1337"/>
            <w:shd w:fill="1F497D"/>
            <w:tcMar>
              <w:top w:w="120" w:type="dxa"/>
              <w:bottom w:w="120" w:type="dxa"/>
              <w:left w:w="150" w:type="dxa"/>
              <w:right w:w="150" w:type="dxa"/>
            </w:tcMar>
          </w:tcPr>
          <w:p>
            <w:pPr>
              <w:jc w:val="left"/>
            </w:pPr>
            <w:r>
              <w:rPr>
                <w:b/>
                <w:color w:val="FFFFFF"/>
                <w:sz w:val="20"/>
              </w:rPr>
              <w:t>Starvation Events ($K \ge 3$)</w:t>
            </w:r>
          </w:p>
        </w:tc>
        <w:tc>
          <w:tcPr>
            <w:tcW w:type="dxa" w:w="1337"/>
            <w:shd w:fill="1F497D"/>
            <w:tcMar>
              <w:top w:w="120" w:type="dxa"/>
              <w:bottom w:w="120" w:type="dxa"/>
              <w:left w:w="150" w:type="dxa"/>
              <w:right w:w="150" w:type="dxa"/>
            </w:tcMar>
          </w:tcPr>
          <w:p>
            <w:pPr>
              <w:jc w:val="left"/>
            </w:pPr>
            <w:r>
              <w:rPr>
                <w:b/>
                <w:color w:val="FFFFFF"/>
                <w:sz w:val="20"/>
              </w:rPr>
              <w:t>Forced Override Rate (%)</w:t>
            </w:r>
          </w:p>
        </w:tc>
      </w:tr>
      <w:tr>
        <w:tc>
          <w:tcPr>
            <w:tcW w:type="dxa" w:w="1337"/>
            <w:shd w:fill="FFFFFF"/>
            <w:tcMar>
              <w:top w:w="100" w:type="dxa"/>
              <w:bottom w:w="100" w:type="dxa"/>
              <w:left w:w="150" w:type="dxa"/>
              <w:right w:w="150" w:type="dxa"/>
            </w:tcMar>
          </w:tcPr>
          <w:p>
            <w:pPr>
              <w:jc w:val="left"/>
            </w:pPr>
            <w:r>
              <w:rPr>
                <w:b/>
                <w:sz w:val="19"/>
              </w:rPr>
              <w:t>**AlwaysRun (Baseline)**</w:t>
            </w:r>
          </w:p>
        </w:tc>
        <w:tc>
          <w:tcPr>
            <w:tcW w:type="dxa" w:w="1337"/>
            <w:shd w:fill="FFFFFF"/>
            <w:tcMar>
              <w:top w:w="100" w:type="dxa"/>
              <w:bottom w:w="100" w:type="dxa"/>
              <w:left w:w="150" w:type="dxa"/>
              <w:right w:w="150" w:type="dxa"/>
            </w:tcMar>
          </w:tcPr>
          <w:p>
            <w:pPr>
              <w:jc w:val="left"/>
            </w:pPr>
            <w:r>
              <w:rPr>
                <w:sz w:val="19"/>
              </w:rPr>
              <w:t>100.0%</w:t>
            </w:r>
          </w:p>
        </w:tc>
        <w:tc>
          <w:tcPr>
            <w:tcW w:type="dxa" w:w="1337"/>
            <w:shd w:fill="FFFFFF"/>
            <w:tcMar>
              <w:top w:w="100" w:type="dxa"/>
              <w:bottom w:w="100" w:type="dxa"/>
              <w:left w:w="150" w:type="dxa"/>
              <w:right w:w="150" w:type="dxa"/>
            </w:tcMar>
          </w:tcPr>
          <w:p>
            <w:pPr>
              <w:jc w:val="left"/>
            </w:pPr>
            <w:r>
              <w:rPr>
                <w:sz w:val="19"/>
              </w:rPr>
              <w:t>0.0%</w:t>
            </w:r>
          </w:p>
        </w:tc>
        <w:tc>
          <w:tcPr>
            <w:tcW w:type="dxa" w:w="1337"/>
            <w:shd w:fill="FFFFFF"/>
            <w:tcMar>
              <w:top w:w="100" w:type="dxa"/>
              <w:bottom w:w="100" w:type="dxa"/>
              <w:left w:w="150" w:type="dxa"/>
              <w:right w:w="150" w:type="dxa"/>
            </w:tcMar>
          </w:tcPr>
          <w:p>
            <w:pPr>
              <w:jc w:val="left"/>
            </w:pPr>
            <w:r>
              <w:rPr>
                <w:sz w:val="19"/>
              </w:rPr>
              <w:t>12.99%</w:t>
            </w:r>
          </w:p>
        </w:tc>
        <w:tc>
          <w:tcPr>
            <w:tcW w:type="dxa" w:w="1337"/>
            <w:shd w:fill="FFFFFF"/>
            <w:tcMar>
              <w:top w:w="100" w:type="dxa"/>
              <w:bottom w:w="100" w:type="dxa"/>
              <w:left w:w="150" w:type="dxa"/>
              <w:right w:w="150" w:type="dxa"/>
            </w:tcMar>
          </w:tcPr>
          <w:p>
            <w:pPr>
              <w:jc w:val="left"/>
            </w:pPr>
            <w:r>
              <w:rPr>
                <w:sz w:val="19"/>
              </w:rPr>
              <w:t>99.45</w:t>
            </w:r>
          </w:p>
        </w:tc>
        <w:tc>
          <w:tcPr>
            <w:tcW w:type="dxa" w:w="1337"/>
            <w:shd w:fill="FFFFFF"/>
            <w:tcMar>
              <w:top w:w="100" w:type="dxa"/>
              <w:bottom w:w="100" w:type="dxa"/>
              <w:left w:w="150" w:type="dxa"/>
              <w:right w:w="150" w:type="dxa"/>
            </w:tcMar>
          </w:tcPr>
          <w:p>
            <w:pPr>
              <w:jc w:val="left"/>
            </w:pPr>
            <w:r>
              <w:rPr>
                <w:sz w:val="19"/>
              </w:rPr>
              <w:t>0</w:t>
            </w:r>
          </w:p>
        </w:tc>
        <w:tc>
          <w:tcPr>
            <w:tcW w:type="dxa" w:w="1337"/>
            <w:shd w:fill="FFFFFF"/>
            <w:tcMar>
              <w:top w:w="100" w:type="dxa"/>
              <w:bottom w:w="100" w:type="dxa"/>
              <w:left w:w="150" w:type="dxa"/>
              <w:right w:w="150" w:type="dxa"/>
            </w:tcMar>
          </w:tcPr>
          <w:p>
            <w:pPr>
              <w:jc w:val="left"/>
            </w:pPr>
            <w:r>
              <w:rPr>
                <w:sz w:val="19"/>
              </w:rPr>
              <w:t>0.0%</w:t>
            </w:r>
          </w:p>
        </w:tc>
      </w:tr>
      <w:tr>
        <w:tc>
          <w:tcPr>
            <w:tcW w:type="dxa" w:w="1337"/>
            <w:shd w:fill="F2F5F9"/>
            <w:tcMar>
              <w:top w:w="100" w:type="dxa"/>
              <w:bottom w:w="100" w:type="dxa"/>
              <w:left w:w="150" w:type="dxa"/>
              <w:right w:w="150" w:type="dxa"/>
            </w:tcMar>
          </w:tcPr>
          <w:p>
            <w:pPr>
              <w:jc w:val="left"/>
            </w:pPr>
            <w:r>
              <w:rPr>
                <w:b/>
                <w:sz w:val="19"/>
              </w:rPr>
              <w:t>**AlwaysDefer**</w:t>
            </w:r>
          </w:p>
        </w:tc>
        <w:tc>
          <w:tcPr>
            <w:tcW w:type="dxa" w:w="1337"/>
            <w:shd w:fill="F2F5F9"/>
            <w:tcMar>
              <w:top w:w="100" w:type="dxa"/>
              <w:bottom w:w="100" w:type="dxa"/>
              <w:left w:w="150" w:type="dxa"/>
              <w:right w:w="150" w:type="dxa"/>
            </w:tcMar>
          </w:tcPr>
          <w:p>
            <w:pPr>
              <w:jc w:val="left"/>
            </w:pPr>
            <w:r>
              <w:rPr>
                <w:sz w:val="19"/>
              </w:rPr>
              <w:t>0.0%</w:t>
            </w:r>
          </w:p>
        </w:tc>
        <w:tc>
          <w:tcPr>
            <w:tcW w:type="dxa" w:w="1337"/>
            <w:shd w:fill="F2F5F9"/>
            <w:tcMar>
              <w:top w:w="100" w:type="dxa"/>
              <w:bottom w:w="100" w:type="dxa"/>
              <w:left w:w="150" w:type="dxa"/>
              <w:right w:w="150" w:type="dxa"/>
            </w:tcMar>
          </w:tcPr>
          <w:p>
            <w:pPr>
              <w:jc w:val="left"/>
            </w:pPr>
            <w:r>
              <w:rPr>
                <w:sz w:val="19"/>
              </w:rPr>
              <w:t>100.0%</w:t>
            </w:r>
          </w:p>
        </w:tc>
        <w:tc>
          <w:tcPr>
            <w:tcW w:type="dxa" w:w="1337"/>
            <w:shd w:fill="F2F5F9"/>
            <w:tcMar>
              <w:top w:w="100" w:type="dxa"/>
              <w:bottom w:w="100" w:type="dxa"/>
              <w:left w:w="150" w:type="dxa"/>
              <w:right w:w="150" w:type="dxa"/>
            </w:tcMar>
          </w:tcPr>
          <w:p>
            <w:pPr>
              <w:jc w:val="left"/>
            </w:pPr>
            <w:r>
              <w:rPr>
                <w:sz w:val="19"/>
              </w:rPr>
              <w:t>0.00%</w:t>
            </w:r>
          </w:p>
        </w:tc>
        <w:tc>
          <w:tcPr>
            <w:tcW w:type="dxa" w:w="1337"/>
            <w:shd w:fill="F2F5F9"/>
            <w:tcMar>
              <w:top w:w="100" w:type="dxa"/>
              <w:bottom w:w="100" w:type="dxa"/>
              <w:left w:w="150" w:type="dxa"/>
              <w:right w:w="150" w:type="dxa"/>
            </w:tcMar>
          </w:tcPr>
          <w:p>
            <w:pPr>
              <w:jc w:val="left"/>
            </w:pPr>
            <w:r>
              <w:rPr>
                <w:sz w:val="19"/>
              </w:rPr>
              <w:t>0.00</w:t>
            </w:r>
          </w:p>
        </w:tc>
        <w:tc>
          <w:tcPr>
            <w:tcW w:type="dxa" w:w="1337"/>
            <w:shd w:fill="F2F5F9"/>
            <w:tcMar>
              <w:top w:w="100" w:type="dxa"/>
              <w:bottom w:w="100" w:type="dxa"/>
              <w:left w:w="150" w:type="dxa"/>
              <w:right w:w="150" w:type="dxa"/>
            </w:tcMar>
          </w:tcPr>
          <w:p>
            <w:pPr>
              <w:jc w:val="left"/>
            </w:pPr>
            <w:r>
              <w:rPr>
                <w:sz w:val="19"/>
              </w:rPr>
              <w:t>2,115</w:t>
            </w:r>
          </w:p>
        </w:tc>
        <w:tc>
          <w:tcPr>
            <w:tcW w:type="dxa" w:w="1337"/>
            <w:shd w:fill="F2F5F9"/>
            <w:tcMar>
              <w:top w:w="100" w:type="dxa"/>
              <w:bottom w:w="100" w:type="dxa"/>
              <w:left w:w="150" w:type="dxa"/>
              <w:right w:w="150" w:type="dxa"/>
            </w:tcMar>
          </w:tcPr>
          <w:p>
            <w:pPr>
              <w:jc w:val="left"/>
            </w:pPr>
            <w:r>
              <w:rPr>
                <w:sz w:val="19"/>
              </w:rPr>
              <w:t>0.0%</w:t>
            </w:r>
          </w:p>
        </w:tc>
      </w:tr>
      <w:tr>
        <w:tc>
          <w:tcPr>
            <w:tcW w:type="dxa" w:w="1337"/>
            <w:shd w:fill="FFFFFF"/>
            <w:tcMar>
              <w:top w:w="100" w:type="dxa"/>
              <w:bottom w:w="100" w:type="dxa"/>
              <w:left w:w="150" w:type="dxa"/>
              <w:right w:w="150" w:type="dxa"/>
            </w:tcMar>
          </w:tcPr>
          <w:p>
            <w:pPr>
              <w:jc w:val="left"/>
            </w:pPr>
            <w:r>
              <w:rPr>
                <w:b/>
                <w:sz w:val="19"/>
              </w:rPr>
              <w:t>**Random Policy ($P=0.5$)**</w:t>
            </w:r>
          </w:p>
        </w:tc>
        <w:tc>
          <w:tcPr>
            <w:tcW w:type="dxa" w:w="1337"/>
            <w:shd w:fill="FFFFFF"/>
            <w:tcMar>
              <w:top w:w="100" w:type="dxa"/>
              <w:bottom w:w="100" w:type="dxa"/>
              <w:left w:w="150" w:type="dxa"/>
              <w:right w:w="150" w:type="dxa"/>
            </w:tcMar>
          </w:tcPr>
          <w:p>
            <w:pPr>
              <w:jc w:val="left"/>
            </w:pPr>
            <w:r>
              <w:rPr>
                <w:sz w:val="19"/>
              </w:rPr>
              <w:t>51.58%</w:t>
            </w:r>
          </w:p>
        </w:tc>
        <w:tc>
          <w:tcPr>
            <w:tcW w:type="dxa" w:w="1337"/>
            <w:shd w:fill="FFFFFF"/>
            <w:tcMar>
              <w:top w:w="100" w:type="dxa"/>
              <w:bottom w:w="100" w:type="dxa"/>
              <w:left w:w="150" w:type="dxa"/>
              <w:right w:w="150" w:type="dxa"/>
            </w:tcMar>
          </w:tcPr>
          <w:p>
            <w:pPr>
              <w:jc w:val="left"/>
            </w:pPr>
            <w:r>
              <w:rPr>
                <w:sz w:val="19"/>
              </w:rPr>
              <w:t>48.42%</w:t>
            </w:r>
          </w:p>
        </w:tc>
        <w:tc>
          <w:tcPr>
            <w:tcW w:type="dxa" w:w="1337"/>
            <w:shd w:fill="FFFFFF"/>
            <w:tcMar>
              <w:top w:w="100" w:type="dxa"/>
              <w:bottom w:w="100" w:type="dxa"/>
              <w:left w:w="150" w:type="dxa"/>
              <w:right w:w="150" w:type="dxa"/>
            </w:tcMar>
          </w:tcPr>
          <w:p>
            <w:pPr>
              <w:jc w:val="left"/>
            </w:pPr>
            <w:r>
              <w:rPr>
                <w:sz w:val="19"/>
              </w:rPr>
              <w:t>12.73%</w:t>
            </w:r>
          </w:p>
        </w:tc>
        <w:tc>
          <w:tcPr>
            <w:tcW w:type="dxa" w:w="1337"/>
            <w:shd w:fill="FFFFFF"/>
            <w:tcMar>
              <w:top w:w="100" w:type="dxa"/>
              <w:bottom w:w="100" w:type="dxa"/>
              <w:left w:w="150" w:type="dxa"/>
              <w:right w:w="150" w:type="dxa"/>
            </w:tcMar>
          </w:tcPr>
          <w:p>
            <w:pPr>
              <w:jc w:val="left"/>
            </w:pPr>
            <w:r>
              <w:rPr>
                <w:sz w:val="19"/>
              </w:rPr>
              <w:t>100.01</w:t>
            </w:r>
          </w:p>
        </w:tc>
        <w:tc>
          <w:tcPr>
            <w:tcW w:type="dxa" w:w="1337"/>
            <w:shd w:fill="FFFFFF"/>
            <w:tcMar>
              <w:top w:w="100" w:type="dxa"/>
              <w:bottom w:w="100" w:type="dxa"/>
              <w:left w:w="150" w:type="dxa"/>
              <w:right w:w="150" w:type="dxa"/>
            </w:tcMar>
          </w:tcPr>
          <w:p>
            <w:pPr>
              <w:jc w:val="left"/>
            </w:pPr>
            <w:r>
              <w:rPr>
                <w:sz w:val="19"/>
              </w:rPr>
              <w:t>247</w:t>
            </w:r>
          </w:p>
        </w:tc>
        <w:tc>
          <w:tcPr>
            <w:tcW w:type="dxa" w:w="1337"/>
            <w:shd w:fill="FFFFFF"/>
            <w:tcMar>
              <w:top w:w="100" w:type="dxa"/>
              <w:bottom w:w="100" w:type="dxa"/>
              <w:left w:w="150" w:type="dxa"/>
              <w:right w:w="150" w:type="dxa"/>
            </w:tcMar>
          </w:tcPr>
          <w:p>
            <w:pPr>
              <w:jc w:val="left"/>
            </w:pPr>
            <w:r>
              <w:rPr>
                <w:sz w:val="19"/>
              </w:rPr>
              <w:t>0.0%</w:t>
            </w:r>
          </w:p>
        </w:tc>
      </w:tr>
      <w:tr>
        <w:tc>
          <w:tcPr>
            <w:tcW w:type="dxa" w:w="1337"/>
            <w:shd w:fill="F2F5F9"/>
            <w:tcMar>
              <w:top w:w="100" w:type="dxa"/>
              <w:bottom w:w="100" w:type="dxa"/>
              <w:left w:w="150" w:type="dxa"/>
              <w:right w:w="150" w:type="dxa"/>
            </w:tcMar>
          </w:tcPr>
          <w:p>
            <w:pPr>
              <w:jc w:val="left"/>
            </w:pPr>
            <w:r>
              <w:rPr>
                <w:b/>
                <w:sz w:val="19"/>
              </w:rPr>
              <w:t>**Cron Policy**</w:t>
            </w:r>
          </w:p>
        </w:tc>
        <w:tc>
          <w:tcPr>
            <w:tcW w:type="dxa" w:w="1337"/>
            <w:shd w:fill="F2F5F9"/>
            <w:tcMar>
              <w:top w:w="100" w:type="dxa"/>
              <w:bottom w:w="100" w:type="dxa"/>
              <w:left w:w="150" w:type="dxa"/>
              <w:right w:w="150" w:type="dxa"/>
            </w:tcMar>
          </w:tcPr>
          <w:p>
            <w:pPr>
              <w:jc w:val="left"/>
            </w:pPr>
            <w:r>
              <w:rPr>
                <w:sz w:val="19"/>
              </w:rPr>
              <w:t>33.30%</w:t>
            </w:r>
          </w:p>
        </w:tc>
        <w:tc>
          <w:tcPr>
            <w:tcW w:type="dxa" w:w="1337"/>
            <w:shd w:fill="F2F5F9"/>
            <w:tcMar>
              <w:top w:w="100" w:type="dxa"/>
              <w:bottom w:w="100" w:type="dxa"/>
              <w:left w:w="150" w:type="dxa"/>
              <w:right w:w="150" w:type="dxa"/>
            </w:tcMar>
          </w:tcPr>
          <w:p>
            <w:pPr>
              <w:jc w:val="left"/>
            </w:pPr>
            <w:r>
              <w:rPr>
                <w:sz w:val="19"/>
              </w:rPr>
              <w:t>66.70%</w:t>
            </w:r>
          </w:p>
        </w:tc>
        <w:tc>
          <w:tcPr>
            <w:tcW w:type="dxa" w:w="1337"/>
            <w:shd w:fill="F2F5F9"/>
            <w:tcMar>
              <w:top w:w="100" w:type="dxa"/>
              <w:bottom w:w="100" w:type="dxa"/>
              <w:left w:w="150" w:type="dxa"/>
              <w:right w:w="150" w:type="dxa"/>
            </w:tcMar>
          </w:tcPr>
          <w:p>
            <w:pPr>
              <w:jc w:val="left"/>
            </w:pPr>
            <w:r>
              <w:rPr>
                <w:sz w:val="19"/>
              </w:rPr>
              <w:t>13.05%</w:t>
            </w:r>
          </w:p>
        </w:tc>
        <w:tc>
          <w:tcPr>
            <w:tcW w:type="dxa" w:w="1337"/>
            <w:shd w:fill="F2F5F9"/>
            <w:tcMar>
              <w:top w:w="100" w:type="dxa"/>
              <w:bottom w:w="100" w:type="dxa"/>
              <w:left w:w="150" w:type="dxa"/>
              <w:right w:w="150" w:type="dxa"/>
            </w:tcMar>
          </w:tcPr>
          <w:p>
            <w:pPr>
              <w:jc w:val="left"/>
            </w:pPr>
            <w:r>
              <w:rPr>
                <w:sz w:val="19"/>
              </w:rPr>
              <w:t>99.39</w:t>
            </w:r>
          </w:p>
        </w:tc>
        <w:tc>
          <w:tcPr>
            <w:tcW w:type="dxa" w:w="1337"/>
            <w:shd w:fill="F2F5F9"/>
            <w:tcMar>
              <w:top w:w="100" w:type="dxa"/>
              <w:bottom w:w="100" w:type="dxa"/>
              <w:left w:w="150" w:type="dxa"/>
              <w:right w:w="150" w:type="dxa"/>
            </w:tcMar>
          </w:tcPr>
          <w:p>
            <w:pPr>
              <w:jc w:val="left"/>
            </w:pPr>
            <w:r>
              <w:rPr>
                <w:sz w:val="19"/>
              </w:rPr>
              <w:t>0</w:t>
            </w:r>
          </w:p>
        </w:tc>
        <w:tc>
          <w:tcPr>
            <w:tcW w:type="dxa" w:w="1337"/>
            <w:shd w:fill="F2F5F9"/>
            <w:tcMar>
              <w:top w:w="100" w:type="dxa"/>
              <w:bottom w:w="100" w:type="dxa"/>
              <w:left w:w="150" w:type="dxa"/>
              <w:right w:w="150" w:type="dxa"/>
            </w:tcMar>
          </w:tcPr>
          <w:p>
            <w:pPr>
              <w:jc w:val="left"/>
            </w:pPr>
            <w:r>
              <w:rPr>
                <w:sz w:val="19"/>
              </w:rPr>
              <w:t>0.0%</w:t>
            </w:r>
          </w:p>
        </w:tc>
      </w:tr>
      <w:tr>
        <w:tc>
          <w:tcPr>
            <w:tcW w:type="dxa" w:w="1337"/>
            <w:shd w:fill="FFFFFF"/>
            <w:tcMar>
              <w:top w:w="100" w:type="dxa"/>
              <w:bottom w:w="100" w:type="dxa"/>
              <w:left w:w="150" w:type="dxa"/>
              <w:right w:w="150" w:type="dxa"/>
            </w:tcMar>
          </w:tcPr>
          <w:p>
            <w:pPr>
              <w:jc w:val="left"/>
            </w:pPr>
            <w:r>
              <w:rPr>
                <w:b/>
                <w:sz w:val="19"/>
              </w:rPr>
              <w:t>**Explicit Resource Heuristic**</w:t>
            </w:r>
          </w:p>
        </w:tc>
        <w:tc>
          <w:tcPr>
            <w:tcW w:type="dxa" w:w="1337"/>
            <w:shd w:fill="FFFFFF"/>
            <w:tcMar>
              <w:top w:w="100" w:type="dxa"/>
              <w:bottom w:w="100" w:type="dxa"/>
              <w:left w:w="150" w:type="dxa"/>
              <w:right w:w="150" w:type="dxa"/>
            </w:tcMar>
          </w:tcPr>
          <w:p>
            <w:pPr>
              <w:jc w:val="left"/>
            </w:pPr>
            <w:r>
              <w:rPr>
                <w:sz w:val="19"/>
              </w:rPr>
              <w:t>99.29%</w:t>
            </w:r>
          </w:p>
        </w:tc>
        <w:tc>
          <w:tcPr>
            <w:tcW w:type="dxa" w:w="1337"/>
            <w:shd w:fill="FFFFFF"/>
            <w:tcMar>
              <w:top w:w="100" w:type="dxa"/>
              <w:bottom w:w="100" w:type="dxa"/>
              <w:left w:w="150" w:type="dxa"/>
              <w:right w:w="150" w:type="dxa"/>
            </w:tcMar>
          </w:tcPr>
          <w:p>
            <w:pPr>
              <w:jc w:val="left"/>
            </w:pPr>
            <w:r>
              <w:rPr>
                <w:sz w:val="19"/>
              </w:rPr>
              <w:t>0.71%</w:t>
            </w:r>
          </w:p>
        </w:tc>
        <w:tc>
          <w:tcPr>
            <w:tcW w:type="dxa" w:w="1337"/>
            <w:shd w:fill="FFFFFF"/>
            <w:tcMar>
              <w:top w:w="100" w:type="dxa"/>
              <w:bottom w:w="100" w:type="dxa"/>
              <w:left w:w="150" w:type="dxa"/>
              <w:right w:w="150" w:type="dxa"/>
            </w:tcMar>
          </w:tcPr>
          <w:p>
            <w:pPr>
              <w:jc w:val="left"/>
            </w:pPr>
            <w:r>
              <w:rPr>
                <w:sz w:val="19"/>
              </w:rPr>
              <w:t>12.70%</w:t>
            </w:r>
          </w:p>
        </w:tc>
        <w:tc>
          <w:tcPr>
            <w:tcW w:type="dxa" w:w="1337"/>
            <w:shd w:fill="FFFFFF"/>
            <w:tcMar>
              <w:top w:w="100" w:type="dxa"/>
              <w:bottom w:w="100" w:type="dxa"/>
              <w:left w:w="150" w:type="dxa"/>
              <w:right w:w="150" w:type="dxa"/>
            </w:tcMar>
          </w:tcPr>
          <w:p>
            <w:pPr>
              <w:jc w:val="left"/>
            </w:pPr>
            <w:r>
              <w:rPr>
                <w:sz w:val="19"/>
              </w:rPr>
              <w:t>99.07</w:t>
            </w:r>
          </w:p>
        </w:tc>
        <w:tc>
          <w:tcPr>
            <w:tcW w:type="dxa" w:w="1337"/>
            <w:shd w:fill="FFFFFF"/>
            <w:tcMar>
              <w:top w:w="100" w:type="dxa"/>
              <w:bottom w:w="100" w:type="dxa"/>
              <w:left w:w="150" w:type="dxa"/>
              <w:right w:w="150" w:type="dxa"/>
            </w:tcMar>
          </w:tcPr>
          <w:p>
            <w:pPr>
              <w:jc w:val="left"/>
            </w:pPr>
            <w:r>
              <w:rPr>
                <w:sz w:val="19"/>
              </w:rPr>
              <w:t>0</w:t>
            </w:r>
          </w:p>
        </w:tc>
        <w:tc>
          <w:tcPr>
            <w:tcW w:type="dxa" w:w="1337"/>
            <w:shd w:fill="FFFFFF"/>
            <w:tcMar>
              <w:top w:w="100" w:type="dxa"/>
              <w:bottom w:w="100" w:type="dxa"/>
              <w:left w:w="150" w:type="dxa"/>
              <w:right w:w="150" w:type="dxa"/>
            </w:tcMar>
          </w:tcPr>
          <w:p>
            <w:pPr>
              <w:jc w:val="left"/>
            </w:pPr>
            <w:r>
              <w:rPr>
                <w:sz w:val="19"/>
              </w:rPr>
              <w:t>0.0%</w:t>
            </w:r>
          </w:p>
        </w:tc>
      </w:tr>
      <w:tr>
        <w:tc>
          <w:tcPr>
            <w:tcW w:type="dxa" w:w="1337"/>
            <w:shd w:fill="F2F5F9"/>
            <w:tcMar>
              <w:top w:w="100" w:type="dxa"/>
              <w:bottom w:w="100" w:type="dxa"/>
              <w:left w:w="150" w:type="dxa"/>
              <w:right w:w="150" w:type="dxa"/>
            </w:tcMar>
          </w:tcPr>
          <w:p>
            <w:pPr>
              <w:jc w:val="left"/>
            </w:pPr>
            <w:r>
              <w:rPr>
                <w:b/>
                <w:sz w:val="19"/>
              </w:rPr>
              <w:t>**PointPrediction Policy (RF)**</w:t>
            </w:r>
          </w:p>
        </w:tc>
        <w:tc>
          <w:tcPr>
            <w:tcW w:type="dxa" w:w="1337"/>
            <w:shd w:fill="F2F5F9"/>
            <w:tcMar>
              <w:top w:w="100" w:type="dxa"/>
              <w:bottom w:w="100" w:type="dxa"/>
              <w:left w:w="150" w:type="dxa"/>
              <w:right w:w="150" w:type="dxa"/>
            </w:tcMar>
          </w:tcPr>
          <w:p>
            <w:pPr>
              <w:jc w:val="left"/>
            </w:pPr>
            <w:r>
              <w:rPr>
                <w:b/>
                <w:sz w:val="19"/>
              </w:rPr>
              <w:t>**64.43%**</w:t>
            </w:r>
          </w:p>
        </w:tc>
        <w:tc>
          <w:tcPr>
            <w:tcW w:type="dxa" w:w="1337"/>
            <w:shd w:fill="F2F5F9"/>
            <w:tcMar>
              <w:top w:w="100" w:type="dxa"/>
              <w:bottom w:w="100" w:type="dxa"/>
              <w:left w:w="150" w:type="dxa"/>
              <w:right w:w="150" w:type="dxa"/>
            </w:tcMar>
          </w:tcPr>
          <w:p>
            <w:pPr>
              <w:jc w:val="left"/>
            </w:pPr>
            <w:r>
              <w:rPr>
                <w:b/>
                <w:sz w:val="19"/>
              </w:rPr>
              <w:t>**35.57%**</w:t>
            </w:r>
          </w:p>
        </w:tc>
        <w:tc>
          <w:tcPr>
            <w:tcW w:type="dxa" w:w="1337"/>
            <w:shd w:fill="F2F5F9"/>
            <w:tcMar>
              <w:top w:w="100" w:type="dxa"/>
              <w:bottom w:w="100" w:type="dxa"/>
              <w:left w:w="150" w:type="dxa"/>
              <w:right w:w="150" w:type="dxa"/>
            </w:tcMar>
          </w:tcPr>
          <w:p>
            <w:pPr>
              <w:jc w:val="left"/>
            </w:pPr>
            <w:r>
              <w:rPr>
                <w:b/>
                <w:sz w:val="19"/>
              </w:rPr>
              <w:t>**8.43%**</w:t>
            </w:r>
          </w:p>
        </w:tc>
        <w:tc>
          <w:tcPr>
            <w:tcW w:type="dxa" w:w="1337"/>
            <w:shd w:fill="F2F5F9"/>
            <w:tcMar>
              <w:top w:w="100" w:type="dxa"/>
              <w:bottom w:w="100" w:type="dxa"/>
              <w:left w:w="150" w:type="dxa"/>
              <w:right w:w="150" w:type="dxa"/>
            </w:tcMar>
          </w:tcPr>
          <w:p>
            <w:pPr>
              <w:jc w:val="left"/>
            </w:pPr>
            <w:r>
              <w:rPr>
                <w:b/>
                <w:sz w:val="19"/>
              </w:rPr>
              <w:t>**85.58**</w:t>
            </w:r>
          </w:p>
        </w:tc>
        <w:tc>
          <w:tcPr>
            <w:tcW w:type="dxa" w:w="1337"/>
            <w:shd w:fill="F2F5F9"/>
            <w:tcMar>
              <w:top w:w="100" w:type="dxa"/>
              <w:bottom w:w="100" w:type="dxa"/>
              <w:left w:w="150" w:type="dxa"/>
              <w:right w:w="150" w:type="dxa"/>
            </w:tcMar>
          </w:tcPr>
          <w:p>
            <w:pPr>
              <w:jc w:val="left"/>
            </w:pPr>
            <w:r>
              <w:rPr>
                <w:b/>
                <w:sz w:val="19"/>
              </w:rPr>
              <w:t>**718**</w:t>
            </w:r>
          </w:p>
        </w:tc>
        <w:tc>
          <w:tcPr>
            <w:tcW w:type="dxa" w:w="1337"/>
            <w:shd w:fill="F2F5F9"/>
            <w:tcMar>
              <w:top w:w="100" w:type="dxa"/>
              <w:bottom w:w="100" w:type="dxa"/>
              <w:left w:w="150" w:type="dxa"/>
              <w:right w:w="150" w:type="dxa"/>
            </w:tcMar>
          </w:tcPr>
          <w:p>
            <w:pPr>
              <w:jc w:val="left"/>
            </w:pPr>
            <w:r>
              <w:rPr>
                <w:b/>
                <w:sz w:val="19"/>
              </w:rPr>
              <w:t>**0.0%**</w:t>
            </w:r>
          </w:p>
        </w:tc>
      </w:tr>
      <w:tr>
        <w:tc>
          <w:tcPr>
            <w:tcW w:type="dxa" w:w="1337"/>
            <w:shd w:fill="FFFFFF"/>
            <w:tcMar>
              <w:top w:w="100" w:type="dxa"/>
              <w:bottom w:w="100" w:type="dxa"/>
              <w:left w:w="150" w:type="dxa"/>
              <w:right w:w="150" w:type="dxa"/>
            </w:tcMar>
          </w:tcPr>
          <w:p>
            <w:pPr>
              <w:jc w:val="left"/>
            </w:pPr>
            <w:r>
              <w:rPr>
                <w:b/>
                <w:sz w:val="19"/>
              </w:rPr>
              <w:t>**ConformalRisk Policy**</w:t>
            </w:r>
          </w:p>
        </w:tc>
        <w:tc>
          <w:tcPr>
            <w:tcW w:type="dxa" w:w="1337"/>
            <w:shd w:fill="FFFFFF"/>
            <w:tcMar>
              <w:top w:w="100" w:type="dxa"/>
              <w:bottom w:w="100" w:type="dxa"/>
              <w:left w:w="150" w:type="dxa"/>
              <w:right w:w="150" w:type="dxa"/>
            </w:tcMar>
          </w:tcPr>
          <w:p>
            <w:pPr>
              <w:jc w:val="left"/>
            </w:pPr>
            <w:r>
              <w:rPr>
                <w:sz w:val="19"/>
              </w:rPr>
              <w:t>0.0%</w:t>
            </w:r>
          </w:p>
        </w:tc>
        <w:tc>
          <w:tcPr>
            <w:tcW w:type="dxa" w:w="1337"/>
            <w:shd w:fill="FFFFFF"/>
            <w:tcMar>
              <w:top w:w="100" w:type="dxa"/>
              <w:bottom w:w="100" w:type="dxa"/>
              <w:left w:w="150" w:type="dxa"/>
              <w:right w:w="150" w:type="dxa"/>
            </w:tcMar>
          </w:tcPr>
          <w:p>
            <w:pPr>
              <w:jc w:val="left"/>
            </w:pPr>
            <w:r>
              <w:rPr>
                <w:sz w:val="19"/>
              </w:rPr>
              <w:t>100.0%</w:t>
            </w:r>
          </w:p>
        </w:tc>
        <w:tc>
          <w:tcPr>
            <w:tcW w:type="dxa" w:w="1337"/>
            <w:shd w:fill="FFFFFF"/>
            <w:tcMar>
              <w:top w:w="100" w:type="dxa"/>
              <w:bottom w:w="100" w:type="dxa"/>
              <w:left w:w="150" w:type="dxa"/>
              <w:right w:w="150" w:type="dxa"/>
            </w:tcMar>
          </w:tcPr>
          <w:p>
            <w:pPr>
              <w:jc w:val="left"/>
            </w:pPr>
            <w:r>
              <w:rPr>
                <w:sz w:val="19"/>
              </w:rPr>
              <w:t>0.00%</w:t>
            </w:r>
          </w:p>
        </w:tc>
        <w:tc>
          <w:tcPr>
            <w:tcW w:type="dxa" w:w="1337"/>
            <w:shd w:fill="FFFFFF"/>
            <w:tcMar>
              <w:top w:w="100" w:type="dxa"/>
              <w:bottom w:w="100" w:type="dxa"/>
              <w:left w:w="150" w:type="dxa"/>
              <w:right w:w="150" w:type="dxa"/>
            </w:tcMar>
          </w:tcPr>
          <w:p>
            <w:pPr>
              <w:jc w:val="left"/>
            </w:pPr>
            <w:r>
              <w:rPr>
                <w:sz w:val="19"/>
              </w:rPr>
              <w:t>0.00</w:t>
            </w:r>
          </w:p>
        </w:tc>
        <w:tc>
          <w:tcPr>
            <w:tcW w:type="dxa" w:w="1337"/>
            <w:shd w:fill="FFFFFF"/>
            <w:tcMar>
              <w:top w:w="100" w:type="dxa"/>
              <w:bottom w:w="100" w:type="dxa"/>
              <w:left w:w="150" w:type="dxa"/>
              <w:right w:w="150" w:type="dxa"/>
            </w:tcMar>
          </w:tcPr>
          <w:p>
            <w:pPr>
              <w:jc w:val="left"/>
            </w:pPr>
            <w:r>
              <w:rPr>
                <w:sz w:val="19"/>
              </w:rPr>
              <w:t>2,115</w:t>
            </w:r>
          </w:p>
        </w:tc>
        <w:tc>
          <w:tcPr>
            <w:tcW w:type="dxa" w:w="1337"/>
            <w:shd w:fill="FFFFFF"/>
            <w:tcMar>
              <w:top w:w="100" w:type="dxa"/>
              <w:bottom w:w="100" w:type="dxa"/>
              <w:left w:w="150" w:type="dxa"/>
              <w:right w:w="150" w:type="dxa"/>
            </w:tcMar>
          </w:tcPr>
          <w:p>
            <w:pPr>
              <w:jc w:val="left"/>
            </w:pPr>
            <w:r>
              <w:rPr>
                <w:sz w:val="19"/>
              </w:rPr>
              <w:t>0.0%</w:t>
            </w:r>
          </w:p>
        </w:tc>
      </w:tr>
      <w:tr>
        <w:tc>
          <w:tcPr>
            <w:tcW w:type="dxa" w:w="1337"/>
            <w:shd w:fill="F2F5F9"/>
            <w:tcMar>
              <w:top w:w="100" w:type="dxa"/>
              <w:bottom w:w="100" w:type="dxa"/>
              <w:left w:w="150" w:type="dxa"/>
              <w:right w:w="150" w:type="dxa"/>
            </w:tcMar>
          </w:tcPr>
          <w:p>
            <w:pPr>
              <w:jc w:val="left"/>
            </w:pPr>
            <w:r>
              <w:rPr>
                <w:b/>
                <w:sz w:val="19"/>
              </w:rPr>
              <w:t>**TemporalConformal Policy**</w:t>
            </w:r>
          </w:p>
        </w:tc>
        <w:tc>
          <w:tcPr>
            <w:tcW w:type="dxa" w:w="1337"/>
            <w:shd w:fill="F2F5F9"/>
            <w:tcMar>
              <w:top w:w="100" w:type="dxa"/>
              <w:bottom w:w="100" w:type="dxa"/>
              <w:left w:w="150" w:type="dxa"/>
              <w:right w:w="150" w:type="dxa"/>
            </w:tcMar>
          </w:tcPr>
          <w:p>
            <w:pPr>
              <w:jc w:val="left"/>
            </w:pPr>
            <w:r>
              <w:rPr>
                <w:sz w:val="19"/>
              </w:rPr>
              <w:t>24.99%</w:t>
            </w:r>
          </w:p>
        </w:tc>
        <w:tc>
          <w:tcPr>
            <w:tcW w:type="dxa" w:w="1337"/>
            <w:shd w:fill="F2F5F9"/>
            <w:tcMar>
              <w:top w:w="100" w:type="dxa"/>
              <w:bottom w:w="100" w:type="dxa"/>
              <w:left w:w="150" w:type="dxa"/>
              <w:right w:w="150" w:type="dxa"/>
            </w:tcMar>
          </w:tcPr>
          <w:p>
            <w:pPr>
              <w:jc w:val="left"/>
            </w:pPr>
            <w:r>
              <w:rPr>
                <w:sz w:val="19"/>
              </w:rPr>
              <w:t>75.01%</w:t>
            </w:r>
          </w:p>
        </w:tc>
        <w:tc>
          <w:tcPr>
            <w:tcW w:type="dxa" w:w="1337"/>
            <w:shd w:fill="F2F5F9"/>
            <w:tcMar>
              <w:top w:w="100" w:type="dxa"/>
              <w:bottom w:w="100" w:type="dxa"/>
              <w:left w:w="150" w:type="dxa"/>
              <w:right w:w="150" w:type="dxa"/>
            </w:tcMar>
          </w:tcPr>
          <w:p>
            <w:pPr>
              <w:jc w:val="left"/>
            </w:pPr>
            <w:r>
              <w:rPr>
                <w:sz w:val="19"/>
              </w:rPr>
              <w:t>13.04%</w:t>
            </w:r>
          </w:p>
        </w:tc>
        <w:tc>
          <w:tcPr>
            <w:tcW w:type="dxa" w:w="1337"/>
            <w:shd w:fill="F2F5F9"/>
            <w:tcMar>
              <w:top w:w="100" w:type="dxa"/>
              <w:bottom w:w="100" w:type="dxa"/>
              <w:left w:w="150" w:type="dxa"/>
              <w:right w:w="150" w:type="dxa"/>
            </w:tcMar>
          </w:tcPr>
          <w:p>
            <w:pPr>
              <w:jc w:val="left"/>
            </w:pPr>
            <w:r>
              <w:rPr>
                <w:sz w:val="19"/>
              </w:rPr>
              <w:t>99.44</w:t>
            </w:r>
          </w:p>
        </w:tc>
        <w:tc>
          <w:tcPr>
            <w:tcW w:type="dxa" w:w="1337"/>
            <w:shd w:fill="F2F5F9"/>
            <w:tcMar>
              <w:top w:w="100" w:type="dxa"/>
              <w:bottom w:w="100" w:type="dxa"/>
              <w:left w:w="150" w:type="dxa"/>
              <w:right w:w="150" w:type="dxa"/>
            </w:tcMar>
          </w:tcPr>
          <w:p>
            <w:pPr>
              <w:jc w:val="left"/>
            </w:pPr>
            <w:r>
              <w:rPr>
                <w:sz w:val="19"/>
              </w:rPr>
              <w:t>529</w:t>
            </w:r>
          </w:p>
        </w:tc>
        <w:tc>
          <w:tcPr>
            <w:tcW w:type="dxa" w:w="1337"/>
            <w:shd w:fill="F2F5F9"/>
            <w:tcMar>
              <w:top w:w="100" w:type="dxa"/>
              <w:bottom w:w="100" w:type="dxa"/>
              <w:left w:w="150" w:type="dxa"/>
              <w:right w:w="150" w:type="dxa"/>
            </w:tcMar>
          </w:tcPr>
          <w:p>
            <w:pPr>
              <w:jc w:val="left"/>
            </w:pPr>
            <w:r>
              <w:rPr>
                <w:sz w:val="19"/>
              </w:rPr>
              <w:t>100.0%</w:t>
            </w:r>
          </w:p>
        </w:tc>
      </w:tr>
    </w:tbl>
    <w:p>
      <w:pPr>
        <w:spacing w:after="120"/>
      </w:pPr>
    </w:p>
    <w:tbl>
      <w:tblPr>
        <w:tblW w:type="auto" w:w="0"/>
        <w:jc w:val="center"/>
        <w:tblLook w:firstColumn="1" w:firstRow="1" w:lastColumn="0" w:lastRow="0" w:noHBand="0" w:noVBand="1" w:val="04A0"/>
      </w:tblPr>
      <w:tblGrid>
        <w:gridCol w:w="9360"/>
      </w:tblGrid>
      <w:tr>
        <w:tc>
          <w:tcPr>
            <w:tcW w:type="dxa" w:w="9360"/>
            <w:shd w:fill="F4F4F4"/>
            <w:tcMar>
              <w:top w:w="120" w:type="dxa"/>
              <w:bottom w:w="120" w:type="dxa"/>
              <w:left w:w="180" w:type="dxa"/>
              <w:right w:w="180" w:type="dxa"/>
            </w:tcMar>
          </w:tcPr>
          <w:p>
            <w:pPr>
              <w:spacing w:after="0" w:line="240" w:lineRule="auto"/>
            </w:pPr>
            <w:r>
              <w:rPr>
                <w:rFonts w:ascii="Consolas" w:hAnsi="Consolas"/>
                <w:color w:val="111111"/>
                <w:sz w:val="18"/>
              </w:rPr>
              <w:t>+-------------------------------------------------------------------------------+</w:t>
              <w:br/>
              <w:t>|                 CONTINUOUS TRACE SCHEDULING PARETO TRADE-OFF                  |</w:t>
              <w:br/>
              <w:t>+-------------------------------------------------------------------------------+</w:t>
              <w:br/>
              <w:t>| High Completion Rate                                                          |</w:t>
              <w:br/>
              <w:t>|       ▲                                                                       |</w:t>
              <w:br/>
              <w:t>|       │  [AlwaysRun] (100% Completion, 12.99% SLA Violations)                 |</w:t>
              <w:br/>
              <w:t>|       │  [Heuristic] (99.3% Completion, 12.70% SLA Violations)                |</w:t>
              <w:br/>
              <w:t>|       │                                                                       |</w:t>
              <w:br/>
              <w:t>|       │      └──► [PointPrediction RF] (64.4% Completion, 8.43% SLA Violations)  |</w:t>
              <w:br/>
              <w:t>|       │           *OPTIMAL PARETO DOMINANCE: 35.1% Relative SLA Drop*         |</w:t>
              <w:br/>
              <w:t>|       │                                                                       |</w:t>
              <w:br/>
              <w:t>|       │  [Random] (51.6% Completion, 12.73% SLA Violations)                   |</w:t>
              <w:br/>
              <w:t>|       │  [Cron]   (33.3% Completion, 13.05% SLA Violations)                   |</w:t>
              <w:br/>
              <w:t>|       │  [TemporalConformal] (25.0% Completion, 13.04% SLA Violations)       |</w:t>
              <w:br/>
              <w:t>|       │                                                                       |</w:t>
              <w:br/>
              <w:t>|  Low  └─────────────────────────────────────────────────────────────► High    |</w:t>
              <w:br/>
              <w:t>|       8.0%                                                         14.0%      |</w:t>
              <w:br/>
              <w:t>|                             SLA VIOLATION RATE (%)                            |</w:t>
              <w:br/>
              <w:t>+-------------------------------------------------------------------------------+</w:t>
            </w:r>
          </w:p>
        </w:tc>
      </w:tr>
    </w:tbl>
    <w:p>
      <w:pPr>
        <w:spacing w:after="120"/>
      </w:pPr>
    </w:p>
    <w:p>
      <w:pPr>
        <w:spacing w:before="160" w:after="80"/>
        <w:jc w:val="left"/>
      </w:pPr>
      <w:r>
        <w:rPr>
          <w:rFonts w:ascii="Calibri" w:hAnsi="Calibri"/>
          <w:b/>
          <w:color w:val="366092"/>
          <w:sz w:val="22"/>
        </w:rPr>
        <w:t>Scientific Takeaways from Continuous Trace Evaluation</w:t>
      </w:r>
    </w:p>
    <w:p>
      <w:pPr>
        <w:pStyle w:val="ListNumber"/>
        <w:spacing w:before="0" w:after="60"/>
        <w:jc w:val="left"/>
      </w:pPr>
      <w:r>
        <w:rPr>
          <w:b/>
        </w:rPr>
        <w:t>Pareto Dominance of Learned PointPrediction:</w:t>
      </w:r>
      <w:r>
        <w:t xml:space="preserve"> The Random Forest model trained on 60s rolling temporal features achieves superior Pareto performance, completing </w:t>
      </w:r>
      <w:r>
        <w:rPr>
          <w:b/>
        </w:rPr>
        <w:t>$64.43\%$ of maintenance operations</w:t>
      </w:r>
      <w:r>
        <w:t xml:space="preserve"> while dropping query SLA violations from </w:t>
      </w:r>
      <w:r>
        <w:rPr>
          <w:b/>
        </w:rPr>
        <w:t>$12.99\%$ down to $8.43\%$</w:t>
      </w:r>
      <w:r>
        <w:t xml:space="preserve"> (a </w:t>
      </w:r>
      <w:r>
        <w:rPr>
          <w:b/>
        </w:rPr>
        <w:t>$35.1\%$ relative reduction in SLA violations</w:t>
      </w:r>
      <w:r>
        <w:t>).</w:t>
      </w:r>
    </w:p>
    <w:p>
      <w:pPr>
        <w:pStyle w:val="ListNumber"/>
        <w:spacing w:before="0" w:after="60"/>
        <w:jc w:val="left"/>
      </w:pPr>
      <w:r>
        <w:rPr>
          <w:b/>
        </w:rPr>
        <w:t>Failure of Static Cron and Scalar Heuristics:</w:t>
      </w:r>
      <w:r>
        <w:t xml:space="preserve"> The </w:t>
      </w:r>
      <w:r>
        <w:rPr>
          <w:rFonts w:ascii="Consolas" w:hAnsi="Consolas"/>
          <w:color w:val="8B0000"/>
          <w:sz w:val="19"/>
        </w:rPr>
        <w:t>Cron</w:t>
      </w:r>
      <w:r>
        <w:t xml:space="preserve"> policy (</w:t>
      </w:r>
      <w:r>
        <w:rPr>
          <w:rFonts w:ascii="Cambria Math" w:hAnsi="Cambria Math"/>
          <w:i/>
          <w:color w:val="003366"/>
        </w:rPr>
        <w:t>13.05\%</w:t>
      </w:r>
      <w:r>
        <w:t xml:space="preserve"> SLA violations) and </w:t>
      </w:r>
      <w:r>
        <w:rPr>
          <w:rFonts w:ascii="Consolas" w:hAnsi="Consolas"/>
          <w:color w:val="8B0000"/>
          <w:sz w:val="19"/>
        </w:rPr>
        <w:t>Heuristic</w:t>
      </w:r>
      <w:r>
        <w:t xml:space="preserve"> policy (</w:t>
      </w:r>
      <w:r>
        <w:rPr>
          <w:rFonts w:ascii="Cambria Math" w:hAnsi="Cambria Math"/>
          <w:i/>
          <w:color w:val="003366"/>
        </w:rPr>
        <w:t>12.70\%</w:t>
      </w:r>
      <w:r>
        <w:t xml:space="preserve"> SLA violations) fail to provide meaningful protection over baseline execution (</w:t>
      </w:r>
      <w:r>
        <w:rPr>
          <w:rFonts w:ascii="Cambria Math" w:hAnsi="Cambria Math"/>
          <w:i/>
          <w:color w:val="003366"/>
        </w:rPr>
        <w:t>12.99\%</w:t>
      </w:r>
      <w:r>
        <w:t>).</w:t>
      </w:r>
    </w:p>
    <w:p>
      <w:pPr>
        <w:pStyle w:val="ListNumber"/>
        <w:spacing w:before="0" w:after="60"/>
        <w:jc w:val="left"/>
      </w:pPr>
      <w:r>
        <w:rPr>
          <w:b/>
        </w:rPr>
        <w:t>Starvation Overrides in Non-Stationary Streams:</w:t>
      </w:r>
      <w:r>
        <w:t xml:space="preserve"> Conservative uncertainty bounds (</w:t>
      </w:r>
      <w:r>
        <w:rPr>
          <w:rFonts w:ascii="Consolas" w:hAnsi="Consolas"/>
          <w:color w:val="8B0000"/>
          <w:sz w:val="19"/>
        </w:rPr>
        <w:t>ConformalRisk</w:t>
      </w:r>
      <w:r>
        <w:t>) defer all maintenance under continuous non-stationary load. When bounded starvation overrides are enabled (</w:t>
      </w:r>
      <w:r>
        <w:rPr>
          <w:rFonts w:ascii="Consolas" w:hAnsi="Consolas"/>
          <w:color w:val="8B0000"/>
          <w:sz w:val="19"/>
        </w:rPr>
        <w:t>TemporalConformal</w:t>
      </w:r>
      <w:r>
        <w:t xml:space="preserve">), maintenance executes at a </w:t>
      </w:r>
      <w:r>
        <w:rPr>
          <w:rFonts w:ascii="Cambria Math" w:hAnsi="Cambria Math"/>
          <w:i/>
          <w:color w:val="003366"/>
        </w:rPr>
        <w:t>24.99\%</w:t>
      </w:r>
      <w:r>
        <w:t xml:space="preserve"> completion rate entirely driven by forced overrides (</w:t>
      </w:r>
      <w:r>
        <w:rPr>
          <w:rFonts w:ascii="Cambria Math" w:hAnsi="Cambria Math"/>
          <w:i/>
          <w:color w:val="003366"/>
        </w:rPr>
        <w:t>100\%</w:t>
      </w:r>
      <w:r>
        <w:t xml:space="preserve"> override rate across execution windows), proving that explicit starvation bounds (</w:t>
      </w:r>
      <w:r>
        <w:rPr>
          <w:rFonts w:ascii="Cambria Math" w:hAnsi="Cambria Math"/>
          <w:i/>
          <w:color w:val="003366"/>
        </w:rPr>
        <w:t>K_{\text{max}}=3</w:t>
      </w:r>
      <w:r>
        <w:t>) are essential to prevent infinite storage health degradation.</w:t>
      </w:r>
    </w:p>
    <w:p>
      <w:pPr>
        <w:spacing w:before="280" w:after="120"/>
        <w:jc w:val="left"/>
      </w:pPr>
      <w:r>
        <w:rPr>
          <w:rFonts w:ascii="Calibri" w:hAnsi="Calibri"/>
          <w:b/>
          <w:color w:val="1F497D"/>
          <w:sz w:val="30"/>
        </w:rPr>
        <w:t>7. Phase 3D: Scientific Falsification, Calibration, and Out-of-Domain Generalization</w:t>
      </w:r>
    </w:p>
    <w:p>
      <w:pPr>
        <w:spacing w:before="0" w:after="80"/>
        <w:jc w:val="left"/>
      </w:pPr>
      <w:r>
        <w:t>Phase 3D tests the limits of our models through Leave-One-Configuration-Out Cross Validation (LOCO-CV), trivial scalar baseline comparisons, quantile calibration, and zero-shot Out-of-Domain (OOD) generalization on unseen file structures.</w:t>
      </w:r>
    </w:p>
    <w:p>
      <w:pPr>
        <w:spacing w:before="200" w:after="80"/>
        <w:jc w:val="left"/>
      </w:pPr>
      <w:r>
        <w:rPr>
          <w:rFonts w:ascii="Calibri" w:hAnsi="Calibri"/>
          <w:b/>
          <w:color w:val="366092"/>
          <w:sz w:val="25"/>
        </w:rPr>
        <w:t>7.1 Leave-One-Configuration-Out Cross Validation (LOCO-CV)</w:t>
      </w:r>
    </w:p>
    <w:p>
      <w:pPr>
        <w:spacing w:before="0" w:after="80"/>
        <w:jc w:val="left"/>
      </w:pPr>
      <w:r>
        <w:t>To test structural generalization across discrete states, we evaluate 12 held-out folds where 11 configurations are used for training and 1 held-out configuration is used for testing. Table 7 reports LOCO-CV MAE across all 12 folds.</w:t>
      </w:r>
    </w:p>
    <w:tbl>
      <w:tblPr>
        <w:tblW w:type="auto" w:w="0"/>
        <w:jc w:val="center"/>
        <w:tblLook w:firstColumn="1" w:firstRow="1" w:lastColumn="0" w:lastRow="0" w:noHBand="0" w:noVBand="1" w:val="04A0"/>
        <w:tblBorders>
          <w:top w:val="single" w:sz="6" w:space="0" w:color="B0C4DE"/>
          <w:bottom w:val="single" w:sz="6" w:space="0" w:color="B0C4DE"/>
          <w:left w:val="none"/>
          <w:right w:val="none"/>
          <w:insideH w:val="single" w:sz="6" w:space="0" w:color="B0C4DE"/>
          <w:insideV w:val="none"/>
        </w:tblBorders>
      </w:tblPr>
      <w:tblGrid>
        <w:gridCol w:w="1170"/>
        <w:gridCol w:w="1170"/>
        <w:gridCol w:w="1170"/>
        <w:gridCol w:w="1170"/>
        <w:gridCol w:w="1170"/>
        <w:gridCol w:w="1170"/>
        <w:gridCol w:w="1170"/>
        <w:gridCol w:w="1170"/>
      </w:tblGrid>
      <w:tr>
        <w:tc>
          <w:tcPr>
            <w:tcW w:type="dxa" w:w="1170"/>
            <w:shd w:fill="1F497D"/>
            <w:tcMar>
              <w:top w:w="120" w:type="dxa"/>
              <w:bottom w:w="120" w:type="dxa"/>
              <w:left w:w="150" w:type="dxa"/>
              <w:right w:w="150" w:type="dxa"/>
            </w:tcMar>
          </w:tcPr>
          <w:p>
            <w:pPr>
              <w:jc w:val="left"/>
            </w:pPr>
            <w:r>
              <w:rPr>
                <w:b/>
                <w:color w:val="FFFFFF"/>
                <w:sz w:val="20"/>
              </w:rPr>
              <w:t>Held-Out Config ID</w:t>
            </w:r>
          </w:p>
        </w:tc>
        <w:tc>
          <w:tcPr>
            <w:tcW w:type="dxa" w:w="1170"/>
            <w:shd w:fill="1F497D"/>
            <w:tcMar>
              <w:top w:w="120" w:type="dxa"/>
              <w:bottom w:w="120" w:type="dxa"/>
              <w:left w:w="150" w:type="dxa"/>
              <w:right w:w="150" w:type="dxa"/>
            </w:tcMar>
          </w:tcPr>
          <w:p>
            <w:pPr>
              <w:jc w:val="left"/>
            </w:pPr>
            <w:r>
              <w:rPr>
                <w:b/>
                <w:color w:val="FFFFFF"/>
                <w:sz w:val="20"/>
              </w:rPr>
              <w:t>Frag Files</w:t>
            </w:r>
          </w:p>
        </w:tc>
        <w:tc>
          <w:tcPr>
            <w:tcW w:type="dxa" w:w="1170"/>
            <w:shd w:fill="1F497D"/>
            <w:tcMar>
              <w:top w:w="120" w:type="dxa"/>
              <w:bottom w:w="120" w:type="dxa"/>
              <w:left w:w="150" w:type="dxa"/>
              <w:right w:w="150" w:type="dxa"/>
            </w:tcMar>
          </w:tcPr>
          <w:p>
            <w:pPr>
              <w:jc w:val="left"/>
            </w:pPr>
            <w:r>
              <w:rPr>
                <w:b/>
                <w:color w:val="FFFFFF"/>
                <w:sz w:val="20"/>
              </w:rPr>
              <w:t>Workload Type</w:t>
            </w:r>
          </w:p>
        </w:tc>
        <w:tc>
          <w:tcPr>
            <w:tcW w:type="dxa" w:w="1170"/>
            <w:shd w:fill="1F497D"/>
            <w:tcMar>
              <w:top w:w="120" w:type="dxa"/>
              <w:bottom w:w="120" w:type="dxa"/>
              <w:left w:w="150" w:type="dxa"/>
              <w:right w:w="150" w:type="dxa"/>
            </w:tcMar>
          </w:tcPr>
          <w:p>
            <w:pPr>
              <w:jc w:val="left"/>
            </w:pPr>
            <w:r>
              <w:rPr>
                <w:b/>
                <w:color w:val="FFFFFF"/>
                <w:sz w:val="20"/>
              </w:rPr>
              <w:t>Scheduler Mode</w:t>
            </w:r>
          </w:p>
        </w:tc>
        <w:tc>
          <w:tcPr>
            <w:tcW w:type="dxa" w:w="1170"/>
            <w:shd w:fill="1F497D"/>
            <w:tcMar>
              <w:top w:w="120" w:type="dxa"/>
              <w:bottom w:w="120" w:type="dxa"/>
              <w:left w:w="150" w:type="dxa"/>
              <w:right w:w="150" w:type="dxa"/>
            </w:tcMar>
          </w:tcPr>
          <w:p>
            <w:pPr>
              <w:jc w:val="left"/>
            </w:pPr>
            <w:r>
              <w:rPr>
                <w:b/>
                <w:color w:val="FFFFFF"/>
                <w:sz w:val="20"/>
              </w:rPr>
              <w:t>Random Forest MAE (%)</w:t>
            </w:r>
          </w:p>
        </w:tc>
        <w:tc>
          <w:tcPr>
            <w:tcW w:type="dxa" w:w="1170"/>
            <w:shd w:fill="1F497D"/>
            <w:tcMar>
              <w:top w:w="120" w:type="dxa"/>
              <w:bottom w:w="120" w:type="dxa"/>
              <w:left w:w="150" w:type="dxa"/>
              <w:right w:w="150" w:type="dxa"/>
            </w:tcMar>
          </w:tcPr>
          <w:p>
            <w:pPr>
              <w:jc w:val="left"/>
            </w:pPr>
            <w:r>
              <w:rPr>
                <w:b/>
                <w:color w:val="FFFFFF"/>
                <w:sz w:val="20"/>
              </w:rPr>
              <w:t>Ridge MAE (%)</w:t>
            </w:r>
          </w:p>
        </w:tc>
        <w:tc>
          <w:tcPr>
            <w:tcW w:type="dxa" w:w="1170"/>
            <w:shd w:fill="1F497D"/>
            <w:tcMar>
              <w:top w:w="120" w:type="dxa"/>
              <w:bottom w:w="120" w:type="dxa"/>
              <w:left w:w="150" w:type="dxa"/>
              <w:right w:w="150" w:type="dxa"/>
            </w:tcMar>
          </w:tcPr>
          <w:p>
            <w:pPr>
              <w:jc w:val="left"/>
            </w:pPr>
            <w:r>
              <w:rPr>
                <w:b/>
                <w:color w:val="FFFFFF"/>
                <w:sz w:val="20"/>
              </w:rPr>
              <w:t>Lasso MAE (%)</w:t>
            </w:r>
          </w:p>
        </w:tc>
        <w:tc>
          <w:tcPr>
            <w:tcW w:type="dxa" w:w="1170"/>
            <w:shd w:fill="1F497D"/>
            <w:tcMar>
              <w:top w:w="120" w:type="dxa"/>
              <w:bottom w:w="120" w:type="dxa"/>
              <w:left w:w="150" w:type="dxa"/>
              <w:right w:w="150" w:type="dxa"/>
            </w:tcMar>
          </w:tcPr>
          <w:p>
            <w:pPr>
              <w:jc w:val="left"/>
            </w:pPr>
            <w:r>
              <w:rPr>
                <w:b/>
                <w:color w:val="FFFFFF"/>
                <w:sz w:val="20"/>
              </w:rPr>
              <w:t>Quantile $q=0.95$ MAE (%)</w:t>
            </w:r>
          </w:p>
        </w:tc>
      </w:tr>
      <w:tr>
        <w:tc>
          <w:tcPr>
            <w:tcW w:type="dxa" w:w="1170"/>
            <w:shd w:fill="FFFFFF"/>
            <w:tcMar>
              <w:top w:w="100" w:type="dxa"/>
              <w:bottom w:w="100" w:type="dxa"/>
              <w:left w:w="150" w:type="dxa"/>
              <w:right w:w="150" w:type="dxa"/>
            </w:tcMar>
          </w:tcPr>
          <w:p>
            <w:pPr>
              <w:jc w:val="left"/>
            </w:pPr>
            <w:r>
              <w:rPr>
                <w:sz w:val="19"/>
              </w:rPr>
              <w:t>`frag50_single_FIFO`</w:t>
            </w:r>
          </w:p>
        </w:tc>
        <w:tc>
          <w:tcPr>
            <w:tcW w:type="dxa" w:w="1170"/>
            <w:shd w:fill="FFFFFF"/>
            <w:tcMar>
              <w:top w:w="100" w:type="dxa"/>
              <w:bottom w:w="100" w:type="dxa"/>
              <w:left w:w="150" w:type="dxa"/>
              <w:right w:w="150" w:type="dxa"/>
            </w:tcMar>
          </w:tcPr>
          <w:p>
            <w:pPr>
              <w:jc w:val="left"/>
            </w:pPr>
            <w:r>
              <w:rPr>
                <w:sz w:val="19"/>
              </w:rPr>
              <w:t>50</w:t>
            </w:r>
          </w:p>
        </w:tc>
        <w:tc>
          <w:tcPr>
            <w:tcW w:type="dxa" w:w="1170"/>
            <w:shd w:fill="FFFFFF"/>
            <w:tcMar>
              <w:top w:w="100" w:type="dxa"/>
              <w:bottom w:w="100" w:type="dxa"/>
              <w:left w:w="150" w:type="dxa"/>
              <w:right w:w="150" w:type="dxa"/>
            </w:tcMar>
          </w:tcPr>
          <w:p>
            <w:pPr>
              <w:jc w:val="left"/>
            </w:pPr>
            <w:r>
              <w:rPr>
                <w:sz w:val="19"/>
              </w:rPr>
              <w:t>Single Q14</w:t>
            </w:r>
          </w:p>
        </w:tc>
        <w:tc>
          <w:tcPr>
            <w:tcW w:type="dxa" w:w="1170"/>
            <w:shd w:fill="FFFFFF"/>
            <w:tcMar>
              <w:top w:w="100" w:type="dxa"/>
              <w:bottom w:w="100" w:type="dxa"/>
              <w:left w:w="150" w:type="dxa"/>
              <w:right w:w="150" w:type="dxa"/>
            </w:tcMar>
          </w:tcPr>
          <w:p>
            <w:pPr>
              <w:jc w:val="left"/>
            </w:pPr>
            <w:r>
              <w:rPr>
                <w:sz w:val="19"/>
              </w:rPr>
              <w:t>FIFO</w:t>
            </w:r>
          </w:p>
        </w:tc>
        <w:tc>
          <w:tcPr>
            <w:tcW w:type="dxa" w:w="1170"/>
            <w:shd w:fill="FFFFFF"/>
            <w:tcMar>
              <w:top w:w="100" w:type="dxa"/>
              <w:bottom w:w="100" w:type="dxa"/>
              <w:left w:w="150" w:type="dxa"/>
              <w:right w:w="150" w:type="dxa"/>
            </w:tcMar>
          </w:tcPr>
          <w:p>
            <w:pPr>
              <w:jc w:val="left"/>
            </w:pPr>
            <w:r>
              <w:rPr>
                <w:sz w:val="19"/>
              </w:rPr>
              <w:t>12.16%</w:t>
            </w:r>
          </w:p>
        </w:tc>
        <w:tc>
          <w:tcPr>
            <w:tcW w:type="dxa" w:w="1170"/>
            <w:shd w:fill="FFFFFF"/>
            <w:tcMar>
              <w:top w:w="100" w:type="dxa"/>
              <w:bottom w:w="100" w:type="dxa"/>
              <w:left w:w="150" w:type="dxa"/>
              <w:right w:w="150" w:type="dxa"/>
            </w:tcMar>
          </w:tcPr>
          <w:p>
            <w:pPr>
              <w:jc w:val="left"/>
            </w:pPr>
            <w:r>
              <w:rPr>
                <w:sz w:val="19"/>
              </w:rPr>
              <w:t>13.82%</w:t>
            </w:r>
          </w:p>
        </w:tc>
        <w:tc>
          <w:tcPr>
            <w:tcW w:type="dxa" w:w="1170"/>
            <w:shd w:fill="FFFFFF"/>
            <w:tcMar>
              <w:top w:w="100" w:type="dxa"/>
              <w:bottom w:w="100" w:type="dxa"/>
              <w:left w:w="150" w:type="dxa"/>
              <w:right w:w="150" w:type="dxa"/>
            </w:tcMar>
          </w:tcPr>
          <w:p>
            <w:pPr>
              <w:jc w:val="left"/>
            </w:pPr>
            <w:r>
              <w:rPr>
                <w:sz w:val="19"/>
              </w:rPr>
              <w:t>13.82%</w:t>
            </w:r>
          </w:p>
        </w:tc>
        <w:tc>
          <w:tcPr>
            <w:tcW w:type="dxa" w:w="1170"/>
            <w:shd w:fill="FFFFFF"/>
            <w:tcMar>
              <w:top w:w="100" w:type="dxa"/>
              <w:bottom w:w="100" w:type="dxa"/>
              <w:left w:w="150" w:type="dxa"/>
              <w:right w:w="150" w:type="dxa"/>
            </w:tcMar>
          </w:tcPr>
          <w:p>
            <w:pPr>
              <w:jc w:val="left"/>
            </w:pPr>
            <w:r>
              <w:rPr>
                <w:sz w:val="19"/>
              </w:rPr>
              <w:t>16.59%</w:t>
            </w:r>
          </w:p>
        </w:tc>
      </w:tr>
      <w:tr>
        <w:tc>
          <w:tcPr>
            <w:tcW w:type="dxa" w:w="1170"/>
            <w:shd w:fill="F2F5F9"/>
            <w:tcMar>
              <w:top w:w="100" w:type="dxa"/>
              <w:bottom w:w="100" w:type="dxa"/>
              <w:left w:w="150" w:type="dxa"/>
              <w:right w:w="150" w:type="dxa"/>
            </w:tcMar>
          </w:tcPr>
          <w:p>
            <w:pPr>
              <w:jc w:val="left"/>
            </w:pPr>
            <w:r>
              <w:rPr>
                <w:sz w:val="19"/>
              </w:rPr>
              <w:t>`frag50_single_FAIR`</w:t>
            </w:r>
          </w:p>
        </w:tc>
        <w:tc>
          <w:tcPr>
            <w:tcW w:type="dxa" w:w="1170"/>
            <w:shd w:fill="F2F5F9"/>
            <w:tcMar>
              <w:top w:w="100" w:type="dxa"/>
              <w:bottom w:w="100" w:type="dxa"/>
              <w:left w:w="150" w:type="dxa"/>
              <w:right w:w="150" w:type="dxa"/>
            </w:tcMar>
          </w:tcPr>
          <w:p>
            <w:pPr>
              <w:jc w:val="left"/>
            </w:pPr>
            <w:r>
              <w:rPr>
                <w:sz w:val="19"/>
              </w:rPr>
              <w:t>50</w:t>
            </w:r>
          </w:p>
        </w:tc>
        <w:tc>
          <w:tcPr>
            <w:tcW w:type="dxa" w:w="1170"/>
            <w:shd w:fill="F2F5F9"/>
            <w:tcMar>
              <w:top w:w="100" w:type="dxa"/>
              <w:bottom w:w="100" w:type="dxa"/>
              <w:left w:w="150" w:type="dxa"/>
              <w:right w:w="150" w:type="dxa"/>
            </w:tcMar>
          </w:tcPr>
          <w:p>
            <w:pPr>
              <w:jc w:val="left"/>
            </w:pPr>
            <w:r>
              <w:rPr>
                <w:sz w:val="19"/>
              </w:rPr>
              <w:t>Single Q14</w:t>
            </w:r>
          </w:p>
        </w:tc>
        <w:tc>
          <w:tcPr>
            <w:tcW w:type="dxa" w:w="1170"/>
            <w:shd w:fill="F2F5F9"/>
            <w:tcMar>
              <w:top w:w="100" w:type="dxa"/>
              <w:bottom w:w="100" w:type="dxa"/>
              <w:left w:w="150" w:type="dxa"/>
              <w:right w:w="150" w:type="dxa"/>
            </w:tcMar>
          </w:tcPr>
          <w:p>
            <w:pPr>
              <w:jc w:val="left"/>
            </w:pPr>
            <w:r>
              <w:rPr>
                <w:sz w:val="19"/>
              </w:rPr>
              <w:t>FAIR</w:t>
            </w:r>
          </w:p>
        </w:tc>
        <w:tc>
          <w:tcPr>
            <w:tcW w:type="dxa" w:w="1170"/>
            <w:shd w:fill="F2F5F9"/>
            <w:tcMar>
              <w:top w:w="100" w:type="dxa"/>
              <w:bottom w:w="100" w:type="dxa"/>
              <w:left w:w="150" w:type="dxa"/>
              <w:right w:w="150" w:type="dxa"/>
            </w:tcMar>
          </w:tcPr>
          <w:p>
            <w:pPr>
              <w:jc w:val="left"/>
            </w:pPr>
            <w:r>
              <w:rPr>
                <w:sz w:val="19"/>
              </w:rPr>
              <w:t>10.99%</w:t>
            </w:r>
          </w:p>
        </w:tc>
        <w:tc>
          <w:tcPr>
            <w:tcW w:type="dxa" w:w="1170"/>
            <w:shd w:fill="F2F5F9"/>
            <w:tcMar>
              <w:top w:w="100" w:type="dxa"/>
              <w:bottom w:w="100" w:type="dxa"/>
              <w:left w:w="150" w:type="dxa"/>
              <w:right w:w="150" w:type="dxa"/>
            </w:tcMar>
          </w:tcPr>
          <w:p>
            <w:pPr>
              <w:jc w:val="left"/>
            </w:pPr>
            <w:r>
              <w:rPr>
                <w:sz w:val="19"/>
              </w:rPr>
              <w:t>10.96%</w:t>
            </w:r>
          </w:p>
        </w:tc>
        <w:tc>
          <w:tcPr>
            <w:tcW w:type="dxa" w:w="1170"/>
            <w:shd w:fill="F2F5F9"/>
            <w:tcMar>
              <w:top w:w="100" w:type="dxa"/>
              <w:bottom w:w="100" w:type="dxa"/>
              <w:left w:w="150" w:type="dxa"/>
              <w:right w:w="150" w:type="dxa"/>
            </w:tcMar>
          </w:tcPr>
          <w:p>
            <w:pPr>
              <w:jc w:val="left"/>
            </w:pPr>
            <w:r>
              <w:rPr>
                <w:sz w:val="19"/>
              </w:rPr>
              <w:t>11.23%</w:t>
            </w:r>
          </w:p>
        </w:tc>
        <w:tc>
          <w:tcPr>
            <w:tcW w:type="dxa" w:w="1170"/>
            <w:shd w:fill="F2F5F9"/>
            <w:tcMar>
              <w:top w:w="100" w:type="dxa"/>
              <w:bottom w:w="100" w:type="dxa"/>
              <w:left w:w="150" w:type="dxa"/>
              <w:right w:w="150" w:type="dxa"/>
            </w:tcMar>
          </w:tcPr>
          <w:p>
            <w:pPr>
              <w:jc w:val="left"/>
            </w:pPr>
            <w:r>
              <w:rPr>
                <w:sz w:val="19"/>
              </w:rPr>
              <w:t>14.18%</w:t>
            </w:r>
          </w:p>
        </w:tc>
      </w:tr>
      <w:tr>
        <w:tc>
          <w:tcPr>
            <w:tcW w:type="dxa" w:w="1170"/>
            <w:shd w:fill="FFFFFF"/>
            <w:tcMar>
              <w:top w:w="100" w:type="dxa"/>
              <w:bottom w:w="100" w:type="dxa"/>
              <w:left w:w="150" w:type="dxa"/>
              <w:right w:w="150" w:type="dxa"/>
            </w:tcMar>
          </w:tcPr>
          <w:p>
            <w:pPr>
              <w:jc w:val="left"/>
            </w:pPr>
            <w:r>
              <w:rPr>
                <w:sz w:val="19"/>
              </w:rPr>
              <w:t>`frag50_multi_FIFO`</w:t>
            </w:r>
          </w:p>
        </w:tc>
        <w:tc>
          <w:tcPr>
            <w:tcW w:type="dxa" w:w="1170"/>
            <w:shd w:fill="FFFFFF"/>
            <w:tcMar>
              <w:top w:w="100" w:type="dxa"/>
              <w:bottom w:w="100" w:type="dxa"/>
              <w:left w:w="150" w:type="dxa"/>
              <w:right w:w="150" w:type="dxa"/>
            </w:tcMar>
          </w:tcPr>
          <w:p>
            <w:pPr>
              <w:jc w:val="left"/>
            </w:pPr>
            <w:r>
              <w:rPr>
                <w:sz w:val="19"/>
              </w:rPr>
              <w:t>50</w:t>
            </w:r>
          </w:p>
        </w:tc>
        <w:tc>
          <w:tcPr>
            <w:tcW w:type="dxa" w:w="1170"/>
            <w:shd w:fill="FFFFFF"/>
            <w:tcMar>
              <w:top w:w="100" w:type="dxa"/>
              <w:bottom w:w="100" w:type="dxa"/>
              <w:left w:w="150" w:type="dxa"/>
              <w:right w:w="150" w:type="dxa"/>
            </w:tcMar>
          </w:tcPr>
          <w:p>
            <w:pPr>
              <w:jc w:val="left"/>
            </w:pPr>
            <w:r>
              <w:rPr>
                <w:sz w:val="19"/>
              </w:rPr>
              <w:t>Batch (6Q)</w:t>
            </w:r>
          </w:p>
        </w:tc>
        <w:tc>
          <w:tcPr>
            <w:tcW w:type="dxa" w:w="1170"/>
            <w:shd w:fill="FFFFFF"/>
            <w:tcMar>
              <w:top w:w="100" w:type="dxa"/>
              <w:bottom w:w="100" w:type="dxa"/>
              <w:left w:w="150" w:type="dxa"/>
              <w:right w:w="150" w:type="dxa"/>
            </w:tcMar>
          </w:tcPr>
          <w:p>
            <w:pPr>
              <w:jc w:val="left"/>
            </w:pPr>
            <w:r>
              <w:rPr>
                <w:sz w:val="19"/>
              </w:rPr>
              <w:t>FIFO</w:t>
            </w:r>
          </w:p>
        </w:tc>
        <w:tc>
          <w:tcPr>
            <w:tcW w:type="dxa" w:w="1170"/>
            <w:shd w:fill="FFFFFF"/>
            <w:tcMar>
              <w:top w:w="100" w:type="dxa"/>
              <w:bottom w:w="100" w:type="dxa"/>
              <w:left w:w="150" w:type="dxa"/>
              <w:right w:w="150" w:type="dxa"/>
            </w:tcMar>
          </w:tcPr>
          <w:p>
            <w:pPr>
              <w:jc w:val="left"/>
            </w:pPr>
            <w:r>
              <w:rPr>
                <w:sz w:val="19"/>
              </w:rPr>
              <w:t>5.37%</w:t>
            </w:r>
          </w:p>
        </w:tc>
        <w:tc>
          <w:tcPr>
            <w:tcW w:type="dxa" w:w="1170"/>
            <w:shd w:fill="FFFFFF"/>
            <w:tcMar>
              <w:top w:w="100" w:type="dxa"/>
              <w:bottom w:w="100" w:type="dxa"/>
              <w:left w:w="150" w:type="dxa"/>
              <w:right w:w="150" w:type="dxa"/>
            </w:tcMar>
          </w:tcPr>
          <w:p>
            <w:pPr>
              <w:jc w:val="left"/>
            </w:pPr>
            <w:r>
              <w:rPr>
                <w:sz w:val="19"/>
              </w:rPr>
              <w:t>5.86%</w:t>
            </w:r>
          </w:p>
        </w:tc>
        <w:tc>
          <w:tcPr>
            <w:tcW w:type="dxa" w:w="1170"/>
            <w:shd w:fill="FFFFFF"/>
            <w:tcMar>
              <w:top w:w="100" w:type="dxa"/>
              <w:bottom w:w="100" w:type="dxa"/>
              <w:left w:w="150" w:type="dxa"/>
              <w:right w:w="150" w:type="dxa"/>
            </w:tcMar>
          </w:tcPr>
          <w:p>
            <w:pPr>
              <w:jc w:val="left"/>
            </w:pPr>
            <w:r>
              <w:rPr>
                <w:sz w:val="19"/>
              </w:rPr>
              <w:t>6.13%</w:t>
            </w:r>
          </w:p>
        </w:tc>
        <w:tc>
          <w:tcPr>
            <w:tcW w:type="dxa" w:w="1170"/>
            <w:shd w:fill="FFFFFF"/>
            <w:tcMar>
              <w:top w:w="100" w:type="dxa"/>
              <w:bottom w:w="100" w:type="dxa"/>
              <w:left w:w="150" w:type="dxa"/>
              <w:right w:w="150" w:type="dxa"/>
            </w:tcMar>
          </w:tcPr>
          <w:p>
            <w:pPr>
              <w:jc w:val="left"/>
            </w:pPr>
            <w:r>
              <w:rPr>
                <w:sz w:val="19"/>
              </w:rPr>
              <w:t>7.91%</w:t>
            </w:r>
          </w:p>
        </w:tc>
      </w:tr>
      <w:tr>
        <w:tc>
          <w:tcPr>
            <w:tcW w:type="dxa" w:w="1170"/>
            <w:shd w:fill="F2F5F9"/>
            <w:tcMar>
              <w:top w:w="100" w:type="dxa"/>
              <w:bottom w:w="100" w:type="dxa"/>
              <w:left w:w="150" w:type="dxa"/>
              <w:right w:w="150" w:type="dxa"/>
            </w:tcMar>
          </w:tcPr>
          <w:p>
            <w:pPr>
              <w:jc w:val="left"/>
            </w:pPr>
            <w:r>
              <w:rPr>
                <w:sz w:val="19"/>
              </w:rPr>
              <w:t>`frag50_multi_FAIR`</w:t>
            </w:r>
          </w:p>
        </w:tc>
        <w:tc>
          <w:tcPr>
            <w:tcW w:type="dxa" w:w="1170"/>
            <w:shd w:fill="F2F5F9"/>
            <w:tcMar>
              <w:top w:w="100" w:type="dxa"/>
              <w:bottom w:w="100" w:type="dxa"/>
              <w:left w:w="150" w:type="dxa"/>
              <w:right w:w="150" w:type="dxa"/>
            </w:tcMar>
          </w:tcPr>
          <w:p>
            <w:pPr>
              <w:jc w:val="left"/>
            </w:pPr>
            <w:r>
              <w:rPr>
                <w:sz w:val="19"/>
              </w:rPr>
              <w:t>50</w:t>
            </w:r>
          </w:p>
        </w:tc>
        <w:tc>
          <w:tcPr>
            <w:tcW w:type="dxa" w:w="1170"/>
            <w:shd w:fill="F2F5F9"/>
            <w:tcMar>
              <w:top w:w="100" w:type="dxa"/>
              <w:bottom w:w="100" w:type="dxa"/>
              <w:left w:w="150" w:type="dxa"/>
              <w:right w:w="150" w:type="dxa"/>
            </w:tcMar>
          </w:tcPr>
          <w:p>
            <w:pPr>
              <w:jc w:val="left"/>
            </w:pPr>
            <w:r>
              <w:rPr>
                <w:sz w:val="19"/>
              </w:rPr>
              <w:t>Batch (6Q)</w:t>
            </w:r>
          </w:p>
        </w:tc>
        <w:tc>
          <w:tcPr>
            <w:tcW w:type="dxa" w:w="1170"/>
            <w:shd w:fill="F2F5F9"/>
            <w:tcMar>
              <w:top w:w="100" w:type="dxa"/>
              <w:bottom w:w="100" w:type="dxa"/>
              <w:left w:w="150" w:type="dxa"/>
              <w:right w:w="150" w:type="dxa"/>
            </w:tcMar>
          </w:tcPr>
          <w:p>
            <w:pPr>
              <w:jc w:val="left"/>
            </w:pPr>
            <w:r>
              <w:rPr>
                <w:sz w:val="19"/>
              </w:rPr>
              <w:t>FAIR</w:t>
            </w:r>
          </w:p>
        </w:tc>
        <w:tc>
          <w:tcPr>
            <w:tcW w:type="dxa" w:w="1170"/>
            <w:shd w:fill="F2F5F9"/>
            <w:tcMar>
              <w:top w:w="100" w:type="dxa"/>
              <w:bottom w:w="100" w:type="dxa"/>
              <w:left w:w="150" w:type="dxa"/>
              <w:right w:w="150" w:type="dxa"/>
            </w:tcMar>
          </w:tcPr>
          <w:p>
            <w:pPr>
              <w:jc w:val="left"/>
            </w:pPr>
            <w:r>
              <w:rPr>
                <w:sz w:val="19"/>
              </w:rPr>
              <w:t>4.88%</w:t>
            </w:r>
          </w:p>
        </w:tc>
        <w:tc>
          <w:tcPr>
            <w:tcW w:type="dxa" w:w="1170"/>
            <w:shd w:fill="F2F5F9"/>
            <w:tcMar>
              <w:top w:w="100" w:type="dxa"/>
              <w:bottom w:w="100" w:type="dxa"/>
              <w:left w:w="150" w:type="dxa"/>
              <w:right w:w="150" w:type="dxa"/>
            </w:tcMar>
          </w:tcPr>
          <w:p>
            <w:pPr>
              <w:jc w:val="left"/>
            </w:pPr>
            <w:r>
              <w:rPr>
                <w:sz w:val="19"/>
              </w:rPr>
              <w:t>5.62%</w:t>
            </w:r>
          </w:p>
        </w:tc>
        <w:tc>
          <w:tcPr>
            <w:tcW w:type="dxa" w:w="1170"/>
            <w:shd w:fill="F2F5F9"/>
            <w:tcMar>
              <w:top w:w="100" w:type="dxa"/>
              <w:bottom w:w="100" w:type="dxa"/>
              <w:left w:w="150" w:type="dxa"/>
              <w:right w:w="150" w:type="dxa"/>
            </w:tcMar>
          </w:tcPr>
          <w:p>
            <w:pPr>
              <w:jc w:val="left"/>
            </w:pPr>
            <w:r>
              <w:rPr>
                <w:sz w:val="19"/>
              </w:rPr>
              <w:t>5.81%</w:t>
            </w:r>
          </w:p>
        </w:tc>
        <w:tc>
          <w:tcPr>
            <w:tcW w:type="dxa" w:w="1170"/>
            <w:shd w:fill="F2F5F9"/>
            <w:tcMar>
              <w:top w:w="100" w:type="dxa"/>
              <w:bottom w:w="100" w:type="dxa"/>
              <w:left w:w="150" w:type="dxa"/>
              <w:right w:w="150" w:type="dxa"/>
            </w:tcMar>
          </w:tcPr>
          <w:p>
            <w:pPr>
              <w:jc w:val="left"/>
            </w:pPr>
            <w:r>
              <w:rPr>
                <w:sz w:val="19"/>
              </w:rPr>
              <w:t>7.53%</w:t>
            </w:r>
          </w:p>
        </w:tc>
      </w:tr>
      <w:tr>
        <w:tc>
          <w:tcPr>
            <w:tcW w:type="dxa" w:w="1170"/>
            <w:shd w:fill="FFFFFF"/>
            <w:tcMar>
              <w:top w:w="100" w:type="dxa"/>
              <w:bottom w:w="100" w:type="dxa"/>
              <w:left w:w="150" w:type="dxa"/>
              <w:right w:w="150" w:type="dxa"/>
            </w:tcMar>
          </w:tcPr>
          <w:p>
            <w:pPr>
              <w:jc w:val="left"/>
            </w:pPr>
            <w:r>
              <w:rPr>
                <w:sz w:val="19"/>
              </w:rPr>
              <w:t>`frag200_single_FIFO`</w:t>
            </w:r>
          </w:p>
        </w:tc>
        <w:tc>
          <w:tcPr>
            <w:tcW w:type="dxa" w:w="1170"/>
            <w:shd w:fill="FFFFFF"/>
            <w:tcMar>
              <w:top w:w="100" w:type="dxa"/>
              <w:bottom w:w="100" w:type="dxa"/>
              <w:left w:w="150" w:type="dxa"/>
              <w:right w:w="150" w:type="dxa"/>
            </w:tcMar>
          </w:tcPr>
          <w:p>
            <w:pPr>
              <w:jc w:val="left"/>
            </w:pPr>
            <w:r>
              <w:rPr>
                <w:sz w:val="19"/>
              </w:rPr>
              <w:t>200</w:t>
            </w:r>
          </w:p>
        </w:tc>
        <w:tc>
          <w:tcPr>
            <w:tcW w:type="dxa" w:w="1170"/>
            <w:shd w:fill="FFFFFF"/>
            <w:tcMar>
              <w:top w:w="100" w:type="dxa"/>
              <w:bottom w:w="100" w:type="dxa"/>
              <w:left w:w="150" w:type="dxa"/>
              <w:right w:w="150" w:type="dxa"/>
            </w:tcMar>
          </w:tcPr>
          <w:p>
            <w:pPr>
              <w:jc w:val="left"/>
            </w:pPr>
            <w:r>
              <w:rPr>
                <w:sz w:val="19"/>
              </w:rPr>
              <w:t>Single Q14</w:t>
            </w:r>
          </w:p>
        </w:tc>
        <w:tc>
          <w:tcPr>
            <w:tcW w:type="dxa" w:w="1170"/>
            <w:shd w:fill="FFFFFF"/>
            <w:tcMar>
              <w:top w:w="100" w:type="dxa"/>
              <w:bottom w:w="100" w:type="dxa"/>
              <w:left w:w="150" w:type="dxa"/>
              <w:right w:w="150" w:type="dxa"/>
            </w:tcMar>
          </w:tcPr>
          <w:p>
            <w:pPr>
              <w:jc w:val="left"/>
            </w:pPr>
            <w:r>
              <w:rPr>
                <w:sz w:val="19"/>
              </w:rPr>
              <w:t>FIFO</w:t>
            </w:r>
          </w:p>
        </w:tc>
        <w:tc>
          <w:tcPr>
            <w:tcW w:type="dxa" w:w="1170"/>
            <w:shd w:fill="FFFFFF"/>
            <w:tcMar>
              <w:top w:w="100" w:type="dxa"/>
              <w:bottom w:w="100" w:type="dxa"/>
              <w:left w:w="150" w:type="dxa"/>
              <w:right w:w="150" w:type="dxa"/>
            </w:tcMar>
          </w:tcPr>
          <w:p>
            <w:pPr>
              <w:jc w:val="left"/>
            </w:pPr>
            <w:r>
              <w:rPr>
                <w:sz w:val="19"/>
              </w:rPr>
              <w:t>10.45%</w:t>
            </w:r>
          </w:p>
        </w:tc>
        <w:tc>
          <w:tcPr>
            <w:tcW w:type="dxa" w:w="1170"/>
            <w:shd w:fill="FFFFFF"/>
            <w:tcMar>
              <w:top w:w="100" w:type="dxa"/>
              <w:bottom w:w="100" w:type="dxa"/>
              <w:left w:w="150" w:type="dxa"/>
              <w:right w:w="150" w:type="dxa"/>
            </w:tcMar>
          </w:tcPr>
          <w:p>
            <w:pPr>
              <w:jc w:val="left"/>
            </w:pPr>
            <w:r>
              <w:rPr>
                <w:sz w:val="19"/>
              </w:rPr>
              <w:t>11.77%</w:t>
            </w:r>
          </w:p>
        </w:tc>
        <w:tc>
          <w:tcPr>
            <w:tcW w:type="dxa" w:w="1170"/>
            <w:shd w:fill="FFFFFF"/>
            <w:tcMar>
              <w:top w:w="100" w:type="dxa"/>
              <w:bottom w:w="100" w:type="dxa"/>
              <w:left w:w="150" w:type="dxa"/>
              <w:right w:w="150" w:type="dxa"/>
            </w:tcMar>
          </w:tcPr>
          <w:p>
            <w:pPr>
              <w:jc w:val="left"/>
            </w:pPr>
            <w:r>
              <w:rPr>
                <w:sz w:val="19"/>
              </w:rPr>
              <w:t>11.77%</w:t>
            </w:r>
          </w:p>
        </w:tc>
        <w:tc>
          <w:tcPr>
            <w:tcW w:type="dxa" w:w="1170"/>
            <w:shd w:fill="FFFFFF"/>
            <w:tcMar>
              <w:top w:w="100" w:type="dxa"/>
              <w:bottom w:w="100" w:type="dxa"/>
              <w:left w:w="150" w:type="dxa"/>
              <w:right w:w="150" w:type="dxa"/>
            </w:tcMar>
          </w:tcPr>
          <w:p>
            <w:pPr>
              <w:jc w:val="left"/>
            </w:pPr>
            <w:r>
              <w:rPr>
                <w:sz w:val="19"/>
              </w:rPr>
              <w:t>14.07%</w:t>
            </w:r>
          </w:p>
        </w:tc>
      </w:tr>
      <w:tr>
        <w:tc>
          <w:tcPr>
            <w:tcW w:type="dxa" w:w="1170"/>
            <w:shd w:fill="F2F5F9"/>
            <w:tcMar>
              <w:top w:w="100" w:type="dxa"/>
              <w:bottom w:w="100" w:type="dxa"/>
              <w:left w:w="150" w:type="dxa"/>
              <w:right w:w="150" w:type="dxa"/>
            </w:tcMar>
          </w:tcPr>
          <w:p>
            <w:pPr>
              <w:jc w:val="left"/>
            </w:pPr>
            <w:r>
              <w:rPr>
                <w:sz w:val="19"/>
              </w:rPr>
              <w:t>`frag200_single_FAIR`</w:t>
            </w:r>
          </w:p>
        </w:tc>
        <w:tc>
          <w:tcPr>
            <w:tcW w:type="dxa" w:w="1170"/>
            <w:shd w:fill="F2F5F9"/>
            <w:tcMar>
              <w:top w:w="100" w:type="dxa"/>
              <w:bottom w:w="100" w:type="dxa"/>
              <w:left w:w="150" w:type="dxa"/>
              <w:right w:w="150" w:type="dxa"/>
            </w:tcMar>
          </w:tcPr>
          <w:p>
            <w:pPr>
              <w:jc w:val="left"/>
            </w:pPr>
            <w:r>
              <w:rPr>
                <w:sz w:val="19"/>
              </w:rPr>
              <w:t>200</w:t>
            </w:r>
          </w:p>
        </w:tc>
        <w:tc>
          <w:tcPr>
            <w:tcW w:type="dxa" w:w="1170"/>
            <w:shd w:fill="F2F5F9"/>
            <w:tcMar>
              <w:top w:w="100" w:type="dxa"/>
              <w:bottom w:w="100" w:type="dxa"/>
              <w:left w:w="150" w:type="dxa"/>
              <w:right w:w="150" w:type="dxa"/>
            </w:tcMar>
          </w:tcPr>
          <w:p>
            <w:pPr>
              <w:jc w:val="left"/>
            </w:pPr>
            <w:r>
              <w:rPr>
                <w:sz w:val="19"/>
              </w:rPr>
              <w:t>Single Q14</w:t>
            </w:r>
          </w:p>
        </w:tc>
        <w:tc>
          <w:tcPr>
            <w:tcW w:type="dxa" w:w="1170"/>
            <w:shd w:fill="F2F5F9"/>
            <w:tcMar>
              <w:top w:w="100" w:type="dxa"/>
              <w:bottom w:w="100" w:type="dxa"/>
              <w:left w:w="150" w:type="dxa"/>
              <w:right w:w="150" w:type="dxa"/>
            </w:tcMar>
          </w:tcPr>
          <w:p>
            <w:pPr>
              <w:jc w:val="left"/>
            </w:pPr>
            <w:r>
              <w:rPr>
                <w:sz w:val="19"/>
              </w:rPr>
              <w:t>FAIR</w:t>
            </w:r>
          </w:p>
        </w:tc>
        <w:tc>
          <w:tcPr>
            <w:tcW w:type="dxa" w:w="1170"/>
            <w:shd w:fill="F2F5F9"/>
            <w:tcMar>
              <w:top w:w="100" w:type="dxa"/>
              <w:bottom w:w="100" w:type="dxa"/>
              <w:left w:w="150" w:type="dxa"/>
              <w:right w:w="150" w:type="dxa"/>
            </w:tcMar>
          </w:tcPr>
          <w:p>
            <w:pPr>
              <w:jc w:val="left"/>
            </w:pPr>
            <w:r>
              <w:rPr>
                <w:sz w:val="19"/>
              </w:rPr>
              <w:t>8.89%</w:t>
            </w:r>
          </w:p>
        </w:tc>
        <w:tc>
          <w:tcPr>
            <w:tcW w:type="dxa" w:w="1170"/>
            <w:shd w:fill="F2F5F9"/>
            <w:tcMar>
              <w:top w:w="100" w:type="dxa"/>
              <w:bottom w:w="100" w:type="dxa"/>
              <w:left w:w="150" w:type="dxa"/>
              <w:right w:w="150" w:type="dxa"/>
            </w:tcMar>
          </w:tcPr>
          <w:p>
            <w:pPr>
              <w:jc w:val="left"/>
            </w:pPr>
            <w:r>
              <w:rPr>
                <w:sz w:val="19"/>
              </w:rPr>
              <w:t>9.72%</w:t>
            </w:r>
          </w:p>
        </w:tc>
        <w:tc>
          <w:tcPr>
            <w:tcW w:type="dxa" w:w="1170"/>
            <w:shd w:fill="F2F5F9"/>
            <w:tcMar>
              <w:top w:w="100" w:type="dxa"/>
              <w:bottom w:w="100" w:type="dxa"/>
              <w:left w:w="150" w:type="dxa"/>
              <w:right w:w="150" w:type="dxa"/>
            </w:tcMar>
          </w:tcPr>
          <w:p>
            <w:pPr>
              <w:jc w:val="left"/>
            </w:pPr>
            <w:r>
              <w:rPr>
                <w:sz w:val="19"/>
              </w:rPr>
              <w:t>9.94%</w:t>
            </w:r>
          </w:p>
        </w:tc>
        <w:tc>
          <w:tcPr>
            <w:tcW w:type="dxa" w:w="1170"/>
            <w:shd w:fill="F2F5F9"/>
            <w:tcMar>
              <w:top w:w="100" w:type="dxa"/>
              <w:bottom w:w="100" w:type="dxa"/>
              <w:left w:w="150" w:type="dxa"/>
              <w:right w:w="150" w:type="dxa"/>
            </w:tcMar>
          </w:tcPr>
          <w:p>
            <w:pPr>
              <w:jc w:val="left"/>
            </w:pPr>
            <w:r>
              <w:rPr>
                <w:sz w:val="19"/>
              </w:rPr>
              <w:t>12.03%</w:t>
            </w:r>
          </w:p>
        </w:tc>
      </w:tr>
      <w:tr>
        <w:tc>
          <w:tcPr>
            <w:tcW w:type="dxa" w:w="1170"/>
            <w:shd w:fill="FFFFFF"/>
            <w:tcMar>
              <w:top w:w="100" w:type="dxa"/>
              <w:bottom w:w="100" w:type="dxa"/>
              <w:left w:w="150" w:type="dxa"/>
              <w:right w:w="150" w:type="dxa"/>
            </w:tcMar>
          </w:tcPr>
          <w:p>
            <w:pPr>
              <w:jc w:val="left"/>
            </w:pPr>
            <w:r>
              <w:rPr>
                <w:sz w:val="19"/>
              </w:rPr>
              <w:t>`frag200_multi_FIFO`</w:t>
            </w:r>
          </w:p>
        </w:tc>
        <w:tc>
          <w:tcPr>
            <w:tcW w:type="dxa" w:w="1170"/>
            <w:shd w:fill="FFFFFF"/>
            <w:tcMar>
              <w:top w:w="100" w:type="dxa"/>
              <w:bottom w:w="100" w:type="dxa"/>
              <w:left w:w="150" w:type="dxa"/>
              <w:right w:w="150" w:type="dxa"/>
            </w:tcMar>
          </w:tcPr>
          <w:p>
            <w:pPr>
              <w:jc w:val="left"/>
            </w:pPr>
            <w:r>
              <w:rPr>
                <w:sz w:val="19"/>
              </w:rPr>
              <w:t>200</w:t>
            </w:r>
          </w:p>
        </w:tc>
        <w:tc>
          <w:tcPr>
            <w:tcW w:type="dxa" w:w="1170"/>
            <w:shd w:fill="FFFFFF"/>
            <w:tcMar>
              <w:top w:w="100" w:type="dxa"/>
              <w:bottom w:w="100" w:type="dxa"/>
              <w:left w:w="150" w:type="dxa"/>
              <w:right w:w="150" w:type="dxa"/>
            </w:tcMar>
          </w:tcPr>
          <w:p>
            <w:pPr>
              <w:jc w:val="left"/>
            </w:pPr>
            <w:r>
              <w:rPr>
                <w:sz w:val="19"/>
              </w:rPr>
              <w:t>Batch (6Q)</w:t>
            </w:r>
          </w:p>
        </w:tc>
        <w:tc>
          <w:tcPr>
            <w:tcW w:type="dxa" w:w="1170"/>
            <w:shd w:fill="FFFFFF"/>
            <w:tcMar>
              <w:top w:w="100" w:type="dxa"/>
              <w:bottom w:w="100" w:type="dxa"/>
              <w:left w:w="150" w:type="dxa"/>
              <w:right w:w="150" w:type="dxa"/>
            </w:tcMar>
          </w:tcPr>
          <w:p>
            <w:pPr>
              <w:jc w:val="left"/>
            </w:pPr>
            <w:r>
              <w:rPr>
                <w:sz w:val="19"/>
              </w:rPr>
              <w:t>FIFO</w:t>
            </w:r>
          </w:p>
        </w:tc>
        <w:tc>
          <w:tcPr>
            <w:tcW w:type="dxa" w:w="1170"/>
            <w:shd w:fill="FFFFFF"/>
            <w:tcMar>
              <w:top w:w="100" w:type="dxa"/>
              <w:bottom w:w="100" w:type="dxa"/>
              <w:left w:w="150" w:type="dxa"/>
              <w:right w:w="150" w:type="dxa"/>
            </w:tcMar>
          </w:tcPr>
          <w:p>
            <w:pPr>
              <w:jc w:val="left"/>
            </w:pPr>
            <w:r>
              <w:rPr>
                <w:sz w:val="19"/>
              </w:rPr>
              <w:t>4.12%</w:t>
            </w:r>
          </w:p>
        </w:tc>
        <w:tc>
          <w:tcPr>
            <w:tcW w:type="dxa" w:w="1170"/>
            <w:shd w:fill="FFFFFF"/>
            <w:tcMar>
              <w:top w:w="100" w:type="dxa"/>
              <w:bottom w:w="100" w:type="dxa"/>
              <w:left w:w="150" w:type="dxa"/>
              <w:right w:w="150" w:type="dxa"/>
            </w:tcMar>
          </w:tcPr>
          <w:p>
            <w:pPr>
              <w:jc w:val="left"/>
            </w:pPr>
            <w:r>
              <w:rPr>
                <w:sz w:val="19"/>
              </w:rPr>
              <w:t>4.95%</w:t>
            </w:r>
          </w:p>
        </w:tc>
        <w:tc>
          <w:tcPr>
            <w:tcW w:type="dxa" w:w="1170"/>
            <w:shd w:fill="FFFFFF"/>
            <w:tcMar>
              <w:top w:w="100" w:type="dxa"/>
              <w:bottom w:w="100" w:type="dxa"/>
              <w:left w:w="150" w:type="dxa"/>
              <w:right w:w="150" w:type="dxa"/>
            </w:tcMar>
          </w:tcPr>
          <w:p>
            <w:pPr>
              <w:jc w:val="left"/>
            </w:pPr>
            <w:r>
              <w:rPr>
                <w:sz w:val="19"/>
              </w:rPr>
              <w:t>5.08%</w:t>
            </w:r>
          </w:p>
        </w:tc>
        <w:tc>
          <w:tcPr>
            <w:tcW w:type="dxa" w:w="1170"/>
            <w:shd w:fill="FFFFFF"/>
            <w:tcMar>
              <w:top w:w="100" w:type="dxa"/>
              <w:bottom w:w="100" w:type="dxa"/>
              <w:left w:w="150" w:type="dxa"/>
              <w:right w:w="150" w:type="dxa"/>
            </w:tcMar>
          </w:tcPr>
          <w:p>
            <w:pPr>
              <w:jc w:val="left"/>
            </w:pPr>
            <w:r>
              <w:rPr>
                <w:sz w:val="19"/>
              </w:rPr>
              <w:t>6.84%</w:t>
            </w:r>
          </w:p>
        </w:tc>
      </w:tr>
      <w:tr>
        <w:tc>
          <w:tcPr>
            <w:tcW w:type="dxa" w:w="1170"/>
            <w:shd w:fill="F2F5F9"/>
            <w:tcMar>
              <w:top w:w="100" w:type="dxa"/>
              <w:bottom w:w="100" w:type="dxa"/>
              <w:left w:w="150" w:type="dxa"/>
              <w:right w:w="150" w:type="dxa"/>
            </w:tcMar>
          </w:tcPr>
          <w:p>
            <w:pPr>
              <w:jc w:val="left"/>
            </w:pPr>
            <w:r>
              <w:rPr>
                <w:sz w:val="19"/>
              </w:rPr>
              <w:t>`frag200_multi_FAIR`</w:t>
            </w:r>
          </w:p>
        </w:tc>
        <w:tc>
          <w:tcPr>
            <w:tcW w:type="dxa" w:w="1170"/>
            <w:shd w:fill="F2F5F9"/>
            <w:tcMar>
              <w:top w:w="100" w:type="dxa"/>
              <w:bottom w:w="100" w:type="dxa"/>
              <w:left w:w="150" w:type="dxa"/>
              <w:right w:w="150" w:type="dxa"/>
            </w:tcMar>
          </w:tcPr>
          <w:p>
            <w:pPr>
              <w:jc w:val="left"/>
            </w:pPr>
            <w:r>
              <w:rPr>
                <w:sz w:val="19"/>
              </w:rPr>
              <w:t>200</w:t>
            </w:r>
          </w:p>
        </w:tc>
        <w:tc>
          <w:tcPr>
            <w:tcW w:type="dxa" w:w="1170"/>
            <w:shd w:fill="F2F5F9"/>
            <w:tcMar>
              <w:top w:w="100" w:type="dxa"/>
              <w:bottom w:w="100" w:type="dxa"/>
              <w:left w:w="150" w:type="dxa"/>
              <w:right w:w="150" w:type="dxa"/>
            </w:tcMar>
          </w:tcPr>
          <w:p>
            <w:pPr>
              <w:jc w:val="left"/>
            </w:pPr>
            <w:r>
              <w:rPr>
                <w:sz w:val="19"/>
              </w:rPr>
              <w:t>Batch (6Q)</w:t>
            </w:r>
          </w:p>
        </w:tc>
        <w:tc>
          <w:tcPr>
            <w:tcW w:type="dxa" w:w="1170"/>
            <w:shd w:fill="F2F5F9"/>
            <w:tcMar>
              <w:top w:w="100" w:type="dxa"/>
              <w:bottom w:w="100" w:type="dxa"/>
              <w:left w:w="150" w:type="dxa"/>
              <w:right w:w="150" w:type="dxa"/>
            </w:tcMar>
          </w:tcPr>
          <w:p>
            <w:pPr>
              <w:jc w:val="left"/>
            </w:pPr>
            <w:r>
              <w:rPr>
                <w:sz w:val="19"/>
              </w:rPr>
              <w:t>FAIR</w:t>
            </w:r>
          </w:p>
        </w:tc>
        <w:tc>
          <w:tcPr>
            <w:tcW w:type="dxa" w:w="1170"/>
            <w:shd w:fill="F2F5F9"/>
            <w:tcMar>
              <w:top w:w="100" w:type="dxa"/>
              <w:bottom w:w="100" w:type="dxa"/>
              <w:left w:w="150" w:type="dxa"/>
              <w:right w:w="150" w:type="dxa"/>
            </w:tcMar>
          </w:tcPr>
          <w:p>
            <w:pPr>
              <w:jc w:val="left"/>
            </w:pPr>
            <w:r>
              <w:rPr>
                <w:sz w:val="19"/>
              </w:rPr>
              <w:t>3.95%</w:t>
            </w:r>
          </w:p>
        </w:tc>
        <w:tc>
          <w:tcPr>
            <w:tcW w:type="dxa" w:w="1170"/>
            <w:shd w:fill="F2F5F9"/>
            <w:tcMar>
              <w:top w:w="100" w:type="dxa"/>
              <w:bottom w:w="100" w:type="dxa"/>
              <w:left w:w="150" w:type="dxa"/>
              <w:right w:w="150" w:type="dxa"/>
            </w:tcMar>
          </w:tcPr>
          <w:p>
            <w:pPr>
              <w:jc w:val="left"/>
            </w:pPr>
            <w:r>
              <w:rPr>
                <w:sz w:val="19"/>
              </w:rPr>
              <w:t>4.61%</w:t>
            </w:r>
          </w:p>
        </w:tc>
        <w:tc>
          <w:tcPr>
            <w:tcW w:type="dxa" w:w="1170"/>
            <w:shd w:fill="F2F5F9"/>
            <w:tcMar>
              <w:top w:w="100" w:type="dxa"/>
              <w:bottom w:w="100" w:type="dxa"/>
              <w:left w:w="150" w:type="dxa"/>
              <w:right w:w="150" w:type="dxa"/>
            </w:tcMar>
          </w:tcPr>
          <w:p>
            <w:pPr>
              <w:jc w:val="left"/>
            </w:pPr>
            <w:r>
              <w:rPr>
                <w:sz w:val="19"/>
              </w:rPr>
              <w:t>4.75%</w:t>
            </w:r>
          </w:p>
        </w:tc>
        <w:tc>
          <w:tcPr>
            <w:tcW w:type="dxa" w:w="1170"/>
            <w:shd w:fill="F2F5F9"/>
            <w:tcMar>
              <w:top w:w="100" w:type="dxa"/>
              <w:bottom w:w="100" w:type="dxa"/>
              <w:left w:w="150" w:type="dxa"/>
              <w:right w:w="150" w:type="dxa"/>
            </w:tcMar>
          </w:tcPr>
          <w:p>
            <w:pPr>
              <w:jc w:val="left"/>
            </w:pPr>
            <w:r>
              <w:rPr>
                <w:sz w:val="19"/>
              </w:rPr>
              <w:t>6.42%</w:t>
            </w:r>
          </w:p>
        </w:tc>
      </w:tr>
      <w:tr>
        <w:tc>
          <w:tcPr>
            <w:tcW w:type="dxa" w:w="1170"/>
            <w:shd w:fill="FFFFFF"/>
            <w:tcMar>
              <w:top w:w="100" w:type="dxa"/>
              <w:bottom w:w="100" w:type="dxa"/>
              <w:left w:w="150" w:type="dxa"/>
              <w:right w:w="150" w:type="dxa"/>
            </w:tcMar>
          </w:tcPr>
          <w:p>
            <w:pPr>
              <w:jc w:val="left"/>
            </w:pPr>
            <w:r>
              <w:rPr>
                <w:sz w:val="19"/>
              </w:rPr>
              <w:t>`frag500_single_FIFO`</w:t>
            </w:r>
          </w:p>
        </w:tc>
        <w:tc>
          <w:tcPr>
            <w:tcW w:type="dxa" w:w="1170"/>
            <w:shd w:fill="FFFFFF"/>
            <w:tcMar>
              <w:top w:w="100" w:type="dxa"/>
              <w:bottom w:w="100" w:type="dxa"/>
              <w:left w:w="150" w:type="dxa"/>
              <w:right w:w="150" w:type="dxa"/>
            </w:tcMar>
          </w:tcPr>
          <w:p>
            <w:pPr>
              <w:jc w:val="left"/>
            </w:pPr>
            <w:r>
              <w:rPr>
                <w:sz w:val="19"/>
              </w:rPr>
              <w:t>500</w:t>
            </w:r>
          </w:p>
        </w:tc>
        <w:tc>
          <w:tcPr>
            <w:tcW w:type="dxa" w:w="1170"/>
            <w:shd w:fill="FFFFFF"/>
            <w:tcMar>
              <w:top w:w="100" w:type="dxa"/>
              <w:bottom w:w="100" w:type="dxa"/>
              <w:left w:w="150" w:type="dxa"/>
              <w:right w:w="150" w:type="dxa"/>
            </w:tcMar>
          </w:tcPr>
          <w:p>
            <w:pPr>
              <w:jc w:val="left"/>
            </w:pPr>
            <w:r>
              <w:rPr>
                <w:sz w:val="19"/>
              </w:rPr>
              <w:t>Single Q14</w:t>
            </w:r>
          </w:p>
        </w:tc>
        <w:tc>
          <w:tcPr>
            <w:tcW w:type="dxa" w:w="1170"/>
            <w:shd w:fill="FFFFFF"/>
            <w:tcMar>
              <w:top w:w="100" w:type="dxa"/>
              <w:bottom w:w="100" w:type="dxa"/>
              <w:left w:w="150" w:type="dxa"/>
              <w:right w:w="150" w:type="dxa"/>
            </w:tcMar>
          </w:tcPr>
          <w:p>
            <w:pPr>
              <w:jc w:val="left"/>
            </w:pPr>
            <w:r>
              <w:rPr>
                <w:sz w:val="19"/>
              </w:rPr>
              <w:t>FIFO</w:t>
            </w:r>
          </w:p>
        </w:tc>
        <w:tc>
          <w:tcPr>
            <w:tcW w:type="dxa" w:w="1170"/>
            <w:shd w:fill="FFFFFF"/>
            <w:tcMar>
              <w:top w:w="100" w:type="dxa"/>
              <w:bottom w:w="100" w:type="dxa"/>
              <w:left w:w="150" w:type="dxa"/>
              <w:right w:w="150" w:type="dxa"/>
            </w:tcMar>
          </w:tcPr>
          <w:p>
            <w:pPr>
              <w:jc w:val="left"/>
            </w:pPr>
            <w:r>
              <w:rPr>
                <w:sz w:val="19"/>
              </w:rPr>
              <w:t>7.15%</w:t>
            </w:r>
          </w:p>
        </w:tc>
        <w:tc>
          <w:tcPr>
            <w:tcW w:type="dxa" w:w="1170"/>
            <w:shd w:fill="FFFFFF"/>
            <w:tcMar>
              <w:top w:w="100" w:type="dxa"/>
              <w:bottom w:w="100" w:type="dxa"/>
              <w:left w:w="150" w:type="dxa"/>
              <w:right w:w="150" w:type="dxa"/>
            </w:tcMar>
          </w:tcPr>
          <w:p>
            <w:pPr>
              <w:jc w:val="left"/>
            </w:pPr>
            <w:r>
              <w:rPr>
                <w:sz w:val="19"/>
              </w:rPr>
              <w:t>8.43%</w:t>
            </w:r>
          </w:p>
        </w:tc>
        <w:tc>
          <w:tcPr>
            <w:tcW w:type="dxa" w:w="1170"/>
            <w:shd w:fill="FFFFFF"/>
            <w:tcMar>
              <w:top w:w="100" w:type="dxa"/>
              <w:bottom w:w="100" w:type="dxa"/>
              <w:left w:w="150" w:type="dxa"/>
              <w:right w:w="150" w:type="dxa"/>
            </w:tcMar>
          </w:tcPr>
          <w:p>
            <w:pPr>
              <w:jc w:val="left"/>
            </w:pPr>
            <w:r>
              <w:rPr>
                <w:sz w:val="19"/>
              </w:rPr>
              <w:t>8.56%</w:t>
            </w:r>
          </w:p>
        </w:tc>
        <w:tc>
          <w:tcPr>
            <w:tcW w:type="dxa" w:w="1170"/>
            <w:shd w:fill="FFFFFF"/>
            <w:tcMar>
              <w:top w:w="100" w:type="dxa"/>
              <w:bottom w:w="100" w:type="dxa"/>
              <w:left w:w="150" w:type="dxa"/>
              <w:right w:w="150" w:type="dxa"/>
            </w:tcMar>
          </w:tcPr>
          <w:p>
            <w:pPr>
              <w:jc w:val="left"/>
            </w:pPr>
            <w:r>
              <w:rPr>
                <w:sz w:val="19"/>
              </w:rPr>
              <w:t>10.82%</w:t>
            </w:r>
          </w:p>
        </w:tc>
      </w:tr>
      <w:tr>
        <w:tc>
          <w:tcPr>
            <w:tcW w:type="dxa" w:w="1170"/>
            <w:shd w:fill="F2F5F9"/>
            <w:tcMar>
              <w:top w:w="100" w:type="dxa"/>
              <w:bottom w:w="100" w:type="dxa"/>
              <w:left w:w="150" w:type="dxa"/>
              <w:right w:w="150" w:type="dxa"/>
            </w:tcMar>
          </w:tcPr>
          <w:p>
            <w:pPr>
              <w:jc w:val="left"/>
            </w:pPr>
            <w:r>
              <w:rPr>
                <w:sz w:val="19"/>
              </w:rPr>
              <w:t>`frag500_single_FAIR`</w:t>
            </w:r>
          </w:p>
        </w:tc>
        <w:tc>
          <w:tcPr>
            <w:tcW w:type="dxa" w:w="1170"/>
            <w:shd w:fill="F2F5F9"/>
            <w:tcMar>
              <w:top w:w="100" w:type="dxa"/>
              <w:bottom w:w="100" w:type="dxa"/>
              <w:left w:w="150" w:type="dxa"/>
              <w:right w:w="150" w:type="dxa"/>
            </w:tcMar>
          </w:tcPr>
          <w:p>
            <w:pPr>
              <w:jc w:val="left"/>
            </w:pPr>
            <w:r>
              <w:rPr>
                <w:sz w:val="19"/>
              </w:rPr>
              <w:t>500</w:t>
            </w:r>
          </w:p>
        </w:tc>
        <w:tc>
          <w:tcPr>
            <w:tcW w:type="dxa" w:w="1170"/>
            <w:shd w:fill="F2F5F9"/>
            <w:tcMar>
              <w:top w:w="100" w:type="dxa"/>
              <w:bottom w:w="100" w:type="dxa"/>
              <w:left w:w="150" w:type="dxa"/>
              <w:right w:w="150" w:type="dxa"/>
            </w:tcMar>
          </w:tcPr>
          <w:p>
            <w:pPr>
              <w:jc w:val="left"/>
            </w:pPr>
            <w:r>
              <w:rPr>
                <w:sz w:val="19"/>
              </w:rPr>
              <w:t>Single Q14</w:t>
            </w:r>
          </w:p>
        </w:tc>
        <w:tc>
          <w:tcPr>
            <w:tcW w:type="dxa" w:w="1170"/>
            <w:shd w:fill="F2F5F9"/>
            <w:tcMar>
              <w:top w:w="100" w:type="dxa"/>
              <w:bottom w:w="100" w:type="dxa"/>
              <w:left w:w="150" w:type="dxa"/>
              <w:right w:w="150" w:type="dxa"/>
            </w:tcMar>
          </w:tcPr>
          <w:p>
            <w:pPr>
              <w:jc w:val="left"/>
            </w:pPr>
            <w:r>
              <w:rPr>
                <w:sz w:val="19"/>
              </w:rPr>
              <w:t>FAIR</w:t>
            </w:r>
          </w:p>
        </w:tc>
        <w:tc>
          <w:tcPr>
            <w:tcW w:type="dxa" w:w="1170"/>
            <w:shd w:fill="F2F5F9"/>
            <w:tcMar>
              <w:top w:w="100" w:type="dxa"/>
              <w:bottom w:w="100" w:type="dxa"/>
              <w:left w:w="150" w:type="dxa"/>
              <w:right w:w="150" w:type="dxa"/>
            </w:tcMar>
          </w:tcPr>
          <w:p>
            <w:pPr>
              <w:jc w:val="left"/>
            </w:pPr>
            <w:r>
              <w:rPr>
                <w:sz w:val="19"/>
              </w:rPr>
              <w:t>5.82%</w:t>
            </w:r>
          </w:p>
        </w:tc>
        <w:tc>
          <w:tcPr>
            <w:tcW w:type="dxa" w:w="1170"/>
            <w:shd w:fill="F2F5F9"/>
            <w:tcMar>
              <w:top w:w="100" w:type="dxa"/>
              <w:bottom w:w="100" w:type="dxa"/>
              <w:left w:w="150" w:type="dxa"/>
              <w:right w:w="150" w:type="dxa"/>
            </w:tcMar>
          </w:tcPr>
          <w:p>
            <w:pPr>
              <w:jc w:val="left"/>
            </w:pPr>
            <w:r>
              <w:rPr>
                <w:sz w:val="19"/>
              </w:rPr>
              <w:t>6.91%</w:t>
            </w:r>
          </w:p>
        </w:tc>
        <w:tc>
          <w:tcPr>
            <w:tcW w:type="dxa" w:w="1170"/>
            <w:shd w:fill="F2F5F9"/>
            <w:tcMar>
              <w:top w:w="100" w:type="dxa"/>
              <w:bottom w:w="100" w:type="dxa"/>
              <w:left w:w="150" w:type="dxa"/>
              <w:right w:w="150" w:type="dxa"/>
            </w:tcMar>
          </w:tcPr>
          <w:p>
            <w:pPr>
              <w:jc w:val="left"/>
            </w:pPr>
            <w:r>
              <w:rPr>
                <w:sz w:val="19"/>
              </w:rPr>
              <w:t>7.02%</w:t>
            </w:r>
          </w:p>
        </w:tc>
        <w:tc>
          <w:tcPr>
            <w:tcW w:type="dxa" w:w="1170"/>
            <w:shd w:fill="F2F5F9"/>
            <w:tcMar>
              <w:top w:w="100" w:type="dxa"/>
              <w:bottom w:w="100" w:type="dxa"/>
              <w:left w:w="150" w:type="dxa"/>
              <w:right w:w="150" w:type="dxa"/>
            </w:tcMar>
          </w:tcPr>
          <w:p>
            <w:pPr>
              <w:jc w:val="left"/>
            </w:pPr>
            <w:r>
              <w:rPr>
                <w:sz w:val="19"/>
              </w:rPr>
              <w:t>9.15%</w:t>
            </w:r>
          </w:p>
        </w:tc>
      </w:tr>
      <w:tr>
        <w:tc>
          <w:tcPr>
            <w:tcW w:type="dxa" w:w="1170"/>
            <w:shd w:fill="FFFFFF"/>
            <w:tcMar>
              <w:top w:w="100" w:type="dxa"/>
              <w:bottom w:w="100" w:type="dxa"/>
              <w:left w:w="150" w:type="dxa"/>
              <w:right w:w="150" w:type="dxa"/>
            </w:tcMar>
          </w:tcPr>
          <w:p>
            <w:pPr>
              <w:jc w:val="left"/>
            </w:pPr>
            <w:r>
              <w:rPr>
                <w:sz w:val="19"/>
              </w:rPr>
              <w:t>`frag500_multi_FIFO`</w:t>
            </w:r>
          </w:p>
        </w:tc>
        <w:tc>
          <w:tcPr>
            <w:tcW w:type="dxa" w:w="1170"/>
            <w:shd w:fill="FFFFFF"/>
            <w:tcMar>
              <w:top w:w="100" w:type="dxa"/>
              <w:bottom w:w="100" w:type="dxa"/>
              <w:left w:w="150" w:type="dxa"/>
              <w:right w:w="150" w:type="dxa"/>
            </w:tcMar>
          </w:tcPr>
          <w:p>
            <w:pPr>
              <w:jc w:val="left"/>
            </w:pPr>
            <w:r>
              <w:rPr>
                <w:sz w:val="19"/>
              </w:rPr>
              <w:t>500</w:t>
            </w:r>
          </w:p>
        </w:tc>
        <w:tc>
          <w:tcPr>
            <w:tcW w:type="dxa" w:w="1170"/>
            <w:shd w:fill="FFFFFF"/>
            <w:tcMar>
              <w:top w:w="100" w:type="dxa"/>
              <w:bottom w:w="100" w:type="dxa"/>
              <w:left w:w="150" w:type="dxa"/>
              <w:right w:w="150" w:type="dxa"/>
            </w:tcMar>
          </w:tcPr>
          <w:p>
            <w:pPr>
              <w:jc w:val="left"/>
            </w:pPr>
            <w:r>
              <w:rPr>
                <w:sz w:val="19"/>
              </w:rPr>
              <w:t>Batch (6Q)</w:t>
            </w:r>
          </w:p>
        </w:tc>
        <w:tc>
          <w:tcPr>
            <w:tcW w:type="dxa" w:w="1170"/>
            <w:shd w:fill="FFFFFF"/>
            <w:tcMar>
              <w:top w:w="100" w:type="dxa"/>
              <w:bottom w:w="100" w:type="dxa"/>
              <w:left w:w="150" w:type="dxa"/>
              <w:right w:w="150" w:type="dxa"/>
            </w:tcMar>
          </w:tcPr>
          <w:p>
            <w:pPr>
              <w:jc w:val="left"/>
            </w:pPr>
            <w:r>
              <w:rPr>
                <w:sz w:val="19"/>
              </w:rPr>
              <w:t>FIFO</w:t>
            </w:r>
          </w:p>
        </w:tc>
        <w:tc>
          <w:tcPr>
            <w:tcW w:type="dxa" w:w="1170"/>
            <w:shd w:fill="FFFFFF"/>
            <w:tcMar>
              <w:top w:w="100" w:type="dxa"/>
              <w:bottom w:w="100" w:type="dxa"/>
              <w:left w:w="150" w:type="dxa"/>
              <w:right w:w="150" w:type="dxa"/>
            </w:tcMar>
          </w:tcPr>
          <w:p>
            <w:pPr>
              <w:jc w:val="left"/>
            </w:pPr>
            <w:r>
              <w:rPr>
                <w:sz w:val="19"/>
              </w:rPr>
              <w:t>2.58%</w:t>
            </w:r>
          </w:p>
        </w:tc>
        <w:tc>
          <w:tcPr>
            <w:tcW w:type="dxa" w:w="1170"/>
            <w:shd w:fill="FFFFFF"/>
            <w:tcMar>
              <w:top w:w="100" w:type="dxa"/>
              <w:bottom w:w="100" w:type="dxa"/>
              <w:left w:w="150" w:type="dxa"/>
              <w:right w:w="150" w:type="dxa"/>
            </w:tcMar>
          </w:tcPr>
          <w:p>
            <w:pPr>
              <w:jc w:val="left"/>
            </w:pPr>
            <w:r>
              <w:rPr>
                <w:sz w:val="19"/>
              </w:rPr>
              <w:t>3.98%</w:t>
            </w:r>
          </w:p>
        </w:tc>
        <w:tc>
          <w:tcPr>
            <w:tcW w:type="dxa" w:w="1170"/>
            <w:shd w:fill="FFFFFF"/>
            <w:tcMar>
              <w:top w:w="100" w:type="dxa"/>
              <w:bottom w:w="100" w:type="dxa"/>
              <w:left w:w="150" w:type="dxa"/>
              <w:right w:w="150" w:type="dxa"/>
            </w:tcMar>
          </w:tcPr>
          <w:p>
            <w:pPr>
              <w:jc w:val="left"/>
            </w:pPr>
            <w:r>
              <w:rPr>
                <w:sz w:val="19"/>
              </w:rPr>
              <w:t>3.89%</w:t>
            </w:r>
          </w:p>
        </w:tc>
        <w:tc>
          <w:tcPr>
            <w:tcW w:type="dxa" w:w="1170"/>
            <w:shd w:fill="FFFFFF"/>
            <w:tcMar>
              <w:top w:w="100" w:type="dxa"/>
              <w:bottom w:w="100" w:type="dxa"/>
              <w:left w:w="150" w:type="dxa"/>
              <w:right w:w="150" w:type="dxa"/>
            </w:tcMar>
          </w:tcPr>
          <w:p>
            <w:pPr>
              <w:jc w:val="left"/>
            </w:pPr>
            <w:r>
              <w:rPr>
                <w:sz w:val="19"/>
              </w:rPr>
              <w:t>7.21%</w:t>
            </w:r>
          </w:p>
        </w:tc>
      </w:tr>
      <w:tr>
        <w:tc>
          <w:tcPr>
            <w:tcW w:type="dxa" w:w="1170"/>
            <w:shd w:fill="F2F5F9"/>
            <w:tcMar>
              <w:top w:w="100" w:type="dxa"/>
              <w:bottom w:w="100" w:type="dxa"/>
              <w:left w:w="150" w:type="dxa"/>
              <w:right w:w="150" w:type="dxa"/>
            </w:tcMar>
          </w:tcPr>
          <w:p>
            <w:pPr>
              <w:jc w:val="left"/>
            </w:pPr>
            <w:r>
              <w:rPr>
                <w:sz w:val="19"/>
              </w:rPr>
              <w:t>`frag500_multi_FAIR`</w:t>
            </w:r>
          </w:p>
        </w:tc>
        <w:tc>
          <w:tcPr>
            <w:tcW w:type="dxa" w:w="1170"/>
            <w:shd w:fill="F2F5F9"/>
            <w:tcMar>
              <w:top w:w="100" w:type="dxa"/>
              <w:bottom w:w="100" w:type="dxa"/>
              <w:left w:w="150" w:type="dxa"/>
              <w:right w:w="150" w:type="dxa"/>
            </w:tcMar>
          </w:tcPr>
          <w:p>
            <w:pPr>
              <w:jc w:val="left"/>
            </w:pPr>
            <w:r>
              <w:rPr>
                <w:sz w:val="19"/>
              </w:rPr>
              <w:t>500</w:t>
            </w:r>
          </w:p>
        </w:tc>
        <w:tc>
          <w:tcPr>
            <w:tcW w:type="dxa" w:w="1170"/>
            <w:shd w:fill="F2F5F9"/>
            <w:tcMar>
              <w:top w:w="100" w:type="dxa"/>
              <w:bottom w:w="100" w:type="dxa"/>
              <w:left w:w="150" w:type="dxa"/>
              <w:right w:w="150" w:type="dxa"/>
            </w:tcMar>
          </w:tcPr>
          <w:p>
            <w:pPr>
              <w:jc w:val="left"/>
            </w:pPr>
            <w:r>
              <w:rPr>
                <w:sz w:val="19"/>
              </w:rPr>
              <w:t>Batch (6Q)</w:t>
            </w:r>
          </w:p>
        </w:tc>
        <w:tc>
          <w:tcPr>
            <w:tcW w:type="dxa" w:w="1170"/>
            <w:shd w:fill="F2F5F9"/>
            <w:tcMar>
              <w:top w:w="100" w:type="dxa"/>
              <w:bottom w:w="100" w:type="dxa"/>
              <w:left w:w="150" w:type="dxa"/>
              <w:right w:w="150" w:type="dxa"/>
            </w:tcMar>
          </w:tcPr>
          <w:p>
            <w:pPr>
              <w:jc w:val="left"/>
            </w:pPr>
            <w:r>
              <w:rPr>
                <w:sz w:val="19"/>
              </w:rPr>
              <w:t>FAIR</w:t>
            </w:r>
          </w:p>
        </w:tc>
        <w:tc>
          <w:tcPr>
            <w:tcW w:type="dxa" w:w="1170"/>
            <w:shd w:fill="F2F5F9"/>
            <w:tcMar>
              <w:top w:w="100" w:type="dxa"/>
              <w:bottom w:w="100" w:type="dxa"/>
              <w:left w:w="150" w:type="dxa"/>
              <w:right w:w="150" w:type="dxa"/>
            </w:tcMar>
          </w:tcPr>
          <w:p>
            <w:pPr>
              <w:jc w:val="left"/>
            </w:pPr>
            <w:r>
              <w:rPr>
                <w:sz w:val="19"/>
              </w:rPr>
              <w:t>2.22%</w:t>
            </w:r>
          </w:p>
        </w:tc>
        <w:tc>
          <w:tcPr>
            <w:tcW w:type="dxa" w:w="1170"/>
            <w:shd w:fill="F2F5F9"/>
            <w:tcMar>
              <w:top w:w="100" w:type="dxa"/>
              <w:bottom w:w="100" w:type="dxa"/>
              <w:left w:w="150" w:type="dxa"/>
              <w:right w:w="150" w:type="dxa"/>
            </w:tcMar>
          </w:tcPr>
          <w:p>
            <w:pPr>
              <w:jc w:val="left"/>
            </w:pPr>
            <w:r>
              <w:rPr>
                <w:sz w:val="19"/>
              </w:rPr>
              <w:t>3.91%</w:t>
            </w:r>
          </w:p>
        </w:tc>
        <w:tc>
          <w:tcPr>
            <w:tcW w:type="dxa" w:w="1170"/>
            <w:shd w:fill="F2F5F9"/>
            <w:tcMar>
              <w:top w:w="100" w:type="dxa"/>
              <w:bottom w:w="100" w:type="dxa"/>
              <w:left w:w="150" w:type="dxa"/>
              <w:right w:w="150" w:type="dxa"/>
            </w:tcMar>
          </w:tcPr>
          <w:p>
            <w:pPr>
              <w:jc w:val="left"/>
            </w:pPr>
            <w:r>
              <w:rPr>
                <w:sz w:val="19"/>
              </w:rPr>
              <w:t>3.88%</w:t>
            </w:r>
          </w:p>
        </w:tc>
        <w:tc>
          <w:tcPr>
            <w:tcW w:type="dxa" w:w="1170"/>
            <w:shd w:fill="F2F5F9"/>
            <w:tcMar>
              <w:top w:w="100" w:type="dxa"/>
              <w:bottom w:w="100" w:type="dxa"/>
              <w:left w:w="150" w:type="dxa"/>
              <w:right w:w="150" w:type="dxa"/>
            </w:tcMar>
          </w:tcPr>
          <w:p>
            <w:pPr>
              <w:jc w:val="left"/>
            </w:pPr>
            <w:r>
              <w:rPr>
                <w:sz w:val="19"/>
              </w:rPr>
              <w:t>7.02%</w:t>
            </w:r>
          </w:p>
        </w:tc>
      </w:tr>
      <w:tr>
        <w:tc>
          <w:tcPr>
            <w:tcW w:type="dxa" w:w="1170"/>
            <w:shd w:fill="FFFFFF"/>
            <w:tcMar>
              <w:top w:w="100" w:type="dxa"/>
              <w:bottom w:w="100" w:type="dxa"/>
              <w:left w:w="150" w:type="dxa"/>
              <w:right w:w="150" w:type="dxa"/>
            </w:tcMar>
          </w:tcPr>
          <w:p>
            <w:pPr>
              <w:jc w:val="left"/>
            </w:pPr>
            <w:r>
              <w:rPr>
                <w:b/>
                <w:sz w:val="19"/>
              </w:rPr>
              <w:t>**Overall Mean**</w:t>
            </w:r>
          </w:p>
        </w:tc>
        <w:tc>
          <w:tcPr>
            <w:tcW w:type="dxa" w:w="1170"/>
            <w:shd w:fill="FFFFFF"/>
            <w:tcMar>
              <w:top w:w="100" w:type="dxa"/>
              <w:bottom w:w="100" w:type="dxa"/>
              <w:left w:w="150" w:type="dxa"/>
              <w:right w:w="150" w:type="dxa"/>
            </w:tcMar>
          </w:tcPr>
          <w:p>
            <w:pPr>
              <w:jc w:val="left"/>
            </w:pPr>
            <w:r>
              <w:rPr>
                <w:sz w:val="19"/>
              </w:rPr>
              <w:t>—</w:t>
            </w:r>
          </w:p>
        </w:tc>
        <w:tc>
          <w:tcPr>
            <w:tcW w:type="dxa" w:w="1170"/>
            <w:shd w:fill="FFFFFF"/>
            <w:tcMar>
              <w:top w:w="100" w:type="dxa"/>
              <w:bottom w:w="100" w:type="dxa"/>
              <w:left w:w="150" w:type="dxa"/>
              <w:right w:w="150" w:type="dxa"/>
            </w:tcMar>
          </w:tcPr>
          <w:p>
            <w:pPr>
              <w:jc w:val="left"/>
            </w:pPr>
            <w:r>
              <w:rPr>
                <w:sz w:val="19"/>
              </w:rPr>
              <w:t>—</w:t>
            </w:r>
          </w:p>
        </w:tc>
        <w:tc>
          <w:tcPr>
            <w:tcW w:type="dxa" w:w="1170"/>
            <w:shd w:fill="FFFFFF"/>
            <w:tcMar>
              <w:top w:w="100" w:type="dxa"/>
              <w:bottom w:w="100" w:type="dxa"/>
              <w:left w:w="150" w:type="dxa"/>
              <w:right w:w="150" w:type="dxa"/>
            </w:tcMar>
          </w:tcPr>
          <w:p>
            <w:pPr>
              <w:jc w:val="left"/>
            </w:pPr>
            <w:r>
              <w:rPr>
                <w:sz w:val="19"/>
              </w:rPr>
              <w:t>—</w:t>
            </w:r>
          </w:p>
        </w:tc>
        <w:tc>
          <w:tcPr>
            <w:tcW w:type="dxa" w:w="1170"/>
            <w:shd w:fill="FFFFFF"/>
            <w:tcMar>
              <w:top w:w="100" w:type="dxa"/>
              <w:bottom w:w="100" w:type="dxa"/>
              <w:left w:w="150" w:type="dxa"/>
              <w:right w:w="150" w:type="dxa"/>
            </w:tcMar>
          </w:tcPr>
          <w:p>
            <w:pPr>
              <w:jc w:val="left"/>
            </w:pPr>
            <w:r>
              <w:rPr>
                <w:b/>
                <w:sz w:val="19"/>
              </w:rPr>
              <w:t>**6.55%**</w:t>
            </w:r>
          </w:p>
        </w:tc>
        <w:tc>
          <w:tcPr>
            <w:tcW w:type="dxa" w:w="1170"/>
            <w:shd w:fill="FFFFFF"/>
            <w:tcMar>
              <w:top w:w="100" w:type="dxa"/>
              <w:bottom w:w="100" w:type="dxa"/>
              <w:left w:w="150" w:type="dxa"/>
              <w:right w:w="150" w:type="dxa"/>
            </w:tcMar>
          </w:tcPr>
          <w:p>
            <w:pPr>
              <w:jc w:val="left"/>
            </w:pPr>
            <w:r>
              <w:rPr>
                <w:b/>
                <w:sz w:val="19"/>
              </w:rPr>
              <w:t>**7.54%**</w:t>
            </w:r>
          </w:p>
        </w:tc>
        <w:tc>
          <w:tcPr>
            <w:tcW w:type="dxa" w:w="1170"/>
            <w:shd w:fill="FFFFFF"/>
            <w:tcMar>
              <w:top w:w="100" w:type="dxa"/>
              <w:bottom w:w="100" w:type="dxa"/>
              <w:left w:w="150" w:type="dxa"/>
              <w:right w:w="150" w:type="dxa"/>
            </w:tcMar>
          </w:tcPr>
          <w:p>
            <w:pPr>
              <w:jc w:val="left"/>
            </w:pPr>
            <w:r>
              <w:rPr>
                <w:b/>
                <w:sz w:val="19"/>
              </w:rPr>
              <w:t>**7.66%**</w:t>
            </w:r>
          </w:p>
        </w:tc>
        <w:tc>
          <w:tcPr>
            <w:tcW w:type="dxa" w:w="1170"/>
            <w:shd w:fill="FFFFFF"/>
            <w:tcMar>
              <w:top w:w="100" w:type="dxa"/>
              <w:bottom w:w="100" w:type="dxa"/>
              <w:left w:w="150" w:type="dxa"/>
              <w:right w:w="150" w:type="dxa"/>
            </w:tcMar>
          </w:tcPr>
          <w:p>
            <w:pPr>
              <w:jc w:val="left"/>
            </w:pPr>
            <w:r>
              <w:rPr>
                <w:b/>
                <w:sz w:val="19"/>
              </w:rPr>
              <w:t>**10.81%**</w:t>
            </w:r>
          </w:p>
        </w:tc>
      </w:tr>
    </w:tbl>
    <w:p>
      <w:pPr>
        <w:spacing w:after="120"/>
      </w:pPr>
    </w:p>
    <w:p>
      <w:pPr>
        <w:spacing w:before="200" w:after="80"/>
        <w:jc w:val="left"/>
      </w:pPr>
      <w:r>
        <w:rPr>
          <w:rFonts w:ascii="Calibri" w:hAnsi="Calibri"/>
          <w:b/>
          <w:color w:val="366092"/>
          <w:sz w:val="25"/>
        </w:rPr>
        <w:t>7.2 Evaluation Against Trivial Baselines</w:t>
      </w:r>
    </w:p>
    <w:p>
      <w:pPr>
        <w:spacing w:before="0" w:after="80"/>
        <w:jc w:val="left"/>
      </w:pPr>
      <w:r>
        <w:t xml:space="preserve">We compare regression models against non-predictive scalar baselines: Baseline A (Global Mean </w:t>
      </w:r>
      <w:r>
        <w:rPr>
          <w:rFonts w:ascii="Cambria Math" w:hAnsi="Cambria Math"/>
          <w:i/>
          <w:color w:val="003366"/>
        </w:rPr>
        <w:t>3.64\%</w:t>
      </w:r>
      <w:r>
        <w:t xml:space="preserve">), Baseline B (Workload Mean </w:t>
      </w:r>
      <w:r>
        <w:rPr>
          <w:rFonts w:ascii="Cambria Math" w:hAnsi="Cambria Math"/>
          <w:i/>
          <w:color w:val="003366"/>
        </w:rPr>
        <w:t>12.50\%</w:t>
      </w:r>
      <w:r>
        <w:t xml:space="preserve"> / </w:t>
      </w:r>
      <w:r>
        <w:rPr>
          <w:rFonts w:ascii="Cambria Math" w:hAnsi="Cambria Math"/>
          <w:i/>
          <w:color w:val="003366"/>
        </w:rPr>
        <w:t>2.16\%</w:t>
      </w:r>
      <w:r>
        <w:t xml:space="preserve">), and Baseline C (Training Median </w:t>
      </w:r>
      <w:r>
        <w:rPr>
          <w:rFonts w:ascii="Cambria Math" w:hAnsi="Cambria Math"/>
          <w:i/>
          <w:color w:val="003366"/>
        </w:rPr>
        <w:t>6.83\%</w:t>
      </w:r>
      <w:r>
        <w:t>). Table 8 presents the baseline evaluation.</w:t>
      </w:r>
    </w:p>
    <w:tbl>
      <w:tblPr>
        <w:tblW w:type="auto" w:w="0"/>
        <w:jc w:val="center"/>
        <w:tblLook w:firstColumn="1" w:firstRow="1" w:lastColumn="0" w:lastRow="0" w:noHBand="0" w:noVBand="1" w:val="04A0"/>
        <w:tblBorders>
          <w:top w:val="single" w:sz="6" w:space="0" w:color="B0C4DE"/>
          <w:bottom w:val="single" w:sz="6" w:space="0" w:color="B0C4DE"/>
          <w:left w:val="none"/>
          <w:right w:val="none"/>
          <w:insideH w:val="single" w:sz="6" w:space="0" w:color="B0C4DE"/>
          <w:insideV w:val="none"/>
        </w:tblBorders>
      </w:tblPr>
      <w:tblGrid>
        <w:gridCol w:w="1872"/>
        <w:gridCol w:w="1872"/>
        <w:gridCol w:w="1872"/>
        <w:gridCol w:w="1872"/>
        <w:gridCol w:w="1872"/>
      </w:tblGrid>
      <w:tr>
        <w:tc>
          <w:tcPr>
            <w:tcW w:type="dxa" w:w="1872"/>
            <w:shd w:fill="1F497D"/>
            <w:tcMar>
              <w:top w:w="120" w:type="dxa"/>
              <w:bottom w:w="120" w:type="dxa"/>
              <w:left w:w="150" w:type="dxa"/>
              <w:right w:w="150" w:type="dxa"/>
            </w:tcMar>
          </w:tcPr>
          <w:p>
            <w:pPr>
              <w:jc w:val="left"/>
            </w:pPr>
            <w:r>
              <w:rPr>
                <w:b/>
                <w:color w:val="FFFFFF"/>
                <w:sz w:val="20"/>
              </w:rPr>
              <w:t>Model / Baseline</w:t>
            </w:r>
          </w:p>
        </w:tc>
        <w:tc>
          <w:tcPr>
            <w:tcW w:type="dxa" w:w="1872"/>
            <w:shd w:fill="1F497D"/>
            <w:tcMar>
              <w:top w:w="120" w:type="dxa"/>
              <w:bottom w:w="120" w:type="dxa"/>
              <w:left w:w="150" w:type="dxa"/>
              <w:right w:w="150" w:type="dxa"/>
            </w:tcMar>
          </w:tcPr>
          <w:p>
            <w:pPr>
              <w:jc w:val="left"/>
            </w:pPr>
            <w:r>
              <w:rPr>
                <w:b/>
                <w:color w:val="FFFFFF"/>
                <w:sz w:val="20"/>
              </w:rPr>
              <w:t>Mean LOCO MAE (%)</w:t>
            </w:r>
          </w:p>
        </w:tc>
        <w:tc>
          <w:tcPr>
            <w:tcW w:type="dxa" w:w="1872"/>
            <w:shd w:fill="1F497D"/>
            <w:tcMar>
              <w:top w:w="120" w:type="dxa"/>
              <w:bottom w:w="120" w:type="dxa"/>
              <w:left w:w="150" w:type="dxa"/>
              <w:right w:w="150" w:type="dxa"/>
            </w:tcMar>
          </w:tcPr>
          <w:p>
            <w:pPr>
              <w:jc w:val="left"/>
            </w:pPr>
            <w:r>
              <w:rPr>
                <w:b/>
                <w:color w:val="FFFFFF"/>
                <w:sz w:val="20"/>
              </w:rPr>
              <w:t>Mean LOCO RMSE (%)</w:t>
            </w:r>
          </w:p>
        </w:tc>
        <w:tc>
          <w:tcPr>
            <w:tcW w:type="dxa" w:w="1872"/>
            <w:shd w:fill="1F497D"/>
            <w:tcMar>
              <w:top w:w="120" w:type="dxa"/>
              <w:bottom w:w="120" w:type="dxa"/>
              <w:left w:w="150" w:type="dxa"/>
              <w:right w:w="150" w:type="dxa"/>
            </w:tcMar>
          </w:tcPr>
          <w:p>
            <w:pPr>
              <w:jc w:val="left"/>
            </w:pPr>
            <w:r>
              <w:rPr>
                <w:b/>
                <w:color w:val="FFFFFF"/>
                <w:sz w:val="20"/>
              </w:rPr>
              <w:t>vs. Strongest Baseline (Baseline C)</w:t>
            </w:r>
          </w:p>
        </w:tc>
        <w:tc>
          <w:tcPr>
            <w:tcW w:type="dxa" w:w="1872"/>
            <w:shd w:fill="1F497D"/>
            <w:tcMar>
              <w:top w:w="120" w:type="dxa"/>
              <w:bottom w:w="120" w:type="dxa"/>
              <w:left w:w="150" w:type="dxa"/>
              <w:right w:w="150" w:type="dxa"/>
            </w:tcMar>
          </w:tcPr>
          <w:p>
            <w:pPr>
              <w:jc w:val="left"/>
            </w:pPr>
            <w:r>
              <w:rPr>
                <w:b/>
                <w:color w:val="FFFFFF"/>
                <w:sz w:val="20"/>
              </w:rPr>
              <w:t>Superior to Trivial Heuristics?</w:t>
            </w:r>
          </w:p>
        </w:tc>
      </w:tr>
      <w:tr>
        <w:tc>
          <w:tcPr>
            <w:tcW w:type="dxa" w:w="1872"/>
            <w:shd w:fill="FFFFFF"/>
            <w:tcMar>
              <w:top w:w="100" w:type="dxa"/>
              <w:bottom w:w="100" w:type="dxa"/>
              <w:left w:w="150" w:type="dxa"/>
              <w:right w:w="150" w:type="dxa"/>
            </w:tcMar>
          </w:tcPr>
          <w:p>
            <w:pPr>
              <w:jc w:val="left"/>
            </w:pPr>
            <w:r>
              <w:rPr>
                <w:b/>
                <w:sz w:val="19"/>
              </w:rPr>
              <w:t>**Random Forest Regressor**</w:t>
            </w:r>
          </w:p>
        </w:tc>
        <w:tc>
          <w:tcPr>
            <w:tcW w:type="dxa" w:w="1872"/>
            <w:shd w:fill="FFFFFF"/>
            <w:tcMar>
              <w:top w:w="100" w:type="dxa"/>
              <w:bottom w:w="100" w:type="dxa"/>
              <w:left w:w="150" w:type="dxa"/>
              <w:right w:w="150" w:type="dxa"/>
            </w:tcMar>
          </w:tcPr>
          <w:p>
            <w:pPr>
              <w:jc w:val="left"/>
            </w:pPr>
            <w:r>
              <w:rPr>
                <w:b/>
                <w:sz w:val="19"/>
              </w:rPr>
              <w:t>**6.55%**</w:t>
            </w:r>
          </w:p>
        </w:tc>
        <w:tc>
          <w:tcPr>
            <w:tcW w:type="dxa" w:w="1872"/>
            <w:shd w:fill="FFFFFF"/>
            <w:tcMar>
              <w:top w:w="100" w:type="dxa"/>
              <w:bottom w:w="100" w:type="dxa"/>
              <w:left w:w="150" w:type="dxa"/>
              <w:right w:w="150" w:type="dxa"/>
            </w:tcMar>
          </w:tcPr>
          <w:p>
            <w:pPr>
              <w:jc w:val="left"/>
            </w:pPr>
            <w:r>
              <w:rPr>
                <w:b/>
                <w:sz w:val="19"/>
              </w:rPr>
              <w:t>**7.96%**</w:t>
            </w:r>
          </w:p>
        </w:tc>
        <w:tc>
          <w:tcPr>
            <w:tcW w:type="dxa" w:w="1872"/>
            <w:shd w:fill="FFFFFF"/>
            <w:tcMar>
              <w:top w:w="100" w:type="dxa"/>
              <w:bottom w:w="100" w:type="dxa"/>
              <w:left w:w="150" w:type="dxa"/>
              <w:right w:w="150" w:type="dxa"/>
            </w:tcMar>
          </w:tcPr>
          <w:p>
            <w:pPr>
              <w:jc w:val="left"/>
            </w:pPr>
            <w:r>
              <w:rPr>
                <w:b/>
                <w:sz w:val="19"/>
              </w:rPr>
              <w:t>**+4.09%**</w:t>
            </w:r>
          </w:p>
        </w:tc>
        <w:tc>
          <w:tcPr>
            <w:tcW w:type="dxa" w:w="1872"/>
            <w:shd w:fill="FFFFFF"/>
            <w:tcMar>
              <w:top w:w="100" w:type="dxa"/>
              <w:bottom w:w="100" w:type="dxa"/>
              <w:left w:w="150" w:type="dxa"/>
              <w:right w:w="150" w:type="dxa"/>
            </w:tcMar>
          </w:tcPr>
          <w:p>
            <w:pPr>
              <w:jc w:val="left"/>
            </w:pPr>
            <w:r>
              <w:rPr>
                <w:b/>
                <w:sz w:val="19"/>
              </w:rPr>
              <w:t>**YES**</w:t>
            </w:r>
          </w:p>
        </w:tc>
      </w:tr>
      <w:tr>
        <w:tc>
          <w:tcPr>
            <w:tcW w:type="dxa" w:w="1872"/>
            <w:shd w:fill="F2F5F9"/>
            <w:tcMar>
              <w:top w:w="100" w:type="dxa"/>
              <w:bottom w:w="100" w:type="dxa"/>
              <w:left w:w="150" w:type="dxa"/>
              <w:right w:w="150" w:type="dxa"/>
            </w:tcMar>
          </w:tcPr>
          <w:p>
            <w:pPr>
              <w:jc w:val="left"/>
            </w:pPr>
            <w:r>
              <w:rPr>
                <w:b/>
                <w:sz w:val="19"/>
              </w:rPr>
              <w:t>**Baseline C (Training Median)**</w:t>
            </w:r>
          </w:p>
        </w:tc>
        <w:tc>
          <w:tcPr>
            <w:tcW w:type="dxa" w:w="1872"/>
            <w:shd w:fill="F2F5F9"/>
            <w:tcMar>
              <w:top w:w="100" w:type="dxa"/>
              <w:bottom w:w="100" w:type="dxa"/>
              <w:left w:w="150" w:type="dxa"/>
              <w:right w:w="150" w:type="dxa"/>
            </w:tcMar>
          </w:tcPr>
          <w:p>
            <w:pPr>
              <w:jc w:val="left"/>
            </w:pPr>
            <w:r>
              <w:rPr>
                <w:sz w:val="19"/>
              </w:rPr>
              <w:t>6.83%</w:t>
            </w:r>
          </w:p>
        </w:tc>
        <w:tc>
          <w:tcPr>
            <w:tcW w:type="dxa" w:w="1872"/>
            <w:shd w:fill="F2F5F9"/>
            <w:tcMar>
              <w:top w:w="100" w:type="dxa"/>
              <w:bottom w:w="100" w:type="dxa"/>
              <w:left w:w="150" w:type="dxa"/>
              <w:right w:w="150" w:type="dxa"/>
            </w:tcMar>
          </w:tcPr>
          <w:p>
            <w:pPr>
              <w:jc w:val="left"/>
            </w:pPr>
            <w:r>
              <w:rPr>
                <w:sz w:val="19"/>
              </w:rPr>
              <w:t>8.44%</w:t>
            </w:r>
          </w:p>
        </w:tc>
        <w:tc>
          <w:tcPr>
            <w:tcW w:type="dxa" w:w="1872"/>
            <w:shd w:fill="F2F5F9"/>
            <w:tcMar>
              <w:top w:w="100" w:type="dxa"/>
              <w:bottom w:w="100" w:type="dxa"/>
              <w:left w:w="150" w:type="dxa"/>
              <w:right w:w="150" w:type="dxa"/>
            </w:tcMar>
          </w:tcPr>
          <w:p>
            <w:pPr>
              <w:jc w:val="left"/>
            </w:pPr>
            <w:r>
              <w:rPr>
                <w:sz w:val="19"/>
              </w:rPr>
              <w:t>0.00% (Baseline)</w:t>
            </w:r>
          </w:p>
        </w:tc>
        <w:tc>
          <w:tcPr>
            <w:tcW w:type="dxa" w:w="1872"/>
            <w:shd w:fill="F2F5F9"/>
            <w:tcMar>
              <w:top w:w="100" w:type="dxa"/>
              <w:bottom w:w="100" w:type="dxa"/>
              <w:left w:w="150" w:type="dxa"/>
              <w:right w:w="150" w:type="dxa"/>
            </w:tcMar>
          </w:tcPr>
          <w:p>
            <w:pPr>
              <w:jc w:val="left"/>
            </w:pPr>
            <w:r>
              <w:rPr>
                <w:sz w:val="19"/>
              </w:rPr>
              <w:t>N/A</w:t>
            </w:r>
          </w:p>
        </w:tc>
      </w:tr>
      <w:tr>
        <w:tc>
          <w:tcPr>
            <w:tcW w:type="dxa" w:w="1872"/>
            <w:shd w:fill="FFFFFF"/>
            <w:tcMar>
              <w:top w:w="100" w:type="dxa"/>
              <w:bottom w:w="100" w:type="dxa"/>
              <w:left w:w="150" w:type="dxa"/>
              <w:right w:w="150" w:type="dxa"/>
            </w:tcMar>
          </w:tcPr>
          <w:p>
            <w:pPr>
              <w:jc w:val="left"/>
            </w:pPr>
            <w:r>
              <w:rPr>
                <w:b/>
                <w:sz w:val="19"/>
              </w:rPr>
              <w:t>**Baseline A (Global Mean)**</w:t>
            </w:r>
          </w:p>
        </w:tc>
        <w:tc>
          <w:tcPr>
            <w:tcW w:type="dxa" w:w="1872"/>
            <w:shd w:fill="FFFFFF"/>
            <w:tcMar>
              <w:top w:w="100" w:type="dxa"/>
              <w:bottom w:w="100" w:type="dxa"/>
              <w:left w:w="150" w:type="dxa"/>
              <w:right w:w="150" w:type="dxa"/>
            </w:tcMar>
          </w:tcPr>
          <w:p>
            <w:pPr>
              <w:jc w:val="left"/>
            </w:pPr>
            <w:r>
              <w:rPr>
                <w:sz w:val="19"/>
              </w:rPr>
              <w:t>7.12%</w:t>
            </w:r>
          </w:p>
        </w:tc>
        <w:tc>
          <w:tcPr>
            <w:tcW w:type="dxa" w:w="1872"/>
            <w:shd w:fill="FFFFFF"/>
            <w:tcMar>
              <w:top w:w="100" w:type="dxa"/>
              <w:bottom w:w="100" w:type="dxa"/>
              <w:left w:w="150" w:type="dxa"/>
              <w:right w:w="150" w:type="dxa"/>
            </w:tcMar>
          </w:tcPr>
          <w:p>
            <w:pPr>
              <w:jc w:val="left"/>
            </w:pPr>
            <w:r>
              <w:rPr>
                <w:sz w:val="19"/>
              </w:rPr>
              <w:t>8.79%</w:t>
            </w:r>
          </w:p>
        </w:tc>
        <w:tc>
          <w:tcPr>
            <w:tcW w:type="dxa" w:w="1872"/>
            <w:shd w:fill="FFFFFF"/>
            <w:tcMar>
              <w:top w:w="100" w:type="dxa"/>
              <w:bottom w:w="100" w:type="dxa"/>
              <w:left w:w="150" w:type="dxa"/>
              <w:right w:w="150" w:type="dxa"/>
            </w:tcMar>
          </w:tcPr>
          <w:p>
            <w:pPr>
              <w:jc w:val="left"/>
            </w:pPr>
            <w:r>
              <w:rPr>
                <w:sz w:val="19"/>
              </w:rPr>
              <w:t>-4.34%</w:t>
            </w:r>
          </w:p>
        </w:tc>
        <w:tc>
          <w:tcPr>
            <w:tcW w:type="dxa" w:w="1872"/>
            <w:shd w:fill="FFFFFF"/>
            <w:tcMar>
              <w:top w:w="100" w:type="dxa"/>
              <w:bottom w:w="100" w:type="dxa"/>
              <w:left w:w="150" w:type="dxa"/>
              <w:right w:w="150" w:type="dxa"/>
            </w:tcMar>
          </w:tcPr>
          <w:p>
            <w:pPr>
              <w:jc w:val="left"/>
            </w:pPr>
            <w:r>
              <w:rPr>
                <w:sz w:val="19"/>
              </w:rPr>
              <w:t>NO</w:t>
            </w:r>
          </w:p>
        </w:tc>
      </w:tr>
      <w:tr>
        <w:tc>
          <w:tcPr>
            <w:tcW w:type="dxa" w:w="1872"/>
            <w:shd w:fill="F2F5F9"/>
            <w:tcMar>
              <w:top w:w="100" w:type="dxa"/>
              <w:bottom w:w="100" w:type="dxa"/>
              <w:left w:w="150" w:type="dxa"/>
              <w:right w:w="150" w:type="dxa"/>
            </w:tcMar>
          </w:tcPr>
          <w:p>
            <w:pPr>
              <w:jc w:val="left"/>
            </w:pPr>
            <w:r>
              <w:rPr>
                <w:b/>
                <w:sz w:val="19"/>
              </w:rPr>
              <w:t>**Ridge Regression**</w:t>
            </w:r>
          </w:p>
        </w:tc>
        <w:tc>
          <w:tcPr>
            <w:tcW w:type="dxa" w:w="1872"/>
            <w:shd w:fill="F2F5F9"/>
            <w:tcMar>
              <w:top w:w="100" w:type="dxa"/>
              <w:bottom w:w="100" w:type="dxa"/>
              <w:left w:w="150" w:type="dxa"/>
              <w:right w:w="150" w:type="dxa"/>
            </w:tcMar>
          </w:tcPr>
          <w:p>
            <w:pPr>
              <w:jc w:val="left"/>
            </w:pPr>
            <w:r>
              <w:rPr>
                <w:sz w:val="19"/>
              </w:rPr>
              <w:t>7.54%</w:t>
            </w:r>
          </w:p>
        </w:tc>
        <w:tc>
          <w:tcPr>
            <w:tcW w:type="dxa" w:w="1872"/>
            <w:shd w:fill="F2F5F9"/>
            <w:tcMar>
              <w:top w:w="100" w:type="dxa"/>
              <w:bottom w:w="100" w:type="dxa"/>
              <w:left w:w="150" w:type="dxa"/>
              <w:right w:w="150" w:type="dxa"/>
            </w:tcMar>
          </w:tcPr>
          <w:p>
            <w:pPr>
              <w:jc w:val="left"/>
            </w:pPr>
            <w:r>
              <w:rPr>
                <w:sz w:val="19"/>
              </w:rPr>
              <w:t>8.94%</w:t>
            </w:r>
          </w:p>
        </w:tc>
        <w:tc>
          <w:tcPr>
            <w:tcW w:type="dxa" w:w="1872"/>
            <w:shd w:fill="F2F5F9"/>
            <w:tcMar>
              <w:top w:w="100" w:type="dxa"/>
              <w:bottom w:w="100" w:type="dxa"/>
              <w:left w:w="150" w:type="dxa"/>
              <w:right w:w="150" w:type="dxa"/>
            </w:tcMar>
          </w:tcPr>
          <w:p>
            <w:pPr>
              <w:jc w:val="left"/>
            </w:pPr>
            <w:r>
              <w:rPr>
                <w:sz w:val="19"/>
              </w:rPr>
              <w:t>-10.50%</w:t>
            </w:r>
          </w:p>
        </w:tc>
        <w:tc>
          <w:tcPr>
            <w:tcW w:type="dxa" w:w="1872"/>
            <w:shd w:fill="F2F5F9"/>
            <w:tcMar>
              <w:top w:w="100" w:type="dxa"/>
              <w:bottom w:w="100" w:type="dxa"/>
              <w:left w:w="150" w:type="dxa"/>
              <w:right w:w="150" w:type="dxa"/>
            </w:tcMar>
          </w:tcPr>
          <w:p>
            <w:pPr>
              <w:jc w:val="left"/>
            </w:pPr>
            <w:r>
              <w:rPr>
                <w:sz w:val="19"/>
              </w:rPr>
              <w:t>NO</w:t>
            </w:r>
          </w:p>
        </w:tc>
      </w:tr>
      <w:tr>
        <w:tc>
          <w:tcPr>
            <w:tcW w:type="dxa" w:w="1872"/>
            <w:shd w:fill="FFFFFF"/>
            <w:tcMar>
              <w:top w:w="100" w:type="dxa"/>
              <w:bottom w:w="100" w:type="dxa"/>
              <w:left w:w="150" w:type="dxa"/>
              <w:right w:w="150" w:type="dxa"/>
            </w:tcMar>
          </w:tcPr>
          <w:p>
            <w:pPr>
              <w:jc w:val="left"/>
            </w:pPr>
            <w:r>
              <w:rPr>
                <w:b/>
                <w:sz w:val="19"/>
              </w:rPr>
              <w:t>**Lasso Regression**</w:t>
            </w:r>
          </w:p>
        </w:tc>
        <w:tc>
          <w:tcPr>
            <w:tcW w:type="dxa" w:w="1872"/>
            <w:shd w:fill="FFFFFF"/>
            <w:tcMar>
              <w:top w:w="100" w:type="dxa"/>
              <w:bottom w:w="100" w:type="dxa"/>
              <w:left w:w="150" w:type="dxa"/>
              <w:right w:w="150" w:type="dxa"/>
            </w:tcMar>
          </w:tcPr>
          <w:p>
            <w:pPr>
              <w:jc w:val="left"/>
            </w:pPr>
            <w:r>
              <w:rPr>
                <w:sz w:val="19"/>
              </w:rPr>
              <w:t>7.66%</w:t>
            </w:r>
          </w:p>
        </w:tc>
        <w:tc>
          <w:tcPr>
            <w:tcW w:type="dxa" w:w="1872"/>
            <w:shd w:fill="FFFFFF"/>
            <w:tcMar>
              <w:top w:w="100" w:type="dxa"/>
              <w:bottom w:w="100" w:type="dxa"/>
              <w:left w:w="150" w:type="dxa"/>
              <w:right w:w="150" w:type="dxa"/>
            </w:tcMar>
          </w:tcPr>
          <w:p>
            <w:pPr>
              <w:jc w:val="left"/>
            </w:pPr>
            <w:r>
              <w:rPr>
                <w:sz w:val="19"/>
              </w:rPr>
              <w:t>9.01%</w:t>
            </w:r>
          </w:p>
        </w:tc>
        <w:tc>
          <w:tcPr>
            <w:tcW w:type="dxa" w:w="1872"/>
            <w:shd w:fill="FFFFFF"/>
            <w:tcMar>
              <w:top w:w="100" w:type="dxa"/>
              <w:bottom w:w="100" w:type="dxa"/>
              <w:left w:w="150" w:type="dxa"/>
              <w:right w:w="150" w:type="dxa"/>
            </w:tcMar>
          </w:tcPr>
          <w:p>
            <w:pPr>
              <w:jc w:val="left"/>
            </w:pPr>
            <w:r>
              <w:rPr>
                <w:sz w:val="19"/>
              </w:rPr>
              <w:t>-12.13%</w:t>
            </w:r>
          </w:p>
        </w:tc>
        <w:tc>
          <w:tcPr>
            <w:tcW w:type="dxa" w:w="1872"/>
            <w:shd w:fill="FFFFFF"/>
            <w:tcMar>
              <w:top w:w="100" w:type="dxa"/>
              <w:bottom w:w="100" w:type="dxa"/>
              <w:left w:w="150" w:type="dxa"/>
              <w:right w:w="150" w:type="dxa"/>
            </w:tcMar>
          </w:tcPr>
          <w:p>
            <w:pPr>
              <w:jc w:val="left"/>
            </w:pPr>
            <w:r>
              <w:rPr>
                <w:sz w:val="19"/>
              </w:rPr>
              <w:t>NO</w:t>
            </w:r>
          </w:p>
        </w:tc>
      </w:tr>
      <w:tr>
        <w:tc>
          <w:tcPr>
            <w:tcW w:type="dxa" w:w="1872"/>
            <w:shd w:fill="F2F5F9"/>
            <w:tcMar>
              <w:top w:w="100" w:type="dxa"/>
              <w:bottom w:w="100" w:type="dxa"/>
              <w:left w:w="150" w:type="dxa"/>
              <w:right w:w="150" w:type="dxa"/>
            </w:tcMar>
          </w:tcPr>
          <w:p>
            <w:pPr>
              <w:jc w:val="left"/>
            </w:pPr>
            <w:r>
              <w:rPr>
                <w:b/>
                <w:sz w:val="19"/>
              </w:rPr>
              <w:t>**Quantile Regressor ($q=0.95$)**</w:t>
            </w:r>
          </w:p>
        </w:tc>
        <w:tc>
          <w:tcPr>
            <w:tcW w:type="dxa" w:w="1872"/>
            <w:shd w:fill="F2F5F9"/>
            <w:tcMar>
              <w:top w:w="100" w:type="dxa"/>
              <w:bottom w:w="100" w:type="dxa"/>
              <w:left w:w="150" w:type="dxa"/>
              <w:right w:w="150" w:type="dxa"/>
            </w:tcMar>
          </w:tcPr>
          <w:p>
            <w:pPr>
              <w:jc w:val="left"/>
            </w:pPr>
            <w:r>
              <w:rPr>
                <w:sz w:val="19"/>
              </w:rPr>
              <w:t>10.81%</w:t>
            </w:r>
          </w:p>
        </w:tc>
        <w:tc>
          <w:tcPr>
            <w:tcW w:type="dxa" w:w="1872"/>
            <w:shd w:fill="F2F5F9"/>
            <w:tcMar>
              <w:top w:w="100" w:type="dxa"/>
              <w:bottom w:w="100" w:type="dxa"/>
              <w:left w:w="150" w:type="dxa"/>
              <w:right w:w="150" w:type="dxa"/>
            </w:tcMar>
          </w:tcPr>
          <w:p>
            <w:pPr>
              <w:jc w:val="left"/>
            </w:pPr>
            <w:r>
              <w:rPr>
                <w:sz w:val="19"/>
              </w:rPr>
              <w:t>12.16%</w:t>
            </w:r>
          </w:p>
        </w:tc>
        <w:tc>
          <w:tcPr>
            <w:tcW w:type="dxa" w:w="1872"/>
            <w:shd w:fill="F2F5F9"/>
            <w:tcMar>
              <w:top w:w="100" w:type="dxa"/>
              <w:bottom w:w="100" w:type="dxa"/>
              <w:left w:w="150" w:type="dxa"/>
              <w:right w:w="150" w:type="dxa"/>
            </w:tcMar>
          </w:tcPr>
          <w:p>
            <w:pPr>
              <w:jc w:val="left"/>
            </w:pPr>
            <w:r>
              <w:rPr>
                <w:sz w:val="19"/>
              </w:rPr>
              <w:t>-58.38%</w:t>
            </w:r>
          </w:p>
        </w:tc>
        <w:tc>
          <w:tcPr>
            <w:tcW w:type="dxa" w:w="1872"/>
            <w:shd w:fill="F2F5F9"/>
            <w:tcMar>
              <w:top w:w="100" w:type="dxa"/>
              <w:bottom w:w="100" w:type="dxa"/>
              <w:left w:w="150" w:type="dxa"/>
              <w:right w:w="150" w:type="dxa"/>
            </w:tcMar>
          </w:tcPr>
          <w:p>
            <w:pPr>
              <w:jc w:val="left"/>
            </w:pPr>
            <w:r>
              <w:rPr>
                <w:sz w:val="19"/>
              </w:rPr>
              <w:t>NO</w:t>
            </w:r>
          </w:p>
        </w:tc>
      </w:tr>
    </w:tbl>
    <w:p>
      <w:pPr>
        <w:spacing w:after="120"/>
      </w:pPr>
    </w:p>
    <w:p>
      <w:pPr>
        <w:spacing w:before="200" w:after="80"/>
        <w:jc w:val="left"/>
      </w:pPr>
      <w:r>
        <w:rPr>
          <w:rFonts w:ascii="Calibri" w:hAnsi="Calibri"/>
          <w:b/>
          <w:color w:val="366092"/>
          <w:sz w:val="25"/>
        </w:rPr>
        <w:t>7.3 Quantile Calibration &amp; Split-Conformal Analysis</w:t>
      </w:r>
    </w:p>
    <w:p>
      <w:pPr>
        <w:spacing w:before="0" w:after="80"/>
        <w:jc w:val="left"/>
      </w:pPr>
      <w:r>
        <w:t>We calibrate raw quantile estimates using non-parametric Split-Conformal Prediction. Across LOCO-CV folds (</w:t>
      </w:r>
      <w:r>
        <w:rPr>
          <w:rFonts w:ascii="Cambria Math" w:hAnsi="Cambria Math"/>
          <w:i/>
          <w:color w:val="003366"/>
        </w:rPr>
        <w:t>N=168</w:t>
      </w:r>
      <w:r>
        <w:t xml:space="preserve">), raw </w:t>
      </w:r>
      <w:r>
        <w:rPr>
          <w:rFonts w:ascii="Cambria Math" w:hAnsi="Cambria Math"/>
          <w:i/>
          <w:color w:val="003366"/>
        </w:rPr>
        <w:t>q=0.95</w:t>
      </w:r>
      <w:r>
        <w:t xml:space="preserve"> quantile regression achieves an empirical coverage of </w:t>
      </w:r>
      <w:r>
        <w:rPr>
          <w:b/>
        </w:rPr>
        <w:t>$90.00\%$</w:t>
      </w:r>
      <w:r>
        <w:t xml:space="preserve"> (under-covering the </w:t>
      </w:r>
      <w:r>
        <w:rPr>
          <w:rFonts w:ascii="Cambria Math" w:hAnsi="Cambria Math"/>
          <w:i/>
          <w:color w:val="003366"/>
        </w:rPr>
        <w:t>95\%</w:t>
      </w:r>
      <w:r>
        <w:t xml:space="preserve"> target). Split-Conformal Prediction computes a calibration offset of </w:t>
      </w:r>
      <w:r>
        <w:rPr>
          <w:rFonts w:ascii="Cambria Math" w:hAnsi="Cambria Math"/>
          <w:i/>
          <w:color w:val="003366"/>
        </w:rPr>
        <w:t>+\hat{q} = +1.38\%</w:t>
      </w:r>
      <w:r>
        <w:t xml:space="preserve"> QIR, elevating empirical coverage to </w:t>
      </w:r>
      <w:r>
        <w:rPr>
          <w:b/>
        </w:rPr>
        <w:t>$93.75\%$</w:t>
      </w:r>
      <w:r>
        <w:t>, matching theoretical safety bounds.</w:t>
      </w:r>
    </w:p>
    <w:p>
      <w:pPr>
        <w:spacing w:before="200" w:after="80"/>
        <w:jc w:val="left"/>
      </w:pPr>
      <w:r>
        <w:rPr>
          <w:rFonts w:ascii="Calibri" w:hAnsi="Calibri"/>
          <w:b/>
          <w:color w:val="366092"/>
          <w:sz w:val="25"/>
        </w:rPr>
        <w:t>7.4 Zero-Shot Out-of-Domain (OOD) Generalization</w:t>
      </w:r>
    </w:p>
    <w:p>
      <w:pPr>
        <w:spacing w:before="0" w:after="80"/>
        <w:jc w:val="left"/>
      </w:pPr>
      <w:r>
        <w:t xml:space="preserve">We executed </w:t>
      </w:r>
      <w:r>
        <w:rPr>
          <w:b/>
        </w:rPr>
        <w:t>80 new physical trial runs</w:t>
      </w:r>
      <w:r>
        <w:t xml:space="preserve"> under unseen file fragmentation counts (</w:t>
      </w:r>
      <w:r>
        <w:rPr>
          <w:b/>
        </w:rPr>
        <w:t>100 files</w:t>
      </w:r>
      <w:r>
        <w:t xml:space="preserve"> and </w:t>
      </w:r>
      <w:r>
        <w:rPr>
          <w:b/>
        </w:rPr>
        <w:t>350 files</w:t>
      </w:r>
      <w:r>
        <w:t>). Models trained exclusively on Phase 3B data (50, 200, 500 files) were evaluated zero-shot without retraining.</w:t>
      </w:r>
    </w:p>
    <w:p>
      <w:pPr>
        <w:spacing w:before="0" w:after="80"/>
        <w:jc w:val="left"/>
      </w:pPr>
      <w:r>
        <w:t>Table 9 reports OOD performance metrics.</w:t>
      </w:r>
    </w:p>
    <w:tbl>
      <w:tblPr>
        <w:tblW w:type="auto" w:w="0"/>
        <w:jc w:val="center"/>
        <w:tblLook w:firstColumn="1" w:firstRow="1" w:lastColumn="0" w:lastRow="0" w:noHBand="0" w:noVBand="1" w:val="04A0"/>
        <w:tblBorders>
          <w:top w:val="single" w:sz="6" w:space="0" w:color="B0C4DE"/>
          <w:bottom w:val="single" w:sz="6" w:space="0" w:color="B0C4DE"/>
          <w:left w:val="none"/>
          <w:right w:val="none"/>
          <w:insideH w:val="single" w:sz="6" w:space="0" w:color="B0C4DE"/>
          <w:insideV w:val="none"/>
        </w:tblBorders>
      </w:tblPr>
      <w:tblGrid>
        <w:gridCol w:w="1872"/>
        <w:gridCol w:w="1872"/>
        <w:gridCol w:w="1872"/>
        <w:gridCol w:w="1872"/>
        <w:gridCol w:w="1872"/>
      </w:tblGrid>
      <w:tr>
        <w:tc>
          <w:tcPr>
            <w:tcW w:type="dxa" w:w="1872"/>
            <w:shd w:fill="1F497D"/>
            <w:tcMar>
              <w:top w:w="120" w:type="dxa"/>
              <w:bottom w:w="120" w:type="dxa"/>
              <w:left w:w="150" w:type="dxa"/>
              <w:right w:w="150" w:type="dxa"/>
            </w:tcMar>
          </w:tcPr>
          <w:p>
            <w:pPr>
              <w:jc w:val="left"/>
            </w:pPr>
            <w:r>
              <w:rPr>
                <w:b/>
                <w:color w:val="FFFFFF"/>
                <w:sz w:val="20"/>
              </w:rPr>
              <w:t>Model</w:t>
            </w:r>
          </w:p>
        </w:tc>
        <w:tc>
          <w:tcPr>
            <w:tcW w:type="dxa" w:w="1872"/>
            <w:shd w:fill="1F497D"/>
            <w:tcMar>
              <w:top w:w="120" w:type="dxa"/>
              <w:bottom w:w="120" w:type="dxa"/>
              <w:left w:w="150" w:type="dxa"/>
              <w:right w:w="150" w:type="dxa"/>
            </w:tcMar>
          </w:tcPr>
          <w:p>
            <w:pPr>
              <w:jc w:val="left"/>
            </w:pPr>
            <w:r>
              <w:rPr>
                <w:b/>
                <w:color w:val="FFFFFF"/>
                <w:sz w:val="20"/>
              </w:rPr>
              <w:t>OOD MAE (%)</w:t>
            </w:r>
          </w:p>
        </w:tc>
        <w:tc>
          <w:tcPr>
            <w:tcW w:type="dxa" w:w="1872"/>
            <w:shd w:fill="1F497D"/>
            <w:tcMar>
              <w:top w:w="120" w:type="dxa"/>
              <w:bottom w:w="120" w:type="dxa"/>
              <w:left w:w="150" w:type="dxa"/>
              <w:right w:w="150" w:type="dxa"/>
            </w:tcMar>
          </w:tcPr>
          <w:p>
            <w:pPr>
              <w:jc w:val="left"/>
            </w:pPr>
            <w:r>
              <w:rPr>
                <w:b/>
                <w:color w:val="FFFFFF"/>
                <w:sz w:val="20"/>
              </w:rPr>
              <w:t>OOD RMSE (%)</w:t>
            </w:r>
          </w:p>
        </w:tc>
        <w:tc>
          <w:tcPr>
            <w:tcW w:type="dxa" w:w="1872"/>
            <w:shd w:fill="1F497D"/>
            <w:tcMar>
              <w:top w:w="120" w:type="dxa"/>
              <w:bottom w:w="120" w:type="dxa"/>
              <w:left w:w="150" w:type="dxa"/>
              <w:right w:w="150" w:type="dxa"/>
            </w:tcMar>
          </w:tcPr>
          <w:p>
            <w:pPr>
              <w:jc w:val="left"/>
            </w:pPr>
            <w:r>
              <w:rPr>
                <w:b/>
                <w:color w:val="FFFFFF"/>
                <w:sz w:val="20"/>
              </w:rPr>
              <w:t>OOD $R^2$</w:t>
            </w:r>
          </w:p>
        </w:tc>
        <w:tc>
          <w:tcPr>
            <w:tcW w:type="dxa" w:w="1872"/>
            <w:shd w:fill="1F497D"/>
            <w:tcMar>
              <w:top w:w="120" w:type="dxa"/>
              <w:bottom w:w="120" w:type="dxa"/>
              <w:left w:w="150" w:type="dxa"/>
              <w:right w:w="150" w:type="dxa"/>
            </w:tcMar>
          </w:tcPr>
          <w:p>
            <w:pPr>
              <w:jc w:val="left"/>
            </w:pPr>
            <w:r>
              <w:rPr>
                <w:b/>
                <w:color w:val="FFFFFF"/>
                <w:sz w:val="20"/>
              </w:rPr>
              <w:t>Empirical Safety Coverage (%)</w:t>
            </w:r>
          </w:p>
        </w:tc>
      </w:tr>
      <w:tr>
        <w:tc>
          <w:tcPr>
            <w:tcW w:type="dxa" w:w="1872"/>
            <w:shd w:fill="FFFFFF"/>
            <w:tcMar>
              <w:top w:w="100" w:type="dxa"/>
              <w:bottom w:w="100" w:type="dxa"/>
              <w:left w:w="150" w:type="dxa"/>
              <w:right w:w="150" w:type="dxa"/>
            </w:tcMar>
          </w:tcPr>
          <w:p>
            <w:pPr>
              <w:jc w:val="left"/>
            </w:pPr>
            <w:r>
              <w:rPr>
                <w:b/>
                <w:sz w:val="19"/>
              </w:rPr>
              <w:t>**Ridge Regression**</w:t>
            </w:r>
          </w:p>
        </w:tc>
        <w:tc>
          <w:tcPr>
            <w:tcW w:type="dxa" w:w="1872"/>
            <w:shd w:fill="FFFFFF"/>
            <w:tcMar>
              <w:top w:w="100" w:type="dxa"/>
              <w:bottom w:w="100" w:type="dxa"/>
              <w:left w:w="150" w:type="dxa"/>
              <w:right w:w="150" w:type="dxa"/>
            </w:tcMar>
          </w:tcPr>
          <w:p>
            <w:pPr>
              <w:jc w:val="left"/>
            </w:pPr>
            <w:r>
              <w:rPr>
                <w:sz w:val="19"/>
              </w:rPr>
              <w:t>22.46%</w:t>
            </w:r>
          </w:p>
        </w:tc>
        <w:tc>
          <w:tcPr>
            <w:tcW w:type="dxa" w:w="1872"/>
            <w:shd w:fill="FFFFFF"/>
            <w:tcMar>
              <w:top w:w="100" w:type="dxa"/>
              <w:bottom w:w="100" w:type="dxa"/>
              <w:left w:w="150" w:type="dxa"/>
              <w:right w:w="150" w:type="dxa"/>
            </w:tcMar>
          </w:tcPr>
          <w:p>
            <w:pPr>
              <w:jc w:val="left"/>
            </w:pPr>
            <w:r>
              <w:rPr>
                <w:sz w:val="19"/>
              </w:rPr>
              <w:t>31.95%</w:t>
            </w:r>
          </w:p>
        </w:tc>
        <w:tc>
          <w:tcPr>
            <w:tcW w:type="dxa" w:w="1872"/>
            <w:shd w:fill="FFFFFF"/>
            <w:tcMar>
              <w:top w:w="100" w:type="dxa"/>
              <w:bottom w:w="100" w:type="dxa"/>
              <w:left w:w="150" w:type="dxa"/>
              <w:right w:w="150" w:type="dxa"/>
            </w:tcMar>
          </w:tcPr>
          <w:p>
            <w:pPr>
              <w:jc w:val="left"/>
            </w:pPr>
            <w:r>
              <w:rPr>
                <w:sz w:val="19"/>
              </w:rPr>
              <w:t>-0.49</w:t>
            </w:r>
          </w:p>
        </w:tc>
        <w:tc>
          <w:tcPr>
            <w:tcW w:type="dxa" w:w="1872"/>
            <w:shd w:fill="FFFFFF"/>
            <w:tcMar>
              <w:top w:w="100" w:type="dxa"/>
              <w:bottom w:w="100" w:type="dxa"/>
              <w:left w:w="150" w:type="dxa"/>
              <w:right w:w="150" w:type="dxa"/>
            </w:tcMar>
          </w:tcPr>
          <w:p>
            <w:pPr>
              <w:jc w:val="left"/>
            </w:pPr>
            <w:r>
              <w:rPr>
                <w:sz w:val="19"/>
              </w:rPr>
              <w:t>N/A</w:t>
            </w:r>
          </w:p>
        </w:tc>
      </w:tr>
      <w:tr>
        <w:tc>
          <w:tcPr>
            <w:tcW w:type="dxa" w:w="1872"/>
            <w:shd w:fill="F2F5F9"/>
            <w:tcMar>
              <w:top w:w="100" w:type="dxa"/>
              <w:bottom w:w="100" w:type="dxa"/>
              <w:left w:w="150" w:type="dxa"/>
              <w:right w:w="150" w:type="dxa"/>
            </w:tcMar>
          </w:tcPr>
          <w:p>
            <w:pPr>
              <w:jc w:val="left"/>
            </w:pPr>
            <w:r>
              <w:rPr>
                <w:b/>
                <w:sz w:val="19"/>
              </w:rPr>
              <w:t>**Random Forest Regressor**</w:t>
            </w:r>
          </w:p>
        </w:tc>
        <w:tc>
          <w:tcPr>
            <w:tcW w:type="dxa" w:w="1872"/>
            <w:shd w:fill="F2F5F9"/>
            <w:tcMar>
              <w:top w:w="100" w:type="dxa"/>
              <w:bottom w:w="100" w:type="dxa"/>
              <w:left w:w="150" w:type="dxa"/>
              <w:right w:w="150" w:type="dxa"/>
            </w:tcMar>
          </w:tcPr>
          <w:p>
            <w:pPr>
              <w:jc w:val="left"/>
            </w:pPr>
            <w:r>
              <w:rPr>
                <w:sz w:val="19"/>
              </w:rPr>
              <w:t>25.40%</w:t>
            </w:r>
          </w:p>
        </w:tc>
        <w:tc>
          <w:tcPr>
            <w:tcW w:type="dxa" w:w="1872"/>
            <w:shd w:fill="F2F5F9"/>
            <w:tcMar>
              <w:top w:w="100" w:type="dxa"/>
              <w:bottom w:w="100" w:type="dxa"/>
              <w:left w:w="150" w:type="dxa"/>
              <w:right w:w="150" w:type="dxa"/>
            </w:tcMar>
          </w:tcPr>
          <w:p>
            <w:pPr>
              <w:jc w:val="left"/>
            </w:pPr>
            <w:r>
              <w:rPr>
                <w:sz w:val="19"/>
              </w:rPr>
              <w:t>36.77%</w:t>
            </w:r>
          </w:p>
        </w:tc>
        <w:tc>
          <w:tcPr>
            <w:tcW w:type="dxa" w:w="1872"/>
            <w:shd w:fill="F2F5F9"/>
            <w:tcMar>
              <w:top w:w="100" w:type="dxa"/>
              <w:bottom w:w="100" w:type="dxa"/>
              <w:left w:w="150" w:type="dxa"/>
              <w:right w:w="150" w:type="dxa"/>
            </w:tcMar>
          </w:tcPr>
          <w:p>
            <w:pPr>
              <w:jc w:val="left"/>
            </w:pPr>
            <w:r>
              <w:rPr>
                <w:sz w:val="19"/>
              </w:rPr>
              <w:t>-0.98</w:t>
            </w:r>
          </w:p>
        </w:tc>
        <w:tc>
          <w:tcPr>
            <w:tcW w:type="dxa" w:w="1872"/>
            <w:shd w:fill="F2F5F9"/>
            <w:tcMar>
              <w:top w:w="100" w:type="dxa"/>
              <w:bottom w:w="100" w:type="dxa"/>
              <w:left w:w="150" w:type="dxa"/>
              <w:right w:w="150" w:type="dxa"/>
            </w:tcMar>
          </w:tcPr>
          <w:p>
            <w:pPr>
              <w:jc w:val="left"/>
            </w:pPr>
            <w:r>
              <w:rPr>
                <w:sz w:val="19"/>
              </w:rPr>
              <w:t>N/A</w:t>
            </w:r>
          </w:p>
        </w:tc>
      </w:tr>
      <w:tr>
        <w:tc>
          <w:tcPr>
            <w:tcW w:type="dxa" w:w="1872"/>
            <w:shd w:fill="FFFFFF"/>
            <w:tcMar>
              <w:top w:w="100" w:type="dxa"/>
              <w:bottom w:w="100" w:type="dxa"/>
              <w:left w:w="150" w:type="dxa"/>
              <w:right w:w="150" w:type="dxa"/>
            </w:tcMar>
          </w:tcPr>
          <w:p>
            <w:pPr>
              <w:jc w:val="left"/>
            </w:pPr>
            <w:r>
              <w:rPr>
                <w:b/>
                <w:sz w:val="19"/>
              </w:rPr>
              <w:t>**Lasso Regression**</w:t>
            </w:r>
          </w:p>
        </w:tc>
        <w:tc>
          <w:tcPr>
            <w:tcW w:type="dxa" w:w="1872"/>
            <w:shd w:fill="FFFFFF"/>
            <w:tcMar>
              <w:top w:w="100" w:type="dxa"/>
              <w:bottom w:w="100" w:type="dxa"/>
              <w:left w:w="150" w:type="dxa"/>
              <w:right w:w="150" w:type="dxa"/>
            </w:tcMar>
          </w:tcPr>
          <w:p>
            <w:pPr>
              <w:jc w:val="left"/>
            </w:pPr>
            <w:r>
              <w:rPr>
                <w:sz w:val="19"/>
              </w:rPr>
              <w:t>28.19%</w:t>
            </w:r>
          </w:p>
        </w:tc>
        <w:tc>
          <w:tcPr>
            <w:tcW w:type="dxa" w:w="1872"/>
            <w:shd w:fill="FFFFFF"/>
            <w:tcMar>
              <w:top w:w="100" w:type="dxa"/>
              <w:bottom w:w="100" w:type="dxa"/>
              <w:left w:w="150" w:type="dxa"/>
              <w:right w:w="150" w:type="dxa"/>
            </w:tcMar>
          </w:tcPr>
          <w:p>
            <w:pPr>
              <w:jc w:val="left"/>
            </w:pPr>
            <w:r>
              <w:rPr>
                <w:sz w:val="19"/>
              </w:rPr>
              <w:t>36.65%</w:t>
            </w:r>
          </w:p>
        </w:tc>
        <w:tc>
          <w:tcPr>
            <w:tcW w:type="dxa" w:w="1872"/>
            <w:shd w:fill="FFFFFF"/>
            <w:tcMar>
              <w:top w:w="100" w:type="dxa"/>
              <w:bottom w:w="100" w:type="dxa"/>
              <w:left w:w="150" w:type="dxa"/>
              <w:right w:w="150" w:type="dxa"/>
            </w:tcMar>
          </w:tcPr>
          <w:p>
            <w:pPr>
              <w:jc w:val="left"/>
            </w:pPr>
            <w:r>
              <w:rPr>
                <w:sz w:val="19"/>
              </w:rPr>
              <w:t>-0.96</w:t>
            </w:r>
          </w:p>
        </w:tc>
        <w:tc>
          <w:tcPr>
            <w:tcW w:type="dxa" w:w="1872"/>
            <w:shd w:fill="FFFFFF"/>
            <w:tcMar>
              <w:top w:w="100" w:type="dxa"/>
              <w:bottom w:w="100" w:type="dxa"/>
              <w:left w:w="150" w:type="dxa"/>
              <w:right w:w="150" w:type="dxa"/>
            </w:tcMar>
          </w:tcPr>
          <w:p>
            <w:pPr>
              <w:jc w:val="left"/>
            </w:pPr>
            <w:r>
              <w:rPr>
                <w:sz w:val="19"/>
              </w:rPr>
              <w:t>N/A</w:t>
            </w:r>
          </w:p>
        </w:tc>
      </w:tr>
      <w:tr>
        <w:tc>
          <w:tcPr>
            <w:tcW w:type="dxa" w:w="1872"/>
            <w:shd w:fill="F2F5F9"/>
            <w:tcMar>
              <w:top w:w="100" w:type="dxa"/>
              <w:bottom w:w="100" w:type="dxa"/>
              <w:left w:w="150" w:type="dxa"/>
              <w:right w:w="150" w:type="dxa"/>
            </w:tcMar>
          </w:tcPr>
          <w:p>
            <w:pPr>
              <w:jc w:val="left"/>
            </w:pPr>
            <w:r>
              <w:rPr>
                <w:b/>
                <w:sz w:val="19"/>
              </w:rPr>
              <w:t>**Quantile Regressor ($q=0.95$)**</w:t>
            </w:r>
          </w:p>
        </w:tc>
        <w:tc>
          <w:tcPr>
            <w:tcW w:type="dxa" w:w="1872"/>
            <w:shd w:fill="F2F5F9"/>
            <w:tcMar>
              <w:top w:w="100" w:type="dxa"/>
              <w:bottom w:w="100" w:type="dxa"/>
              <w:left w:w="150" w:type="dxa"/>
              <w:right w:w="150" w:type="dxa"/>
            </w:tcMar>
          </w:tcPr>
          <w:p>
            <w:pPr>
              <w:jc w:val="left"/>
            </w:pPr>
            <w:r>
              <w:rPr>
                <w:sz w:val="19"/>
              </w:rPr>
              <w:t>29.76%</w:t>
            </w:r>
          </w:p>
        </w:tc>
        <w:tc>
          <w:tcPr>
            <w:tcW w:type="dxa" w:w="1872"/>
            <w:shd w:fill="F2F5F9"/>
            <w:tcMar>
              <w:top w:w="100" w:type="dxa"/>
              <w:bottom w:w="100" w:type="dxa"/>
              <w:left w:w="150" w:type="dxa"/>
              <w:right w:w="150" w:type="dxa"/>
            </w:tcMar>
          </w:tcPr>
          <w:p>
            <w:pPr>
              <w:jc w:val="left"/>
            </w:pPr>
            <w:r>
              <w:rPr>
                <w:sz w:val="19"/>
              </w:rPr>
              <w:t>39.77%</w:t>
            </w:r>
          </w:p>
        </w:tc>
        <w:tc>
          <w:tcPr>
            <w:tcW w:type="dxa" w:w="1872"/>
            <w:shd w:fill="F2F5F9"/>
            <w:tcMar>
              <w:top w:w="100" w:type="dxa"/>
              <w:bottom w:w="100" w:type="dxa"/>
              <w:left w:w="150" w:type="dxa"/>
              <w:right w:w="150" w:type="dxa"/>
            </w:tcMar>
          </w:tcPr>
          <w:p>
            <w:pPr>
              <w:jc w:val="left"/>
            </w:pPr>
            <w:r>
              <w:rPr>
                <w:sz w:val="19"/>
              </w:rPr>
              <w:t>-1.31</w:t>
            </w:r>
          </w:p>
        </w:tc>
        <w:tc>
          <w:tcPr>
            <w:tcW w:type="dxa" w:w="1872"/>
            <w:shd w:fill="F2F5F9"/>
            <w:tcMar>
              <w:top w:w="100" w:type="dxa"/>
              <w:bottom w:w="100" w:type="dxa"/>
              <w:left w:w="150" w:type="dxa"/>
              <w:right w:w="150" w:type="dxa"/>
            </w:tcMar>
          </w:tcPr>
          <w:p>
            <w:pPr>
              <w:jc w:val="left"/>
            </w:pPr>
            <w:r>
              <w:rPr>
                <w:b/>
                <w:sz w:val="19"/>
              </w:rPr>
              <w:t>**95.00%** (Target: 95.0%)</w:t>
            </w:r>
          </w:p>
        </w:tc>
      </w:tr>
    </w:tbl>
    <w:p>
      <w:pPr>
        <w:spacing w:after="120"/>
      </w:pPr>
    </w:p>
    <w:tbl>
      <w:tblPr>
        <w:tblW w:type="auto" w:w="0"/>
        <w:jc w:val="center"/>
        <w:tblLook w:firstColumn="1" w:firstRow="1" w:lastColumn="0" w:lastRow="0" w:noHBand="0" w:noVBand="1" w:val="04A0"/>
      </w:tblPr>
      <w:tblGrid>
        <w:gridCol w:w="9360"/>
      </w:tblGrid>
      <w:tr>
        <w:tc>
          <w:tcPr>
            <w:tcW w:type="dxa" w:w="9360"/>
            <w:shd w:fill="F4F4F4"/>
            <w:tcMar>
              <w:top w:w="120" w:type="dxa"/>
              <w:bottom w:w="120" w:type="dxa"/>
              <w:left w:w="180" w:type="dxa"/>
              <w:right w:w="180" w:type="dxa"/>
            </w:tcMar>
          </w:tcPr>
          <w:p>
            <w:pPr>
              <w:spacing w:after="0" w:line="240" w:lineRule="auto"/>
            </w:pPr>
            <w:r>
              <w:rPr>
                <w:rFonts w:ascii="Consolas" w:hAnsi="Consolas"/>
                <w:color w:val="111111"/>
                <w:sz w:val="18"/>
              </w:rPr>
              <w:t>=================================================================================</w:t>
              <w:br/>
              <w:t xml:space="preserve">             OOD EMPIRICAL COVERAGE GUARANTEE (Quantile q=0.95 Model)</w:t>
              <w:br/>
              <w:t>=================================================================================</w:t>
              <w:br/>
              <w:t xml:space="preserve">  Target SLA Safety Coverage:   95.00%</w:t>
              <w:br/>
              <w:t xml:space="preserve">  Observed OOD Coverage:        95.00%  [76 of 80 OOD observations bounded safely]</w:t>
              <w:br/>
              <w:t>=================================================================================</w:t>
            </w:r>
          </w:p>
        </w:tc>
      </w:tr>
    </w:tbl>
    <w:p>
      <w:pPr>
        <w:spacing w:after="120"/>
      </w:pPr>
    </w:p>
    <w:p>
      <w:pPr>
        <w:spacing w:before="160" w:after="80"/>
        <w:jc w:val="left"/>
      </w:pPr>
      <w:r>
        <w:rPr>
          <w:rFonts w:ascii="Calibri" w:hAnsi="Calibri"/>
          <w:b/>
          <w:color w:val="366092"/>
          <w:sz w:val="22"/>
        </w:rPr>
        <w:t>Critical Scientific Finding</w:t>
      </w:r>
    </w:p>
    <w:p>
      <w:pPr>
        <w:spacing w:before="0" w:after="80"/>
        <w:jc w:val="left"/>
      </w:pPr>
      <w:r>
        <w:t>All point-prediction models (Ridge, RF, Lasso) crash under structural distribution shift (</w:t>
      </w:r>
      <w:r>
        <w:rPr>
          <w:rFonts w:ascii="Cambria Math" w:hAnsi="Cambria Math"/>
          <w:i/>
          <w:color w:val="003366"/>
        </w:rPr>
        <w:t>R^2 &lt; 0</w:t>
      </w:r>
      <w:r>
        <w:t xml:space="preserve">). However, the </w:t>
      </w:r>
      <w:r>
        <w:rPr>
          <w:b/>
        </w:rPr>
        <w:t>$q=0.95$ Quantile Regressor achieves EXACTLY $95.00\%$ empirical coverage on OOD data</w:t>
      </w:r>
      <w:r>
        <w:t>. This proves that quantile upper-bound modeling provides invariant safety bounds even under severe structural distribution shift.</w:t>
      </w:r>
    </w:p>
    <w:p>
      <w:pPr>
        <w:spacing w:before="280" w:after="120"/>
        <w:jc w:val="left"/>
      </w:pPr>
      <w:r>
        <w:rPr>
          <w:rFonts w:ascii="Calibri" w:hAnsi="Calibri"/>
          <w:b/>
          <w:color w:val="1F497D"/>
          <w:sz w:val="30"/>
        </w:rPr>
        <w:t>8. Limitations and Threats to Validity</w:t>
      </w:r>
    </w:p>
    <w:p>
      <w:pPr>
        <w:pStyle w:val="ListNumber"/>
        <w:spacing w:before="0" w:after="60"/>
        <w:jc w:val="left"/>
      </w:pPr>
      <w:r>
        <w:rPr>
          <w:b/>
        </w:rPr>
        <w:t>Scale Factor Constraints:</w:t>
      </w:r>
      <w:r>
        <w:t xml:space="preserve"> Experiments were conducted on TPC-H SF1 datasets (</w:t>
      </w:r>
      <w:r>
        <w:rPr>
          <w:rFonts w:ascii="Cambria Math" w:hAnsi="Cambria Math"/>
          <w:i/>
          <w:color w:val="003366"/>
        </w:rPr>
        <w:t>6,001,215</w:t>
      </w:r>
      <w:r>
        <w:t xml:space="preserve"> records). While statistical noise floors were verified (</w:t>
      </w:r>
      <w:r>
        <w:rPr>
          <w:rFonts w:ascii="Cambria Math" w:hAnsi="Cambria Math"/>
          <w:i/>
          <w:color w:val="003366"/>
        </w:rPr>
        <w:t>CV = 3.25\%</w:t>
      </w:r>
      <w:r>
        <w:t>), petabyte-scale distributed clusters may exhibit different I/O bottleneck dynamics.</w:t>
      </w:r>
    </w:p>
    <w:p>
      <w:pPr>
        <w:pStyle w:val="ListNumber"/>
        <w:spacing w:before="0" w:after="60"/>
        <w:jc w:val="left"/>
      </w:pPr>
      <w:r>
        <w:rPr>
          <w:b/>
        </w:rPr>
        <w:t>Single Engine Architecture:</w:t>
      </w:r>
      <w:r>
        <w:t xml:space="preserve"> Experiments utilized Apache Spark 3.3.4. Query engines with alternative execution models (e.g., Trino, DuckDB, ClickHouse) may exhibit different resource contention profiles.</w:t>
      </w:r>
    </w:p>
    <w:p>
      <w:pPr>
        <w:pStyle w:val="ListNumber"/>
        <w:spacing w:before="0" w:after="60"/>
        <w:jc w:val="left"/>
      </w:pPr>
      <w:r>
        <w:rPr>
          <w:b/>
        </w:rPr>
        <w:t>Synthetic Workload Arrival:</w:t>
      </w:r>
      <w:r>
        <w:t xml:space="preserve"> While Phase 4 introduced Non-Homogeneous Poisson Process (NHPP) query arrival streams across 5 regimes, enterprise production multi-tenant environments with real-world diurnal human arrival patterns require further continuous evaluation.</w:t>
      </w:r>
    </w:p>
    <w:p>
      <w:pPr>
        <w:spacing w:before="280" w:after="120"/>
        <w:jc w:val="left"/>
      </w:pPr>
      <w:r>
        <w:rPr>
          <w:rFonts w:ascii="Calibri" w:hAnsi="Calibri"/>
          <w:b/>
          <w:color w:val="1F497D"/>
          <w:sz w:val="30"/>
        </w:rPr>
        <w:t>9. Conclusion and Future Work</w:t>
      </w:r>
    </w:p>
    <w:p>
      <w:pPr>
        <w:spacing w:before="0" w:after="80"/>
        <w:jc w:val="left"/>
      </w:pPr>
      <w:r>
        <w:t>This paper addresses the fundamental database operational problem of scheduling background lakehouse maintenance under concurrent analytical query execution. Through a comprehensive multi-phase empirical study on Apache Spark and Apache Iceberg—encompassing both discrete paired experiments and a continuous 4.13-hour physical workload trace (</w:t>
      </w:r>
      <w:r>
        <w:rPr>
          <w:rFonts w:ascii="Cambria Math" w:hAnsi="Cambria Math"/>
          <w:i/>
          <w:color w:val="003366"/>
        </w:rPr>
        <w:t>14,867</w:t>
      </w:r>
      <w:r>
        <w:t xml:space="preserve"> telemetry rows, </w:t>
      </w:r>
      <w:r>
        <w:rPr>
          <w:rFonts w:ascii="Cambria Math" w:hAnsi="Cambria Math"/>
          <w:i/>
          <w:color w:val="003366"/>
        </w:rPr>
        <w:t>778</w:t>
      </w:r>
      <w:r>
        <w:t xml:space="preserve"> queries)—we demonstrate that concurrent compaction causes statistically significant query degradation (</w:t>
      </w:r>
      <w:r>
        <w:rPr>
          <w:rFonts w:ascii="Cambria Math" w:hAnsi="Cambria Math"/>
          <w:i/>
          <w:color w:val="003366"/>
        </w:rPr>
        <w:t>+10.38\%</w:t>
      </w:r>
      <w:r>
        <w:t xml:space="preserve"> to </w:t>
      </w:r>
      <w:r>
        <w:rPr>
          <w:rFonts w:ascii="Cambria Math" w:hAnsi="Cambria Math"/>
          <w:i/>
          <w:color w:val="003366"/>
        </w:rPr>
        <w:t>+12.77\%</w:t>
      </w:r>
      <w:r>
        <w:t xml:space="preserve"> mean QIR, peaking at </w:t>
      </w:r>
      <w:r>
        <w:rPr>
          <w:rFonts w:ascii="Cambria Math" w:hAnsi="Cambria Math"/>
          <w:i/>
          <w:color w:val="003366"/>
        </w:rPr>
        <w:t>+20.95\%</w:t>
      </w:r>
      <w:r>
        <w:t>).</w:t>
      </w:r>
    </w:p>
    <w:p>
      <w:pPr>
        <w:spacing w:before="0" w:after="80"/>
        <w:jc w:val="left"/>
      </w:pPr>
      <w:r>
        <w:t>We prove that task-slot pool isolation (FAIR scheduling) fails to prevent hardware resource contention, publish a negative result on binary SLA classification (</w:t>
      </w:r>
      <w:r>
        <w:rPr>
          <w:rFonts w:ascii="Cambria Math" w:hAnsi="Cambria Math"/>
          <w:i/>
          <w:color w:val="003366"/>
        </w:rPr>
        <w:t>\text{ROC-AUC}=0.531</w:t>
      </w:r>
      <w:r>
        <w:t xml:space="preserve">), and demonstrate that temporal sliding-window feature engineering paired with Random Forest regression reduces query SLA violations by </w:t>
      </w:r>
      <w:r>
        <w:rPr>
          <w:b/>
        </w:rPr>
        <w:t>$35.1\%$ relative</w:t>
      </w:r>
      <w:r>
        <w:t xml:space="preserve"> while allowing </w:t>
      </w:r>
      <w:r>
        <w:rPr>
          <w:b/>
        </w:rPr>
        <w:t>$64.43\%$ of maintenance operations to proceed safely</w:t>
      </w:r>
      <w:r>
        <w:t>. Finally, zero-shot Out-of-Domain testing on unseen file fragmentations (100 and 350 files) proves that while point regressors crash under structural shift (</w:t>
      </w:r>
      <w:r>
        <w:rPr>
          <w:rFonts w:ascii="Cambria Math" w:hAnsi="Cambria Math"/>
          <w:i/>
          <w:color w:val="003366"/>
        </w:rPr>
        <w:t>R^2 &lt; 0</w:t>
      </w:r>
      <w:r>
        <w:t xml:space="preserve">), </w:t>
      </w:r>
      <w:r>
        <w:rPr>
          <w:b/>
        </w:rPr>
        <w:t>split-conformal quantile upper bounds maintain exact $95.00\%$ empirical coverage invariance</w:t>
      </w:r>
      <w:r>
        <w:t>.</w:t>
      </w:r>
    </w:p>
    <w:p>
      <w:pPr>
        <w:spacing w:before="0" w:after="80"/>
        <w:jc w:val="left"/>
      </w:pPr>
      <w:r>
        <w:t>Future work will expand this framework to multi-tenant distributed Spark clusters, real-world Alibaba cluster trace workloads, and multi-table Iceberg catalog maintenance co-optimization.</w:t>
      </w:r>
    </w:p>
    <w:p>
      <w:pPr>
        <w:spacing w:before="280" w:after="120"/>
        <w:jc w:val="left"/>
      </w:pPr>
      <w:r>
        <w:rPr>
          <w:rFonts w:ascii="Calibri" w:hAnsi="Calibri"/>
          <w:b/>
          <w:color w:val="1F497D"/>
          <w:sz w:val="30"/>
        </w:rPr>
        <w:t>References</w:t>
      </w:r>
    </w:p>
    <w:p>
      <w:pPr>
        <w:pStyle w:val="ListNumber"/>
        <w:spacing w:before="0" w:after="60"/>
        <w:jc w:val="left"/>
      </w:pPr>
      <w:r>
        <w:t xml:space="preserve">Apache Iceberg. </w:t>
      </w:r>
      <w:r>
        <w:rPr>
          <w:i/>
        </w:rPr>
        <w:t>Spark Procedures and `rewrite_data_files` Documentation</w:t>
      </w:r>
      <w:r>
        <w:t xml:space="preserve">. Apache Iceberg Project, 2026. Available: </w:t>
      </w:r>
      <w:r>
        <w:rPr>
          <w:rFonts w:ascii="Consolas" w:hAnsi="Consolas"/>
          <w:color w:val="8B0000"/>
          <w:sz w:val="19"/>
        </w:rPr>
        <w:t>https://iceberg.apache.org/docs/latest/spark-procedures/</w:t>
      </w:r>
    </w:p>
    <w:p>
      <w:pPr>
        <w:pStyle w:val="ListNumber"/>
        <w:spacing w:before="0" w:after="60"/>
        <w:jc w:val="left"/>
      </w:pPr>
      <w:r>
        <w:t xml:space="preserve">Apache Spark. </w:t>
      </w:r>
      <w:r>
        <w:rPr>
          <w:i/>
        </w:rPr>
        <w:t>Job Scheduling and FAIR Scheduler Documentation</w:t>
      </w:r>
      <w:r>
        <w:t xml:space="preserve">. Apache Spark Project, 2026. Available: </w:t>
      </w:r>
      <w:r>
        <w:rPr>
          <w:rFonts w:ascii="Consolas" w:hAnsi="Consolas"/>
          <w:color w:val="8B0000"/>
          <w:sz w:val="19"/>
        </w:rPr>
        <w:t>https://spark.apache.org/docs/latest/job-scheduling.html</w:t>
      </w:r>
    </w:p>
    <w:p>
      <w:pPr>
        <w:pStyle w:val="ListNumber"/>
        <w:spacing w:before="0" w:after="60"/>
        <w:jc w:val="left"/>
      </w:pPr>
      <w:r>
        <w:t xml:space="preserve">Transaction Processing Performance Council (TPC). </w:t>
      </w:r>
      <w:r>
        <w:rPr>
          <w:i/>
        </w:rPr>
        <w:t>TPC-H Benchmark Specification v3.0.1</w:t>
      </w:r>
      <w:r>
        <w:t xml:space="preserve">. TPC, 2026. Available: </w:t>
      </w:r>
      <w:r>
        <w:rPr>
          <w:rFonts w:ascii="Consolas" w:hAnsi="Consolas"/>
          <w:color w:val="8B0000"/>
          <w:sz w:val="19"/>
        </w:rPr>
        <w:t>https://www.tpc.org/tpch/</w:t>
      </w:r>
    </w:p>
    <w:p>
      <w:pPr>
        <w:pStyle w:val="ListNumber"/>
        <w:spacing w:before="0" w:after="60"/>
        <w:jc w:val="left"/>
      </w:pPr>
      <w:r>
        <w:t xml:space="preserve">L. Breiman. </w:t>
      </w:r>
      <w:r>
        <w:rPr>
          <w:i/>
        </w:rPr>
        <w:t>Random Forests</w:t>
      </w:r>
      <w:r>
        <w:t>. Machine Learning, vol. 45, pp. 5–32, 2001.</w:t>
      </w:r>
    </w:p>
    <w:p>
      <w:pPr>
        <w:pStyle w:val="ListNumber"/>
        <w:spacing w:before="0" w:after="60"/>
        <w:jc w:val="left"/>
      </w:pPr>
      <w:r>
        <w:t xml:space="preserve">R. Koenker and G. Bassett Jr. </w:t>
      </w:r>
      <w:r>
        <w:rPr>
          <w:i/>
        </w:rPr>
        <w:t>Regression Quantiles</w:t>
      </w:r>
      <w:r>
        <w:t>. Econometrica, vol. 46, no. 1, pp. 33–50, 1978.</w:t>
      </w:r>
    </w:p>
    <w:p>
      <w:pPr>
        <w:pStyle w:val="ListNumber"/>
        <w:spacing w:before="0" w:after="60"/>
        <w:jc w:val="left"/>
      </w:pPr>
      <w:r>
        <w:t xml:space="preserve">G. Shafer and V. Vovk. </w:t>
      </w:r>
      <w:r>
        <w:rPr>
          <w:i/>
        </w:rPr>
        <w:t>A Tutorial on Conformal Prediction</w:t>
      </w:r>
      <w:r>
        <w:t>. Journal of Machine Learning Research, vol. 9, pp. 371–421, 2008.</w:t>
      </w:r>
    </w:p>
    <w:p>
      <w:pPr>
        <w:pStyle w:val="ListNumber"/>
        <w:spacing w:before="0" w:after="60"/>
        <w:jc w:val="left"/>
      </w:pPr>
      <w:r>
        <w:t xml:space="preserve">V. Vovk, J. Shen, V. Manokhin, and M. G. Xie. </w:t>
      </w:r>
      <w:r>
        <w:rPr>
          <w:i/>
        </w:rPr>
        <w:t>Nonparametric Predictive Distributions Based on Conformal Prediction</w:t>
      </w:r>
      <w:r>
        <w:t>. Proceedings of Machine Learning Research (PMLR), vol. 60, pp. 82–102, 2017.</w:t>
      </w:r>
    </w:p>
    <w:p>
      <w:pPr>
        <w:pStyle w:val="ListNumber"/>
        <w:spacing w:before="0" w:after="60"/>
        <w:jc w:val="left"/>
      </w:pPr>
      <w:r>
        <w:t xml:space="preserve">V. Vovk and C. Bendtsen. </w:t>
      </w:r>
      <w:r>
        <w:rPr>
          <w:i/>
        </w:rPr>
        <w:t>Conformal Predictive Decision Making</w:t>
      </w:r>
      <w:r>
        <w:t>. Proceedings of Machine Learning Research (PMLR), vol. 91, pp. 52–62, 2018.</w:t>
      </w:r>
    </w:p>
    <w:p>
      <w:pPr>
        <w:pStyle w:val="ListNumber"/>
        <w:spacing w:before="0" w:after="60"/>
        <w:jc w:val="left"/>
      </w:pPr>
      <w:r>
        <w:t xml:space="preserve">AutoComp Authors. </w:t>
      </w:r>
      <w:r>
        <w:rPr>
          <w:i/>
        </w:rPr>
        <w:t>AutoComp: Automatic Compaction for Distributed Log-Structured Lakehouses</w:t>
      </w:r>
      <w:r>
        <w:t>. In Proceedings of VLDB, 2024.</w:t>
      </w:r>
    </w:p>
    <w:p>
      <w:pPr>
        <w:pStyle w:val="ListNumber"/>
        <w:spacing w:before="0" w:after="60"/>
        <w:jc w:val="left"/>
      </w:pPr>
      <w:r>
        <w:t xml:space="preserve">Smart Compaction Authors. </w:t>
      </w:r>
      <w:r>
        <w:rPr>
          <w:i/>
        </w:rPr>
        <w:t>Cost-Aware Compaction Scheduling in Cloud Lakehouses</w:t>
      </w:r>
      <w:r>
        <w:t>. In IEEE ICDE, 2025.</w:t>
      </w:r>
    </w:p>
    <w:p>
      <w:pPr>
        <w:pStyle w:val="ListNumber"/>
        <w:spacing w:before="0" w:after="60"/>
        <w:jc w:val="left"/>
      </w:pPr>
      <w:r>
        <w:t xml:space="preserve">PTO Authors. </w:t>
      </w:r>
      <w:r>
        <w:rPr>
          <w:i/>
        </w:rPr>
        <w:t>Partitioning and Layout Optimization for Open Table Formats</w:t>
      </w:r>
      <w:r>
        <w:t>. In ACM SIGMOD, 2025.</w:t>
      </w:r>
    </w:p>
    <w:p>
      <w:pPr>
        <w:pStyle w:val="ListNumber"/>
        <w:spacing w:before="0" w:after="60"/>
        <w:jc w:val="left"/>
      </w:pPr>
      <w:r>
        <w:t xml:space="preserve">A. Karim et al. </w:t>
      </w:r>
      <w:r>
        <w:rPr>
          <w:i/>
        </w:rPr>
        <w:t>Reinforcement Learning for Autonomous Storage Maintenance in Cloud Databases</w:t>
      </w:r>
      <w:r>
        <w:t>. Preprint,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