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FASTQ 无损压缩基准数据集</w:t>
      </w:r>
    </w:p>
    <w:p>
      <w:pPr>
        <w:pStyle w:val="Normal"/>
      </w:pPr>
      <w:r>
        <w:t xml:space="preserve">数据集版本 1.2.0 · 2026 年 10 月 27 日</w:t>
      </w:r>
    </w:p>
    <w:p>
      <w:pPr>
        <w:pStyle w:val="Normal"/>
      </w:pPr>
      <w:r>
        <w:t xml:space="preserve">这份数据集用于测试 FASTQ 文件的无损压缩和解压。我们选择了 52 组公开数据，覆盖常见的测序技术和用途。每组数据都给出选择理由、下载地址和使用方法。这个仓库只保存清单和说明，测序文件需要另外下载。</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4680" w:type="dxa"/>
            <w:shd w:fill="E7EFF4"/>
          </w:tcPr>
          <w:p>
            <w:pPr>
              <w:pStyle w:val="TableText"/>
            </w:pPr>
            <w:r>
              <w:t xml:space="preserve">项目</w:t>
            </w:r>
          </w:p>
        </w:tc>
        <w:tc>
          <w:tcPr>
            <w:tcW w:w="4680" w:type="dxa"/>
            <w:shd w:fill="E7EFF4"/>
          </w:tcPr>
          <w:p>
            <w:pPr>
              <w:pStyle w:val="TableText"/>
            </w:pPr>
            <w:r>
              <w:t xml:space="preserve">数量</w:t>
            </w:r>
          </w:p>
        </w:tc>
      </w:tr>
      <w:tr>
        <w:trPr>
          <w:cantSplit/>
        </w:trPr>
        <w:tc>
          <w:tcPr>
            <w:tcW w:w="4680" w:type="dxa"/>
          </w:tcPr>
          <w:p>
            <w:pPr>
              <w:pStyle w:val="TableText"/>
            </w:pPr>
            <w:r>
              <w:t xml:space="preserve">数据集</w:t>
            </w:r>
          </w:p>
        </w:tc>
        <w:tc>
          <w:tcPr>
            <w:tcW w:w="4680" w:type="dxa"/>
          </w:tcPr>
          <w:p>
            <w:pPr>
              <w:pStyle w:val="TableText"/>
            </w:pPr>
            <w:r>
              <w:t xml:space="preserve">52（51 组 FASTQ 数据，另有 1 个 BAM 源文件）</w:t>
            </w:r>
          </w:p>
        </w:tc>
      </w:tr>
      <w:tr>
        <w:trPr>
          <w:cantSplit/>
        </w:trPr>
        <w:tc>
          <w:tcPr>
            <w:tcW w:w="4680" w:type="dxa"/>
          </w:tcPr>
          <w:p>
            <w:pPr>
              <w:pStyle w:val="TableText"/>
            </w:pPr>
            <w:r>
              <w:t xml:space="preserve">待下载文件</w:t>
            </w:r>
          </w:p>
        </w:tc>
        <w:tc>
          <w:tcPr>
            <w:tcW w:w="4680" w:type="dxa"/>
          </w:tcPr>
          <w:p>
            <w:pPr>
              <w:pStyle w:val="TableText"/>
            </w:pPr>
            <w:r>
              <w:t xml:space="preserve">91 个文件（90 个 gzip FASTQ 文件和 1 个 BAM）</w:t>
            </w:r>
          </w:p>
        </w:tc>
      </w:tr>
      <w:tr>
        <w:trPr>
          <w:cantSplit/>
        </w:trPr>
        <w:tc>
          <w:tcPr>
            <w:tcW w:w="4680" w:type="dxa"/>
          </w:tcPr>
          <w:p>
            <w:pPr>
              <w:pStyle w:val="TableText"/>
            </w:pPr>
            <w:r>
              <w:t xml:space="preserve">清单所列下载总字节数</w:t>
            </w:r>
          </w:p>
        </w:tc>
        <w:tc>
          <w:tcPr>
            <w:tcW w:w="4680" w:type="dxa"/>
          </w:tcPr>
          <w:p>
            <w:pPr>
              <w:pStyle w:val="TableText"/>
            </w:pPr>
            <w:r>
              <w:t xml:space="preserve">1,404,952,612,896</w:t>
            </w:r>
          </w:p>
        </w:tc>
      </w:tr>
      <w:tr>
        <w:trPr>
          <w:cantSplit/>
        </w:trPr>
        <w:tc>
          <w:tcPr>
            <w:tcW w:w="4680" w:type="dxa"/>
          </w:tcPr>
          <w:p>
            <w:pPr>
              <w:pStyle w:val="TableText"/>
            </w:pPr>
            <w:r>
              <w:t xml:space="preserve">建议的参考序列版本</w:t>
            </w:r>
          </w:p>
        </w:tc>
        <w:tc>
          <w:tcPr>
            <w:tcW w:w="4680" w:type="dxa"/>
          </w:tcPr>
          <w:p>
            <w:pPr>
              <w:pStyle w:val="TableText"/>
            </w:pPr>
            <w:r>
              <w:t xml:space="preserve">18</w:t>
            </w:r>
          </w:p>
        </w:tc>
      </w:tr>
    </w:tbl>
    <w:p>
      <w:pPr>
        <w:pStyle w:val="Normal"/>
      </w:pPr>
      <w:r>
        <w:t xml:space="preserve">公平的无损压缩测试，必须逐字节恢复未压缩 FASTQ，包括读段名称、序列、质量字符、顺序和格式。下载得到的 gzip 文件须先解压；唯一的 BAM 输入则须按准备说明中的固定规则导出。下载文件大小既不是未压缩 FASTQ 的大小，也不是压缩结果。</w:t>
      </w:r>
    </w:p>
    <w:p>
      <w:pPr>
        <w:pStyle w:val="Heading1"/>
      </w:pPr>
      <w:r>
        <w:t xml:space="preserve">年度公开归档视图所能说明的内容</w:t>
      </w:r>
    </w:p>
    <w:p>
      <w:pPr>
        <w:pStyle w:val="Normal"/>
      </w:pPr>
      <w:r>
        <w:t xml:space="preserve">固定截止日为 2026 年 9 月 30 日。存量包含 2026 年 10 月 1 日以前所有首次公开的记录；年度增量覆盖 2025 年 10 月 1 日至 2026 年 9 月 30 日。已验证的快照于 2026 年 10 月 9 日获取。RUN数量反映归档单位；报告的碱基数反映声明的序列量；已知的独立研究数则表示研究覆盖广度。公开日期不等同于测序/碱基识别日期，且不同类别的研究数不能相加。</w:t>
      </w:r>
      <w:hyperlink r:id="rId1">
        <w:r>
          <w:rPr>
            <w:color w:val="0563C1"/>
            <w:u w:val="single"/>
          </w:rPr>
          <w:t xml:space="preserve">档案元数据</w:t>
        </w:r>
      </w:hyperlink>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时间窗</w:t>
            </w:r>
          </w:p>
        </w:tc>
        <w:tc>
          <w:tcPr>
            <w:tcW w:w="1872" w:type="dxa"/>
            <w:shd w:fill="E7EFF4"/>
          </w:tcPr>
          <w:p>
            <w:pPr>
              <w:pStyle w:val="TableText"/>
            </w:pPr>
            <w:r>
              <w:t xml:space="preserve">RUN数</w:t>
            </w:r>
          </w:p>
        </w:tc>
        <w:tc>
          <w:tcPr>
            <w:tcW w:w="1872" w:type="dxa"/>
            <w:shd w:fill="E7EFF4"/>
          </w:tcPr>
          <w:p>
            <w:pPr>
              <w:pStyle w:val="TableText"/>
            </w:pPr>
            <w:r>
              <w:t xml:space="preserve">报告为10¹⁵个碱基</w:t>
            </w:r>
          </w:p>
        </w:tc>
        <w:tc>
          <w:tcPr>
            <w:tcW w:w="1872" w:type="dxa"/>
            <w:shd w:fill="E7EFF4"/>
          </w:tcPr>
          <w:p>
            <w:pPr>
              <w:pStyle w:val="TableText"/>
            </w:pPr>
            <w:r>
              <w:t xml:space="preserve">已知研究数</w:t>
            </w:r>
          </w:p>
        </w:tc>
        <w:tc>
          <w:tcPr>
            <w:tcW w:w="1872" w:type="dxa"/>
            <w:shd w:fill="E7EFF4"/>
          </w:tcPr>
          <w:p>
            <w:pPr>
              <w:pStyle w:val="TableText"/>
            </w:pPr>
            <w:r>
              <w:t xml:space="preserve">生物名称和RUN数缺失</w:t>
            </w:r>
          </w:p>
        </w:tc>
      </w:tr>
      <w:tr>
        <w:trPr>
          <w:cantSplit/>
        </w:trPr>
        <w:tc>
          <w:tcPr>
            <w:tcW w:w="1872" w:type="dxa"/>
          </w:tcPr>
          <w:p>
            <w:pPr>
              <w:pStyle w:val="TableText"/>
            </w:pPr>
            <w:r>
              <w:t xml:space="preserve">存量</w:t>
            </w:r>
          </w:p>
        </w:tc>
        <w:tc>
          <w:tcPr>
            <w:tcW w:w="1872" w:type="dxa"/>
          </w:tcPr>
          <w:p>
            <w:pPr>
              <w:pStyle w:val="TableText"/>
            </w:pPr>
            <w:r>
              <w:t xml:space="preserve">44,218,223</w:t>
            </w:r>
          </w:p>
        </w:tc>
        <w:tc>
          <w:tcPr>
            <w:tcW w:w="1872" w:type="dxa"/>
          </w:tcPr>
          <w:p>
            <w:pPr>
              <w:pStyle w:val="TableText"/>
            </w:pPr>
            <w:r>
              <w:t xml:space="preserve">102.7062</w:t>
            </w:r>
          </w:p>
        </w:tc>
        <w:tc>
          <w:tcPr>
            <w:tcW w:w="1872" w:type="dxa"/>
          </w:tcPr>
          <w:p>
            <w:pPr>
              <w:pStyle w:val="TableText"/>
            </w:pPr>
            <w:r>
              <w:t xml:space="preserve">703,005</w:t>
            </w:r>
          </w:p>
        </w:tc>
        <w:tc>
          <w:tcPr>
            <w:tcW w:w="1872" w:type="dxa"/>
          </w:tcPr>
          <w:p>
            <w:pPr>
              <w:pStyle w:val="TableText"/>
            </w:pPr>
            <w:r>
              <w:t xml:space="preserve">3.82%</w:t>
            </w:r>
          </w:p>
        </w:tc>
      </w:tr>
      <w:tr>
        <w:trPr>
          <w:cantSplit/>
        </w:trPr>
        <w:tc>
          <w:tcPr>
            <w:tcW w:w="1872" w:type="dxa"/>
          </w:tcPr>
          <w:p>
            <w:pPr>
              <w:pStyle w:val="TableText"/>
            </w:pPr>
            <w:r>
              <w:t xml:space="preserve">年度增量</w:t>
            </w:r>
          </w:p>
        </w:tc>
        <w:tc>
          <w:tcPr>
            <w:tcW w:w="1872" w:type="dxa"/>
          </w:tcPr>
          <w:p>
            <w:pPr>
              <w:pStyle w:val="TableText"/>
            </w:pPr>
            <w:r>
              <w:t xml:space="preserve">5,872,478</w:t>
            </w:r>
          </w:p>
        </w:tc>
        <w:tc>
          <w:tcPr>
            <w:tcW w:w="1872" w:type="dxa"/>
          </w:tcPr>
          <w:p>
            <w:pPr>
              <w:pStyle w:val="TableText"/>
            </w:pPr>
            <w:r>
              <w:t xml:space="preserve">23.5313</w:t>
            </w:r>
          </w:p>
        </w:tc>
        <w:tc>
          <w:tcPr>
            <w:tcW w:w="1872" w:type="dxa"/>
          </w:tcPr>
          <w:p>
            <w:pPr>
              <w:pStyle w:val="TableText"/>
            </w:pPr>
            <w:r>
              <w:t xml:space="preserve">114,478</w:t>
            </w:r>
          </w:p>
        </w:tc>
        <w:tc>
          <w:tcPr>
            <w:tcW w:w="1872" w:type="dxa"/>
          </w:tcPr>
          <w:p>
            <w:pPr>
              <w:pStyle w:val="TableText"/>
            </w:pPr>
            <w:r>
              <w:t xml:space="preserve">23.18%</w:t>
            </w:r>
          </w:p>
        </w:tc>
      </w:tr>
    </w:tbl>
    <w:p>
      <w:pPr>
        <w:pStyle w:val="Normal"/>
      </w:pPr>
      <w:r>
        <w:t xml:space="preserve">存量中有 378 个碱基数缺失/无效条目，以及 1,939,374 个报告为零碱基的测序RUN；年度增量中有 400,864 个零碱基测序RUN。存量中 359,717次测序RUN缺少研究标签，年度增量中则有 684 个。存量测序RUN有 3.82% 缺少生物名称，年度增量测序RUN有 23.18% 缺少生物名称；排名旁仍显示缺失物种名的比例。确切总量和字段分布见</w:t>
      </w:r>
      <w:hyperlink r:id="rId2">
        <w:r>
          <w:rPr>
            <w:color w:val="0563C1"/>
            <w:u w:val="single"/>
          </w:rPr>
          <w:t xml:space="preserve">工作簿</w:t>
        </w:r>
      </w:hyperlink>
      <w:r>
        <w:t xml:space="preserve">。</w:t>
      </w:r>
    </w:p>
    <w:p>
      <w:pPr>
        <w:pStyle w:val="Normal"/>
      </w:pPr>
      <w:r>
        <w:t xml:space="preserve">档案中的检测标签对应不同取样方式：全基因组测序（WGS）覆盖整个基因组；外显子组测序（WXS）针对编码区；RNA-Seq 对转录本取样；扩增子测序聚焦特定区域。这些标签并未完整说明制备方式。来源字段表示大类材料，文库选择方式表示文库如何选取，读段布局则区分单端和双端读段。必须结合这些字段判断。</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策略</w:t>
            </w:r>
          </w:p>
        </w:tc>
        <w:tc>
          <w:tcPr>
            <w:tcW w:w="1872" w:type="dxa"/>
            <w:shd w:fill="E7EFF4"/>
          </w:tcPr>
          <w:p>
            <w:pPr>
              <w:pStyle w:val="TableText"/>
            </w:pPr>
            <w:r>
              <w:t xml:space="preserve">存量RUN数</w:t>
            </w:r>
          </w:p>
        </w:tc>
        <w:tc>
          <w:tcPr>
            <w:tcW w:w="1872" w:type="dxa"/>
            <w:shd w:fill="E7EFF4"/>
          </w:tcPr>
          <w:p>
            <w:pPr>
              <w:pStyle w:val="TableText"/>
            </w:pPr>
            <w:r>
              <w:t xml:space="preserve">存量碱基份额</w:t>
            </w:r>
          </w:p>
        </w:tc>
        <w:tc>
          <w:tcPr>
            <w:tcW w:w="1872" w:type="dxa"/>
            <w:shd w:fill="E7EFF4"/>
          </w:tcPr>
          <w:p>
            <w:pPr>
              <w:pStyle w:val="TableText"/>
            </w:pPr>
            <w:r>
              <w:t xml:space="preserve">年度增量RUN</w:t>
            </w:r>
          </w:p>
        </w:tc>
        <w:tc>
          <w:tcPr>
            <w:tcW w:w="1872" w:type="dxa"/>
            <w:shd w:fill="E7EFF4"/>
          </w:tcPr>
          <w:p>
            <w:pPr>
              <w:pStyle w:val="TableText"/>
            </w:pPr>
            <w:r>
              <w:t xml:space="preserve">已知存量研究数</w:t>
            </w:r>
          </w:p>
        </w:tc>
      </w:tr>
      <w:tr>
        <w:trPr>
          <w:cantSplit/>
        </w:trPr>
        <w:tc>
          <w:tcPr>
            <w:tcW w:w="1872" w:type="dxa"/>
          </w:tcPr>
          <w:p>
            <w:pPr>
              <w:pStyle w:val="TableText"/>
            </w:pPr>
            <w:r>
              <w:t xml:space="preserve">AMPLICON</w:t>
            </w:r>
          </w:p>
        </w:tc>
        <w:tc>
          <w:tcPr>
            <w:tcW w:w="1872" w:type="dxa"/>
          </w:tcPr>
          <w:p>
            <w:pPr>
              <w:pStyle w:val="TableText"/>
            </w:pPr>
            <w:r>
              <w:t xml:space="preserve">18,359,855</w:t>
            </w:r>
          </w:p>
        </w:tc>
        <w:tc>
          <w:tcPr>
            <w:tcW w:w="1872" w:type="dxa"/>
          </w:tcPr>
          <w:p>
            <w:pPr>
              <w:pStyle w:val="TableText"/>
            </w:pPr>
            <w:r>
              <w:t xml:space="preserve">4.66%</w:t>
            </w:r>
          </w:p>
        </w:tc>
        <w:tc>
          <w:tcPr>
            <w:tcW w:w="1872" w:type="dxa"/>
          </w:tcPr>
          <w:p>
            <w:pPr>
              <w:pStyle w:val="TableText"/>
            </w:pPr>
            <w:r>
              <w:t xml:space="preserve">2,070,368</w:t>
            </w:r>
          </w:p>
        </w:tc>
        <w:tc>
          <w:tcPr>
            <w:tcW w:w="1872" w:type="dxa"/>
          </w:tcPr>
          <w:p>
            <w:pPr>
              <w:pStyle w:val="TableText"/>
            </w:pPr>
            <w:r>
              <w:t xml:space="preserve">116,706</w:t>
            </w:r>
          </w:p>
        </w:tc>
      </w:tr>
      <w:tr>
        <w:trPr>
          <w:cantSplit/>
        </w:trPr>
        <w:tc>
          <w:tcPr>
            <w:tcW w:w="1872" w:type="dxa"/>
          </w:tcPr>
          <w:p>
            <w:pPr>
              <w:pStyle w:val="TableText"/>
            </w:pPr>
            <w:r>
              <w:t xml:space="preserve">WGS</w:t>
            </w:r>
          </w:p>
        </w:tc>
        <w:tc>
          <w:tcPr>
            <w:tcW w:w="1872" w:type="dxa"/>
          </w:tcPr>
          <w:p>
            <w:pPr>
              <w:pStyle w:val="TableText"/>
            </w:pPr>
            <w:r>
              <w:t xml:space="preserve">9,295,474</w:t>
            </w:r>
          </w:p>
        </w:tc>
        <w:tc>
          <w:tcPr>
            <w:tcW w:w="1872" w:type="dxa"/>
          </w:tcPr>
          <w:p>
            <w:pPr>
              <w:pStyle w:val="TableText"/>
            </w:pPr>
            <w:r>
              <w:t xml:space="preserve">37.84%</w:t>
            </w:r>
          </w:p>
        </w:tc>
        <w:tc>
          <w:tcPr>
            <w:tcW w:w="1872" w:type="dxa"/>
          </w:tcPr>
          <w:p>
            <w:pPr>
              <w:pStyle w:val="TableText"/>
            </w:pPr>
            <w:r>
              <w:t xml:space="preserve">1,458,845</w:t>
            </w:r>
          </w:p>
        </w:tc>
        <w:tc>
          <w:tcPr>
            <w:tcW w:w="1872" w:type="dxa"/>
          </w:tcPr>
          <w:p>
            <w:pPr>
              <w:pStyle w:val="TableText"/>
            </w:pPr>
            <w:r>
              <w:t xml:space="preserve">192,425</w:t>
            </w:r>
          </w:p>
        </w:tc>
      </w:tr>
      <w:tr>
        <w:trPr>
          <w:cantSplit/>
        </w:trPr>
        <w:tc>
          <w:tcPr>
            <w:tcW w:w="1872" w:type="dxa"/>
          </w:tcPr>
          <w:p>
            <w:pPr>
              <w:pStyle w:val="TableText"/>
            </w:pPr>
            <w:r>
              <w:t xml:space="preserve">RNA 测序</w:t>
            </w:r>
          </w:p>
        </w:tc>
        <w:tc>
          <w:tcPr>
            <w:tcW w:w="1872" w:type="dxa"/>
          </w:tcPr>
          <w:p>
            <w:pPr>
              <w:pStyle w:val="TableText"/>
            </w:pPr>
            <w:r>
              <w:t xml:space="preserve">8,648,389</w:t>
            </w:r>
          </w:p>
        </w:tc>
        <w:tc>
          <w:tcPr>
            <w:tcW w:w="1872" w:type="dxa"/>
          </w:tcPr>
          <w:p>
            <w:pPr>
              <w:pStyle w:val="TableText"/>
            </w:pPr>
            <w:r>
              <w:t xml:space="preserve">37.48%</w:t>
            </w:r>
          </w:p>
        </w:tc>
        <w:tc>
          <w:tcPr>
            <w:tcW w:w="1872" w:type="dxa"/>
          </w:tcPr>
          <w:p>
            <w:pPr>
              <w:pStyle w:val="TableText"/>
            </w:pPr>
            <w:r>
              <w:t xml:space="preserve">1,233,249</w:t>
            </w:r>
          </w:p>
        </w:tc>
        <w:tc>
          <w:tcPr>
            <w:tcW w:w="1872" w:type="dxa"/>
          </w:tcPr>
          <w:p>
            <w:pPr>
              <w:pStyle w:val="TableText"/>
            </w:pPr>
            <w:r>
              <w:t xml:space="preserve">279,311</w:t>
            </w:r>
          </w:p>
        </w:tc>
      </w:tr>
      <w:tr>
        <w:trPr>
          <w:cantSplit/>
        </w:trPr>
        <w:tc>
          <w:tcPr>
            <w:tcW w:w="1872" w:type="dxa"/>
          </w:tcPr>
          <w:p>
            <w:pPr>
              <w:pStyle w:val="TableText"/>
            </w:pPr>
            <w:r>
              <w:t xml:space="preserve">OTHER</w:t>
            </w:r>
          </w:p>
        </w:tc>
        <w:tc>
          <w:tcPr>
            <w:tcW w:w="1872" w:type="dxa"/>
          </w:tcPr>
          <w:p>
            <w:pPr>
              <w:pStyle w:val="TableText"/>
            </w:pPr>
            <w:r>
              <w:t xml:space="preserve">3,094,386</w:t>
            </w:r>
          </w:p>
        </w:tc>
        <w:tc>
          <w:tcPr>
            <w:tcW w:w="1872" w:type="dxa"/>
          </w:tcPr>
          <w:p>
            <w:pPr>
              <w:pStyle w:val="TableText"/>
            </w:pPr>
            <w:r>
              <w:t xml:space="preserve">6.02%</w:t>
            </w:r>
          </w:p>
        </w:tc>
        <w:tc>
          <w:tcPr>
            <w:tcW w:w="1872" w:type="dxa"/>
          </w:tcPr>
          <w:p>
            <w:pPr>
              <w:pStyle w:val="TableText"/>
            </w:pPr>
            <w:r>
              <w:t xml:space="preserve">491,878</w:t>
            </w:r>
          </w:p>
        </w:tc>
        <w:tc>
          <w:tcPr>
            <w:tcW w:w="1872" w:type="dxa"/>
          </w:tcPr>
          <w:p>
            <w:pPr>
              <w:pStyle w:val="TableText"/>
            </w:pPr>
            <w:r>
              <w:t xml:space="preserve">67,861</w:t>
            </w:r>
          </w:p>
        </w:tc>
      </w:tr>
      <w:tr>
        <w:trPr>
          <w:cantSplit/>
        </w:trPr>
        <w:tc>
          <w:tcPr>
            <w:tcW w:w="1872" w:type="dxa"/>
          </w:tcPr>
          <w:p>
            <w:pPr>
              <w:pStyle w:val="TableText"/>
            </w:pPr>
            <w:r>
              <w:t xml:space="preserve">RAD 测序</w:t>
            </w:r>
          </w:p>
        </w:tc>
        <w:tc>
          <w:tcPr>
            <w:tcW w:w="1872" w:type="dxa"/>
          </w:tcPr>
          <w:p>
            <w:pPr>
              <w:pStyle w:val="TableText"/>
            </w:pPr>
            <w:r>
              <w:t xml:space="preserve">772,730</w:t>
            </w:r>
          </w:p>
        </w:tc>
        <w:tc>
          <w:tcPr>
            <w:tcW w:w="1872" w:type="dxa"/>
          </w:tcPr>
          <w:p>
            <w:pPr>
              <w:pStyle w:val="TableText"/>
            </w:pPr>
            <w:r>
              <w:t xml:space="preserve">0.52%</w:t>
            </w:r>
          </w:p>
        </w:tc>
        <w:tc>
          <w:tcPr>
            <w:tcW w:w="1872" w:type="dxa"/>
          </w:tcPr>
          <w:p>
            <w:pPr>
              <w:pStyle w:val="TableText"/>
            </w:pPr>
            <w:r>
              <w:t xml:space="preserve">134,053</w:t>
            </w:r>
          </w:p>
        </w:tc>
        <w:tc>
          <w:tcPr>
            <w:tcW w:w="1872" w:type="dxa"/>
          </w:tcPr>
          <w:p>
            <w:pPr>
              <w:pStyle w:val="TableText"/>
            </w:pPr>
            <w:r>
              <w:t xml:space="preserve">3,790</w:t>
            </w:r>
          </w:p>
        </w:tc>
      </w:tr>
      <w:tr>
        <w:trPr>
          <w:cantSplit/>
        </w:trPr>
        <w:tc>
          <w:tcPr>
            <w:tcW w:w="1872" w:type="dxa"/>
          </w:tcPr>
          <w:p>
            <w:pPr>
              <w:pStyle w:val="TableText"/>
            </w:pPr>
            <w:r>
              <w:t xml:space="preserve">靶向捕获</w:t>
            </w:r>
          </w:p>
        </w:tc>
        <w:tc>
          <w:tcPr>
            <w:tcW w:w="1872" w:type="dxa"/>
          </w:tcPr>
          <w:p>
            <w:pPr>
              <w:pStyle w:val="TableText"/>
            </w:pPr>
            <w:r>
              <w:t xml:space="preserve">624,557</w:t>
            </w:r>
          </w:p>
        </w:tc>
        <w:tc>
          <w:tcPr>
            <w:tcW w:w="1872" w:type="dxa"/>
          </w:tcPr>
          <w:p>
            <w:pPr>
              <w:pStyle w:val="TableText"/>
            </w:pPr>
            <w:r>
              <w:t xml:space="preserve">0.95%</w:t>
            </w:r>
          </w:p>
        </w:tc>
        <w:tc>
          <w:tcPr>
            <w:tcW w:w="1872" w:type="dxa"/>
          </w:tcPr>
          <w:p>
            <w:pPr>
              <w:pStyle w:val="TableText"/>
            </w:pPr>
            <w:r>
              <w:t xml:space="preserve">124,748</w:t>
            </w:r>
          </w:p>
        </w:tc>
        <w:tc>
          <w:tcPr>
            <w:tcW w:w="1872" w:type="dxa"/>
          </w:tcPr>
          <w:p>
            <w:pPr>
              <w:pStyle w:val="TableText"/>
            </w:pPr>
            <w:r>
              <w:t xml:space="preserve">4,554</w:t>
            </w:r>
          </w:p>
        </w:tc>
      </w:tr>
      <w:tr>
        <w:trPr>
          <w:cantSplit/>
        </w:trPr>
        <w:tc>
          <w:tcPr>
            <w:tcW w:w="1872" w:type="dxa"/>
          </w:tcPr>
          <w:p>
            <w:pPr>
              <w:pStyle w:val="TableText"/>
            </w:pPr>
            <w:r>
              <w:t xml:space="preserve">WXS</w:t>
            </w:r>
          </w:p>
        </w:tc>
        <w:tc>
          <w:tcPr>
            <w:tcW w:w="1872" w:type="dxa"/>
          </w:tcPr>
          <w:p>
            <w:pPr>
              <w:pStyle w:val="TableText"/>
            </w:pPr>
            <w:r>
              <w:t xml:space="preserve">561,043</w:t>
            </w:r>
          </w:p>
        </w:tc>
        <w:tc>
          <w:tcPr>
            <w:tcW w:w="1872" w:type="dxa"/>
          </w:tcPr>
          <w:p>
            <w:pPr>
              <w:pStyle w:val="TableText"/>
            </w:pPr>
            <w:r>
              <w:t xml:space="preserve">1.51%</w:t>
            </w:r>
          </w:p>
        </w:tc>
        <w:tc>
          <w:tcPr>
            <w:tcW w:w="1872" w:type="dxa"/>
          </w:tcPr>
          <w:p>
            <w:pPr>
              <w:pStyle w:val="TableText"/>
            </w:pPr>
            <w:r>
              <w:t xml:space="preserve">21,343</w:t>
            </w:r>
          </w:p>
        </w:tc>
        <w:tc>
          <w:tcPr>
            <w:tcW w:w="1872" w:type="dxa"/>
          </w:tcPr>
          <w:p>
            <w:pPr>
              <w:pStyle w:val="TableText"/>
            </w:pPr>
            <w:r>
              <w:t xml:space="preserve">7,569</w:t>
            </w:r>
          </w:p>
        </w:tc>
      </w:tr>
      <w:tr>
        <w:trPr>
          <w:cantSplit/>
        </w:trPr>
        <w:tc>
          <w:tcPr>
            <w:tcW w:w="1872" w:type="dxa"/>
          </w:tcPr>
          <w:p>
            <w:pPr>
              <w:pStyle w:val="TableText"/>
            </w:pPr>
            <w:r>
              <w:t xml:space="preserve">ChIP 测序</w:t>
            </w:r>
          </w:p>
        </w:tc>
        <w:tc>
          <w:tcPr>
            <w:tcW w:w="1872" w:type="dxa"/>
          </w:tcPr>
          <w:p>
            <w:pPr>
              <w:pStyle w:val="TableText"/>
            </w:pPr>
            <w:r>
              <w:t xml:space="preserve">528,615</w:t>
            </w:r>
          </w:p>
        </w:tc>
        <w:tc>
          <w:tcPr>
            <w:tcW w:w="1872" w:type="dxa"/>
          </w:tcPr>
          <w:p>
            <w:pPr>
              <w:pStyle w:val="TableText"/>
            </w:pPr>
            <w:r>
              <w:t xml:space="preserve">1.62%</w:t>
            </w:r>
          </w:p>
        </w:tc>
        <w:tc>
          <w:tcPr>
            <w:tcW w:w="1872" w:type="dxa"/>
          </w:tcPr>
          <w:p>
            <w:pPr>
              <w:pStyle w:val="TableText"/>
            </w:pPr>
            <w:r>
              <w:t xml:space="preserve">45,705</w:t>
            </w:r>
          </w:p>
        </w:tc>
        <w:tc>
          <w:tcPr>
            <w:tcW w:w="1872" w:type="dxa"/>
          </w:tcPr>
          <w:p>
            <w:pPr>
              <w:pStyle w:val="TableText"/>
            </w:pPr>
            <w:r>
              <w:t xml:space="preserve">21,319</w:t>
            </w:r>
          </w:p>
        </w:tc>
      </w:tr>
      <w:tr>
        <w:trPr>
          <w:cantSplit/>
        </w:trPr>
        <w:tc>
          <w:tcPr>
            <w:tcW w:w="1872" w:type="dxa"/>
          </w:tcPr>
          <w:p>
            <w:pPr>
              <w:pStyle w:val="TableText"/>
            </w:pPr>
            <w:r>
              <w:t xml:space="preserve">WGA</w:t>
            </w:r>
          </w:p>
        </w:tc>
        <w:tc>
          <w:tcPr>
            <w:tcW w:w="1872" w:type="dxa"/>
          </w:tcPr>
          <w:p>
            <w:pPr>
              <w:pStyle w:val="TableText"/>
            </w:pPr>
            <w:r>
              <w:t xml:space="preserve">456,200</w:t>
            </w:r>
          </w:p>
        </w:tc>
        <w:tc>
          <w:tcPr>
            <w:tcW w:w="1872" w:type="dxa"/>
          </w:tcPr>
          <w:p>
            <w:pPr>
              <w:pStyle w:val="TableText"/>
            </w:pPr>
            <w:r>
              <w:t xml:space="preserve">1.15%</w:t>
            </w:r>
          </w:p>
        </w:tc>
        <w:tc>
          <w:tcPr>
            <w:tcW w:w="1872" w:type="dxa"/>
          </w:tcPr>
          <w:p>
            <w:pPr>
              <w:pStyle w:val="TableText"/>
            </w:pPr>
            <w:r>
              <w:t xml:space="preserve">45,575</w:t>
            </w:r>
          </w:p>
        </w:tc>
        <w:tc>
          <w:tcPr>
            <w:tcW w:w="1872" w:type="dxa"/>
          </w:tcPr>
          <w:p>
            <w:pPr>
              <w:pStyle w:val="TableText"/>
            </w:pPr>
            <w:r>
              <w:t xml:space="preserve">11,320</w:t>
            </w:r>
          </w:p>
        </w:tc>
      </w:tr>
      <w:tr>
        <w:trPr>
          <w:cantSplit/>
        </w:trPr>
        <w:tc>
          <w:tcPr>
            <w:tcW w:w="1872" w:type="dxa"/>
          </w:tcPr>
          <w:p>
            <w:pPr>
              <w:pStyle w:val="TableText"/>
            </w:pPr>
            <w:r>
              <w:t xml:space="preserve">亚硫酸氢盐测序</w:t>
            </w:r>
          </w:p>
        </w:tc>
        <w:tc>
          <w:tcPr>
            <w:tcW w:w="1872" w:type="dxa"/>
          </w:tcPr>
          <w:p>
            <w:pPr>
              <w:pStyle w:val="TableText"/>
            </w:pPr>
            <w:r>
              <w:t xml:space="preserve">295,839</w:t>
            </w:r>
          </w:p>
        </w:tc>
        <w:tc>
          <w:tcPr>
            <w:tcW w:w="1872" w:type="dxa"/>
          </w:tcPr>
          <w:p>
            <w:pPr>
              <w:pStyle w:val="TableText"/>
            </w:pPr>
            <w:r>
              <w:t xml:space="preserve">2.17%</w:t>
            </w:r>
          </w:p>
        </w:tc>
        <w:tc>
          <w:tcPr>
            <w:tcW w:w="1872" w:type="dxa"/>
          </w:tcPr>
          <w:p>
            <w:pPr>
              <w:pStyle w:val="TableText"/>
            </w:pPr>
            <w:r>
              <w:t xml:space="preserve">63,930</w:t>
            </w:r>
          </w:p>
        </w:tc>
        <w:tc>
          <w:tcPr>
            <w:tcW w:w="1872" w:type="dxa"/>
          </w:tcPr>
          <w:p>
            <w:pPr>
              <w:pStyle w:val="TableText"/>
            </w:pPr>
            <w:r>
              <w:t xml:space="preserve">5,593</w:t>
            </w:r>
          </w:p>
        </w:tc>
      </w:tr>
      <w:tr>
        <w:trPr>
          <w:cantSplit/>
        </w:trPr>
        <w:tc>
          <w:tcPr>
            <w:tcW w:w="1872" w:type="dxa"/>
          </w:tcPr>
          <w:p>
            <w:pPr>
              <w:pStyle w:val="TableText"/>
            </w:pPr>
            <w:r>
              <w:t xml:space="preserve">CLONE</w:t>
            </w:r>
          </w:p>
        </w:tc>
        <w:tc>
          <w:tcPr>
            <w:tcW w:w="1872" w:type="dxa"/>
          </w:tcPr>
          <w:p>
            <w:pPr>
              <w:pStyle w:val="TableText"/>
            </w:pPr>
            <w:r>
              <w:t xml:space="preserve">292,776</w:t>
            </w:r>
          </w:p>
        </w:tc>
        <w:tc>
          <w:tcPr>
            <w:tcW w:w="1872" w:type="dxa"/>
          </w:tcPr>
          <w:p>
            <w:pPr>
              <w:pStyle w:val="TableText"/>
            </w:pPr>
            <w:r>
              <w:t xml:space="preserve">0.02%</w:t>
            </w:r>
          </w:p>
        </w:tc>
        <w:tc>
          <w:tcPr>
            <w:tcW w:w="1872" w:type="dxa"/>
          </w:tcPr>
          <w:p>
            <w:pPr>
              <w:pStyle w:val="TableText"/>
            </w:pPr>
            <w:r>
              <w:t xml:space="preserve">1,861</w:t>
            </w:r>
          </w:p>
        </w:tc>
        <w:tc>
          <w:tcPr>
            <w:tcW w:w="1872" w:type="dxa"/>
          </w:tcPr>
          <w:p>
            <w:pPr>
              <w:pStyle w:val="TableText"/>
            </w:pPr>
            <w:r>
              <w:t xml:space="preserve">979</w:t>
            </w:r>
          </w:p>
        </w:tc>
      </w:tr>
      <w:tr>
        <w:trPr>
          <w:cantSplit/>
        </w:trPr>
        <w:tc>
          <w:tcPr>
            <w:tcW w:w="1872" w:type="dxa"/>
          </w:tcPr>
          <w:p>
            <w:pPr>
              <w:pStyle w:val="TableText"/>
            </w:pPr>
            <w:r>
              <w:t xml:space="preserve">ATAC 测序</w:t>
            </w:r>
          </w:p>
        </w:tc>
        <w:tc>
          <w:tcPr>
            <w:tcW w:w="1872" w:type="dxa"/>
          </w:tcPr>
          <w:p>
            <w:pPr>
              <w:pStyle w:val="TableText"/>
            </w:pPr>
            <w:r>
              <w:t xml:space="preserve">285,961</w:t>
            </w:r>
          </w:p>
        </w:tc>
        <w:tc>
          <w:tcPr>
            <w:tcW w:w="1872" w:type="dxa"/>
          </w:tcPr>
          <w:p>
            <w:pPr>
              <w:pStyle w:val="TableText"/>
            </w:pPr>
            <w:r>
              <w:t xml:space="preserve">1.52%</w:t>
            </w:r>
          </w:p>
        </w:tc>
        <w:tc>
          <w:tcPr>
            <w:tcW w:w="1872" w:type="dxa"/>
          </w:tcPr>
          <w:p>
            <w:pPr>
              <w:pStyle w:val="TableText"/>
            </w:pPr>
            <w:r>
              <w:t xml:space="preserve">50,460</w:t>
            </w:r>
          </w:p>
        </w:tc>
        <w:tc>
          <w:tcPr>
            <w:tcW w:w="1872" w:type="dxa"/>
          </w:tcPr>
          <w:p>
            <w:pPr>
              <w:pStyle w:val="TableText"/>
            </w:pPr>
            <w:r>
              <w:t xml:space="preserve">9,288</w:t>
            </w:r>
          </w:p>
        </w:tc>
      </w:tr>
    </w:tbl>
    <w:p>
      <w:pPr>
        <w:pStyle w:val="Normal"/>
      </w:pPr>
      <w:r>
        <w:t xml:space="preserve">WGS 和 RNA-Seq 合计占报告碱基数的大部分；扩增子占存量测序RUN的 41.52%，但只占碱基数的 4.66%。RAD/GBS 以及捕获/功能性文库也覆盖了有意义的研究范围。配对布局占存量测序RUN的 77.08%，占碱基数的 91.19%。没有任何单一统计量能决定输入数量；RUN数、碱基数和研究数分别回答不同问题。</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原始平台标签</w:t>
            </w:r>
          </w:p>
        </w:tc>
        <w:tc>
          <w:tcPr>
            <w:tcW w:w="1872" w:type="dxa"/>
            <w:shd w:fill="E7EFF4"/>
          </w:tcPr>
          <w:p>
            <w:pPr>
              <w:pStyle w:val="TableText"/>
            </w:pPr>
            <w:r>
              <w:t xml:space="preserve">存量RUN份额</w:t>
            </w:r>
          </w:p>
        </w:tc>
        <w:tc>
          <w:tcPr>
            <w:tcW w:w="1872" w:type="dxa"/>
            <w:shd w:fill="E7EFF4"/>
          </w:tcPr>
          <w:p>
            <w:pPr>
              <w:pStyle w:val="TableText"/>
            </w:pPr>
            <w:r>
              <w:t xml:space="preserve">存量碱基份额</w:t>
            </w:r>
          </w:p>
        </w:tc>
        <w:tc>
          <w:tcPr>
            <w:tcW w:w="1872" w:type="dxa"/>
            <w:shd w:fill="E7EFF4"/>
          </w:tcPr>
          <w:p>
            <w:pPr>
              <w:pStyle w:val="TableText"/>
            </w:pPr>
            <w:r>
              <w:t xml:space="preserve">年度碱基份额</w:t>
            </w:r>
          </w:p>
        </w:tc>
        <w:tc>
          <w:tcPr>
            <w:tcW w:w="1872" w:type="dxa"/>
            <w:shd w:fill="E7EFF4"/>
          </w:tcPr>
          <w:p>
            <w:pPr>
              <w:pStyle w:val="TableText"/>
            </w:pPr>
            <w:r>
              <w:t xml:space="preserve">已知存量研究数</w:t>
            </w:r>
          </w:p>
        </w:tc>
      </w:tr>
      <w:tr>
        <w:trPr>
          <w:cantSplit/>
        </w:trPr>
        <w:tc>
          <w:tcPr>
            <w:tcW w:w="1872" w:type="dxa"/>
          </w:tcPr>
          <w:p>
            <w:pPr>
              <w:pStyle w:val="TableText"/>
            </w:pPr>
            <w:r>
              <w:t xml:space="preserve">ILLUMINA</w:t>
            </w:r>
          </w:p>
        </w:tc>
        <w:tc>
          <w:tcPr>
            <w:tcW w:w="1872" w:type="dxa"/>
          </w:tcPr>
          <w:p>
            <w:pPr>
              <w:pStyle w:val="TableText"/>
            </w:pPr>
            <w:r>
              <w:t xml:space="preserve">90.22%</w:t>
            </w:r>
          </w:p>
        </w:tc>
        <w:tc>
          <w:tcPr>
            <w:tcW w:w="1872" w:type="dxa"/>
          </w:tcPr>
          <w:p>
            <w:pPr>
              <w:pStyle w:val="TableText"/>
            </w:pPr>
            <w:r>
              <w:t xml:space="preserve">89.06%</w:t>
            </w:r>
          </w:p>
        </w:tc>
        <w:tc>
          <w:tcPr>
            <w:tcW w:w="1872" w:type="dxa"/>
          </w:tcPr>
          <w:p>
            <w:pPr>
              <w:pStyle w:val="TableText"/>
            </w:pPr>
            <w:r>
              <w:t xml:space="preserve">83.31%</w:t>
            </w:r>
          </w:p>
        </w:tc>
        <w:tc>
          <w:tcPr>
            <w:tcW w:w="1872" w:type="dxa"/>
          </w:tcPr>
          <w:p>
            <w:pPr>
              <w:pStyle w:val="TableText"/>
            </w:pPr>
            <w:r>
              <w:t xml:space="preserve">645,005</w:t>
            </w:r>
          </w:p>
        </w:tc>
      </w:tr>
      <w:tr>
        <w:trPr>
          <w:cantSplit/>
        </w:trPr>
        <w:tc>
          <w:tcPr>
            <w:tcW w:w="1872" w:type="dxa"/>
          </w:tcPr>
          <w:p>
            <w:pPr>
              <w:pStyle w:val="TableText"/>
            </w:pPr>
            <w:r>
              <w:t xml:space="preserve">DNBSEQ</w:t>
            </w:r>
          </w:p>
        </w:tc>
        <w:tc>
          <w:tcPr>
            <w:tcW w:w="1872" w:type="dxa"/>
          </w:tcPr>
          <w:p>
            <w:pPr>
              <w:pStyle w:val="TableText"/>
            </w:pPr>
            <w:r>
              <w:t xml:space="preserve">0.86%</w:t>
            </w:r>
          </w:p>
        </w:tc>
        <w:tc>
          <w:tcPr>
            <w:tcW w:w="1872" w:type="dxa"/>
          </w:tcPr>
          <w:p>
            <w:pPr>
              <w:pStyle w:val="TableText"/>
            </w:pPr>
            <w:r>
              <w:t xml:space="preserve">4.56%</w:t>
            </w:r>
          </w:p>
        </w:tc>
        <w:tc>
          <w:tcPr>
            <w:tcW w:w="1872" w:type="dxa"/>
          </w:tcPr>
          <w:p>
            <w:pPr>
              <w:pStyle w:val="TableText"/>
            </w:pPr>
            <w:r>
              <w:t xml:space="preserve">9.30%</w:t>
            </w:r>
          </w:p>
        </w:tc>
        <w:tc>
          <w:tcPr>
            <w:tcW w:w="1872" w:type="dxa"/>
          </w:tcPr>
          <w:p>
            <w:pPr>
              <w:pStyle w:val="TableText"/>
            </w:pPr>
            <w:r>
              <w:t xml:space="preserve">10,047</w:t>
            </w:r>
          </w:p>
        </w:tc>
      </w:tr>
      <w:tr>
        <w:trPr>
          <w:cantSplit/>
        </w:trPr>
        <w:tc>
          <w:tcPr>
            <w:tcW w:w="1872" w:type="dxa"/>
          </w:tcPr>
          <w:p>
            <w:pPr>
              <w:pStyle w:val="TableText"/>
            </w:pPr>
            <w:r>
              <w:t xml:space="preserve">BGISEQ</w:t>
            </w:r>
          </w:p>
        </w:tc>
        <w:tc>
          <w:tcPr>
            <w:tcW w:w="1872" w:type="dxa"/>
          </w:tcPr>
          <w:p>
            <w:pPr>
              <w:pStyle w:val="TableText"/>
            </w:pPr>
            <w:r>
              <w:t xml:space="preserve">0.74%</w:t>
            </w:r>
          </w:p>
        </w:tc>
        <w:tc>
          <w:tcPr>
            <w:tcW w:w="1872" w:type="dxa"/>
          </w:tcPr>
          <w:p>
            <w:pPr>
              <w:pStyle w:val="TableText"/>
            </w:pPr>
            <w:r>
              <w:t xml:space="preserve">2.46%</w:t>
            </w:r>
          </w:p>
        </w:tc>
        <w:tc>
          <w:tcPr>
            <w:tcW w:w="1872" w:type="dxa"/>
          </w:tcPr>
          <w:p>
            <w:pPr>
              <w:pStyle w:val="TableText"/>
            </w:pPr>
            <w:r>
              <w:t xml:space="preserve">3.16%</w:t>
            </w:r>
          </w:p>
        </w:tc>
        <w:tc>
          <w:tcPr>
            <w:tcW w:w="1872" w:type="dxa"/>
          </w:tcPr>
          <w:p>
            <w:pPr>
              <w:pStyle w:val="TableText"/>
            </w:pPr>
            <w:r>
              <w:t xml:space="preserve">9,502</w:t>
            </w:r>
          </w:p>
        </w:tc>
      </w:tr>
      <w:tr>
        <w:trPr>
          <w:cantSplit/>
        </w:trPr>
        <w:tc>
          <w:tcPr>
            <w:tcW w:w="1872" w:type="dxa"/>
          </w:tcPr>
          <w:p>
            <w:pPr>
              <w:pStyle w:val="TableText"/>
            </w:pPr>
            <w:r>
              <w:t xml:space="preserve">OXFORD_NANOPORE</w:t>
            </w:r>
          </w:p>
        </w:tc>
        <w:tc>
          <w:tcPr>
            <w:tcW w:w="1872" w:type="dxa"/>
          </w:tcPr>
          <w:p>
            <w:pPr>
              <w:pStyle w:val="TableText"/>
            </w:pPr>
            <w:r>
              <w:t xml:space="preserve">2.55%</w:t>
            </w:r>
          </w:p>
        </w:tc>
        <w:tc>
          <w:tcPr>
            <w:tcW w:w="1872" w:type="dxa"/>
          </w:tcPr>
          <w:p>
            <w:pPr>
              <w:pStyle w:val="TableText"/>
            </w:pPr>
            <w:r>
              <w:t xml:space="preserve">1.19%</w:t>
            </w:r>
          </w:p>
        </w:tc>
        <w:tc>
          <w:tcPr>
            <w:tcW w:w="1872" w:type="dxa"/>
          </w:tcPr>
          <w:p>
            <w:pPr>
              <w:pStyle w:val="TableText"/>
            </w:pPr>
            <w:r>
              <w:t xml:space="preserve">1.65%</w:t>
            </w:r>
          </w:p>
        </w:tc>
        <w:tc>
          <w:tcPr>
            <w:tcW w:w="1872" w:type="dxa"/>
          </w:tcPr>
          <w:p>
            <w:pPr>
              <w:pStyle w:val="TableText"/>
            </w:pPr>
            <w:r>
              <w:t xml:space="preserve">18,307</w:t>
            </w:r>
          </w:p>
        </w:tc>
      </w:tr>
      <w:tr>
        <w:trPr>
          <w:cantSplit/>
        </w:trPr>
        <w:tc>
          <w:tcPr>
            <w:tcW w:w="1872" w:type="dxa"/>
          </w:tcPr>
          <w:p>
            <w:pPr>
              <w:pStyle w:val="TableText"/>
            </w:pPr>
            <w:r>
              <w:t xml:space="preserve">PACBIO_SMRT</w:t>
            </w:r>
          </w:p>
        </w:tc>
        <w:tc>
          <w:tcPr>
            <w:tcW w:w="1872" w:type="dxa"/>
          </w:tcPr>
          <w:p>
            <w:pPr>
              <w:pStyle w:val="TableText"/>
            </w:pPr>
            <w:r>
              <w:t xml:space="preserve">2.18%</w:t>
            </w:r>
          </w:p>
        </w:tc>
        <w:tc>
          <w:tcPr>
            <w:tcW w:w="1872" w:type="dxa"/>
          </w:tcPr>
          <w:p>
            <w:pPr>
              <w:pStyle w:val="TableText"/>
            </w:pPr>
            <w:r>
              <w:t xml:space="preserve">1.98%</w:t>
            </w:r>
          </w:p>
        </w:tc>
        <w:tc>
          <w:tcPr>
            <w:tcW w:w="1872" w:type="dxa"/>
          </w:tcPr>
          <w:p>
            <w:pPr>
              <w:pStyle w:val="TableText"/>
            </w:pPr>
            <w:r>
              <w:t xml:space="preserve">2.01%</w:t>
            </w:r>
          </w:p>
        </w:tc>
        <w:tc>
          <w:tcPr>
            <w:tcW w:w="1872" w:type="dxa"/>
          </w:tcPr>
          <w:p>
            <w:pPr>
              <w:pStyle w:val="TableText"/>
            </w:pPr>
            <w:r>
              <w:t xml:space="preserve">28,602</w:t>
            </w:r>
          </w:p>
        </w:tc>
      </w:tr>
      <w:tr>
        <w:trPr>
          <w:cantSplit/>
        </w:trPr>
        <w:tc>
          <w:tcPr>
            <w:tcW w:w="1872" w:type="dxa"/>
          </w:tcPr>
          <w:p>
            <w:pPr>
              <w:pStyle w:val="TableText"/>
            </w:pPr>
            <w:r>
              <w:t xml:space="preserve">ION_TORRENT</w:t>
            </w:r>
          </w:p>
        </w:tc>
        <w:tc>
          <w:tcPr>
            <w:tcW w:w="1872" w:type="dxa"/>
          </w:tcPr>
          <w:p>
            <w:pPr>
              <w:pStyle w:val="TableText"/>
            </w:pPr>
            <w:r>
              <w:t xml:space="preserve">1.25%</w:t>
            </w:r>
          </w:p>
        </w:tc>
        <w:tc>
          <w:tcPr>
            <w:tcW w:w="1872" w:type="dxa"/>
          </w:tcPr>
          <w:p>
            <w:pPr>
              <w:pStyle w:val="TableText"/>
            </w:pPr>
            <w:r>
              <w:t xml:space="preserve">0.15%</w:t>
            </w:r>
          </w:p>
        </w:tc>
        <w:tc>
          <w:tcPr>
            <w:tcW w:w="1872" w:type="dxa"/>
          </w:tcPr>
          <w:p>
            <w:pPr>
              <w:pStyle w:val="TableText"/>
            </w:pPr>
            <w:r>
              <w:t xml:space="preserve">0.04%</w:t>
            </w:r>
          </w:p>
        </w:tc>
        <w:tc>
          <w:tcPr>
            <w:tcW w:w="1872" w:type="dxa"/>
          </w:tcPr>
          <w:p>
            <w:pPr>
              <w:pStyle w:val="TableText"/>
            </w:pPr>
            <w:r>
              <w:t xml:space="preserve">7,537</w:t>
            </w:r>
          </w:p>
        </w:tc>
      </w:tr>
      <w:tr>
        <w:trPr>
          <w:cantSplit/>
        </w:trPr>
        <w:tc>
          <w:tcPr>
            <w:tcW w:w="1872" w:type="dxa"/>
          </w:tcPr>
          <w:p>
            <w:pPr>
              <w:pStyle w:val="TableText"/>
            </w:pPr>
            <w:r>
              <w:t xml:space="preserve">ELEMENT</w:t>
            </w:r>
          </w:p>
        </w:tc>
        <w:tc>
          <w:tcPr>
            <w:tcW w:w="1872" w:type="dxa"/>
          </w:tcPr>
          <w:p>
            <w:pPr>
              <w:pStyle w:val="TableText"/>
            </w:pPr>
            <w:r>
              <w:t xml:space="preserve">0.21%</w:t>
            </w:r>
          </w:p>
        </w:tc>
        <w:tc>
          <w:tcPr>
            <w:tcW w:w="1872" w:type="dxa"/>
          </w:tcPr>
          <w:p>
            <w:pPr>
              <w:pStyle w:val="TableText"/>
            </w:pPr>
            <w:r>
              <w:t xml:space="preserve">0.15%</w:t>
            </w:r>
          </w:p>
        </w:tc>
        <w:tc>
          <w:tcPr>
            <w:tcW w:w="1872" w:type="dxa"/>
          </w:tcPr>
          <w:p>
            <w:pPr>
              <w:pStyle w:val="TableText"/>
            </w:pPr>
            <w:r>
              <w:t xml:space="preserve">0.33%</w:t>
            </w:r>
          </w:p>
        </w:tc>
        <w:tc>
          <w:tcPr>
            <w:tcW w:w="1872" w:type="dxa"/>
          </w:tcPr>
          <w:p>
            <w:pPr>
              <w:pStyle w:val="TableText"/>
            </w:pPr>
            <w:r>
              <w:t xml:space="preserve">1,014</w:t>
            </w:r>
          </w:p>
        </w:tc>
      </w:tr>
      <w:tr>
        <w:trPr>
          <w:cantSplit/>
        </w:trPr>
        <w:tc>
          <w:tcPr>
            <w:tcW w:w="1872" w:type="dxa"/>
          </w:tcPr>
          <w:p>
            <w:pPr>
              <w:pStyle w:val="TableText"/>
            </w:pPr>
            <w:r>
              <w:t xml:space="preserve">ULTIMA</w:t>
            </w:r>
          </w:p>
        </w:tc>
        <w:tc>
          <w:tcPr>
            <w:tcW w:w="1872" w:type="dxa"/>
          </w:tcPr>
          <w:p>
            <w:pPr>
              <w:pStyle w:val="TableText"/>
            </w:pPr>
            <w:r>
              <w:t xml:space="preserve">0.01%</w:t>
            </w:r>
          </w:p>
        </w:tc>
        <w:tc>
          <w:tcPr>
            <w:tcW w:w="1872" w:type="dxa"/>
          </w:tcPr>
          <w:p>
            <w:pPr>
              <w:pStyle w:val="TableText"/>
            </w:pPr>
            <w:r>
              <w:t xml:space="preserve">0.06%</w:t>
            </w:r>
          </w:p>
        </w:tc>
        <w:tc>
          <w:tcPr>
            <w:tcW w:w="1872" w:type="dxa"/>
          </w:tcPr>
          <w:p>
            <w:pPr>
              <w:pStyle w:val="TableText"/>
            </w:pPr>
            <w:r>
              <w:t xml:space="preserve">0.06%</w:t>
            </w:r>
          </w:p>
        </w:tc>
        <w:tc>
          <w:tcPr>
            <w:tcW w:w="1872" w:type="dxa"/>
          </w:tcPr>
          <w:p>
            <w:pPr>
              <w:pStyle w:val="TableText"/>
            </w:pPr>
            <w:r>
              <w:t xml:space="preserve">37</w:t>
            </w:r>
          </w:p>
        </w:tc>
      </w:tr>
    </w:tbl>
    <w:p>
      <w:pPr>
        <w:pStyle w:val="Normal"/>
      </w:pPr>
      <w:r>
        <w:t xml:space="preserve">原始平台标签分别保留，不能直接把 DNBSEQ/BGISEQ 计数称为厂商市场份额。结合平台、型号、来源和策略，可以区分 MiSeq 上的群落/基因组扩增子工作与高通量基因组/转录组工作。例如，MiSeq METAGENOMIC/AMPLICON 有 49,876 项研究、4,854,104 个存量测序RUN；NovaSeq 6000 VIRAL RNA/AMPLICON 则有 142 项研究、4,287,045次测序RUN。RUN数相近并不表示需求覆盖面相同。数据集中于少数研究，或近期公开记录增加，都有助于判断平台是历史常用还是正在兴起。</w:t>
      </w:r>
      <w:hyperlink r:id="rId3">
        <w:r>
          <w:rPr>
            <w:color w:val="0563C1"/>
            <w:u w:val="single"/>
          </w:rPr>
          <w:t xml:space="preserve">档案元数据</w:t>
        </w:r>
      </w:hyperlink>
    </w:p>
    <w:p>
      <w:pPr>
        <w:pStyle w:val="Normal"/>
      </w:pPr>
      <w:r>
        <w:t xml:space="preserve">原始生物名称排名显示了人类/小鼠、微生物分离株和群落，也显示植物和动物研究数量可观。小麦、水稻、棉花、家畜、大鼠和灵长类标签拓宽了材料考量范围。具名生物、群落、菌株或其他扩展标签，以及缺失名称的条目分别展示；不会擅自合并菌株、亚种或同义名。这些是档案标签，不是经分类学验证的物种市场排名。</w:t>
      </w:r>
    </w:p>
    <w:p>
      <w:pPr>
        <w:pStyle w:val="Normal"/>
      </w:pPr>
      <w:r>
        <w:t xml:space="preserve">保存的元数据提取结果中没有 library_selection 字段。另于 10 月 14 日单独获取的测序RUN数显示，存量共 44,218,009次测序RUN，年度增量共 5,872,258 个。存量中占比较高的标签为 pcr（36.99%）、random（18.75%）和 cdna（13.53%）；年度增量中分别为 38.45%、20.65% 和 13.15%。这些宽泛标签并不说明完整制备方式或文件的实测结构，也未与保存的碱基数/研究数统计合并分析。</w:t>
      </w:r>
      <w:hyperlink r:id="rId4">
        <w:r>
          <w:rPr>
            <w:color w:val="0563C1"/>
            <w:u w:val="single"/>
          </w:rPr>
          <w:t xml:space="preserve">选择字段计数</w:t>
        </w:r>
      </w:hyperlink>
    </w:p>
    <w:p>
      <w:pPr>
        <w:pStyle w:val="Heading1"/>
      </w:pPr>
      <w:r>
        <w:t xml:space="preserve">中国归档视图能够和不能比较的内容</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3120" w:type="dxa"/>
            <w:shd w:fill="E7EFF4"/>
          </w:tcPr>
          <w:p>
            <w:pPr>
              <w:pStyle w:val="TableText"/>
            </w:pPr>
            <w:r>
              <w:t xml:space="preserve">来源及版本日期</w:t>
            </w:r>
          </w:p>
        </w:tc>
        <w:tc>
          <w:tcPr>
            <w:tcW w:w="3120" w:type="dxa"/>
            <w:shd w:fill="E7EFF4"/>
          </w:tcPr>
          <w:p>
            <w:pPr>
              <w:pStyle w:val="TableText"/>
            </w:pPr>
            <w:r>
              <w:t xml:space="preserve">实际发现</w:t>
            </w:r>
          </w:p>
        </w:tc>
        <w:tc>
          <w:tcPr>
            <w:tcW w:w="3120" w:type="dxa"/>
            <w:shd w:fill="E7EFF4"/>
          </w:tcPr>
          <w:p>
            <w:pPr>
              <w:pStyle w:val="TableText"/>
            </w:pPr>
            <w:r>
              <w:t xml:space="preserve">限制</w:t>
            </w:r>
          </w:p>
        </w:tc>
      </w:tr>
      <w:tr>
        <w:trPr>
          <w:cantSplit/>
        </w:trPr>
        <w:tc>
          <w:tcPr>
            <w:tcW w:w="3120" w:type="dxa"/>
          </w:tcPr>
          <w:p>
            <w:pPr>
              <w:pStyle w:val="TableText"/>
            </w:pPr>
            <w:r>
              <w:t xml:space="preserve">CNSA 实时图表，2026年10月15日检索，显示9月数据点</w:t>
            </w:r>
          </w:p>
        </w:tc>
        <w:tc>
          <w:tcPr>
            <w:tcW w:w="3120" w:type="dxa"/>
          </w:tcPr>
          <w:p>
            <w:pPr>
              <w:pStyle w:val="TableText"/>
            </w:pPr>
            <w:r>
              <w:t xml:space="preserve">339,790次公开RUN；总RUN数1,352,228。</w:t>
            </w:r>
          </w:p>
        </w:tc>
        <w:tc>
          <w:tcPr>
            <w:tcW w:w="3120" w:type="dxa"/>
          </w:tcPr>
          <w:p>
            <w:pPr>
              <w:pStyle w:val="TableText"/>
            </w:pPr>
            <w:r>
              <w:t xml:space="preserve">当前版本的存量数据点；并非已核实的首次发布日期或不可变的月末普查。</w:t>
            </w:r>
          </w:p>
        </w:tc>
      </w:tr>
      <w:tr>
        <w:trPr>
          <w:cantSplit/>
        </w:trPr>
        <w:tc>
          <w:tcPr>
            <w:tcW w:w="3120" w:type="dxa"/>
          </w:tcPr>
          <w:p>
            <w:pPr>
              <w:pStyle w:val="TableText"/>
            </w:pPr>
            <w:r>
              <w:t xml:space="preserve">CNSA 当前型号表</w:t>
            </w:r>
          </w:p>
        </w:tc>
        <w:tc>
          <w:tcPr>
            <w:tcW w:w="3120" w:type="dxa"/>
          </w:tcPr>
          <w:p>
            <w:pPr>
              <w:pStyle w:val="TableText"/>
            </w:pPr>
            <w:r>
              <w:t xml:space="preserve">明确列出 样本数/实验数/RUN数；T1：393,676次RUN；BGISEQ500：244,358；G400：114,987；T7：74,348；NovaSeq 6000：84,521。</w:t>
            </w:r>
          </w:p>
        </w:tc>
        <w:tc>
          <w:tcPr>
            <w:tcW w:w="3120" w:type="dxa"/>
          </w:tcPr>
          <w:p>
            <w:pPr>
              <w:pStyle w:val="TableText"/>
            </w:pPr>
            <w:r>
              <w:t xml:space="preserve">未筛选总体；公开子集/截止日期/地理范围尚未确定。已获取62个型号中的前25个。</w:t>
            </w:r>
          </w:p>
        </w:tc>
      </w:tr>
      <w:tr>
        <w:trPr>
          <w:cantSplit/>
        </w:trPr>
        <w:tc>
          <w:tcPr>
            <w:tcW w:w="3120" w:type="dxa"/>
          </w:tcPr>
          <w:p>
            <w:pPr>
              <w:pStyle w:val="TableText"/>
            </w:pPr>
            <w:r>
              <w:t xml:space="preserve">GSA 发布的2024年12月统计</w:t>
            </w:r>
          </w:p>
        </w:tc>
        <w:tc>
          <w:tcPr>
            <w:tcW w:w="3120" w:type="dxa"/>
          </w:tcPr>
          <w:p>
            <w:pPr>
              <w:pStyle w:val="TableText"/>
            </w:pPr>
            <w:r>
              <w:t xml:space="preserve">GSA 有965,023次归档RUN；GSA-Human 有1,248,968次。已发布的开放数据集分别为11,174和1,168个。</w:t>
            </w:r>
          </w:p>
        </w:tc>
        <w:tc>
          <w:tcPr>
            <w:tcW w:w="3120" w:type="dxa"/>
          </w:tcPr>
          <w:p>
            <w:pPr>
              <w:pStyle w:val="TableText"/>
            </w:pPr>
            <w:r>
              <w:t xml:space="preserve">归档、公开、开放、受控等状态及数据集/RUN等单位各不相同。全球提交数据。</w:t>
            </w:r>
          </w:p>
        </w:tc>
      </w:tr>
      <w:tr>
        <w:trPr>
          <w:cantSplit/>
        </w:trPr>
        <w:tc>
          <w:tcPr>
            <w:tcW w:w="3120" w:type="dxa"/>
          </w:tcPr>
          <w:p>
            <w:pPr>
              <w:pStyle w:val="TableText"/>
            </w:pPr>
            <w:r>
              <w:t xml:space="preserve">GSA 镜像 NCBI 持有数据，2024年12月</w:t>
            </w:r>
          </w:p>
        </w:tc>
        <w:tc>
          <w:tcPr>
            <w:tcW w:w="3120" w:type="dxa"/>
          </w:tcPr>
          <w:p>
            <w:pPr>
              <w:pStyle w:val="TableText"/>
            </w:pPr>
            <w:r>
              <w:t xml:space="preserve">34,456,823次镜像RUN。</w:t>
            </w:r>
          </w:p>
        </w:tc>
        <w:tc>
          <w:tcPr>
            <w:tcW w:w="3120" w:type="dxa"/>
          </w:tcPr>
          <w:p>
            <w:pPr>
              <w:pStyle w:val="TableText"/>
            </w:pPr>
            <w:r>
              <w:t xml:space="preserve">与全球归档重叠；不得将其作为额外国内产量相加。</w:t>
            </w:r>
          </w:p>
        </w:tc>
      </w:tr>
    </w:tbl>
    <w:p>
      <w:pPr>
        <w:pStyle w:val="Normal"/>
      </w:pPr>
      <w:r>
        <w:t xml:space="preserve">这些官方来源显示，中国托管的测序活动规模可观，且涉及多种技术和材料；但它们无法提供与全球年度窗口可比的全国公开平台/检测项目占比。GSA 实时访问路径失败；其档案作者论文和官方新闻仍分别提供了有效但范围不同的发现。宣布提交存量达到 100 PB，不等于公开 FASTQ 字节数。当前未筛选的 CNSA 物种/样本图表没有按公开数据或国内生产份额作归一化。复用来源的检索日期均予以保留；本轮没有尝试开展新的全国普查。</w:t>
      </w:r>
      <w:hyperlink r:id="rId5">
        <w:r>
          <w:rPr>
            <w:color w:val="0563C1"/>
            <w:u w:val="single"/>
          </w:rPr>
          <w:t xml:space="preserve">CNSA 统计和官方汇总接口</w:t>
        </w:r>
      </w:hyperlink>
      <w:r>
        <w:t xml:space="preserve"> </w:t>
      </w:r>
      <w:hyperlink r:id="rId6">
        <w:r>
          <w:rPr>
            <w:color w:val="0563C1"/>
            <w:u w:val="single"/>
          </w:rPr>
          <w:t xml:space="preserve">2025 年 GSA 家族</w:t>
        </w:r>
      </w:hyperlink>
      <w:r>
        <w:t xml:space="preserve"> </w:t>
      </w:r>
      <w:hyperlink r:id="rId7">
        <w:r>
          <w:rPr>
            <w:color w:val="0563C1"/>
            <w:u w:val="single"/>
          </w:rPr>
          <w:t xml:space="preserve">GSA 用户提交存量超过 100 PB</w:t>
        </w:r>
      </w:hyperlink>
    </w:p>
    <w:p>
      <w:pPr>
        <w:pStyle w:val="Heading1"/>
      </w:pPr>
      <w:r>
        <w:t xml:space="preserve">应用用途调查的发现</w:t>
      </w:r>
    </w:p>
    <w:p>
      <w:pPr>
        <w:pStyle w:val="Normal"/>
      </w:pPr>
      <w:r>
        <w:t xml:space="preserve">我们分别考察并交叉核查了广泛的应用组合、材料/行业记录，以及实际运营/已部署的服务路径。这是有明确目的的一手来源调查，并非具有代表性的销售抽样。供应商菜单证明服务可用；已完成研究、受委托服务、仪器部署和持续生产声明，分别能证明不同事项。</w:t>
      </w:r>
      <w:hyperlink r:id="rId8">
        <w:r>
          <w:rPr>
            <w:color w:val="0563C1"/>
            <w:u w:val="single"/>
          </w:rPr>
          <w:t xml:space="preserve">发现登记表</w:t>
        </w:r>
      </w:hyperlink>
      <w:r>
        <w:t xml:space="preserve">记录了检索路径、发现、排除项和未知情况。涉及芯片、蛋白质、图像或一般遗传检测的来源，并不都计为 FASTQ 需求。</w:t>
      </w:r>
    </w:p>
    <w:p>
      <w:pPr>
        <w:pStyle w:val="Normal"/>
      </w:pPr>
      <w:r>
        <w:t xml:space="preserve"/>
      </w:r>
      <w:r>
        <w:rPr>
          <w:b/>
        </w:rPr>
        <w:t xml:space="preserve">临床与生殖用途</w:t>
      </w:r>
      <w:r>
        <w:t xml:space="preserve">。CERTANIA 同时列出芯片和测序，因此不能把其整个生殖产品组合都视为读段数据需求。Annoroad 于 2026 年 4 月 15 日提交的招股草案显示，截至 2025 年 12 月 31 日，其无创产前检测（NIPT）和拷贝数测序（CNV-seq）解决方案已提供给 109 家医院和 15 家独立临床实验室。这些数字是服务机构数，不是年度检测数或 RUN数。NIPT/CNV 描述的是应用用途；引用证据并未说明取样是全基因组还是靶向。NHS WGS、获认可的 Ion Torrent 实验室以及商业外显子组/NGS 检测则提供了其他实际用途证据。</w:t>
      </w:r>
      <w:hyperlink r:id="rId9">
        <w:r>
          <w:rPr>
            <w:color w:val="0563C1"/>
            <w:u w:val="single"/>
          </w:rPr>
          <w:t xml:space="preserve">CERTANIA 产品组合</w:t>
        </w:r>
      </w:hyperlink>
      <w:r>
        <w:t xml:space="preserve"> </w:t>
      </w:r>
      <w:hyperlink r:id="rId10">
        <w:r>
          <w:rPr>
            <w:color w:val="0563C1"/>
            <w:u w:val="single"/>
          </w:rPr>
          <w:t xml:space="preserve">Annoroad 2026 年申报文件</w:t>
        </w:r>
      </w:hyperlink>
      <w:r>
        <w:t xml:space="preserve"> </w:t>
      </w:r>
      <w:hyperlink r:id="rId11">
        <w:r>
          <w:rPr>
            <w:color w:val="0563C1"/>
            <w:u w:val="single"/>
          </w:rPr>
          <w:t xml:space="preserve">NHS 基因组服务</w:t>
        </w:r>
      </w:hyperlink>
      <w:r>
        <w:t xml:space="preserve"> </w:t>
      </w:r>
      <w:hyperlink r:id="rId12">
        <w:r>
          <w:rPr>
            <w:color w:val="0563C1"/>
            <w:u w:val="single"/>
          </w:rPr>
          <w:t xml:space="preserve">靶向实验室服务</w:t>
        </w:r>
      </w:hyperlink>
      <w:r>
        <w:t xml:space="preserve"> </w:t>
      </w:r>
      <w:hyperlink r:id="rId13">
        <w:r>
          <w:rPr>
            <w:color w:val="0563C1"/>
            <w:u w:val="single"/>
          </w:rPr>
          <w:t xml:space="preserve">Natera 2025 年报告</w:t>
        </w:r>
      </w:hyperlink>
      <w:r>
        <w:t xml:space="preserve"> </w:t>
      </w:r>
      <w:hyperlink r:id="rId14">
        <w:r>
          <w:rPr>
            <w:color w:val="0563C1"/>
            <w:u w:val="single"/>
          </w:rPr>
          <w:t xml:space="preserve">Burning Rock 2025 年报告</w:t>
        </w:r>
      </w:hyperlink>
    </w:p>
    <w:p>
      <w:pPr>
        <w:pStyle w:val="Normal"/>
      </w:pPr>
      <w:r>
        <w:t xml:space="preserve"/>
      </w:r>
      <w:r>
        <w:rPr>
          <w:b/>
        </w:rPr>
        <w:t xml:space="preserve">群体、参考序列与生态材料</w:t>
      </w:r>
      <w:r>
        <w:t xml:space="preserve">。DArT 明确提供基于测序的简化代表性基因分型服务；但并非每份基因型报告或生态项目都必然采用了这种方法。供应商的研究记录涉及小麦、葡萄/Vitis、荞麦和甘蔗的基因组/参考序列工作。PIC 报告其累计资源中包含 8,000 多头优良猪的基因组信息；另有家禽 WGS 论文和育种参考序列项目记录了已完成的研究。这些信息都不应换算成年度物种销售量。</w:t>
      </w:r>
      <w:hyperlink r:id="rId15">
        <w:r>
          <w:rPr>
            <w:color w:val="0563C1"/>
            <w:u w:val="single"/>
          </w:rPr>
          <w:t xml:space="preserve">DArTseq 服务</w:t>
        </w:r>
      </w:hyperlink>
      <w:r>
        <w:t xml:space="preserve"> </w:t>
      </w:r>
      <w:hyperlink r:id="rId16">
        <w:r>
          <w:rPr>
            <w:color w:val="0563C1"/>
            <w:u w:val="single"/>
          </w:rPr>
          <w:t xml:space="preserve">DArT 生态服务</w:t>
        </w:r>
      </w:hyperlink>
      <w:r>
        <w:t xml:space="preserve"> </w:t>
      </w:r>
      <w:hyperlink r:id="rId17">
        <w:r>
          <w:rPr>
            <w:color w:val="0563C1"/>
            <w:u w:val="single"/>
          </w:rPr>
          <w:t xml:space="preserve">Annoroad 2026 年申报文件</w:t>
        </w:r>
      </w:hyperlink>
      <w:r>
        <w:t xml:space="preserve"> </w:t>
      </w:r>
      <w:hyperlink r:id="rId18">
        <w:r>
          <w:rPr>
            <w:color w:val="0563C1"/>
            <w:u w:val="single"/>
          </w:rPr>
          <w:t xml:space="preserve">Annoroad 研究记录</w:t>
        </w:r>
      </w:hyperlink>
      <w:r>
        <w:t xml:space="preserve"> </w:t>
      </w:r>
      <w:hyperlink r:id="rId19">
        <w:r>
          <w:rPr>
            <w:color w:val="0563C1"/>
            <w:u w:val="single"/>
          </w:rPr>
          <w:t xml:space="preserve">PIC 基因组资源</w:t>
        </w:r>
      </w:hyperlink>
      <w:r>
        <w:t xml:space="preserve"> </w:t>
      </w:r>
      <w:hyperlink r:id="rId20">
        <w:r>
          <w:rPr>
            <w:color w:val="0563C1"/>
            <w:u w:val="single"/>
          </w:rPr>
          <w:t xml:space="preserve">家禽 WGS 研究</w:t>
        </w:r>
      </w:hyperlink>
      <w:r>
        <w:t xml:space="preserve"> </w:t>
      </w:r>
      <w:hyperlink r:id="rId21">
        <w:r>
          <w:rPr>
            <w:color w:val="0563C1"/>
            <w:u w:val="single"/>
          </w:rPr>
          <w:t xml:space="preserve">育种参考序列项目</w:t>
        </w:r>
      </w:hyperlink>
    </w:p>
    <w:p>
      <w:pPr>
        <w:pStyle w:val="Normal"/>
      </w:pPr>
      <w:r>
        <w:t xml:space="preserve"/>
      </w:r>
      <w:r>
        <w:rPr>
          <w:b/>
        </w:rPr>
        <w:t xml:space="preserve">环境与食品用途</w:t>
      </w:r>
      <w:r>
        <w:t xml:space="preserve">。中国生态环境部介绍了实际水生 DNA 测序，并展示了长江 19 个监测断面的应用。具体文库和仪器尚未确定。Food Forensics 提供 NGS 成分鉴定服务；河北则报告了已完成的食品真伪测序研究，并将其与数字 PCR 区分。这些例子表明相关用途确实涉及测序，但具体靶标取样方式仍不清楚。没有测序关联证据的一般生态 DNA 检测仍只是待查线索。</w:t>
      </w:r>
      <w:hyperlink r:id="rId22">
        <w:r>
          <w:rPr>
            <w:color w:val="0563C1"/>
            <w:u w:val="single"/>
          </w:rPr>
          <w:t xml:space="preserve">生态环境部监测说明</w:t>
        </w:r>
      </w:hyperlink>
      <w:r>
        <w:t xml:space="preserve"> </w:t>
      </w:r>
      <w:hyperlink r:id="rId23">
        <w:r>
          <w:rPr>
            <w:color w:val="0563C1"/>
            <w:u w:val="single"/>
          </w:rPr>
          <w:t xml:space="preserve">Food Forensics 服务</w:t>
        </w:r>
      </w:hyperlink>
      <w:r>
        <w:t xml:space="preserve"> </w:t>
      </w:r>
      <w:hyperlink r:id="rId24">
        <w:r>
          <w:rPr>
            <w:color w:val="0563C1"/>
            <w:u w:val="single"/>
          </w:rPr>
          <w:t xml:space="preserve">河北食品研究</w:t>
        </w:r>
      </w:hyperlink>
      <w:r>
        <w:t xml:space="preserve"> </w:t>
      </w:r>
      <w:hyperlink r:id="rId25">
        <w:r>
          <w:rPr>
            <w:color w:val="0563C1"/>
            <w:u w:val="single"/>
          </w:rPr>
          <w:t xml:space="preserve">食品 NGS 流程</w:t>
        </w:r>
      </w:hyperlink>
    </w:p>
    <w:p>
      <w:pPr>
        <w:pStyle w:val="Normal"/>
      </w:pPr>
      <w:r>
        <w:t xml:space="preserve"/>
      </w:r>
      <w:r>
        <w:rPr>
          <w:b/>
        </w:rPr>
        <w:t xml:space="preserve">生物制药与现代研究</w:t>
      </w:r>
      <w:r>
        <w:t xml:space="preserve">。GenomeScan 明确提供生产细胞 WGS；Eurofins 和面向中国市场的 HyQure 服务宣传 NGS 表征。这些证据表明相关服务可用，但不能证明年度生产量，也不能说明所有质量控制测试都采用测序。SeqMatic 的实际运营服务区分 DNA/RNA、表观基因组、空间和单细胞流程；10x/Parse 是流程供应商，不是测序仪制造商。应用研究也支持部分带标签/功能性文库用途。</w:t>
      </w:r>
      <w:hyperlink r:id="rId26">
        <w:r>
          <w:rPr>
            <w:color w:val="0563C1"/>
            <w:u w:val="single"/>
          </w:rPr>
          <w:t xml:space="preserve">GenomeScan 服务</w:t>
        </w:r>
      </w:hyperlink>
      <w:r>
        <w:t xml:space="preserve"> </w:t>
      </w:r>
      <w:hyperlink r:id="rId27">
        <w:r>
          <w:rPr>
            <w:color w:val="0563C1"/>
            <w:u w:val="single"/>
          </w:rPr>
          <w:t xml:space="preserve">HyQure 服务</w:t>
        </w:r>
      </w:hyperlink>
      <w:r>
        <w:t xml:space="preserve"> </w:t>
      </w:r>
      <w:hyperlink r:id="rId28">
        <w:r>
          <w:rPr>
            <w:color w:val="0563C1"/>
            <w:u w:val="single"/>
          </w:rPr>
          <w:t xml:space="preserve">Eurofins BPT 服务</w:t>
        </w:r>
      </w:hyperlink>
      <w:r>
        <w:t xml:space="preserve"> </w:t>
      </w:r>
      <w:hyperlink r:id="rId29">
        <w:r>
          <w:rPr>
            <w:color w:val="0563C1"/>
            <w:u w:val="single"/>
          </w:rPr>
          <w:t xml:space="preserve">SeqMatic 产品组合</w:t>
        </w:r>
      </w:hyperlink>
      <w:r>
        <w:t xml:space="preserve"> </w:t>
      </w:r>
      <w:hyperlink r:id="rId30">
        <w:r>
          <w:rPr>
            <w:color w:val="0563C1"/>
            <w:u w:val="single"/>
          </w:rPr>
          <w:t xml:space="preserve">公司单细胞研究</w:t>
        </w:r>
      </w:hyperlink>
      <w:r>
        <w:t xml:space="preserve"> </w:t>
      </w:r>
      <w:hyperlink r:id="rId31">
        <w:r>
          <w:rPr>
            <w:color w:val="0563C1"/>
            <w:u w:val="single"/>
          </w:rPr>
          <w:t xml:space="preserve">公司 CUT&amp;RUN 研究</w:t>
        </w:r>
      </w:hyperlink>
    </w:p>
    <w:p>
      <w:pPr>
        <w:pStyle w:val="Normal"/>
      </w:pPr>
      <w:r>
        <w:t xml:space="preserve"/>
      </w:r>
      <w:r>
        <w:rPr>
          <w:b/>
        </w:rPr>
        <w:t xml:space="preserve">规模与技术方向</w:t>
      </w:r>
      <w:r>
        <w:t xml:space="preserve">。Novogene 报告 FY2025 产出序列为 45,885.51 TB，并将 1 TB 定义为 10¹² 个碱基；这是合并后的全球产出，不是存储字节数，也不是仅中国的产出。具名供应商的运营支持将 Ultima 与成熟的短读长/长读长技术家族一并纳入考虑。MGI 报告了 CycloneSEQ 在中国两个具名服务点的安装情况。Roche 于 2026 年 6 月 29 日发布 SBX，且在 7 月披露财务信息；这些有具体日期的材料，比未注明日期的一般研发脚注更适合说明时间背景，但发布或研究合作仍不能证明已广泛投入生产。这些是范围有限的业务/研究依据，不是因为新奇或公司规模而关注某项技术。</w:t>
      </w:r>
      <w:hyperlink r:id="rId32">
        <w:r>
          <w:rPr>
            <w:color w:val="0563C1"/>
            <w:u w:val="single"/>
          </w:rPr>
          <w:t xml:space="preserve">Novogene 2025 年报告</w:t>
        </w:r>
      </w:hyperlink>
      <w:r>
        <w:t xml:space="preserve"> </w:t>
      </w:r>
      <w:hyperlink r:id="rId33">
        <w:r>
          <w:rPr>
            <w:color w:val="0563C1"/>
            <w:u w:val="single"/>
          </w:rPr>
          <w:t xml:space="preserve">SeqMatic 产品组合</w:t>
        </w:r>
      </w:hyperlink>
      <w:r>
        <w:t xml:space="preserve"> </w:t>
      </w:r>
      <w:hyperlink r:id="rId34">
        <w:r>
          <w:rPr>
            <w:color w:val="0563C1"/>
            <w:u w:val="single"/>
          </w:rPr>
          <w:t xml:space="preserve">CycloneSEQ 安装情况</w:t>
        </w:r>
      </w:hyperlink>
      <w:r>
        <w:t xml:space="preserve"> </w:t>
      </w:r>
      <w:hyperlink r:id="rId35">
        <w:r>
          <w:rPr>
            <w:color w:val="0563C1"/>
            <w:u w:val="single"/>
          </w:rPr>
          <w:t xml:space="preserve">Roche 六月发布</w:t>
        </w:r>
      </w:hyperlink>
      <w:r>
        <w:t xml:space="preserve"> </w:t>
      </w:r>
      <w:hyperlink r:id="rId36">
        <w:r>
          <w:rPr>
            <w:color w:val="0563C1"/>
            <w:u w:val="single"/>
          </w:rPr>
          <w:t xml:space="preserve">Roche 七月业绩</w:t>
        </w:r>
      </w:hyperlink>
      <w:r>
        <w:t xml:space="preserve"> </w:t>
      </w:r>
      <w:hyperlink r:id="rId37">
        <w:r>
          <w:rPr>
            <w:color w:val="0563C1"/>
            <w:u w:val="single"/>
          </w:rPr>
          <w:t xml:space="preserve">未注明日期的 Roche 页面</w:t>
        </w:r>
      </w:hyperlink>
      <w:r>
        <w:t xml:space="preserve"> </w:t>
      </w:r>
      <w:hyperlink r:id="rId38">
        <w:r>
          <w:rPr>
            <w:color w:val="0563C1"/>
            <w:u w:val="single"/>
          </w:rPr>
          <w:t xml:space="preserve">SBX 研究介绍</w:t>
        </w:r>
      </w:hyperlink>
    </w:p>
    <w:p>
      <w:pPr>
        <w:pStyle w:val="Heading1"/>
      </w:pPr>
      <w:r>
        <w:t xml:space="preserve">数据集的选择方法</w:t>
      </w:r>
    </w:p>
    <w:p>
      <w:pPr>
        <w:pStyle w:val="Normal"/>
      </w:pPr>
      <w:r>
        <w:t xml:space="preserve">归档统计显示了哪些测序类型较常见，以及各自报告了多少序列量。公开发表的研究、服务和技术部署记录，还能补充归档计数可能遗漏的用途。全球统计已包含中国数据，因此两类统计不能相加。服务目录只能说明服务可提供，不能说明销售规模；作物的经济价值本身也不能证明其测序需求。</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4680" w:type="dxa"/>
            <w:shd w:fill="E7EFF4"/>
          </w:tcPr>
          <w:p>
            <w:pPr>
              <w:pStyle w:val="TableText"/>
            </w:pPr>
            <w:r>
              <w:t xml:space="preserve">选择原则</w:t>
            </w:r>
          </w:p>
        </w:tc>
        <w:tc>
          <w:tcPr>
            <w:tcW w:w="4680" w:type="dxa"/>
            <w:shd w:fill="E7EFF4"/>
          </w:tcPr>
          <w:p>
            <w:pPr>
              <w:pStyle w:val="TableText"/>
            </w:pPr>
            <w:r>
              <w:t xml:space="preserve">本集合中的做法</w:t>
            </w:r>
          </w:p>
        </w:tc>
      </w:tr>
      <w:tr>
        <w:trPr>
          <w:cantSplit/>
        </w:trPr>
        <w:tc>
          <w:tcPr>
            <w:tcW w:w="4680" w:type="dxa"/>
          </w:tcPr>
          <w:p>
            <w:pPr>
              <w:pStyle w:val="TableText"/>
            </w:pPr>
            <w:r>
              <w:t xml:space="preserve">覆盖重要工作负载</w:t>
            </w:r>
          </w:p>
        </w:tc>
        <w:tc>
          <w:tcPr>
            <w:tcW w:w="4680" w:type="dxa"/>
          </w:tcPr>
          <w:p>
            <w:pPr>
              <w:pStyle w:val="TableText"/>
            </w:pPr>
            <w:r>
              <w:t xml:space="preserve">结合档案 RUN数、报告碱基数、研究覆盖面和有记录的实际用途来判断；不会因为出现某个物种、厂商或用途名称，就自动为其单独增加文件。</w:t>
            </w:r>
          </w:p>
        </w:tc>
      </w:tr>
      <w:tr>
        <w:trPr>
          <w:cantSplit/>
        </w:trPr>
        <w:tc>
          <w:tcPr>
            <w:tcW w:w="4680" w:type="dxa"/>
          </w:tcPr>
          <w:p>
            <w:pPr>
              <w:pStyle w:val="TableText"/>
            </w:pPr>
            <w:r>
              <w:t xml:space="preserve">保留有意义的差异</w:t>
            </w:r>
          </w:p>
        </w:tc>
        <w:tc>
          <w:tcPr>
            <w:tcW w:w="4680" w:type="dxa"/>
          </w:tcPr>
          <w:p>
            <w:pPr>
              <w:pStyle w:val="TableText"/>
            </w:pPr>
            <w:r>
              <w:t xml:space="preserve">纳入重要的文库、技术、读段和参考序列差异。质量字符种类相近，并不表示字符出现频率也相近；有差异本身也不等于已证明压缩更有优势。</w:t>
            </w:r>
          </w:p>
        </w:tc>
      </w:tr>
      <w:tr>
        <w:trPr>
          <w:cantSplit/>
        </w:trPr>
        <w:tc>
          <w:tcPr>
            <w:tcW w:w="4680" w:type="dxa"/>
          </w:tcPr>
          <w:p>
            <w:pPr>
              <w:pStyle w:val="TableText"/>
            </w:pPr>
            <w:r>
              <w:t xml:space="preserve">选择完整且合适的输入单位</w:t>
            </w:r>
          </w:p>
        </w:tc>
        <w:tc>
          <w:tcPr>
            <w:tcW w:w="4680" w:type="dxa"/>
          </w:tcPr>
          <w:p>
            <w:pPr>
              <w:pStyle w:val="TableText"/>
            </w:pPr>
            <w:r>
              <w:t xml:space="preserve">完整提交的一个测序RUN或公开的厂商输出，都可能是合适的输入单位。应与相同任务、相同单位比较序列量；不要只为节省空间而偏选较小文件。</w:t>
            </w:r>
          </w:p>
        </w:tc>
      </w:tr>
      <w:tr>
        <w:trPr>
          <w:cantSplit/>
        </w:trPr>
        <w:tc>
          <w:tcPr>
            <w:tcW w:w="4680" w:type="dxa"/>
          </w:tcPr>
          <w:p>
            <w:pPr>
              <w:pStyle w:val="TableText"/>
            </w:pPr>
            <w:r>
              <w:t xml:space="preserve">固定输入字节和参考序列</w:t>
            </w:r>
          </w:p>
        </w:tc>
        <w:tc>
          <w:tcPr>
            <w:tcW w:w="4680" w:type="dxa"/>
          </w:tcPr>
          <w:p>
            <w:pPr>
              <w:pStyle w:val="TableText"/>
            </w:pPr>
            <w:r>
              <w:t xml:space="preserve">列出构成该输入的全部文件。保留准备后 FASTQ 的确切字节，并说明参考序列版本和仍需进行的准备步骤。先确定输入，再测试压缩程序。</w:t>
            </w:r>
          </w:p>
        </w:tc>
      </w:tr>
    </w:tbl>
    <w:p>
      <w:pPr>
        <w:pStyle w:val="Normal"/>
      </w:pPr>
      <w:r>
        <w:t xml:space="preserve">来源研究的数据量可帮助判断具体案例是否合适，但不能代表普遍的生产标准。这里没有规定最低文件大小、目标数据集数量或评分，也不声称本集合已是最小可能集合。年度复核后，如果入选理由仍成立，可以保留原有输入。</w:t>
      </w:r>
    </w:p>
    <w:p>
      <w:pPr>
        <w:pStyle w:val="Normal"/>
      </w:pPr>
      <w:r>
        <w:t xml:space="preserve">工作簿把测序仪厂商与文库方法分开记录。Illumina 和 MGI 常用于平行短读段测序；ONT、CycloneSEQ 和 PacBio 属于单分子长读段技术，通常称为第二代和第三代测序。10x 或 CITE 文库名称本身不能确定测序仪。档案中的策略标签说明取样对象，布局字段则说明采用单端还是双端读段。</w:t>
      </w:r>
    </w:p>
    <w:p>
      <w:pPr>
        <w:pStyle w:val="Normal"/>
      </w:pPr>
      <w:r>
        <w:t xml:space="preserve">集合包含人类及其他生物的基因组测序、整体/小 RNA 和单细胞 RNA、CITE 标签与空间读段、染色质文库、靶向标记、分离株和混合群落。工作簿中的“覆盖”“材料”和“技术”表说明这些用途与入选数据的对应关系；更详细的档案统计和来源说明也列于工作簿中。</w:t>
      </w:r>
    </w:p>
    <w:p>
      <w:pPr>
        <w:pStyle w:val="Normal"/>
      </w:pPr>
      <w:r>
        <w:t xml:space="preserve">报告的序列总量与文件大小、read/spot 数分开记录。已知的入选 FASTQ 序列总量为 2,012,275,239,298 个碱基，来自 50 个输入。Data 6 和 Data 8 的确切来源总量未知，未计入；没有用相关分析数据或 SRA 总量替代。不同类别的研究数可能重叠，因此不相加。</w:t>
      </w:r>
    </w:p>
    <w:p>
      <w:pPr>
        <w:pStyle w:val="Heading1"/>
      </w:pPr>
      <w:r>
        <w:t xml:space="preserve">为什么有些输入较小</w:t>
      </w:r>
    </w:p>
    <w:p>
      <w:pPr>
        <w:pStyle w:val="Normal"/>
      </w:pPr>
      <w:r>
        <w:t xml:space="preserve">有 11 组完整输入的压缩下载总量不足 1 十进制 GB。靶向文库、单个细胞、样本标签或小型基因组都可能是有意义的小输入。应结合其用途判断数据量，而不是设置 1 GB 的最低门槛。小文件可能更受启动和参考序列开销影响，但这里没有测量这类性能差异，也不会通过填充或复制文件来增大输入。</w:t>
      </w:r>
    </w:p>
    <w:p>
      <w:pPr>
        <w:pStyle w:val="Heading1"/>
      </w:pPr>
      <w:r>
        <w:t xml:space="preserve">52 组数据</w:t>
      </w:r>
    </w:p>
    <w:p>
      <w:pPr>
        <w:pStyle w:val="Normal"/>
      </w:pPr>
      <w:r>
        <w:t xml:space="preserve">请结合</w:t>
      </w:r>
      <w:hyperlink r:id="rId39">
        <w:r>
          <w:rPr>
            <w:color w:val="0563C1"/>
            <w:u w:val="single"/>
          </w:rPr>
          <w:t xml:space="preserve">工作簿</w:t>
        </w:r>
      </w:hyperlink>
      <w:r>
        <w:t xml:space="preserve">、</w:t>
      </w:r>
      <w:hyperlink r:id="rId40">
        <w:r>
          <w:rPr>
            <w:color w:val="0563C1"/>
            <w:u w:val="single"/>
          </w:rPr>
          <w:t xml:space="preserve">全部文件链接</w:t>
        </w:r>
      </w:hyperlink>
      <w:r>
        <w:t xml:space="preserve">和</w:t>
      </w:r>
      <w:hyperlink r:id="rId41">
        <w:r>
          <w:rPr>
            <w:color w:val="0563C1"/>
            <w:u w:val="single"/>
          </w:rPr>
          <w:t xml:space="preserve">当前核验说明</w:t>
        </w:r>
      </w:hyperlink>
      <w:r>
        <w:t xml:space="preserve">阅读以下理由。Data ID 用于标识本版本中的条目。每项的数量是报告的序列量，所列字节数则是下载文件大小。工作簿的“Reasons”表提供简要说明，“Details”表保留完整的数据量依据、处理说明和观察范围。</w:t>
      </w:r>
    </w:p>
    <w:p>
      <w:pPr>
        <w:pStyle w:val="Heading2"/>
      </w:pPr>
      <w:r>
        <w:t xml:space="preserve">数据 1：人类全基因组 — MGI G400</w:t>
      </w:r>
    </w:p>
    <w:p>
      <w:pPr>
        <w:pStyle w:val="Normal"/>
      </w:pPr>
      <w:r>
        <w:t xml:space="preserve">这组人类全基因组数据展示了常见的 MGI 短读段测序。抽查读段中出现了多种质量字符。与 Data 2、Data 3 一起，它能让压缩程序在同一类人类基因组任务中面对不同的质量字符分布。</w:t>
      </w:r>
    </w:p>
    <w:p>
      <w:pPr>
        <w:pStyle w:val="Normal"/>
      </w:pPr>
      <w:r>
        <w:t xml:space="preserve">序列量：122,627,292,300 个碱基。下载文件合计 73,841,588,662 字节（十进制 73.842 GB），共 2 个文件。</w:t>
      </w:r>
    </w:p>
    <w:p>
      <w:pPr>
        <w:pStyle w:val="Normal"/>
      </w:pPr>
      <w:r>
        <w:t xml:space="preserve">数量依据：报告序列量为 1,226.3 亿个碱基，约相当于人类基因组 40× 测序量。</w:t>
      </w:r>
    </w:p>
    <w:p>
      <w:pPr>
        <w:pStyle w:val="Normal"/>
      </w:pPr>
      <w:r>
        <w:t xml:space="preserve">公开记录：</w:t>
      </w:r>
      <w:hyperlink r:id="rId42">
        <w:r>
          <w:rPr>
            <w:color w:val="0563C1"/>
            <w:u w:val="single"/>
          </w:rPr>
          <w:t xml:space="preserve">ERR17003126</w:t>
        </w:r>
      </w:hyperlink>
      <w:r>
        <w:t xml:space="preserve">。建议参考序列：fa 编号 1 / GCF_000001405.40。</w:t>
      </w:r>
    </w:p>
    <w:p>
      <w:pPr>
        <w:pStyle w:val="Heading2"/>
      </w:pPr>
      <w:r>
        <w:t xml:space="preserve">数据 2：人类全基因组 — MGI T7（质量字符集中）</w:t>
      </w:r>
    </w:p>
    <w:p>
      <w:pPr>
        <w:pStyle w:val="Normal"/>
      </w:pPr>
      <w:r>
        <w:t xml:space="preserve">这组人类全基因组数据与 Data 1 的质量字符分布不同。已保存的文件前缀中，最常见的质量字符分别占 R1 位置的 90.07% 和 R2 位置的 86.46%。这些结果只描述抽查到的读段，不能代表整个文件的分布，也不是压缩结果。</w:t>
      </w:r>
    </w:p>
    <w:p>
      <w:pPr>
        <w:pStyle w:val="Normal"/>
      </w:pPr>
      <w:r>
        <w:t xml:space="preserve">序列量：131,251,843,800 个碱基。下载文件合计 66,737,537,425 字节（十进制 66.738 GB），共 2 个文件。</w:t>
      </w:r>
    </w:p>
    <w:p>
      <w:pPr>
        <w:pStyle w:val="Normal"/>
      </w:pPr>
      <w:r>
        <w:t xml:space="preserve">数量依据：报告序列量为 1,312.5 亿个碱基，约相当于人类基因组 42× 测序量，处于常见全基因组测序规划范围内。</w:t>
      </w:r>
    </w:p>
    <w:p>
      <w:pPr>
        <w:pStyle w:val="Normal"/>
      </w:pPr>
      <w:r>
        <w:t xml:space="preserve">公开记录：</w:t>
      </w:r>
      <w:hyperlink r:id="rId43">
        <w:r>
          <w:rPr>
            <w:color w:val="0563C1"/>
            <w:u w:val="single"/>
          </w:rPr>
          <w:t xml:space="preserve">ERR16794642</w:t>
        </w:r>
      </w:hyperlink>
      <w:r>
        <w:t xml:space="preserve">。建议参考序列：fa 编号 1 / GCF_000001405.40。</w:t>
      </w:r>
    </w:p>
    <w:p>
      <w:pPr>
        <w:pStyle w:val="Heading2"/>
      </w:pPr>
      <w:r>
        <w:t xml:space="preserve">数据 3：人类全基因组 — MGI T7（四种质量字符）</w:t>
      </w:r>
    </w:p>
    <w:p>
      <w:pPr>
        <w:pStyle w:val="Normal"/>
      </w:pPr>
      <w:r>
        <w:t xml:space="preserve">这组人类基因组数据的质量行只见四种字符，为 Data 1、Data 2 中较丰富的字符范围增加了另一种情况。数据来自 RPE1 倍性基准研究，因此这里不把它当作普通二倍体患者样本。观察到四种字符并不能说明这些质量值是如何产生的。</w:t>
      </w:r>
    </w:p>
    <w:p>
      <w:pPr>
        <w:pStyle w:val="Normal"/>
      </w:pPr>
      <w:r>
        <w:t xml:space="preserve">序列量：127,540,227,000 个碱基。下载文件合计 48,041,300,140 字节（十进制 48.041 GB），共 2 个文件。</w:t>
      </w:r>
    </w:p>
    <w:p>
      <w:pPr>
        <w:pStyle w:val="Normal"/>
      </w:pPr>
      <w:r>
        <w:t xml:space="preserve">数量依据：报告序列量为 1,275.4 亿个碱基，落在该研究 8次有正产出的测序RUN的范围内（共 9 条记录，其中 1 条总量为零）。</w:t>
      </w:r>
    </w:p>
    <w:p>
      <w:pPr>
        <w:pStyle w:val="Normal"/>
      </w:pPr>
      <w:r>
        <w:t xml:space="preserve">公开记录：</w:t>
      </w:r>
      <w:hyperlink r:id="rId44">
        <w:r>
          <w:rPr>
            <w:color w:val="0563C1"/>
            <w:u w:val="single"/>
          </w:rPr>
          <w:t xml:space="preserve">SRR33329596</w:t>
        </w:r>
      </w:hyperlink>
      <w:r>
        <w:t xml:space="preserve">。建议参考序列：fa 编号 1 / GCF_000001405.40。</w:t>
      </w:r>
    </w:p>
    <w:p>
      <w:pPr>
        <w:pStyle w:val="Heading2"/>
      </w:pPr>
      <w:r>
        <w:t xml:space="preserve">数据 4：人类全基因组 — NovaSeq X Plus</w:t>
      </w:r>
    </w:p>
    <w:p>
      <w:pPr>
        <w:pStyle w:val="Normal"/>
      </w:pPr>
      <w:r>
        <w:t xml:space="preserve">这组数据代表常见的 Illumina 全基因组测序。输入是档案中完整的一次测序RUN或泳道输出；实际使用者也可以把它作为独立于同一样本其他测序RUN的文件接收和保存。其序列量接近来源研究的中间水平。</w:t>
      </w:r>
    </w:p>
    <w:p>
      <w:pPr>
        <w:pStyle w:val="Normal"/>
      </w:pPr>
      <w:r>
        <w:t xml:space="preserve">序列量：39,313,093,714 个碱基。下载文件合计 15,853,763,048 字节（十进制 15.854 GB），共 2 个文件。</w:t>
      </w:r>
    </w:p>
    <w:p>
      <w:pPr>
        <w:pStyle w:val="Normal"/>
      </w:pPr>
      <w:r>
        <w:t xml:space="preserve">数量依据：该数据报告 393.1 亿个碱基；来源研究中 24次可比测序RUN的中位数为 354.8 亿个碱基，且这一数量处于 NovaSeq X 档案中正产出次测序RUN的中间一半范围内。</w:t>
      </w:r>
    </w:p>
    <w:p>
      <w:pPr>
        <w:pStyle w:val="Normal"/>
      </w:pPr>
      <w:r>
        <w:t xml:space="preserve">公开记录：</w:t>
      </w:r>
      <w:hyperlink r:id="rId45">
        <w:r>
          <w:rPr>
            <w:color w:val="0563C1"/>
            <w:u w:val="single"/>
          </w:rPr>
          <w:t xml:space="preserve">ERR15383198</w:t>
        </w:r>
      </w:hyperlink>
      <w:r>
        <w:t xml:space="preserve">。建议参考序列：fa 编号 1 / GCF_000001405.40。</w:t>
      </w:r>
    </w:p>
    <w:p>
      <w:pPr>
        <w:pStyle w:val="Heading2"/>
      </w:pPr>
      <w:r>
        <w:t xml:space="preserve">数据 5：人类超长纳米孔读段</w:t>
      </w:r>
    </w:p>
    <w:p>
      <w:pPr>
        <w:pStyle w:val="Normal"/>
      </w:pPr>
      <w:r>
        <w:t xml:space="preserve">这组数据在常规纳米孔和 PacBio 一致性读段之外，补充了人类超长基因组读段。来源研究明确采用了超长读段测序。这里使用完整测序RUN，呈现真实的数据类型，而不是从文件中挑出特别长的读段另行拼成输入。</w:t>
      </w:r>
    </w:p>
    <w:p>
      <w:pPr>
        <w:pStyle w:val="Normal"/>
      </w:pPr>
      <w:r>
        <w:t xml:space="preserve">序列量：49,183,304,334 个碱基。下载文件合计 40,884,662,813 字节（十进制 40.885 GB），共 1 个文件。</w:t>
      </w:r>
    </w:p>
    <w:p>
      <w:pPr>
        <w:pStyle w:val="Normal"/>
      </w:pPr>
      <w:r>
        <w:t xml:space="preserve">数量依据：该数据报告 491.8 亿个碱基；来源研究中 74次有正产出的测序RUN的中位数为 516.5 亿个碱基（共 79 条记录，其中 5 条总量为零）。</w:t>
      </w:r>
    </w:p>
    <w:p>
      <w:pPr>
        <w:pStyle w:val="Normal"/>
      </w:pPr>
      <w:r>
        <w:t xml:space="preserve">公开记录：</w:t>
      </w:r>
      <w:hyperlink r:id="rId46">
        <w:r>
          <w:rPr>
            <w:color w:val="0563C1"/>
            <w:u w:val="single"/>
          </w:rPr>
          <w:t xml:space="preserve">ERR12954382</w:t>
        </w:r>
      </w:hyperlink>
      <w:r>
        <w:t xml:space="preserve">。建议参考序列：fa 编号 1 / GCF_000001405.40。</w:t>
      </w:r>
    </w:p>
    <w:p>
      <w:pPr>
        <w:pStyle w:val="Heading2"/>
      </w:pPr>
      <w:r>
        <w:t xml:space="preserve">数据 6：人类纳米孔读段 — 一个 ONT 测序流动槽</w:t>
      </w:r>
    </w:p>
    <w:p>
      <w:pPr>
        <w:pStyle w:val="Normal"/>
      </w:pPr>
      <w:r>
        <w:t xml:space="preserve">这份有明确名称的 ONT 测序流动槽输出，代表当前 R10.4.1/Dorado 人类基因组测序。来源文件是完整 BAM。之后将按固定导出规则生成用于基准测试的 FASTQ；目前尚未执行该导出，因此确切读段数和碱基总量仍未知。</w:t>
      </w:r>
    </w:p>
    <w:p>
      <w:pPr>
        <w:pStyle w:val="Normal"/>
      </w:pPr>
      <w:r>
        <w:t xml:space="preserve">序列量：入选源文件的准确序列产量尚未确定。下载文件合计 171,763,325,052 字节（十进制 171.763 GB），共 1 个文件。</w:t>
      </w:r>
    </w:p>
    <w:p>
      <w:pPr>
        <w:pStyle w:val="Normal"/>
      </w:pPr>
      <w:r>
        <w:t xml:space="preserve">数量依据：发布说明称每个测序流动槽约产生 140 Gb。</w:t>
      </w:r>
    </w:p>
    <w:p>
      <w:pPr>
        <w:pStyle w:val="Normal"/>
      </w:pPr>
      <w:r>
        <w:t xml:space="preserve">公开记录：</w:t>
      </w:r>
      <w:hyperlink r:id="rId47">
        <w:r>
          <w:rPr>
            <w:color w:val="0563C1"/>
            <w:u w:val="single"/>
          </w:rPr>
          <w:t xml:space="preserve">PAW70337 SUP 测序流动槽源文件</w:t>
        </w:r>
      </w:hyperlink>
      <w:r>
        <w:t xml:space="preserve">。建议参考序列：fa 编号 1 / GCF_000001405.40。</w:t>
      </w:r>
    </w:p>
    <w:p>
      <w:pPr>
        <w:pStyle w:val="Normal"/>
      </w:pPr>
      <w:r>
        <w:t xml:space="preserve">使用前请注意：另行报告的比对分析总量尚未证实等于该 BAM/导出 FASTQ 的准确产量。规定的 FASTQ 导出尚未执行。</w:t>
      </w:r>
    </w:p>
    <w:p>
      <w:pPr>
        <w:pStyle w:val="Heading2"/>
      </w:pPr>
      <w:r>
        <w:t xml:space="preserve">数据 7：人类 PacBio HiFi 读段</w:t>
      </w:r>
    </w:p>
    <w:p>
      <w:pPr>
        <w:pStyle w:val="Normal"/>
      </w:pPr>
      <w:r>
        <w:t xml:space="preserve">这组按条码区分的 PacBio 输出，在原始 PacBio CLR 和纳米孔读段之外，补充了 HiFi 一致性读段。它是有记录的一次测序细胞输出，并非任意截取的数据。同一样本的其他输出属于不同选择，不是这份输入中未列出的部分。</w:t>
      </w:r>
    </w:p>
    <w:p>
      <w:pPr>
        <w:pStyle w:val="Normal"/>
      </w:pPr>
      <w:r>
        <w:t xml:space="preserve">序列量：48,501,907,479 个碱基。下载文件合计 23,718,059,148 字节（十进制 23.718 GB），共 1 个文件。</w:t>
      </w:r>
    </w:p>
    <w:p>
      <w:pPr>
        <w:pStyle w:val="Normal"/>
      </w:pPr>
      <w:r>
        <w:t xml:space="preserve">数量依据：提交来源将其标记为按条码区分的 HiFi 细胞输出，报告了 48,501,907,479 个碱基。</w:t>
      </w:r>
    </w:p>
    <w:p>
      <w:pPr>
        <w:pStyle w:val="Normal"/>
      </w:pPr>
      <w:r>
        <w:t xml:space="preserve">公开记录：</w:t>
      </w:r>
      <w:hyperlink r:id="rId48">
        <w:r>
          <w:rPr>
            <w:color w:val="0563C1"/>
            <w:u w:val="single"/>
          </w:rPr>
          <w:t xml:space="preserve">ERR14732808</w:t>
        </w:r>
      </w:hyperlink>
      <w:r>
        <w:t xml:space="preserve">。建议参考序列：fa 编号 1 / GCF_000001405.40。</w:t>
      </w:r>
    </w:p>
    <w:p>
      <w:pPr>
        <w:pStyle w:val="Normal"/>
      </w:pPr>
      <w:r>
        <w:t xml:space="preserve">使用前请注意：所选数据量对应一个按条码区分的细胞输出，并非整个 Revio 测序细胞的产出，也不是该个体的全部文库。</w:t>
      </w:r>
    </w:p>
    <w:p>
      <w:pPr>
        <w:pStyle w:val="Heading2"/>
      </w:pPr>
      <w:r>
        <w:t xml:space="preserve">数据 8：人类 CycloneSEQ 纳米孔读段</w:t>
      </w:r>
    </w:p>
    <w:p>
      <w:pPr>
        <w:pStyle w:val="Normal"/>
      </w:pPr>
      <w:r>
        <w:t xml:space="preserve">这份文件让集合可以将另一种纳米孔技术与 Oxford Nanopore 一并测试。它包含 CycloneSEQ G400-ER 产生的人类 HG002 全基因组读段。所选 CNGB 下载内容是一个单端 FASTQ 文件，不是配对文件。调查中有公开研究和具名设备部署记录，支持将该技术纳入。</w:t>
      </w:r>
    </w:p>
    <w:p>
      <w:pPr>
        <w:pStyle w:val="Normal"/>
      </w:pPr>
      <w:r>
        <w:t xml:space="preserve">序列量：入选源文件的准确序列产量尚未确定。下载文件合计 130,270,589,600 字节（十进制 130.271 GB），共 1 个文件。</w:t>
      </w:r>
    </w:p>
    <w:p>
      <w:pPr>
        <w:pStyle w:val="Normal"/>
      </w:pPr>
      <w:r>
        <w:t xml:space="preserve">数量依据：清单中只有一个 CNGB FASTQ 文件 </w:t>
      </w:r>
      <w:r>
        <w:rPr>
          <w:rFonts w:ascii="Courier New" w:hAnsi="Courier New"/>
        </w:rPr>
        <w:t xml:space="preserve">WY_reads.fq.gz</w:t>
      </w:r>
      <w:r>
        <w:t xml:space="preserve">，压缩后为 130,270,589,600 字节。确切读段数和碱基总量未知。</w:t>
      </w:r>
    </w:p>
    <w:p>
      <w:pPr>
        <w:pStyle w:val="Normal"/>
      </w:pPr>
      <w:r>
        <w:t xml:space="preserve">公开记录：</w:t>
      </w:r>
      <w:hyperlink r:id="rId49">
        <w:r>
          <w:rPr>
            <w:color w:val="0563C1"/>
            <w:u w:val="single"/>
          </w:rPr>
          <w:t xml:space="preserve">CNR1409093 / CNX1236558</w:t>
        </w:r>
      </w:hyperlink>
      <w:r>
        <w:t xml:space="preserve">。建议参考序列：fa 编号 1 / GCF_000001405.40。</w:t>
      </w:r>
    </w:p>
    <w:p>
      <w:pPr>
        <w:pStyle w:val="Normal"/>
      </w:pPr>
      <w:r>
        <w:t xml:space="preserve">使用前请注意：没有发布者提供的 MD5 值。文件大小与清单一致，并不能证明文件完整。确切读段数和碱基总量，以及它与 SRA 文件是否逐字节相同，均未知。</w:t>
      </w:r>
    </w:p>
    <w:p>
      <w:pPr>
        <w:pStyle w:val="Normal"/>
      </w:pPr>
      <w:r>
        <w:t xml:space="preserve">方法和数量依据：</w:t>
      </w:r>
      <w:hyperlink r:id="rId50">
        <w:r>
          <w:rPr>
            <w:color w:val="0563C1"/>
            <w:u w:val="single"/>
          </w:rPr>
          <w:t xml:space="preserve">CNGB测序RUN与实验的精确元数据</w:t>
        </w:r>
      </w:hyperlink>
      <w:r>
        <w:t xml:space="preserve"> </w:t>
      </w:r>
      <w:hyperlink r:id="rId51">
        <w:r>
          <w:rPr>
            <w:color w:val="0563C1"/>
            <w:u w:val="single"/>
          </w:rPr>
          <w:t xml:space="preserve">所选 CNGB 文件的有限前缀抽查</w:t>
        </w:r>
      </w:hyperlink>
    </w:p>
    <w:p>
      <w:pPr>
        <w:pStyle w:val="Heading2"/>
      </w:pPr>
      <w:r>
        <w:t xml:space="preserve">数据 9：人类外显子组测序</w:t>
      </w:r>
    </w:p>
    <w:p>
      <w:pPr>
        <w:pStyle w:val="Normal"/>
      </w:pPr>
      <w:r>
        <w:t xml:space="preserve">这组数据来自人类 FFPE 肿瘤研究，代表针对选定编码区进行测序的外显子组工作，而非全基因组测序。明确保留肿瘤样本这一背景，避免把其序列量和制备方式误当作普通生殖系样本。</w:t>
      </w:r>
    </w:p>
    <w:p>
      <w:pPr>
        <w:pStyle w:val="Normal"/>
      </w:pPr>
      <w:r>
        <w:t xml:space="preserve">序列量：5,446,687,469 个碱基。下载文件合计 2,415,095,443 字节（十进制 2.415 GB），共 2 个文件。</w:t>
      </w:r>
    </w:p>
    <w:p>
      <w:pPr>
        <w:pStyle w:val="Normal"/>
      </w:pPr>
      <w:r>
        <w:t xml:space="preserve">数量依据：来源研究中有 38次 FFPE 外显子组测序RUN，碱基数中位数为 56.5 亿。</w:t>
      </w:r>
    </w:p>
    <w:p>
      <w:pPr>
        <w:pStyle w:val="Normal"/>
      </w:pPr>
      <w:r>
        <w:t xml:space="preserve">公开记录：</w:t>
      </w:r>
      <w:hyperlink r:id="rId52">
        <w:r>
          <w:rPr>
            <w:color w:val="0563C1"/>
            <w:u w:val="single"/>
          </w:rPr>
          <w:t xml:space="preserve">ERR12411150</w:t>
        </w:r>
      </w:hyperlink>
      <w:r>
        <w:t xml:space="preserve">。建议参考序列：fa 编号 1 / GCF_000001405.40。</w:t>
      </w:r>
    </w:p>
    <w:p>
      <w:pPr>
        <w:pStyle w:val="Heading2"/>
      </w:pPr>
      <w:r>
        <w:t xml:space="preserve">数据 10：玉米重测序</w:t>
      </w:r>
    </w:p>
    <w:p>
      <w:pPr>
        <w:pStyle w:val="Normal"/>
      </w:pPr>
      <w:r>
        <w:t xml:space="preserve">这组无 PCR 玉米文库代表常规作物重测序。其序列量接近该研究 513 个有产量记录文库的中间水平。SW1611测序RUN的两个 FASTQ 端均已列入。建议的 B73 参考序列属于同一物种，但来自不同自交系。</w:t>
      </w:r>
    </w:p>
    <w:p>
      <w:pPr>
        <w:pStyle w:val="Normal"/>
      </w:pPr>
      <w:r>
        <w:t xml:space="preserve">序列量：47,789,487,240 个碱基。下载文件合计 24,082,143,756 字节（十进制 24.082 GB），共 2 个文件。</w:t>
      </w:r>
    </w:p>
    <w:p>
      <w:pPr>
        <w:pStyle w:val="Normal"/>
      </w:pPr>
      <w:r>
        <w:t xml:space="preserve">数量依据：主要面板研究将该工作描述为约 20× DNA 重测序。</w:t>
      </w:r>
    </w:p>
    <w:p>
      <w:pPr>
        <w:pStyle w:val="Normal"/>
      </w:pPr>
      <w:r>
        <w:t xml:space="preserve">公开记录：</w:t>
      </w:r>
      <w:hyperlink r:id="rId53">
        <w:r>
          <w:rPr>
            <w:color w:val="0563C1"/>
            <w:u w:val="single"/>
          </w:rPr>
          <w:t xml:space="preserve">SRR8906645</w:t>
        </w:r>
      </w:hyperlink>
      <w:r>
        <w:t xml:space="preserve">。建议参考序列：fa 编号 10 / GCF_902167145.1。</w:t>
      </w:r>
    </w:p>
    <w:p>
      <w:pPr>
        <w:pStyle w:val="Normal"/>
      </w:pPr>
      <w:r>
        <w:t xml:space="preserve">使用前请注意：提交文件名显示数据经过修剪，但具体步骤未知。尚未检查实际 FASTQ 的读长和质量值。</w:t>
      </w:r>
    </w:p>
    <w:p>
      <w:pPr>
        <w:pStyle w:val="Normal"/>
      </w:pPr>
      <w:r>
        <w:t xml:space="preserve">方法和数量依据：</w:t>
      </w:r>
      <w:hyperlink r:id="rId54">
        <w:r>
          <w:rPr>
            <w:color w:val="0563C1"/>
            <w:u w:val="single"/>
          </w:rPr>
          <w:t xml:space="preserve">玉米关联分析面板的主要研究</w:t>
        </w:r>
      </w:hyperlink>
      <w:r>
        <w:t xml:space="preserve"> </w:t>
      </w:r>
      <w:hyperlink r:id="rId55">
        <w:r>
          <w:rPr>
            <w:color w:val="0563C1"/>
            <w:u w:val="single"/>
          </w:rPr>
          <w:t xml:space="preserve">无 PCR 玉米实验记录</w:t>
        </w:r>
      </w:hyperlink>
      <w:r>
        <w:t xml:space="preserve"> </w:t>
      </w:r>
      <w:hyperlink r:id="rId56">
        <w:r>
          <w:rPr>
            <w:color w:val="0563C1"/>
            <w:u w:val="single"/>
          </w:rPr>
          <w:t xml:space="preserve">SW1611 玉米样本记录</w:t>
        </w:r>
      </w:hyperlink>
      <w:r>
        <w:t xml:space="preserve"> </w:t>
      </w:r>
      <w:hyperlink r:id="rId57">
        <w:r>
          <w:rPr>
            <w:color w:val="0563C1"/>
            <w:u w:val="single"/>
          </w:rPr>
          <w:t xml:space="preserve">玉米测序RUN数量及档案表示记录</w:t>
        </w:r>
      </w:hyperlink>
    </w:p>
    <w:p>
      <w:pPr>
        <w:pStyle w:val="Heading2"/>
      </w:pPr>
      <w:r>
        <w:t xml:space="preserve">数据 11：人类靶向测序 — Ion Torrent</w:t>
      </w:r>
    </w:p>
    <w:p>
      <w:pPr>
        <w:pStyle w:val="Normal"/>
      </w:pPr>
      <w:r>
        <w:t xml:space="preserve">这组人类扩增子测序RUN展示了半导体仪器上的靶向测序。它与全基因组测序的取样范围不同，也与 Illumina/MGI 输入使用不同技术。其序列量接近同一研究中 133次可比测序RUN的中间水平。</w:t>
      </w:r>
    </w:p>
    <w:p>
      <w:pPr>
        <w:pStyle w:val="Normal"/>
      </w:pPr>
      <w:r>
        <w:t xml:space="preserve">序列量：1,497,990,828 个碱基。下载文件合计 1,154,396,293 字节（十进制 1.154 GB），共 1 个文件。</w:t>
      </w:r>
    </w:p>
    <w:p>
      <w:pPr>
        <w:pStyle w:val="Normal"/>
      </w:pPr>
      <w:r>
        <w:t xml:space="preserve">数量依据：所选具名扩增子次测序RUN报告了 1,497,990,828 个碱基。</w:t>
      </w:r>
    </w:p>
    <w:p>
      <w:pPr>
        <w:pStyle w:val="Normal"/>
      </w:pPr>
      <w:r>
        <w:t xml:space="preserve">公开记录：</w:t>
      </w:r>
      <w:hyperlink r:id="rId58">
        <w:r>
          <w:rPr>
            <w:color w:val="0563C1"/>
            <w:u w:val="single"/>
          </w:rPr>
          <w:t xml:space="preserve">DRR341924</w:t>
        </w:r>
      </w:hyperlink>
      <w:r>
        <w:t xml:space="preserve">。建议参考序列：fa 编号 1 / GCF_000001405.40。</w:t>
      </w:r>
    </w:p>
    <w:p>
      <w:pPr>
        <w:pStyle w:val="Heading2"/>
      </w:pPr>
      <w:r>
        <w:t xml:space="preserve">数据 12：云杉靶向捕获测序</w:t>
      </w:r>
    </w:p>
    <w:p>
      <w:pPr>
        <w:pStyle w:val="Normal"/>
      </w:pPr>
      <w:r>
        <w:t xml:space="preserve">这组云杉文库代表通过靶向捕获进行群体基因分型。其报告序列量约为 3.35 亿个碱基，远少于建议的 119.6 亿个碱基云杉参考序列。两者的差异值得用于考察参考序列压缩，但目前没有测量任何压缩效果。档案元数据将提交的三组泳道双端文件归为清单中的两个 FASTQ 读段端。</w:t>
      </w:r>
    </w:p>
    <w:p>
      <w:pPr>
        <w:pStyle w:val="Normal"/>
      </w:pPr>
      <w:r>
        <w:t xml:space="preserve">序列量：335,384,842 个碱基。下载文件合计 177,775,032 字节（十进制 177.775 MB），共 2 个文件。</w:t>
      </w:r>
    </w:p>
    <w:p>
      <w:pPr>
        <w:pStyle w:val="Normal"/>
      </w:pPr>
      <w:r>
        <w:t xml:space="preserve">数量依据：该档案次测序RUN报告 335,384,842 个碱基，处于项目 7,729次测序RUN的较低范围；这些次测序RUN的中位数为 58,400 万个碱基。</w:t>
      </w:r>
    </w:p>
    <w:p>
      <w:pPr>
        <w:pStyle w:val="Normal"/>
      </w:pPr>
      <w:r>
        <w:t xml:space="preserve">公开记录：</w:t>
      </w:r>
      <w:hyperlink r:id="rId59">
        <w:r>
          <w:rPr>
            <w:color w:val="0563C1"/>
            <w:u w:val="single"/>
          </w:rPr>
          <w:t xml:space="preserve">SRR19440963</w:t>
        </w:r>
      </w:hyperlink>
      <w:r>
        <w:t xml:space="preserve">。建议参考序列：fa 编号 15 / GCA_900067695.1。</w:t>
      </w:r>
    </w:p>
    <w:p>
      <w:pPr>
        <w:pStyle w:val="Normal"/>
      </w:pPr>
      <w:r>
        <w:t xml:space="preserve">使用前请注意：来源中的分组信息是元数据记录，并未核验文件内容是否合并或读段顺序。</w:t>
      </w:r>
    </w:p>
    <w:p>
      <w:pPr>
        <w:pStyle w:val="Normal"/>
      </w:pPr>
      <w:r>
        <w:t xml:space="preserve">方法和数量依据：</w:t>
      </w:r>
      <w:hyperlink r:id="rId60">
        <w:r>
          <w:rPr>
            <w:color w:val="0563C1"/>
            <w:u w:val="single"/>
          </w:rPr>
          <w:t xml:space="preserve">云杉捕获实验与提交文件记录</w:t>
        </w:r>
      </w:hyperlink>
      <w:r>
        <w:t xml:space="preserve"> </w:t>
      </w:r>
      <w:hyperlink r:id="rId61">
        <w:r>
          <w:rPr>
            <w:color w:val="0563C1"/>
            <w:u w:val="single"/>
          </w:rPr>
          <w:t xml:space="preserve">带版本号的云杉组装元数据</w:t>
        </w:r>
      </w:hyperlink>
    </w:p>
    <w:p>
      <w:pPr>
        <w:pStyle w:val="Heading2"/>
      </w:pPr>
      <w:r>
        <w:t xml:space="preserve">数据 13：藜麦简化基因组基因分型</w:t>
      </w:r>
    </w:p>
    <w:p>
      <w:pPr>
        <w:pStyle w:val="Normal"/>
      </w:pPr>
      <w:r>
        <w:t xml:space="preserve">这组 RAD 文库代表从基因组的特定区域进行作物基因分型。其序列量接近研究中 136次可比测序RUN的中间水平。若换成全基因组大小的文件，测试的将是另一种任务；因此，这个完整双端测序RUN是合适的小型输入。</w:t>
      </w:r>
    </w:p>
    <w:p>
      <w:pPr>
        <w:pStyle w:val="Normal"/>
      </w:pPr>
      <w:r>
        <w:t xml:space="preserve">序列量：894,720,418 个碱基。下载文件合计 571,962,433 字节（十进制 571.962 MB），共 2 个文件。</w:t>
      </w:r>
    </w:p>
    <w:p>
      <w:pPr>
        <w:pStyle w:val="Normal"/>
      </w:pPr>
      <w:r>
        <w:t xml:space="preserve">数量依据：89,500 万个碱基 接近同类群体研究 136次测序RUN的中位数 87,200 万个碱基。</w:t>
      </w:r>
    </w:p>
    <w:p>
      <w:pPr>
        <w:pStyle w:val="Normal"/>
      </w:pPr>
      <w:r>
        <w:t xml:space="preserve">公开记录：</w:t>
      </w:r>
      <w:hyperlink r:id="rId62">
        <w:r>
          <w:rPr>
            <w:color w:val="0563C1"/>
            <w:u w:val="single"/>
          </w:rPr>
          <w:t xml:space="preserve">DRR095727</w:t>
        </w:r>
      </w:hyperlink>
      <w:r>
        <w:t xml:space="preserve">。建议参考序列：fa 编号 16 / GCF_001683475.1。</w:t>
      </w:r>
    </w:p>
    <w:p>
      <w:pPr>
        <w:pStyle w:val="Heading2"/>
      </w:pPr>
      <w:r>
        <w:t xml:space="preserve">数据 14：猪基因组测序（提供的质量值为常数）</w:t>
      </w:r>
    </w:p>
    <w:p>
      <w:pPr>
        <w:pStyle w:val="Normal"/>
      </w:pPr>
      <w:r>
        <w:t xml:space="preserve">这组猪基因组测序RUN补充了家畜测序，也提供了一份抽查质量值为常数的文件。质量值属于必须保留的输入字节；其来源未知，因此不能称为 MGI 原生质量输出的典型表现。</w:t>
      </w:r>
    </w:p>
    <w:p>
      <w:pPr>
        <w:pStyle w:val="Normal"/>
      </w:pPr>
      <w:r>
        <w:t xml:space="preserve">序列量：26,338,729,500 个碱基。下载文件合计 10,018,740,265 字节（十进制 10.019 GB），共 2 个文件。</w:t>
      </w:r>
    </w:p>
    <w:p>
      <w:pPr>
        <w:pStyle w:val="Normal"/>
      </w:pPr>
      <w:r>
        <w:t xml:space="preserve">数量依据：该数据报告 263.4 亿个碱基，接近来源研究 147次测序RUN的中位数（约 261.9 亿），该研究的次测序RUN产量分布很集中。</w:t>
      </w:r>
    </w:p>
    <w:p>
      <w:pPr>
        <w:pStyle w:val="Normal"/>
      </w:pPr>
      <w:r>
        <w:t xml:space="preserve">公开记录：</w:t>
      </w:r>
      <w:hyperlink r:id="rId63">
        <w:r>
          <w:rPr>
            <w:color w:val="0563C1"/>
            <w:u w:val="single"/>
          </w:rPr>
          <w:t xml:space="preserve">SRR24804436</w:t>
        </w:r>
      </w:hyperlink>
      <w:r>
        <w:t xml:space="preserve">。建议参考序列：fa 编号 2 / GCF_054392235.1。</w:t>
      </w:r>
    </w:p>
    <w:p>
      <w:pPr>
        <w:pStyle w:val="Normal"/>
      </w:pPr>
      <w:r>
        <w:t xml:space="preserve">使用前请注意：该数据在原研究中用于组装/重测序研究的一项组成部分。</w:t>
      </w:r>
    </w:p>
    <w:p>
      <w:pPr>
        <w:pStyle w:val="Heading2"/>
      </w:pPr>
      <w:r>
        <w:t xml:space="preserve">数据 15：小鼠基因组测序</w:t>
      </w:r>
    </w:p>
    <w:p>
      <w:pPr>
        <w:pStyle w:val="Normal"/>
      </w:pPr>
      <w:r>
        <w:t xml:space="preserve">这组小鼠尾部 DNA测序RUN将常用研究动物及其基因组参考序列纳入集合。它是一份完整的生殖系文库；在五份以类似方式制备的尾部文库中，其序列量最低，并非为本基准测试另行截取的子集。样本是否确实匹配建议的品系参考序列，仍待核实。</w:t>
      </w:r>
    </w:p>
    <w:p>
      <w:pPr>
        <w:pStyle w:val="Normal"/>
      </w:pPr>
      <w:r>
        <w:t xml:space="preserve">序列量：100,892,053,998 个碱基。下载文件合计 48,335,307,261 字节（十进制 48.335 GB），共 2 个文件。</w:t>
      </w:r>
    </w:p>
    <w:p>
      <w:pPr>
        <w:pStyle w:val="Normal"/>
      </w:pPr>
      <w:r>
        <w:t xml:space="preserve">数量依据：五份制备方式相近的生殖系尾部样本报告 1,008.92–1,392.81 亿个碱基，中位数为 1,181.31 亿个碱基。</w:t>
      </w:r>
    </w:p>
    <w:p>
      <w:pPr>
        <w:pStyle w:val="Normal"/>
      </w:pPr>
      <w:r>
        <w:t xml:space="preserve">公开记录：</w:t>
      </w:r>
      <w:hyperlink r:id="rId64">
        <w:r>
          <w:rPr>
            <w:color w:val="0563C1"/>
            <w:u w:val="single"/>
          </w:rPr>
          <w:t xml:space="preserve">ERR14032264</w:t>
        </w:r>
      </w:hyperlink>
      <w:r>
        <w:t xml:space="preserve">。建议参考序列：fa 编号 3 / GCF_000001635.27。</w:t>
      </w:r>
    </w:p>
    <w:p>
      <w:pPr>
        <w:pStyle w:val="Heading2"/>
      </w:pPr>
      <w:r>
        <w:t xml:space="preserve">数据 16：小麦全基因组重测序 — Thatcher</w:t>
      </w:r>
    </w:p>
    <w:p>
      <w:pPr>
        <w:pStyle w:val="Normal"/>
      </w:pPr>
      <w:r>
        <w:t xml:space="preserve">这次常规小麦重测序RUN补充了大型多倍体作物基因组。纳入一个 Thatcher 样本的两个 FASTQ 端。主要研究报告该样本约有 5,425 亿个碱基，覆盖深度为 35×；这是实际研究输入，并非为凑基准规模而截取的子集。建议使用的 中国春 组装来自同一物种的另一栽培品种。</w:t>
      </w:r>
    </w:p>
    <w:p>
      <w:pPr>
        <w:pStyle w:val="Normal"/>
      </w:pPr>
      <w:r>
        <w:t xml:space="preserve">序列量：542,472,250,800 个碱基（5,424.722508 亿）。下载：273,813,897,418 字节（273.814 十进制 GB），共 2 个文件。</w:t>
      </w:r>
    </w:p>
    <w:p>
      <w:pPr>
        <w:pStyle w:val="Normal"/>
      </w:pPr>
      <w:r>
        <w:t xml:space="preserve">数据量依据：一次 Thatcher 重测序RUN报告 542,472,250,800 个碱基；主要研究报告约 542.5 Gb 和 35×。</w:t>
      </w:r>
    </w:p>
    <w:p>
      <w:pPr>
        <w:pStyle w:val="Normal"/>
      </w:pPr>
      <w:r>
        <w:t xml:space="preserve">公开记录：</w:t>
      </w:r>
      <w:hyperlink r:id="rId65">
        <w:r>
          <w:rPr>
            <w:color w:val="0563C1"/>
            <w:u w:val="single"/>
          </w:rPr>
          <w:t xml:space="preserve">ERR9904291</w:t>
        </w:r>
      </w:hyperlink>
      <w:r>
        <w:t xml:space="preserve">。参考序列：fa 编号 18 / GCF_018294505.1。</w:t>
      </w:r>
    </w:p>
    <w:p>
      <w:pPr>
        <w:pStyle w:val="Normal"/>
      </w:pPr>
      <w:r>
        <w:t xml:space="preserve">方法与数据量来源：</w:t>
      </w:r>
      <w:hyperlink r:id="rId66">
        <w:r>
          <w:rPr>
            <w:color w:val="0563C1"/>
            <w:u w:val="single"/>
          </w:rPr>
          <w:t xml:space="preserve">Thatcher 测序RUN、实验和文件元数据</w:t>
        </w:r>
      </w:hyperlink>
      <w:r>
        <w:t xml:space="preserve"> </w:t>
      </w:r>
      <w:hyperlink r:id="rId67">
        <w:r>
          <w:rPr>
            <w:color w:val="0563C1"/>
            <w:u w:val="single"/>
          </w:rPr>
          <w:t xml:space="preserve">报告 Thatcher 重测序数据量的小麦研究</w:t>
        </w:r>
      </w:hyperlink>
      <w:r>
        <w:t xml:space="preserve"> </w:t>
      </w:r>
      <w:hyperlink r:id="rId68">
        <w:r>
          <w:rPr>
            <w:color w:val="0563C1"/>
            <w:u w:val="single"/>
          </w:rPr>
          <w:t xml:space="preserve">所选小麦、CITE 和 CHO 测序RUN的 ENA 计数、公开日期和文件校验和</w:t>
        </w:r>
      </w:hyperlink>
    </w:p>
    <w:p>
      <w:pPr>
        <w:pStyle w:val="Heading2"/>
      </w:pPr>
      <w:r>
        <w:t xml:space="preserve">数据 17：马铃薯基因组组装 — Altus 文库</w:t>
      </w:r>
    </w:p>
    <w:p>
      <w:pPr>
        <w:pStyle w:val="Normal"/>
      </w:pPr>
      <w:r>
        <w:t xml:space="preserve">这组无 PCR 的 Altus 文库为集合补充了四倍体作物组装案例。输入是一份完整文库，其插入片段长度记录为 470 个碱基。这里指从两端测序的完整 DNA 插入片段长度，并非任一读段的长度，也不是两端读段之间的空隙。其他插入片段长度和条形码关联读段制备属于不同文库。</w:t>
      </w:r>
    </w:p>
    <w:p>
      <w:pPr>
        <w:pStyle w:val="Normal"/>
      </w:pPr>
      <w:r>
        <w:t xml:space="preserve">序列量：70,556,516,868 个碱基。下载文件合计 52,291,517,076 字节（十进制 52.292 GB），共 2 个文件。</w:t>
      </w:r>
    </w:p>
    <w:p>
      <w:pPr>
        <w:pStyle w:val="Normal"/>
      </w:pPr>
      <w:r>
        <w:t xml:space="preserve">数量依据：同一样本的三份文库插入片段均为 470 bp，分别报告 680.17 亿、705.57 亿和 709.76 亿个碱基。</w:t>
      </w:r>
    </w:p>
    <w:p>
      <w:pPr>
        <w:pStyle w:val="Normal"/>
      </w:pPr>
      <w:r>
        <w:t xml:space="preserve">公开记录：</w:t>
      </w:r>
      <w:hyperlink r:id="rId69">
        <w:r>
          <w:rPr>
            <w:color w:val="0563C1"/>
            <w:u w:val="single"/>
          </w:rPr>
          <w:t xml:space="preserve">SRR14993639</w:t>
        </w:r>
      </w:hyperlink>
      <w:r>
        <w:t xml:space="preserve">。建议参考序列：fa 编号 6 / GCF_000226075.1。</w:t>
      </w:r>
    </w:p>
    <w:p>
      <w:pPr>
        <w:pStyle w:val="Normal"/>
      </w:pPr>
      <w:r>
        <w:t xml:space="preserve">使用前请注意：这里选取的是一份具名无 PCR 文库，不是该栽培品种组装项目的全部数据。</w:t>
      </w:r>
    </w:p>
    <w:p>
      <w:pPr>
        <w:pStyle w:val="Normal"/>
      </w:pPr>
      <w:r>
        <w:t xml:space="preserve">方法和数量依据：</w:t>
      </w:r>
      <w:hyperlink r:id="rId70">
        <w:r>
          <w:rPr>
            <w:color w:val="0563C1"/>
            <w:u w:val="single"/>
          </w:rPr>
          <w:t xml:space="preserve">Altus 马铃薯基因组组装项目</w:t>
        </w:r>
      </w:hyperlink>
    </w:p>
    <w:p>
      <w:pPr>
        <w:pStyle w:val="Heading2"/>
      </w:pPr>
      <w:r>
        <w:t xml:space="preserve">数据 18：对虾基因组测序</w:t>
      </w:r>
    </w:p>
    <w:p>
      <w:pPr>
        <w:pStyle w:val="Normal"/>
      </w:pPr>
      <w:r>
        <w:t xml:space="preserve">这组测序RUN将水产育种研究中的海洋无脊椎动物纳入集合，扩展了人类、小鼠和家畜之外的动物基因组及参考序列。其序列量接近来源研究中十个可比测序RUN的中间水平。</w:t>
      </w:r>
    </w:p>
    <w:p>
      <w:pPr>
        <w:pStyle w:val="Normal"/>
      </w:pPr>
      <w:r>
        <w:t xml:space="preserve">序列量：26,760,937,872 个碱基。下载文件合计 18,466,075,422 字节（十进制 18.466 GB），共 2 个文件。</w:t>
      </w:r>
    </w:p>
    <w:p>
      <w:pPr>
        <w:pStyle w:val="Normal"/>
      </w:pPr>
      <w:r>
        <w:t xml:space="preserve">数量依据：该数据报告 267.6 亿个碱基，接近十个相同近交研究次测序RUN的中位数 269.6 亿个碱基。</w:t>
      </w:r>
    </w:p>
    <w:p>
      <w:pPr>
        <w:pStyle w:val="Normal"/>
      </w:pPr>
      <w:r>
        <w:t xml:space="preserve">公开记录：</w:t>
      </w:r>
      <w:hyperlink r:id="rId71">
        <w:r>
          <w:rPr>
            <w:color w:val="0563C1"/>
            <w:u w:val="single"/>
          </w:rPr>
          <w:t xml:space="preserve">DRR1000971</w:t>
        </w:r>
      </w:hyperlink>
      <w:r>
        <w:t xml:space="preserve">。建议参考序列：fa 编号 11 / GCF_042767895.1。</w:t>
      </w:r>
    </w:p>
    <w:p>
      <w:pPr>
        <w:pStyle w:val="Heading2"/>
      </w:pPr>
      <w:r>
        <w:t xml:space="preserve">数据 19：鸡基因组测序</w:t>
      </w:r>
    </w:p>
    <w:p>
      <w:pPr>
        <w:pStyle w:val="Normal"/>
      </w:pPr>
      <w:r>
        <w:t xml:space="preserve">这组数据代表家禽基因组重测序，育种用途调查也支持将其纳入。来源是一项规模较大的蛋鸡研究，其序列量处于该研究测序RUN报告值的中间 80% 范围内。</w:t>
      </w:r>
    </w:p>
    <w:p>
      <w:pPr>
        <w:pStyle w:val="Normal"/>
      </w:pPr>
      <w:r>
        <w:t xml:space="preserve">序列量：19,596,096,600 个碱基。下载文件合计 14,336,554,441 字节（十进制 14.337 GB），共 2 个文件。</w:t>
      </w:r>
    </w:p>
    <w:p>
      <w:pPr>
        <w:pStyle w:val="Normal"/>
      </w:pPr>
      <w:r>
        <w:t xml:space="preserve">数量依据：该数据报告 196 亿个碱基，处于这项 1,004 层研究中间 80% 的 139–208 亿个碱基范围内。</w:t>
      </w:r>
    </w:p>
    <w:p>
      <w:pPr>
        <w:pStyle w:val="Normal"/>
      </w:pPr>
      <w:r>
        <w:t xml:space="preserve">公开记录：</w:t>
      </w:r>
      <w:hyperlink r:id="rId72">
        <w:r>
          <w:rPr>
            <w:color w:val="0563C1"/>
            <w:u w:val="single"/>
          </w:rPr>
          <w:t xml:space="preserve">ERR13943038</w:t>
        </w:r>
      </w:hyperlink>
      <w:r>
        <w:t xml:space="preserve">。建议参考序列：fa 编号 12 / GCF_016699485.2。</w:t>
      </w:r>
    </w:p>
    <w:p>
      <w:pPr>
        <w:pStyle w:val="Heading2"/>
      </w:pPr>
      <w:r>
        <w:t xml:space="preserve">数据 20：人类 PacBio 原始 CLR 读段</w:t>
      </w:r>
    </w:p>
    <w:p>
      <w:pPr>
        <w:pStyle w:val="Normal"/>
      </w:pPr>
      <w:r>
        <w:t xml:space="preserve">这组 HG002 文库在 HiFi 一致性读段之外，补充了原始 PacBio CLR 读段。该文库明确标记为 HG002-CLR。其质量值和档案格式均按提交状态保留，不将其视为原生质量值或所有 PacBio 原始文件的代表。</w:t>
      </w:r>
    </w:p>
    <w:p>
      <w:pPr>
        <w:pStyle w:val="Normal"/>
      </w:pPr>
      <w:r>
        <w:t xml:space="preserve">序列量：113,896,753,645 个碱基。下载文件合计 34,654,458,158 字节（十进制 34.654 GB），共 1 个文件。</w:t>
      </w:r>
    </w:p>
    <w:p>
      <w:pPr>
        <w:pStyle w:val="Normal"/>
      </w:pPr>
      <w:r>
        <w:t xml:space="preserve">数量依据：报告的原始序列量为 1,139 亿个碱基，是较大的基因组输入。</w:t>
      </w:r>
    </w:p>
    <w:p>
      <w:pPr>
        <w:pStyle w:val="Normal"/>
      </w:pPr>
      <w:r>
        <w:t xml:space="preserve">公开记录：</w:t>
      </w:r>
      <w:hyperlink r:id="rId73">
        <w:r>
          <w:rPr>
            <w:color w:val="0563C1"/>
            <w:u w:val="single"/>
          </w:rPr>
          <w:t xml:space="preserve">SRR8801873</w:t>
        </w:r>
      </w:hyperlink>
      <w:r>
        <w:t xml:space="preserve">。建议参考序列：fa 编号 1 / GCF_000001405.40。</w:t>
      </w:r>
    </w:p>
    <w:p>
      <w:pPr>
        <w:pStyle w:val="Heading2"/>
      </w:pPr>
      <w:r>
        <w:t xml:space="preserve">数据 21：植物纳米孔基因组组装</w:t>
      </w:r>
    </w:p>
    <w:p>
      <w:pPr>
        <w:pStyle w:val="Normal"/>
      </w:pPr>
      <w:r>
        <w:t xml:space="preserve">这组拟南芥 Col-0 数据补充了纳米孔测序的植物核基因组组装读段。它是一次具名测序RUN提交的完整 pass 类读段输出。fail 类读段和其他 basecall 输出属于不同的数据表示，并非这份输入中缺失的部分。</w:t>
      </w:r>
    </w:p>
    <w:p>
      <w:pPr>
        <w:pStyle w:val="Normal"/>
      </w:pPr>
      <w:r>
        <w:t xml:space="preserve">序列量：10,554,533,391 个碱基。下载文件合计 9,919,475,722 字节（十进制 9.919 GB），共 1 个文件。</w:t>
      </w:r>
    </w:p>
    <w:p>
      <w:pPr>
        <w:pStyle w:val="Normal"/>
      </w:pPr>
      <w:r>
        <w:t xml:space="preserve">数量依据：所选 pass 输出报告了 10,554,533,391 个碱基。</w:t>
      </w:r>
    </w:p>
    <w:p>
      <w:pPr>
        <w:pStyle w:val="Normal"/>
      </w:pPr>
      <w:r>
        <w:t xml:space="preserve">公开记录：</w:t>
      </w:r>
      <w:hyperlink r:id="rId74">
        <w:r>
          <w:rPr>
            <w:color w:val="0563C1"/>
            <w:u w:val="single"/>
          </w:rPr>
          <w:t xml:space="preserve">ERR13669551</w:t>
        </w:r>
      </w:hyperlink>
      <w:r>
        <w:t xml:space="preserve">。建议参考序列：fa 编号 9 / GCF_000001735.4。</w:t>
      </w:r>
    </w:p>
    <w:p>
      <w:pPr>
        <w:pStyle w:val="Normal"/>
      </w:pPr>
      <w:r>
        <w:t xml:space="preserve">使用前请注意：所选 PASS 输出不包含 fail 类读段。</w:t>
      </w:r>
    </w:p>
    <w:p>
      <w:pPr>
        <w:pStyle w:val="Heading2"/>
      </w:pPr>
      <w:r>
        <w:t xml:space="preserve">数据 22：植物 PacBio HiFi 基因组组装</w:t>
      </w:r>
    </w:p>
    <w:p>
      <w:pPr>
        <w:pStyle w:val="Normal"/>
      </w:pPr>
      <w:r>
        <w:t xml:space="preserve">这组拟南芥 Col-0 读段补充了植物 HiFi 一致性测序。论文中的登录号、AT_HiFi 文库名称和报告序列量均与档案记录相符；确认其测序方法依据的是这些文档信息，而不是仅凭档案文件名中的 </w:t>
      </w:r>
      <w:r>
        <w:rPr>
          <w:rFonts w:ascii="Courier New" w:hAnsi="Courier New"/>
        </w:rPr>
        <w:t xml:space="preserve">_subreads</w:t>
      </w:r>
      <w:r>
        <w:t xml:space="preserve">。</w:t>
      </w:r>
    </w:p>
    <w:p>
      <w:pPr>
        <w:pStyle w:val="Normal"/>
      </w:pPr>
      <w:r>
        <w:t xml:space="preserve">序列量：22,904,700,074 个碱基。下载文件合计 18,526,201,575 字节（十进制 18.526 GB），共 1 个文件。</w:t>
      </w:r>
    </w:p>
    <w:p>
      <w:pPr>
        <w:pStyle w:val="Normal"/>
      </w:pPr>
      <w:r>
        <w:t xml:space="preserve">数量依据：已发表的植物 HiFi 读段集报告 229 亿个碱基；档案元数据对 AT_HiFi 的精确报告值为 22,904,700,074 个碱基。</w:t>
      </w:r>
    </w:p>
    <w:p>
      <w:pPr>
        <w:pStyle w:val="Normal"/>
      </w:pPr>
      <w:r>
        <w:t xml:space="preserve">公开记录：</w:t>
      </w:r>
      <w:hyperlink r:id="rId75">
        <w:r>
          <w:rPr>
            <w:color w:val="0563C1"/>
            <w:u w:val="single"/>
          </w:rPr>
          <w:t xml:space="preserve">SRR14728885</w:t>
        </w:r>
      </w:hyperlink>
      <w:r>
        <w:t xml:space="preserve">。建议参考序列：fa 编号 9 / GCF_000001735.4。</w:t>
      </w:r>
    </w:p>
    <w:p>
      <w:pPr>
        <w:pStyle w:val="Normal"/>
      </w:pPr>
      <w:r>
        <w:t xml:space="preserve">使用前请注意：文档确认其为 HiFi 数据，并不能确定质量字符类型或整个文件的准确性。</w:t>
      </w:r>
    </w:p>
    <w:p>
      <w:pPr>
        <w:pStyle w:val="Heading2"/>
      </w:pPr>
      <w:r>
        <w:t xml:space="preserve">数据 23：人类 RNA 测序 — MGI</w:t>
      </w:r>
    </w:p>
    <w:p>
      <w:pPr>
        <w:pStyle w:val="Normal"/>
      </w:pPr>
      <w:r>
        <w:t xml:space="preserve">这组数据代表使用 MGI 短读段仪器进行的常规人类 RNA 测序，与人类基因组数据及 Illumina 表达文库形成补充。其序列量接近来源研究八次测序RUN的中间水平。</w:t>
      </w:r>
    </w:p>
    <w:p>
      <w:pPr>
        <w:pStyle w:val="Normal"/>
      </w:pPr>
      <w:r>
        <w:t xml:space="preserve">序列量：4,828,141,800 个碱基。下载文件合计 3,817,894,154 字节（十进制 3.818 GB），共 2 个文件。</w:t>
      </w:r>
    </w:p>
    <w:p>
      <w:pPr>
        <w:pStyle w:val="Normal"/>
      </w:pPr>
      <w:r>
        <w:t xml:space="preserve">数量依据：该数据报告 48.3 亿个碱基，接近来源研究八次测序RUN的中位数 48.1 亿个碱基，符合常见表达文库的序列量。</w:t>
      </w:r>
    </w:p>
    <w:p>
      <w:pPr>
        <w:pStyle w:val="Normal"/>
      </w:pPr>
      <w:r>
        <w:t xml:space="preserve">公开记录：</w:t>
      </w:r>
      <w:hyperlink r:id="rId76">
        <w:r>
          <w:rPr>
            <w:color w:val="0563C1"/>
            <w:u w:val="single"/>
          </w:rPr>
          <w:t xml:space="preserve">ERR10030615</w:t>
        </w:r>
      </w:hyperlink>
      <w:r>
        <w:t xml:space="preserve">。建议参考序列：fa 编号 1 / GCF_000001405.40。</w:t>
      </w:r>
    </w:p>
    <w:p>
      <w:pPr>
        <w:pStyle w:val="Heading2"/>
      </w:pPr>
      <w:r>
        <w:t xml:space="preserve">数据 24：植物 RNA 测序</w:t>
      </w:r>
    </w:p>
    <w:p>
      <w:pPr>
        <w:pStyle w:val="Normal"/>
      </w:pPr>
      <w:r>
        <w:t xml:space="preserve">这组野生型拟南芥 Col-0 重复样本代表植物整体 RNA 测序。它是一份具名表达文库，序列量落在来源研究 14 个 RNA 输出的范围内。该比较支持这个具体案例，不代表普遍的产量要求。</w:t>
      </w:r>
    </w:p>
    <w:p>
      <w:pPr>
        <w:pStyle w:val="Normal"/>
      </w:pPr>
      <w:r>
        <w:t xml:space="preserve">序列量：7,102,948,500 个碱基。下载文件合计 3,632,286,064 字节（十进制 3.632 GB），共 2 个文件。</w:t>
      </w:r>
    </w:p>
    <w:p>
      <w:pPr>
        <w:pStyle w:val="Normal"/>
      </w:pPr>
      <w:r>
        <w:t xml:space="preserve">数量依据：来源研究的 14 个 RNA 输出报告 52.14–88.09 亿个碱基，中位数为 64.67 亿个碱基。</w:t>
      </w:r>
    </w:p>
    <w:p>
      <w:pPr>
        <w:pStyle w:val="Normal"/>
      </w:pPr>
      <w:r>
        <w:t xml:space="preserve">公开记录：</w:t>
      </w:r>
      <w:hyperlink r:id="rId77">
        <w:r>
          <w:rPr>
            <w:color w:val="0563C1"/>
            <w:u w:val="single"/>
          </w:rPr>
          <w:t xml:space="preserve">SRR14627767</w:t>
        </w:r>
      </w:hyperlink>
      <w:r>
        <w:t xml:space="preserve">。建议参考序列：fa 编号 9 / GCF_000001735.4。</w:t>
      </w:r>
    </w:p>
    <w:p>
      <w:pPr>
        <w:pStyle w:val="Heading2"/>
      </w:pPr>
      <w:r>
        <w:t xml:space="preserve">数据 25：人类小 RNA 测序</w:t>
      </w:r>
    </w:p>
    <w:p>
      <w:pPr>
        <w:pStyle w:val="Normal"/>
      </w:pPr>
      <w:r>
        <w:t xml:space="preserve">这组生物学重复样本代表小 RNA 测序。RNA 分子本身较短，因此输入规模自然较小；抽查到的读段长度为 18–44 个碱基。该文库的读段数和碱基数与来源研究相符。生物学目标本身无法说明数据提交前做过哪些修剪。</w:t>
      </w:r>
    </w:p>
    <w:p>
      <w:pPr>
        <w:pStyle w:val="Normal"/>
      </w:pPr>
      <w:r>
        <w:t xml:space="preserve">序列量：284,297,641 个碱基。下载文件合计 291,749,840 字节（十进制 291.750 MB），共 1 个文件。</w:t>
      </w:r>
    </w:p>
    <w:p>
      <w:pPr>
        <w:pStyle w:val="Normal"/>
      </w:pPr>
      <w:r>
        <w:t xml:space="preserve">数量依据：该数据报告 1,264 万 条单端读段和 28,400 万个碱基；来源研究八次测序RUN的碱基数中位数为 28,600 万，与之相符。</w:t>
      </w:r>
    </w:p>
    <w:p>
      <w:pPr>
        <w:pStyle w:val="Normal"/>
      </w:pPr>
      <w:r>
        <w:t xml:space="preserve">公开记录：</w:t>
      </w:r>
      <w:hyperlink r:id="rId78">
        <w:r>
          <w:rPr>
            <w:color w:val="0563C1"/>
            <w:u w:val="single"/>
          </w:rPr>
          <w:t xml:space="preserve">DRR1089360</w:t>
        </w:r>
      </w:hyperlink>
      <w:r>
        <w:t xml:space="preserve">。建议参考序列：fa 编号 1 / GCF_000001405.40。</w:t>
      </w:r>
    </w:p>
    <w:p>
      <w:pPr>
        <w:pStyle w:val="Normal"/>
      </w:pPr>
      <w:r>
        <w:t xml:space="preserve">方法和数量依据：</w:t>
      </w:r>
      <w:hyperlink r:id="rId79">
        <w:r>
          <w:rPr>
            <w:color w:val="0563C1"/>
            <w:u w:val="single"/>
          </w:rPr>
          <w:t xml:space="preserve">具名小 RNA 重复样本记录</w:t>
        </w:r>
      </w:hyperlink>
    </w:p>
    <w:p>
      <w:pPr>
        <w:pStyle w:val="Heading2"/>
      </w:pPr>
      <w:r>
        <w:t xml:space="preserve">数据 26：人类 RNA 测序 — Illumina</w:t>
      </w:r>
    </w:p>
    <w:p>
      <w:pPr>
        <w:pStyle w:val="Normal"/>
      </w:pPr>
      <w:r>
        <w:t xml:space="preserve">这组数据代表常规 Illumina 人类表达文库，与 MGI 和较新的短读段 RNA 输入互为补充。其序列量接近来源研究 12次可比测序RUN的中间水平。</w:t>
      </w:r>
    </w:p>
    <w:p>
      <w:pPr>
        <w:pStyle w:val="Normal"/>
      </w:pPr>
      <w:r>
        <w:t xml:space="preserve">序列量：4,002,783,900 个碱基。下载文件合计 1,795,309,208 字节（十进制 1.795 GB），共 2 个文件。</w:t>
      </w:r>
    </w:p>
    <w:p>
      <w:pPr>
        <w:pStyle w:val="Normal"/>
      </w:pPr>
      <w:r>
        <w:t xml:space="preserve">数量依据：该数据报告 40 亿个碱基，接近同类研究 12次测序RUN的中位数 41.1 亿个碱基，并处于 NovaSeq RNA 正产出次测序RUN的较宽范围内。</w:t>
      </w:r>
    </w:p>
    <w:p>
      <w:pPr>
        <w:pStyle w:val="Normal"/>
      </w:pPr>
      <w:r>
        <w:t xml:space="preserve">公开记录：</w:t>
      </w:r>
      <w:hyperlink r:id="rId80">
        <w:r>
          <w:rPr>
            <w:color w:val="0563C1"/>
            <w:u w:val="single"/>
          </w:rPr>
          <w:t xml:space="preserve">DRR1069746</w:t>
        </w:r>
      </w:hyperlink>
      <w:r>
        <w:t xml:space="preserve">。建议参考序列：fa 编号 1 / GCF_000001405.40。</w:t>
      </w:r>
    </w:p>
    <w:p>
      <w:pPr>
        <w:pStyle w:val="Heading2"/>
      </w:pPr>
      <w:r>
        <w:t xml:space="preserve">数据 27：单端 RNA 测序 — Element AVITI</w:t>
      </w:r>
    </w:p>
    <w:p>
      <w:pPr>
        <w:pStyle w:val="Normal"/>
      </w:pPr>
      <w:r>
        <w:t xml:space="preserve">这组 AVITI 文库以有记录的单端 RNA 配置，补充了一种已投入商业使用的短读段技术。应按其实际配置进行测试，不宜与双端文库直接比较。其序列量接近来源研究 18次测序RUN的中间水平。</w:t>
      </w:r>
    </w:p>
    <w:p>
      <w:pPr>
        <w:pStyle w:val="Normal"/>
      </w:pPr>
      <w:r>
        <w:t xml:space="preserve">序列量：3,095,516,700 个碱基。下载文件合计 2,301,820,230 字节（十进制 2.302 GB），共 1 个文件。</w:t>
      </w:r>
    </w:p>
    <w:p>
      <w:pPr>
        <w:pStyle w:val="Normal"/>
      </w:pPr>
      <w:r>
        <w:t xml:space="preserve">数量依据：该数据报告 31 亿个碱基，接近来源研究 18次测序RUN的中位数 29.8 亿个碱基，并处于 20 项已知研究中 AVITI 单端 RNA 数据的较宽范围内。</w:t>
      </w:r>
    </w:p>
    <w:p>
      <w:pPr>
        <w:pStyle w:val="Normal"/>
      </w:pPr>
      <w:r>
        <w:t xml:space="preserve">公开记录：</w:t>
      </w:r>
      <w:hyperlink r:id="rId81">
        <w:r>
          <w:rPr>
            <w:color w:val="0563C1"/>
            <w:u w:val="single"/>
          </w:rPr>
          <w:t xml:space="preserve">SRR30608496</w:t>
        </w:r>
      </w:hyperlink>
      <w:r>
        <w:t xml:space="preserve">。建议参考序列：fa 编号 1 / GCF_000001405.40。</w:t>
      </w:r>
    </w:p>
    <w:p>
      <w:pPr>
        <w:pStyle w:val="Heading2"/>
      </w:pPr>
      <w:r>
        <w:t xml:space="preserve">数据 28：纳米孔转录本测序</w:t>
      </w:r>
    </w:p>
    <w:p>
      <w:pPr>
        <w:pStyle w:val="Normal"/>
      </w:pPr>
      <w:r>
        <w:t xml:space="preserve">这组数据在纳米孔基因组读段之外，补充了来自转录本文库的纳米孔读段。来源将文库描述为全长文库，这是预期取样方式，并不保证每条提交的读段都长或完整。其读段数量与研究中的文库规模相当。</w:t>
      </w:r>
    </w:p>
    <w:p>
      <w:pPr>
        <w:pStyle w:val="Normal"/>
      </w:pPr>
      <w:r>
        <w:t xml:space="preserve">序列量：2,480,166,369 个碱基。下载文件合计 2,307,675,498 字节（十进制 2.308 GB），共 1 个文件。</w:t>
      </w:r>
    </w:p>
    <w:p>
      <w:pPr>
        <w:pStyle w:val="Normal"/>
      </w:pPr>
      <w:r>
        <w:t xml:space="preserve">数量依据：来源论文报告 72 个文库合计有 31,080 万 条原始读段，算术平均为 432 万 条。</w:t>
      </w:r>
    </w:p>
    <w:p>
      <w:pPr>
        <w:pStyle w:val="Normal"/>
      </w:pPr>
      <w:r>
        <w:t xml:space="preserve">公开记录：</w:t>
      </w:r>
      <w:hyperlink r:id="rId82">
        <w:r>
          <w:rPr>
            <w:color w:val="0563C1"/>
            <w:u w:val="single"/>
          </w:rPr>
          <w:t xml:space="preserve">SRR36288068</w:t>
        </w:r>
      </w:hyperlink>
      <w:r>
        <w:t xml:space="preserve">。建议参考序列：fa 编号 1 / GCF_000001405.40。</w:t>
      </w:r>
    </w:p>
    <w:p>
      <w:pPr>
        <w:pStyle w:val="Normal"/>
      </w:pPr>
      <w:r>
        <w:t xml:space="preserve">使用前请注意：这是同一研究内的规模参照，不是长 RNA 产量的一般标准。</w:t>
      </w:r>
    </w:p>
    <w:p>
      <w:pPr>
        <w:pStyle w:val="Heading2"/>
      </w:pPr>
      <w:r>
        <w:t xml:space="preserve">数据 29：一个小鼠 Smart-seq2 细胞</w:t>
      </w:r>
    </w:p>
    <w:p>
      <w:pPr>
        <w:pStyle w:val="Normal"/>
      </w:pPr>
      <w:r>
        <w:t xml:space="preserve">这一个小鼠膀胱细胞补充了跨转录本的单细胞 RNA 测序，与 3′ CITE 文库形成补充。Smart-seq2 会从转录本不同位置取样，但不意味着每条读段都覆盖完整转录本。一个 SRA 测序RUN的两个读段端均已纳入；其序列量处于 660 个有标注细胞的中间一半范围内。</w:t>
      </w:r>
    </w:p>
    <w:p>
      <w:pPr>
        <w:pStyle w:val="Normal"/>
      </w:pPr>
      <w:r>
        <w:t xml:space="preserve">序列量：220,101,000 个碱基。下载文件合计 97,956,122 字节（十进制 97.956 MB），共 2 个文件。</w:t>
      </w:r>
    </w:p>
    <w:p>
      <w:pPr>
        <w:pStyle w:val="Normal"/>
      </w:pPr>
      <w:r>
        <w:t xml:space="preserve">数量依据：作者标注的 660 个膀胱细胞各有一个清单次测序RUN；其报告序列量中位数为 182,126,200 个碱基，中间一半范围为 139,362,300–226,050,350 个碱基。</w:t>
      </w:r>
    </w:p>
    <w:p>
      <w:pPr>
        <w:pStyle w:val="Normal"/>
      </w:pPr>
      <w:r>
        <w:t xml:space="preserve">公开记录：</w:t>
      </w:r>
      <w:hyperlink r:id="rId83">
        <w:r>
          <w:rPr>
            <w:color w:val="0563C1"/>
            <w:u w:val="single"/>
          </w:rPr>
          <w:t xml:space="preserve">SRR6520293</w:t>
        </w:r>
      </w:hyperlink>
      <w:r>
        <w:t xml:space="preserve">。建议参考序列：fa 编号 3 / GCF_000001635.27。</w:t>
      </w:r>
    </w:p>
    <w:p>
      <w:pPr>
        <w:pStyle w:val="Normal"/>
      </w:pPr>
      <w:r>
        <w:t xml:space="preserve">使用前请注意：作者和档案均将其标为一次测序RUN中的一个细胞。上传前的确切处理阶段和 FASTQ 实际属性尚未检查。</w:t>
      </w:r>
    </w:p>
    <w:p>
      <w:pPr>
        <w:pStyle w:val="Normal"/>
      </w:pPr>
      <w:r>
        <w:t xml:space="preserve">方法和数量依据：</w:t>
      </w:r>
      <w:hyperlink r:id="rId84">
        <w:r>
          <w:rPr>
            <w:color w:val="0563C1"/>
            <w:u w:val="single"/>
          </w:rPr>
          <w:t xml:space="preserve">转录本范围单细胞图谱的主要研究</w:t>
        </w:r>
      </w:hyperlink>
      <w:r>
        <w:t xml:space="preserve"> </w:t>
      </w:r>
      <w:hyperlink r:id="rId85">
        <w:r>
          <w:rPr>
            <w:color w:val="0563C1"/>
            <w:u w:val="single"/>
          </w:rPr>
          <w:t xml:space="preserve">膀胱 Smart-seq2 方法与实验记录</w:t>
        </w:r>
      </w:hyperlink>
      <w:r>
        <w:t xml:space="preserve"> </w:t>
      </w:r>
      <w:hyperlink r:id="rId86">
        <w:r>
          <w:rPr>
            <w:color w:val="0563C1"/>
            <w:u w:val="single"/>
          </w:rPr>
          <w:t xml:space="preserve">单细胞测序RUN与原始文件对应关系的官方记录</w:t>
        </w:r>
      </w:hyperlink>
      <w:r>
        <w:t xml:space="preserve"> </w:t>
      </w:r>
      <w:hyperlink r:id="rId87">
        <w:r>
          <w:rPr>
            <w:color w:val="0563C1"/>
            <w:u w:val="single"/>
          </w:rPr>
          <w:t xml:space="preserve">作者提供的膀胱单细胞注释</w:t>
        </w:r>
      </w:hyperlink>
      <w:r>
        <w:t xml:space="preserve"> </w:t>
      </w:r>
      <w:hyperlink r:id="rId88">
        <w:r>
          <w:rPr>
            <w:color w:val="0563C1"/>
            <w:u w:val="single"/>
          </w:rPr>
          <w:t xml:space="preserve">Smart-seq2 实验 RUN数量记录</w:t>
        </w:r>
      </w:hyperlink>
      <w:r>
        <w:t xml:space="preserve"> </w:t>
      </w:r>
      <w:hyperlink r:id="rId89">
        <w:r>
          <w:rPr>
            <w:color w:val="0563C1"/>
            <w:u w:val="single"/>
          </w:rPr>
          <w:t xml:space="preserve">所选 Smart-seq2测序RUN记录</w:t>
        </w:r>
      </w:hyperlink>
    </w:p>
    <w:p>
      <w:pPr>
        <w:pStyle w:val="Heading2"/>
      </w:pPr>
      <w:r>
        <w:t xml:space="preserve">数据 30：CITE 抗体标签</w:t>
      </w:r>
    </w:p>
    <w:p>
      <w:pPr>
        <w:pStyle w:val="Normal"/>
      </w:pPr>
      <w:r>
        <w:t xml:space="preserve">这些抗体来源的标签读段，与同一 CITE 实验中 Data 31 的 mRNA 输入和 Data 32 的样本标签输入互为补充。所选输入是一次完整的 ADT 双端RUN，两个读段端都包括在内。标签所含信息不同于转录本读段；三个组分不是重复拷贝。</w:t>
      </w:r>
    </w:p>
    <w:p>
      <w:pPr>
        <w:pStyle w:val="Normal"/>
      </w:pPr>
      <w:r>
        <w:t xml:space="preserve">序列量：13,478,870,416 个碱基（13.479 十亿）。下载：5,458,838,862 字节（5.459 十进制 GB），共 2 个文件。</w:t>
      </w:r>
    </w:p>
    <w:p>
      <w:pPr>
        <w:pStyle w:val="Normal"/>
      </w:pPr>
      <w:r>
        <w:t xml:space="preserve">数据量依据：在 19 个 ADT 实验中，每个实验取数据量最大的两个输出，共 38 个RUN；报告碱基数中位数为 13.065736 十亿，范围为 10.638356–18.672885 十亿。所选RUN报告 13,478,870,416 个碱基。</w:t>
      </w:r>
    </w:p>
    <w:p>
      <w:pPr>
        <w:pStyle w:val="Normal"/>
      </w:pPr>
      <w:r>
        <w:t xml:space="preserve">公开记录：</w:t>
      </w:r>
      <w:hyperlink r:id="rId90">
        <w:r>
          <w:rPr>
            <w:color w:val="0563C1"/>
            <w:u w:val="single"/>
          </w:rPr>
          <w:t xml:space="preserve">SRR19066659</w:t>
        </w:r>
      </w:hyperlink>
      <w:r>
        <w:t xml:space="preserve">。参考序列：混合物/特征参考尚未固定；未指定单一基因组 FASTA。</w:t>
      </w:r>
    </w:p>
    <w:p>
      <w:pPr>
        <w:pStyle w:val="Normal"/>
      </w:pPr>
      <w:r>
        <w:t xml:space="preserve">使用前请注意：清单中的两个读段端构成这次测序RUN。细胞回收目标不能证明实际细胞数；已有观察仅适用于这些确切文件。</w:t>
      </w:r>
    </w:p>
    <w:p>
      <w:pPr>
        <w:pStyle w:val="Normal"/>
      </w:pPr>
      <w:r>
        <w:t xml:space="preserve">方法与数据量来源：</w:t>
      </w:r>
      <w:hyperlink r:id="rId91">
        <w:r>
          <w:rPr>
            <w:color w:val="0563C1"/>
            <w:u w:val="single"/>
          </w:rPr>
          <w:t xml:space="preserve">CITE 组分RUN元数据及匹配数据量比较</w:t>
        </w:r>
      </w:hyperlink>
      <w:r>
        <w:t xml:space="preserve"> </w:t>
      </w:r>
      <w:hyperlink r:id="rId92">
        <w:r>
          <w:rPr>
            <w:color w:val="0563C1"/>
            <w:u w:val="single"/>
          </w:rPr>
          <w:t xml:space="preserve">所选小麦、CITE 和 CHO 测序RUN的 ENA 计数、公开日期和文件校验和</w:t>
        </w:r>
      </w:hyperlink>
    </w:p>
    <w:p>
      <w:pPr>
        <w:pStyle w:val="Heading2"/>
      </w:pPr>
      <w:r>
        <w:t xml:space="preserve">数据 31：CITE mRNA 读段</w:t>
      </w:r>
    </w:p>
    <w:p>
      <w:pPr>
        <w:pStyle w:val="Normal"/>
      </w:pPr>
      <w:r>
        <w:t xml:space="preserve">这些 mRNA 读段是同一 CITE 实验的转录本组分；Data 30 是抗体标签输入，Data 32 是样本标签输入。这里纳入一次完整双端RUN的两个 FASTQ 端。标签文库不能替代这份表达文库。</w:t>
      </w:r>
    </w:p>
    <w:p>
      <w:pPr>
        <w:pStyle w:val="Normal"/>
      </w:pPr>
      <w:r>
        <w:t xml:space="preserve">序列量：35,465,206,140 个碱基（35.465 十亿）。下载：18,634,282,939 字节（18.634 十进制 GB），共 2 个文件。</w:t>
      </w:r>
    </w:p>
    <w:p>
      <w:pPr>
        <w:pStyle w:val="Normal"/>
      </w:pPr>
      <w:r>
        <w:t xml:space="preserve">数据量依据：在 19 个 mRNA 实验中，每个实验取数据量最大的两个输出，共 38 个RUN；报告碱基数中位数为 38.490196 十亿，范围为 34.674149–52.108714 十亿。所选RUN报告 35,465,206,140 个碱基。</w:t>
      </w:r>
    </w:p>
    <w:p>
      <w:pPr>
        <w:pStyle w:val="Normal"/>
      </w:pPr>
      <w:r>
        <w:t xml:space="preserve">公开记录：</w:t>
      </w:r>
      <w:hyperlink r:id="rId93">
        <w:r>
          <w:rPr>
            <w:color w:val="0563C1"/>
            <w:u w:val="single"/>
          </w:rPr>
          <w:t xml:space="preserve">SRR19066665</w:t>
        </w:r>
      </w:hyperlink>
      <w:r>
        <w:t xml:space="preserve">。参考序列：fa 编号 1 / GCF_000001405.40。</w:t>
      </w:r>
    </w:p>
    <w:p>
      <w:pPr>
        <w:pStyle w:val="Normal"/>
      </w:pPr>
      <w:r>
        <w:t xml:space="preserve">使用前请注意：清单中的两个读段端构成这次测序RUN。细胞回收目标不能证明实际细胞数；已有观察仅适用于这些确切文件。</w:t>
      </w:r>
    </w:p>
    <w:p>
      <w:pPr>
        <w:pStyle w:val="Normal"/>
      </w:pPr>
      <w:r>
        <w:t xml:space="preserve">方法与数据量来源：</w:t>
      </w:r>
      <w:hyperlink r:id="rId94">
        <w:r>
          <w:rPr>
            <w:color w:val="0563C1"/>
            <w:u w:val="single"/>
          </w:rPr>
          <w:t xml:space="preserve">CITE 组分RUN元数据及匹配数据量比较</w:t>
        </w:r>
      </w:hyperlink>
      <w:r>
        <w:t xml:space="preserve"> </w:t>
      </w:r>
      <w:hyperlink r:id="rId95">
        <w:r>
          <w:rPr>
            <w:color w:val="0563C1"/>
            <w:u w:val="single"/>
          </w:rPr>
          <w:t xml:space="preserve">所选小麦、CITE 和 CHO 测序RUN的 ENA 计数、公开日期和文件校验和</w:t>
        </w:r>
      </w:hyperlink>
    </w:p>
    <w:p>
      <w:pPr>
        <w:pStyle w:val="Heading2"/>
      </w:pPr>
      <w:r>
        <w:t xml:space="preserve">数据 32：CITE 样本标签</w:t>
      </w:r>
    </w:p>
    <w:p>
      <w:pPr>
        <w:pStyle w:val="Normal"/>
      </w:pPr>
      <w:r>
        <w:t xml:space="preserve">这些样本标签读段用于识别同一 CITE 实验中的样本，与 Data 30 和 Data 31 相对应。这里纳入一次完整 HTO 双端RUN的两个读段端。标签输入本身规模较小；标签定义有助于解释或自定义参考匹配，但一般的无损压缩并不需要它。</w:t>
      </w:r>
    </w:p>
    <w:p>
      <w:pPr>
        <w:pStyle w:val="Normal"/>
      </w:pPr>
      <w:r>
        <w:t xml:space="preserve">序列量：393,276,078 个碱基（393.276 百万）。下载：172,719,082 字节（172.719 十进制 MB），共 2 个文件。</w:t>
      </w:r>
    </w:p>
    <w:p>
      <w:pPr>
        <w:pStyle w:val="Normal"/>
      </w:pPr>
      <w:r>
        <w:t xml:space="preserve">数据量依据：全部 62 个 HTO RUN的报告碱基数中位数为 0.3823 十亿，范围为 0.3335–1.5649 十亿。所选RUN报告 393,276,078 个碱基。</w:t>
      </w:r>
    </w:p>
    <w:p>
      <w:pPr>
        <w:pStyle w:val="Normal"/>
      </w:pPr>
      <w:r>
        <w:t xml:space="preserve">公开记录：</w:t>
      </w:r>
      <w:hyperlink r:id="rId96">
        <w:r>
          <w:rPr>
            <w:color w:val="0563C1"/>
            <w:u w:val="single"/>
          </w:rPr>
          <w:t xml:space="preserve">SRR19066668</w:t>
        </w:r>
      </w:hyperlink>
      <w:r>
        <w:t xml:space="preserve">。参考序列：混合物/特征参考尚未固定；未指定单一基因组 FASTA。</w:t>
      </w:r>
    </w:p>
    <w:p>
      <w:pPr>
        <w:pStyle w:val="Normal"/>
      </w:pPr>
      <w:r>
        <w:t xml:space="preserve">使用前请注意：清单中的两个读段端构成这次测序RUN。细胞回收目标不能证明实际细胞数；已有观察仅适用于这些确切文件。</w:t>
      </w:r>
    </w:p>
    <w:p>
      <w:pPr>
        <w:pStyle w:val="Normal"/>
      </w:pPr>
      <w:r>
        <w:t xml:space="preserve">方法与数据量来源：</w:t>
      </w:r>
      <w:hyperlink r:id="rId97">
        <w:r>
          <w:rPr>
            <w:color w:val="0563C1"/>
            <w:u w:val="single"/>
          </w:rPr>
          <w:t xml:space="preserve">CITE 组分RUN元数据及匹配数据量比较</w:t>
        </w:r>
      </w:hyperlink>
      <w:r>
        <w:t xml:space="preserve"> </w:t>
      </w:r>
      <w:hyperlink r:id="rId98">
        <w:r>
          <w:rPr>
            <w:color w:val="0563C1"/>
            <w:u w:val="single"/>
          </w:rPr>
          <w:t xml:space="preserve">所选小麦、CITE 和 CHO 测序RUN的 ENA 计数、公开日期和文件校验和</w:t>
        </w:r>
      </w:hyperlink>
    </w:p>
    <w:p>
      <w:pPr>
        <w:pStyle w:val="Heading2"/>
      </w:pPr>
      <w:r>
        <w:t xml:space="preserve">数据 33：空间转录组测序 — Stereo-seq</w:t>
      </w:r>
    </w:p>
    <w:p>
      <w:pPr>
        <w:pStyle w:val="Normal"/>
      </w:pPr>
      <w:r>
        <w:t xml:space="preserve">这组测序RUN补充了空间转录组测序，其中条码读段和转录本读段用途不同，长度也可能不同。完整的具名测序RUN规模较大，因为它是实际的空间测序输入。其捕获区域和细胞/网格深度均未知，不能从文件大小推断。</w:t>
      </w:r>
    </w:p>
    <w:p>
      <w:pPr>
        <w:pStyle w:val="Normal"/>
      </w:pPr>
      <w:r>
        <w:t xml:space="preserve">序列量：248,408,655,120 个碱基。下载文件合计 181,786,356,695 字节（十进制 181.786 GB），共 2 个文件。</w:t>
      </w:r>
    </w:p>
    <w:p>
      <w:pPr>
        <w:pStyle w:val="Normal"/>
      </w:pPr>
      <w:r>
        <w:t xml:space="preserve">数量依据：具名的 L01 空间测序次测序RUN报告了 248,408,655,120 个碱基。</w:t>
      </w:r>
    </w:p>
    <w:p>
      <w:pPr>
        <w:pStyle w:val="Normal"/>
      </w:pPr>
      <w:r>
        <w:t xml:space="preserve">公开记录：</w:t>
      </w:r>
      <w:hyperlink r:id="rId99">
        <w:r>
          <w:rPr>
            <w:color w:val="0563C1"/>
            <w:u w:val="single"/>
          </w:rPr>
          <w:t xml:space="preserve">SRR29351083</w:t>
        </w:r>
      </w:hyperlink>
      <w:r>
        <w:t xml:space="preserve">。建议参考序列：fa 编号 1 / GCF_000001405.40。</w:t>
      </w:r>
    </w:p>
    <w:p>
      <w:pPr>
        <w:pStyle w:val="Normal"/>
      </w:pPr>
      <w:r>
        <w:t xml:space="preserve">使用前请注意：捕获区域以及实测细胞/网格深度仍未知。</w:t>
      </w:r>
    </w:p>
    <w:p>
      <w:pPr>
        <w:pStyle w:val="Heading2"/>
      </w:pPr>
      <w:r>
        <w:t xml:space="preserve">数据 34：整体 ATAC 测序</w:t>
      </w:r>
    </w:p>
    <w:p>
      <w:pPr>
        <w:pStyle w:val="Normal"/>
      </w:pPr>
      <w:r>
        <w:t xml:space="preserve">这组 K562 文库代表常规的双端整体 ATAC 重复样本，取样对象是开放染色质，而不是全基因组 DNA 或 RNA。其序列量接近研究中 32次测序RUN的中间水平；但总碱基数不能说明有多少有效且互不重复的片段。</w:t>
      </w:r>
    </w:p>
    <w:p>
      <w:pPr>
        <w:pStyle w:val="Normal"/>
      </w:pPr>
      <w:r>
        <w:t xml:space="preserve">序列量：9,954,897,900 个碱基。下载文件合计 4,218,603,299 字节（十进制 4.219 GB），共 2 个文件。</w:t>
      </w:r>
    </w:p>
    <w:p>
      <w:pPr>
        <w:pStyle w:val="Normal"/>
      </w:pPr>
      <w:r>
        <w:t xml:space="preserve">数量依据：来源研究中 32 次有正产出的 ATAC测序RUN报告 66.12–194.62 亿个碱基，中位数为 101.46 亿个碱基。</w:t>
      </w:r>
    </w:p>
    <w:p>
      <w:pPr>
        <w:pStyle w:val="Normal"/>
      </w:pPr>
      <w:r>
        <w:t xml:space="preserve">公开记录：</w:t>
      </w:r>
      <w:hyperlink r:id="rId100">
        <w:r>
          <w:rPr>
            <w:color w:val="0563C1"/>
            <w:u w:val="single"/>
          </w:rPr>
          <w:t xml:space="preserve">SRR30495077</w:t>
        </w:r>
      </w:hyperlink>
      <w:r>
        <w:t xml:space="preserve">。建议参考序列：fa 编号 1 / GCF_000001405.40。</w:t>
      </w:r>
    </w:p>
    <w:p>
      <w:pPr>
        <w:pStyle w:val="Heading2"/>
      </w:pPr>
      <w:r>
        <w:t xml:space="preserve">数据 35：水稻 ChIP 测序</w:t>
      </w:r>
    </w:p>
    <w:p>
      <w:pPr>
        <w:pStyle w:val="Normal"/>
      </w:pPr>
      <w:r>
        <w:t xml:space="preserve">这组水稻文库补充了 ChIP 测序，其取样对象是与蛋白质结合的染色质。ATAC 和 CUT&amp;RUN 的制备方式不同，不能替代 ChIP。其序列量接近研究中 11次可比测序RUN的中间水平。</w:t>
      </w:r>
    </w:p>
    <w:p>
      <w:pPr>
        <w:pStyle w:val="Normal"/>
      </w:pPr>
      <w:r>
        <w:t xml:space="preserve">序列量：7,848,285,900 个碱基。下载文件合计 3,388,187,408 字节（十进制 3.388 GB），共 2 个文件。</w:t>
      </w:r>
    </w:p>
    <w:p>
      <w:pPr>
        <w:pStyle w:val="Normal"/>
      </w:pPr>
      <w:r>
        <w:t xml:space="preserve">数量依据：该数据报告 78.5 亿个碱基，接近研究中 11次测序RUN的中位数 79.8 亿，并处于水稻 ChIP 数据较宽的中间 80% 范围（33.6–105.7 亿）内。</w:t>
      </w:r>
    </w:p>
    <w:p>
      <w:pPr>
        <w:pStyle w:val="Normal"/>
      </w:pPr>
      <w:r>
        <w:t xml:space="preserve">公开记录：</w:t>
      </w:r>
      <w:hyperlink r:id="rId101">
        <w:r>
          <w:rPr>
            <w:color w:val="0563C1"/>
            <w:u w:val="single"/>
          </w:rPr>
          <w:t xml:space="preserve">DRR1000045</w:t>
        </w:r>
      </w:hyperlink>
      <w:r>
        <w:t xml:space="preserve">。建议参考序列：fa 编号 8 / GCF_034140825.1。</w:t>
      </w:r>
    </w:p>
    <w:p>
      <w:pPr>
        <w:pStyle w:val="Heading2"/>
      </w:pPr>
      <w:r>
        <w:t xml:space="preserve">数据 36：人类 CUT&amp;RUN 测序</w:t>
      </w:r>
    </w:p>
    <w:p>
      <w:pPr>
        <w:pStyle w:val="Normal"/>
      </w:pPr>
      <w:r>
        <w:t xml:space="preserve">这组数据补充了 CUT&amp;RUN。虽然档案只用宽泛的 OTHER 标签，但具体实验记录明确了方法。它与 ATAC、ChIP 输入互为补充，序列量处于研究中 30次可比测序RUN的中间 80% 范围内。</w:t>
      </w:r>
    </w:p>
    <w:p>
      <w:pPr>
        <w:pStyle w:val="Normal"/>
      </w:pPr>
      <w:r>
        <w:t xml:space="preserve">序列量：2,142,233,300 个碱基。下载文件合计 1,123,492,148 字节（十进制 1.123 GB），共 2 个文件。</w:t>
      </w:r>
    </w:p>
    <w:p>
      <w:pPr>
        <w:pStyle w:val="Normal"/>
      </w:pPr>
      <w:r>
        <w:t xml:space="preserve">数量依据：该数据报告 21.4 亿个碱基，处于匹配的 30次测序RUN研究中间 80% 的 17.9–51.3 亿个碱基范围内。</w:t>
      </w:r>
    </w:p>
    <w:p>
      <w:pPr>
        <w:pStyle w:val="Normal"/>
      </w:pPr>
      <w:r>
        <w:t xml:space="preserve">公开记录：</w:t>
      </w:r>
      <w:hyperlink r:id="rId102">
        <w:r>
          <w:rPr>
            <w:color w:val="0563C1"/>
            <w:u w:val="single"/>
          </w:rPr>
          <w:t xml:space="preserve">SRR26362943</w:t>
        </w:r>
      </w:hyperlink>
      <w:r>
        <w:t xml:space="preserve">。建议参考序列：fa 编号 1 / GCF_000001405.40; fa 编号 13 / GCF_000001215.4。</w:t>
      </w:r>
    </w:p>
    <w:p>
      <w:pPr>
        <w:pStyle w:val="Normal"/>
      </w:pPr>
      <w:r>
        <w:t xml:space="preserve">使用前请注意：归一化所用参考组成以及处理后/可用测序深度仍未知。</w:t>
      </w:r>
    </w:p>
    <w:p>
      <w:pPr>
        <w:pStyle w:val="Heading2"/>
      </w:pPr>
      <w:r>
        <w:t xml:space="preserve">数据 37：酵母 Hi-C 测序</w:t>
      </w:r>
    </w:p>
    <w:p>
      <w:pPr>
        <w:pStyle w:val="Normal"/>
      </w:pPr>
      <w:r>
        <w:t xml:space="preserve">这组酵母文库补充了用于研究基因组区域间接触的邻近连接读段。其真核基因组参考序列较小，也不同于大型动植物参考序列。其序列量既处于来源研究的范围内，也落在更广泛的酵母 Hi-C 比较范围内。</w:t>
      </w:r>
    </w:p>
    <w:p>
      <w:pPr>
        <w:pStyle w:val="Normal"/>
      </w:pPr>
      <w:r>
        <w:t xml:space="preserve">序列量：15,039,534,000 个碱基。下载文件合计 7,074,255,254 字节（十进制 7.074 GB），共 2 个文件。</w:t>
      </w:r>
    </w:p>
    <w:p>
      <w:pPr>
        <w:pStyle w:val="Normal"/>
      </w:pPr>
      <w:r>
        <w:t xml:space="preserve">数量依据：该数据报告 150.4 亿个碱基，既处于其 56次测序RUN研究的范围内，也处于更广泛酵母 Hi-C 数据中间 80% 的 17.8–264 亿个碱基范围内。</w:t>
      </w:r>
    </w:p>
    <w:p>
      <w:pPr>
        <w:pStyle w:val="Normal"/>
      </w:pPr>
      <w:r>
        <w:t xml:space="preserve">公开记录：</w:t>
      </w:r>
      <w:hyperlink r:id="rId103">
        <w:r>
          <w:rPr>
            <w:color w:val="0563C1"/>
            <w:u w:val="single"/>
          </w:rPr>
          <w:t xml:space="preserve">SRR30894055</w:t>
        </w:r>
      </w:hyperlink>
      <w:r>
        <w:t xml:space="preserve">。建议参考序列：fa 编号 7 / GCF_000146045.2。</w:t>
      </w:r>
    </w:p>
    <w:p>
      <w:pPr>
        <w:pStyle w:val="Heading2"/>
      </w:pPr>
      <w:r>
        <w:t xml:space="preserve">数据 38：人类染色质可及性测序 — Ultima</w:t>
      </w:r>
    </w:p>
    <w:p>
      <w:pPr>
        <w:pStyle w:val="Normal"/>
      </w:pPr>
      <w:r>
        <w:t xml:space="preserve">这组 Ultima 数据展示了已投入使用的测序技术在染色质可及性检测中的应用。其提供的是长度不一的单端读段，与常见的双端 ATAC 输入不同。序列量位于来源研究 248次测序RUN的中间 80% 范围内。</w:t>
      </w:r>
    </w:p>
    <w:p>
      <w:pPr>
        <w:pStyle w:val="Normal"/>
      </w:pPr>
      <w:r>
        <w:t xml:space="preserve">序列量：9,613,662,904 个碱基。下载文件合计 3,749,797,716 字节（十进制 3.750 GB），共 1 个文件。</w:t>
      </w:r>
    </w:p>
    <w:p>
      <w:pPr>
        <w:pStyle w:val="Normal"/>
      </w:pPr>
      <w:r>
        <w:t xml:space="preserve">数量依据：该数据报告 96.1 亿个碱基，处于这项 248次测序RUN研究中间 80% 的 39.3–110.2 亿个碱基范围内。</w:t>
      </w:r>
    </w:p>
    <w:p>
      <w:pPr>
        <w:pStyle w:val="Normal"/>
      </w:pPr>
      <w:r>
        <w:t xml:space="preserve">公开记录：</w:t>
      </w:r>
      <w:hyperlink r:id="rId104">
        <w:r>
          <w:rPr>
            <w:color w:val="0563C1"/>
            <w:u w:val="single"/>
          </w:rPr>
          <w:t xml:space="preserve">SRR34546226</w:t>
        </w:r>
      </w:hyperlink>
      <w:r>
        <w:t xml:space="preserve">。建议参考序列：fa 编号 1 / GCF_000001405.40。</w:t>
      </w:r>
    </w:p>
    <w:p>
      <w:pPr>
        <w:pStyle w:val="Heading2"/>
      </w:pPr>
      <w:r>
        <w:t xml:space="preserve">数据 39：水稻亚硫酸氢盐测序</w:t>
      </w:r>
    </w:p>
    <w:p>
      <w:pPr>
        <w:pStyle w:val="Normal"/>
      </w:pPr>
      <w:r>
        <w:t xml:space="preserve">这组水稻文库补充了亚硫酸氢盐测序；其制备过程会改变所存储的序列字母。常规基因组测序或捕获测序并不具备相同条件。其序列量与来源研究及更广泛的水稻亚硫酸氢盐测序案例相当。</w:t>
      </w:r>
    </w:p>
    <w:p>
      <w:pPr>
        <w:pStyle w:val="Normal"/>
      </w:pPr>
      <w:r>
        <w:t xml:space="preserve">序列量：19,651,497,831 个碱基。下载文件合计 9,477,168,274 字节（十进制 9.477 GB），共 2 个文件。</w:t>
      </w:r>
    </w:p>
    <w:p>
      <w:pPr>
        <w:pStyle w:val="Normal"/>
      </w:pPr>
      <w:r>
        <w:t xml:space="preserve">数量依据：该数据报告 196.5 亿个碱基，接近其 6次测序RUN研究的范围，也处于更广泛水稻亚硫酸氢盐数据中间 80% 的 77.7–226 亿个碱基范围内。</w:t>
      </w:r>
    </w:p>
    <w:p>
      <w:pPr>
        <w:pStyle w:val="Normal"/>
      </w:pPr>
      <w:r>
        <w:t xml:space="preserve">公开记录：</w:t>
      </w:r>
      <w:hyperlink r:id="rId105">
        <w:r>
          <w:rPr>
            <w:color w:val="0563C1"/>
            <w:u w:val="single"/>
          </w:rPr>
          <w:t xml:space="preserve">DRR1009870</w:t>
        </w:r>
      </w:hyperlink>
      <w:r>
        <w:t xml:space="preserve">。建议参考序列：fa 编号 8 / GCF_034140825.1。</w:t>
      </w:r>
    </w:p>
    <w:p>
      <w:pPr>
        <w:pStyle w:val="Heading2"/>
      </w:pPr>
      <w:r>
        <w:t xml:space="preserve">数据 40：真菌 ITS 群落标记</w:t>
      </w:r>
    </w:p>
    <w:p>
      <w:pPr>
        <w:pStyle w:val="Normal"/>
      </w:pPr>
      <w:r>
        <w:t xml:space="preserve">这组土壤根际真菌文库补充了 MiSeq ITS 标记测序。FL_fungi_1 提交的两个读段端均已纳入。其序列量接近同一研究 12 个 ITS 文库的中间水平；真菌文库与该研究的细菌 16S 文库分开比较。</w:t>
      </w:r>
    </w:p>
    <w:p>
      <w:pPr>
        <w:pStyle w:val="Normal"/>
      </w:pPr>
      <w:r>
        <w:t xml:space="preserve">序列量：42,963,536 个碱基。下载文件合计 19,328,691 字节（十进制 19.329 MB），共 2 个文件。</w:t>
      </w:r>
    </w:p>
    <w:p>
      <w:pPr>
        <w:pStyle w:val="Normal"/>
      </w:pPr>
      <w:r>
        <w:t xml:space="preserve">数量依据：12 个目标匹配的 ITS 文库为 3,801.4–4,478.4 万个碱基，中位数为 4,267.8 万。</w:t>
      </w:r>
    </w:p>
    <w:p>
      <w:pPr>
        <w:pStyle w:val="Normal"/>
      </w:pPr>
      <w:r>
        <w:t xml:space="preserve">公开记录：</w:t>
      </w:r>
      <w:hyperlink r:id="rId106">
        <w:r>
          <w:rPr>
            <w:color w:val="0563C1"/>
            <w:u w:val="single"/>
          </w:rPr>
          <w:t xml:space="preserve">SRR30515680</w:t>
        </w:r>
      </w:hyperlink>
      <w:r>
        <w:t xml:space="preserve">。建议参考序列：混合物/特征参考尚未确定；未指定单一基因组 FASTA。</w:t>
      </w:r>
    </w:p>
    <w:p>
      <w:pPr>
        <w:pStyle w:val="Normal"/>
      </w:pPr>
      <w:r>
        <w:t xml:space="preserve">方法和数量依据：</w:t>
      </w:r>
      <w:hyperlink r:id="rId107">
        <w:r>
          <w:rPr>
            <w:color w:val="0563C1"/>
            <w:u w:val="single"/>
          </w:rPr>
          <w:t xml:space="preserve">真菌 ITS 文库及提交的双端文件记录</w:t>
        </w:r>
      </w:hyperlink>
    </w:p>
    <w:p>
      <w:pPr>
        <w:pStyle w:val="Heading2"/>
      </w:pPr>
      <w:r>
        <w:t xml:space="preserve">数据 41：细菌 16S 群落标记</w:t>
      </w:r>
    </w:p>
    <w:p>
      <w:pPr>
        <w:pStyle w:val="Normal"/>
      </w:pPr>
      <w:r>
        <w:t xml:space="preserve">这组土壤根际细菌文库补充了经典的 16S 群落标记测序。SH_bacteria_1 的两个读段端均已纳入。其序列量接近研究中 12 个细菌文库的中间水平；真菌 ITS 的目标不同，不能替代这组输入。</w:t>
      </w:r>
    </w:p>
    <w:p>
      <w:pPr>
        <w:pStyle w:val="Normal"/>
      </w:pPr>
      <w:r>
        <w:t xml:space="preserve">序列量：32,742,178 个碱基。下载文件合计 17,916,463 字节（十进制 17.916 MB），共 2 个文件。</w:t>
      </w:r>
    </w:p>
    <w:p>
      <w:pPr>
        <w:pStyle w:val="Normal"/>
      </w:pPr>
      <w:r>
        <w:t xml:space="preserve">数量依据：12 个目标匹配的细菌 16S 文库为 2,153.7–4,235.1 万个碱基，中位数为 3,266.2 万。</w:t>
      </w:r>
    </w:p>
    <w:p>
      <w:pPr>
        <w:pStyle w:val="Normal"/>
      </w:pPr>
      <w:r>
        <w:t xml:space="preserve">公开记录：</w:t>
      </w:r>
      <w:hyperlink r:id="rId108">
        <w:r>
          <w:rPr>
            <w:color w:val="0563C1"/>
            <w:u w:val="single"/>
          </w:rPr>
          <w:t xml:space="preserve">SRR30515673</w:t>
        </w:r>
      </w:hyperlink>
      <w:r>
        <w:t xml:space="preserve">。建议参考序列：混合物/特征参考尚未确定；未指定单一基因组 FASTA。</w:t>
      </w:r>
    </w:p>
    <w:p>
      <w:pPr>
        <w:pStyle w:val="Normal"/>
      </w:pPr>
      <w:r>
        <w:t xml:space="preserve">方法和数量依据：</w:t>
      </w:r>
      <w:hyperlink r:id="rId109">
        <w:r>
          <w:rPr>
            <w:color w:val="0563C1"/>
            <w:u w:val="single"/>
          </w:rPr>
          <w:t xml:space="preserve">细菌 16S 文库及提交的双端文件记录</w:t>
        </w:r>
      </w:hyperlink>
    </w:p>
    <w:p>
      <w:pPr>
        <w:pStyle w:val="Heading2"/>
      </w:pPr>
      <w:r>
        <w:t xml:space="preserve">数据 42：病毒扩增子测序</w:t>
      </w:r>
    </w:p>
    <w:p>
      <w:pPr>
        <w:pStyle w:val="Normal"/>
      </w:pPr>
      <w:r>
        <w:t xml:space="preserve">这组单个样本的病毒扩增子测序RUN补充了小型基因组的靶向测序。其序列量接近 58 个可比样本输出的中间水平。采用人类全基因组规模的数据将无法代表这项任务。</w:t>
      </w:r>
    </w:p>
    <w:p>
      <w:pPr>
        <w:pStyle w:val="Normal"/>
      </w:pPr>
      <w:r>
        <w:t xml:space="preserve">序列量：67,831,999 个碱基。下载文件合计 31,561,554 字节（十进制 31.562 MB），共 2 个文件。</w:t>
      </w:r>
    </w:p>
    <w:p>
      <w:pPr>
        <w:pStyle w:val="Normal"/>
      </w:pPr>
      <w:r>
        <w:t xml:space="preserve">数量依据：该数据报告 6,783 万个碱基，接近 58 个可比样本次测序RUN的中位数 7,335 万，且处于这些次测序RUN的中间 80% 范围内。</w:t>
      </w:r>
    </w:p>
    <w:p>
      <w:pPr>
        <w:pStyle w:val="Normal"/>
      </w:pPr>
      <w:r>
        <w:t xml:space="preserve">公开记录：</w:t>
      </w:r>
      <w:hyperlink r:id="rId110">
        <w:r>
          <w:rPr>
            <w:color w:val="0563C1"/>
            <w:u w:val="single"/>
          </w:rPr>
          <w:t xml:space="preserve">DRR1051020</w:t>
        </w:r>
      </w:hyperlink>
      <w:r>
        <w:t xml:space="preserve">。建议参考序列：fa 编号 14 / NC_045512.2。</w:t>
      </w:r>
    </w:p>
    <w:p>
      <w:pPr>
        <w:pStyle w:val="Heading2"/>
      </w:pPr>
      <w:r>
        <w:t xml:space="preserve">数据 43：淡水环境 DNA 标记</w:t>
      </w:r>
    </w:p>
    <w:p>
      <w:pPr>
        <w:pStyle w:val="Normal"/>
      </w:pPr>
      <w:r>
        <w:t xml:space="preserve">这组数据补充了水生环境 DNA 标记测序。该文库对应 Lugano 的 ITD20 滤膜、A 提取和 VENE 标记组。档案中的两个读段端均已纳入。它是单个样本/标记的输出，并非整个测序池；上游过滤和拆分条码的具体阶段尚不清楚。</w:t>
      </w:r>
    </w:p>
    <w:p>
      <w:pPr>
        <w:pStyle w:val="Normal"/>
      </w:pPr>
      <w:r>
        <w:t xml:space="preserve">序列量：22,955,020 个碱基。下载文件合计 6,829,143 字节（十进制 6.829 MB），共 2 个文件。</w:t>
      </w:r>
    </w:p>
    <w:p>
      <w:pPr>
        <w:pStyle w:val="Normal"/>
      </w:pPr>
      <w:r>
        <w:t xml:space="preserve">数量依据：精确元数据列出了 ITD20-A/VENE 文库、两个已提交的样本/标记 FASTQ，以及所选档案记录的两个读段端。</w:t>
      </w:r>
    </w:p>
    <w:p>
      <w:pPr>
        <w:pStyle w:val="Normal"/>
      </w:pPr>
      <w:r>
        <w:t xml:space="preserve">公开记录：</w:t>
      </w:r>
      <w:hyperlink r:id="rId111">
        <w:r>
          <w:rPr>
            <w:color w:val="0563C1"/>
            <w:u w:val="single"/>
          </w:rPr>
          <w:t xml:space="preserve">ERR7749063</w:t>
        </w:r>
      </w:hyperlink>
      <w:r>
        <w:t xml:space="preserve">。建议参考序列：混合物/特征参考尚未确定；未指定单一基因组 FASTA。</w:t>
      </w:r>
    </w:p>
    <w:p>
      <w:pPr>
        <w:pStyle w:val="Normal"/>
      </w:pPr>
      <w:r>
        <w:t xml:space="preserve">使用前请注意：上游拆分条码和过滤具体在哪一步完成，仍未明确。</w:t>
      </w:r>
    </w:p>
    <w:p>
      <w:pPr>
        <w:pStyle w:val="Normal"/>
      </w:pPr>
      <w:r>
        <w:t xml:space="preserve">方法和数量依据：</w:t>
      </w:r>
      <w:hyperlink r:id="rId112">
        <w:r>
          <w:rPr>
            <w:color w:val="0563C1"/>
            <w:u w:val="single"/>
          </w:rPr>
          <w:t xml:space="preserve">水生短读段标记的档案输入单位</w:t>
        </w:r>
      </w:hyperlink>
      <w:r>
        <w:t xml:space="preserve"> </w:t>
      </w:r>
      <w:hyperlink r:id="rId113">
        <w:r>
          <w:rPr>
            <w:color w:val="0563C1"/>
            <w:u w:val="single"/>
          </w:rPr>
          <w:t xml:space="preserve">水生样本/地点官方表及命名说明</w:t>
        </w:r>
      </w:hyperlink>
      <w:r>
        <w:t xml:space="preserve"> </w:t>
      </w:r>
      <w:hyperlink r:id="rId114">
        <w:r>
          <w:rPr>
            <w:color w:val="0563C1"/>
            <w:u w:val="single"/>
          </w:rPr>
          <w:t xml:space="preserve">作者工作流程清单和样本表</w:t>
        </w:r>
      </w:hyperlink>
    </w:p>
    <w:p>
      <w:pPr>
        <w:pStyle w:val="Heading2"/>
      </w:pPr>
      <w:r>
        <w:t xml:space="preserve">数据 44：结核分枝杆菌分离株</w:t>
      </w:r>
    </w:p>
    <w:p>
      <w:pPr>
        <w:pStyle w:val="Normal"/>
      </w:pPr>
      <w:r>
        <w:t xml:space="preserve">这组数据在大肠杆菌之外补充了另一种小型细菌基因组，并提供了抽查为修剪读段的文件格式。其压缩下载量不足 1 GB，但相对于参考序列长度，报告的碱基数并不少。它略高于来源研究的第 90 百分位，并非典型中位数案例。</w:t>
      </w:r>
    </w:p>
    <w:p>
      <w:pPr>
        <w:pStyle w:val="Normal"/>
      </w:pPr>
      <w:r>
        <w:t xml:space="preserve">序列量：833,183,051 个碱基。下载文件合计 549,265,430 字节（十进制 549.265 MB），共 2 个文件。</w:t>
      </w:r>
    </w:p>
    <w:p>
      <w:pPr>
        <w:pStyle w:val="Normal"/>
      </w:pPr>
      <w:r>
        <w:t xml:space="preserve">数量依据：83,300 万个碱基 约为参考序列长度的 189 倍（按原始碱基数计算）。</w:t>
      </w:r>
    </w:p>
    <w:p>
      <w:pPr>
        <w:pStyle w:val="Normal"/>
      </w:pPr>
      <w:r>
        <w:t xml:space="preserve">公开记录：</w:t>
      </w:r>
      <w:hyperlink r:id="rId115">
        <w:r>
          <w:rPr>
            <w:color w:val="0563C1"/>
            <w:u w:val="single"/>
          </w:rPr>
          <w:t xml:space="preserve">ERR11252400</w:t>
        </w:r>
      </w:hyperlink>
      <w:r>
        <w:t xml:space="preserve">。建议参考序列：fa 编号 5 / GCF_000195955.2。</w:t>
      </w:r>
    </w:p>
    <w:p>
      <w:pPr>
        <w:pStyle w:val="Heading2"/>
      </w:pPr>
      <w:r>
        <w:t xml:space="preserve">数据 45：大肠杆菌分离株</w:t>
      </w:r>
    </w:p>
    <w:p>
      <w:pPr>
        <w:pStyle w:val="Normal"/>
      </w:pPr>
      <w:r>
        <w:t xml:space="preserve">这组明确标记为 MG1655 菌株的数据，是具有紧凑参考序列的典型细菌分离株输入。该双端测序RUN的序列量接近来源研究中位数，也接近更广泛的大肠杆菌比较值。样本与参考序列是否完全匹配，以及可用的比对覆盖度，仍需核实。</w:t>
      </w:r>
    </w:p>
    <w:p>
      <w:pPr>
        <w:pStyle w:val="Normal"/>
      </w:pPr>
      <w:r>
        <w:t xml:space="preserve">序列量：450,083,225 个碱基。下载文件合计 344,072,580 字节（十进制 344.073 MB），共 2 个文件。</w:t>
      </w:r>
    </w:p>
    <w:p>
      <w:pPr>
        <w:pStyle w:val="Normal"/>
      </w:pPr>
      <w:r>
        <w:t xml:space="preserve">数量依据：45,000 万个碱基 接近更广泛的大肠杆菌 Illumina 数据中位数 43,500 万，也接近其研究八次测序RUN的中位数 42,800 万；按原始碱基数计算，约为参考序列长度的 97 倍。</w:t>
      </w:r>
    </w:p>
    <w:p>
      <w:pPr>
        <w:pStyle w:val="Normal"/>
      </w:pPr>
      <w:r>
        <w:t xml:space="preserve">公开记录：</w:t>
      </w:r>
      <w:hyperlink r:id="rId116">
        <w:r>
          <w:rPr>
            <w:color w:val="0563C1"/>
            <w:u w:val="single"/>
          </w:rPr>
          <w:t xml:space="preserve">DRR171213</w:t>
        </w:r>
      </w:hyperlink>
      <w:r>
        <w:t xml:space="preserve">。建议参考序列：fa 编号 4 / GCF_000005845.2。</w:t>
      </w:r>
    </w:p>
    <w:p>
      <w:pPr>
        <w:pStyle w:val="Heading2"/>
      </w:pPr>
      <w:r>
        <w:t xml:space="preserve">数据 46：酵母全基因组测序</w:t>
      </w:r>
    </w:p>
    <w:p>
      <w:pPr>
        <w:pStyle w:val="Normal"/>
      </w:pPr>
      <w:r>
        <w:t xml:space="preserve">这组数据在细菌分离株之外，补充了真核微生物的小型基因组。全基因组测序的制备方式也不同于酵母 Hi-C。其序列量接近来源研究较高水平，是一个高产量研究案例，并非普遍标准。</w:t>
      </w:r>
    </w:p>
    <w:p>
      <w:pPr>
        <w:pStyle w:val="Normal"/>
      </w:pPr>
      <w:r>
        <w:t xml:space="preserve">序列量：2,123,156,100 个碱基。下载文件合计 1,034,612,012 字节（十进制 1.035 GB），共 2 个文件。</w:t>
      </w:r>
    </w:p>
    <w:p>
      <w:pPr>
        <w:pStyle w:val="Normal"/>
      </w:pPr>
      <w:r>
        <w:t xml:space="preserve">数量依据：该数据报告 21.2 亿个碱基，接近来源研究 61次测序RUN的上四分位数；按原始碱基数计算，约为参考序列长度的 176 倍。</w:t>
      </w:r>
    </w:p>
    <w:p>
      <w:pPr>
        <w:pStyle w:val="Normal"/>
      </w:pPr>
      <w:r>
        <w:t xml:space="preserve">公开记录：</w:t>
      </w:r>
      <w:hyperlink r:id="rId117">
        <w:r>
          <w:rPr>
            <w:color w:val="0563C1"/>
            <w:u w:val="single"/>
          </w:rPr>
          <w:t xml:space="preserve">SRR30502372</w:t>
        </w:r>
      </w:hyperlink>
      <w:r>
        <w:t xml:space="preserve">。建议参考序列：fa 编号 7 / GCF_000146045.2。</w:t>
      </w:r>
    </w:p>
    <w:p>
      <w:pPr>
        <w:pStyle w:val="Heading2"/>
      </w:pPr>
      <w:r>
        <w:t xml:space="preserve">数据 47：长读段模拟群落</w:t>
      </w:r>
    </w:p>
    <w:p>
      <w:pPr>
        <w:pStyle w:val="Normal"/>
      </w:pPr>
      <w:r>
        <w:t xml:space="preserve">这组测序RUN补充了来自已知基因组混合物的长读段。它不同于单一生物的基因组测序，也不同于短读段群落标记文库。来源明确说明这是对模拟群落进行超深度测序，因此应结合该研究目的理解其数据量。</w:t>
      </w:r>
    </w:p>
    <w:p>
      <w:pPr>
        <w:pStyle w:val="Normal"/>
      </w:pPr>
      <w:r>
        <w:t xml:space="preserve">序列量：16,506,755,978 个碱基。下载文件合计 17,147,527,495 字节（十进制 17.148 GB），共 1 个文件。</w:t>
      </w:r>
    </w:p>
    <w:p>
      <w:pPr>
        <w:pStyle w:val="Normal"/>
      </w:pPr>
      <w:r>
        <w:t xml:space="preserve">数量依据：该数据报告 165.1 亿个碱基，接近来源研究四个正产出次测序RUN的范围（共六条记录，其中两条总量为零）。</w:t>
      </w:r>
    </w:p>
    <w:p>
      <w:pPr>
        <w:pStyle w:val="Normal"/>
      </w:pPr>
      <w:r>
        <w:t xml:space="preserve">公开记录：</w:t>
      </w:r>
      <w:hyperlink r:id="rId118">
        <w:r>
          <w:rPr>
            <w:color w:val="0563C1"/>
            <w:u w:val="single"/>
          </w:rPr>
          <w:t xml:space="preserve">ERR3152366</w:t>
        </w:r>
      </w:hyperlink>
      <w:r>
        <w:t xml:space="preserve">。建议参考序列：混合物/特征参考尚未确定；未指定单一基因组 FASTA。</w:t>
      </w:r>
    </w:p>
    <w:p>
      <w:pPr>
        <w:pStyle w:val="Heading2"/>
      </w:pPr>
      <w:r>
        <w:t xml:space="preserve">数据 48：发酵群落 RNA</w:t>
      </w:r>
    </w:p>
    <w:p>
      <w:pPr>
        <w:pStyle w:val="Normal"/>
      </w:pPr>
      <w:r>
        <w:t xml:space="preserve">这组双端文库代表在一个具名时间点对谷物发酵群落进行的 RNA 测序。其序列量落在五个有记录的时间点范围内，为混合群落增加了 RNA 测序任务，避免把所有宏基因组输入都视为 DNA 测序。</w:t>
      </w:r>
    </w:p>
    <w:p>
      <w:pPr>
        <w:pStyle w:val="Normal"/>
      </w:pPr>
      <w:r>
        <w:t xml:space="preserve">序列量：10,323,974,492 个碱基。下载文件合计 4,133,721,402 字节（十进制 4.134 GB），共 2 个文件。</w:t>
      </w:r>
    </w:p>
    <w:p>
      <w:pPr>
        <w:pStyle w:val="Normal"/>
      </w:pPr>
      <w:r>
        <w:t xml:space="preserve">数量依据：五个具名发酵时间点的数据量为 103.24–117.64 亿个碱基，中位数为 111.98 亿。</w:t>
      </w:r>
    </w:p>
    <w:p>
      <w:pPr>
        <w:pStyle w:val="Normal"/>
      </w:pPr>
      <w:r>
        <w:t xml:space="preserve">公开记录：</w:t>
      </w:r>
      <w:hyperlink r:id="rId119">
        <w:r>
          <w:rPr>
            <w:color w:val="0563C1"/>
            <w:u w:val="single"/>
          </w:rPr>
          <w:t xml:space="preserve">DRR1003246</w:t>
        </w:r>
      </w:hyperlink>
      <w:r>
        <w:t xml:space="preserve">。建议参考序列：混合物/特征参考尚未确定；未指定单一基因组 FASTA。</w:t>
      </w:r>
    </w:p>
    <w:p>
      <w:pPr>
        <w:pStyle w:val="Heading2"/>
      </w:pPr>
      <w:r>
        <w:t xml:space="preserve">数据 49：土壤鸟枪法群落 DNA</w:t>
      </w:r>
    </w:p>
    <w:p>
      <w:pPr>
        <w:pStyle w:val="Normal"/>
      </w:pPr>
      <w:r>
        <w:t xml:space="preserve">这组数据代表环境宏基因组鸟枪法 DNA 测序，与肠道和食品混合样本以及土壤靶向标记输入形成补充。其序列量接近研究中八次测序RUN的中间水平，也符合更广泛的土壤数据比较。</w:t>
      </w:r>
    </w:p>
    <w:p>
      <w:pPr>
        <w:pStyle w:val="Normal"/>
      </w:pPr>
      <w:r>
        <w:t xml:space="preserve">序列量：10,115,398,800 个碱基。下载文件合计 7,496,700,808 字节（十进制 7.497 GB），共 2 个文件。</w:t>
      </w:r>
    </w:p>
    <w:p>
      <w:pPr>
        <w:pStyle w:val="Normal"/>
      </w:pPr>
      <w:r>
        <w:t xml:space="preserve">数量依据：该数据报告 101.2 亿个碱基，接近其 8次测序RUN研究的中位数 103.2 亿个碱基，且处于较广的土壤鸟枪法数据范围内；已知研究中位数的中位数为 129.1 亿个碱基。</w:t>
      </w:r>
    </w:p>
    <w:p>
      <w:pPr>
        <w:pStyle w:val="Normal"/>
      </w:pPr>
      <w:r>
        <w:t xml:space="preserve">公开记录：</w:t>
      </w:r>
      <w:hyperlink r:id="rId120">
        <w:r>
          <w:rPr>
            <w:color w:val="0563C1"/>
            <w:u w:val="single"/>
          </w:rPr>
          <w:t xml:space="preserve">DRR1000746</w:t>
        </w:r>
      </w:hyperlink>
      <w:r>
        <w:t xml:space="preserve">。建议参考序列：混合物/特征参考尚未确定；未指定单一基因组 FASTA。</w:t>
      </w:r>
    </w:p>
    <w:p>
      <w:pPr>
        <w:pStyle w:val="Heading2"/>
      </w:pPr>
      <w:r>
        <w:t xml:space="preserve">数据 50：肠道鸟枪法群落 DNA</w:t>
      </w:r>
    </w:p>
    <w:p>
      <w:pPr>
        <w:pStyle w:val="Normal"/>
      </w:pPr>
      <w:r>
        <w:t xml:space="preserve">这组数据代表常见的人体肠道鸟枪法 DNA 测序，与土壤和食品混合样本一起，补充了宿主相关群落。其序列量与来源研究及更广泛的肠道研究比较均相符。</w:t>
      </w:r>
    </w:p>
    <w:p>
      <w:pPr>
        <w:pStyle w:val="Normal"/>
      </w:pPr>
      <w:r>
        <w:t xml:space="preserve">序列量：6,596,836,500 个碱基。下载文件合计 3,130,599,344 字节（十进制 3.131 GB），共 2 个文件。</w:t>
      </w:r>
    </w:p>
    <w:p>
      <w:pPr>
        <w:pStyle w:val="Normal"/>
      </w:pPr>
      <w:r>
        <w:t xml:space="preserve">数量依据：该数据报告 66 亿个碱基，接近其 30次测序RUN研究的水平，也处于更广泛肠道鸟枪法数据中间 80% 的 2.9–98.6 亿个碱基范围内；各研究中位数的中位数为 48.1 亿个碱基。</w:t>
      </w:r>
    </w:p>
    <w:p>
      <w:pPr>
        <w:pStyle w:val="Normal"/>
      </w:pPr>
      <w:r>
        <w:t xml:space="preserve">公开记录：</w:t>
      </w:r>
      <w:hyperlink r:id="rId121">
        <w:r>
          <w:rPr>
            <w:color w:val="0563C1"/>
            <w:u w:val="single"/>
          </w:rPr>
          <w:t xml:space="preserve">DRR1003638</w:t>
        </w:r>
      </w:hyperlink>
      <w:r>
        <w:t xml:space="preserve">。建议参考序列：混合物/特征参考尚未确定；未指定单一基因组 FASTA。</w:t>
      </w:r>
    </w:p>
    <w:p>
      <w:pPr>
        <w:pStyle w:val="Heading2"/>
      </w:pPr>
      <w:r>
        <w:t xml:space="preserve">数据 51：蜂蜜鸟枪法群落 DNA</w:t>
      </w:r>
    </w:p>
    <w:p>
      <w:pPr>
        <w:pStyle w:val="Normal"/>
      </w:pPr>
      <w:r>
        <w:t xml:space="preserve">这组源自蜂蜜的测序RUN补充了食品相关的鸟枪法 DNA 测序。它是一次完整的双端测序RUN，序列量落在来源研究 63次测序RUN的范围内。其参考序列环境包含混合来源，与纯作物基因组或细菌分离株不同；实际成分/群落比例尚未确定。</w:t>
      </w:r>
    </w:p>
    <w:p>
      <w:pPr>
        <w:pStyle w:val="Normal"/>
      </w:pPr>
      <w:r>
        <w:t xml:space="preserve">序列量：5,697,274,998 个碱基。下载文件合计 2,096,744,147 字节（十进制 2.097 GB），共 2 个文件。</w:t>
      </w:r>
    </w:p>
    <w:p>
      <w:pPr>
        <w:pStyle w:val="Normal"/>
      </w:pPr>
      <w:r>
        <w:t xml:space="preserve">数量依据：该数据报告 57 亿个碱基，处于 63 次匹配蜂蜜研究RUN中间 80% 的 7.4–61.4 亿个碱基范围内。</w:t>
      </w:r>
    </w:p>
    <w:p>
      <w:pPr>
        <w:pStyle w:val="Normal"/>
      </w:pPr>
      <w:r>
        <w:t xml:space="preserve">公开记录：</w:t>
      </w:r>
      <w:hyperlink r:id="rId122">
        <w:r>
          <w:rPr>
            <w:color w:val="0563C1"/>
            <w:u w:val="single"/>
          </w:rPr>
          <w:t xml:space="preserve">SRR27931704</w:t>
        </w:r>
      </w:hyperlink>
      <w:r>
        <w:t xml:space="preserve">。建议参考序列：混合物/特征参考尚未确定；未指定单一基因组 FASTA。</w:t>
      </w:r>
    </w:p>
    <w:p>
      <w:pPr>
        <w:pStyle w:val="Normal"/>
      </w:pPr>
      <w:r>
        <w:t xml:space="preserve">方法和数量依据：</w:t>
      </w:r>
      <w:hyperlink r:id="rId123">
        <w:r>
          <w:rPr>
            <w:color w:val="0563C1"/>
            <w:u w:val="single"/>
          </w:rPr>
          <w:t xml:space="preserve">蜂蜜鸟枪法 源样本记录</w:t>
        </w:r>
      </w:hyperlink>
    </w:p>
    <w:p>
      <w:pPr>
        <w:pStyle w:val="Heading2"/>
      </w:pPr>
      <w:r>
        <w:t xml:space="preserve">数据 52：CHO 基因组组装研究</w:t>
      </w:r>
    </w:p>
    <w:p>
      <w:pPr>
        <w:pStyle w:val="Normal"/>
      </w:pPr>
      <w:r>
        <w:t xml:space="preserve">这次无 PCR 的 CHO 基因组测序RUN代表工业生产细胞系的基因组组装研究。纳入具名 CHO6262360 样本的一次完整双端RUN，报告 67.10 十亿个碱基。这是组装相关的基因组工作负载，不是制造质量控制检测，也不代表整个项目。</w:t>
      </w:r>
    </w:p>
    <w:p>
      <w:pPr>
        <w:pStyle w:val="Normal"/>
      </w:pPr>
      <w:r>
        <w:t xml:space="preserve">序列量：67,097,495,750 个碱基（67.097 十亿）。下载：39,740,914,851 字节（39.741 十进制 GB），共 2 个文件。</w:t>
      </w:r>
    </w:p>
    <w:p>
      <w:pPr>
        <w:pStyle w:val="Normal"/>
      </w:pPr>
      <w:r>
        <w:t xml:space="preserve">数据量依据：具名的 CHO6262360 双端基因组测序RUN报告 67,097,495,750 个碱基。</w:t>
      </w:r>
    </w:p>
    <w:p>
      <w:pPr>
        <w:pStyle w:val="Normal"/>
      </w:pPr>
      <w:r>
        <w:t xml:space="preserve">公开记录：</w:t>
      </w:r>
      <w:hyperlink r:id="rId124">
        <w:r>
          <w:rPr>
            <w:color w:val="0563C1"/>
            <w:u w:val="single"/>
          </w:rPr>
          <w:t xml:space="preserve">ERR2189808</w:t>
        </w:r>
      </w:hyperlink>
      <w:r>
        <w:t xml:space="preserve">。参考序列：fa 编号 17 / GCF_003668045.3。</w:t>
      </w:r>
    </w:p>
    <w:p>
      <w:pPr>
        <w:pStyle w:val="Normal"/>
      </w:pPr>
      <w:r>
        <w:t xml:space="preserve">使用前请注意：ENA 根据提交的 CRAM 生成了清单中的 FASTQ；这些文件并未被认证为未经改动的仪器原始文件。确切的 CHO 衍生文件及其与建议参考序列是否一致仍未知。文件内容、顺序、读长、质量值和完整性均未检查。</w:t>
      </w:r>
    </w:p>
    <w:p>
      <w:pPr>
        <w:pStyle w:val="Normal"/>
      </w:pPr>
      <w:r>
        <w:t xml:space="preserve">方法与数据量来源：</w:t>
      </w:r>
      <w:hyperlink r:id="rId125">
        <w:r>
          <w:rPr>
            <w:color w:val="0563C1"/>
            <w:u w:val="single"/>
          </w:rPr>
          <w:t xml:space="preserve">CHO6262360 双端基因组测序RUN元数据</w:t>
        </w:r>
      </w:hyperlink>
      <w:r>
        <w:t xml:space="preserve"> </w:t>
      </w:r>
      <w:hyperlink r:id="rId126">
        <w:r>
          <w:rPr>
            <w:color w:val="0563C1"/>
            <w:u w:val="single"/>
          </w:rPr>
          <w:t xml:space="preserve">所选小麦、CITE 和 CHO 测序RUN的 ENA 计数、公开日期和文件校验和</w:t>
        </w:r>
      </w:hyperlink>
    </w:p>
    <w:p>
      <w:pPr>
        <w:pStyle w:val="Heading1"/>
      </w:pPr>
      <w:r>
        <w:t xml:space="preserve">下载、检查和准备文件</w:t>
      </w:r>
    </w:p>
    <w:p>
      <w:pPr>
        <w:pStyle w:val="Normal"/>
      </w:pPr>
      <w:hyperlink r:id="rId127">
        <w:r>
          <w:rPr>
            <w:color w:val="0563C1"/>
            <w:u w:val="single"/>
          </w:rPr>
          <w:t xml:space="preserve">下载与校验和说明</w:t>
        </w:r>
      </w:hyperlink>
      <w:r>
        <w:t xml:space="preserve">列出了全部 91 个源文件的 MD5 和检查日期。75 个文件与发布者 MD5 一致；另外 16 个通过了完整性检查，并记录了本地计算的 MD5。这些 MD5 对应下载的 gzip/BAM 文件，未压缩 FASTQ 需另行计算校验和。</w:t>
      </w:r>
    </w:p>
    <w:p>
      <w:pPr>
        <w:pStyle w:val="Normal"/>
      </w:pPr>
      <w:r>
        <w:t xml:space="preserve">请按</w:t>
      </w:r>
      <w:hyperlink r:id="rId128">
        <w:r>
          <w:rPr>
            <w:color w:val="0563C1"/>
            <w:u w:val="single"/>
          </w:rPr>
          <w:t xml:space="preserve">准备说明</w:t>
        </w:r>
      </w:hyperlink>
      <w:r>
        <w:t xml:space="preserve">检查源文件，将每个 gzip 文件分别解压，并记录未压缩 FASTQ 的字节数和 SHA-256。保留名称、序列、质量、顺序和格式；不要合并双端文件、不同测序RUN或分块，不要规范化记录，也不要重新压缩准备后的输入。必须通过完整的 gzip CRC/文件结束检查。</w:t>
      </w:r>
    </w:p>
    <w:p>
      <w:pPr>
        <w:pStyle w:val="Normal"/>
      </w:pPr>
      <w:r>
        <w:t xml:space="preserve">Data 6 须按指定的 SAMtools 1.22/htslib 1.22 规则导出。规则按 QNAME 自然排序，只保留未配对的主记录，使用已存质量值，并在主记录缺少质量值时停止。该规则已通过合成测试，但尚未用于真实 BAM。准备后的顺序不等于仪器原始顺序；FASTQ 也不会保留 BAM 标签或比对信息。</w:t>
      </w:r>
    </w:p>
    <w:p>
      <w:pPr>
        <w:pStyle w:val="Normal"/>
      </w:pPr>
      <w:r>
        <w:t xml:space="preserve">保存的前缀观察只适用于“文件”表中明确标识的对应文件。这些是非随机抽样，不能代表整个文件的分布，也不是完整性检查。FASTQ 质量行中的每个质量字符都表示编码后的质量值；“众数占比”指抽查质量位置中最常见字符所占比例。新文件或未抽查文件不能沿用其他文件的测量结果。</w:t>
      </w:r>
    </w:p>
    <w:p>
      <w:pPr>
        <w:pStyle w:val="Normal"/>
      </w:pPr>
      <w:r>
        <w:t xml:space="preserve">Data 8 是 CNGB 的一个 SINGLE 文件，不是两个配对文件或多个分块。其全文件产量以及与相关 SRA 文件是否逐字节相同均未知。保存的文件前缀包含 258 条完整读段，读长为 355–28,912 个碱基；这不能说明整个文件的读长分布。没有发布者提供的 MD5。</w:t>
      </w:r>
    </w:p>
    <w:p>
      <w:pPr>
        <w:pStyle w:val="Heading1"/>
      </w:pPr>
      <w:r>
        <w:t xml:space="preserve">参考序列版本</w:t>
      </w:r>
    </w:p>
    <w:p>
      <w:pPr>
        <w:pStyle w:val="Normal"/>
      </w:pPr>
      <w:r>
        <w:t xml:space="preserve">这 18 项参考序列于 2026 年 10 月 27 日对照 NCBI 核对。各物种采用 NCBI 当前指定的参考基因组；大肠杆菌输入保留与样本品系相符的 MG1655 参考。SARS-CoV-2 仍使用固定参考 NC_045512.2。当前参考基因组的发布日期可能较早，它不一定是最近提交的组装。“参考序列”工作表和参考序列表列出确切版本、下载地址及可查到的发布者 MD5。本次没有下载 FASTA 文件。同一物种的参考基因组不一定与样本、品种或转录本靶标完全匹配；混合群落和标签文库没有指定单一基因组参考。</w:t>
      </w:r>
    </w:p>
    <w:p>
      <w:pPr>
        <w:pStyle w:val="Normal"/>
      </w:pPr>
      <w:r>
        <w:t xml:space="preserve">参考序列 1: Homo sapiens — GRCh38.p14 / </w:t>
      </w:r>
      <w:hyperlink r:id="rId129">
        <w:r>
          <w:rPr>
            <w:color w:val="0563C1"/>
            <w:u w:val="single"/>
          </w:rPr>
          <w:t xml:space="preserve">GCF_000001405.40</w:t>
        </w:r>
      </w:hyperlink>
      <w:r>
        <w:t xml:space="preserve">. 人类参考基因组；尚未检查与各供体的匹配程度。</w:t>
      </w:r>
    </w:p>
    <w:p>
      <w:pPr>
        <w:pStyle w:val="Normal"/>
      </w:pPr>
      <w:r>
        <w:t xml:space="preserve">参考序列 2: Sus scrofa — Sscrofa_HxYL_maternal_Yorkshire_Landrace_v2.0 / </w:t>
      </w:r>
      <w:hyperlink r:id="rId130">
        <w:r>
          <w:rPr>
            <w:color w:val="0563C1"/>
            <w:u w:val="single"/>
          </w:rPr>
          <w:t xml:space="preserve">GCF_054392235.1</w:t>
        </w:r>
      </w:hyperlink>
      <w:r>
        <w:t xml:space="preserve">. Yorkshire/Landrace 猪参考基因组；所选 FASTQ 样本的品种尚未确定。</w:t>
      </w:r>
    </w:p>
    <w:p>
      <w:pPr>
        <w:pStyle w:val="Normal"/>
      </w:pPr>
      <w:r>
        <w:t xml:space="preserve">参考序列 3: Mus musculus — GRCm39 / </w:t>
      </w:r>
      <w:hyperlink r:id="rId131">
        <w:r>
          <w:rPr>
            <w:color w:val="0563C1"/>
            <w:u w:val="single"/>
          </w:rPr>
          <w:t xml:space="preserve">GCF_000001635.27</w:t>
        </w:r>
      </w:hyperlink>
      <w:r>
        <w:t xml:space="preserve">. C57BL/6J 小鼠参考基因组；仍需确认供体亚品系和转录本靶标。ERCC 外源对照需要单独的参考序列。</w:t>
      </w:r>
    </w:p>
    <w:p>
      <w:pPr>
        <w:pStyle w:val="Normal"/>
      </w:pPr>
      <w:r>
        <w:t xml:space="preserve">参考序列 4: Escherichia coli str. K-12 substr. MG1655 — ASM584v2 / </w:t>
      </w:r>
      <w:hyperlink r:id="rId132">
        <w:r>
          <w:rPr>
            <w:color w:val="0563C1"/>
            <w:u w:val="single"/>
          </w:rPr>
          <w:t xml:space="preserve">GCF_000005845.2</w:t>
        </w:r>
      </w:hyperlink>
      <w:r>
        <w:t xml:space="preserve">. MG1655 样本使用 MG1655 参考基因组；尚未测量读段与参考的匹配程度。</w:t>
      </w:r>
    </w:p>
    <w:p>
      <w:pPr>
        <w:pStyle w:val="Normal"/>
      </w:pPr>
      <w:r>
        <w:t xml:space="preserve">参考序列 5: Mycobacterium tuberculosis H37Rv — ASM19595v2 / </w:t>
      </w:r>
      <w:hyperlink r:id="rId133">
        <w:r>
          <w:rPr>
            <w:color w:val="0563C1"/>
            <w:u w:val="single"/>
          </w:rPr>
          <w:t xml:space="preserve">GCF_000195955.2</w:t>
        </w:r>
      </w:hyperlink>
      <w:r>
        <w:t xml:space="preserve">. H37Rv 参考基因组；尚未检查所选样本与该菌株的匹配程度。</w:t>
      </w:r>
    </w:p>
    <w:p>
      <w:pPr>
        <w:pStyle w:val="Normal"/>
      </w:pPr>
      <w:r>
        <w:t xml:space="preserve">参考序列 6: Solanum tuberosum — SolTub_3.0 / </w:t>
      </w:r>
      <w:hyperlink r:id="rId134">
        <w:r>
          <w:rPr>
            <w:color w:val="0563C1"/>
            <w:u w:val="single"/>
          </w:rPr>
          <w:t xml:space="preserve">GCF_000226075.1</w:t>
        </w:r>
      </w:hyperlink>
      <w:r>
        <w:t xml:space="preserve">. Altus 马铃薯输入使用 DM 1-3 516 R44 参考基因组，两者品种不同。</w:t>
      </w:r>
    </w:p>
    <w:p>
      <w:pPr>
        <w:pStyle w:val="Normal"/>
      </w:pPr>
      <w:r>
        <w:t xml:space="preserve">参考序列 7: Saccharomyces cerevisiae S288C — R64 / </w:t>
      </w:r>
      <w:hyperlink r:id="rId135">
        <w:r>
          <w:rPr>
            <w:color w:val="0563C1"/>
            <w:u w:val="single"/>
          </w:rPr>
          <w:t xml:space="preserve">GCF_000146045.2</w:t>
        </w:r>
      </w:hyperlink>
      <w:r>
        <w:t xml:space="preserve">. S288C 酵母参考基因组；尚未检查样本品系是否一致。</w:t>
      </w:r>
    </w:p>
    <w:p>
      <w:pPr>
        <w:pStyle w:val="Normal"/>
      </w:pPr>
      <w:r>
        <w:t xml:space="preserve">参考序列 8: Oryza sativa Japonica Group — AGIS1.0 / </w:t>
      </w:r>
      <w:hyperlink r:id="rId136">
        <w:r>
          <w:rPr>
            <w:color w:val="0563C1"/>
            <w:u w:val="single"/>
          </w:rPr>
          <w:t xml:space="preserve">GCF_034140825.1</w:t>
        </w:r>
      </w:hyperlink>
      <w:r>
        <w:t xml:space="preserve">. 日本晴粳稻参考基因组；尚未确认两组水稻输入的品种。</w:t>
      </w:r>
    </w:p>
    <w:p>
      <w:pPr>
        <w:pStyle w:val="Normal"/>
      </w:pPr>
      <w:r>
        <w:t xml:space="preserve">参考序列 9: Arabidopsis thaliana — TAIR10.1 / </w:t>
      </w:r>
      <w:hyperlink r:id="rId137">
        <w:r>
          <w:rPr>
            <w:color w:val="0563C1"/>
            <w:u w:val="single"/>
          </w:rPr>
          <w:t xml:space="preserve">GCF_000001735.4</w:t>
        </w:r>
      </w:hyperlink>
      <w:r>
        <w:t xml:space="preserve">. Columbia 拟南芥参考基因组；尚未检查样本和靶标的匹配程度。</w:t>
      </w:r>
    </w:p>
    <w:p>
      <w:pPr>
        <w:pStyle w:val="Normal"/>
      </w:pPr>
      <w:r>
        <w:t xml:space="preserve">参考序列 10: Zea mays — Zm-B73-REFERENCE-NAM-5.0 / </w:t>
      </w:r>
      <w:hyperlink r:id="rId138">
        <w:r>
          <w:rPr>
            <w:color w:val="0563C1"/>
            <w:u w:val="single"/>
          </w:rPr>
          <w:t xml:space="preserve">GCF_902167145.1</w:t>
        </w:r>
      </w:hyperlink>
      <w:r>
        <w:t xml:space="preserve">. SW1611 玉米读段使用 B73 参考基因组，两者自交系不同。</w:t>
      </w:r>
    </w:p>
    <w:p>
      <w:pPr>
        <w:pStyle w:val="Normal"/>
      </w:pPr>
      <w:r>
        <w:t xml:space="preserve">参考序列 11: Penaeus vannamei — ASM4276789v1 / </w:t>
      </w:r>
      <w:hyperlink r:id="rId139">
        <w:r>
          <w:rPr>
            <w:color w:val="0563C1"/>
            <w:u w:val="single"/>
          </w:rPr>
          <w:t xml:space="preserve">GCF_042767895.1</w:t>
        </w:r>
      </w:hyperlink>
      <w:r>
        <w:t xml:space="preserve">. JL-2024 南美白对虾参考基因组；尚未检查与所选样本的匹配程度。</w:t>
      </w:r>
    </w:p>
    <w:p>
      <w:pPr>
        <w:pStyle w:val="Normal"/>
      </w:pPr>
      <w:r>
        <w:t xml:space="preserve">参考序列 12: Gallus gallus — bGalGal1.mat.broiler.GRCg7b / </w:t>
      </w:r>
      <w:hyperlink r:id="rId140">
        <w:r>
          <w:rPr>
            <w:color w:val="0563C1"/>
            <w:u w:val="single"/>
          </w:rPr>
          <w:t xml:space="preserve">GCF_016699485.2</w:t>
        </w:r>
      </w:hyperlink>
      <w:r>
        <w:t xml:space="preserve">. 肉鸡母系参考基因组；尚未检查与所选蛋鸡样本的匹配程度。</w:t>
      </w:r>
    </w:p>
    <w:p>
      <w:pPr>
        <w:pStyle w:val="Normal"/>
      </w:pPr>
      <w:r>
        <w:t xml:space="preserve">参考序列 13: Drosophila melanogaster — Release 6 plus ISO1 MT / </w:t>
      </w:r>
      <w:hyperlink r:id="rId141">
        <w:r>
          <w:rPr>
            <w:color w:val="0563C1"/>
            <w:u w:val="single"/>
          </w:rPr>
          <w:t xml:space="preserve">GCF_000001215.4</w:t>
        </w:r>
      </w:hyperlink>
      <w:r>
        <w:t xml:space="preserve">. 果蝇参考基因组；尚未检查与所选样本的匹配程度。</w:t>
      </w:r>
    </w:p>
    <w:p>
      <w:pPr>
        <w:pStyle w:val="Normal"/>
      </w:pPr>
      <w:r>
        <w:t xml:space="preserve">参考序列 14: Severe acute respiratory syndrome coronavirus 2 — NC_045512.2 / </w:t>
      </w:r>
      <w:hyperlink r:id="rId142">
        <w:r>
          <w:rPr>
            <w:color w:val="0563C1"/>
            <w:u w:val="single"/>
          </w:rPr>
          <w:t xml:space="preserve">NC_045512.2</w:t>
        </w:r>
      </w:hyperlink>
      <w:r>
        <w:t xml:space="preserve">. 固定使用 Wuhan-Hu-1 参考；尚未检查与所选样本及靶标的匹配程度。</w:t>
      </w:r>
    </w:p>
    <w:p>
      <w:pPr>
        <w:pStyle w:val="Normal"/>
      </w:pPr>
      <w:r>
        <w:t xml:space="preserve">参考序列 15: Picea abies — Pabies01 / </w:t>
      </w:r>
      <w:hyperlink r:id="rId143">
        <w:r>
          <w:rPr>
            <w:color w:val="0563C1"/>
            <w:u w:val="single"/>
          </w:rPr>
          <w:t xml:space="preserve">GCA_900067695.1</w:t>
        </w:r>
      </w:hyperlink>
      <w:r>
        <w:t xml:space="preserve">. 挪威云杉靶向输入使用同物种参考基因组；尚未检查样本和靶标的匹配程度。</w:t>
      </w:r>
    </w:p>
    <w:p>
      <w:pPr>
        <w:pStyle w:val="Normal"/>
      </w:pPr>
      <w:r>
        <w:t xml:space="preserve">参考序列 16: Chenopodium quinoa — ASM168347v1 / </w:t>
      </w:r>
      <w:hyperlink r:id="rId144">
        <w:r>
          <w:rPr>
            <w:color w:val="0563C1"/>
            <w:u w:val="single"/>
          </w:rPr>
          <w:t xml:space="preserve">GCF_001683475.1</w:t>
        </w:r>
      </w:hyperlink>
      <w:r>
        <w:t xml:space="preserve">. QQ74 藜麦参考基因组；尚未检查样本品种是否一致。</w:t>
      </w:r>
    </w:p>
    <w:p>
      <w:pPr>
        <w:pStyle w:val="Normal"/>
      </w:pPr>
      <w:r>
        <w:t xml:space="preserve">参考序列 17: Cricetulus griseus — CriGri-PICRH-1.0 / </w:t>
      </w:r>
      <w:hyperlink r:id="rId145">
        <w:r>
          <w:rPr>
            <w:color w:val="0563C1"/>
            <w:u w:val="single"/>
          </w:rPr>
          <w:t xml:space="preserve">GCF_003668045.3</w:t>
        </w:r>
      </w:hyperlink>
      <w:r>
        <w:t xml:space="preserve">. CHO 输入使用 17A/GY 中国仓鼠参考基因组；尚未测量细胞系差异。</w:t>
      </w:r>
    </w:p>
    <w:p>
      <w:pPr>
        <w:pStyle w:val="Normal"/>
      </w:pPr>
      <w:r>
        <w:t xml:space="preserve">参考序列 18: Triticum aestivum — IWGSC CS RefSeq v2.1 / </w:t>
      </w:r>
      <w:hyperlink r:id="rId146">
        <w:r>
          <w:rPr>
            <w:color w:val="0563C1"/>
            <w:u w:val="single"/>
          </w:rPr>
          <w:t xml:space="preserve">GCF_018294505.1</w:t>
        </w:r>
      </w:hyperlink>
      <w:r>
        <w:t xml:space="preserve">. Thatcher 小麦读段使用中国春参考基因组，两者品种不同。</w:t>
      </w:r>
    </w:p>
    <w:p>
      <w:pPr>
        <w:pStyle w:val="Normal"/>
      </w:pPr>
      <w:r>
        <w:t xml:space="preserve">中国春参考基因组与 Thatcher 小麦来自不同品种。CITE 标签定义、空间掩膜和分类表属于另行记录的辅助文件。</w:t>
      </w:r>
    </w:p>
    <w:p>
      <w:pPr>
        <w:pStyle w:val="Heading1"/>
      </w:pPr>
      <w:r>
        <w:t xml:space="preserve">每个输入的文件</w:t>
      </w:r>
    </w:p>
    <w:p>
      <w:pPr>
        <w:pStyle w:val="Normal"/>
      </w:pPr>
      <w:r>
        <w:t xml:space="preserve">以下列出全部入选文件。每次双端测序RUN的两个读段端应分别保留为 FASTQ。一个 BAM 和一个单文件 CNGB 输入单独列出。文件名和 URL 均照目录原值记录。</w:t>
      </w:r>
    </w:p>
    <w:tbl>
      <w:tblPr>
        <w:tblW w:w="9360" w:type="dxa"/>
        <w:tblBorders>
          <w:top w:val="single" w:sz="4" w:color="BDCBD3"/>
          <w:left w:val="single" w:sz="4" w:color="BDCBD3"/>
          <w:bottom w:val="single" w:sz="4" w:color="BDCBD3"/>
          <w:right w:val="single" w:sz="4" w:color="BDCBD3"/>
          <w:insideH w:val="single" w:sz="4" w:color="BDCBD3"/>
          <w:insideV w:val="single" w:sz="4" w:color="BDCBD3"/>
        </w:tblBorders>
      </w:tblPr>
      <w:tr>
        <w:trPr>
          <w:cantSplit/>
          <w:tblHeader/>
        </w:trPr>
        <w:tc>
          <w:tcPr>
            <w:tcW w:w="1872" w:type="dxa"/>
            <w:shd w:fill="E7EFF4"/>
          </w:tcPr>
          <w:p>
            <w:pPr>
              <w:pStyle w:val="TableText"/>
            </w:pPr>
            <w:r>
              <w:t xml:space="preserve">数据 ID</w:t>
            </w:r>
          </w:p>
        </w:tc>
        <w:tc>
          <w:tcPr>
            <w:tcW w:w="1872" w:type="dxa"/>
            <w:shd w:fill="E7EFF4"/>
          </w:tcPr>
          <w:p>
            <w:pPr>
              <w:pStyle w:val="TableText"/>
            </w:pPr>
            <w:r>
              <w:t xml:space="preserve">RUN/来源</w:t>
            </w:r>
          </w:p>
        </w:tc>
        <w:tc>
          <w:tcPr>
            <w:tcW w:w="1872" w:type="dxa"/>
            <w:shd w:fill="E7EFF4"/>
          </w:tcPr>
          <w:p>
            <w:pPr>
              <w:pStyle w:val="TableText"/>
            </w:pPr>
            <w:r>
              <w:t xml:space="preserve">读段端/用途</w:t>
            </w:r>
          </w:p>
        </w:tc>
        <w:tc>
          <w:tcPr>
            <w:tcW w:w="1872" w:type="dxa"/>
            <w:shd w:fill="E7EFF4"/>
          </w:tcPr>
          <w:p>
            <w:pPr>
              <w:pStyle w:val="TableText"/>
            </w:pPr>
            <w:r>
              <w:t xml:space="preserve">清单中的文件名</w:t>
            </w:r>
          </w:p>
        </w:tc>
        <w:tc>
          <w:tcPr>
            <w:tcW w:w="1872" w:type="dxa"/>
            <w:shd w:fill="E7EFF4"/>
          </w:tcPr>
          <w:p>
            <w:pPr>
              <w:pStyle w:val="TableText"/>
            </w:pPr>
            <w:r>
              <w:t xml:space="preserve">下载链接</w:t>
            </w:r>
          </w:p>
        </w:tc>
      </w:tr>
      <w:tr>
        <w:trPr>
          <w:cantSplit/>
        </w:trPr>
        <w:tc>
          <w:tcPr>
            <w:tcW w:w="1872" w:type="dxa"/>
          </w:tcPr>
          <w:p>
            <w:pPr>
              <w:pStyle w:val="TableText"/>
            </w:pPr>
            <w:r>
              <w:t xml:space="preserve">1</w:t>
            </w:r>
          </w:p>
        </w:tc>
        <w:tc>
          <w:tcPr>
            <w:tcW w:w="1872" w:type="dxa"/>
          </w:tcPr>
          <w:p>
            <w:pPr>
              <w:pStyle w:val="TableText"/>
            </w:pPr>
            <w:r>
              <w:t xml:space="preserve">ERR17003126</w:t>
            </w:r>
          </w:p>
        </w:tc>
        <w:tc>
          <w:tcPr>
            <w:tcW w:w="1872" w:type="dxa"/>
          </w:tcPr>
          <w:p>
            <w:pPr>
              <w:pStyle w:val="TableText"/>
            </w:pPr>
            <w:r>
              <w:t xml:space="preserve">读段端 1；配对关系未核实</w:t>
            </w:r>
          </w:p>
        </w:tc>
        <w:tc>
          <w:tcPr>
            <w:tcW w:w="1872" w:type="dxa"/>
          </w:tcPr>
          <w:p>
            <w:pPr>
              <w:pStyle w:val="TableText"/>
            </w:pPr>
            <w:r>
              <w:t xml:space="preserve">ERR17003126_1.fastq.gz</w:t>
            </w:r>
          </w:p>
        </w:tc>
        <w:tc>
          <w:tcPr>
            <w:tcW w:w="1872" w:type="dxa"/>
          </w:tcPr>
          <w:p>
            <w:pPr>
              <w:pStyle w:val="TableText"/>
            </w:pPr>
            <w:hyperlink r:id="rId147">
              <w:r>
                <w:rPr>
                  <w:color w:val="0563C1"/>
                  <w:u w:val="single"/>
                </w:rPr>
                <w:t xml:space="preserve">ERR17003126_1.fastq.gz</w:t>
              </w:r>
            </w:hyperlink>
          </w:p>
        </w:tc>
      </w:tr>
      <w:tr>
        <w:trPr>
          <w:cantSplit/>
        </w:trPr>
        <w:tc>
          <w:tcPr>
            <w:tcW w:w="1872" w:type="dxa"/>
          </w:tcPr>
          <w:p>
            <w:pPr>
              <w:pStyle w:val="TableText"/>
            </w:pPr>
            <w:r>
              <w:t xml:space="preserve">1</w:t>
            </w:r>
          </w:p>
        </w:tc>
        <w:tc>
          <w:tcPr>
            <w:tcW w:w="1872" w:type="dxa"/>
          </w:tcPr>
          <w:p>
            <w:pPr>
              <w:pStyle w:val="TableText"/>
            </w:pPr>
            <w:r>
              <w:t xml:space="preserve">ERR17003126</w:t>
            </w:r>
          </w:p>
        </w:tc>
        <w:tc>
          <w:tcPr>
            <w:tcW w:w="1872" w:type="dxa"/>
          </w:tcPr>
          <w:p>
            <w:pPr>
              <w:pStyle w:val="TableText"/>
            </w:pPr>
            <w:r>
              <w:t xml:space="preserve">读段端 2；配对关系未核实</w:t>
            </w:r>
          </w:p>
        </w:tc>
        <w:tc>
          <w:tcPr>
            <w:tcW w:w="1872" w:type="dxa"/>
          </w:tcPr>
          <w:p>
            <w:pPr>
              <w:pStyle w:val="TableText"/>
            </w:pPr>
            <w:r>
              <w:t xml:space="preserve">ERR17003126_2.fastq.gz</w:t>
            </w:r>
          </w:p>
        </w:tc>
        <w:tc>
          <w:tcPr>
            <w:tcW w:w="1872" w:type="dxa"/>
          </w:tcPr>
          <w:p>
            <w:pPr>
              <w:pStyle w:val="TableText"/>
            </w:pPr>
            <w:hyperlink r:id="rId148">
              <w:r>
                <w:rPr>
                  <w:color w:val="0563C1"/>
                  <w:u w:val="single"/>
                </w:rPr>
                <w:t xml:space="preserve">ERR17003126_2.fastq.gz</w:t>
              </w:r>
            </w:hyperlink>
          </w:p>
        </w:tc>
      </w:tr>
      <w:tr>
        <w:trPr>
          <w:cantSplit/>
        </w:trPr>
        <w:tc>
          <w:tcPr>
            <w:tcW w:w="1872" w:type="dxa"/>
          </w:tcPr>
          <w:p>
            <w:pPr>
              <w:pStyle w:val="TableText"/>
            </w:pPr>
            <w:r>
              <w:t xml:space="preserve">2</w:t>
            </w:r>
          </w:p>
        </w:tc>
        <w:tc>
          <w:tcPr>
            <w:tcW w:w="1872" w:type="dxa"/>
          </w:tcPr>
          <w:p>
            <w:pPr>
              <w:pStyle w:val="TableText"/>
            </w:pPr>
            <w:r>
              <w:t xml:space="preserve">ERR16794642</w:t>
            </w:r>
          </w:p>
        </w:tc>
        <w:tc>
          <w:tcPr>
            <w:tcW w:w="1872" w:type="dxa"/>
          </w:tcPr>
          <w:p>
            <w:pPr>
              <w:pStyle w:val="TableText"/>
            </w:pPr>
            <w:r>
              <w:t xml:space="preserve">读段端 1；配对关系未核实</w:t>
            </w:r>
          </w:p>
        </w:tc>
        <w:tc>
          <w:tcPr>
            <w:tcW w:w="1872" w:type="dxa"/>
          </w:tcPr>
          <w:p>
            <w:pPr>
              <w:pStyle w:val="TableText"/>
            </w:pPr>
            <w:r>
              <w:t xml:space="preserve">ERR16794642_1.fastq.gz</w:t>
            </w:r>
          </w:p>
        </w:tc>
        <w:tc>
          <w:tcPr>
            <w:tcW w:w="1872" w:type="dxa"/>
          </w:tcPr>
          <w:p>
            <w:pPr>
              <w:pStyle w:val="TableText"/>
            </w:pPr>
            <w:hyperlink r:id="rId149">
              <w:r>
                <w:rPr>
                  <w:color w:val="0563C1"/>
                  <w:u w:val="single"/>
                </w:rPr>
                <w:t xml:space="preserve">ERR16794642_1.fastq.gz</w:t>
              </w:r>
            </w:hyperlink>
          </w:p>
        </w:tc>
      </w:tr>
      <w:tr>
        <w:trPr>
          <w:cantSplit/>
        </w:trPr>
        <w:tc>
          <w:tcPr>
            <w:tcW w:w="1872" w:type="dxa"/>
          </w:tcPr>
          <w:p>
            <w:pPr>
              <w:pStyle w:val="TableText"/>
            </w:pPr>
            <w:r>
              <w:t xml:space="preserve">2</w:t>
            </w:r>
          </w:p>
        </w:tc>
        <w:tc>
          <w:tcPr>
            <w:tcW w:w="1872" w:type="dxa"/>
          </w:tcPr>
          <w:p>
            <w:pPr>
              <w:pStyle w:val="TableText"/>
            </w:pPr>
            <w:r>
              <w:t xml:space="preserve">ERR16794642</w:t>
            </w:r>
          </w:p>
        </w:tc>
        <w:tc>
          <w:tcPr>
            <w:tcW w:w="1872" w:type="dxa"/>
          </w:tcPr>
          <w:p>
            <w:pPr>
              <w:pStyle w:val="TableText"/>
            </w:pPr>
            <w:r>
              <w:t xml:space="preserve">读段端 2；配对关系未核实</w:t>
            </w:r>
          </w:p>
        </w:tc>
        <w:tc>
          <w:tcPr>
            <w:tcW w:w="1872" w:type="dxa"/>
          </w:tcPr>
          <w:p>
            <w:pPr>
              <w:pStyle w:val="TableText"/>
            </w:pPr>
            <w:r>
              <w:t xml:space="preserve">ERR16794642_2.fastq.gz</w:t>
            </w:r>
          </w:p>
        </w:tc>
        <w:tc>
          <w:tcPr>
            <w:tcW w:w="1872" w:type="dxa"/>
          </w:tcPr>
          <w:p>
            <w:pPr>
              <w:pStyle w:val="TableText"/>
            </w:pPr>
            <w:hyperlink r:id="rId150">
              <w:r>
                <w:rPr>
                  <w:color w:val="0563C1"/>
                  <w:u w:val="single"/>
                </w:rPr>
                <w:t xml:space="preserve">ERR16794642_2.fastq.gz</w:t>
              </w:r>
            </w:hyperlink>
          </w:p>
        </w:tc>
      </w:tr>
      <w:tr>
        <w:trPr>
          <w:cantSplit/>
        </w:trPr>
        <w:tc>
          <w:tcPr>
            <w:tcW w:w="1872" w:type="dxa"/>
          </w:tcPr>
          <w:p>
            <w:pPr>
              <w:pStyle w:val="TableText"/>
            </w:pPr>
            <w:r>
              <w:t xml:space="preserve">3</w:t>
            </w:r>
          </w:p>
        </w:tc>
        <w:tc>
          <w:tcPr>
            <w:tcW w:w="1872" w:type="dxa"/>
          </w:tcPr>
          <w:p>
            <w:pPr>
              <w:pStyle w:val="TableText"/>
            </w:pPr>
            <w:r>
              <w:t xml:space="preserve">SRR33329596</w:t>
            </w:r>
          </w:p>
        </w:tc>
        <w:tc>
          <w:tcPr>
            <w:tcW w:w="1872" w:type="dxa"/>
          </w:tcPr>
          <w:p>
            <w:pPr>
              <w:pStyle w:val="TableText"/>
            </w:pPr>
            <w:r>
              <w:t xml:space="preserve">读段端 1；配对关系未核实</w:t>
            </w:r>
          </w:p>
        </w:tc>
        <w:tc>
          <w:tcPr>
            <w:tcW w:w="1872" w:type="dxa"/>
          </w:tcPr>
          <w:p>
            <w:pPr>
              <w:pStyle w:val="TableText"/>
            </w:pPr>
            <w:r>
              <w:t xml:space="preserve">SRR33329596_1.fastq.gz</w:t>
            </w:r>
          </w:p>
        </w:tc>
        <w:tc>
          <w:tcPr>
            <w:tcW w:w="1872" w:type="dxa"/>
          </w:tcPr>
          <w:p>
            <w:pPr>
              <w:pStyle w:val="TableText"/>
            </w:pPr>
            <w:hyperlink r:id="rId151">
              <w:r>
                <w:rPr>
                  <w:color w:val="0563C1"/>
                  <w:u w:val="single"/>
                </w:rPr>
                <w:t xml:space="preserve">SRR33329596_1.fastq.gz</w:t>
              </w:r>
            </w:hyperlink>
          </w:p>
        </w:tc>
      </w:tr>
      <w:tr>
        <w:trPr>
          <w:cantSplit/>
        </w:trPr>
        <w:tc>
          <w:tcPr>
            <w:tcW w:w="1872" w:type="dxa"/>
          </w:tcPr>
          <w:p>
            <w:pPr>
              <w:pStyle w:val="TableText"/>
            </w:pPr>
            <w:r>
              <w:t xml:space="preserve">3</w:t>
            </w:r>
          </w:p>
        </w:tc>
        <w:tc>
          <w:tcPr>
            <w:tcW w:w="1872" w:type="dxa"/>
          </w:tcPr>
          <w:p>
            <w:pPr>
              <w:pStyle w:val="TableText"/>
            </w:pPr>
            <w:r>
              <w:t xml:space="preserve">SRR33329596</w:t>
            </w:r>
          </w:p>
        </w:tc>
        <w:tc>
          <w:tcPr>
            <w:tcW w:w="1872" w:type="dxa"/>
          </w:tcPr>
          <w:p>
            <w:pPr>
              <w:pStyle w:val="TableText"/>
            </w:pPr>
            <w:r>
              <w:t xml:space="preserve">读段端 2；配对关系未核实</w:t>
            </w:r>
          </w:p>
        </w:tc>
        <w:tc>
          <w:tcPr>
            <w:tcW w:w="1872" w:type="dxa"/>
          </w:tcPr>
          <w:p>
            <w:pPr>
              <w:pStyle w:val="TableText"/>
            </w:pPr>
            <w:r>
              <w:t xml:space="preserve">SRR33329596_2.fastq.gz</w:t>
            </w:r>
          </w:p>
        </w:tc>
        <w:tc>
          <w:tcPr>
            <w:tcW w:w="1872" w:type="dxa"/>
          </w:tcPr>
          <w:p>
            <w:pPr>
              <w:pStyle w:val="TableText"/>
            </w:pPr>
            <w:hyperlink r:id="rId152">
              <w:r>
                <w:rPr>
                  <w:color w:val="0563C1"/>
                  <w:u w:val="single"/>
                </w:rPr>
                <w:t xml:space="preserve">SRR33329596_2.fastq.gz</w:t>
              </w:r>
            </w:hyperlink>
          </w:p>
        </w:tc>
      </w:tr>
      <w:tr>
        <w:trPr>
          <w:cantSplit/>
        </w:trPr>
        <w:tc>
          <w:tcPr>
            <w:tcW w:w="1872" w:type="dxa"/>
          </w:tcPr>
          <w:p>
            <w:pPr>
              <w:pStyle w:val="TableText"/>
            </w:pPr>
            <w:r>
              <w:t xml:space="preserve">4</w:t>
            </w:r>
          </w:p>
        </w:tc>
        <w:tc>
          <w:tcPr>
            <w:tcW w:w="1872" w:type="dxa"/>
          </w:tcPr>
          <w:p>
            <w:pPr>
              <w:pStyle w:val="TableText"/>
            </w:pPr>
            <w:r>
              <w:t xml:space="preserve">ERR15383198</w:t>
            </w:r>
          </w:p>
        </w:tc>
        <w:tc>
          <w:tcPr>
            <w:tcW w:w="1872" w:type="dxa"/>
          </w:tcPr>
          <w:p>
            <w:pPr>
              <w:pStyle w:val="TableText"/>
            </w:pPr>
            <w:r>
              <w:t xml:space="preserve">读段端 1；配对关系未核实</w:t>
            </w:r>
          </w:p>
        </w:tc>
        <w:tc>
          <w:tcPr>
            <w:tcW w:w="1872" w:type="dxa"/>
          </w:tcPr>
          <w:p>
            <w:pPr>
              <w:pStyle w:val="TableText"/>
            </w:pPr>
            <w:r>
              <w:t xml:space="preserve">ERR15383198_1.fastq.gz</w:t>
            </w:r>
          </w:p>
        </w:tc>
        <w:tc>
          <w:tcPr>
            <w:tcW w:w="1872" w:type="dxa"/>
          </w:tcPr>
          <w:p>
            <w:pPr>
              <w:pStyle w:val="TableText"/>
            </w:pPr>
            <w:hyperlink r:id="rId153">
              <w:r>
                <w:rPr>
                  <w:color w:val="0563C1"/>
                  <w:u w:val="single"/>
                </w:rPr>
                <w:t xml:space="preserve">ERR15383198_1.fastq.gz</w:t>
              </w:r>
            </w:hyperlink>
          </w:p>
        </w:tc>
      </w:tr>
      <w:tr>
        <w:trPr>
          <w:cantSplit/>
        </w:trPr>
        <w:tc>
          <w:tcPr>
            <w:tcW w:w="1872" w:type="dxa"/>
          </w:tcPr>
          <w:p>
            <w:pPr>
              <w:pStyle w:val="TableText"/>
            </w:pPr>
            <w:r>
              <w:t xml:space="preserve">4</w:t>
            </w:r>
          </w:p>
        </w:tc>
        <w:tc>
          <w:tcPr>
            <w:tcW w:w="1872" w:type="dxa"/>
          </w:tcPr>
          <w:p>
            <w:pPr>
              <w:pStyle w:val="TableText"/>
            </w:pPr>
            <w:r>
              <w:t xml:space="preserve">ERR15383198</w:t>
            </w:r>
          </w:p>
        </w:tc>
        <w:tc>
          <w:tcPr>
            <w:tcW w:w="1872" w:type="dxa"/>
          </w:tcPr>
          <w:p>
            <w:pPr>
              <w:pStyle w:val="TableText"/>
            </w:pPr>
            <w:r>
              <w:t xml:space="preserve">读段端 2；配对关系未核实</w:t>
            </w:r>
          </w:p>
        </w:tc>
        <w:tc>
          <w:tcPr>
            <w:tcW w:w="1872" w:type="dxa"/>
          </w:tcPr>
          <w:p>
            <w:pPr>
              <w:pStyle w:val="TableText"/>
            </w:pPr>
            <w:r>
              <w:t xml:space="preserve">ERR15383198_2.fastq.gz</w:t>
            </w:r>
          </w:p>
        </w:tc>
        <w:tc>
          <w:tcPr>
            <w:tcW w:w="1872" w:type="dxa"/>
          </w:tcPr>
          <w:p>
            <w:pPr>
              <w:pStyle w:val="TableText"/>
            </w:pPr>
            <w:hyperlink r:id="rId154">
              <w:r>
                <w:rPr>
                  <w:color w:val="0563C1"/>
                  <w:u w:val="single"/>
                </w:rPr>
                <w:t xml:space="preserve">ERR15383198_2.fastq.gz</w:t>
              </w:r>
            </w:hyperlink>
          </w:p>
        </w:tc>
      </w:tr>
      <w:tr>
        <w:trPr>
          <w:cantSplit/>
        </w:trPr>
        <w:tc>
          <w:tcPr>
            <w:tcW w:w="1872" w:type="dxa"/>
          </w:tcPr>
          <w:p>
            <w:pPr>
              <w:pStyle w:val="TableText"/>
            </w:pPr>
            <w:r>
              <w:t xml:space="preserve">5</w:t>
            </w:r>
          </w:p>
        </w:tc>
        <w:tc>
          <w:tcPr>
            <w:tcW w:w="1872" w:type="dxa"/>
          </w:tcPr>
          <w:p>
            <w:pPr>
              <w:pStyle w:val="TableText"/>
            </w:pPr>
            <w:r>
              <w:t xml:space="preserve">ERR12954382</w:t>
            </w:r>
          </w:p>
        </w:tc>
        <w:tc>
          <w:tcPr>
            <w:tcW w:w="1872" w:type="dxa"/>
          </w:tcPr>
          <w:p>
            <w:pPr>
              <w:pStyle w:val="TableText"/>
            </w:pPr>
            <w:r>
              <w:t xml:space="preserve">单个已提供的 FASTQ 文件</w:t>
            </w:r>
          </w:p>
        </w:tc>
        <w:tc>
          <w:tcPr>
            <w:tcW w:w="1872" w:type="dxa"/>
          </w:tcPr>
          <w:p>
            <w:pPr>
              <w:pStyle w:val="TableText"/>
            </w:pPr>
            <w:r>
              <w:t xml:space="preserve">ERR12954382.fastq.gz</w:t>
            </w:r>
          </w:p>
        </w:tc>
        <w:tc>
          <w:tcPr>
            <w:tcW w:w="1872" w:type="dxa"/>
          </w:tcPr>
          <w:p>
            <w:pPr>
              <w:pStyle w:val="TableText"/>
            </w:pPr>
            <w:hyperlink r:id="rId155">
              <w:r>
                <w:rPr>
                  <w:color w:val="0563C1"/>
                  <w:u w:val="single"/>
                </w:rPr>
                <w:t xml:space="preserve">ERR12954382.fastq.gz</w:t>
              </w:r>
            </w:hyperlink>
          </w:p>
        </w:tc>
      </w:tr>
      <w:tr>
        <w:trPr>
          <w:cantSplit/>
        </w:trPr>
        <w:tc>
          <w:tcPr>
            <w:tcW w:w="1872" w:type="dxa"/>
          </w:tcPr>
          <w:p>
            <w:pPr>
              <w:pStyle w:val="TableText"/>
            </w:pPr>
            <w:r>
              <w:t xml:space="preserve">6</w:t>
            </w:r>
          </w:p>
        </w:tc>
        <w:tc>
          <w:tcPr>
            <w:tcW w:w="1872" w:type="dxa"/>
          </w:tcPr>
          <w:p>
            <w:pPr>
              <w:pStyle w:val="TableText"/>
            </w:pPr>
            <w:r>
              <w:t xml:space="preserve">ONT_GIAB2025_HG002_PAW70337_SUP</w:t>
            </w:r>
          </w:p>
        </w:tc>
        <w:tc>
          <w:tcPr>
            <w:tcW w:w="1872" w:type="dxa"/>
          </w:tcPr>
          <w:p>
            <w:pPr>
              <w:pStyle w:val="TableText"/>
            </w:pPr>
            <w:r>
              <w:t xml:space="preserve">BAM 源；后续导出 FASTQ</w:t>
            </w:r>
          </w:p>
        </w:tc>
        <w:tc>
          <w:tcPr>
            <w:tcW w:w="1872" w:type="dxa"/>
          </w:tcPr>
          <w:p>
            <w:pPr>
              <w:pStyle w:val="TableText"/>
            </w:pPr>
            <w:r>
              <w:t xml:space="preserve">calls.sorted.bam</w:t>
            </w:r>
          </w:p>
        </w:tc>
        <w:tc>
          <w:tcPr>
            <w:tcW w:w="1872" w:type="dxa"/>
          </w:tcPr>
          <w:p>
            <w:pPr>
              <w:pStyle w:val="TableText"/>
            </w:pPr>
            <w:hyperlink r:id="rId156">
              <w:r>
                <w:rPr>
                  <w:color w:val="0563C1"/>
                  <w:u w:val="single"/>
                </w:rPr>
                <w:t xml:space="preserve">calls.sorted.bam</w:t>
              </w:r>
            </w:hyperlink>
          </w:p>
        </w:tc>
      </w:tr>
      <w:tr>
        <w:trPr>
          <w:cantSplit/>
        </w:trPr>
        <w:tc>
          <w:tcPr>
            <w:tcW w:w="1872" w:type="dxa"/>
          </w:tcPr>
          <w:p>
            <w:pPr>
              <w:pStyle w:val="TableText"/>
            </w:pPr>
            <w:r>
              <w:t xml:space="preserve">7</w:t>
            </w:r>
          </w:p>
        </w:tc>
        <w:tc>
          <w:tcPr>
            <w:tcW w:w="1872" w:type="dxa"/>
          </w:tcPr>
          <w:p>
            <w:pPr>
              <w:pStyle w:val="TableText"/>
            </w:pPr>
            <w:r>
              <w:t xml:space="preserve">ERR14732808</w:t>
            </w:r>
          </w:p>
        </w:tc>
        <w:tc>
          <w:tcPr>
            <w:tcW w:w="1872" w:type="dxa"/>
          </w:tcPr>
          <w:p>
            <w:pPr>
              <w:pStyle w:val="TableText"/>
            </w:pPr>
            <w:r>
              <w:t xml:space="preserve">单个已提供的 FASTQ 文件</w:t>
            </w:r>
          </w:p>
        </w:tc>
        <w:tc>
          <w:tcPr>
            <w:tcW w:w="1872" w:type="dxa"/>
          </w:tcPr>
          <w:p>
            <w:pPr>
              <w:pStyle w:val="TableText"/>
            </w:pPr>
            <w:r>
              <w:t xml:space="preserve">ERR14732808.fastq.gz</w:t>
            </w:r>
          </w:p>
        </w:tc>
        <w:tc>
          <w:tcPr>
            <w:tcW w:w="1872" w:type="dxa"/>
          </w:tcPr>
          <w:p>
            <w:pPr>
              <w:pStyle w:val="TableText"/>
            </w:pPr>
            <w:hyperlink r:id="rId157">
              <w:r>
                <w:rPr>
                  <w:color w:val="0563C1"/>
                  <w:u w:val="single"/>
                </w:rPr>
                <w:t xml:space="preserve">ERR14732808.fastq.gz</w:t>
              </w:r>
            </w:hyperlink>
          </w:p>
        </w:tc>
      </w:tr>
      <w:tr>
        <w:trPr>
          <w:cantSplit/>
        </w:trPr>
        <w:tc>
          <w:tcPr>
            <w:tcW w:w="1872" w:type="dxa"/>
          </w:tcPr>
          <w:p>
            <w:pPr>
              <w:pStyle w:val="TableText"/>
            </w:pPr>
            <w:r>
              <w:t xml:space="preserve">8</w:t>
            </w:r>
          </w:p>
        </w:tc>
        <w:tc>
          <w:tcPr>
            <w:tcW w:w="1872" w:type="dxa"/>
          </w:tcPr>
          <w:p>
            <w:pPr>
              <w:pStyle w:val="TableText"/>
            </w:pPr>
            <w:r>
              <w:t xml:space="preserve">CNR1409093</w:t>
            </w:r>
          </w:p>
        </w:tc>
        <w:tc>
          <w:tcPr>
            <w:tcW w:w="1872" w:type="dxa"/>
          </w:tcPr>
          <w:p>
            <w:pPr>
              <w:pStyle w:val="TableText"/>
            </w:pPr>
            <w:r>
              <w:t xml:space="preserve">单端 FASTQ 文件；不是配对端</w:t>
            </w:r>
          </w:p>
        </w:tc>
        <w:tc>
          <w:tcPr>
            <w:tcW w:w="1872" w:type="dxa"/>
          </w:tcPr>
          <w:p>
            <w:pPr>
              <w:pStyle w:val="TableText"/>
            </w:pPr>
            <w:r>
              <w:t xml:space="preserve">WY_reads.fq.gz</w:t>
            </w:r>
          </w:p>
        </w:tc>
        <w:tc>
          <w:tcPr>
            <w:tcW w:w="1872" w:type="dxa"/>
          </w:tcPr>
          <w:p>
            <w:pPr>
              <w:pStyle w:val="TableText"/>
            </w:pPr>
            <w:hyperlink r:id="rId158">
              <w:r>
                <w:rPr>
                  <w:color w:val="0563C1"/>
                  <w:u w:val="single"/>
                </w:rPr>
                <w:t xml:space="preserve">WY_reads.fq.gz</w:t>
              </w:r>
            </w:hyperlink>
          </w:p>
        </w:tc>
      </w:tr>
      <w:tr>
        <w:trPr>
          <w:cantSplit/>
        </w:trPr>
        <w:tc>
          <w:tcPr>
            <w:tcW w:w="1872" w:type="dxa"/>
          </w:tcPr>
          <w:p>
            <w:pPr>
              <w:pStyle w:val="TableText"/>
            </w:pPr>
            <w:r>
              <w:t xml:space="preserve">9</w:t>
            </w:r>
          </w:p>
        </w:tc>
        <w:tc>
          <w:tcPr>
            <w:tcW w:w="1872" w:type="dxa"/>
          </w:tcPr>
          <w:p>
            <w:pPr>
              <w:pStyle w:val="TableText"/>
            </w:pPr>
            <w:r>
              <w:t xml:space="preserve">ERR12411150</w:t>
            </w:r>
          </w:p>
        </w:tc>
        <w:tc>
          <w:tcPr>
            <w:tcW w:w="1872" w:type="dxa"/>
          </w:tcPr>
          <w:p>
            <w:pPr>
              <w:pStyle w:val="TableText"/>
            </w:pPr>
            <w:r>
              <w:t xml:space="preserve">读段端 1；配对关系未核实</w:t>
            </w:r>
          </w:p>
        </w:tc>
        <w:tc>
          <w:tcPr>
            <w:tcW w:w="1872" w:type="dxa"/>
          </w:tcPr>
          <w:p>
            <w:pPr>
              <w:pStyle w:val="TableText"/>
            </w:pPr>
            <w:r>
              <w:t xml:space="preserve">ERR12411150_1.fastq.gz</w:t>
            </w:r>
          </w:p>
        </w:tc>
        <w:tc>
          <w:tcPr>
            <w:tcW w:w="1872" w:type="dxa"/>
          </w:tcPr>
          <w:p>
            <w:pPr>
              <w:pStyle w:val="TableText"/>
            </w:pPr>
            <w:hyperlink r:id="rId159">
              <w:r>
                <w:rPr>
                  <w:color w:val="0563C1"/>
                  <w:u w:val="single"/>
                </w:rPr>
                <w:t xml:space="preserve">ERR12411150_1.fastq.gz</w:t>
              </w:r>
            </w:hyperlink>
          </w:p>
        </w:tc>
      </w:tr>
      <w:tr>
        <w:trPr>
          <w:cantSplit/>
        </w:trPr>
        <w:tc>
          <w:tcPr>
            <w:tcW w:w="1872" w:type="dxa"/>
          </w:tcPr>
          <w:p>
            <w:pPr>
              <w:pStyle w:val="TableText"/>
            </w:pPr>
            <w:r>
              <w:t xml:space="preserve">9</w:t>
            </w:r>
          </w:p>
        </w:tc>
        <w:tc>
          <w:tcPr>
            <w:tcW w:w="1872" w:type="dxa"/>
          </w:tcPr>
          <w:p>
            <w:pPr>
              <w:pStyle w:val="TableText"/>
            </w:pPr>
            <w:r>
              <w:t xml:space="preserve">ERR12411150</w:t>
            </w:r>
          </w:p>
        </w:tc>
        <w:tc>
          <w:tcPr>
            <w:tcW w:w="1872" w:type="dxa"/>
          </w:tcPr>
          <w:p>
            <w:pPr>
              <w:pStyle w:val="TableText"/>
            </w:pPr>
            <w:r>
              <w:t xml:space="preserve">读段端 2；配对关系未核实</w:t>
            </w:r>
          </w:p>
        </w:tc>
        <w:tc>
          <w:tcPr>
            <w:tcW w:w="1872" w:type="dxa"/>
          </w:tcPr>
          <w:p>
            <w:pPr>
              <w:pStyle w:val="TableText"/>
            </w:pPr>
            <w:r>
              <w:t xml:space="preserve">ERR12411150_2.fastq.gz</w:t>
            </w:r>
          </w:p>
        </w:tc>
        <w:tc>
          <w:tcPr>
            <w:tcW w:w="1872" w:type="dxa"/>
          </w:tcPr>
          <w:p>
            <w:pPr>
              <w:pStyle w:val="TableText"/>
            </w:pPr>
            <w:hyperlink r:id="rId160">
              <w:r>
                <w:rPr>
                  <w:color w:val="0563C1"/>
                  <w:u w:val="single"/>
                </w:rPr>
                <w:t xml:space="preserve">ERR12411150_2.fastq.gz</w:t>
              </w:r>
            </w:hyperlink>
          </w:p>
        </w:tc>
      </w:tr>
      <w:tr>
        <w:trPr>
          <w:cantSplit/>
        </w:trPr>
        <w:tc>
          <w:tcPr>
            <w:tcW w:w="1872" w:type="dxa"/>
          </w:tcPr>
          <w:p>
            <w:pPr>
              <w:pStyle w:val="TableText"/>
            </w:pPr>
            <w:r>
              <w:t xml:space="preserve">10</w:t>
            </w:r>
          </w:p>
        </w:tc>
        <w:tc>
          <w:tcPr>
            <w:tcW w:w="1872" w:type="dxa"/>
          </w:tcPr>
          <w:p>
            <w:pPr>
              <w:pStyle w:val="TableText"/>
            </w:pPr>
            <w:r>
              <w:t xml:space="preserve">SRR8906645</w:t>
            </w:r>
          </w:p>
        </w:tc>
        <w:tc>
          <w:tcPr>
            <w:tcW w:w="1872" w:type="dxa"/>
          </w:tcPr>
          <w:p>
            <w:pPr>
              <w:pStyle w:val="TableText"/>
            </w:pPr>
            <w:r>
              <w:t xml:space="preserve">读段端 1；配对关系未核实</w:t>
            </w:r>
          </w:p>
        </w:tc>
        <w:tc>
          <w:tcPr>
            <w:tcW w:w="1872" w:type="dxa"/>
          </w:tcPr>
          <w:p>
            <w:pPr>
              <w:pStyle w:val="TableText"/>
            </w:pPr>
            <w:r>
              <w:t xml:space="preserve">SRR8906645_1.fastq.gz</w:t>
            </w:r>
          </w:p>
        </w:tc>
        <w:tc>
          <w:tcPr>
            <w:tcW w:w="1872" w:type="dxa"/>
          </w:tcPr>
          <w:p>
            <w:pPr>
              <w:pStyle w:val="TableText"/>
            </w:pPr>
            <w:hyperlink r:id="rId161">
              <w:r>
                <w:rPr>
                  <w:color w:val="0563C1"/>
                  <w:u w:val="single"/>
                </w:rPr>
                <w:t xml:space="preserve">SRR8906645_1.fastq.gz</w:t>
              </w:r>
            </w:hyperlink>
          </w:p>
        </w:tc>
      </w:tr>
      <w:tr>
        <w:trPr>
          <w:cantSplit/>
        </w:trPr>
        <w:tc>
          <w:tcPr>
            <w:tcW w:w="1872" w:type="dxa"/>
          </w:tcPr>
          <w:p>
            <w:pPr>
              <w:pStyle w:val="TableText"/>
            </w:pPr>
            <w:r>
              <w:t xml:space="preserve">10</w:t>
            </w:r>
          </w:p>
        </w:tc>
        <w:tc>
          <w:tcPr>
            <w:tcW w:w="1872" w:type="dxa"/>
          </w:tcPr>
          <w:p>
            <w:pPr>
              <w:pStyle w:val="TableText"/>
            </w:pPr>
            <w:r>
              <w:t xml:space="preserve">SRR8906645</w:t>
            </w:r>
          </w:p>
        </w:tc>
        <w:tc>
          <w:tcPr>
            <w:tcW w:w="1872" w:type="dxa"/>
          </w:tcPr>
          <w:p>
            <w:pPr>
              <w:pStyle w:val="TableText"/>
            </w:pPr>
            <w:r>
              <w:t xml:space="preserve">读段端 2；配对关系未核实</w:t>
            </w:r>
          </w:p>
        </w:tc>
        <w:tc>
          <w:tcPr>
            <w:tcW w:w="1872" w:type="dxa"/>
          </w:tcPr>
          <w:p>
            <w:pPr>
              <w:pStyle w:val="TableText"/>
            </w:pPr>
            <w:r>
              <w:t xml:space="preserve">SRR8906645_2.fastq.gz</w:t>
            </w:r>
          </w:p>
        </w:tc>
        <w:tc>
          <w:tcPr>
            <w:tcW w:w="1872" w:type="dxa"/>
          </w:tcPr>
          <w:p>
            <w:pPr>
              <w:pStyle w:val="TableText"/>
            </w:pPr>
            <w:hyperlink r:id="rId162">
              <w:r>
                <w:rPr>
                  <w:color w:val="0563C1"/>
                  <w:u w:val="single"/>
                </w:rPr>
                <w:t xml:space="preserve">SRR8906645_2.fastq.gz</w:t>
              </w:r>
            </w:hyperlink>
          </w:p>
        </w:tc>
      </w:tr>
      <w:tr>
        <w:trPr>
          <w:cantSplit/>
        </w:trPr>
        <w:tc>
          <w:tcPr>
            <w:tcW w:w="1872" w:type="dxa"/>
          </w:tcPr>
          <w:p>
            <w:pPr>
              <w:pStyle w:val="TableText"/>
            </w:pPr>
            <w:r>
              <w:t xml:space="preserve">11</w:t>
            </w:r>
          </w:p>
        </w:tc>
        <w:tc>
          <w:tcPr>
            <w:tcW w:w="1872" w:type="dxa"/>
          </w:tcPr>
          <w:p>
            <w:pPr>
              <w:pStyle w:val="TableText"/>
            </w:pPr>
            <w:r>
              <w:t xml:space="preserve">DRR341924</w:t>
            </w:r>
          </w:p>
        </w:tc>
        <w:tc>
          <w:tcPr>
            <w:tcW w:w="1872" w:type="dxa"/>
          </w:tcPr>
          <w:p>
            <w:pPr>
              <w:pStyle w:val="TableText"/>
            </w:pPr>
            <w:r>
              <w:t xml:space="preserve">单个已提供的 FASTQ 文件</w:t>
            </w:r>
          </w:p>
        </w:tc>
        <w:tc>
          <w:tcPr>
            <w:tcW w:w="1872" w:type="dxa"/>
          </w:tcPr>
          <w:p>
            <w:pPr>
              <w:pStyle w:val="TableText"/>
            </w:pPr>
            <w:r>
              <w:t xml:space="preserve">DRR341924.fastq.gz</w:t>
            </w:r>
          </w:p>
        </w:tc>
        <w:tc>
          <w:tcPr>
            <w:tcW w:w="1872" w:type="dxa"/>
          </w:tcPr>
          <w:p>
            <w:pPr>
              <w:pStyle w:val="TableText"/>
            </w:pPr>
            <w:hyperlink r:id="rId163">
              <w:r>
                <w:rPr>
                  <w:color w:val="0563C1"/>
                  <w:u w:val="single"/>
                </w:rPr>
                <w:t xml:space="preserve">DRR341924.fastq.gz</w:t>
              </w:r>
            </w:hyperlink>
          </w:p>
        </w:tc>
      </w:tr>
      <w:tr>
        <w:trPr>
          <w:cantSplit/>
        </w:trPr>
        <w:tc>
          <w:tcPr>
            <w:tcW w:w="1872" w:type="dxa"/>
          </w:tcPr>
          <w:p>
            <w:pPr>
              <w:pStyle w:val="TableText"/>
            </w:pPr>
            <w:r>
              <w:t xml:space="preserve">12</w:t>
            </w:r>
          </w:p>
        </w:tc>
        <w:tc>
          <w:tcPr>
            <w:tcW w:w="1872" w:type="dxa"/>
          </w:tcPr>
          <w:p>
            <w:pPr>
              <w:pStyle w:val="TableText"/>
            </w:pPr>
            <w:r>
              <w:t xml:space="preserve">SRR19440963</w:t>
            </w:r>
          </w:p>
        </w:tc>
        <w:tc>
          <w:tcPr>
            <w:tcW w:w="1872" w:type="dxa"/>
          </w:tcPr>
          <w:p>
            <w:pPr>
              <w:pStyle w:val="TableText"/>
            </w:pPr>
            <w:r>
              <w:t xml:space="preserve">读段端 1；配对关系未核实</w:t>
            </w:r>
          </w:p>
        </w:tc>
        <w:tc>
          <w:tcPr>
            <w:tcW w:w="1872" w:type="dxa"/>
          </w:tcPr>
          <w:p>
            <w:pPr>
              <w:pStyle w:val="TableText"/>
            </w:pPr>
            <w:r>
              <w:t xml:space="preserve">SRR19440963_1.fastq.gz</w:t>
            </w:r>
          </w:p>
        </w:tc>
        <w:tc>
          <w:tcPr>
            <w:tcW w:w="1872" w:type="dxa"/>
          </w:tcPr>
          <w:p>
            <w:pPr>
              <w:pStyle w:val="TableText"/>
            </w:pPr>
            <w:hyperlink r:id="rId164">
              <w:r>
                <w:rPr>
                  <w:color w:val="0563C1"/>
                  <w:u w:val="single"/>
                </w:rPr>
                <w:t xml:space="preserve">SRR19440963_1.fastq.gz</w:t>
              </w:r>
            </w:hyperlink>
          </w:p>
        </w:tc>
      </w:tr>
      <w:tr>
        <w:trPr>
          <w:cantSplit/>
        </w:trPr>
        <w:tc>
          <w:tcPr>
            <w:tcW w:w="1872" w:type="dxa"/>
          </w:tcPr>
          <w:p>
            <w:pPr>
              <w:pStyle w:val="TableText"/>
            </w:pPr>
            <w:r>
              <w:t xml:space="preserve">12</w:t>
            </w:r>
          </w:p>
        </w:tc>
        <w:tc>
          <w:tcPr>
            <w:tcW w:w="1872" w:type="dxa"/>
          </w:tcPr>
          <w:p>
            <w:pPr>
              <w:pStyle w:val="TableText"/>
            </w:pPr>
            <w:r>
              <w:t xml:space="preserve">SRR19440963</w:t>
            </w:r>
          </w:p>
        </w:tc>
        <w:tc>
          <w:tcPr>
            <w:tcW w:w="1872" w:type="dxa"/>
          </w:tcPr>
          <w:p>
            <w:pPr>
              <w:pStyle w:val="TableText"/>
            </w:pPr>
            <w:r>
              <w:t xml:space="preserve">读段端 2；配对关系未核实</w:t>
            </w:r>
          </w:p>
        </w:tc>
        <w:tc>
          <w:tcPr>
            <w:tcW w:w="1872" w:type="dxa"/>
          </w:tcPr>
          <w:p>
            <w:pPr>
              <w:pStyle w:val="TableText"/>
            </w:pPr>
            <w:r>
              <w:t xml:space="preserve">SRR19440963_2.fastq.gz</w:t>
            </w:r>
          </w:p>
        </w:tc>
        <w:tc>
          <w:tcPr>
            <w:tcW w:w="1872" w:type="dxa"/>
          </w:tcPr>
          <w:p>
            <w:pPr>
              <w:pStyle w:val="TableText"/>
            </w:pPr>
            <w:hyperlink r:id="rId165">
              <w:r>
                <w:rPr>
                  <w:color w:val="0563C1"/>
                  <w:u w:val="single"/>
                </w:rPr>
                <w:t xml:space="preserve">SRR19440963_2.fastq.gz</w:t>
              </w:r>
            </w:hyperlink>
          </w:p>
        </w:tc>
      </w:tr>
      <w:tr>
        <w:trPr>
          <w:cantSplit/>
        </w:trPr>
        <w:tc>
          <w:tcPr>
            <w:tcW w:w="1872" w:type="dxa"/>
          </w:tcPr>
          <w:p>
            <w:pPr>
              <w:pStyle w:val="TableText"/>
            </w:pPr>
            <w:r>
              <w:t xml:space="preserve">13</w:t>
            </w:r>
          </w:p>
        </w:tc>
        <w:tc>
          <w:tcPr>
            <w:tcW w:w="1872" w:type="dxa"/>
          </w:tcPr>
          <w:p>
            <w:pPr>
              <w:pStyle w:val="TableText"/>
            </w:pPr>
            <w:r>
              <w:t xml:space="preserve">DRR095727</w:t>
            </w:r>
          </w:p>
        </w:tc>
        <w:tc>
          <w:tcPr>
            <w:tcW w:w="1872" w:type="dxa"/>
          </w:tcPr>
          <w:p>
            <w:pPr>
              <w:pStyle w:val="TableText"/>
            </w:pPr>
            <w:r>
              <w:t xml:space="preserve">读段端 1；配对关系未核实</w:t>
            </w:r>
          </w:p>
        </w:tc>
        <w:tc>
          <w:tcPr>
            <w:tcW w:w="1872" w:type="dxa"/>
          </w:tcPr>
          <w:p>
            <w:pPr>
              <w:pStyle w:val="TableText"/>
            </w:pPr>
            <w:r>
              <w:t xml:space="preserve">DRR095727_1.fastq.gz</w:t>
            </w:r>
          </w:p>
        </w:tc>
        <w:tc>
          <w:tcPr>
            <w:tcW w:w="1872" w:type="dxa"/>
          </w:tcPr>
          <w:p>
            <w:pPr>
              <w:pStyle w:val="TableText"/>
            </w:pPr>
            <w:hyperlink r:id="rId166">
              <w:r>
                <w:rPr>
                  <w:color w:val="0563C1"/>
                  <w:u w:val="single"/>
                </w:rPr>
                <w:t xml:space="preserve">DRR095727_1.fastq.gz</w:t>
              </w:r>
            </w:hyperlink>
          </w:p>
        </w:tc>
      </w:tr>
      <w:tr>
        <w:trPr>
          <w:cantSplit/>
        </w:trPr>
        <w:tc>
          <w:tcPr>
            <w:tcW w:w="1872" w:type="dxa"/>
          </w:tcPr>
          <w:p>
            <w:pPr>
              <w:pStyle w:val="TableText"/>
            </w:pPr>
            <w:r>
              <w:t xml:space="preserve">13</w:t>
            </w:r>
          </w:p>
        </w:tc>
        <w:tc>
          <w:tcPr>
            <w:tcW w:w="1872" w:type="dxa"/>
          </w:tcPr>
          <w:p>
            <w:pPr>
              <w:pStyle w:val="TableText"/>
            </w:pPr>
            <w:r>
              <w:t xml:space="preserve">DRR095727</w:t>
            </w:r>
          </w:p>
        </w:tc>
        <w:tc>
          <w:tcPr>
            <w:tcW w:w="1872" w:type="dxa"/>
          </w:tcPr>
          <w:p>
            <w:pPr>
              <w:pStyle w:val="TableText"/>
            </w:pPr>
            <w:r>
              <w:t xml:space="preserve">读段端 2；配对关系未核实</w:t>
            </w:r>
          </w:p>
        </w:tc>
        <w:tc>
          <w:tcPr>
            <w:tcW w:w="1872" w:type="dxa"/>
          </w:tcPr>
          <w:p>
            <w:pPr>
              <w:pStyle w:val="TableText"/>
            </w:pPr>
            <w:r>
              <w:t xml:space="preserve">DRR095727_2.fastq.gz</w:t>
            </w:r>
          </w:p>
        </w:tc>
        <w:tc>
          <w:tcPr>
            <w:tcW w:w="1872" w:type="dxa"/>
          </w:tcPr>
          <w:p>
            <w:pPr>
              <w:pStyle w:val="TableText"/>
            </w:pPr>
            <w:hyperlink r:id="rId167">
              <w:r>
                <w:rPr>
                  <w:color w:val="0563C1"/>
                  <w:u w:val="single"/>
                </w:rPr>
                <w:t xml:space="preserve">DRR095727_2.fastq.gz</w:t>
              </w:r>
            </w:hyperlink>
          </w:p>
        </w:tc>
      </w:tr>
      <w:tr>
        <w:trPr>
          <w:cantSplit/>
        </w:trPr>
        <w:tc>
          <w:tcPr>
            <w:tcW w:w="1872" w:type="dxa"/>
          </w:tcPr>
          <w:p>
            <w:pPr>
              <w:pStyle w:val="TableText"/>
            </w:pPr>
            <w:r>
              <w:t xml:space="preserve">14</w:t>
            </w:r>
          </w:p>
        </w:tc>
        <w:tc>
          <w:tcPr>
            <w:tcW w:w="1872" w:type="dxa"/>
          </w:tcPr>
          <w:p>
            <w:pPr>
              <w:pStyle w:val="TableText"/>
            </w:pPr>
            <w:r>
              <w:t xml:space="preserve">SRR24804436</w:t>
            </w:r>
          </w:p>
        </w:tc>
        <w:tc>
          <w:tcPr>
            <w:tcW w:w="1872" w:type="dxa"/>
          </w:tcPr>
          <w:p>
            <w:pPr>
              <w:pStyle w:val="TableText"/>
            </w:pPr>
            <w:r>
              <w:t xml:space="preserve">读段端 1；配对关系未核实</w:t>
            </w:r>
          </w:p>
        </w:tc>
        <w:tc>
          <w:tcPr>
            <w:tcW w:w="1872" w:type="dxa"/>
          </w:tcPr>
          <w:p>
            <w:pPr>
              <w:pStyle w:val="TableText"/>
            </w:pPr>
            <w:r>
              <w:t xml:space="preserve">SRR24804436_1.fastq.gz</w:t>
            </w:r>
          </w:p>
        </w:tc>
        <w:tc>
          <w:tcPr>
            <w:tcW w:w="1872" w:type="dxa"/>
          </w:tcPr>
          <w:p>
            <w:pPr>
              <w:pStyle w:val="TableText"/>
            </w:pPr>
            <w:hyperlink r:id="rId168">
              <w:r>
                <w:rPr>
                  <w:color w:val="0563C1"/>
                  <w:u w:val="single"/>
                </w:rPr>
                <w:t xml:space="preserve">SRR24804436_1.fastq.gz</w:t>
              </w:r>
            </w:hyperlink>
          </w:p>
        </w:tc>
      </w:tr>
      <w:tr>
        <w:trPr>
          <w:cantSplit/>
        </w:trPr>
        <w:tc>
          <w:tcPr>
            <w:tcW w:w="1872" w:type="dxa"/>
          </w:tcPr>
          <w:p>
            <w:pPr>
              <w:pStyle w:val="TableText"/>
            </w:pPr>
            <w:r>
              <w:t xml:space="preserve">14</w:t>
            </w:r>
          </w:p>
        </w:tc>
        <w:tc>
          <w:tcPr>
            <w:tcW w:w="1872" w:type="dxa"/>
          </w:tcPr>
          <w:p>
            <w:pPr>
              <w:pStyle w:val="TableText"/>
            </w:pPr>
            <w:r>
              <w:t xml:space="preserve">SRR24804436</w:t>
            </w:r>
          </w:p>
        </w:tc>
        <w:tc>
          <w:tcPr>
            <w:tcW w:w="1872" w:type="dxa"/>
          </w:tcPr>
          <w:p>
            <w:pPr>
              <w:pStyle w:val="TableText"/>
            </w:pPr>
            <w:r>
              <w:t xml:space="preserve">读段端 2；配对关系未核实</w:t>
            </w:r>
          </w:p>
        </w:tc>
        <w:tc>
          <w:tcPr>
            <w:tcW w:w="1872" w:type="dxa"/>
          </w:tcPr>
          <w:p>
            <w:pPr>
              <w:pStyle w:val="TableText"/>
            </w:pPr>
            <w:r>
              <w:t xml:space="preserve">SRR24804436_2.fastq.gz</w:t>
            </w:r>
          </w:p>
        </w:tc>
        <w:tc>
          <w:tcPr>
            <w:tcW w:w="1872" w:type="dxa"/>
          </w:tcPr>
          <w:p>
            <w:pPr>
              <w:pStyle w:val="TableText"/>
            </w:pPr>
            <w:hyperlink r:id="rId169">
              <w:r>
                <w:rPr>
                  <w:color w:val="0563C1"/>
                  <w:u w:val="single"/>
                </w:rPr>
                <w:t xml:space="preserve">SRR24804436_2.fastq.gz</w:t>
              </w:r>
            </w:hyperlink>
          </w:p>
        </w:tc>
      </w:tr>
      <w:tr>
        <w:trPr>
          <w:cantSplit/>
        </w:trPr>
        <w:tc>
          <w:tcPr>
            <w:tcW w:w="1872" w:type="dxa"/>
          </w:tcPr>
          <w:p>
            <w:pPr>
              <w:pStyle w:val="TableText"/>
            </w:pPr>
            <w:r>
              <w:t xml:space="preserve">15</w:t>
            </w:r>
          </w:p>
        </w:tc>
        <w:tc>
          <w:tcPr>
            <w:tcW w:w="1872" w:type="dxa"/>
          </w:tcPr>
          <w:p>
            <w:pPr>
              <w:pStyle w:val="TableText"/>
            </w:pPr>
            <w:r>
              <w:t xml:space="preserve">ERR14032264</w:t>
            </w:r>
          </w:p>
        </w:tc>
        <w:tc>
          <w:tcPr>
            <w:tcW w:w="1872" w:type="dxa"/>
          </w:tcPr>
          <w:p>
            <w:pPr>
              <w:pStyle w:val="TableText"/>
            </w:pPr>
            <w:r>
              <w:t xml:space="preserve">读段端 1</w:t>
            </w:r>
          </w:p>
        </w:tc>
        <w:tc>
          <w:tcPr>
            <w:tcW w:w="1872" w:type="dxa"/>
          </w:tcPr>
          <w:p>
            <w:pPr>
              <w:pStyle w:val="TableText"/>
            </w:pPr>
            <w:r>
              <w:t xml:space="preserve">ERR14032264_1.fastq.gz</w:t>
            </w:r>
          </w:p>
        </w:tc>
        <w:tc>
          <w:tcPr>
            <w:tcW w:w="1872" w:type="dxa"/>
          </w:tcPr>
          <w:p>
            <w:pPr>
              <w:pStyle w:val="TableText"/>
            </w:pPr>
            <w:hyperlink r:id="rId170">
              <w:r>
                <w:rPr>
                  <w:color w:val="0563C1"/>
                  <w:u w:val="single"/>
                </w:rPr>
                <w:t xml:space="preserve">ERR14032264_1.fastq.gz</w:t>
              </w:r>
            </w:hyperlink>
          </w:p>
        </w:tc>
      </w:tr>
      <w:tr>
        <w:trPr>
          <w:cantSplit/>
        </w:trPr>
        <w:tc>
          <w:tcPr>
            <w:tcW w:w="1872" w:type="dxa"/>
          </w:tcPr>
          <w:p>
            <w:pPr>
              <w:pStyle w:val="TableText"/>
            </w:pPr>
            <w:r>
              <w:t xml:space="preserve">15</w:t>
            </w:r>
          </w:p>
        </w:tc>
        <w:tc>
          <w:tcPr>
            <w:tcW w:w="1872" w:type="dxa"/>
          </w:tcPr>
          <w:p>
            <w:pPr>
              <w:pStyle w:val="TableText"/>
            </w:pPr>
            <w:r>
              <w:t xml:space="preserve">ERR14032264</w:t>
            </w:r>
          </w:p>
        </w:tc>
        <w:tc>
          <w:tcPr>
            <w:tcW w:w="1872" w:type="dxa"/>
          </w:tcPr>
          <w:p>
            <w:pPr>
              <w:pStyle w:val="TableText"/>
            </w:pPr>
            <w:r>
              <w:t xml:space="preserve">读段端 2</w:t>
            </w:r>
          </w:p>
        </w:tc>
        <w:tc>
          <w:tcPr>
            <w:tcW w:w="1872" w:type="dxa"/>
          </w:tcPr>
          <w:p>
            <w:pPr>
              <w:pStyle w:val="TableText"/>
            </w:pPr>
            <w:r>
              <w:t xml:space="preserve">ERR14032264_2.fastq.gz</w:t>
            </w:r>
          </w:p>
        </w:tc>
        <w:tc>
          <w:tcPr>
            <w:tcW w:w="1872" w:type="dxa"/>
          </w:tcPr>
          <w:p>
            <w:pPr>
              <w:pStyle w:val="TableText"/>
            </w:pPr>
            <w:hyperlink r:id="rId171">
              <w:r>
                <w:rPr>
                  <w:color w:val="0563C1"/>
                  <w:u w:val="single"/>
                </w:rPr>
                <w:t xml:space="preserve">ERR14032264_2.fastq.gz</w:t>
              </w:r>
            </w:hyperlink>
          </w:p>
        </w:tc>
      </w:tr>
      <w:tr>
        <w:trPr>
          <w:cantSplit/>
        </w:trPr>
        <w:tc>
          <w:tcPr>
            <w:tcW w:w="1872" w:type="dxa"/>
          </w:tcPr>
          <w:p>
            <w:pPr>
              <w:pStyle w:val="TableText"/>
            </w:pPr>
            <w:r>
              <w:t xml:space="preserve">16</w:t>
            </w:r>
          </w:p>
        </w:tc>
        <w:tc>
          <w:tcPr>
            <w:tcW w:w="1872" w:type="dxa"/>
          </w:tcPr>
          <w:p>
            <w:pPr>
              <w:pStyle w:val="TableText"/>
            </w:pPr>
            <w:r>
              <w:t xml:space="preserve">ERR9904291</w:t>
            </w:r>
          </w:p>
        </w:tc>
        <w:tc>
          <w:tcPr>
            <w:tcW w:w="1872" w:type="dxa"/>
          </w:tcPr>
          <w:p>
            <w:pPr>
              <w:pStyle w:val="TableText"/>
            </w:pPr>
            <w:r>
              <w:t xml:space="preserve">读段端 1</w:t>
            </w:r>
          </w:p>
        </w:tc>
        <w:tc>
          <w:tcPr>
            <w:tcW w:w="1872" w:type="dxa"/>
          </w:tcPr>
          <w:p>
            <w:pPr>
              <w:pStyle w:val="TableText"/>
            </w:pPr>
            <w:r>
              <w:t xml:space="preserve">ERR9904291_1.fastq.gz</w:t>
            </w:r>
          </w:p>
        </w:tc>
        <w:tc>
          <w:tcPr>
            <w:tcW w:w="1872" w:type="dxa"/>
          </w:tcPr>
          <w:p>
            <w:pPr>
              <w:pStyle w:val="TableText"/>
            </w:pPr>
            <w:hyperlink r:id="rId172">
              <w:r>
                <w:rPr>
                  <w:color w:val="0563C1"/>
                  <w:u w:val="single"/>
                </w:rPr>
                <w:t xml:space="preserve">ERR9904291_1.fastq.gz</w:t>
              </w:r>
            </w:hyperlink>
          </w:p>
        </w:tc>
      </w:tr>
      <w:tr>
        <w:trPr>
          <w:cantSplit/>
        </w:trPr>
        <w:tc>
          <w:tcPr>
            <w:tcW w:w="1872" w:type="dxa"/>
          </w:tcPr>
          <w:p>
            <w:pPr>
              <w:pStyle w:val="TableText"/>
            </w:pPr>
            <w:r>
              <w:t xml:space="preserve">16</w:t>
            </w:r>
          </w:p>
        </w:tc>
        <w:tc>
          <w:tcPr>
            <w:tcW w:w="1872" w:type="dxa"/>
          </w:tcPr>
          <w:p>
            <w:pPr>
              <w:pStyle w:val="TableText"/>
            </w:pPr>
            <w:r>
              <w:t xml:space="preserve">ERR9904291</w:t>
            </w:r>
          </w:p>
        </w:tc>
        <w:tc>
          <w:tcPr>
            <w:tcW w:w="1872" w:type="dxa"/>
          </w:tcPr>
          <w:p>
            <w:pPr>
              <w:pStyle w:val="TableText"/>
            </w:pPr>
            <w:r>
              <w:t xml:space="preserve">读段端 2</w:t>
            </w:r>
          </w:p>
        </w:tc>
        <w:tc>
          <w:tcPr>
            <w:tcW w:w="1872" w:type="dxa"/>
          </w:tcPr>
          <w:p>
            <w:pPr>
              <w:pStyle w:val="TableText"/>
            </w:pPr>
            <w:r>
              <w:t xml:space="preserve">ERR9904291_2.fastq.gz</w:t>
            </w:r>
          </w:p>
        </w:tc>
        <w:tc>
          <w:tcPr>
            <w:tcW w:w="1872" w:type="dxa"/>
          </w:tcPr>
          <w:p>
            <w:pPr>
              <w:pStyle w:val="TableText"/>
            </w:pPr>
            <w:hyperlink r:id="rId173">
              <w:r>
                <w:rPr>
                  <w:color w:val="0563C1"/>
                  <w:u w:val="single"/>
                </w:rPr>
                <w:t xml:space="preserve">ERR9904291_2.fastq.gz</w:t>
              </w:r>
            </w:hyperlink>
          </w:p>
        </w:tc>
      </w:tr>
      <w:tr>
        <w:trPr>
          <w:cantSplit/>
        </w:trPr>
        <w:tc>
          <w:tcPr>
            <w:tcW w:w="1872" w:type="dxa"/>
          </w:tcPr>
          <w:p>
            <w:pPr>
              <w:pStyle w:val="TableText"/>
            </w:pPr>
            <w:r>
              <w:t xml:space="preserve">17</w:t>
            </w:r>
          </w:p>
        </w:tc>
        <w:tc>
          <w:tcPr>
            <w:tcW w:w="1872" w:type="dxa"/>
          </w:tcPr>
          <w:p>
            <w:pPr>
              <w:pStyle w:val="TableText"/>
            </w:pPr>
            <w:r>
              <w:t xml:space="preserve">SRR14993639</w:t>
            </w:r>
          </w:p>
        </w:tc>
        <w:tc>
          <w:tcPr>
            <w:tcW w:w="1872" w:type="dxa"/>
          </w:tcPr>
          <w:p>
            <w:pPr>
              <w:pStyle w:val="TableText"/>
            </w:pPr>
            <w:r>
              <w:t xml:space="preserve">读段端 1；配对关系未核实</w:t>
            </w:r>
          </w:p>
        </w:tc>
        <w:tc>
          <w:tcPr>
            <w:tcW w:w="1872" w:type="dxa"/>
          </w:tcPr>
          <w:p>
            <w:pPr>
              <w:pStyle w:val="TableText"/>
            </w:pPr>
            <w:r>
              <w:t xml:space="preserve">SRR14993639_1.fastq.gz</w:t>
            </w:r>
          </w:p>
        </w:tc>
        <w:tc>
          <w:tcPr>
            <w:tcW w:w="1872" w:type="dxa"/>
          </w:tcPr>
          <w:p>
            <w:pPr>
              <w:pStyle w:val="TableText"/>
            </w:pPr>
            <w:hyperlink r:id="rId174">
              <w:r>
                <w:rPr>
                  <w:color w:val="0563C1"/>
                  <w:u w:val="single"/>
                </w:rPr>
                <w:t xml:space="preserve">SRR14993639_1.fastq.gz</w:t>
              </w:r>
            </w:hyperlink>
          </w:p>
        </w:tc>
      </w:tr>
      <w:tr>
        <w:trPr>
          <w:cantSplit/>
        </w:trPr>
        <w:tc>
          <w:tcPr>
            <w:tcW w:w="1872" w:type="dxa"/>
          </w:tcPr>
          <w:p>
            <w:pPr>
              <w:pStyle w:val="TableText"/>
            </w:pPr>
            <w:r>
              <w:t xml:space="preserve">17</w:t>
            </w:r>
          </w:p>
        </w:tc>
        <w:tc>
          <w:tcPr>
            <w:tcW w:w="1872" w:type="dxa"/>
          </w:tcPr>
          <w:p>
            <w:pPr>
              <w:pStyle w:val="TableText"/>
            </w:pPr>
            <w:r>
              <w:t xml:space="preserve">SRR14993639</w:t>
            </w:r>
          </w:p>
        </w:tc>
        <w:tc>
          <w:tcPr>
            <w:tcW w:w="1872" w:type="dxa"/>
          </w:tcPr>
          <w:p>
            <w:pPr>
              <w:pStyle w:val="TableText"/>
            </w:pPr>
            <w:r>
              <w:t xml:space="preserve">读段端 2；配对关系未核实</w:t>
            </w:r>
          </w:p>
        </w:tc>
        <w:tc>
          <w:tcPr>
            <w:tcW w:w="1872" w:type="dxa"/>
          </w:tcPr>
          <w:p>
            <w:pPr>
              <w:pStyle w:val="TableText"/>
            </w:pPr>
            <w:r>
              <w:t xml:space="preserve">SRR14993639_2.fastq.gz</w:t>
            </w:r>
          </w:p>
        </w:tc>
        <w:tc>
          <w:tcPr>
            <w:tcW w:w="1872" w:type="dxa"/>
          </w:tcPr>
          <w:p>
            <w:pPr>
              <w:pStyle w:val="TableText"/>
            </w:pPr>
            <w:hyperlink r:id="rId175">
              <w:r>
                <w:rPr>
                  <w:color w:val="0563C1"/>
                  <w:u w:val="single"/>
                </w:rPr>
                <w:t xml:space="preserve">SRR14993639_2.fastq.gz</w:t>
              </w:r>
            </w:hyperlink>
          </w:p>
        </w:tc>
      </w:tr>
      <w:tr>
        <w:trPr>
          <w:cantSplit/>
        </w:trPr>
        <w:tc>
          <w:tcPr>
            <w:tcW w:w="1872" w:type="dxa"/>
          </w:tcPr>
          <w:p>
            <w:pPr>
              <w:pStyle w:val="TableText"/>
            </w:pPr>
            <w:r>
              <w:t xml:space="preserve">18</w:t>
            </w:r>
          </w:p>
        </w:tc>
        <w:tc>
          <w:tcPr>
            <w:tcW w:w="1872" w:type="dxa"/>
          </w:tcPr>
          <w:p>
            <w:pPr>
              <w:pStyle w:val="TableText"/>
            </w:pPr>
            <w:r>
              <w:t xml:space="preserve">DRR1000971</w:t>
            </w:r>
          </w:p>
        </w:tc>
        <w:tc>
          <w:tcPr>
            <w:tcW w:w="1872" w:type="dxa"/>
          </w:tcPr>
          <w:p>
            <w:pPr>
              <w:pStyle w:val="TableText"/>
            </w:pPr>
            <w:r>
              <w:t xml:space="preserve">读段端 1；配对关系未核实</w:t>
            </w:r>
          </w:p>
        </w:tc>
        <w:tc>
          <w:tcPr>
            <w:tcW w:w="1872" w:type="dxa"/>
          </w:tcPr>
          <w:p>
            <w:pPr>
              <w:pStyle w:val="TableText"/>
            </w:pPr>
            <w:r>
              <w:t xml:space="preserve">DRR1000971_1.fastq.gz</w:t>
            </w:r>
          </w:p>
        </w:tc>
        <w:tc>
          <w:tcPr>
            <w:tcW w:w="1872" w:type="dxa"/>
          </w:tcPr>
          <w:p>
            <w:pPr>
              <w:pStyle w:val="TableText"/>
            </w:pPr>
            <w:hyperlink r:id="rId176">
              <w:r>
                <w:rPr>
                  <w:color w:val="0563C1"/>
                  <w:u w:val="single"/>
                </w:rPr>
                <w:t xml:space="preserve">DRR1000971_1.fastq.gz</w:t>
              </w:r>
            </w:hyperlink>
          </w:p>
        </w:tc>
      </w:tr>
      <w:tr>
        <w:trPr>
          <w:cantSplit/>
        </w:trPr>
        <w:tc>
          <w:tcPr>
            <w:tcW w:w="1872" w:type="dxa"/>
          </w:tcPr>
          <w:p>
            <w:pPr>
              <w:pStyle w:val="TableText"/>
            </w:pPr>
            <w:r>
              <w:t xml:space="preserve">18</w:t>
            </w:r>
          </w:p>
        </w:tc>
        <w:tc>
          <w:tcPr>
            <w:tcW w:w="1872" w:type="dxa"/>
          </w:tcPr>
          <w:p>
            <w:pPr>
              <w:pStyle w:val="TableText"/>
            </w:pPr>
            <w:r>
              <w:t xml:space="preserve">DRR1000971</w:t>
            </w:r>
          </w:p>
        </w:tc>
        <w:tc>
          <w:tcPr>
            <w:tcW w:w="1872" w:type="dxa"/>
          </w:tcPr>
          <w:p>
            <w:pPr>
              <w:pStyle w:val="TableText"/>
            </w:pPr>
            <w:r>
              <w:t xml:space="preserve">读段端 2；配对关系未核实</w:t>
            </w:r>
          </w:p>
        </w:tc>
        <w:tc>
          <w:tcPr>
            <w:tcW w:w="1872" w:type="dxa"/>
          </w:tcPr>
          <w:p>
            <w:pPr>
              <w:pStyle w:val="TableText"/>
            </w:pPr>
            <w:r>
              <w:t xml:space="preserve">DRR1000971_2.fastq.gz</w:t>
            </w:r>
          </w:p>
        </w:tc>
        <w:tc>
          <w:tcPr>
            <w:tcW w:w="1872" w:type="dxa"/>
          </w:tcPr>
          <w:p>
            <w:pPr>
              <w:pStyle w:val="TableText"/>
            </w:pPr>
            <w:hyperlink r:id="rId177">
              <w:r>
                <w:rPr>
                  <w:color w:val="0563C1"/>
                  <w:u w:val="single"/>
                </w:rPr>
                <w:t xml:space="preserve">DRR1000971_2.fastq.gz</w:t>
              </w:r>
            </w:hyperlink>
          </w:p>
        </w:tc>
      </w:tr>
      <w:tr>
        <w:trPr>
          <w:cantSplit/>
        </w:trPr>
        <w:tc>
          <w:tcPr>
            <w:tcW w:w="1872" w:type="dxa"/>
          </w:tcPr>
          <w:p>
            <w:pPr>
              <w:pStyle w:val="TableText"/>
            </w:pPr>
            <w:r>
              <w:t xml:space="preserve">19</w:t>
            </w:r>
          </w:p>
        </w:tc>
        <w:tc>
          <w:tcPr>
            <w:tcW w:w="1872" w:type="dxa"/>
          </w:tcPr>
          <w:p>
            <w:pPr>
              <w:pStyle w:val="TableText"/>
            </w:pPr>
            <w:r>
              <w:t xml:space="preserve">ERR13943038</w:t>
            </w:r>
          </w:p>
        </w:tc>
        <w:tc>
          <w:tcPr>
            <w:tcW w:w="1872" w:type="dxa"/>
          </w:tcPr>
          <w:p>
            <w:pPr>
              <w:pStyle w:val="TableText"/>
            </w:pPr>
            <w:r>
              <w:t xml:space="preserve">读段端 1；配对关系未核实</w:t>
            </w:r>
          </w:p>
        </w:tc>
        <w:tc>
          <w:tcPr>
            <w:tcW w:w="1872" w:type="dxa"/>
          </w:tcPr>
          <w:p>
            <w:pPr>
              <w:pStyle w:val="TableText"/>
            </w:pPr>
            <w:r>
              <w:t xml:space="preserve">ERR13943038_1.fastq.gz</w:t>
            </w:r>
          </w:p>
        </w:tc>
        <w:tc>
          <w:tcPr>
            <w:tcW w:w="1872" w:type="dxa"/>
          </w:tcPr>
          <w:p>
            <w:pPr>
              <w:pStyle w:val="TableText"/>
            </w:pPr>
            <w:hyperlink r:id="rId178">
              <w:r>
                <w:rPr>
                  <w:color w:val="0563C1"/>
                  <w:u w:val="single"/>
                </w:rPr>
                <w:t xml:space="preserve">ERR13943038_1.fastq.gz</w:t>
              </w:r>
            </w:hyperlink>
          </w:p>
        </w:tc>
      </w:tr>
      <w:tr>
        <w:trPr>
          <w:cantSplit/>
        </w:trPr>
        <w:tc>
          <w:tcPr>
            <w:tcW w:w="1872" w:type="dxa"/>
          </w:tcPr>
          <w:p>
            <w:pPr>
              <w:pStyle w:val="TableText"/>
            </w:pPr>
            <w:r>
              <w:t xml:space="preserve">19</w:t>
            </w:r>
          </w:p>
        </w:tc>
        <w:tc>
          <w:tcPr>
            <w:tcW w:w="1872" w:type="dxa"/>
          </w:tcPr>
          <w:p>
            <w:pPr>
              <w:pStyle w:val="TableText"/>
            </w:pPr>
            <w:r>
              <w:t xml:space="preserve">ERR13943038</w:t>
            </w:r>
          </w:p>
        </w:tc>
        <w:tc>
          <w:tcPr>
            <w:tcW w:w="1872" w:type="dxa"/>
          </w:tcPr>
          <w:p>
            <w:pPr>
              <w:pStyle w:val="TableText"/>
            </w:pPr>
            <w:r>
              <w:t xml:space="preserve">读段端 2；配对关系未核实</w:t>
            </w:r>
          </w:p>
        </w:tc>
        <w:tc>
          <w:tcPr>
            <w:tcW w:w="1872" w:type="dxa"/>
          </w:tcPr>
          <w:p>
            <w:pPr>
              <w:pStyle w:val="TableText"/>
            </w:pPr>
            <w:r>
              <w:t xml:space="preserve">ERR13943038_2.fastq.gz</w:t>
            </w:r>
          </w:p>
        </w:tc>
        <w:tc>
          <w:tcPr>
            <w:tcW w:w="1872" w:type="dxa"/>
          </w:tcPr>
          <w:p>
            <w:pPr>
              <w:pStyle w:val="TableText"/>
            </w:pPr>
            <w:hyperlink r:id="rId179">
              <w:r>
                <w:rPr>
                  <w:color w:val="0563C1"/>
                  <w:u w:val="single"/>
                </w:rPr>
                <w:t xml:space="preserve">ERR13943038_2.fastq.gz</w:t>
              </w:r>
            </w:hyperlink>
          </w:p>
        </w:tc>
      </w:tr>
      <w:tr>
        <w:trPr>
          <w:cantSplit/>
        </w:trPr>
        <w:tc>
          <w:tcPr>
            <w:tcW w:w="1872" w:type="dxa"/>
          </w:tcPr>
          <w:p>
            <w:pPr>
              <w:pStyle w:val="TableText"/>
            </w:pPr>
            <w:r>
              <w:t xml:space="preserve">20</w:t>
            </w:r>
          </w:p>
        </w:tc>
        <w:tc>
          <w:tcPr>
            <w:tcW w:w="1872" w:type="dxa"/>
          </w:tcPr>
          <w:p>
            <w:pPr>
              <w:pStyle w:val="TableText"/>
            </w:pPr>
            <w:r>
              <w:t xml:space="preserve">SRR8801873</w:t>
            </w:r>
          </w:p>
        </w:tc>
        <w:tc>
          <w:tcPr>
            <w:tcW w:w="1872" w:type="dxa"/>
          </w:tcPr>
          <w:p>
            <w:pPr>
              <w:pStyle w:val="TableText"/>
            </w:pPr>
            <w:r>
              <w:t xml:space="preserve">单个已提供的 FASTQ 文件</w:t>
            </w:r>
          </w:p>
        </w:tc>
        <w:tc>
          <w:tcPr>
            <w:tcW w:w="1872" w:type="dxa"/>
          </w:tcPr>
          <w:p>
            <w:pPr>
              <w:pStyle w:val="TableText"/>
            </w:pPr>
            <w:r>
              <w:t xml:space="preserve">SRR8801873_subreads.fastq.gz</w:t>
            </w:r>
          </w:p>
        </w:tc>
        <w:tc>
          <w:tcPr>
            <w:tcW w:w="1872" w:type="dxa"/>
          </w:tcPr>
          <w:p>
            <w:pPr>
              <w:pStyle w:val="TableText"/>
            </w:pPr>
            <w:hyperlink r:id="rId180">
              <w:r>
                <w:rPr>
                  <w:color w:val="0563C1"/>
                  <w:u w:val="single"/>
                </w:rPr>
                <w:t xml:space="preserve">SRR8801873_subreads.fastq.gz</w:t>
              </w:r>
            </w:hyperlink>
          </w:p>
        </w:tc>
      </w:tr>
      <w:tr>
        <w:trPr>
          <w:cantSplit/>
        </w:trPr>
        <w:tc>
          <w:tcPr>
            <w:tcW w:w="1872" w:type="dxa"/>
          </w:tcPr>
          <w:p>
            <w:pPr>
              <w:pStyle w:val="TableText"/>
            </w:pPr>
            <w:r>
              <w:t xml:space="preserve">21</w:t>
            </w:r>
          </w:p>
        </w:tc>
        <w:tc>
          <w:tcPr>
            <w:tcW w:w="1872" w:type="dxa"/>
          </w:tcPr>
          <w:p>
            <w:pPr>
              <w:pStyle w:val="TableText"/>
            </w:pPr>
            <w:r>
              <w:t xml:space="preserve">ERR13669551</w:t>
            </w:r>
          </w:p>
        </w:tc>
        <w:tc>
          <w:tcPr>
            <w:tcW w:w="1872" w:type="dxa"/>
          </w:tcPr>
          <w:p>
            <w:pPr>
              <w:pStyle w:val="TableText"/>
            </w:pPr>
            <w:r>
              <w:t xml:space="preserve">单个已提供的 FASTQ 文件</w:t>
            </w:r>
          </w:p>
        </w:tc>
        <w:tc>
          <w:tcPr>
            <w:tcW w:w="1872" w:type="dxa"/>
          </w:tcPr>
          <w:p>
            <w:pPr>
              <w:pStyle w:val="TableText"/>
            </w:pPr>
            <w:r>
              <w:t xml:space="preserve">ERR13669551.fastq.gz</w:t>
            </w:r>
          </w:p>
        </w:tc>
        <w:tc>
          <w:tcPr>
            <w:tcW w:w="1872" w:type="dxa"/>
          </w:tcPr>
          <w:p>
            <w:pPr>
              <w:pStyle w:val="TableText"/>
            </w:pPr>
            <w:hyperlink r:id="rId181">
              <w:r>
                <w:rPr>
                  <w:color w:val="0563C1"/>
                  <w:u w:val="single"/>
                </w:rPr>
                <w:t xml:space="preserve">ERR13669551.fastq.gz</w:t>
              </w:r>
            </w:hyperlink>
          </w:p>
        </w:tc>
      </w:tr>
      <w:tr>
        <w:trPr>
          <w:cantSplit/>
        </w:trPr>
        <w:tc>
          <w:tcPr>
            <w:tcW w:w="1872" w:type="dxa"/>
          </w:tcPr>
          <w:p>
            <w:pPr>
              <w:pStyle w:val="TableText"/>
            </w:pPr>
            <w:r>
              <w:t xml:space="preserve">22</w:t>
            </w:r>
          </w:p>
        </w:tc>
        <w:tc>
          <w:tcPr>
            <w:tcW w:w="1872" w:type="dxa"/>
          </w:tcPr>
          <w:p>
            <w:pPr>
              <w:pStyle w:val="TableText"/>
            </w:pPr>
            <w:r>
              <w:t xml:space="preserve">SRR14728885</w:t>
            </w:r>
          </w:p>
        </w:tc>
        <w:tc>
          <w:tcPr>
            <w:tcW w:w="1872" w:type="dxa"/>
          </w:tcPr>
          <w:p>
            <w:pPr>
              <w:pStyle w:val="TableText"/>
            </w:pPr>
            <w:r>
              <w:t xml:space="preserve">单个已提供的 FASTQ 文件</w:t>
            </w:r>
          </w:p>
        </w:tc>
        <w:tc>
          <w:tcPr>
            <w:tcW w:w="1872" w:type="dxa"/>
          </w:tcPr>
          <w:p>
            <w:pPr>
              <w:pStyle w:val="TableText"/>
            </w:pPr>
            <w:r>
              <w:t xml:space="preserve">SRR14728885_subreads.fastq.gz</w:t>
            </w:r>
          </w:p>
        </w:tc>
        <w:tc>
          <w:tcPr>
            <w:tcW w:w="1872" w:type="dxa"/>
          </w:tcPr>
          <w:p>
            <w:pPr>
              <w:pStyle w:val="TableText"/>
            </w:pPr>
            <w:hyperlink r:id="rId182">
              <w:r>
                <w:rPr>
                  <w:color w:val="0563C1"/>
                  <w:u w:val="single"/>
                </w:rPr>
                <w:t xml:space="preserve">SRR14728885_subreads.fastq.gz</w:t>
              </w:r>
            </w:hyperlink>
          </w:p>
        </w:tc>
      </w:tr>
      <w:tr>
        <w:trPr>
          <w:cantSplit/>
        </w:trPr>
        <w:tc>
          <w:tcPr>
            <w:tcW w:w="1872" w:type="dxa"/>
          </w:tcPr>
          <w:p>
            <w:pPr>
              <w:pStyle w:val="TableText"/>
            </w:pPr>
            <w:r>
              <w:t xml:space="preserve">23</w:t>
            </w:r>
          </w:p>
        </w:tc>
        <w:tc>
          <w:tcPr>
            <w:tcW w:w="1872" w:type="dxa"/>
          </w:tcPr>
          <w:p>
            <w:pPr>
              <w:pStyle w:val="TableText"/>
            </w:pPr>
            <w:r>
              <w:t xml:space="preserve">ERR10030615</w:t>
            </w:r>
          </w:p>
        </w:tc>
        <w:tc>
          <w:tcPr>
            <w:tcW w:w="1872" w:type="dxa"/>
          </w:tcPr>
          <w:p>
            <w:pPr>
              <w:pStyle w:val="TableText"/>
            </w:pPr>
            <w:r>
              <w:t xml:space="preserve">读段端 1；配对关系未核实</w:t>
            </w:r>
          </w:p>
        </w:tc>
        <w:tc>
          <w:tcPr>
            <w:tcW w:w="1872" w:type="dxa"/>
          </w:tcPr>
          <w:p>
            <w:pPr>
              <w:pStyle w:val="TableText"/>
            </w:pPr>
            <w:r>
              <w:t xml:space="preserve">ERR10030615_1.fastq.gz</w:t>
            </w:r>
          </w:p>
        </w:tc>
        <w:tc>
          <w:tcPr>
            <w:tcW w:w="1872" w:type="dxa"/>
          </w:tcPr>
          <w:p>
            <w:pPr>
              <w:pStyle w:val="TableText"/>
            </w:pPr>
            <w:hyperlink r:id="rId183">
              <w:r>
                <w:rPr>
                  <w:color w:val="0563C1"/>
                  <w:u w:val="single"/>
                </w:rPr>
                <w:t xml:space="preserve">ERR10030615_1.fastq.gz</w:t>
              </w:r>
            </w:hyperlink>
          </w:p>
        </w:tc>
      </w:tr>
      <w:tr>
        <w:trPr>
          <w:cantSplit/>
        </w:trPr>
        <w:tc>
          <w:tcPr>
            <w:tcW w:w="1872" w:type="dxa"/>
          </w:tcPr>
          <w:p>
            <w:pPr>
              <w:pStyle w:val="TableText"/>
            </w:pPr>
            <w:r>
              <w:t xml:space="preserve">23</w:t>
            </w:r>
          </w:p>
        </w:tc>
        <w:tc>
          <w:tcPr>
            <w:tcW w:w="1872" w:type="dxa"/>
          </w:tcPr>
          <w:p>
            <w:pPr>
              <w:pStyle w:val="TableText"/>
            </w:pPr>
            <w:r>
              <w:t xml:space="preserve">ERR10030615</w:t>
            </w:r>
          </w:p>
        </w:tc>
        <w:tc>
          <w:tcPr>
            <w:tcW w:w="1872" w:type="dxa"/>
          </w:tcPr>
          <w:p>
            <w:pPr>
              <w:pStyle w:val="TableText"/>
            </w:pPr>
            <w:r>
              <w:t xml:space="preserve">读段端 2；配对关系未核实</w:t>
            </w:r>
          </w:p>
        </w:tc>
        <w:tc>
          <w:tcPr>
            <w:tcW w:w="1872" w:type="dxa"/>
          </w:tcPr>
          <w:p>
            <w:pPr>
              <w:pStyle w:val="TableText"/>
            </w:pPr>
            <w:r>
              <w:t xml:space="preserve">ERR10030615_2.fastq.gz</w:t>
            </w:r>
          </w:p>
        </w:tc>
        <w:tc>
          <w:tcPr>
            <w:tcW w:w="1872" w:type="dxa"/>
          </w:tcPr>
          <w:p>
            <w:pPr>
              <w:pStyle w:val="TableText"/>
            </w:pPr>
            <w:hyperlink r:id="rId184">
              <w:r>
                <w:rPr>
                  <w:color w:val="0563C1"/>
                  <w:u w:val="single"/>
                </w:rPr>
                <w:t xml:space="preserve">ERR10030615_2.fastq.gz</w:t>
              </w:r>
            </w:hyperlink>
          </w:p>
        </w:tc>
      </w:tr>
      <w:tr>
        <w:trPr>
          <w:cantSplit/>
        </w:trPr>
        <w:tc>
          <w:tcPr>
            <w:tcW w:w="1872" w:type="dxa"/>
          </w:tcPr>
          <w:p>
            <w:pPr>
              <w:pStyle w:val="TableText"/>
            </w:pPr>
            <w:r>
              <w:t xml:space="preserve">24</w:t>
            </w:r>
          </w:p>
        </w:tc>
        <w:tc>
          <w:tcPr>
            <w:tcW w:w="1872" w:type="dxa"/>
          </w:tcPr>
          <w:p>
            <w:pPr>
              <w:pStyle w:val="TableText"/>
            </w:pPr>
            <w:r>
              <w:t xml:space="preserve">SRR14627767</w:t>
            </w:r>
          </w:p>
        </w:tc>
        <w:tc>
          <w:tcPr>
            <w:tcW w:w="1872" w:type="dxa"/>
          </w:tcPr>
          <w:p>
            <w:pPr>
              <w:pStyle w:val="TableText"/>
            </w:pPr>
            <w:r>
              <w:t xml:space="preserve">读段端 1</w:t>
            </w:r>
          </w:p>
        </w:tc>
        <w:tc>
          <w:tcPr>
            <w:tcW w:w="1872" w:type="dxa"/>
          </w:tcPr>
          <w:p>
            <w:pPr>
              <w:pStyle w:val="TableText"/>
            </w:pPr>
            <w:r>
              <w:t xml:space="preserve">SRR14627767_1.fastq.gz</w:t>
            </w:r>
          </w:p>
        </w:tc>
        <w:tc>
          <w:tcPr>
            <w:tcW w:w="1872" w:type="dxa"/>
          </w:tcPr>
          <w:p>
            <w:pPr>
              <w:pStyle w:val="TableText"/>
            </w:pPr>
            <w:hyperlink r:id="rId185">
              <w:r>
                <w:rPr>
                  <w:color w:val="0563C1"/>
                  <w:u w:val="single"/>
                </w:rPr>
                <w:t xml:space="preserve">SRR14627767_1.fastq.gz</w:t>
              </w:r>
            </w:hyperlink>
          </w:p>
        </w:tc>
      </w:tr>
      <w:tr>
        <w:trPr>
          <w:cantSplit/>
        </w:trPr>
        <w:tc>
          <w:tcPr>
            <w:tcW w:w="1872" w:type="dxa"/>
          </w:tcPr>
          <w:p>
            <w:pPr>
              <w:pStyle w:val="TableText"/>
            </w:pPr>
            <w:r>
              <w:t xml:space="preserve">24</w:t>
            </w:r>
          </w:p>
        </w:tc>
        <w:tc>
          <w:tcPr>
            <w:tcW w:w="1872" w:type="dxa"/>
          </w:tcPr>
          <w:p>
            <w:pPr>
              <w:pStyle w:val="TableText"/>
            </w:pPr>
            <w:r>
              <w:t xml:space="preserve">SRR14627767</w:t>
            </w:r>
          </w:p>
        </w:tc>
        <w:tc>
          <w:tcPr>
            <w:tcW w:w="1872" w:type="dxa"/>
          </w:tcPr>
          <w:p>
            <w:pPr>
              <w:pStyle w:val="TableText"/>
            </w:pPr>
            <w:r>
              <w:t xml:space="preserve">读段端 2</w:t>
            </w:r>
          </w:p>
        </w:tc>
        <w:tc>
          <w:tcPr>
            <w:tcW w:w="1872" w:type="dxa"/>
          </w:tcPr>
          <w:p>
            <w:pPr>
              <w:pStyle w:val="TableText"/>
            </w:pPr>
            <w:r>
              <w:t xml:space="preserve">SRR14627767_2.fastq.gz</w:t>
            </w:r>
          </w:p>
        </w:tc>
        <w:tc>
          <w:tcPr>
            <w:tcW w:w="1872" w:type="dxa"/>
          </w:tcPr>
          <w:p>
            <w:pPr>
              <w:pStyle w:val="TableText"/>
            </w:pPr>
            <w:hyperlink r:id="rId186">
              <w:r>
                <w:rPr>
                  <w:color w:val="0563C1"/>
                  <w:u w:val="single"/>
                </w:rPr>
                <w:t xml:space="preserve">SRR14627767_2.fastq.gz</w:t>
              </w:r>
            </w:hyperlink>
          </w:p>
        </w:tc>
      </w:tr>
      <w:tr>
        <w:trPr>
          <w:cantSplit/>
        </w:trPr>
        <w:tc>
          <w:tcPr>
            <w:tcW w:w="1872" w:type="dxa"/>
          </w:tcPr>
          <w:p>
            <w:pPr>
              <w:pStyle w:val="TableText"/>
            </w:pPr>
            <w:r>
              <w:t xml:space="preserve">25</w:t>
            </w:r>
          </w:p>
        </w:tc>
        <w:tc>
          <w:tcPr>
            <w:tcW w:w="1872" w:type="dxa"/>
          </w:tcPr>
          <w:p>
            <w:pPr>
              <w:pStyle w:val="TableText"/>
            </w:pPr>
            <w:r>
              <w:t xml:space="preserve">DRR1089360</w:t>
            </w:r>
          </w:p>
        </w:tc>
        <w:tc>
          <w:tcPr>
            <w:tcW w:w="1872" w:type="dxa"/>
          </w:tcPr>
          <w:p>
            <w:pPr>
              <w:pStyle w:val="TableText"/>
            </w:pPr>
            <w:r>
              <w:t xml:space="preserve">单个已提供的 FASTQ 文件</w:t>
            </w:r>
          </w:p>
        </w:tc>
        <w:tc>
          <w:tcPr>
            <w:tcW w:w="1872" w:type="dxa"/>
          </w:tcPr>
          <w:p>
            <w:pPr>
              <w:pStyle w:val="TableText"/>
            </w:pPr>
            <w:r>
              <w:t xml:space="preserve">DRR1089360.fastq.gz</w:t>
            </w:r>
          </w:p>
        </w:tc>
        <w:tc>
          <w:tcPr>
            <w:tcW w:w="1872" w:type="dxa"/>
          </w:tcPr>
          <w:p>
            <w:pPr>
              <w:pStyle w:val="TableText"/>
            </w:pPr>
            <w:hyperlink r:id="rId187">
              <w:r>
                <w:rPr>
                  <w:color w:val="0563C1"/>
                  <w:u w:val="single"/>
                </w:rPr>
                <w:t xml:space="preserve">DRR1089360.fastq.gz</w:t>
              </w:r>
            </w:hyperlink>
          </w:p>
        </w:tc>
      </w:tr>
      <w:tr>
        <w:trPr>
          <w:cantSplit/>
        </w:trPr>
        <w:tc>
          <w:tcPr>
            <w:tcW w:w="1872" w:type="dxa"/>
          </w:tcPr>
          <w:p>
            <w:pPr>
              <w:pStyle w:val="TableText"/>
            </w:pPr>
            <w:r>
              <w:t xml:space="preserve">26</w:t>
            </w:r>
          </w:p>
        </w:tc>
        <w:tc>
          <w:tcPr>
            <w:tcW w:w="1872" w:type="dxa"/>
          </w:tcPr>
          <w:p>
            <w:pPr>
              <w:pStyle w:val="TableText"/>
            </w:pPr>
            <w:r>
              <w:t xml:space="preserve">DRR1069746</w:t>
            </w:r>
          </w:p>
        </w:tc>
        <w:tc>
          <w:tcPr>
            <w:tcW w:w="1872" w:type="dxa"/>
          </w:tcPr>
          <w:p>
            <w:pPr>
              <w:pStyle w:val="TableText"/>
            </w:pPr>
            <w:r>
              <w:t xml:space="preserve">读段端 1；配对关系未核实</w:t>
            </w:r>
          </w:p>
        </w:tc>
        <w:tc>
          <w:tcPr>
            <w:tcW w:w="1872" w:type="dxa"/>
          </w:tcPr>
          <w:p>
            <w:pPr>
              <w:pStyle w:val="TableText"/>
            </w:pPr>
            <w:r>
              <w:t xml:space="preserve">DRR1069746_1.fastq.gz</w:t>
            </w:r>
          </w:p>
        </w:tc>
        <w:tc>
          <w:tcPr>
            <w:tcW w:w="1872" w:type="dxa"/>
          </w:tcPr>
          <w:p>
            <w:pPr>
              <w:pStyle w:val="TableText"/>
            </w:pPr>
            <w:hyperlink r:id="rId188">
              <w:r>
                <w:rPr>
                  <w:color w:val="0563C1"/>
                  <w:u w:val="single"/>
                </w:rPr>
                <w:t xml:space="preserve">DRR1069746_1.fastq.gz</w:t>
              </w:r>
            </w:hyperlink>
          </w:p>
        </w:tc>
      </w:tr>
      <w:tr>
        <w:trPr>
          <w:cantSplit/>
        </w:trPr>
        <w:tc>
          <w:tcPr>
            <w:tcW w:w="1872" w:type="dxa"/>
          </w:tcPr>
          <w:p>
            <w:pPr>
              <w:pStyle w:val="TableText"/>
            </w:pPr>
            <w:r>
              <w:t xml:space="preserve">26</w:t>
            </w:r>
          </w:p>
        </w:tc>
        <w:tc>
          <w:tcPr>
            <w:tcW w:w="1872" w:type="dxa"/>
          </w:tcPr>
          <w:p>
            <w:pPr>
              <w:pStyle w:val="TableText"/>
            </w:pPr>
            <w:r>
              <w:t xml:space="preserve">DRR1069746</w:t>
            </w:r>
          </w:p>
        </w:tc>
        <w:tc>
          <w:tcPr>
            <w:tcW w:w="1872" w:type="dxa"/>
          </w:tcPr>
          <w:p>
            <w:pPr>
              <w:pStyle w:val="TableText"/>
            </w:pPr>
            <w:r>
              <w:t xml:space="preserve">读段端 2；配对关系未核实</w:t>
            </w:r>
          </w:p>
        </w:tc>
        <w:tc>
          <w:tcPr>
            <w:tcW w:w="1872" w:type="dxa"/>
          </w:tcPr>
          <w:p>
            <w:pPr>
              <w:pStyle w:val="TableText"/>
            </w:pPr>
            <w:r>
              <w:t xml:space="preserve">DRR1069746_2.fastq.gz</w:t>
            </w:r>
          </w:p>
        </w:tc>
        <w:tc>
          <w:tcPr>
            <w:tcW w:w="1872" w:type="dxa"/>
          </w:tcPr>
          <w:p>
            <w:pPr>
              <w:pStyle w:val="TableText"/>
            </w:pPr>
            <w:hyperlink r:id="rId189">
              <w:r>
                <w:rPr>
                  <w:color w:val="0563C1"/>
                  <w:u w:val="single"/>
                </w:rPr>
                <w:t xml:space="preserve">DRR1069746_2.fastq.gz</w:t>
              </w:r>
            </w:hyperlink>
          </w:p>
        </w:tc>
      </w:tr>
      <w:tr>
        <w:trPr>
          <w:cantSplit/>
        </w:trPr>
        <w:tc>
          <w:tcPr>
            <w:tcW w:w="1872" w:type="dxa"/>
          </w:tcPr>
          <w:p>
            <w:pPr>
              <w:pStyle w:val="TableText"/>
            </w:pPr>
            <w:r>
              <w:t xml:space="preserve">27</w:t>
            </w:r>
          </w:p>
        </w:tc>
        <w:tc>
          <w:tcPr>
            <w:tcW w:w="1872" w:type="dxa"/>
          </w:tcPr>
          <w:p>
            <w:pPr>
              <w:pStyle w:val="TableText"/>
            </w:pPr>
            <w:r>
              <w:t xml:space="preserve">SRR30608496</w:t>
            </w:r>
          </w:p>
        </w:tc>
        <w:tc>
          <w:tcPr>
            <w:tcW w:w="1872" w:type="dxa"/>
          </w:tcPr>
          <w:p>
            <w:pPr>
              <w:pStyle w:val="TableText"/>
            </w:pPr>
            <w:r>
              <w:t xml:space="preserve">单个已提供的 FASTQ 文件</w:t>
            </w:r>
          </w:p>
        </w:tc>
        <w:tc>
          <w:tcPr>
            <w:tcW w:w="1872" w:type="dxa"/>
          </w:tcPr>
          <w:p>
            <w:pPr>
              <w:pStyle w:val="TableText"/>
            </w:pPr>
            <w:r>
              <w:t xml:space="preserve">SRR30608496.fastq.gz</w:t>
            </w:r>
          </w:p>
        </w:tc>
        <w:tc>
          <w:tcPr>
            <w:tcW w:w="1872" w:type="dxa"/>
          </w:tcPr>
          <w:p>
            <w:pPr>
              <w:pStyle w:val="TableText"/>
            </w:pPr>
            <w:hyperlink r:id="rId190">
              <w:r>
                <w:rPr>
                  <w:color w:val="0563C1"/>
                  <w:u w:val="single"/>
                </w:rPr>
                <w:t xml:space="preserve">SRR30608496.fastq.gz</w:t>
              </w:r>
            </w:hyperlink>
          </w:p>
        </w:tc>
      </w:tr>
      <w:tr>
        <w:trPr>
          <w:cantSplit/>
        </w:trPr>
        <w:tc>
          <w:tcPr>
            <w:tcW w:w="1872" w:type="dxa"/>
          </w:tcPr>
          <w:p>
            <w:pPr>
              <w:pStyle w:val="TableText"/>
            </w:pPr>
            <w:r>
              <w:t xml:space="preserve">28</w:t>
            </w:r>
          </w:p>
        </w:tc>
        <w:tc>
          <w:tcPr>
            <w:tcW w:w="1872" w:type="dxa"/>
          </w:tcPr>
          <w:p>
            <w:pPr>
              <w:pStyle w:val="TableText"/>
            </w:pPr>
            <w:r>
              <w:t xml:space="preserve">SRR36288068</w:t>
            </w:r>
          </w:p>
        </w:tc>
        <w:tc>
          <w:tcPr>
            <w:tcW w:w="1872" w:type="dxa"/>
          </w:tcPr>
          <w:p>
            <w:pPr>
              <w:pStyle w:val="TableText"/>
            </w:pPr>
            <w:r>
              <w:t xml:space="preserve">单个已提供的 FASTQ 文件</w:t>
            </w:r>
          </w:p>
        </w:tc>
        <w:tc>
          <w:tcPr>
            <w:tcW w:w="1872" w:type="dxa"/>
          </w:tcPr>
          <w:p>
            <w:pPr>
              <w:pStyle w:val="TableText"/>
            </w:pPr>
            <w:r>
              <w:t xml:space="preserve">SRR36288068_1.fastq.gz</w:t>
            </w:r>
          </w:p>
        </w:tc>
        <w:tc>
          <w:tcPr>
            <w:tcW w:w="1872" w:type="dxa"/>
          </w:tcPr>
          <w:p>
            <w:pPr>
              <w:pStyle w:val="TableText"/>
            </w:pPr>
            <w:hyperlink r:id="rId191">
              <w:r>
                <w:rPr>
                  <w:color w:val="0563C1"/>
                  <w:u w:val="single"/>
                </w:rPr>
                <w:t xml:space="preserve">SRR36288068_1.fastq.gz</w:t>
              </w:r>
            </w:hyperlink>
          </w:p>
        </w:tc>
      </w:tr>
      <w:tr>
        <w:trPr>
          <w:cantSplit/>
        </w:trPr>
        <w:tc>
          <w:tcPr>
            <w:tcW w:w="1872" w:type="dxa"/>
          </w:tcPr>
          <w:p>
            <w:pPr>
              <w:pStyle w:val="TableText"/>
            </w:pPr>
            <w:r>
              <w:t xml:space="preserve">29</w:t>
            </w:r>
          </w:p>
        </w:tc>
        <w:tc>
          <w:tcPr>
            <w:tcW w:w="1872" w:type="dxa"/>
          </w:tcPr>
          <w:p>
            <w:pPr>
              <w:pStyle w:val="TableText"/>
            </w:pPr>
            <w:r>
              <w:t xml:space="preserve">SRR6520293</w:t>
            </w:r>
          </w:p>
        </w:tc>
        <w:tc>
          <w:tcPr>
            <w:tcW w:w="1872" w:type="dxa"/>
          </w:tcPr>
          <w:p>
            <w:pPr>
              <w:pStyle w:val="TableText"/>
            </w:pPr>
            <w:r>
              <w:t xml:space="preserve">读段端 1；配对关系未核实</w:t>
            </w:r>
          </w:p>
        </w:tc>
        <w:tc>
          <w:tcPr>
            <w:tcW w:w="1872" w:type="dxa"/>
          </w:tcPr>
          <w:p>
            <w:pPr>
              <w:pStyle w:val="TableText"/>
            </w:pPr>
            <w:r>
              <w:t xml:space="preserve">SRR6520293_1.fastq.gz</w:t>
            </w:r>
          </w:p>
        </w:tc>
        <w:tc>
          <w:tcPr>
            <w:tcW w:w="1872" w:type="dxa"/>
          </w:tcPr>
          <w:p>
            <w:pPr>
              <w:pStyle w:val="TableText"/>
            </w:pPr>
            <w:hyperlink r:id="rId192">
              <w:r>
                <w:rPr>
                  <w:color w:val="0563C1"/>
                  <w:u w:val="single"/>
                </w:rPr>
                <w:t xml:space="preserve">SRR6520293_1.fastq.gz</w:t>
              </w:r>
            </w:hyperlink>
          </w:p>
        </w:tc>
      </w:tr>
      <w:tr>
        <w:trPr>
          <w:cantSplit/>
        </w:trPr>
        <w:tc>
          <w:tcPr>
            <w:tcW w:w="1872" w:type="dxa"/>
          </w:tcPr>
          <w:p>
            <w:pPr>
              <w:pStyle w:val="TableText"/>
            </w:pPr>
            <w:r>
              <w:t xml:space="preserve">29</w:t>
            </w:r>
          </w:p>
        </w:tc>
        <w:tc>
          <w:tcPr>
            <w:tcW w:w="1872" w:type="dxa"/>
          </w:tcPr>
          <w:p>
            <w:pPr>
              <w:pStyle w:val="TableText"/>
            </w:pPr>
            <w:r>
              <w:t xml:space="preserve">SRR6520293</w:t>
            </w:r>
          </w:p>
        </w:tc>
        <w:tc>
          <w:tcPr>
            <w:tcW w:w="1872" w:type="dxa"/>
          </w:tcPr>
          <w:p>
            <w:pPr>
              <w:pStyle w:val="TableText"/>
            </w:pPr>
            <w:r>
              <w:t xml:space="preserve">读段端 2；配对关系未核实</w:t>
            </w:r>
          </w:p>
        </w:tc>
        <w:tc>
          <w:tcPr>
            <w:tcW w:w="1872" w:type="dxa"/>
          </w:tcPr>
          <w:p>
            <w:pPr>
              <w:pStyle w:val="TableText"/>
            </w:pPr>
            <w:r>
              <w:t xml:space="preserve">SRR6520293_2.fastq.gz</w:t>
            </w:r>
          </w:p>
        </w:tc>
        <w:tc>
          <w:tcPr>
            <w:tcW w:w="1872" w:type="dxa"/>
          </w:tcPr>
          <w:p>
            <w:pPr>
              <w:pStyle w:val="TableText"/>
            </w:pPr>
            <w:hyperlink r:id="rId193">
              <w:r>
                <w:rPr>
                  <w:color w:val="0563C1"/>
                  <w:u w:val="single"/>
                </w:rPr>
                <w:t xml:space="preserve">SRR6520293_2.fastq.gz</w:t>
              </w:r>
            </w:hyperlink>
          </w:p>
        </w:tc>
      </w:tr>
      <w:tr>
        <w:trPr>
          <w:cantSplit/>
        </w:trPr>
        <w:tc>
          <w:tcPr>
            <w:tcW w:w="1872" w:type="dxa"/>
          </w:tcPr>
          <w:p>
            <w:pPr>
              <w:pStyle w:val="TableText"/>
            </w:pPr>
            <w:r>
              <w:t xml:space="preserve">30</w:t>
            </w:r>
          </w:p>
        </w:tc>
        <w:tc>
          <w:tcPr>
            <w:tcW w:w="1872" w:type="dxa"/>
          </w:tcPr>
          <w:p>
            <w:pPr>
              <w:pStyle w:val="TableText"/>
            </w:pPr>
            <w:r>
              <w:t xml:space="preserve">SRR19066659</w:t>
            </w:r>
          </w:p>
        </w:tc>
        <w:tc>
          <w:tcPr>
            <w:tcW w:w="1872" w:type="dxa"/>
          </w:tcPr>
          <w:p>
            <w:pPr>
              <w:pStyle w:val="TableText"/>
            </w:pPr>
            <w:r>
              <w:t xml:space="preserve">读段端 1</w:t>
            </w:r>
          </w:p>
        </w:tc>
        <w:tc>
          <w:tcPr>
            <w:tcW w:w="1872" w:type="dxa"/>
          </w:tcPr>
          <w:p>
            <w:pPr>
              <w:pStyle w:val="TableText"/>
            </w:pPr>
            <w:r>
              <w:t xml:space="preserve">SRR19066659_1.fastq.gz</w:t>
            </w:r>
          </w:p>
        </w:tc>
        <w:tc>
          <w:tcPr>
            <w:tcW w:w="1872" w:type="dxa"/>
          </w:tcPr>
          <w:p>
            <w:pPr>
              <w:pStyle w:val="TableText"/>
            </w:pPr>
            <w:hyperlink r:id="rId194">
              <w:r>
                <w:rPr>
                  <w:color w:val="0563C1"/>
                  <w:u w:val="single"/>
                </w:rPr>
                <w:t xml:space="preserve">SRR19066659_1.fastq.gz</w:t>
              </w:r>
            </w:hyperlink>
          </w:p>
        </w:tc>
      </w:tr>
      <w:tr>
        <w:trPr>
          <w:cantSplit/>
        </w:trPr>
        <w:tc>
          <w:tcPr>
            <w:tcW w:w="1872" w:type="dxa"/>
          </w:tcPr>
          <w:p>
            <w:pPr>
              <w:pStyle w:val="TableText"/>
            </w:pPr>
            <w:r>
              <w:t xml:space="preserve">30</w:t>
            </w:r>
          </w:p>
        </w:tc>
        <w:tc>
          <w:tcPr>
            <w:tcW w:w="1872" w:type="dxa"/>
          </w:tcPr>
          <w:p>
            <w:pPr>
              <w:pStyle w:val="TableText"/>
            </w:pPr>
            <w:r>
              <w:t xml:space="preserve">SRR19066659</w:t>
            </w:r>
          </w:p>
        </w:tc>
        <w:tc>
          <w:tcPr>
            <w:tcW w:w="1872" w:type="dxa"/>
          </w:tcPr>
          <w:p>
            <w:pPr>
              <w:pStyle w:val="TableText"/>
            </w:pPr>
            <w:r>
              <w:t xml:space="preserve">读段端 2</w:t>
            </w:r>
          </w:p>
        </w:tc>
        <w:tc>
          <w:tcPr>
            <w:tcW w:w="1872" w:type="dxa"/>
          </w:tcPr>
          <w:p>
            <w:pPr>
              <w:pStyle w:val="TableText"/>
            </w:pPr>
            <w:r>
              <w:t xml:space="preserve">SRR19066659_2.fastq.gz</w:t>
            </w:r>
          </w:p>
        </w:tc>
        <w:tc>
          <w:tcPr>
            <w:tcW w:w="1872" w:type="dxa"/>
          </w:tcPr>
          <w:p>
            <w:pPr>
              <w:pStyle w:val="TableText"/>
            </w:pPr>
            <w:hyperlink r:id="rId195">
              <w:r>
                <w:rPr>
                  <w:color w:val="0563C1"/>
                  <w:u w:val="single"/>
                </w:rPr>
                <w:t xml:space="preserve">SRR19066659_2.fastq.gz</w:t>
              </w:r>
            </w:hyperlink>
          </w:p>
        </w:tc>
      </w:tr>
      <w:tr>
        <w:trPr>
          <w:cantSplit/>
        </w:trPr>
        <w:tc>
          <w:tcPr>
            <w:tcW w:w="1872" w:type="dxa"/>
          </w:tcPr>
          <w:p>
            <w:pPr>
              <w:pStyle w:val="TableText"/>
            </w:pPr>
            <w:r>
              <w:t xml:space="preserve">31</w:t>
            </w:r>
          </w:p>
        </w:tc>
        <w:tc>
          <w:tcPr>
            <w:tcW w:w="1872" w:type="dxa"/>
          </w:tcPr>
          <w:p>
            <w:pPr>
              <w:pStyle w:val="TableText"/>
            </w:pPr>
            <w:r>
              <w:t xml:space="preserve">SRR19066665</w:t>
            </w:r>
          </w:p>
        </w:tc>
        <w:tc>
          <w:tcPr>
            <w:tcW w:w="1872" w:type="dxa"/>
          </w:tcPr>
          <w:p>
            <w:pPr>
              <w:pStyle w:val="TableText"/>
            </w:pPr>
            <w:r>
              <w:t xml:space="preserve">读段端 1</w:t>
            </w:r>
          </w:p>
        </w:tc>
        <w:tc>
          <w:tcPr>
            <w:tcW w:w="1872" w:type="dxa"/>
          </w:tcPr>
          <w:p>
            <w:pPr>
              <w:pStyle w:val="TableText"/>
            </w:pPr>
            <w:r>
              <w:t xml:space="preserve">SRR19066665_1.fastq.gz</w:t>
            </w:r>
          </w:p>
        </w:tc>
        <w:tc>
          <w:tcPr>
            <w:tcW w:w="1872" w:type="dxa"/>
          </w:tcPr>
          <w:p>
            <w:pPr>
              <w:pStyle w:val="TableText"/>
            </w:pPr>
            <w:hyperlink r:id="rId196">
              <w:r>
                <w:rPr>
                  <w:color w:val="0563C1"/>
                  <w:u w:val="single"/>
                </w:rPr>
                <w:t xml:space="preserve">SRR19066665_1.fastq.gz</w:t>
              </w:r>
            </w:hyperlink>
          </w:p>
        </w:tc>
      </w:tr>
      <w:tr>
        <w:trPr>
          <w:cantSplit/>
        </w:trPr>
        <w:tc>
          <w:tcPr>
            <w:tcW w:w="1872" w:type="dxa"/>
          </w:tcPr>
          <w:p>
            <w:pPr>
              <w:pStyle w:val="TableText"/>
            </w:pPr>
            <w:r>
              <w:t xml:space="preserve">31</w:t>
            </w:r>
          </w:p>
        </w:tc>
        <w:tc>
          <w:tcPr>
            <w:tcW w:w="1872" w:type="dxa"/>
          </w:tcPr>
          <w:p>
            <w:pPr>
              <w:pStyle w:val="TableText"/>
            </w:pPr>
            <w:r>
              <w:t xml:space="preserve">SRR19066665</w:t>
            </w:r>
          </w:p>
        </w:tc>
        <w:tc>
          <w:tcPr>
            <w:tcW w:w="1872" w:type="dxa"/>
          </w:tcPr>
          <w:p>
            <w:pPr>
              <w:pStyle w:val="TableText"/>
            </w:pPr>
            <w:r>
              <w:t xml:space="preserve">读段端 2</w:t>
            </w:r>
          </w:p>
        </w:tc>
        <w:tc>
          <w:tcPr>
            <w:tcW w:w="1872" w:type="dxa"/>
          </w:tcPr>
          <w:p>
            <w:pPr>
              <w:pStyle w:val="TableText"/>
            </w:pPr>
            <w:r>
              <w:t xml:space="preserve">SRR19066665_2.fastq.gz</w:t>
            </w:r>
          </w:p>
        </w:tc>
        <w:tc>
          <w:tcPr>
            <w:tcW w:w="1872" w:type="dxa"/>
          </w:tcPr>
          <w:p>
            <w:pPr>
              <w:pStyle w:val="TableText"/>
            </w:pPr>
            <w:hyperlink r:id="rId197">
              <w:r>
                <w:rPr>
                  <w:color w:val="0563C1"/>
                  <w:u w:val="single"/>
                </w:rPr>
                <w:t xml:space="preserve">SRR19066665_2.fastq.gz</w:t>
              </w:r>
            </w:hyperlink>
          </w:p>
        </w:tc>
      </w:tr>
      <w:tr>
        <w:trPr>
          <w:cantSplit/>
        </w:trPr>
        <w:tc>
          <w:tcPr>
            <w:tcW w:w="1872" w:type="dxa"/>
          </w:tcPr>
          <w:p>
            <w:pPr>
              <w:pStyle w:val="TableText"/>
            </w:pPr>
            <w:r>
              <w:t xml:space="preserve">32</w:t>
            </w:r>
          </w:p>
        </w:tc>
        <w:tc>
          <w:tcPr>
            <w:tcW w:w="1872" w:type="dxa"/>
          </w:tcPr>
          <w:p>
            <w:pPr>
              <w:pStyle w:val="TableText"/>
            </w:pPr>
            <w:r>
              <w:t xml:space="preserve">SRR19066668</w:t>
            </w:r>
          </w:p>
        </w:tc>
        <w:tc>
          <w:tcPr>
            <w:tcW w:w="1872" w:type="dxa"/>
          </w:tcPr>
          <w:p>
            <w:pPr>
              <w:pStyle w:val="TableText"/>
            </w:pPr>
            <w:r>
              <w:t xml:space="preserve">读段端 1</w:t>
            </w:r>
          </w:p>
        </w:tc>
        <w:tc>
          <w:tcPr>
            <w:tcW w:w="1872" w:type="dxa"/>
          </w:tcPr>
          <w:p>
            <w:pPr>
              <w:pStyle w:val="TableText"/>
            </w:pPr>
            <w:r>
              <w:t xml:space="preserve">SRR19066668_1.fastq.gz</w:t>
            </w:r>
          </w:p>
        </w:tc>
        <w:tc>
          <w:tcPr>
            <w:tcW w:w="1872" w:type="dxa"/>
          </w:tcPr>
          <w:p>
            <w:pPr>
              <w:pStyle w:val="TableText"/>
            </w:pPr>
            <w:hyperlink r:id="rId198">
              <w:r>
                <w:rPr>
                  <w:color w:val="0563C1"/>
                  <w:u w:val="single"/>
                </w:rPr>
                <w:t xml:space="preserve">SRR19066668_1.fastq.gz</w:t>
              </w:r>
            </w:hyperlink>
          </w:p>
        </w:tc>
      </w:tr>
      <w:tr>
        <w:trPr>
          <w:cantSplit/>
        </w:trPr>
        <w:tc>
          <w:tcPr>
            <w:tcW w:w="1872" w:type="dxa"/>
          </w:tcPr>
          <w:p>
            <w:pPr>
              <w:pStyle w:val="TableText"/>
            </w:pPr>
            <w:r>
              <w:t xml:space="preserve">32</w:t>
            </w:r>
          </w:p>
        </w:tc>
        <w:tc>
          <w:tcPr>
            <w:tcW w:w="1872" w:type="dxa"/>
          </w:tcPr>
          <w:p>
            <w:pPr>
              <w:pStyle w:val="TableText"/>
            </w:pPr>
            <w:r>
              <w:t xml:space="preserve">SRR19066668</w:t>
            </w:r>
          </w:p>
        </w:tc>
        <w:tc>
          <w:tcPr>
            <w:tcW w:w="1872" w:type="dxa"/>
          </w:tcPr>
          <w:p>
            <w:pPr>
              <w:pStyle w:val="TableText"/>
            </w:pPr>
            <w:r>
              <w:t xml:space="preserve">读段端 2</w:t>
            </w:r>
          </w:p>
        </w:tc>
        <w:tc>
          <w:tcPr>
            <w:tcW w:w="1872" w:type="dxa"/>
          </w:tcPr>
          <w:p>
            <w:pPr>
              <w:pStyle w:val="TableText"/>
            </w:pPr>
            <w:r>
              <w:t xml:space="preserve">SRR19066668_2.fastq.gz</w:t>
            </w:r>
          </w:p>
        </w:tc>
        <w:tc>
          <w:tcPr>
            <w:tcW w:w="1872" w:type="dxa"/>
          </w:tcPr>
          <w:p>
            <w:pPr>
              <w:pStyle w:val="TableText"/>
            </w:pPr>
            <w:hyperlink r:id="rId199">
              <w:r>
                <w:rPr>
                  <w:color w:val="0563C1"/>
                  <w:u w:val="single"/>
                </w:rPr>
                <w:t xml:space="preserve">SRR19066668_2.fastq.gz</w:t>
              </w:r>
            </w:hyperlink>
          </w:p>
        </w:tc>
      </w:tr>
      <w:tr>
        <w:trPr>
          <w:cantSplit/>
        </w:trPr>
        <w:tc>
          <w:tcPr>
            <w:tcW w:w="1872" w:type="dxa"/>
          </w:tcPr>
          <w:p>
            <w:pPr>
              <w:pStyle w:val="TableText"/>
            </w:pPr>
            <w:r>
              <w:t xml:space="preserve">33</w:t>
            </w:r>
          </w:p>
        </w:tc>
        <w:tc>
          <w:tcPr>
            <w:tcW w:w="1872" w:type="dxa"/>
          </w:tcPr>
          <w:p>
            <w:pPr>
              <w:pStyle w:val="TableText"/>
            </w:pPr>
            <w:r>
              <w:t xml:space="preserve">SRR29351083</w:t>
            </w:r>
          </w:p>
        </w:tc>
        <w:tc>
          <w:tcPr>
            <w:tcW w:w="1872" w:type="dxa"/>
          </w:tcPr>
          <w:p>
            <w:pPr>
              <w:pStyle w:val="TableText"/>
            </w:pPr>
            <w:r>
              <w:t xml:space="preserve">读段端 1；配对关系未核实</w:t>
            </w:r>
          </w:p>
        </w:tc>
        <w:tc>
          <w:tcPr>
            <w:tcW w:w="1872" w:type="dxa"/>
          </w:tcPr>
          <w:p>
            <w:pPr>
              <w:pStyle w:val="TableText"/>
            </w:pPr>
            <w:r>
              <w:t xml:space="preserve">SRR29351083_1.fastq.gz</w:t>
            </w:r>
          </w:p>
        </w:tc>
        <w:tc>
          <w:tcPr>
            <w:tcW w:w="1872" w:type="dxa"/>
          </w:tcPr>
          <w:p>
            <w:pPr>
              <w:pStyle w:val="TableText"/>
            </w:pPr>
            <w:hyperlink r:id="rId200">
              <w:r>
                <w:rPr>
                  <w:color w:val="0563C1"/>
                  <w:u w:val="single"/>
                </w:rPr>
                <w:t xml:space="preserve">SRR29351083_1.fastq.gz</w:t>
              </w:r>
            </w:hyperlink>
          </w:p>
        </w:tc>
      </w:tr>
      <w:tr>
        <w:trPr>
          <w:cantSplit/>
        </w:trPr>
        <w:tc>
          <w:tcPr>
            <w:tcW w:w="1872" w:type="dxa"/>
          </w:tcPr>
          <w:p>
            <w:pPr>
              <w:pStyle w:val="TableText"/>
            </w:pPr>
            <w:r>
              <w:t xml:space="preserve">33</w:t>
            </w:r>
          </w:p>
        </w:tc>
        <w:tc>
          <w:tcPr>
            <w:tcW w:w="1872" w:type="dxa"/>
          </w:tcPr>
          <w:p>
            <w:pPr>
              <w:pStyle w:val="TableText"/>
            </w:pPr>
            <w:r>
              <w:t xml:space="preserve">SRR29351083</w:t>
            </w:r>
          </w:p>
        </w:tc>
        <w:tc>
          <w:tcPr>
            <w:tcW w:w="1872" w:type="dxa"/>
          </w:tcPr>
          <w:p>
            <w:pPr>
              <w:pStyle w:val="TableText"/>
            </w:pPr>
            <w:r>
              <w:t xml:space="preserve">读段端 2；配对关系未核实</w:t>
            </w:r>
          </w:p>
        </w:tc>
        <w:tc>
          <w:tcPr>
            <w:tcW w:w="1872" w:type="dxa"/>
          </w:tcPr>
          <w:p>
            <w:pPr>
              <w:pStyle w:val="TableText"/>
            </w:pPr>
            <w:r>
              <w:t xml:space="preserve">SRR29351083_2.fastq.gz</w:t>
            </w:r>
          </w:p>
        </w:tc>
        <w:tc>
          <w:tcPr>
            <w:tcW w:w="1872" w:type="dxa"/>
          </w:tcPr>
          <w:p>
            <w:pPr>
              <w:pStyle w:val="TableText"/>
            </w:pPr>
            <w:hyperlink r:id="rId201">
              <w:r>
                <w:rPr>
                  <w:color w:val="0563C1"/>
                  <w:u w:val="single"/>
                </w:rPr>
                <w:t xml:space="preserve">SRR29351083_2.fastq.gz</w:t>
              </w:r>
            </w:hyperlink>
          </w:p>
        </w:tc>
      </w:tr>
      <w:tr>
        <w:trPr>
          <w:cantSplit/>
        </w:trPr>
        <w:tc>
          <w:tcPr>
            <w:tcW w:w="1872" w:type="dxa"/>
          </w:tcPr>
          <w:p>
            <w:pPr>
              <w:pStyle w:val="TableText"/>
            </w:pPr>
            <w:r>
              <w:t xml:space="preserve">34</w:t>
            </w:r>
          </w:p>
        </w:tc>
        <w:tc>
          <w:tcPr>
            <w:tcW w:w="1872" w:type="dxa"/>
          </w:tcPr>
          <w:p>
            <w:pPr>
              <w:pStyle w:val="TableText"/>
            </w:pPr>
            <w:r>
              <w:t xml:space="preserve">SRR30495077</w:t>
            </w:r>
          </w:p>
        </w:tc>
        <w:tc>
          <w:tcPr>
            <w:tcW w:w="1872" w:type="dxa"/>
          </w:tcPr>
          <w:p>
            <w:pPr>
              <w:pStyle w:val="TableText"/>
            </w:pPr>
            <w:r>
              <w:t xml:space="preserve">读段端 1</w:t>
            </w:r>
          </w:p>
        </w:tc>
        <w:tc>
          <w:tcPr>
            <w:tcW w:w="1872" w:type="dxa"/>
          </w:tcPr>
          <w:p>
            <w:pPr>
              <w:pStyle w:val="TableText"/>
            </w:pPr>
            <w:r>
              <w:t xml:space="preserve">SRR30495077_1.fastq.gz</w:t>
            </w:r>
          </w:p>
        </w:tc>
        <w:tc>
          <w:tcPr>
            <w:tcW w:w="1872" w:type="dxa"/>
          </w:tcPr>
          <w:p>
            <w:pPr>
              <w:pStyle w:val="TableText"/>
            </w:pPr>
            <w:hyperlink r:id="rId202">
              <w:r>
                <w:rPr>
                  <w:color w:val="0563C1"/>
                  <w:u w:val="single"/>
                </w:rPr>
                <w:t xml:space="preserve">SRR30495077_1.fastq.gz</w:t>
              </w:r>
            </w:hyperlink>
          </w:p>
        </w:tc>
      </w:tr>
      <w:tr>
        <w:trPr>
          <w:cantSplit/>
        </w:trPr>
        <w:tc>
          <w:tcPr>
            <w:tcW w:w="1872" w:type="dxa"/>
          </w:tcPr>
          <w:p>
            <w:pPr>
              <w:pStyle w:val="TableText"/>
            </w:pPr>
            <w:r>
              <w:t xml:space="preserve">34</w:t>
            </w:r>
          </w:p>
        </w:tc>
        <w:tc>
          <w:tcPr>
            <w:tcW w:w="1872" w:type="dxa"/>
          </w:tcPr>
          <w:p>
            <w:pPr>
              <w:pStyle w:val="TableText"/>
            </w:pPr>
            <w:r>
              <w:t xml:space="preserve">SRR30495077</w:t>
            </w:r>
          </w:p>
        </w:tc>
        <w:tc>
          <w:tcPr>
            <w:tcW w:w="1872" w:type="dxa"/>
          </w:tcPr>
          <w:p>
            <w:pPr>
              <w:pStyle w:val="TableText"/>
            </w:pPr>
            <w:r>
              <w:t xml:space="preserve">读段端 2</w:t>
            </w:r>
          </w:p>
        </w:tc>
        <w:tc>
          <w:tcPr>
            <w:tcW w:w="1872" w:type="dxa"/>
          </w:tcPr>
          <w:p>
            <w:pPr>
              <w:pStyle w:val="TableText"/>
            </w:pPr>
            <w:r>
              <w:t xml:space="preserve">SRR30495077_2.fastq.gz</w:t>
            </w:r>
          </w:p>
        </w:tc>
        <w:tc>
          <w:tcPr>
            <w:tcW w:w="1872" w:type="dxa"/>
          </w:tcPr>
          <w:p>
            <w:pPr>
              <w:pStyle w:val="TableText"/>
            </w:pPr>
            <w:hyperlink r:id="rId203">
              <w:r>
                <w:rPr>
                  <w:color w:val="0563C1"/>
                  <w:u w:val="single"/>
                </w:rPr>
                <w:t xml:space="preserve">SRR30495077_2.fastq.gz</w:t>
              </w:r>
            </w:hyperlink>
          </w:p>
        </w:tc>
      </w:tr>
      <w:tr>
        <w:trPr>
          <w:cantSplit/>
        </w:trPr>
        <w:tc>
          <w:tcPr>
            <w:tcW w:w="1872" w:type="dxa"/>
          </w:tcPr>
          <w:p>
            <w:pPr>
              <w:pStyle w:val="TableText"/>
            </w:pPr>
            <w:r>
              <w:t xml:space="preserve">35</w:t>
            </w:r>
          </w:p>
        </w:tc>
        <w:tc>
          <w:tcPr>
            <w:tcW w:w="1872" w:type="dxa"/>
          </w:tcPr>
          <w:p>
            <w:pPr>
              <w:pStyle w:val="TableText"/>
            </w:pPr>
            <w:r>
              <w:t xml:space="preserve">DRR1000045</w:t>
            </w:r>
          </w:p>
        </w:tc>
        <w:tc>
          <w:tcPr>
            <w:tcW w:w="1872" w:type="dxa"/>
          </w:tcPr>
          <w:p>
            <w:pPr>
              <w:pStyle w:val="TableText"/>
            </w:pPr>
            <w:r>
              <w:t xml:space="preserve">读段端 1；配对关系未核实</w:t>
            </w:r>
          </w:p>
        </w:tc>
        <w:tc>
          <w:tcPr>
            <w:tcW w:w="1872" w:type="dxa"/>
          </w:tcPr>
          <w:p>
            <w:pPr>
              <w:pStyle w:val="TableText"/>
            </w:pPr>
            <w:r>
              <w:t xml:space="preserve">DRR1000045_1.fastq.gz</w:t>
            </w:r>
          </w:p>
        </w:tc>
        <w:tc>
          <w:tcPr>
            <w:tcW w:w="1872" w:type="dxa"/>
          </w:tcPr>
          <w:p>
            <w:pPr>
              <w:pStyle w:val="TableText"/>
            </w:pPr>
            <w:hyperlink r:id="rId204">
              <w:r>
                <w:rPr>
                  <w:color w:val="0563C1"/>
                  <w:u w:val="single"/>
                </w:rPr>
                <w:t xml:space="preserve">DRR1000045_1.fastq.gz</w:t>
              </w:r>
            </w:hyperlink>
          </w:p>
        </w:tc>
      </w:tr>
      <w:tr>
        <w:trPr>
          <w:cantSplit/>
        </w:trPr>
        <w:tc>
          <w:tcPr>
            <w:tcW w:w="1872" w:type="dxa"/>
          </w:tcPr>
          <w:p>
            <w:pPr>
              <w:pStyle w:val="TableText"/>
            </w:pPr>
            <w:r>
              <w:t xml:space="preserve">35</w:t>
            </w:r>
          </w:p>
        </w:tc>
        <w:tc>
          <w:tcPr>
            <w:tcW w:w="1872" w:type="dxa"/>
          </w:tcPr>
          <w:p>
            <w:pPr>
              <w:pStyle w:val="TableText"/>
            </w:pPr>
            <w:r>
              <w:t xml:space="preserve">DRR1000045</w:t>
            </w:r>
          </w:p>
        </w:tc>
        <w:tc>
          <w:tcPr>
            <w:tcW w:w="1872" w:type="dxa"/>
          </w:tcPr>
          <w:p>
            <w:pPr>
              <w:pStyle w:val="TableText"/>
            </w:pPr>
            <w:r>
              <w:t xml:space="preserve">读段端 2；配对关系未核实</w:t>
            </w:r>
          </w:p>
        </w:tc>
        <w:tc>
          <w:tcPr>
            <w:tcW w:w="1872" w:type="dxa"/>
          </w:tcPr>
          <w:p>
            <w:pPr>
              <w:pStyle w:val="TableText"/>
            </w:pPr>
            <w:r>
              <w:t xml:space="preserve">DRR1000045_2.fastq.gz</w:t>
            </w:r>
          </w:p>
        </w:tc>
        <w:tc>
          <w:tcPr>
            <w:tcW w:w="1872" w:type="dxa"/>
          </w:tcPr>
          <w:p>
            <w:pPr>
              <w:pStyle w:val="TableText"/>
            </w:pPr>
            <w:hyperlink r:id="rId205">
              <w:r>
                <w:rPr>
                  <w:color w:val="0563C1"/>
                  <w:u w:val="single"/>
                </w:rPr>
                <w:t xml:space="preserve">DRR1000045_2.fastq.gz</w:t>
              </w:r>
            </w:hyperlink>
          </w:p>
        </w:tc>
      </w:tr>
      <w:tr>
        <w:trPr>
          <w:cantSplit/>
        </w:trPr>
        <w:tc>
          <w:tcPr>
            <w:tcW w:w="1872" w:type="dxa"/>
          </w:tcPr>
          <w:p>
            <w:pPr>
              <w:pStyle w:val="TableText"/>
            </w:pPr>
            <w:r>
              <w:t xml:space="preserve">36</w:t>
            </w:r>
          </w:p>
        </w:tc>
        <w:tc>
          <w:tcPr>
            <w:tcW w:w="1872" w:type="dxa"/>
          </w:tcPr>
          <w:p>
            <w:pPr>
              <w:pStyle w:val="TableText"/>
            </w:pPr>
            <w:r>
              <w:t xml:space="preserve">SRR26362943</w:t>
            </w:r>
          </w:p>
        </w:tc>
        <w:tc>
          <w:tcPr>
            <w:tcW w:w="1872" w:type="dxa"/>
          </w:tcPr>
          <w:p>
            <w:pPr>
              <w:pStyle w:val="TableText"/>
            </w:pPr>
            <w:r>
              <w:t xml:space="preserve">读段端 1；配对关系未核实</w:t>
            </w:r>
          </w:p>
        </w:tc>
        <w:tc>
          <w:tcPr>
            <w:tcW w:w="1872" w:type="dxa"/>
          </w:tcPr>
          <w:p>
            <w:pPr>
              <w:pStyle w:val="TableText"/>
            </w:pPr>
            <w:r>
              <w:t xml:space="preserve">SRR26362943_1.fastq.gz</w:t>
            </w:r>
          </w:p>
        </w:tc>
        <w:tc>
          <w:tcPr>
            <w:tcW w:w="1872" w:type="dxa"/>
          </w:tcPr>
          <w:p>
            <w:pPr>
              <w:pStyle w:val="TableText"/>
            </w:pPr>
            <w:hyperlink r:id="rId206">
              <w:r>
                <w:rPr>
                  <w:color w:val="0563C1"/>
                  <w:u w:val="single"/>
                </w:rPr>
                <w:t xml:space="preserve">SRR26362943_1.fastq.gz</w:t>
              </w:r>
            </w:hyperlink>
          </w:p>
        </w:tc>
      </w:tr>
      <w:tr>
        <w:trPr>
          <w:cantSplit/>
        </w:trPr>
        <w:tc>
          <w:tcPr>
            <w:tcW w:w="1872" w:type="dxa"/>
          </w:tcPr>
          <w:p>
            <w:pPr>
              <w:pStyle w:val="TableText"/>
            </w:pPr>
            <w:r>
              <w:t xml:space="preserve">36</w:t>
            </w:r>
          </w:p>
        </w:tc>
        <w:tc>
          <w:tcPr>
            <w:tcW w:w="1872" w:type="dxa"/>
          </w:tcPr>
          <w:p>
            <w:pPr>
              <w:pStyle w:val="TableText"/>
            </w:pPr>
            <w:r>
              <w:t xml:space="preserve">SRR26362943</w:t>
            </w:r>
          </w:p>
        </w:tc>
        <w:tc>
          <w:tcPr>
            <w:tcW w:w="1872" w:type="dxa"/>
          </w:tcPr>
          <w:p>
            <w:pPr>
              <w:pStyle w:val="TableText"/>
            </w:pPr>
            <w:r>
              <w:t xml:space="preserve">读段端 2；配对关系未核实</w:t>
            </w:r>
          </w:p>
        </w:tc>
        <w:tc>
          <w:tcPr>
            <w:tcW w:w="1872" w:type="dxa"/>
          </w:tcPr>
          <w:p>
            <w:pPr>
              <w:pStyle w:val="TableText"/>
            </w:pPr>
            <w:r>
              <w:t xml:space="preserve">SRR26362943_2.fastq.gz</w:t>
            </w:r>
          </w:p>
        </w:tc>
        <w:tc>
          <w:tcPr>
            <w:tcW w:w="1872" w:type="dxa"/>
          </w:tcPr>
          <w:p>
            <w:pPr>
              <w:pStyle w:val="TableText"/>
            </w:pPr>
            <w:hyperlink r:id="rId207">
              <w:r>
                <w:rPr>
                  <w:color w:val="0563C1"/>
                  <w:u w:val="single"/>
                </w:rPr>
                <w:t xml:space="preserve">SRR26362943_2.fastq.gz</w:t>
              </w:r>
            </w:hyperlink>
          </w:p>
        </w:tc>
      </w:tr>
      <w:tr>
        <w:trPr>
          <w:cantSplit/>
        </w:trPr>
        <w:tc>
          <w:tcPr>
            <w:tcW w:w="1872" w:type="dxa"/>
          </w:tcPr>
          <w:p>
            <w:pPr>
              <w:pStyle w:val="TableText"/>
            </w:pPr>
            <w:r>
              <w:t xml:space="preserve">37</w:t>
            </w:r>
          </w:p>
        </w:tc>
        <w:tc>
          <w:tcPr>
            <w:tcW w:w="1872" w:type="dxa"/>
          </w:tcPr>
          <w:p>
            <w:pPr>
              <w:pStyle w:val="TableText"/>
            </w:pPr>
            <w:r>
              <w:t xml:space="preserve">SRR30894055</w:t>
            </w:r>
          </w:p>
        </w:tc>
        <w:tc>
          <w:tcPr>
            <w:tcW w:w="1872" w:type="dxa"/>
          </w:tcPr>
          <w:p>
            <w:pPr>
              <w:pStyle w:val="TableText"/>
            </w:pPr>
            <w:r>
              <w:t xml:space="preserve">读段端 1；配对关系未核实</w:t>
            </w:r>
          </w:p>
        </w:tc>
        <w:tc>
          <w:tcPr>
            <w:tcW w:w="1872" w:type="dxa"/>
          </w:tcPr>
          <w:p>
            <w:pPr>
              <w:pStyle w:val="TableText"/>
            </w:pPr>
            <w:r>
              <w:t xml:space="preserve">SRR30894055_1.fastq.gz</w:t>
            </w:r>
          </w:p>
        </w:tc>
        <w:tc>
          <w:tcPr>
            <w:tcW w:w="1872" w:type="dxa"/>
          </w:tcPr>
          <w:p>
            <w:pPr>
              <w:pStyle w:val="TableText"/>
            </w:pPr>
            <w:hyperlink r:id="rId208">
              <w:r>
                <w:rPr>
                  <w:color w:val="0563C1"/>
                  <w:u w:val="single"/>
                </w:rPr>
                <w:t xml:space="preserve">SRR30894055_1.fastq.gz</w:t>
              </w:r>
            </w:hyperlink>
          </w:p>
        </w:tc>
      </w:tr>
      <w:tr>
        <w:trPr>
          <w:cantSplit/>
        </w:trPr>
        <w:tc>
          <w:tcPr>
            <w:tcW w:w="1872" w:type="dxa"/>
          </w:tcPr>
          <w:p>
            <w:pPr>
              <w:pStyle w:val="TableText"/>
            </w:pPr>
            <w:r>
              <w:t xml:space="preserve">37</w:t>
            </w:r>
          </w:p>
        </w:tc>
        <w:tc>
          <w:tcPr>
            <w:tcW w:w="1872" w:type="dxa"/>
          </w:tcPr>
          <w:p>
            <w:pPr>
              <w:pStyle w:val="TableText"/>
            </w:pPr>
            <w:r>
              <w:t xml:space="preserve">SRR30894055</w:t>
            </w:r>
          </w:p>
        </w:tc>
        <w:tc>
          <w:tcPr>
            <w:tcW w:w="1872" w:type="dxa"/>
          </w:tcPr>
          <w:p>
            <w:pPr>
              <w:pStyle w:val="TableText"/>
            </w:pPr>
            <w:r>
              <w:t xml:space="preserve">读段端 2；配对关系未核实</w:t>
            </w:r>
          </w:p>
        </w:tc>
        <w:tc>
          <w:tcPr>
            <w:tcW w:w="1872" w:type="dxa"/>
          </w:tcPr>
          <w:p>
            <w:pPr>
              <w:pStyle w:val="TableText"/>
            </w:pPr>
            <w:r>
              <w:t xml:space="preserve">SRR30894055_2.fastq.gz</w:t>
            </w:r>
          </w:p>
        </w:tc>
        <w:tc>
          <w:tcPr>
            <w:tcW w:w="1872" w:type="dxa"/>
          </w:tcPr>
          <w:p>
            <w:pPr>
              <w:pStyle w:val="TableText"/>
            </w:pPr>
            <w:hyperlink r:id="rId209">
              <w:r>
                <w:rPr>
                  <w:color w:val="0563C1"/>
                  <w:u w:val="single"/>
                </w:rPr>
                <w:t xml:space="preserve">SRR30894055_2.fastq.gz</w:t>
              </w:r>
            </w:hyperlink>
          </w:p>
        </w:tc>
      </w:tr>
      <w:tr>
        <w:trPr>
          <w:cantSplit/>
        </w:trPr>
        <w:tc>
          <w:tcPr>
            <w:tcW w:w="1872" w:type="dxa"/>
          </w:tcPr>
          <w:p>
            <w:pPr>
              <w:pStyle w:val="TableText"/>
            </w:pPr>
            <w:r>
              <w:t xml:space="preserve">38</w:t>
            </w:r>
          </w:p>
        </w:tc>
        <w:tc>
          <w:tcPr>
            <w:tcW w:w="1872" w:type="dxa"/>
          </w:tcPr>
          <w:p>
            <w:pPr>
              <w:pStyle w:val="TableText"/>
            </w:pPr>
            <w:r>
              <w:t xml:space="preserve">SRR34546226</w:t>
            </w:r>
          </w:p>
        </w:tc>
        <w:tc>
          <w:tcPr>
            <w:tcW w:w="1872" w:type="dxa"/>
          </w:tcPr>
          <w:p>
            <w:pPr>
              <w:pStyle w:val="TableText"/>
            </w:pPr>
            <w:r>
              <w:t xml:space="preserve">单个已提供的 FASTQ 文件</w:t>
            </w:r>
          </w:p>
        </w:tc>
        <w:tc>
          <w:tcPr>
            <w:tcW w:w="1872" w:type="dxa"/>
          </w:tcPr>
          <w:p>
            <w:pPr>
              <w:pStyle w:val="TableText"/>
            </w:pPr>
            <w:r>
              <w:t xml:space="preserve">SRR34546226.fastq.gz</w:t>
            </w:r>
          </w:p>
        </w:tc>
        <w:tc>
          <w:tcPr>
            <w:tcW w:w="1872" w:type="dxa"/>
          </w:tcPr>
          <w:p>
            <w:pPr>
              <w:pStyle w:val="TableText"/>
            </w:pPr>
            <w:hyperlink r:id="rId210">
              <w:r>
                <w:rPr>
                  <w:color w:val="0563C1"/>
                  <w:u w:val="single"/>
                </w:rPr>
                <w:t xml:space="preserve">SRR34546226.fastq.gz</w:t>
              </w:r>
            </w:hyperlink>
          </w:p>
        </w:tc>
      </w:tr>
      <w:tr>
        <w:trPr>
          <w:cantSplit/>
        </w:trPr>
        <w:tc>
          <w:tcPr>
            <w:tcW w:w="1872" w:type="dxa"/>
          </w:tcPr>
          <w:p>
            <w:pPr>
              <w:pStyle w:val="TableText"/>
            </w:pPr>
            <w:r>
              <w:t xml:space="preserve">39</w:t>
            </w:r>
          </w:p>
        </w:tc>
        <w:tc>
          <w:tcPr>
            <w:tcW w:w="1872" w:type="dxa"/>
          </w:tcPr>
          <w:p>
            <w:pPr>
              <w:pStyle w:val="TableText"/>
            </w:pPr>
            <w:r>
              <w:t xml:space="preserve">DRR1009870</w:t>
            </w:r>
          </w:p>
        </w:tc>
        <w:tc>
          <w:tcPr>
            <w:tcW w:w="1872" w:type="dxa"/>
          </w:tcPr>
          <w:p>
            <w:pPr>
              <w:pStyle w:val="TableText"/>
            </w:pPr>
            <w:r>
              <w:t xml:space="preserve">读段端 1；配对关系未核实</w:t>
            </w:r>
          </w:p>
        </w:tc>
        <w:tc>
          <w:tcPr>
            <w:tcW w:w="1872" w:type="dxa"/>
          </w:tcPr>
          <w:p>
            <w:pPr>
              <w:pStyle w:val="TableText"/>
            </w:pPr>
            <w:r>
              <w:t xml:space="preserve">DRR1009870_1.fastq.gz</w:t>
            </w:r>
          </w:p>
        </w:tc>
        <w:tc>
          <w:tcPr>
            <w:tcW w:w="1872" w:type="dxa"/>
          </w:tcPr>
          <w:p>
            <w:pPr>
              <w:pStyle w:val="TableText"/>
            </w:pPr>
            <w:hyperlink r:id="rId211">
              <w:r>
                <w:rPr>
                  <w:color w:val="0563C1"/>
                  <w:u w:val="single"/>
                </w:rPr>
                <w:t xml:space="preserve">DRR1009870_1.fastq.gz</w:t>
              </w:r>
            </w:hyperlink>
          </w:p>
        </w:tc>
      </w:tr>
      <w:tr>
        <w:trPr>
          <w:cantSplit/>
        </w:trPr>
        <w:tc>
          <w:tcPr>
            <w:tcW w:w="1872" w:type="dxa"/>
          </w:tcPr>
          <w:p>
            <w:pPr>
              <w:pStyle w:val="TableText"/>
            </w:pPr>
            <w:r>
              <w:t xml:space="preserve">39</w:t>
            </w:r>
          </w:p>
        </w:tc>
        <w:tc>
          <w:tcPr>
            <w:tcW w:w="1872" w:type="dxa"/>
          </w:tcPr>
          <w:p>
            <w:pPr>
              <w:pStyle w:val="TableText"/>
            </w:pPr>
            <w:r>
              <w:t xml:space="preserve">DRR1009870</w:t>
            </w:r>
          </w:p>
        </w:tc>
        <w:tc>
          <w:tcPr>
            <w:tcW w:w="1872" w:type="dxa"/>
          </w:tcPr>
          <w:p>
            <w:pPr>
              <w:pStyle w:val="TableText"/>
            </w:pPr>
            <w:r>
              <w:t xml:space="preserve">读段端 2；配对关系未核实</w:t>
            </w:r>
          </w:p>
        </w:tc>
        <w:tc>
          <w:tcPr>
            <w:tcW w:w="1872" w:type="dxa"/>
          </w:tcPr>
          <w:p>
            <w:pPr>
              <w:pStyle w:val="TableText"/>
            </w:pPr>
            <w:r>
              <w:t xml:space="preserve">DRR1009870_2.fastq.gz</w:t>
            </w:r>
          </w:p>
        </w:tc>
        <w:tc>
          <w:tcPr>
            <w:tcW w:w="1872" w:type="dxa"/>
          </w:tcPr>
          <w:p>
            <w:pPr>
              <w:pStyle w:val="TableText"/>
            </w:pPr>
            <w:hyperlink r:id="rId212">
              <w:r>
                <w:rPr>
                  <w:color w:val="0563C1"/>
                  <w:u w:val="single"/>
                </w:rPr>
                <w:t xml:space="preserve">DRR1009870_2.fastq.gz</w:t>
              </w:r>
            </w:hyperlink>
          </w:p>
        </w:tc>
      </w:tr>
      <w:tr>
        <w:trPr>
          <w:cantSplit/>
        </w:trPr>
        <w:tc>
          <w:tcPr>
            <w:tcW w:w="1872" w:type="dxa"/>
          </w:tcPr>
          <w:p>
            <w:pPr>
              <w:pStyle w:val="TableText"/>
            </w:pPr>
            <w:r>
              <w:t xml:space="preserve">40</w:t>
            </w:r>
          </w:p>
        </w:tc>
        <w:tc>
          <w:tcPr>
            <w:tcW w:w="1872" w:type="dxa"/>
          </w:tcPr>
          <w:p>
            <w:pPr>
              <w:pStyle w:val="TableText"/>
            </w:pPr>
            <w:r>
              <w:t xml:space="preserve">SRR30515680</w:t>
            </w:r>
          </w:p>
        </w:tc>
        <w:tc>
          <w:tcPr>
            <w:tcW w:w="1872" w:type="dxa"/>
          </w:tcPr>
          <w:p>
            <w:pPr>
              <w:pStyle w:val="TableText"/>
            </w:pPr>
            <w:r>
              <w:t xml:space="preserve">读段端 1</w:t>
            </w:r>
          </w:p>
        </w:tc>
        <w:tc>
          <w:tcPr>
            <w:tcW w:w="1872" w:type="dxa"/>
          </w:tcPr>
          <w:p>
            <w:pPr>
              <w:pStyle w:val="TableText"/>
            </w:pPr>
            <w:r>
              <w:t xml:space="preserve">SRR30515680_1.fastq.gz</w:t>
            </w:r>
          </w:p>
        </w:tc>
        <w:tc>
          <w:tcPr>
            <w:tcW w:w="1872" w:type="dxa"/>
          </w:tcPr>
          <w:p>
            <w:pPr>
              <w:pStyle w:val="TableText"/>
            </w:pPr>
            <w:hyperlink r:id="rId213">
              <w:r>
                <w:rPr>
                  <w:color w:val="0563C1"/>
                  <w:u w:val="single"/>
                </w:rPr>
                <w:t xml:space="preserve">SRR30515680_1.fastq.gz</w:t>
              </w:r>
            </w:hyperlink>
          </w:p>
        </w:tc>
      </w:tr>
      <w:tr>
        <w:trPr>
          <w:cantSplit/>
        </w:trPr>
        <w:tc>
          <w:tcPr>
            <w:tcW w:w="1872" w:type="dxa"/>
          </w:tcPr>
          <w:p>
            <w:pPr>
              <w:pStyle w:val="TableText"/>
            </w:pPr>
            <w:r>
              <w:t xml:space="preserve">40</w:t>
            </w:r>
          </w:p>
        </w:tc>
        <w:tc>
          <w:tcPr>
            <w:tcW w:w="1872" w:type="dxa"/>
          </w:tcPr>
          <w:p>
            <w:pPr>
              <w:pStyle w:val="TableText"/>
            </w:pPr>
            <w:r>
              <w:t xml:space="preserve">SRR30515680</w:t>
            </w:r>
          </w:p>
        </w:tc>
        <w:tc>
          <w:tcPr>
            <w:tcW w:w="1872" w:type="dxa"/>
          </w:tcPr>
          <w:p>
            <w:pPr>
              <w:pStyle w:val="TableText"/>
            </w:pPr>
            <w:r>
              <w:t xml:space="preserve">读段端 2</w:t>
            </w:r>
          </w:p>
        </w:tc>
        <w:tc>
          <w:tcPr>
            <w:tcW w:w="1872" w:type="dxa"/>
          </w:tcPr>
          <w:p>
            <w:pPr>
              <w:pStyle w:val="TableText"/>
            </w:pPr>
            <w:r>
              <w:t xml:space="preserve">SRR30515680_2.fastq.gz</w:t>
            </w:r>
          </w:p>
        </w:tc>
        <w:tc>
          <w:tcPr>
            <w:tcW w:w="1872" w:type="dxa"/>
          </w:tcPr>
          <w:p>
            <w:pPr>
              <w:pStyle w:val="TableText"/>
            </w:pPr>
            <w:hyperlink r:id="rId214">
              <w:r>
                <w:rPr>
                  <w:color w:val="0563C1"/>
                  <w:u w:val="single"/>
                </w:rPr>
                <w:t xml:space="preserve">SRR30515680_2.fastq.gz</w:t>
              </w:r>
            </w:hyperlink>
          </w:p>
        </w:tc>
      </w:tr>
      <w:tr>
        <w:trPr>
          <w:cantSplit/>
        </w:trPr>
        <w:tc>
          <w:tcPr>
            <w:tcW w:w="1872" w:type="dxa"/>
          </w:tcPr>
          <w:p>
            <w:pPr>
              <w:pStyle w:val="TableText"/>
            </w:pPr>
            <w:r>
              <w:t xml:space="preserve">41</w:t>
            </w:r>
          </w:p>
        </w:tc>
        <w:tc>
          <w:tcPr>
            <w:tcW w:w="1872" w:type="dxa"/>
          </w:tcPr>
          <w:p>
            <w:pPr>
              <w:pStyle w:val="TableText"/>
            </w:pPr>
            <w:r>
              <w:t xml:space="preserve">SRR30515673</w:t>
            </w:r>
          </w:p>
        </w:tc>
        <w:tc>
          <w:tcPr>
            <w:tcW w:w="1872" w:type="dxa"/>
          </w:tcPr>
          <w:p>
            <w:pPr>
              <w:pStyle w:val="TableText"/>
            </w:pPr>
            <w:r>
              <w:t xml:space="preserve">读段端 1</w:t>
            </w:r>
          </w:p>
        </w:tc>
        <w:tc>
          <w:tcPr>
            <w:tcW w:w="1872" w:type="dxa"/>
          </w:tcPr>
          <w:p>
            <w:pPr>
              <w:pStyle w:val="TableText"/>
            </w:pPr>
            <w:r>
              <w:t xml:space="preserve">SRR30515673_1.fastq.gz</w:t>
            </w:r>
          </w:p>
        </w:tc>
        <w:tc>
          <w:tcPr>
            <w:tcW w:w="1872" w:type="dxa"/>
          </w:tcPr>
          <w:p>
            <w:pPr>
              <w:pStyle w:val="TableText"/>
            </w:pPr>
            <w:hyperlink r:id="rId215">
              <w:r>
                <w:rPr>
                  <w:color w:val="0563C1"/>
                  <w:u w:val="single"/>
                </w:rPr>
                <w:t xml:space="preserve">SRR30515673_1.fastq.gz</w:t>
              </w:r>
            </w:hyperlink>
          </w:p>
        </w:tc>
      </w:tr>
      <w:tr>
        <w:trPr>
          <w:cantSplit/>
        </w:trPr>
        <w:tc>
          <w:tcPr>
            <w:tcW w:w="1872" w:type="dxa"/>
          </w:tcPr>
          <w:p>
            <w:pPr>
              <w:pStyle w:val="TableText"/>
            </w:pPr>
            <w:r>
              <w:t xml:space="preserve">41</w:t>
            </w:r>
          </w:p>
        </w:tc>
        <w:tc>
          <w:tcPr>
            <w:tcW w:w="1872" w:type="dxa"/>
          </w:tcPr>
          <w:p>
            <w:pPr>
              <w:pStyle w:val="TableText"/>
            </w:pPr>
            <w:r>
              <w:t xml:space="preserve">SRR30515673</w:t>
            </w:r>
          </w:p>
        </w:tc>
        <w:tc>
          <w:tcPr>
            <w:tcW w:w="1872" w:type="dxa"/>
          </w:tcPr>
          <w:p>
            <w:pPr>
              <w:pStyle w:val="TableText"/>
            </w:pPr>
            <w:r>
              <w:t xml:space="preserve">读段端 2</w:t>
            </w:r>
          </w:p>
        </w:tc>
        <w:tc>
          <w:tcPr>
            <w:tcW w:w="1872" w:type="dxa"/>
          </w:tcPr>
          <w:p>
            <w:pPr>
              <w:pStyle w:val="TableText"/>
            </w:pPr>
            <w:r>
              <w:t xml:space="preserve">SRR30515673_2.fastq.gz</w:t>
            </w:r>
          </w:p>
        </w:tc>
        <w:tc>
          <w:tcPr>
            <w:tcW w:w="1872" w:type="dxa"/>
          </w:tcPr>
          <w:p>
            <w:pPr>
              <w:pStyle w:val="TableText"/>
            </w:pPr>
            <w:hyperlink r:id="rId216">
              <w:r>
                <w:rPr>
                  <w:color w:val="0563C1"/>
                  <w:u w:val="single"/>
                </w:rPr>
                <w:t xml:space="preserve">SRR30515673_2.fastq.gz</w:t>
              </w:r>
            </w:hyperlink>
          </w:p>
        </w:tc>
      </w:tr>
      <w:tr>
        <w:trPr>
          <w:cantSplit/>
        </w:trPr>
        <w:tc>
          <w:tcPr>
            <w:tcW w:w="1872" w:type="dxa"/>
          </w:tcPr>
          <w:p>
            <w:pPr>
              <w:pStyle w:val="TableText"/>
            </w:pPr>
            <w:r>
              <w:t xml:space="preserve">42</w:t>
            </w:r>
          </w:p>
        </w:tc>
        <w:tc>
          <w:tcPr>
            <w:tcW w:w="1872" w:type="dxa"/>
          </w:tcPr>
          <w:p>
            <w:pPr>
              <w:pStyle w:val="TableText"/>
            </w:pPr>
            <w:r>
              <w:t xml:space="preserve">DRR1051020</w:t>
            </w:r>
          </w:p>
        </w:tc>
        <w:tc>
          <w:tcPr>
            <w:tcW w:w="1872" w:type="dxa"/>
          </w:tcPr>
          <w:p>
            <w:pPr>
              <w:pStyle w:val="TableText"/>
            </w:pPr>
            <w:r>
              <w:t xml:space="preserve">读段端 1；配对关系未核实</w:t>
            </w:r>
          </w:p>
        </w:tc>
        <w:tc>
          <w:tcPr>
            <w:tcW w:w="1872" w:type="dxa"/>
          </w:tcPr>
          <w:p>
            <w:pPr>
              <w:pStyle w:val="TableText"/>
            </w:pPr>
            <w:r>
              <w:t xml:space="preserve">DRR1051020_1.fastq.gz</w:t>
            </w:r>
          </w:p>
        </w:tc>
        <w:tc>
          <w:tcPr>
            <w:tcW w:w="1872" w:type="dxa"/>
          </w:tcPr>
          <w:p>
            <w:pPr>
              <w:pStyle w:val="TableText"/>
            </w:pPr>
            <w:hyperlink r:id="rId217">
              <w:r>
                <w:rPr>
                  <w:color w:val="0563C1"/>
                  <w:u w:val="single"/>
                </w:rPr>
                <w:t xml:space="preserve">DRR1051020_1.fastq.gz</w:t>
              </w:r>
            </w:hyperlink>
          </w:p>
        </w:tc>
      </w:tr>
      <w:tr>
        <w:trPr>
          <w:cantSplit/>
        </w:trPr>
        <w:tc>
          <w:tcPr>
            <w:tcW w:w="1872" w:type="dxa"/>
          </w:tcPr>
          <w:p>
            <w:pPr>
              <w:pStyle w:val="TableText"/>
            </w:pPr>
            <w:r>
              <w:t xml:space="preserve">42</w:t>
            </w:r>
          </w:p>
        </w:tc>
        <w:tc>
          <w:tcPr>
            <w:tcW w:w="1872" w:type="dxa"/>
          </w:tcPr>
          <w:p>
            <w:pPr>
              <w:pStyle w:val="TableText"/>
            </w:pPr>
            <w:r>
              <w:t xml:space="preserve">DRR1051020</w:t>
            </w:r>
          </w:p>
        </w:tc>
        <w:tc>
          <w:tcPr>
            <w:tcW w:w="1872" w:type="dxa"/>
          </w:tcPr>
          <w:p>
            <w:pPr>
              <w:pStyle w:val="TableText"/>
            </w:pPr>
            <w:r>
              <w:t xml:space="preserve">读段端 2；配对关系未核实</w:t>
            </w:r>
          </w:p>
        </w:tc>
        <w:tc>
          <w:tcPr>
            <w:tcW w:w="1872" w:type="dxa"/>
          </w:tcPr>
          <w:p>
            <w:pPr>
              <w:pStyle w:val="TableText"/>
            </w:pPr>
            <w:r>
              <w:t xml:space="preserve">DRR1051020_2.fastq.gz</w:t>
            </w:r>
          </w:p>
        </w:tc>
        <w:tc>
          <w:tcPr>
            <w:tcW w:w="1872" w:type="dxa"/>
          </w:tcPr>
          <w:p>
            <w:pPr>
              <w:pStyle w:val="TableText"/>
            </w:pPr>
            <w:hyperlink r:id="rId218">
              <w:r>
                <w:rPr>
                  <w:color w:val="0563C1"/>
                  <w:u w:val="single"/>
                </w:rPr>
                <w:t xml:space="preserve">DRR1051020_2.fastq.gz</w:t>
              </w:r>
            </w:hyperlink>
          </w:p>
        </w:tc>
      </w:tr>
      <w:tr>
        <w:trPr>
          <w:cantSplit/>
        </w:trPr>
        <w:tc>
          <w:tcPr>
            <w:tcW w:w="1872" w:type="dxa"/>
          </w:tcPr>
          <w:p>
            <w:pPr>
              <w:pStyle w:val="TableText"/>
            </w:pPr>
            <w:r>
              <w:t xml:space="preserve">43</w:t>
            </w:r>
          </w:p>
        </w:tc>
        <w:tc>
          <w:tcPr>
            <w:tcW w:w="1872" w:type="dxa"/>
          </w:tcPr>
          <w:p>
            <w:pPr>
              <w:pStyle w:val="TableText"/>
            </w:pPr>
            <w:r>
              <w:t xml:space="preserve">ERR7749063</w:t>
            </w:r>
          </w:p>
        </w:tc>
        <w:tc>
          <w:tcPr>
            <w:tcW w:w="1872" w:type="dxa"/>
          </w:tcPr>
          <w:p>
            <w:pPr>
              <w:pStyle w:val="TableText"/>
            </w:pPr>
            <w:r>
              <w:t xml:space="preserve">读段端 1；配对关系未核实</w:t>
            </w:r>
          </w:p>
        </w:tc>
        <w:tc>
          <w:tcPr>
            <w:tcW w:w="1872" w:type="dxa"/>
          </w:tcPr>
          <w:p>
            <w:pPr>
              <w:pStyle w:val="TableText"/>
            </w:pPr>
            <w:r>
              <w:t xml:space="preserve">ERR7749063_1.fastq.gz</w:t>
            </w:r>
          </w:p>
        </w:tc>
        <w:tc>
          <w:tcPr>
            <w:tcW w:w="1872" w:type="dxa"/>
          </w:tcPr>
          <w:p>
            <w:pPr>
              <w:pStyle w:val="TableText"/>
            </w:pPr>
            <w:hyperlink r:id="rId219">
              <w:r>
                <w:rPr>
                  <w:color w:val="0563C1"/>
                  <w:u w:val="single"/>
                </w:rPr>
                <w:t xml:space="preserve">ERR7749063_1.fastq.gz</w:t>
              </w:r>
            </w:hyperlink>
          </w:p>
        </w:tc>
      </w:tr>
      <w:tr>
        <w:trPr>
          <w:cantSplit/>
        </w:trPr>
        <w:tc>
          <w:tcPr>
            <w:tcW w:w="1872" w:type="dxa"/>
          </w:tcPr>
          <w:p>
            <w:pPr>
              <w:pStyle w:val="TableText"/>
            </w:pPr>
            <w:r>
              <w:t xml:space="preserve">43</w:t>
            </w:r>
          </w:p>
        </w:tc>
        <w:tc>
          <w:tcPr>
            <w:tcW w:w="1872" w:type="dxa"/>
          </w:tcPr>
          <w:p>
            <w:pPr>
              <w:pStyle w:val="TableText"/>
            </w:pPr>
            <w:r>
              <w:t xml:space="preserve">ERR7749063</w:t>
            </w:r>
          </w:p>
        </w:tc>
        <w:tc>
          <w:tcPr>
            <w:tcW w:w="1872" w:type="dxa"/>
          </w:tcPr>
          <w:p>
            <w:pPr>
              <w:pStyle w:val="TableText"/>
            </w:pPr>
            <w:r>
              <w:t xml:space="preserve">读段端 2；配对关系未核实</w:t>
            </w:r>
          </w:p>
        </w:tc>
        <w:tc>
          <w:tcPr>
            <w:tcW w:w="1872" w:type="dxa"/>
          </w:tcPr>
          <w:p>
            <w:pPr>
              <w:pStyle w:val="TableText"/>
            </w:pPr>
            <w:r>
              <w:t xml:space="preserve">ERR7749063_2.fastq.gz</w:t>
            </w:r>
          </w:p>
        </w:tc>
        <w:tc>
          <w:tcPr>
            <w:tcW w:w="1872" w:type="dxa"/>
          </w:tcPr>
          <w:p>
            <w:pPr>
              <w:pStyle w:val="TableText"/>
            </w:pPr>
            <w:hyperlink r:id="rId220">
              <w:r>
                <w:rPr>
                  <w:color w:val="0563C1"/>
                  <w:u w:val="single"/>
                </w:rPr>
                <w:t xml:space="preserve">ERR7749063_2.fastq.gz</w:t>
              </w:r>
            </w:hyperlink>
          </w:p>
        </w:tc>
      </w:tr>
      <w:tr>
        <w:trPr>
          <w:cantSplit/>
        </w:trPr>
        <w:tc>
          <w:tcPr>
            <w:tcW w:w="1872" w:type="dxa"/>
          </w:tcPr>
          <w:p>
            <w:pPr>
              <w:pStyle w:val="TableText"/>
            </w:pPr>
            <w:r>
              <w:t xml:space="preserve">44</w:t>
            </w:r>
          </w:p>
        </w:tc>
        <w:tc>
          <w:tcPr>
            <w:tcW w:w="1872" w:type="dxa"/>
          </w:tcPr>
          <w:p>
            <w:pPr>
              <w:pStyle w:val="TableText"/>
            </w:pPr>
            <w:r>
              <w:t xml:space="preserve">ERR11252400</w:t>
            </w:r>
          </w:p>
        </w:tc>
        <w:tc>
          <w:tcPr>
            <w:tcW w:w="1872" w:type="dxa"/>
          </w:tcPr>
          <w:p>
            <w:pPr>
              <w:pStyle w:val="TableText"/>
            </w:pPr>
            <w:r>
              <w:t xml:space="preserve">读段端 1；配对关系未核实</w:t>
            </w:r>
          </w:p>
        </w:tc>
        <w:tc>
          <w:tcPr>
            <w:tcW w:w="1872" w:type="dxa"/>
          </w:tcPr>
          <w:p>
            <w:pPr>
              <w:pStyle w:val="TableText"/>
            </w:pPr>
            <w:r>
              <w:t xml:space="preserve">ERR11252400_1.fastq.gz</w:t>
            </w:r>
          </w:p>
        </w:tc>
        <w:tc>
          <w:tcPr>
            <w:tcW w:w="1872" w:type="dxa"/>
          </w:tcPr>
          <w:p>
            <w:pPr>
              <w:pStyle w:val="TableText"/>
            </w:pPr>
            <w:hyperlink r:id="rId221">
              <w:r>
                <w:rPr>
                  <w:color w:val="0563C1"/>
                  <w:u w:val="single"/>
                </w:rPr>
                <w:t xml:space="preserve">ERR11252400_1.fastq.gz</w:t>
              </w:r>
            </w:hyperlink>
          </w:p>
        </w:tc>
      </w:tr>
      <w:tr>
        <w:trPr>
          <w:cantSplit/>
        </w:trPr>
        <w:tc>
          <w:tcPr>
            <w:tcW w:w="1872" w:type="dxa"/>
          </w:tcPr>
          <w:p>
            <w:pPr>
              <w:pStyle w:val="TableText"/>
            </w:pPr>
            <w:r>
              <w:t xml:space="preserve">44</w:t>
            </w:r>
          </w:p>
        </w:tc>
        <w:tc>
          <w:tcPr>
            <w:tcW w:w="1872" w:type="dxa"/>
          </w:tcPr>
          <w:p>
            <w:pPr>
              <w:pStyle w:val="TableText"/>
            </w:pPr>
            <w:r>
              <w:t xml:space="preserve">ERR11252400</w:t>
            </w:r>
          </w:p>
        </w:tc>
        <w:tc>
          <w:tcPr>
            <w:tcW w:w="1872" w:type="dxa"/>
          </w:tcPr>
          <w:p>
            <w:pPr>
              <w:pStyle w:val="TableText"/>
            </w:pPr>
            <w:r>
              <w:t xml:space="preserve">读段端 2；配对关系未核实</w:t>
            </w:r>
          </w:p>
        </w:tc>
        <w:tc>
          <w:tcPr>
            <w:tcW w:w="1872" w:type="dxa"/>
          </w:tcPr>
          <w:p>
            <w:pPr>
              <w:pStyle w:val="TableText"/>
            </w:pPr>
            <w:r>
              <w:t xml:space="preserve">ERR11252400_2.fastq.gz</w:t>
            </w:r>
          </w:p>
        </w:tc>
        <w:tc>
          <w:tcPr>
            <w:tcW w:w="1872" w:type="dxa"/>
          </w:tcPr>
          <w:p>
            <w:pPr>
              <w:pStyle w:val="TableText"/>
            </w:pPr>
            <w:hyperlink r:id="rId222">
              <w:r>
                <w:rPr>
                  <w:color w:val="0563C1"/>
                  <w:u w:val="single"/>
                </w:rPr>
                <w:t xml:space="preserve">ERR11252400_2.fastq.gz</w:t>
              </w:r>
            </w:hyperlink>
          </w:p>
        </w:tc>
      </w:tr>
      <w:tr>
        <w:trPr>
          <w:cantSplit/>
        </w:trPr>
        <w:tc>
          <w:tcPr>
            <w:tcW w:w="1872" w:type="dxa"/>
          </w:tcPr>
          <w:p>
            <w:pPr>
              <w:pStyle w:val="TableText"/>
            </w:pPr>
            <w:r>
              <w:t xml:space="preserve">45</w:t>
            </w:r>
          </w:p>
        </w:tc>
        <w:tc>
          <w:tcPr>
            <w:tcW w:w="1872" w:type="dxa"/>
          </w:tcPr>
          <w:p>
            <w:pPr>
              <w:pStyle w:val="TableText"/>
            </w:pPr>
            <w:r>
              <w:t xml:space="preserve">DRR171213</w:t>
            </w:r>
          </w:p>
        </w:tc>
        <w:tc>
          <w:tcPr>
            <w:tcW w:w="1872" w:type="dxa"/>
          </w:tcPr>
          <w:p>
            <w:pPr>
              <w:pStyle w:val="TableText"/>
            </w:pPr>
            <w:r>
              <w:t xml:space="preserve">读段端 1；配对关系未核实</w:t>
            </w:r>
          </w:p>
        </w:tc>
        <w:tc>
          <w:tcPr>
            <w:tcW w:w="1872" w:type="dxa"/>
          </w:tcPr>
          <w:p>
            <w:pPr>
              <w:pStyle w:val="TableText"/>
            </w:pPr>
            <w:r>
              <w:t xml:space="preserve">DRR171213_1.fastq.gz</w:t>
            </w:r>
          </w:p>
        </w:tc>
        <w:tc>
          <w:tcPr>
            <w:tcW w:w="1872" w:type="dxa"/>
          </w:tcPr>
          <w:p>
            <w:pPr>
              <w:pStyle w:val="TableText"/>
            </w:pPr>
            <w:hyperlink r:id="rId223">
              <w:r>
                <w:rPr>
                  <w:color w:val="0563C1"/>
                  <w:u w:val="single"/>
                </w:rPr>
                <w:t xml:space="preserve">DRR171213_1.fastq.gz</w:t>
              </w:r>
            </w:hyperlink>
          </w:p>
        </w:tc>
      </w:tr>
      <w:tr>
        <w:trPr>
          <w:cantSplit/>
        </w:trPr>
        <w:tc>
          <w:tcPr>
            <w:tcW w:w="1872" w:type="dxa"/>
          </w:tcPr>
          <w:p>
            <w:pPr>
              <w:pStyle w:val="TableText"/>
            </w:pPr>
            <w:r>
              <w:t xml:space="preserve">45</w:t>
            </w:r>
          </w:p>
        </w:tc>
        <w:tc>
          <w:tcPr>
            <w:tcW w:w="1872" w:type="dxa"/>
          </w:tcPr>
          <w:p>
            <w:pPr>
              <w:pStyle w:val="TableText"/>
            </w:pPr>
            <w:r>
              <w:t xml:space="preserve">DRR171213</w:t>
            </w:r>
          </w:p>
        </w:tc>
        <w:tc>
          <w:tcPr>
            <w:tcW w:w="1872" w:type="dxa"/>
          </w:tcPr>
          <w:p>
            <w:pPr>
              <w:pStyle w:val="TableText"/>
            </w:pPr>
            <w:r>
              <w:t xml:space="preserve">读段端 2；配对关系未核实</w:t>
            </w:r>
          </w:p>
        </w:tc>
        <w:tc>
          <w:tcPr>
            <w:tcW w:w="1872" w:type="dxa"/>
          </w:tcPr>
          <w:p>
            <w:pPr>
              <w:pStyle w:val="TableText"/>
            </w:pPr>
            <w:r>
              <w:t xml:space="preserve">DRR171213_2.fastq.gz</w:t>
            </w:r>
          </w:p>
        </w:tc>
        <w:tc>
          <w:tcPr>
            <w:tcW w:w="1872" w:type="dxa"/>
          </w:tcPr>
          <w:p>
            <w:pPr>
              <w:pStyle w:val="TableText"/>
            </w:pPr>
            <w:hyperlink r:id="rId224">
              <w:r>
                <w:rPr>
                  <w:color w:val="0563C1"/>
                  <w:u w:val="single"/>
                </w:rPr>
                <w:t xml:space="preserve">DRR171213_2.fastq.gz</w:t>
              </w:r>
            </w:hyperlink>
          </w:p>
        </w:tc>
      </w:tr>
      <w:tr>
        <w:trPr>
          <w:cantSplit/>
        </w:trPr>
        <w:tc>
          <w:tcPr>
            <w:tcW w:w="1872" w:type="dxa"/>
          </w:tcPr>
          <w:p>
            <w:pPr>
              <w:pStyle w:val="TableText"/>
            </w:pPr>
            <w:r>
              <w:t xml:space="preserve">46</w:t>
            </w:r>
          </w:p>
        </w:tc>
        <w:tc>
          <w:tcPr>
            <w:tcW w:w="1872" w:type="dxa"/>
          </w:tcPr>
          <w:p>
            <w:pPr>
              <w:pStyle w:val="TableText"/>
            </w:pPr>
            <w:r>
              <w:t xml:space="preserve">SRR30502372</w:t>
            </w:r>
          </w:p>
        </w:tc>
        <w:tc>
          <w:tcPr>
            <w:tcW w:w="1872" w:type="dxa"/>
          </w:tcPr>
          <w:p>
            <w:pPr>
              <w:pStyle w:val="TableText"/>
            </w:pPr>
            <w:r>
              <w:t xml:space="preserve">读段端 1；配对关系未核实</w:t>
            </w:r>
          </w:p>
        </w:tc>
        <w:tc>
          <w:tcPr>
            <w:tcW w:w="1872" w:type="dxa"/>
          </w:tcPr>
          <w:p>
            <w:pPr>
              <w:pStyle w:val="TableText"/>
            </w:pPr>
            <w:r>
              <w:t xml:space="preserve">SRR30502372_1.fastq.gz</w:t>
            </w:r>
          </w:p>
        </w:tc>
        <w:tc>
          <w:tcPr>
            <w:tcW w:w="1872" w:type="dxa"/>
          </w:tcPr>
          <w:p>
            <w:pPr>
              <w:pStyle w:val="TableText"/>
            </w:pPr>
            <w:hyperlink r:id="rId225">
              <w:r>
                <w:rPr>
                  <w:color w:val="0563C1"/>
                  <w:u w:val="single"/>
                </w:rPr>
                <w:t xml:space="preserve">SRR30502372_1.fastq.gz</w:t>
              </w:r>
            </w:hyperlink>
          </w:p>
        </w:tc>
      </w:tr>
      <w:tr>
        <w:trPr>
          <w:cantSplit/>
        </w:trPr>
        <w:tc>
          <w:tcPr>
            <w:tcW w:w="1872" w:type="dxa"/>
          </w:tcPr>
          <w:p>
            <w:pPr>
              <w:pStyle w:val="TableText"/>
            </w:pPr>
            <w:r>
              <w:t xml:space="preserve">46</w:t>
            </w:r>
          </w:p>
        </w:tc>
        <w:tc>
          <w:tcPr>
            <w:tcW w:w="1872" w:type="dxa"/>
          </w:tcPr>
          <w:p>
            <w:pPr>
              <w:pStyle w:val="TableText"/>
            </w:pPr>
            <w:r>
              <w:t xml:space="preserve">SRR30502372</w:t>
            </w:r>
          </w:p>
        </w:tc>
        <w:tc>
          <w:tcPr>
            <w:tcW w:w="1872" w:type="dxa"/>
          </w:tcPr>
          <w:p>
            <w:pPr>
              <w:pStyle w:val="TableText"/>
            </w:pPr>
            <w:r>
              <w:t xml:space="preserve">读段端 2；配对关系未核实</w:t>
            </w:r>
          </w:p>
        </w:tc>
        <w:tc>
          <w:tcPr>
            <w:tcW w:w="1872" w:type="dxa"/>
          </w:tcPr>
          <w:p>
            <w:pPr>
              <w:pStyle w:val="TableText"/>
            </w:pPr>
            <w:r>
              <w:t xml:space="preserve">SRR30502372_2.fastq.gz</w:t>
            </w:r>
          </w:p>
        </w:tc>
        <w:tc>
          <w:tcPr>
            <w:tcW w:w="1872" w:type="dxa"/>
          </w:tcPr>
          <w:p>
            <w:pPr>
              <w:pStyle w:val="TableText"/>
            </w:pPr>
            <w:hyperlink r:id="rId226">
              <w:r>
                <w:rPr>
                  <w:color w:val="0563C1"/>
                  <w:u w:val="single"/>
                </w:rPr>
                <w:t xml:space="preserve">SRR30502372_2.fastq.gz</w:t>
              </w:r>
            </w:hyperlink>
          </w:p>
        </w:tc>
      </w:tr>
      <w:tr>
        <w:trPr>
          <w:cantSplit/>
        </w:trPr>
        <w:tc>
          <w:tcPr>
            <w:tcW w:w="1872" w:type="dxa"/>
          </w:tcPr>
          <w:p>
            <w:pPr>
              <w:pStyle w:val="TableText"/>
            </w:pPr>
            <w:r>
              <w:t xml:space="preserve">47</w:t>
            </w:r>
          </w:p>
        </w:tc>
        <w:tc>
          <w:tcPr>
            <w:tcW w:w="1872" w:type="dxa"/>
          </w:tcPr>
          <w:p>
            <w:pPr>
              <w:pStyle w:val="TableText"/>
            </w:pPr>
            <w:r>
              <w:t xml:space="preserve">ERR3152366</w:t>
            </w:r>
          </w:p>
        </w:tc>
        <w:tc>
          <w:tcPr>
            <w:tcW w:w="1872" w:type="dxa"/>
          </w:tcPr>
          <w:p>
            <w:pPr>
              <w:pStyle w:val="TableText"/>
            </w:pPr>
            <w:r>
              <w:t xml:space="preserve">单个已提供的 FASTQ 文件</w:t>
            </w:r>
          </w:p>
        </w:tc>
        <w:tc>
          <w:tcPr>
            <w:tcW w:w="1872" w:type="dxa"/>
          </w:tcPr>
          <w:p>
            <w:pPr>
              <w:pStyle w:val="TableText"/>
            </w:pPr>
            <w:r>
              <w:t xml:space="preserve">ERR3152366.fastq.gz</w:t>
            </w:r>
          </w:p>
        </w:tc>
        <w:tc>
          <w:tcPr>
            <w:tcW w:w="1872" w:type="dxa"/>
          </w:tcPr>
          <w:p>
            <w:pPr>
              <w:pStyle w:val="TableText"/>
            </w:pPr>
            <w:hyperlink r:id="rId227">
              <w:r>
                <w:rPr>
                  <w:color w:val="0563C1"/>
                  <w:u w:val="single"/>
                </w:rPr>
                <w:t xml:space="preserve">ERR3152366.fastq.gz</w:t>
              </w:r>
            </w:hyperlink>
          </w:p>
        </w:tc>
      </w:tr>
      <w:tr>
        <w:trPr>
          <w:cantSplit/>
        </w:trPr>
        <w:tc>
          <w:tcPr>
            <w:tcW w:w="1872" w:type="dxa"/>
          </w:tcPr>
          <w:p>
            <w:pPr>
              <w:pStyle w:val="TableText"/>
            </w:pPr>
            <w:r>
              <w:t xml:space="preserve">48</w:t>
            </w:r>
          </w:p>
        </w:tc>
        <w:tc>
          <w:tcPr>
            <w:tcW w:w="1872" w:type="dxa"/>
          </w:tcPr>
          <w:p>
            <w:pPr>
              <w:pStyle w:val="TableText"/>
            </w:pPr>
            <w:r>
              <w:t xml:space="preserve">DRR1003246</w:t>
            </w:r>
          </w:p>
        </w:tc>
        <w:tc>
          <w:tcPr>
            <w:tcW w:w="1872" w:type="dxa"/>
          </w:tcPr>
          <w:p>
            <w:pPr>
              <w:pStyle w:val="TableText"/>
            </w:pPr>
            <w:r>
              <w:t xml:space="preserve">读段端 1</w:t>
            </w:r>
          </w:p>
        </w:tc>
        <w:tc>
          <w:tcPr>
            <w:tcW w:w="1872" w:type="dxa"/>
          </w:tcPr>
          <w:p>
            <w:pPr>
              <w:pStyle w:val="TableText"/>
            </w:pPr>
            <w:r>
              <w:t xml:space="preserve">DRR1003246_1.fastq.gz</w:t>
            </w:r>
          </w:p>
        </w:tc>
        <w:tc>
          <w:tcPr>
            <w:tcW w:w="1872" w:type="dxa"/>
          </w:tcPr>
          <w:p>
            <w:pPr>
              <w:pStyle w:val="TableText"/>
            </w:pPr>
            <w:hyperlink r:id="rId228">
              <w:r>
                <w:rPr>
                  <w:color w:val="0563C1"/>
                  <w:u w:val="single"/>
                </w:rPr>
                <w:t xml:space="preserve">DRR1003246_1.fastq.gz</w:t>
              </w:r>
            </w:hyperlink>
          </w:p>
        </w:tc>
      </w:tr>
      <w:tr>
        <w:trPr>
          <w:cantSplit/>
        </w:trPr>
        <w:tc>
          <w:tcPr>
            <w:tcW w:w="1872" w:type="dxa"/>
          </w:tcPr>
          <w:p>
            <w:pPr>
              <w:pStyle w:val="TableText"/>
            </w:pPr>
            <w:r>
              <w:t xml:space="preserve">48</w:t>
            </w:r>
          </w:p>
        </w:tc>
        <w:tc>
          <w:tcPr>
            <w:tcW w:w="1872" w:type="dxa"/>
          </w:tcPr>
          <w:p>
            <w:pPr>
              <w:pStyle w:val="TableText"/>
            </w:pPr>
            <w:r>
              <w:t xml:space="preserve">DRR1003246</w:t>
            </w:r>
          </w:p>
        </w:tc>
        <w:tc>
          <w:tcPr>
            <w:tcW w:w="1872" w:type="dxa"/>
          </w:tcPr>
          <w:p>
            <w:pPr>
              <w:pStyle w:val="TableText"/>
            </w:pPr>
            <w:r>
              <w:t xml:space="preserve">读段端 2</w:t>
            </w:r>
          </w:p>
        </w:tc>
        <w:tc>
          <w:tcPr>
            <w:tcW w:w="1872" w:type="dxa"/>
          </w:tcPr>
          <w:p>
            <w:pPr>
              <w:pStyle w:val="TableText"/>
            </w:pPr>
            <w:r>
              <w:t xml:space="preserve">DRR1003246_2.fastq.gz</w:t>
            </w:r>
          </w:p>
        </w:tc>
        <w:tc>
          <w:tcPr>
            <w:tcW w:w="1872" w:type="dxa"/>
          </w:tcPr>
          <w:p>
            <w:pPr>
              <w:pStyle w:val="TableText"/>
            </w:pPr>
            <w:hyperlink r:id="rId229">
              <w:r>
                <w:rPr>
                  <w:color w:val="0563C1"/>
                  <w:u w:val="single"/>
                </w:rPr>
                <w:t xml:space="preserve">DRR1003246_2.fastq.gz</w:t>
              </w:r>
            </w:hyperlink>
          </w:p>
        </w:tc>
      </w:tr>
      <w:tr>
        <w:trPr>
          <w:cantSplit/>
        </w:trPr>
        <w:tc>
          <w:tcPr>
            <w:tcW w:w="1872" w:type="dxa"/>
          </w:tcPr>
          <w:p>
            <w:pPr>
              <w:pStyle w:val="TableText"/>
            </w:pPr>
            <w:r>
              <w:t xml:space="preserve">49</w:t>
            </w:r>
          </w:p>
        </w:tc>
        <w:tc>
          <w:tcPr>
            <w:tcW w:w="1872" w:type="dxa"/>
          </w:tcPr>
          <w:p>
            <w:pPr>
              <w:pStyle w:val="TableText"/>
            </w:pPr>
            <w:r>
              <w:t xml:space="preserve">DRR1000746</w:t>
            </w:r>
          </w:p>
        </w:tc>
        <w:tc>
          <w:tcPr>
            <w:tcW w:w="1872" w:type="dxa"/>
          </w:tcPr>
          <w:p>
            <w:pPr>
              <w:pStyle w:val="TableText"/>
            </w:pPr>
            <w:r>
              <w:t xml:space="preserve">读段端 1；配对关系未核实</w:t>
            </w:r>
          </w:p>
        </w:tc>
        <w:tc>
          <w:tcPr>
            <w:tcW w:w="1872" w:type="dxa"/>
          </w:tcPr>
          <w:p>
            <w:pPr>
              <w:pStyle w:val="TableText"/>
            </w:pPr>
            <w:r>
              <w:t xml:space="preserve">DRR1000746_1.fastq.gz</w:t>
            </w:r>
          </w:p>
        </w:tc>
        <w:tc>
          <w:tcPr>
            <w:tcW w:w="1872" w:type="dxa"/>
          </w:tcPr>
          <w:p>
            <w:pPr>
              <w:pStyle w:val="TableText"/>
            </w:pPr>
            <w:hyperlink r:id="rId230">
              <w:r>
                <w:rPr>
                  <w:color w:val="0563C1"/>
                  <w:u w:val="single"/>
                </w:rPr>
                <w:t xml:space="preserve">DRR1000746_1.fastq.gz</w:t>
              </w:r>
            </w:hyperlink>
          </w:p>
        </w:tc>
      </w:tr>
      <w:tr>
        <w:trPr>
          <w:cantSplit/>
        </w:trPr>
        <w:tc>
          <w:tcPr>
            <w:tcW w:w="1872" w:type="dxa"/>
          </w:tcPr>
          <w:p>
            <w:pPr>
              <w:pStyle w:val="TableText"/>
            </w:pPr>
            <w:r>
              <w:t xml:space="preserve">49</w:t>
            </w:r>
          </w:p>
        </w:tc>
        <w:tc>
          <w:tcPr>
            <w:tcW w:w="1872" w:type="dxa"/>
          </w:tcPr>
          <w:p>
            <w:pPr>
              <w:pStyle w:val="TableText"/>
            </w:pPr>
            <w:r>
              <w:t xml:space="preserve">DRR1000746</w:t>
            </w:r>
          </w:p>
        </w:tc>
        <w:tc>
          <w:tcPr>
            <w:tcW w:w="1872" w:type="dxa"/>
          </w:tcPr>
          <w:p>
            <w:pPr>
              <w:pStyle w:val="TableText"/>
            </w:pPr>
            <w:r>
              <w:t xml:space="preserve">读段端 2；配对关系未核实</w:t>
            </w:r>
          </w:p>
        </w:tc>
        <w:tc>
          <w:tcPr>
            <w:tcW w:w="1872" w:type="dxa"/>
          </w:tcPr>
          <w:p>
            <w:pPr>
              <w:pStyle w:val="TableText"/>
            </w:pPr>
            <w:r>
              <w:t xml:space="preserve">DRR1000746_2.fastq.gz</w:t>
            </w:r>
          </w:p>
        </w:tc>
        <w:tc>
          <w:tcPr>
            <w:tcW w:w="1872" w:type="dxa"/>
          </w:tcPr>
          <w:p>
            <w:pPr>
              <w:pStyle w:val="TableText"/>
            </w:pPr>
            <w:hyperlink r:id="rId231">
              <w:r>
                <w:rPr>
                  <w:color w:val="0563C1"/>
                  <w:u w:val="single"/>
                </w:rPr>
                <w:t xml:space="preserve">DRR1000746_2.fastq.gz</w:t>
              </w:r>
            </w:hyperlink>
          </w:p>
        </w:tc>
      </w:tr>
      <w:tr>
        <w:trPr>
          <w:cantSplit/>
        </w:trPr>
        <w:tc>
          <w:tcPr>
            <w:tcW w:w="1872" w:type="dxa"/>
          </w:tcPr>
          <w:p>
            <w:pPr>
              <w:pStyle w:val="TableText"/>
            </w:pPr>
            <w:r>
              <w:t xml:space="preserve">50</w:t>
            </w:r>
          </w:p>
        </w:tc>
        <w:tc>
          <w:tcPr>
            <w:tcW w:w="1872" w:type="dxa"/>
          </w:tcPr>
          <w:p>
            <w:pPr>
              <w:pStyle w:val="TableText"/>
            </w:pPr>
            <w:r>
              <w:t xml:space="preserve">DRR1003638</w:t>
            </w:r>
          </w:p>
        </w:tc>
        <w:tc>
          <w:tcPr>
            <w:tcW w:w="1872" w:type="dxa"/>
          </w:tcPr>
          <w:p>
            <w:pPr>
              <w:pStyle w:val="TableText"/>
            </w:pPr>
            <w:r>
              <w:t xml:space="preserve">读段端 1；配对关系未核实</w:t>
            </w:r>
          </w:p>
        </w:tc>
        <w:tc>
          <w:tcPr>
            <w:tcW w:w="1872" w:type="dxa"/>
          </w:tcPr>
          <w:p>
            <w:pPr>
              <w:pStyle w:val="TableText"/>
            </w:pPr>
            <w:r>
              <w:t xml:space="preserve">DRR1003638_1.fastq.gz</w:t>
            </w:r>
          </w:p>
        </w:tc>
        <w:tc>
          <w:tcPr>
            <w:tcW w:w="1872" w:type="dxa"/>
          </w:tcPr>
          <w:p>
            <w:pPr>
              <w:pStyle w:val="TableText"/>
            </w:pPr>
            <w:hyperlink r:id="rId232">
              <w:r>
                <w:rPr>
                  <w:color w:val="0563C1"/>
                  <w:u w:val="single"/>
                </w:rPr>
                <w:t xml:space="preserve">DRR1003638_1.fastq.gz</w:t>
              </w:r>
            </w:hyperlink>
          </w:p>
        </w:tc>
      </w:tr>
      <w:tr>
        <w:trPr>
          <w:cantSplit/>
        </w:trPr>
        <w:tc>
          <w:tcPr>
            <w:tcW w:w="1872" w:type="dxa"/>
          </w:tcPr>
          <w:p>
            <w:pPr>
              <w:pStyle w:val="TableText"/>
            </w:pPr>
            <w:r>
              <w:t xml:space="preserve">50</w:t>
            </w:r>
          </w:p>
        </w:tc>
        <w:tc>
          <w:tcPr>
            <w:tcW w:w="1872" w:type="dxa"/>
          </w:tcPr>
          <w:p>
            <w:pPr>
              <w:pStyle w:val="TableText"/>
            </w:pPr>
            <w:r>
              <w:t xml:space="preserve">DRR1003638</w:t>
            </w:r>
          </w:p>
        </w:tc>
        <w:tc>
          <w:tcPr>
            <w:tcW w:w="1872" w:type="dxa"/>
          </w:tcPr>
          <w:p>
            <w:pPr>
              <w:pStyle w:val="TableText"/>
            </w:pPr>
            <w:r>
              <w:t xml:space="preserve">读段端 2；配对关系未核实</w:t>
            </w:r>
          </w:p>
        </w:tc>
        <w:tc>
          <w:tcPr>
            <w:tcW w:w="1872" w:type="dxa"/>
          </w:tcPr>
          <w:p>
            <w:pPr>
              <w:pStyle w:val="TableText"/>
            </w:pPr>
            <w:r>
              <w:t xml:space="preserve">DRR1003638_2.fastq.gz</w:t>
            </w:r>
          </w:p>
        </w:tc>
        <w:tc>
          <w:tcPr>
            <w:tcW w:w="1872" w:type="dxa"/>
          </w:tcPr>
          <w:p>
            <w:pPr>
              <w:pStyle w:val="TableText"/>
            </w:pPr>
            <w:hyperlink r:id="rId233">
              <w:r>
                <w:rPr>
                  <w:color w:val="0563C1"/>
                  <w:u w:val="single"/>
                </w:rPr>
                <w:t xml:space="preserve">DRR1003638_2.fastq.gz</w:t>
              </w:r>
            </w:hyperlink>
          </w:p>
        </w:tc>
      </w:tr>
      <w:tr>
        <w:trPr>
          <w:cantSplit/>
        </w:trPr>
        <w:tc>
          <w:tcPr>
            <w:tcW w:w="1872" w:type="dxa"/>
          </w:tcPr>
          <w:p>
            <w:pPr>
              <w:pStyle w:val="TableText"/>
            </w:pPr>
            <w:r>
              <w:t xml:space="preserve">51</w:t>
            </w:r>
          </w:p>
        </w:tc>
        <w:tc>
          <w:tcPr>
            <w:tcW w:w="1872" w:type="dxa"/>
          </w:tcPr>
          <w:p>
            <w:pPr>
              <w:pStyle w:val="TableText"/>
            </w:pPr>
            <w:r>
              <w:t xml:space="preserve">SRR27931704</w:t>
            </w:r>
          </w:p>
        </w:tc>
        <w:tc>
          <w:tcPr>
            <w:tcW w:w="1872" w:type="dxa"/>
          </w:tcPr>
          <w:p>
            <w:pPr>
              <w:pStyle w:val="TableText"/>
            </w:pPr>
            <w:r>
              <w:t xml:space="preserve">读段端 1；配对关系未核实</w:t>
            </w:r>
          </w:p>
        </w:tc>
        <w:tc>
          <w:tcPr>
            <w:tcW w:w="1872" w:type="dxa"/>
          </w:tcPr>
          <w:p>
            <w:pPr>
              <w:pStyle w:val="TableText"/>
            </w:pPr>
            <w:r>
              <w:t xml:space="preserve">SRR27931704_1.fastq.gz</w:t>
            </w:r>
          </w:p>
        </w:tc>
        <w:tc>
          <w:tcPr>
            <w:tcW w:w="1872" w:type="dxa"/>
          </w:tcPr>
          <w:p>
            <w:pPr>
              <w:pStyle w:val="TableText"/>
            </w:pPr>
            <w:hyperlink r:id="rId234">
              <w:r>
                <w:rPr>
                  <w:color w:val="0563C1"/>
                  <w:u w:val="single"/>
                </w:rPr>
                <w:t xml:space="preserve">SRR27931704_1.fastq.gz</w:t>
              </w:r>
            </w:hyperlink>
          </w:p>
        </w:tc>
      </w:tr>
      <w:tr>
        <w:trPr>
          <w:cantSplit/>
        </w:trPr>
        <w:tc>
          <w:tcPr>
            <w:tcW w:w="1872" w:type="dxa"/>
          </w:tcPr>
          <w:p>
            <w:pPr>
              <w:pStyle w:val="TableText"/>
            </w:pPr>
            <w:r>
              <w:t xml:space="preserve">51</w:t>
            </w:r>
          </w:p>
        </w:tc>
        <w:tc>
          <w:tcPr>
            <w:tcW w:w="1872" w:type="dxa"/>
          </w:tcPr>
          <w:p>
            <w:pPr>
              <w:pStyle w:val="TableText"/>
            </w:pPr>
            <w:r>
              <w:t xml:space="preserve">SRR27931704</w:t>
            </w:r>
          </w:p>
        </w:tc>
        <w:tc>
          <w:tcPr>
            <w:tcW w:w="1872" w:type="dxa"/>
          </w:tcPr>
          <w:p>
            <w:pPr>
              <w:pStyle w:val="TableText"/>
            </w:pPr>
            <w:r>
              <w:t xml:space="preserve">读段端 2；配对关系未核实</w:t>
            </w:r>
          </w:p>
        </w:tc>
        <w:tc>
          <w:tcPr>
            <w:tcW w:w="1872" w:type="dxa"/>
          </w:tcPr>
          <w:p>
            <w:pPr>
              <w:pStyle w:val="TableText"/>
            </w:pPr>
            <w:r>
              <w:t xml:space="preserve">SRR27931704_2.fastq.gz</w:t>
            </w:r>
          </w:p>
        </w:tc>
        <w:tc>
          <w:tcPr>
            <w:tcW w:w="1872" w:type="dxa"/>
          </w:tcPr>
          <w:p>
            <w:pPr>
              <w:pStyle w:val="TableText"/>
            </w:pPr>
            <w:hyperlink r:id="rId235">
              <w:r>
                <w:rPr>
                  <w:color w:val="0563C1"/>
                  <w:u w:val="single"/>
                </w:rPr>
                <w:t xml:space="preserve">SRR27931704_2.fastq.gz</w:t>
              </w:r>
            </w:hyperlink>
          </w:p>
        </w:tc>
      </w:tr>
      <w:tr>
        <w:trPr>
          <w:cantSplit/>
        </w:trPr>
        <w:tc>
          <w:tcPr>
            <w:tcW w:w="1872" w:type="dxa"/>
          </w:tcPr>
          <w:p>
            <w:pPr>
              <w:pStyle w:val="TableText"/>
            </w:pPr>
            <w:r>
              <w:t xml:space="preserve">52</w:t>
            </w:r>
          </w:p>
        </w:tc>
        <w:tc>
          <w:tcPr>
            <w:tcW w:w="1872" w:type="dxa"/>
          </w:tcPr>
          <w:p>
            <w:pPr>
              <w:pStyle w:val="TableText"/>
            </w:pPr>
            <w:r>
              <w:t xml:space="preserve">ERR2189808</w:t>
            </w:r>
          </w:p>
        </w:tc>
        <w:tc>
          <w:tcPr>
            <w:tcW w:w="1872" w:type="dxa"/>
          </w:tcPr>
          <w:p>
            <w:pPr>
              <w:pStyle w:val="TableText"/>
            </w:pPr>
            <w:r>
              <w:t xml:space="preserve">读段端 1</w:t>
            </w:r>
          </w:p>
        </w:tc>
        <w:tc>
          <w:tcPr>
            <w:tcW w:w="1872" w:type="dxa"/>
          </w:tcPr>
          <w:p>
            <w:pPr>
              <w:pStyle w:val="TableText"/>
            </w:pPr>
            <w:r>
              <w:t xml:space="preserve">ERR2189808_1.fastq.gz</w:t>
            </w:r>
          </w:p>
        </w:tc>
        <w:tc>
          <w:tcPr>
            <w:tcW w:w="1872" w:type="dxa"/>
          </w:tcPr>
          <w:p>
            <w:pPr>
              <w:pStyle w:val="TableText"/>
            </w:pPr>
            <w:hyperlink r:id="rId236">
              <w:r>
                <w:rPr>
                  <w:color w:val="0563C1"/>
                  <w:u w:val="single"/>
                </w:rPr>
                <w:t xml:space="preserve">ERR2189808_1.fastq.gz</w:t>
              </w:r>
            </w:hyperlink>
          </w:p>
        </w:tc>
      </w:tr>
      <w:tr>
        <w:trPr>
          <w:cantSplit/>
        </w:trPr>
        <w:tc>
          <w:tcPr>
            <w:tcW w:w="1872" w:type="dxa"/>
          </w:tcPr>
          <w:p>
            <w:pPr>
              <w:pStyle w:val="TableText"/>
            </w:pPr>
            <w:r>
              <w:t xml:space="preserve">52</w:t>
            </w:r>
          </w:p>
        </w:tc>
        <w:tc>
          <w:tcPr>
            <w:tcW w:w="1872" w:type="dxa"/>
          </w:tcPr>
          <w:p>
            <w:pPr>
              <w:pStyle w:val="TableText"/>
            </w:pPr>
            <w:r>
              <w:t xml:space="preserve">ERR2189808</w:t>
            </w:r>
          </w:p>
        </w:tc>
        <w:tc>
          <w:tcPr>
            <w:tcW w:w="1872" w:type="dxa"/>
          </w:tcPr>
          <w:p>
            <w:pPr>
              <w:pStyle w:val="TableText"/>
            </w:pPr>
            <w:r>
              <w:t xml:space="preserve">读段端 2</w:t>
            </w:r>
          </w:p>
        </w:tc>
        <w:tc>
          <w:tcPr>
            <w:tcW w:w="1872" w:type="dxa"/>
          </w:tcPr>
          <w:p>
            <w:pPr>
              <w:pStyle w:val="TableText"/>
            </w:pPr>
            <w:r>
              <w:t xml:space="preserve">ERR2189808_2.fastq.gz</w:t>
            </w:r>
          </w:p>
        </w:tc>
        <w:tc>
          <w:tcPr>
            <w:tcW w:w="1872" w:type="dxa"/>
          </w:tcPr>
          <w:p>
            <w:pPr>
              <w:pStyle w:val="TableText"/>
            </w:pPr>
            <w:hyperlink r:id="rId237">
              <w:r>
                <w:rPr>
                  <w:color w:val="0563C1"/>
                  <w:u w:val="single"/>
                </w:rPr>
                <w:t xml:space="preserve">ERR2189808_2.fastq.gz</w:t>
              </w:r>
            </w:hyperlink>
          </w:p>
        </w:tc>
      </w:tr>
    </w:tbl>
    <w:p>
      <w:pPr>
        <w:pStyle w:val="Heading1"/>
      </w:pPr>
      <w:r>
        <w:t xml:space="preserve">更新与引用</w:t>
      </w:r>
    </w:p>
    <w:p>
      <w:pPr>
        <w:pStyle w:val="Normal"/>
      </w:pPr>
      <w:r>
        <w:t xml:space="preserve">每年复核档案和实际用途证据。在同一数据集版本内，保持数据编号和精确文件清单稳定。</w:t>
      </w:r>
      <w:hyperlink r:id="rId238">
        <w:r>
          <w:rPr>
            <w:color w:val="0563C1"/>
            <w:u w:val="single"/>
          </w:rPr>
          <w:t xml:space="preserve">版本说明</w:t>
        </w:r>
      </w:hyperlink>
      <w:r>
        <w:t xml:space="preserve">解释哪些变化需要新版本；增加核验结果并不表示输入字节发生变化。仓库署名方式及当前许可状态见</w:t>
      </w:r>
      <w:hyperlink r:id="rId239">
        <w:r>
          <w:rPr>
            <w:color w:val="0563C1"/>
            <w:u w:val="single"/>
          </w:rPr>
          <w:t xml:space="preserve">引用说明</w:t>
        </w:r>
      </w:hyperlink>
      <w:r>
        <w:t xml:space="preserve">和</w:t>
      </w:r>
      <w:hyperlink r:id="rId240">
        <w:r>
          <w:rPr>
            <w:color w:val="0563C1"/>
            <w:u w:val="single"/>
          </w:rPr>
          <w:t xml:space="preserve">权利与许可</w:t>
        </w:r>
      </w:hyperlink>
      <w:r>
        <w:t xml:space="preserve">。本集合提供测试输入及其依据，不提供实测压缩结果。</w:t>
      </w:r>
    </w:p>
    <w:sectPr>
      <w:pgSz w:w="12240" w:h="15840"/>
      <w:pgMar w:top="1000" w:bottom="1000" w:left="1000" w:right="1000"/>
    </w:sectPr>
  </w:body>
</w:document>
</file>

<file path=word/styles.xml><?xml version="1.0" encoding="utf-8"?>
<w:styles xmlns:w="http://schemas.openxmlformats.org/wordprocessingml/2006/main">
  <w:docDefaults>
    <w:rPrDefault>
      <w:rPr>
        <w:rFonts w:ascii="Arial" w:hAnsi="Arial"/>
        <w:sz w:val="21"/>
      </w:rPr>
    </w:rPrDefault>
    <w:pPrDefault>
      <w:pPr>
        <w:spacing w:after="130" w:line="270" w:lineRule="auto"/>
      </w:pPr>
    </w:pPrDefault>
  </w:docDefaults>
  <w:style w:type="paragraph" w:default="1" w:styleId="Normal">
    <w:name w:val="Normal"/>
  </w:style>
  <w:style w:type="paragraph" w:styleId="Heading1">
    <w:name w:val="heading 1"/>
    <w:pPr>
      <w:keepNext/>
      <w:spacing w:before="330" w:after="180"/>
    </w:pPr>
    <w:rPr>
      <w:b/>
      <w:sz w:val="30"/>
      <w:color w:val="183047"/>
    </w:rPr>
  </w:style>
  <w:style w:type="paragraph" w:styleId="Heading2">
    <w:name w:val="heading 2"/>
    <w:pPr>
      <w:keepNext/>
      <w:spacing w:before="230" w:after="100"/>
    </w:pPr>
    <w:rPr>
      <w:b/>
      <w:sz w:val="24"/>
    </w:rPr>
  </w:style>
  <w:style w:type="paragraph" w:styleId="TableText">
    <w:name w:val="Table Text"/>
    <w:rPr>
      <w:sz w:val="18"/>
    </w:rPr>
  </w:style>
</w:styles>
</file>

<file path=word/_rels/document.xml.rels><?xml version="1.0"?><Relationships xmlns="http://schemas.openxmlformats.org/package/2006/relationships"><Relationship Id="rId1" Type="http://schemas.openxmlformats.org/officeDocument/2006/relationships/hyperlink" Target="https://www.ebi.ac.uk/ena/portal/api/" TargetMode="External"/><Relationship Id="rId2" Type="http://schemas.openxmlformats.org/officeDocument/2006/relationships/hyperlink" Target="../catalogue/benchmark_dataset.xlsx" TargetMode="External"/><Relationship Id="rId3" Type="http://schemas.openxmlformats.org/officeDocument/2006/relationships/hyperlink" Target="https://www.ebi.ac.uk/ena/portal/api/" TargetMode="External"/><Relationship Id="rId4" Type="http://schemas.openxmlformats.org/officeDocument/2006/relationships/hyperlink" Target="https://www.ebi.ac.uk/ena/portal/api/count" TargetMode="External"/><Relationship Id="rId5" Type="http://schemas.openxmlformats.org/officeDocument/2006/relationships/hyperlink" Target="https://db.cngb.org/cnsa/statistic/" TargetMode="External"/><Relationship Id="rId6" Type="http://schemas.openxmlformats.org/officeDocument/2006/relationships/hyperlink" Target="https://academic.oup.com/gpb/article/23/4/qzaf072/8241968" TargetMode="External"/><Relationship Id="rId7" Type="http://schemas.openxmlformats.org/officeDocument/2006/relationships/hyperlink" Target="https://ngdc.cncb.ac.cn/news/255" TargetMode="External"/><Relationship Id="rId8" Type="http://schemas.openxmlformats.org/officeDocument/2006/relationships/hyperlink" Target="../../evidence/survey_discovery_register.csv" TargetMode="External"/><Relationship Id="rId9" Type="http://schemas.openxmlformats.org/officeDocument/2006/relationships/hyperlink" Target="https://certania.com/services/molecular-diagnostics-and-genomics" TargetMode="External"/><Relationship Id="rId10" Type="http://schemas.openxmlformats.org/officeDocument/2006/relationships/hyperlink" Target="https://www.hkexnews.hk/app/sehk/2026/108447/a132011/sehk26041501668.pdf" TargetMode="External"/><Relationship Id="rId11" Type="http://schemas.openxmlformats.org/officeDocument/2006/relationships/hyperlink" Target="https://www.england.nhs.uk/nhs-genomic-medicine-service/" TargetMode="External"/><Relationship Id="rId12" Type="http://schemas.openxmlformats.org/officeDocument/2006/relationships/hyperlink" Target="https://pmc.ncbi.nlm.nih.gov/articles/PMC10958377/" TargetMode="External"/><Relationship Id="rId13" Type="http://schemas.openxmlformats.org/officeDocument/2006/relationships/hyperlink" Target="https://www.sec.gov/Archives/edgar/data/1604821/000110465926047801/ntra-20251231xars.pdf" TargetMode="External"/><Relationship Id="rId14" Type="http://schemas.openxmlformats.org/officeDocument/2006/relationships/hyperlink" Target="https://ir.brbiotech.com/static-files/c8cee243-84ea-4ac3-b94f-3b76dbabdcc4" TargetMode="External"/><Relationship Id="rId15" Type="http://schemas.openxmlformats.org/officeDocument/2006/relationships/hyperlink" Target="https://www.diversityarrays.com/services/dartseq/" TargetMode="External"/><Relationship Id="rId16" Type="http://schemas.openxmlformats.org/officeDocument/2006/relationships/hyperlink" Target="https://www.diversityarrays.com/industries/ecologists-and-biodiversity/" TargetMode="External"/><Relationship Id="rId17" Type="http://schemas.openxmlformats.org/officeDocument/2006/relationships/hyperlink" Target="https://www.hkexnews.hk/app/sehk/2026/108447/a132011/sehk26041501668.pdf" TargetMode="External"/><Relationship Id="rId18" Type="http://schemas.openxmlformats.org/officeDocument/2006/relationships/hyperlink" Target="https://www.annoroad.com/" TargetMode="External"/><Relationship Id="rId19" Type="http://schemas.openxmlformats.org/officeDocument/2006/relationships/hyperlink" Target="https://cms.genusplc.com/pic-nz/services/data-capture/" TargetMode="External"/><Relationship Id="rId20" Type="http://schemas.openxmlformats.org/officeDocument/2006/relationships/hyperlink" Target="https://link.springer.com/article/10.1186/s12711-026-01085-2" TargetMode="External"/><Relationship Id="rId21" Type="http://schemas.openxmlformats.org/officeDocument/2006/relationships/hyperlink" Target="https://www.plantbreeding.wur.nl/Solyntus/" TargetMode="External"/><Relationship Id="rId22" Type="http://schemas.openxmlformats.org/officeDocument/2006/relationships/hyperlink" Target="https://www.mee.gov.cn/ywdt/hjywnews/202603/t20260312_1146462.shtml" TargetMode="External"/><Relationship Id="rId23" Type="http://schemas.openxmlformats.org/officeDocument/2006/relationships/hyperlink" Target="https://www.foodforensics.co.uk/technical-solutions/ngs-testing" TargetMode="External"/><Relationship Id="rId24" Type="http://schemas.openxmlformats.org/officeDocument/2006/relationships/hyperlink" Target="https://scjg.hebei.gov.cn/info/84546" TargetMode="External"/><Relationship Id="rId25" Type="http://schemas.openxmlformats.org/officeDocument/2006/relationships/hyperlink" Target="https://www.thermofisher.com/sg/en/home/industrial/food-beverage/food-authenticity-labeling/ngs-food-screening-species-identification.html" TargetMode="External"/><Relationship Id="rId26" Type="http://schemas.openxmlformats.org/officeDocument/2006/relationships/hyperlink" Target="https://genomescan.nl/genetic-characterization/" TargetMode="External"/><Relationship Id="rId27" Type="http://schemas.openxmlformats.org/officeDocument/2006/relationships/hyperlink" Target="https://www.hyqure.com/gmp-ngs-services" TargetMode="External"/><Relationship Id="rId28" Type="http://schemas.openxmlformats.org/officeDocument/2006/relationships/hyperlink" Target="https://www.eurofins.com/en/biopharma-services/biopharma-product-testing/services/next-generation-sequencing-ngs/" TargetMode="External"/><Relationship Id="rId29" Type="http://schemas.openxmlformats.org/officeDocument/2006/relationships/hyperlink" Target="https://www.seqmatic.com/services/" TargetMode="External"/><Relationship Id="rId30" Type="http://schemas.openxmlformats.org/officeDocument/2006/relationships/hyperlink" Target="https://www.ncbi.nlm.nih.gov/geo/query/acc.cgi?acc=GSE292621" TargetMode="External"/><Relationship Id="rId31" Type="http://schemas.openxmlformats.org/officeDocument/2006/relationships/hyperlink" Target="https://www.ncbi.nlm.nih.gov/geo/query/acc.cgi?acc=GSM7883167" TargetMode="External"/><Relationship Id="rId32" Type="http://schemas.openxmlformats.org/officeDocument/2006/relationships/hyperlink" Target="https://static.cninfo.com.cn/finalpage/2026-04-15/1225103513.PDF" TargetMode="External"/><Relationship Id="rId33" Type="http://schemas.openxmlformats.org/officeDocument/2006/relationships/hyperlink" Target="https://www.seqmatic.com/services/" TargetMode="External"/><Relationship Id="rId34" Type="http://schemas.openxmlformats.org/officeDocument/2006/relationships/hyperlink" Target="https://www.mgi-tech.com/mgi-news/945.html" TargetMode="External"/><Relationship Id="rId35" Type="http://schemas.openxmlformats.org/officeDocument/2006/relationships/hyperlink" Target="https://www.roche.com/investors/updates/inv-update-2026-06-29" TargetMode="External"/><Relationship Id="rId36" Type="http://schemas.openxmlformats.org/officeDocument/2006/relationships/hyperlink" Target="https://www.roche.com/media/releases/med-cor-2026-07-23" TargetMode="External"/><Relationship Id="rId37" Type="http://schemas.openxmlformats.org/officeDocument/2006/relationships/hyperlink" Target="https://diagnostics.roche.com/global/en/products/product-category/lab-type/sequencing.html" TargetMode="External"/><Relationship Id="rId38" Type="http://schemas.openxmlformats.org/officeDocument/2006/relationships/hyperlink" Target="https://diagnostics.roche.com/se/en/diagnostics-insights/introductory-sequencing-by-expansion-webinar.html" TargetMode="External"/><Relationship Id="rId39" Type="http://schemas.openxmlformats.org/officeDocument/2006/relationships/hyperlink" Target="../catalogue/benchmark_dataset.xlsx" TargetMode="External"/><Relationship Id="rId40" Type="http://schemas.openxmlformats.org/officeDocument/2006/relationships/hyperlink" Target="../catalogue/files.tsv" TargetMode="External"/><Relationship Id="rId41" Type="http://schemas.openxmlformats.org/officeDocument/2006/relationships/hyperlink" Target="../checksums/README.md" TargetMode="External"/><Relationship Id="rId42" Type="http://schemas.openxmlformats.org/officeDocument/2006/relationships/hyperlink" Target="https://www.ebi.ac.uk/ena/browser/view/ERR17003126" TargetMode="External"/><Relationship Id="rId43" Type="http://schemas.openxmlformats.org/officeDocument/2006/relationships/hyperlink" Target="https://www.ebi.ac.uk/ena/browser/view/ERR16794642" TargetMode="External"/><Relationship Id="rId44" Type="http://schemas.openxmlformats.org/officeDocument/2006/relationships/hyperlink" Target="https://www.ebi.ac.uk/ena/browser/view/SRR33329596" TargetMode="External"/><Relationship Id="rId45" Type="http://schemas.openxmlformats.org/officeDocument/2006/relationships/hyperlink" Target="https://www.ebi.ac.uk/ena/browser/view/ERR15383198" TargetMode="External"/><Relationship Id="rId46" Type="http://schemas.openxmlformats.org/officeDocument/2006/relationships/hyperlink" Target="https://www.ebi.ac.uk/ena/browser/view/ERR12954382" TargetMode="External"/><Relationship Id="rId47" Type="http://schemas.openxmlformats.org/officeDocument/2006/relationships/hyperlink" Target="https://ont-open-data.s3.amazonaws.com/giab_2025.01/basecalling/sup/HG002/PAW70337/calls.sorted.bam" TargetMode="External"/><Relationship Id="rId48" Type="http://schemas.openxmlformats.org/officeDocument/2006/relationships/hyperlink" Target="https://www.ebi.ac.uk/ena/browser/view/ERR14732808" TargetMode="External"/><Relationship Id="rId49" Type="http://schemas.openxmlformats.org/officeDocument/2006/relationships/hyperlink" Target="https://db.cngb.org/search/run/CNR1409093/" TargetMode="External"/><Relationship Id="rId50" Type="http://schemas.openxmlformats.org/officeDocument/2006/relationships/hyperlink" Target="https://db.cngb.org/search/experiment/CNX1236558/" TargetMode="External"/><Relationship Id="rId51" Type="http://schemas.openxmlformats.org/officeDocument/2006/relationships/hyperlink" Target="https://ftp.cngb.org/pub/CNSA/data7/CNP0007646/CNS1382495/CNX1236558/CNR1409093/WY_reads.fq.gz" TargetMode="External"/><Relationship Id="rId52" Type="http://schemas.openxmlformats.org/officeDocument/2006/relationships/hyperlink" Target="https://www.ebi.ac.uk/ena/browser/view/ERR12411150" TargetMode="External"/><Relationship Id="rId53" Type="http://schemas.openxmlformats.org/officeDocument/2006/relationships/hyperlink" Target="https://www.ebi.ac.uk/ena/browser/view/SRR8906645" TargetMode="External"/><Relationship Id="rId54" Type="http://schemas.openxmlformats.org/officeDocument/2006/relationships/hyperlink" Target="https://www.nature.com/articles/s41588-019-0427-6" TargetMode="External"/><Relationship Id="rId55" Type="http://schemas.openxmlformats.org/officeDocument/2006/relationships/hyperlink" Target="https://www.ebi.ac.uk/ena/browser/view/SRX5692588" TargetMode="External"/><Relationship Id="rId56" Type="http://schemas.openxmlformats.org/officeDocument/2006/relationships/hyperlink" Target="https://www.ebi.ac.uk/ena/browser/view/SAMN11370298" TargetMode="External"/><Relationship Id="rId57" Type="http://schemas.openxmlformats.org/officeDocument/2006/relationships/hyperlink" Target="https://www.ncbi.nlm.nih.gov/sra/SRR8906645" TargetMode="External"/><Relationship Id="rId58" Type="http://schemas.openxmlformats.org/officeDocument/2006/relationships/hyperlink" Target="https://www.ebi.ac.uk/ena/browser/view/DRR341924" TargetMode="External"/><Relationship Id="rId59" Type="http://schemas.openxmlformats.org/officeDocument/2006/relationships/hyperlink" Target="https://www.ebi.ac.uk/ena/browser/view/SRR19440963" TargetMode="External"/><Relationship Id="rId60" Type="http://schemas.openxmlformats.org/officeDocument/2006/relationships/hyperlink" Target="https://www.ncbi.nlm.nih.gov/sra/SRX15494349" TargetMode="External"/><Relationship Id="rId61" Type="http://schemas.openxmlformats.org/officeDocument/2006/relationships/hyperlink" Target="https://www.ebi.ac.uk/ena/browser/view/GCA_900067695.1" TargetMode="External"/><Relationship Id="rId62" Type="http://schemas.openxmlformats.org/officeDocument/2006/relationships/hyperlink" Target="https://www.ebi.ac.uk/ena/browser/view/DRR095727" TargetMode="External"/><Relationship Id="rId63" Type="http://schemas.openxmlformats.org/officeDocument/2006/relationships/hyperlink" Target="https://www.ebi.ac.uk/ena/browser/view/SRR24804436" TargetMode="External"/><Relationship Id="rId64" Type="http://schemas.openxmlformats.org/officeDocument/2006/relationships/hyperlink" Target="https://www.ebi.ac.uk/ena/browser/view/ERR14032264" TargetMode="External"/><Relationship Id="rId65" Type="http://schemas.openxmlformats.org/officeDocument/2006/relationships/hyperlink" Target="https://www.ebi.ac.uk/ena/browser/view/ERR9904291" TargetMode="External"/><Relationship Id="rId66" Type="http://schemas.openxmlformats.org/officeDocument/2006/relationships/hyperlink" Target="https://www.ebi.ac.uk/ena/browser/view/ERR9904291" TargetMode="External"/><Relationship Id="rId67" Type="http://schemas.openxmlformats.org/officeDocument/2006/relationships/hyperlink" Target="https://www.nature.com/articles/s41588-023-01401-2" TargetMode="External"/><Relationship Id="rId68"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69" Type="http://schemas.openxmlformats.org/officeDocument/2006/relationships/hyperlink" Target="https://www.ebi.ac.uk/ena/browser/view/SRR14993639" TargetMode="External"/><Relationship Id="rId70" Type="http://schemas.openxmlformats.org/officeDocument/2006/relationships/hyperlink" Target="https://www.ebi.ac.uk/ena/browser/view/PRJNA718240" TargetMode="External"/><Relationship Id="rId71" Type="http://schemas.openxmlformats.org/officeDocument/2006/relationships/hyperlink" Target="https://www.ebi.ac.uk/ena/browser/view/DRR1000971" TargetMode="External"/><Relationship Id="rId72" Type="http://schemas.openxmlformats.org/officeDocument/2006/relationships/hyperlink" Target="https://www.ebi.ac.uk/ena/browser/view/ERR13943038" TargetMode="External"/><Relationship Id="rId73" Type="http://schemas.openxmlformats.org/officeDocument/2006/relationships/hyperlink" Target="https://www.ebi.ac.uk/ena/browser/view/SRR8801873" TargetMode="External"/><Relationship Id="rId74" Type="http://schemas.openxmlformats.org/officeDocument/2006/relationships/hyperlink" Target="https://www.ebi.ac.uk/ena/browser/view/ERR13669551" TargetMode="External"/><Relationship Id="rId75" Type="http://schemas.openxmlformats.org/officeDocument/2006/relationships/hyperlink" Target="https://www.ebi.ac.uk/ena/browser/view/SRR14728885" TargetMode="External"/><Relationship Id="rId76" Type="http://schemas.openxmlformats.org/officeDocument/2006/relationships/hyperlink" Target="https://www.ebi.ac.uk/ena/browser/view/ERR10030615" TargetMode="External"/><Relationship Id="rId77" Type="http://schemas.openxmlformats.org/officeDocument/2006/relationships/hyperlink" Target="https://www.ebi.ac.uk/ena/browser/view/SRR14627767" TargetMode="External"/><Relationship Id="rId78" Type="http://schemas.openxmlformats.org/officeDocument/2006/relationships/hyperlink" Target="https://www.ebi.ac.uk/ena/browser/view/DRR1089360" TargetMode="External"/><Relationship Id="rId79" Type="http://schemas.openxmlformats.org/officeDocument/2006/relationships/hyperlink" Target="https://www.ncbi.nlm.nih.gov/sra/DRX1064881" TargetMode="External"/><Relationship Id="rId80" Type="http://schemas.openxmlformats.org/officeDocument/2006/relationships/hyperlink" Target="https://www.ebi.ac.uk/ena/browser/view/DRR1069746" TargetMode="External"/><Relationship Id="rId81" Type="http://schemas.openxmlformats.org/officeDocument/2006/relationships/hyperlink" Target="https://www.ebi.ac.uk/ena/browser/view/SRR30608496" TargetMode="External"/><Relationship Id="rId82" Type="http://schemas.openxmlformats.org/officeDocument/2006/relationships/hyperlink" Target="https://www.ebi.ac.uk/ena/browser/view/SRR36288068" TargetMode="External"/><Relationship Id="rId83" Type="http://schemas.openxmlformats.org/officeDocument/2006/relationships/hyperlink" Target="https://www.ebi.ac.uk/ena/browser/view/SRR6520293" TargetMode="External"/><Relationship Id="rId84" Type="http://schemas.openxmlformats.org/officeDocument/2006/relationships/hyperlink" Target="https://www.nature.com/articles/s41586-018-0590-4" TargetMode="External"/><Relationship Id="rId85" Type="http://schemas.openxmlformats.org/officeDocument/2006/relationships/hyperlink" Target="https://www.ncbi.nlm.nih.gov/geo/query/acc.cgi?acc=GSM2967045" TargetMode="External"/><Relationship Id="rId86" Type="http://schemas.openxmlformats.org/officeDocument/2006/relationships/hyperlink" Target="https://ftp.ncbi.nlm.nih.gov/geo/series/GSE109nnn/GSE109774/suppl/GSE109774_list_of_SRR_accessions_and_raw_filenames.txt.gz" TargetMode="External"/><Relationship Id="rId87" Type="http://schemas.openxmlformats.org/officeDocument/2006/relationships/hyperlink" Target="https://raw.githubusercontent.com/czbiohub-sf/tabula-muris/master/00_data_ingest/03_tissue_annotation_csv/Bladder_facs_annotation.csv" TargetMode="External"/><Relationship Id="rId88" Type="http://schemas.openxmlformats.org/officeDocument/2006/relationships/hyperlink" Target="https://www.ebi.ac.uk/ena/browser/view/SRX3607041" TargetMode="External"/><Relationship Id="rId89" Type="http://schemas.openxmlformats.org/officeDocument/2006/relationships/hyperlink" Target="https://www.ebi.ac.uk/ena/browser/view/SRR6520293" TargetMode="External"/><Relationship Id="rId90" Type="http://schemas.openxmlformats.org/officeDocument/2006/relationships/hyperlink" Target="https://www.ebi.ac.uk/ena/browser/view/SRR19066659" TargetMode="External"/><Relationship Id="rId91" Type="http://schemas.openxmlformats.org/officeDocument/2006/relationships/hyperlink" Target="https://www.ebi.ac.uk/ena/browser/view/PRJNA834796" TargetMode="External"/><Relationship Id="rId92"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93" Type="http://schemas.openxmlformats.org/officeDocument/2006/relationships/hyperlink" Target="https://www.ebi.ac.uk/ena/browser/view/SRR19066665" TargetMode="External"/><Relationship Id="rId94" Type="http://schemas.openxmlformats.org/officeDocument/2006/relationships/hyperlink" Target="https://www.ebi.ac.uk/ena/browser/view/PRJNA834796" TargetMode="External"/><Relationship Id="rId95"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96" Type="http://schemas.openxmlformats.org/officeDocument/2006/relationships/hyperlink" Target="https://www.ebi.ac.uk/ena/browser/view/SRR19066668" TargetMode="External"/><Relationship Id="rId97" Type="http://schemas.openxmlformats.org/officeDocument/2006/relationships/hyperlink" Target="https://www.ebi.ac.uk/ena/browser/view/PRJNA834796" TargetMode="External"/><Relationship Id="rId98"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99" Type="http://schemas.openxmlformats.org/officeDocument/2006/relationships/hyperlink" Target="https://www.ebi.ac.uk/ena/browser/view/SRR29351083" TargetMode="External"/><Relationship Id="rId100" Type="http://schemas.openxmlformats.org/officeDocument/2006/relationships/hyperlink" Target="https://www.ebi.ac.uk/ena/browser/view/SRR30495077" TargetMode="External"/><Relationship Id="rId101" Type="http://schemas.openxmlformats.org/officeDocument/2006/relationships/hyperlink" Target="https://www.ebi.ac.uk/ena/browser/view/DRR1000045" TargetMode="External"/><Relationship Id="rId102" Type="http://schemas.openxmlformats.org/officeDocument/2006/relationships/hyperlink" Target="https://www.ebi.ac.uk/ena/browser/view/SRR26362943" TargetMode="External"/><Relationship Id="rId103" Type="http://schemas.openxmlformats.org/officeDocument/2006/relationships/hyperlink" Target="https://www.ebi.ac.uk/ena/browser/view/SRR30894055" TargetMode="External"/><Relationship Id="rId104" Type="http://schemas.openxmlformats.org/officeDocument/2006/relationships/hyperlink" Target="https://www.ebi.ac.uk/ena/browser/view/SRR34546226" TargetMode="External"/><Relationship Id="rId105" Type="http://schemas.openxmlformats.org/officeDocument/2006/relationships/hyperlink" Target="https://www.ebi.ac.uk/ena/browser/view/DRR1009870" TargetMode="External"/><Relationship Id="rId106" Type="http://schemas.openxmlformats.org/officeDocument/2006/relationships/hyperlink" Target="https://www.ebi.ac.uk/ena/browser/view/SRR30515680" TargetMode="External"/><Relationship Id="rId107" Type="http://schemas.openxmlformats.org/officeDocument/2006/relationships/hyperlink" Target="https://www.ncbi.nlm.nih.gov/sra/SRX25939332" TargetMode="External"/><Relationship Id="rId108" Type="http://schemas.openxmlformats.org/officeDocument/2006/relationships/hyperlink" Target="https://www.ebi.ac.uk/ena/browser/view/SRR30515673" TargetMode="External"/><Relationship Id="rId109" Type="http://schemas.openxmlformats.org/officeDocument/2006/relationships/hyperlink" Target="https://www.ncbi.nlm.nih.gov/sra/SRX25939339" TargetMode="External"/><Relationship Id="rId110" Type="http://schemas.openxmlformats.org/officeDocument/2006/relationships/hyperlink" Target="https://www.ebi.ac.uk/ena/browser/view/DRR1051020" TargetMode="External"/><Relationship Id="rId111" Type="http://schemas.openxmlformats.org/officeDocument/2006/relationships/hyperlink" Target="https://www.ebi.ac.uk/ena/browser/view/ERR7749063" TargetMode="External"/><Relationship Id="rId112" Type="http://schemas.openxmlformats.org/officeDocument/2006/relationships/hyperlink" Target="https://www.ebi.ac.uk/ena/browser/view/ERR7749063" TargetMode="External"/><Relationship Id="rId113" Type="http://schemas.openxmlformats.org/officeDocument/2006/relationships/hyperlink" Target="https://www.ebi.ac.uk/biostudies/studies/S-BSST391" TargetMode="External"/><Relationship Id="rId114" Type="http://schemas.openxmlformats.org/officeDocument/2006/relationships/hyperlink" Target="https://github.com/envmetagen/mussels_package" TargetMode="External"/><Relationship Id="rId115" Type="http://schemas.openxmlformats.org/officeDocument/2006/relationships/hyperlink" Target="https://www.ebi.ac.uk/ena/browser/view/ERR11252400" TargetMode="External"/><Relationship Id="rId116" Type="http://schemas.openxmlformats.org/officeDocument/2006/relationships/hyperlink" Target="https://www.ebi.ac.uk/ena/browser/view/DRR171213" TargetMode="External"/><Relationship Id="rId117" Type="http://schemas.openxmlformats.org/officeDocument/2006/relationships/hyperlink" Target="https://www.ebi.ac.uk/ena/browser/view/SRR30502372" TargetMode="External"/><Relationship Id="rId118" Type="http://schemas.openxmlformats.org/officeDocument/2006/relationships/hyperlink" Target="https://www.ebi.ac.uk/ena/browser/view/ERR3152366" TargetMode="External"/><Relationship Id="rId119" Type="http://schemas.openxmlformats.org/officeDocument/2006/relationships/hyperlink" Target="https://www.ebi.ac.uk/ena/browser/view/DRR1003246" TargetMode="External"/><Relationship Id="rId120" Type="http://schemas.openxmlformats.org/officeDocument/2006/relationships/hyperlink" Target="https://www.ebi.ac.uk/ena/browser/view/DRR1000746" TargetMode="External"/><Relationship Id="rId121" Type="http://schemas.openxmlformats.org/officeDocument/2006/relationships/hyperlink" Target="https://www.ebi.ac.uk/ena/browser/view/DRR1003638" TargetMode="External"/><Relationship Id="rId122" Type="http://schemas.openxmlformats.org/officeDocument/2006/relationships/hyperlink" Target="https://www.ebi.ac.uk/ena/browser/view/SRR27931704" TargetMode="External"/><Relationship Id="rId123" Type="http://schemas.openxmlformats.org/officeDocument/2006/relationships/hyperlink" Target="https://www.ebi.ac.uk/ena/browser/view/SRX23588786" TargetMode="External"/><Relationship Id="rId124" Type="http://schemas.openxmlformats.org/officeDocument/2006/relationships/hyperlink" Target="https://www.ebi.ac.uk/ena/browser/view/ERR2189808" TargetMode="External"/><Relationship Id="rId125" Type="http://schemas.openxmlformats.org/officeDocument/2006/relationships/hyperlink" Target="https://www.ebi.ac.uk/ena/browser/view/ERR2189808" TargetMode="External"/><Relationship Id="rId126" Type="http://schemas.openxmlformats.org/officeDocument/2006/relationships/hyperlink" Target="https://www.ebi.ac.uk/ena/portal/api/search?result=read_run&amp;query=run_accession%3D%22ERR9904291%22+OR+run_accession%3D%22ERR2189808%22+OR+run_accession%3D%22SRR19066659%22+OR+run_accession%3D%22SRR19066665%22+OR+run_accession%3D%22SRR19066668%22&amp;fields=run_accession%2Cread_count%2Cbase_count%2Cfirst_public%2Cfastq_bytes%2Cfastq_md5&amp;format=json&amp;limit=5" TargetMode="External"/><Relationship Id="rId127" Type="http://schemas.openxmlformats.org/officeDocument/2006/relationships/hyperlink" Target="../checksums/README.md" TargetMode="External"/><Relationship Id="rId128" Type="http://schemas.openxmlformats.org/officeDocument/2006/relationships/hyperlink" Target="preparation.md" TargetMode="External"/><Relationship Id="rId129" Type="http://schemas.openxmlformats.org/officeDocument/2006/relationships/hyperlink" Target="https://www.ncbi.nlm.nih.gov/datasets/genome/GCF_000001405.40/" TargetMode="External"/><Relationship Id="rId130" Type="http://schemas.openxmlformats.org/officeDocument/2006/relationships/hyperlink" Target="https://www.ncbi.nlm.nih.gov/datasets/genome/GCF_054392235.1/" TargetMode="External"/><Relationship Id="rId131" Type="http://schemas.openxmlformats.org/officeDocument/2006/relationships/hyperlink" Target="https://www.ncbi.nlm.nih.gov/datasets/genome/GCF_000001635.27/" TargetMode="External"/><Relationship Id="rId132" Type="http://schemas.openxmlformats.org/officeDocument/2006/relationships/hyperlink" Target="https://www.ncbi.nlm.nih.gov/datasets/genome/GCF_000005845.2/" TargetMode="External"/><Relationship Id="rId133" Type="http://schemas.openxmlformats.org/officeDocument/2006/relationships/hyperlink" Target="https://www.ncbi.nlm.nih.gov/datasets/genome/GCF_000195955.2/" TargetMode="External"/><Relationship Id="rId134" Type="http://schemas.openxmlformats.org/officeDocument/2006/relationships/hyperlink" Target="https://www.ncbi.nlm.nih.gov/datasets/genome/GCF_000226075.1/" TargetMode="External"/><Relationship Id="rId135" Type="http://schemas.openxmlformats.org/officeDocument/2006/relationships/hyperlink" Target="https://www.ncbi.nlm.nih.gov/datasets/genome/GCF_000146045.2/" TargetMode="External"/><Relationship Id="rId136" Type="http://schemas.openxmlformats.org/officeDocument/2006/relationships/hyperlink" Target="https://www.ncbi.nlm.nih.gov/datasets/genome/GCF_034140825.1/" TargetMode="External"/><Relationship Id="rId137" Type="http://schemas.openxmlformats.org/officeDocument/2006/relationships/hyperlink" Target="https://www.ncbi.nlm.nih.gov/datasets/genome/GCF_000001735.4/" TargetMode="External"/><Relationship Id="rId138" Type="http://schemas.openxmlformats.org/officeDocument/2006/relationships/hyperlink" Target="https://www.ncbi.nlm.nih.gov/datasets/genome/GCF_902167145.1/" TargetMode="External"/><Relationship Id="rId139" Type="http://schemas.openxmlformats.org/officeDocument/2006/relationships/hyperlink" Target="https://www.ncbi.nlm.nih.gov/datasets/genome/GCF_042767895.1/" TargetMode="External"/><Relationship Id="rId140" Type="http://schemas.openxmlformats.org/officeDocument/2006/relationships/hyperlink" Target="https://www.ncbi.nlm.nih.gov/datasets/genome/GCF_016699485.2/" TargetMode="External"/><Relationship Id="rId141" Type="http://schemas.openxmlformats.org/officeDocument/2006/relationships/hyperlink" Target="https://www.ncbi.nlm.nih.gov/datasets/genome/GCF_000001215.4/" TargetMode="External"/><Relationship Id="rId142" Type="http://schemas.openxmlformats.org/officeDocument/2006/relationships/hyperlink" Target="https://www.ncbi.nlm.nih.gov/nuccore/NC_045512.2" TargetMode="External"/><Relationship Id="rId143" Type="http://schemas.openxmlformats.org/officeDocument/2006/relationships/hyperlink" Target="https://www.ncbi.nlm.nih.gov/datasets/genome/GCA_900067695.1/" TargetMode="External"/><Relationship Id="rId144" Type="http://schemas.openxmlformats.org/officeDocument/2006/relationships/hyperlink" Target="https://www.ncbi.nlm.nih.gov/datasets/genome/GCF_001683475.1/" TargetMode="External"/><Relationship Id="rId145" Type="http://schemas.openxmlformats.org/officeDocument/2006/relationships/hyperlink" Target="https://www.ncbi.nlm.nih.gov/datasets/genome/GCF_003668045.3/" TargetMode="External"/><Relationship Id="rId146" Type="http://schemas.openxmlformats.org/officeDocument/2006/relationships/hyperlink" Target="https://www.ncbi.nlm.nih.gov/datasets/genome/GCF_018294505.1/" TargetMode="External"/><Relationship Id="rId147" Type="http://schemas.openxmlformats.org/officeDocument/2006/relationships/hyperlink" Target="https://ftp.sra.ebi.ac.uk/vol1/fastq/ERR170/026/ERR17003126/ERR17003126_1.fastq.gz" TargetMode="External"/><Relationship Id="rId148" Type="http://schemas.openxmlformats.org/officeDocument/2006/relationships/hyperlink" Target="https://ftp.sra.ebi.ac.uk/vol1/fastq/ERR170/026/ERR17003126/ERR17003126_2.fastq.gz" TargetMode="External"/><Relationship Id="rId149" Type="http://schemas.openxmlformats.org/officeDocument/2006/relationships/hyperlink" Target="https://ftp.sra.ebi.ac.uk/vol1/fastq/ERR167/042/ERR16794642/ERR16794642_1.fastq.gz" TargetMode="External"/><Relationship Id="rId150" Type="http://schemas.openxmlformats.org/officeDocument/2006/relationships/hyperlink" Target="https://ftp.sra.ebi.ac.uk/vol1/fastq/ERR167/042/ERR16794642/ERR16794642_2.fastq.gz" TargetMode="External"/><Relationship Id="rId151" Type="http://schemas.openxmlformats.org/officeDocument/2006/relationships/hyperlink" Target="https://ftp.sra.ebi.ac.uk/vol1/fastq/SRR333/096/SRR33329596/SRR33329596_1.fastq.gz" TargetMode="External"/><Relationship Id="rId152" Type="http://schemas.openxmlformats.org/officeDocument/2006/relationships/hyperlink" Target="https://ftp.sra.ebi.ac.uk/vol1/fastq/SRR333/096/SRR33329596/SRR33329596_2.fastq.gz" TargetMode="External"/><Relationship Id="rId153" Type="http://schemas.openxmlformats.org/officeDocument/2006/relationships/hyperlink" Target="https://ftp.sra.ebi.ac.uk/vol1/fastq/ERR153/098/ERR15383198/ERR15383198_1.fastq.gz" TargetMode="External"/><Relationship Id="rId154" Type="http://schemas.openxmlformats.org/officeDocument/2006/relationships/hyperlink" Target="https://ftp.sra.ebi.ac.uk/vol1/fastq/ERR153/098/ERR15383198/ERR15383198_2.fastq.gz" TargetMode="External"/><Relationship Id="rId155" Type="http://schemas.openxmlformats.org/officeDocument/2006/relationships/hyperlink" Target="https://ftp.sra.ebi.ac.uk/vol1/fastq/ERR129/082/ERR12954382/ERR12954382.fastq.gz" TargetMode="External"/><Relationship Id="rId156" Type="http://schemas.openxmlformats.org/officeDocument/2006/relationships/hyperlink" Target="https://ont-open-data.s3.amazonaws.com/giab_2025.01/basecalling/sup/HG002/PAW70337/calls.sorted.bam" TargetMode="External"/><Relationship Id="rId157" Type="http://schemas.openxmlformats.org/officeDocument/2006/relationships/hyperlink" Target="https://ftp.sra.ebi.ac.uk/vol1/fastq/ERR147/008/ERR14732808/ERR14732808.fastq.gz" TargetMode="External"/><Relationship Id="rId158" Type="http://schemas.openxmlformats.org/officeDocument/2006/relationships/hyperlink" Target="https://ftp.cngb.org/pub/CNSA/data7/CNP0007646/CNS1382495/CNX1236558/CNR1409093/WY_reads.fq.gz" TargetMode="External"/><Relationship Id="rId159" Type="http://schemas.openxmlformats.org/officeDocument/2006/relationships/hyperlink" Target="https://ftp.sra.ebi.ac.uk/vol1/fastq/ERR124/050/ERR12411150/ERR12411150_1.fastq.gz" TargetMode="External"/><Relationship Id="rId160" Type="http://schemas.openxmlformats.org/officeDocument/2006/relationships/hyperlink" Target="https://ftp.sra.ebi.ac.uk/vol1/fastq/ERR124/050/ERR12411150/ERR12411150_2.fastq.gz" TargetMode="External"/><Relationship Id="rId161" Type="http://schemas.openxmlformats.org/officeDocument/2006/relationships/hyperlink" Target="https://ftp.sra.ebi.ac.uk/vol1/fastq/SRR890/005/SRR8906645/SRR8906645_1.fastq.gz" TargetMode="External"/><Relationship Id="rId162" Type="http://schemas.openxmlformats.org/officeDocument/2006/relationships/hyperlink" Target="https://ftp.sra.ebi.ac.uk/vol1/fastq/SRR890/005/SRR8906645/SRR8906645_2.fastq.gz" TargetMode="External"/><Relationship Id="rId163" Type="http://schemas.openxmlformats.org/officeDocument/2006/relationships/hyperlink" Target="https://ftp.sra.ebi.ac.uk/vol1/fastq/DRR341/DRR341924/DRR341924.fastq.gz" TargetMode="External"/><Relationship Id="rId164" Type="http://schemas.openxmlformats.org/officeDocument/2006/relationships/hyperlink" Target="https://ftp.sra.ebi.ac.uk/vol1/fastq/SRR194/063/SRR19440963/SRR19440963_1.fastq.gz" TargetMode="External"/><Relationship Id="rId165" Type="http://schemas.openxmlformats.org/officeDocument/2006/relationships/hyperlink" Target="https://ftp.sra.ebi.ac.uk/vol1/fastq/SRR194/063/SRR19440963/SRR19440963_2.fastq.gz" TargetMode="External"/><Relationship Id="rId166" Type="http://schemas.openxmlformats.org/officeDocument/2006/relationships/hyperlink" Target="https://ftp.sra.ebi.ac.uk/vol1/fastq/DRR095/DRR095727/DRR095727_1.fastq.gz" TargetMode="External"/><Relationship Id="rId167" Type="http://schemas.openxmlformats.org/officeDocument/2006/relationships/hyperlink" Target="https://ftp.sra.ebi.ac.uk/vol1/fastq/DRR095/DRR095727/DRR095727_2.fastq.gz" TargetMode="External"/><Relationship Id="rId168" Type="http://schemas.openxmlformats.org/officeDocument/2006/relationships/hyperlink" Target="https://ftp.sra.ebi.ac.uk/vol1/fastq/SRR248/036/SRR24804436/SRR24804436_1.fastq.gz" TargetMode="External"/><Relationship Id="rId169" Type="http://schemas.openxmlformats.org/officeDocument/2006/relationships/hyperlink" Target="https://ftp.sra.ebi.ac.uk/vol1/fastq/SRR248/036/SRR24804436/SRR24804436_2.fastq.gz" TargetMode="External"/><Relationship Id="rId170" Type="http://schemas.openxmlformats.org/officeDocument/2006/relationships/hyperlink" Target="https://ftp.sra.ebi.ac.uk/vol1/fastq/ERR140/064/ERR14032264/ERR14032264_1.fastq.gz" TargetMode="External"/><Relationship Id="rId171" Type="http://schemas.openxmlformats.org/officeDocument/2006/relationships/hyperlink" Target="https://ftp.sra.ebi.ac.uk/vol1/fastq/ERR140/064/ERR14032264/ERR14032264_2.fastq.gz" TargetMode="External"/><Relationship Id="rId172" Type="http://schemas.openxmlformats.org/officeDocument/2006/relationships/hyperlink" Target="https://ftp.sra.ebi.ac.uk/vol1/fastq/ERR990/001/ERR9904291/ERR9904291_1.fastq.gz" TargetMode="External"/><Relationship Id="rId173" Type="http://schemas.openxmlformats.org/officeDocument/2006/relationships/hyperlink" Target="https://ftp.sra.ebi.ac.uk/vol1/fastq/ERR990/001/ERR9904291/ERR9904291_2.fastq.gz" TargetMode="External"/><Relationship Id="rId174" Type="http://schemas.openxmlformats.org/officeDocument/2006/relationships/hyperlink" Target="https://ftp.sra.ebi.ac.uk/vol1/fastq/SRR149/039/SRR14993639/SRR14993639_1.fastq.gz" TargetMode="External"/><Relationship Id="rId175" Type="http://schemas.openxmlformats.org/officeDocument/2006/relationships/hyperlink" Target="https://ftp.sra.ebi.ac.uk/vol1/fastq/SRR149/039/SRR14993639/SRR14993639_2.fastq.gz" TargetMode="External"/><Relationship Id="rId176" Type="http://schemas.openxmlformats.org/officeDocument/2006/relationships/hyperlink" Target="https://ftp.sra.ebi.ac.uk/vol1/fastq/DRR100/001/DRR1000971/DRR1000971_1.fastq.gz" TargetMode="External"/><Relationship Id="rId177" Type="http://schemas.openxmlformats.org/officeDocument/2006/relationships/hyperlink" Target="https://ftp.sra.ebi.ac.uk/vol1/fastq/DRR100/001/DRR1000971/DRR1000971_2.fastq.gz" TargetMode="External"/><Relationship Id="rId178" Type="http://schemas.openxmlformats.org/officeDocument/2006/relationships/hyperlink" Target="https://ftp.sra.ebi.ac.uk/vol1/fastq/ERR139/038/ERR13943038/ERR13943038_1.fastq.gz" TargetMode="External"/><Relationship Id="rId179" Type="http://schemas.openxmlformats.org/officeDocument/2006/relationships/hyperlink" Target="https://ftp.sra.ebi.ac.uk/vol1/fastq/ERR139/038/ERR13943038/ERR13943038_2.fastq.gz" TargetMode="External"/><Relationship Id="rId180" Type="http://schemas.openxmlformats.org/officeDocument/2006/relationships/hyperlink" Target="https://ftp.sra.ebi.ac.uk/vol1/fastq/SRR880/003/SRR8801873/SRR8801873_subreads.fastq.gz" TargetMode="External"/><Relationship Id="rId181" Type="http://schemas.openxmlformats.org/officeDocument/2006/relationships/hyperlink" Target="https://ftp.sra.ebi.ac.uk/vol1/fastq/ERR136/051/ERR13669551/ERR13669551.fastq.gz" TargetMode="External"/><Relationship Id="rId182" Type="http://schemas.openxmlformats.org/officeDocument/2006/relationships/hyperlink" Target="https://ftp.sra.ebi.ac.uk/vol1/fastq/SRR147/085/SRR14728885/SRR14728885_subreads.fastq.gz" TargetMode="External"/><Relationship Id="rId183" Type="http://schemas.openxmlformats.org/officeDocument/2006/relationships/hyperlink" Target="https://ftp.sra.ebi.ac.uk/vol1/fastq/ERR100/015/ERR10030615/ERR10030615_1.fastq.gz" TargetMode="External"/><Relationship Id="rId184" Type="http://schemas.openxmlformats.org/officeDocument/2006/relationships/hyperlink" Target="https://ftp.sra.ebi.ac.uk/vol1/fastq/ERR100/015/ERR10030615/ERR10030615_2.fastq.gz" TargetMode="External"/><Relationship Id="rId185" Type="http://schemas.openxmlformats.org/officeDocument/2006/relationships/hyperlink" Target="https://ftp.sra.ebi.ac.uk/vol1/fastq/SRR146/067/SRR14627767/SRR14627767_1.fastq.gz" TargetMode="External"/><Relationship Id="rId186" Type="http://schemas.openxmlformats.org/officeDocument/2006/relationships/hyperlink" Target="https://ftp.sra.ebi.ac.uk/vol1/fastq/SRR146/067/SRR14627767/SRR14627767_2.fastq.gz" TargetMode="External"/><Relationship Id="rId187" Type="http://schemas.openxmlformats.org/officeDocument/2006/relationships/hyperlink" Target="https://ftp.sra.ebi.ac.uk/vol1/fastq/DRR108/000/DRR1089360/DRR1089360.fastq.gz" TargetMode="External"/><Relationship Id="rId188" Type="http://schemas.openxmlformats.org/officeDocument/2006/relationships/hyperlink" Target="https://ftp.sra.ebi.ac.uk/vol1/fastq/DRR106/006/DRR1069746/DRR1069746_1.fastq.gz" TargetMode="External"/><Relationship Id="rId189" Type="http://schemas.openxmlformats.org/officeDocument/2006/relationships/hyperlink" Target="https://ftp.sra.ebi.ac.uk/vol1/fastq/DRR106/006/DRR1069746/DRR1069746_2.fastq.gz" TargetMode="External"/><Relationship Id="rId190" Type="http://schemas.openxmlformats.org/officeDocument/2006/relationships/hyperlink" Target="https://ftp.sra.ebi.ac.uk/vol1/fastq/SRR306/096/SRR30608496/SRR30608496.fastq.gz" TargetMode="External"/><Relationship Id="rId191" Type="http://schemas.openxmlformats.org/officeDocument/2006/relationships/hyperlink" Target="https://ftp.sra.ebi.ac.uk/vol1/fastq/SRR362/068/SRR36288068/SRR36288068_1.fastq.gz" TargetMode="External"/><Relationship Id="rId192" Type="http://schemas.openxmlformats.org/officeDocument/2006/relationships/hyperlink" Target="https://ftp.sra.ebi.ac.uk/vol1/fastq/SRR652/003/SRR6520293/SRR6520293_1.fastq.gz" TargetMode="External"/><Relationship Id="rId193" Type="http://schemas.openxmlformats.org/officeDocument/2006/relationships/hyperlink" Target="https://ftp.sra.ebi.ac.uk/vol1/fastq/SRR652/003/SRR6520293/SRR6520293_2.fastq.gz" TargetMode="External"/><Relationship Id="rId194" Type="http://schemas.openxmlformats.org/officeDocument/2006/relationships/hyperlink" Target="https://ftp.sra.ebi.ac.uk/vol1/fastq/SRR190/059/SRR19066659/SRR19066659_1.fastq.gz" TargetMode="External"/><Relationship Id="rId195" Type="http://schemas.openxmlformats.org/officeDocument/2006/relationships/hyperlink" Target="https://ftp.sra.ebi.ac.uk/vol1/fastq/SRR190/059/SRR19066659/SRR19066659_2.fastq.gz" TargetMode="External"/><Relationship Id="rId196" Type="http://schemas.openxmlformats.org/officeDocument/2006/relationships/hyperlink" Target="https://ftp.sra.ebi.ac.uk/vol1/fastq/SRR190/065/SRR19066665/SRR19066665_1.fastq.gz" TargetMode="External"/><Relationship Id="rId197" Type="http://schemas.openxmlformats.org/officeDocument/2006/relationships/hyperlink" Target="https://ftp.sra.ebi.ac.uk/vol1/fastq/SRR190/065/SRR19066665/SRR19066665_2.fastq.gz" TargetMode="External"/><Relationship Id="rId198" Type="http://schemas.openxmlformats.org/officeDocument/2006/relationships/hyperlink" Target="https://ftp.sra.ebi.ac.uk/vol1/fastq/SRR190/068/SRR19066668/SRR19066668_1.fastq.gz" TargetMode="External"/><Relationship Id="rId199" Type="http://schemas.openxmlformats.org/officeDocument/2006/relationships/hyperlink" Target="https://ftp.sra.ebi.ac.uk/vol1/fastq/SRR190/068/SRR19066668/SRR19066668_2.fastq.gz" TargetMode="External"/><Relationship Id="rId200" Type="http://schemas.openxmlformats.org/officeDocument/2006/relationships/hyperlink" Target="https://ftp.sra.ebi.ac.uk/vol1/fastq/SRR293/083/SRR29351083/SRR29351083_1.fastq.gz" TargetMode="External"/><Relationship Id="rId201" Type="http://schemas.openxmlformats.org/officeDocument/2006/relationships/hyperlink" Target="https://ftp.sra.ebi.ac.uk/vol1/fastq/SRR293/083/SRR29351083/SRR29351083_2.fastq.gz" TargetMode="External"/><Relationship Id="rId202" Type="http://schemas.openxmlformats.org/officeDocument/2006/relationships/hyperlink" Target="https://ftp.sra.ebi.ac.uk/vol1/fastq/SRR304/077/SRR30495077/SRR30495077_1.fastq.gz" TargetMode="External"/><Relationship Id="rId203" Type="http://schemas.openxmlformats.org/officeDocument/2006/relationships/hyperlink" Target="https://ftp.sra.ebi.ac.uk/vol1/fastq/SRR304/077/SRR30495077/SRR30495077_2.fastq.gz" TargetMode="External"/><Relationship Id="rId204" Type="http://schemas.openxmlformats.org/officeDocument/2006/relationships/hyperlink" Target="https://ftp.sra.ebi.ac.uk/vol1/fastq/DRR100/005/DRR1000045/DRR1000045_1.fastq.gz" TargetMode="External"/><Relationship Id="rId205" Type="http://schemas.openxmlformats.org/officeDocument/2006/relationships/hyperlink" Target="https://ftp.sra.ebi.ac.uk/vol1/fastq/DRR100/005/DRR1000045/DRR1000045_2.fastq.gz" TargetMode="External"/><Relationship Id="rId206" Type="http://schemas.openxmlformats.org/officeDocument/2006/relationships/hyperlink" Target="https://ftp.sra.ebi.ac.uk/vol1/fastq/SRR263/043/SRR26362943/SRR26362943_1.fastq.gz" TargetMode="External"/><Relationship Id="rId207" Type="http://schemas.openxmlformats.org/officeDocument/2006/relationships/hyperlink" Target="https://ftp.sra.ebi.ac.uk/vol1/fastq/SRR263/043/SRR26362943/SRR26362943_2.fastq.gz" TargetMode="External"/><Relationship Id="rId208" Type="http://schemas.openxmlformats.org/officeDocument/2006/relationships/hyperlink" Target="https://ftp.sra.ebi.ac.uk/vol1/fastq/SRR308/055/SRR30894055/SRR30894055_1.fastq.gz" TargetMode="External"/><Relationship Id="rId209" Type="http://schemas.openxmlformats.org/officeDocument/2006/relationships/hyperlink" Target="https://ftp.sra.ebi.ac.uk/vol1/fastq/SRR308/055/SRR30894055/SRR30894055_2.fastq.gz" TargetMode="External"/><Relationship Id="rId210" Type="http://schemas.openxmlformats.org/officeDocument/2006/relationships/hyperlink" Target="https://ftp.sra.ebi.ac.uk/vol1/fastq/SRR345/026/SRR34546226/SRR34546226.fastq.gz" TargetMode="External"/><Relationship Id="rId211" Type="http://schemas.openxmlformats.org/officeDocument/2006/relationships/hyperlink" Target="https://ftp.sra.ebi.ac.uk/vol1/fastq/DRR100/000/DRR1009870/DRR1009870_1.fastq.gz" TargetMode="External"/><Relationship Id="rId212" Type="http://schemas.openxmlformats.org/officeDocument/2006/relationships/hyperlink" Target="https://ftp.sra.ebi.ac.uk/vol1/fastq/DRR100/000/DRR1009870/DRR1009870_2.fastq.gz" TargetMode="External"/><Relationship Id="rId213" Type="http://schemas.openxmlformats.org/officeDocument/2006/relationships/hyperlink" Target="https://ftp.sra.ebi.ac.uk/vol1/fastq/SRR305/080/SRR30515680/SRR30515680_1.fastq.gz" TargetMode="External"/><Relationship Id="rId214" Type="http://schemas.openxmlformats.org/officeDocument/2006/relationships/hyperlink" Target="https://ftp.sra.ebi.ac.uk/vol1/fastq/SRR305/080/SRR30515680/SRR30515680_2.fastq.gz" TargetMode="External"/><Relationship Id="rId215" Type="http://schemas.openxmlformats.org/officeDocument/2006/relationships/hyperlink" Target="https://ftp.sra.ebi.ac.uk/vol1/fastq/SRR305/073/SRR30515673/SRR30515673_1.fastq.gz" TargetMode="External"/><Relationship Id="rId216" Type="http://schemas.openxmlformats.org/officeDocument/2006/relationships/hyperlink" Target="https://ftp.sra.ebi.ac.uk/vol1/fastq/SRR305/073/SRR30515673/SRR30515673_2.fastq.gz" TargetMode="External"/><Relationship Id="rId217" Type="http://schemas.openxmlformats.org/officeDocument/2006/relationships/hyperlink" Target="https://ftp.sra.ebi.ac.uk/vol1/fastq/DRR105/000/DRR1051020/DRR1051020_1.fastq.gz" TargetMode="External"/><Relationship Id="rId218" Type="http://schemas.openxmlformats.org/officeDocument/2006/relationships/hyperlink" Target="https://ftp.sra.ebi.ac.uk/vol1/fastq/DRR105/000/DRR1051020/DRR1051020_2.fastq.gz" TargetMode="External"/><Relationship Id="rId219" Type="http://schemas.openxmlformats.org/officeDocument/2006/relationships/hyperlink" Target="https://ftp.sra.ebi.ac.uk/vol1/fastq/ERR774/003/ERR7749063/ERR7749063_1.fastq.gz" TargetMode="External"/><Relationship Id="rId220" Type="http://schemas.openxmlformats.org/officeDocument/2006/relationships/hyperlink" Target="https://ftp.sra.ebi.ac.uk/vol1/fastq/ERR774/003/ERR7749063/ERR7749063_2.fastq.gz" TargetMode="External"/><Relationship Id="rId221" Type="http://schemas.openxmlformats.org/officeDocument/2006/relationships/hyperlink" Target="https://ftp.sra.ebi.ac.uk/vol1/fastq/ERR112/000/ERR11252400/ERR11252400_1.fastq.gz" TargetMode="External"/><Relationship Id="rId222" Type="http://schemas.openxmlformats.org/officeDocument/2006/relationships/hyperlink" Target="https://ftp.sra.ebi.ac.uk/vol1/fastq/ERR112/000/ERR11252400/ERR11252400_2.fastq.gz" TargetMode="External"/><Relationship Id="rId223" Type="http://schemas.openxmlformats.org/officeDocument/2006/relationships/hyperlink" Target="https://ftp.sra.ebi.ac.uk/vol1/fastq/DRR171/DRR171213/DRR171213_1.fastq.gz" TargetMode="External"/><Relationship Id="rId224" Type="http://schemas.openxmlformats.org/officeDocument/2006/relationships/hyperlink" Target="https://ftp.sra.ebi.ac.uk/vol1/fastq/DRR171/DRR171213/DRR171213_2.fastq.gz" TargetMode="External"/><Relationship Id="rId225" Type="http://schemas.openxmlformats.org/officeDocument/2006/relationships/hyperlink" Target="https://ftp.sra.ebi.ac.uk/vol1/fastq/SRR305/072/SRR30502372/SRR30502372_1.fastq.gz" TargetMode="External"/><Relationship Id="rId226" Type="http://schemas.openxmlformats.org/officeDocument/2006/relationships/hyperlink" Target="https://ftp.sra.ebi.ac.uk/vol1/fastq/SRR305/072/SRR30502372/SRR30502372_2.fastq.gz" TargetMode="External"/><Relationship Id="rId227" Type="http://schemas.openxmlformats.org/officeDocument/2006/relationships/hyperlink" Target="https://ftp.sra.ebi.ac.uk/vol1/fastq/ERR315/006/ERR3152366/ERR3152366.fastq.gz" TargetMode="External"/><Relationship Id="rId228" Type="http://schemas.openxmlformats.org/officeDocument/2006/relationships/hyperlink" Target="https://ftp.sra.ebi.ac.uk/vol1/fastq/DRR100/006/DRR1003246/DRR1003246_1.fastq.gz" TargetMode="External"/><Relationship Id="rId229" Type="http://schemas.openxmlformats.org/officeDocument/2006/relationships/hyperlink" Target="https://ftp.sra.ebi.ac.uk/vol1/fastq/DRR100/006/DRR1003246/DRR1003246_2.fastq.gz" TargetMode="External"/><Relationship Id="rId230" Type="http://schemas.openxmlformats.org/officeDocument/2006/relationships/hyperlink" Target="https://ftp.sra.ebi.ac.uk/vol1/fastq/DRR100/006/DRR1000746/DRR1000746_1.fastq.gz" TargetMode="External"/><Relationship Id="rId231" Type="http://schemas.openxmlformats.org/officeDocument/2006/relationships/hyperlink" Target="https://ftp.sra.ebi.ac.uk/vol1/fastq/DRR100/006/DRR1000746/DRR1000746_2.fastq.gz" TargetMode="External"/><Relationship Id="rId232" Type="http://schemas.openxmlformats.org/officeDocument/2006/relationships/hyperlink" Target="https://ftp.sra.ebi.ac.uk/vol1/fastq/DRR100/008/DRR1003638/DRR1003638_1.fastq.gz" TargetMode="External"/><Relationship Id="rId233" Type="http://schemas.openxmlformats.org/officeDocument/2006/relationships/hyperlink" Target="https://ftp.sra.ebi.ac.uk/vol1/fastq/DRR100/008/DRR1003638/DRR1003638_2.fastq.gz" TargetMode="External"/><Relationship Id="rId234" Type="http://schemas.openxmlformats.org/officeDocument/2006/relationships/hyperlink" Target="https://ftp.sra.ebi.ac.uk/vol1/fastq/SRR279/004/SRR27931704/SRR27931704_1.fastq.gz" TargetMode="External"/><Relationship Id="rId235" Type="http://schemas.openxmlformats.org/officeDocument/2006/relationships/hyperlink" Target="https://ftp.sra.ebi.ac.uk/vol1/fastq/SRR279/004/SRR27931704/SRR27931704_2.fastq.gz" TargetMode="External"/><Relationship Id="rId236" Type="http://schemas.openxmlformats.org/officeDocument/2006/relationships/hyperlink" Target="https://ftp.sra.ebi.ac.uk/vol1/fastq/ERR218/008/ERR2189808/ERR2189808_1.fastq.gz" TargetMode="External"/><Relationship Id="rId237" Type="http://schemas.openxmlformats.org/officeDocument/2006/relationships/hyperlink" Target="https://ftp.sra.ebi.ac.uk/vol1/fastq/ERR218/008/ERR2189808/ERR2189808_2.fastq.gz" TargetMode="External"/><Relationship Id="rId238" Type="http://schemas.openxmlformats.org/officeDocument/2006/relationships/hyperlink" Target="../VERSIONING.md" TargetMode="External"/><Relationship Id="rId239" Type="http://schemas.openxmlformats.org/officeDocument/2006/relationships/hyperlink" Target="../CITATION.md" TargetMode="External"/><Relationship Id="rId240" Type="http://schemas.openxmlformats.org/officeDocument/2006/relationships/hyperlink" Target="../RIGHTS.md" TargetMode="External"/><Relationship Id="styles" Type="http://schemas.openxmlformats.org/officeDocument/2006/relationships/styles" Target="styles.xml"/></Relationships>
</file>