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微软雅黑" w:hAnsi="微软雅黑"/>
        </w:rPr>
      </w:pPr>
      <w:r>
        <w:rPr>
          <w:rFonts w:hint="eastAsia" w:ascii="微软雅黑" w:hAnsi="微软雅黑"/>
        </w:rPr>
        <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6" cstate="print"/>
                    <a:stretch>
                      <a:fillRect/>
                    </a:stretch>
                  </pic:blipFill>
                  <pic:spPr>
                    <a:xfrm>
                      <a:off x="0" y="0"/>
                      <a:ext cx="7746365" cy="10864215"/>
                    </a:xfrm>
                    <a:prstGeom prst="rect">
                      <a:avLst/>
                    </a:prstGeom>
                    <a:noFill/>
                    <a:ln>
                      <a:noFill/>
                    </a:ln>
                  </pic:spPr>
                </pic:pic>
              </a:graphicData>
            </a:graphic>
          </wp:anchor>
        </w:drawing>
      </w:r>
    </w:p>
    <w:p>
      <w:pPr>
        <w:ind w:firstLine="550" w:firstLineChars="250"/>
        <w:rPr>
          <w:rFonts w:ascii="微软雅黑" w:hAnsi="微软雅黑"/>
        </w:rPr>
      </w:pPr>
    </w:p>
    <w:p>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7" cstate="print"/>
                    <a:stretch>
                      <a:fillRect/>
                    </a:stretch>
                  </pic:blipFill>
                  <pic:spPr>
                    <a:xfrm>
                      <a:off x="0" y="0"/>
                      <a:ext cx="2834640" cy="762000"/>
                    </a:xfrm>
                    <a:prstGeom prst="rect">
                      <a:avLst/>
                    </a:prstGeom>
                  </pic:spPr>
                </pic:pic>
              </a:graphicData>
            </a:graphic>
          </wp:anchor>
        </w:drawing>
      </w:r>
    </w:p>
    <w:p>
      <w:pPr>
        <w:spacing w:line="240" w:lineRule="atLeast"/>
        <w:jc w:val="center"/>
        <w:rPr>
          <w:rFonts w:ascii="微软雅黑" w:hAnsi="微软雅黑"/>
          <w:b/>
          <w:color w:val="3D5E18"/>
          <w:sz w:val="52"/>
          <w:szCs w:val="5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10"/>
          <w:szCs w:val="10"/>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240" w:lineRule="atLeast"/>
        <w:jc w:val="center"/>
        <w:rPr>
          <w:rFonts w:ascii="微软雅黑" w:hAnsi="微软雅黑"/>
          <w:b/>
          <w:color w:val="3D5E18"/>
          <w:sz w:val="32"/>
          <w:szCs w:val="32"/>
        </w:rPr>
      </w:pPr>
    </w:p>
    <w:p>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kK5BPYAAAACQEAAA8AAAAAAAAAAQAgAAAAIgAAAGRycy9kb3du&#10;cmV2LnhtbFBLAQIUABQAAAAIAIdO4kD08AHy/wEAAPgDAAAOAAAAAAAAAAEAIAAAACc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 patient_name }}        </w:t>
      </w:r>
    </w:p>
    <w:p>
      <w:pPr>
        <w:spacing w:line="360" w:lineRule="auto"/>
        <w:ind w:left="297" w:leftChars="135" w:firstLine="836" w:firstLineChars="348"/>
        <w:rPr>
          <w:rFonts w:ascii="微软雅黑" w:hAnsi="微软雅黑" w:cs="微软雅黑"/>
          <w:sz w:val="24"/>
          <w:szCs w:val="24"/>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&#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9D5dzXAAAACQEAAA8AAAAAAAAAAQAgAAAAIgAAAGRy&#10;cy9kb3ducmV2LnhtbFBLAQIUABQAAAAIAIdO4kBRQxPdBgIAAAIEAAAOAAAAAAAAAAEAIAAAACYB&#10;AABkcnMvZTJvRG9jLnhtbFBLBQYAAAAABgAGAFkBAACeBQAAAAA=&#10;">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p>
    <w:p>
      <w:pPr>
        <w:spacing w:line="360" w:lineRule="auto"/>
        <w:ind w:left="297" w:leftChars="135" w:firstLine="836" w:firstLineChars="348"/>
        <w:rPr>
          <w:rFonts w:ascii="微软雅黑" w:hAnsi="微软雅黑" w:cs="微软雅黑"/>
          <w:bCs/>
          <w:sz w:val="24"/>
          <w:szCs w:val="24"/>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&#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OtqVS1wAAAAkBAAAPAAAAAAAAAAEAIAAAACIAAABk&#10;cnMvZG93bnJldi54bWxQSwECFAAUAAAACACHTuJA4QBRIwcCAAACBAAADgAAAAAAAAABACAAAAAm&#10;AQAAZHJzL2Uyb0RvYy54bWxQSwUGAAAAAAYABgBZAQAAnwUAAAAA&#10;">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20240620</w:t>
      </w:r>
    </w:p>
    <w:p>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48kIIdgAAAAJAQAADwAAAAAAAAABACAAAAAiAAAAZHJzL2Rvd25y&#10;ZXYueG1sUEsBAhQAFAAAAAgAh07iQA/X74X+AQAA+AMAAA4AAAAAAAAAAQAgAAAAJwEAAGRycy9l&#10;Mm9Eb2MueG1sUEsFBgAAAAAGAAYAWQEAAJcFAAAAAA==&#10;">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20240</w:t>
      </w:r>
      <w:r>
        <w:rPr>
          <w:rFonts w:hint="eastAsia" w:ascii="微软雅黑" w:hAnsi="微软雅黑"/>
          <w:bCs/>
          <w:sz w:val="24"/>
          <w:szCs w:val="24"/>
          <w:lang w:val="en-US" w:eastAsia="zh-CN"/>
        </w:rPr>
        <w:t>705</w:t>
      </w:r>
    </w:p>
    <w:p>
      <w:pPr>
        <w:adjustRightInd/>
        <w:snapToGrid/>
        <w:spacing w:line="220" w:lineRule="atLeast"/>
        <w:rPr>
          <w:sz w:val="20"/>
          <w:szCs w:val="20"/>
        </w:rPr>
      </w:pPr>
      <w:r>
        <w:rPr>
          <w:rFonts w:ascii="微软雅黑" w:hAnsi="微软雅黑"/>
          <w:b/>
          <w:color w:val="3D5E18"/>
          <w:sz w:val="32"/>
          <w:szCs w:val="32"/>
        </w:rPr>
        <w:br w:type="page"/>
      </w: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sz w:val="20"/>
          <w:szCs w:val="20"/>
        </w:rPr>
      </w:pPr>
    </w:p>
    <w:p>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tabs>
          <w:tab w:val="left" w:pos="2312"/>
        </w:tabs>
        <w:spacing w:after="0" w:line="240" w:lineRule="atLeast"/>
        <w:rPr>
          <w:rFonts w:ascii="微软雅黑" w:hAnsi="微软雅黑"/>
          <w:b/>
          <w:sz w:val="30"/>
          <w:szCs w:val="30"/>
        </w:rPr>
      </w:pPr>
    </w:p>
    <w:p>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检测结果（提供本次检测涉及的靶向治疗、免疫治疗、化疗等综合检测结果），是本报告的关键信息。</w:t>
      </w:r>
    </w:p>
    <w:p>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18"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pPr>
        <w:tabs>
          <w:tab w:val="left" w:pos="2312"/>
        </w:tabs>
        <w:spacing w:after="0" w:line="288" w:lineRule="auto"/>
        <w:ind w:firstLine="420" w:firstLineChars="200"/>
        <w:jc w:val="both"/>
        <w:rPr>
          <w:rFonts w:ascii="微软雅黑" w:hAnsi="微软雅黑"/>
          <w:sz w:val="21"/>
          <w:szCs w:val="21"/>
        </w:rPr>
        <w:sectPr>
          <w:headerReference r:id="rId4"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pPr>
        <w:widowControl w:val="0"/>
        <w:adjustRightInd/>
        <w:snapToGrid/>
        <w:spacing w:after="0" w:line="312" w:lineRule="auto"/>
        <w:jc w:val="both"/>
        <w:rPr>
          <w:b/>
          <w:bCs/>
          <w:sz w:val="24"/>
          <w:szCs w:val="24"/>
        </w:rPr>
      </w:pPr>
    </w:p>
    <w:p>
      <w:pPr>
        <w:tabs>
          <w:tab w:val="left" w:pos="2312"/>
        </w:tabs>
        <w:spacing w:after="0" w:line="240" w:lineRule="atLeast"/>
        <w:rPr>
          <w:sz w:val="20"/>
          <w:szCs w:val="20"/>
        </w:rPr>
      </w:pPr>
      <w:r>
        <w:rPr>
          <w:b/>
          <w:bCs/>
          <w:color w:val="00C4D8"/>
          <w:sz w:val="32"/>
          <w:szCs w:val="32"/>
        </w:rPr>
        <w:t>致您的一封信</w:t>
      </w:r>
    </w:p>
    <w:p>
      <w:pPr>
        <w:widowControl w:val="0"/>
        <w:adjustRightInd/>
        <w:snapToGrid/>
        <w:spacing w:line="312" w:lineRule="auto"/>
        <w:ind w:firstLine="420"/>
        <w:jc w:val="both"/>
        <w:rPr>
          <w:rFonts w:ascii="微软雅黑" w:hAnsi="微软雅黑"/>
          <w:b/>
          <w:sz w:val="30"/>
          <w:szCs w:val="30"/>
        </w:rPr>
        <w:sectPr>
          <w:footerReference r:id="rId5"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 patient_name }}     </w:t>
                            </w:r>
                            <w:r>
                              <w:rPr>
                                <w:rFonts w:hint="eastAsia"/>
                                <w:b/>
                                <w:bCs/>
                                <w:sz w:val="24"/>
                                <w:szCs w:val="24"/>
                              </w:rPr>
                              <w:t>女士：</w:t>
                            </w:r>
                          </w:p>
                          <w:p>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结直肠癌301基因+MSI      </w:t>
                            </w:r>
                            <w:r>
                              <w:rPr>
                                <w:rFonts w:hint="eastAsia" w:ascii="微软雅黑" w:hAnsi="微软雅黑" w:cs="微软雅黑"/>
                                <w:sz w:val="21"/>
                                <w:szCs w:val="21"/>
                              </w:rPr>
                              <w:t>检测项目。天津脉络医学检验很荣幸能为您提供基因检测服务。</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10;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ZMVD3AAAAAsBAAAPAAAAAAAA&#10;AAEAIAAAACIAAABkcnMvZG93bnJldi54bWxQSwECFAAUAAAACACHTuJA+SD4qUcCAAB5BAAADgAA&#10;AAAAAAABACAAAAArAQAAZHJzL2Uyb0RvYy54bWxQSwUGAAAAAAYABgBZAQAA5AUAAAAA&#10;">
                <v:fill on="f" focussize="0,0"/>
                <v:stroke on="f" weight="0.5pt"/>
                <v:imagedata o:title=""/>
                <o:lock v:ext="edit" aspectratio="f"/>
                <v:textbox>
                  <w:txbxContent>
                    <w:p>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 patient_name }}     </w:t>
                      </w:r>
                      <w:r>
                        <w:rPr>
                          <w:rFonts w:hint="eastAsia"/>
                          <w:b/>
                          <w:bCs/>
                          <w:sz w:val="24"/>
                          <w:szCs w:val="24"/>
                        </w:rPr>
                        <w:t>女士：</w:t>
                      </w:r>
                    </w:p>
                    <w:p>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结直肠癌301基因+MSI      </w:t>
                      </w:r>
                      <w:r>
                        <w:rPr>
                          <w:rFonts w:hint="eastAsia" w:ascii="微软雅黑" w:hAnsi="微软雅黑" w:cs="微软雅黑"/>
                          <w:sz w:val="21"/>
                          <w:szCs w:val="21"/>
                        </w:rPr>
                        <w:t>检测项目。天津脉络医学检验很荣幸能为您提供基因检测服务。</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10;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z23QRdoAAAALAQAA&#10;DwAAAAAAAAABACAAAAAiAAAAZHJzL2Rvd25yZXYueG1sUEsBAhQAFAAAAAgAh07iQIW6ku40AwAA&#10;2w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pPr>
        <w:spacing w:before="240" w:beforeLines="100" w:after="0"/>
        <w:jc w:val="both"/>
        <w:rPr>
          <w:b/>
          <w:bCs/>
          <w:color w:val="00C4D8"/>
          <w:sz w:val="44"/>
          <w:szCs w:val="44"/>
        </w:rPr>
      </w:pPr>
      <w:bookmarkStart w:id="0" w:name="_Toc12809"/>
      <w:bookmarkStart w:id="1" w:name="_Toc6876"/>
      <w:bookmarkStart w:id="2" w:name="_Toc30904"/>
      <w:bookmarkStart w:id="3" w:name="_Toc6705"/>
      <w:bookmarkStart w:id="4" w:name="_Toc6603"/>
      <w:bookmarkStart w:id="5" w:name="_Toc3134"/>
      <w:bookmarkStart w:id="6" w:name="_Toc14260"/>
      <w:bookmarkStart w:id="7" w:name="_Toc26024"/>
      <w:bookmarkStart w:id="8" w:name="_Toc27006"/>
      <w:bookmarkStart w:id="9" w:name="_Toc18130"/>
      <w:bookmarkStart w:id="10" w:name="_Toc31222"/>
      <w:bookmarkStart w:id="11" w:name="_Toc3608"/>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9/Fg&#10;recBAACxAwAADgAAAAAAAAABACAAAAAlAQAAZHJzL2Uyb0RvYy54bWxQSwUGAAAAAAYABgBZAQAA&#10;fgUAAAAA&#10;">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YTBG62AAAAAsBAAAPAAAAAAAAAAEAIAAAACIAAABkcnMvZG93bnJldi54bWxQ&#10;SwECFAAUAAAACACHTuJApVyj32kCAADRBAAADgAAAAAAAAABACAAAAAnAQAAZHJzL2Uyb0RvYy54&#10;bWxQSwUGAAAAAAYABgBZAQAAAgYAAAAA&#10;">
                <v:fill on="f" focussize="0,0"/>
                <v:stroke weight="1pt" color="#00C4D8" joinstyle="round"/>
                <v:imagedata o:title=""/>
                <o:lock v:ext="edit" aspectratio="f"/>
                <v:textbox>
                  <w:txbxContent>
                    <w:p>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spacing w:after="0"/>
            <w:jc w:val="center"/>
            <w:rPr>
              <w:rFonts w:ascii="宋体" w:hAnsi="宋体" w:eastAsia="宋体"/>
              <w:sz w:val="21"/>
            </w:rPr>
          </w:pPr>
        </w:p>
        <w:p>
          <w:pPr>
            <w:pStyle w:val="10"/>
            <w:tabs>
              <w:tab w:val="right" w:pos="7700"/>
            </w:tabs>
            <w:spacing w:after="0" w:line="312" w:lineRule="auto"/>
            <w:ind w:left="1980" w:leftChars="900"/>
            <w:rPr>
              <w:b/>
              <w:bCs/>
              <w:color w:val="00C4D8"/>
              <w:sz w:val="32"/>
              <w:szCs w:val="32"/>
            </w:rPr>
          </w:pPr>
          <w:r>
            <w:rPr>
              <w:b/>
              <w:bCs/>
              <w:color w:val="00C4D8"/>
              <w:sz w:val="44"/>
              <w:szCs w:val="44"/>
            </w:rPr>
            <w:fldChar w:fldCharType="begin"/>
          </w:r>
          <w:r>
            <w:rPr>
              <w:b/>
              <w:bCs/>
              <w:color w:val="00C4D8"/>
              <w:sz w:val="44"/>
              <w:szCs w:val="44"/>
            </w:rPr>
            <w:instrText xml:space="preserve">TOC \o "1-1" \h \u </w:instrText>
          </w:r>
          <w:r>
            <w:rPr>
              <w:b/>
              <w:bCs/>
              <w:color w:val="00C4D8"/>
              <w:sz w:val="44"/>
              <w:szCs w:val="44"/>
            </w:rPr>
            <w:fldChar w:fldCharType="separate"/>
          </w:r>
          <w:r>
            <w:fldChar w:fldCharType="begin"/>
          </w:r>
          <w:r>
            <w:instrText xml:space="preserve"> HYPERLINK \l "_Toc26009" </w:instrText>
          </w:r>
          <w:r>
            <w:fldChar w:fldCharType="separate"/>
          </w:r>
          <w:r>
            <w:rPr>
              <w:rFonts w:hint="eastAsia"/>
              <w:b/>
              <w:bCs/>
              <w:color w:val="00C4D8"/>
              <w:sz w:val="32"/>
              <w:szCs w:val="32"/>
            </w:rPr>
            <w:t>第一部分：基本信息</w:t>
          </w:r>
          <w:r>
            <w:rPr>
              <w:b/>
              <w:bCs/>
              <w:color w:val="00C4D8"/>
              <w:sz w:val="32"/>
              <w:szCs w:val="32"/>
            </w:rPr>
            <w:tab/>
          </w:r>
          <w:r>
            <w:rPr>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"_Toc24274" </w:instrText>
          </w:r>
          <w:r>
            <w:fldChar w:fldCharType="separate"/>
          </w:r>
          <w:r>
            <w:rPr>
              <w:rFonts w:hint="eastAsia" w:ascii="微软雅黑" w:hAnsi="微软雅黑"/>
              <w:szCs w:val="32"/>
            </w:rPr>
            <w:t>患者及样本信息</w:t>
          </w:r>
          <w:r>
            <w:tab/>
          </w:r>
          <w:r>
            <w:fldChar w:fldCharType="begin"/>
          </w:r>
          <w:r>
            <w:instrText xml:space="preserve"> PAGEREF _Toc24274 \h </w:instrText>
          </w:r>
          <w:r>
            <w:fldChar w:fldCharType="separate"/>
          </w:r>
          <w:r>
            <w:t>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"_Toc17258" </w:instrText>
          </w:r>
          <w:r>
            <w:fldChar w:fldCharType="separate"/>
          </w:r>
          <w:r>
            <w:rPr>
              <w:rFonts w:hint="eastAsia" w:ascii="微软雅黑" w:hAnsi="微软雅黑"/>
              <w:szCs w:val="32"/>
            </w:rPr>
            <w:t>检测内容</w:t>
          </w:r>
          <w:r>
            <w:tab/>
          </w:r>
          <w:r>
            <w:fldChar w:fldCharType="begin"/>
          </w:r>
          <w:r>
            <w:instrText xml:space="preserve"> PAGEREF _Toc17258 \h </w:instrText>
          </w:r>
          <w:r>
            <w:fldChar w:fldCharType="separate"/>
          </w:r>
          <w:r>
            <w:t>1</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"_Toc4168" </w:instrText>
          </w:r>
          <w:r>
            <w:fldChar w:fldCharType="separate"/>
          </w:r>
          <w:r>
            <w:rPr>
              <w:rFonts w:hint="eastAsia"/>
              <w:b/>
              <w:bCs/>
              <w:color w:val="00C4D8"/>
              <w:sz w:val="32"/>
              <w:szCs w:val="32"/>
            </w:rPr>
            <w:t>第二部分：检测结果</w:t>
          </w:r>
          <w:r>
            <w:rPr>
              <w:rFonts w:hint="eastAsia"/>
              <w:b/>
              <w:bCs/>
              <w:color w:val="00C4D8"/>
              <w:sz w:val="32"/>
              <w:szCs w:val="32"/>
            </w:rPr>
            <w:tab/>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"_Toc14194" </w:instrText>
          </w:r>
          <w:r>
            <w:fldChar w:fldCharType="separate"/>
          </w:r>
          <w:r>
            <w:rPr>
              <w:rFonts w:hint="eastAsia" w:ascii="微软雅黑" w:hAnsi="微软雅黑"/>
              <w:szCs w:val="32"/>
            </w:rPr>
            <w:t>检测结果小结</w:t>
          </w:r>
          <w:r>
            <w:tab/>
          </w:r>
          <w:r>
            <w:fldChar w:fldCharType="begin"/>
          </w:r>
          <w:r>
            <w:instrText xml:space="preserve"> PAGEREF _Toc14194 \h </w:instrText>
          </w:r>
          <w:r>
            <w:fldChar w:fldCharType="separate"/>
          </w:r>
          <w:r>
            <w:t>2</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"_Toc24469" </w:instrText>
          </w:r>
          <w:r>
            <w:fldChar w:fldCharType="separate"/>
          </w:r>
          <w:r>
            <w:rPr>
              <w:rFonts w:hint="eastAsia" w:ascii="微软雅黑" w:hAnsi="微软雅黑"/>
              <w:szCs w:val="32"/>
            </w:rPr>
            <w:t>靶向药物相关检测结果</w:t>
          </w:r>
          <w:r>
            <w:tab/>
          </w:r>
          <w:r>
            <w:fldChar w:fldCharType="begin"/>
          </w:r>
          <w:r>
            <w:instrText xml:space="preserve"> PAGEREF _Toc24469 \h </w:instrText>
          </w:r>
          <w:r>
            <w:fldChar w:fldCharType="separate"/>
          </w:r>
          <w:r>
            <w:t>5</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"_Toc31097" </w:instrText>
          </w:r>
          <w:r>
            <w:fldChar w:fldCharType="separate"/>
          </w:r>
          <w:r>
            <w:rPr>
              <w:rFonts w:hint="eastAsia" w:ascii="微软雅黑" w:hAnsi="微软雅黑"/>
              <w:szCs w:val="32"/>
            </w:rPr>
            <w:t>免疫治疗疗效评估</w:t>
          </w:r>
          <w:r>
            <w:tab/>
          </w:r>
          <w:r>
            <w:fldChar w:fldCharType="begin"/>
          </w:r>
          <w:r>
            <w:instrText xml:space="preserve"> PAGEREF _Toc31097 \h </w:instrText>
          </w:r>
          <w:r>
            <w:fldChar w:fldCharType="separate"/>
          </w:r>
          <w:r>
            <w:t>13</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"_Toc29527" </w:instrText>
          </w:r>
          <w:r>
            <w:fldChar w:fldCharType="separate"/>
          </w:r>
          <w:r>
            <w:rPr>
              <w:rFonts w:hint="eastAsia" w:ascii="微软雅黑" w:hAnsi="微软雅黑" w:cs="微软雅黑"/>
              <w:szCs w:val="32"/>
            </w:rPr>
            <w:t>临床常用化疗药物评估及解析</w:t>
          </w:r>
          <w:r>
            <w:tab/>
          </w:r>
          <w:r>
            <w:fldChar w:fldCharType="begin"/>
          </w:r>
          <w:r>
            <w:instrText xml:space="preserve"> PAGEREF _Toc29527 \h </w:instrText>
          </w:r>
          <w:r>
            <w:fldChar w:fldCharType="separate"/>
          </w:r>
          <w:r>
            <w:t>20</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"_Toc29647" </w:instrText>
          </w:r>
          <w:r>
            <w:fldChar w:fldCharType="separate"/>
          </w:r>
          <w:r>
            <w:rPr>
              <w:rFonts w:hint="eastAsia" w:ascii="微软雅黑" w:hAnsi="微软雅黑"/>
              <w:szCs w:val="32"/>
            </w:rPr>
            <w:t>检测结果说明</w:t>
          </w:r>
          <w:r>
            <w:tab/>
          </w:r>
          <w:r>
            <w:fldChar w:fldCharType="begin"/>
          </w:r>
          <w:r>
            <w:instrText xml:space="preserve"> PAGEREF _Toc29647 \h </w:instrText>
          </w:r>
          <w:r>
            <w:fldChar w:fldCharType="separate"/>
          </w:r>
          <w:r>
            <w:t>30</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"_Toc6684" </w:instrText>
          </w:r>
          <w:r>
            <w:fldChar w:fldCharType="separate"/>
          </w:r>
          <w:r>
            <w:rPr>
              <w:rFonts w:hint="eastAsia"/>
              <w:b/>
              <w:bCs/>
              <w:color w:val="00C4D8"/>
              <w:sz w:val="32"/>
              <w:szCs w:val="32"/>
            </w:rPr>
            <w:t>第三部分：基因变异及相应靶向/免疫药物解析</w:t>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"_Toc6727" </w:instrText>
          </w:r>
          <w:r>
            <w:fldChar w:fldCharType="separate"/>
          </w:r>
          <w:r>
            <w:rPr>
              <w:rFonts w:ascii="微软雅黑" w:hAnsi="微软雅黑"/>
              <w:szCs w:val="24"/>
            </w:rPr>
            <w:t>基因</w:t>
          </w:r>
          <w:r>
            <w:rPr>
              <w:rFonts w:hint="eastAsia" w:ascii="微软雅黑" w:hAnsi="微软雅黑"/>
              <w:szCs w:val="24"/>
            </w:rPr>
            <w:t>变异</w:t>
          </w:r>
          <w:r>
            <w:rPr>
              <w:rFonts w:ascii="微软雅黑" w:hAnsi="微软雅黑"/>
              <w:szCs w:val="24"/>
            </w:rPr>
            <w:t>解析</w:t>
          </w:r>
          <w:r>
            <w:tab/>
          </w:r>
          <w:r>
            <w:fldChar w:fldCharType="begin"/>
          </w:r>
          <w:r>
            <w:instrText xml:space="preserve"> PAGEREF _Toc6727 \h </w:instrText>
          </w:r>
          <w:r>
            <w:fldChar w:fldCharType="separate"/>
          </w:r>
          <w:r>
            <w:t>31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"_Toc16898" </w:instrText>
          </w:r>
          <w:r>
            <w:fldChar w:fldCharType="separate"/>
          </w:r>
          <w:r>
            <w:rPr>
              <w:rFonts w:hint="eastAsia" w:ascii="微软雅黑" w:hAnsi="微软雅黑"/>
              <w:szCs w:val="24"/>
            </w:rPr>
            <w:t>靶向</w:t>
          </w:r>
          <w:r>
            <w:rPr>
              <w:rFonts w:ascii="微软雅黑" w:hAnsi="微软雅黑"/>
              <w:szCs w:val="24"/>
            </w:rPr>
            <w:t>药物</w:t>
          </w:r>
          <w:r>
            <w:rPr>
              <w:rFonts w:hint="eastAsia" w:ascii="微软雅黑" w:hAnsi="微软雅黑"/>
              <w:szCs w:val="24"/>
            </w:rPr>
            <w:t>/免疫用药</w:t>
          </w:r>
          <w:r>
            <w:rPr>
              <w:rFonts w:ascii="微软雅黑" w:hAnsi="微软雅黑"/>
              <w:szCs w:val="24"/>
            </w:rPr>
            <w:t>提示解析</w:t>
          </w:r>
          <w:r>
            <w:tab/>
          </w:r>
          <w:r>
            <w:fldChar w:fldCharType="begin"/>
          </w:r>
          <w:r>
            <w:instrText xml:space="preserve"> PAGEREF _Toc16898 \h </w:instrText>
          </w:r>
          <w:r>
            <w:fldChar w:fldCharType="separate"/>
          </w:r>
          <w:r>
            <w:t>40</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"_Toc3535" </w:instrText>
          </w:r>
          <w:r>
            <w:fldChar w:fldCharType="separate"/>
          </w:r>
          <w:r>
            <w:rPr>
              <w:rFonts w:hint="eastAsia" w:ascii="微软雅黑" w:hAnsi="微软雅黑"/>
              <w:szCs w:val="24"/>
            </w:rPr>
            <w:t>阅读说明</w:t>
          </w:r>
          <w:r>
            <w:tab/>
          </w:r>
          <w:r>
            <w:fldChar w:fldCharType="begin"/>
          </w:r>
          <w:r>
            <w:instrText xml:space="preserve"> PAGEREF _Toc3535 \h </w:instrText>
          </w:r>
          <w:r>
            <w:fldChar w:fldCharType="separate"/>
          </w:r>
          <w:r>
            <w:t>54</w:t>
          </w:r>
          <w:r>
            <w:fldChar w:fldCharType="end"/>
          </w:r>
          <w:r>
            <w:fldChar w:fldCharType="end"/>
          </w:r>
        </w:p>
        <w:p>
          <w:pPr>
            <w:pStyle w:val="10"/>
            <w:tabs>
              <w:tab w:val="right" w:pos="7700"/>
            </w:tabs>
            <w:spacing w:after="0" w:line="312" w:lineRule="auto"/>
            <w:ind w:left="1980" w:leftChars="900"/>
            <w:rPr>
              <w:b/>
              <w:bCs/>
              <w:color w:val="00C4D8"/>
              <w:sz w:val="32"/>
              <w:szCs w:val="32"/>
            </w:rPr>
          </w:pPr>
          <w:r>
            <w:fldChar w:fldCharType="begin"/>
          </w:r>
          <w:r>
            <w:instrText xml:space="preserve"> HYPERLINK \l "_Toc28254" </w:instrText>
          </w:r>
          <w:r>
            <w:fldChar w:fldCharType="separate"/>
          </w:r>
          <w:r>
            <w:rPr>
              <w:rFonts w:hint="eastAsia"/>
              <w:b/>
              <w:bCs/>
              <w:color w:val="00C4D8"/>
              <w:sz w:val="32"/>
              <w:szCs w:val="32"/>
            </w:rPr>
            <w:t>第四部分：附录</w:t>
          </w:r>
          <w:r>
            <w:rPr>
              <w:rFonts w:hint="eastAsia"/>
              <w:b/>
              <w:bCs/>
              <w:color w:val="00C4D8"/>
              <w:sz w:val="32"/>
              <w:szCs w:val="32"/>
            </w:rPr>
            <w:tab/>
          </w:r>
          <w:r>
            <w:rPr>
              <w:rFonts w:hint="eastAsia"/>
              <w:b/>
              <w:bCs/>
              <w:color w:val="00C4D8"/>
              <w:sz w:val="32"/>
              <w:szCs w:val="32"/>
            </w:rPr>
            <w:fldChar w:fldCharType="end"/>
          </w:r>
        </w:p>
        <w:p>
          <w:pPr>
            <w:pStyle w:val="10"/>
            <w:tabs>
              <w:tab w:val="right" w:pos="7700"/>
            </w:tabs>
            <w:spacing w:after="0" w:line="312" w:lineRule="auto"/>
            <w:ind w:left="1980" w:leftChars="900"/>
          </w:pPr>
          <w:r>
            <w:fldChar w:fldCharType="begin"/>
          </w:r>
          <w:r>
            <w:instrText xml:space="preserve"> HYPERLINK \l "_Toc6659" </w:instrText>
          </w:r>
          <w:r>
            <w:fldChar w:fldCharType="separate"/>
          </w:r>
          <w:r>
            <w:rPr>
              <w:rFonts w:hint="eastAsia" w:ascii="微软雅黑" w:hAnsi="微软雅黑"/>
              <w:szCs w:val="24"/>
            </w:rPr>
            <w:t>常见问题解答</w:t>
          </w:r>
          <w:r>
            <w:tab/>
          </w:r>
          <w:r>
            <w:fldChar w:fldCharType="begin"/>
          </w:r>
          <w:r>
            <w:instrText xml:space="preserve"> PAGEREF _Toc6659 \h </w:instrText>
          </w:r>
          <w:r>
            <w:fldChar w:fldCharType="separate"/>
          </w:r>
          <w:r>
            <w:t>57</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"_Toc9100" </w:instrText>
          </w:r>
          <w:r>
            <w:fldChar w:fldCharType="separate"/>
          </w:r>
          <w:r>
            <w:rPr>
              <w:rFonts w:hint="eastAsia" w:ascii="微软雅黑" w:hAnsi="微软雅黑"/>
              <w:szCs w:val="24"/>
            </w:rPr>
            <w:t>结直肠癌诊疗知识</w:t>
          </w:r>
          <w:r>
            <w:tab/>
          </w:r>
          <w:r>
            <w:fldChar w:fldCharType="begin"/>
          </w:r>
          <w:r>
            <w:instrText xml:space="preserve"> PAGEREF _Toc9100 \h </w:instrText>
          </w:r>
          <w:r>
            <w:fldChar w:fldCharType="separate"/>
          </w:r>
          <w:r>
            <w:t>59</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"_Toc17460" </w:instrText>
          </w:r>
          <w:r>
            <w:fldChar w:fldCharType="separate"/>
          </w:r>
          <w:r>
            <w:rPr>
              <w:rFonts w:hint="eastAsia" w:ascii="微软雅黑" w:hAnsi="微软雅黑"/>
              <w:szCs w:val="24"/>
            </w:rPr>
            <w:t>癌症相关信号通路</w:t>
          </w:r>
          <w:r>
            <w:tab/>
          </w:r>
          <w:r>
            <w:fldChar w:fldCharType="begin"/>
          </w:r>
          <w:r>
            <w:instrText xml:space="preserve"> PAGEREF _Toc17460 \h </w:instrText>
          </w:r>
          <w:r>
            <w:fldChar w:fldCharType="separate"/>
          </w:r>
          <w:r>
            <w:t>81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"_Toc16989" </w:instrText>
          </w:r>
          <w:r>
            <w:fldChar w:fldCharType="separate"/>
          </w:r>
          <w:r>
            <w:rPr>
              <w:rFonts w:hint="eastAsia" w:ascii="微软雅黑" w:hAnsi="微软雅黑"/>
              <w:szCs w:val="24"/>
            </w:rPr>
            <w:t>基因检测列表</w:t>
          </w:r>
          <w:r>
            <w:tab/>
          </w:r>
          <w:r>
            <w:fldChar w:fldCharType="begin"/>
          </w:r>
          <w:r>
            <w:instrText xml:space="preserve"> PAGEREF _Toc16989 \h </w:instrText>
          </w:r>
          <w:r>
            <w:fldChar w:fldCharType="separate"/>
          </w:r>
          <w:r>
            <w:t>91</w:t>
          </w:r>
          <w:r>
            <w:fldChar w:fldCharType="end"/>
          </w:r>
          <w:r>
            <w:fldChar w:fldCharType="end"/>
          </w:r>
        </w:p>
        <w:p>
          <w:pPr>
            <w:pStyle w:val="10"/>
            <w:tabs>
              <w:tab w:val="right" w:pos="7700"/>
            </w:tabs>
            <w:spacing w:after="0" w:line="312" w:lineRule="auto"/>
            <w:ind w:left="1980" w:leftChars="900"/>
          </w:pPr>
          <w:r>
            <w:fldChar w:fldCharType="begin"/>
          </w:r>
          <w:r>
            <w:instrText xml:space="preserve"> HYPERLINK \l "_Toc8115" </w:instrText>
          </w:r>
          <w:r>
            <w:fldChar w:fldCharType="separate"/>
          </w:r>
          <w:r>
            <w:rPr>
              <w:rFonts w:hint="eastAsia" w:ascii="微软雅黑" w:hAnsi="微软雅黑"/>
              <w:szCs w:val="24"/>
            </w:rPr>
            <w:t>参考文献</w:t>
          </w:r>
          <w:r>
            <w:tab/>
          </w:r>
          <w:r>
            <w:fldChar w:fldCharType="begin"/>
          </w:r>
          <w:r>
            <w:instrText xml:space="preserve"> PAGEREF _Toc8115 \h </w:instrText>
          </w:r>
          <w:r>
            <w:fldChar w:fldCharType="separate"/>
          </w:r>
          <w:r>
            <w:t>93</w:t>
          </w:r>
          <w:r>
            <w:fldChar w:fldCharType="end"/>
          </w:r>
          <w:r>
            <w:fldChar w:fldCharType="end"/>
          </w:r>
        </w:p>
        <w:p>
          <w:pPr>
            <w:spacing w:after="0" w:line="312" w:lineRule="auto"/>
            <w:ind w:left="1980" w:leftChars="900"/>
            <w:jc w:val="both"/>
            <w:rPr>
              <w:b/>
              <w:bCs/>
              <w:color w:val="00C4D8"/>
              <w:sz w:val="44"/>
              <w:szCs w:val="44"/>
            </w:rPr>
            <w:sectPr>
              <w:footerReference r:id="rId6" w:type="default"/>
              <w:pgSz w:w="11906" w:h="16838"/>
              <w:pgMar w:top="1440" w:right="1526" w:bottom="1440" w:left="1800" w:header="708" w:footer="708" w:gutter="0"/>
              <w:cols w:space="708" w:num="1"/>
              <w:docGrid w:linePitch="360" w:charSpace="0"/>
            </w:sectPr>
          </w:pPr>
          <w:r>
            <w:rPr>
              <w:bCs/>
              <w:color w:val="00C4D8"/>
              <w:szCs w:val="44"/>
            </w:rPr>
            <w:fldChar w:fldCharType="end"/>
          </w:r>
        </w:p>
      </w:sdtContent>
    </w:sdt>
    <w:p>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4575"/>
      <w:bookmarkStart w:id="17" w:name="_Toc32538"/>
      <w:bookmarkStart w:id="18" w:name="_Toc12032"/>
      <w:bookmarkStart w:id="19" w:name="_Toc8579"/>
      <w:bookmarkStart w:id="20" w:name="_Toc12673"/>
      <w:bookmarkStart w:id="21" w:name="_Toc3165"/>
      <w:bookmarkStart w:id="22" w:name="_Toc10896"/>
      <w:bookmarkStart w:id="23" w:name="_Toc18057"/>
      <w:bookmarkStart w:id="24" w:name="_Toc445"/>
      <w:bookmarkStart w:id="25" w:name="_Toc20058"/>
      <w:bookmarkStart w:id="26" w:name="_Toc14886"/>
      <w:bookmarkStart w:id="27" w:name="_Toc14336"/>
      <w:bookmarkStart w:id="28" w:name="_Toc15404"/>
      <w:bookmarkStart w:id="29" w:name="_Toc15999"/>
      <w:bookmarkStart w:id="30" w:name="_Toc22635"/>
      <w:bookmarkStart w:id="31" w:name="_Toc24717"/>
      <w:bookmarkStart w:id="32" w:name="_Toc7206"/>
      <w:bookmarkStart w:id="33" w:name="_Toc14984"/>
      <w:bookmarkStart w:id="34" w:name="_Toc21484"/>
      <w:bookmarkStart w:id="35" w:name="_Toc31884"/>
      <w:bookmarkStart w:id="36" w:name="_Toc16016"/>
      <w:bookmarkStart w:id="37" w:name="_Toc1945"/>
      <w:bookmarkStart w:id="38" w:name="_Toc2972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10;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xRlKo2wAAAAsBAAAP&#10;AAAAAAAAAAEAIAAAACIAAABkcnMvZG93bnJldi54bWxQSwECFAAUAAAACACHTuJAtIJC4E4CAACE&#10;BAAADgAAAAAAAAABACAAAAAqAQAAZHJzL2Uyb0RvYy54bWxQSwUGAAAAAAYABgBZAQAA6gUAAAAA&#10;">
                <v:fill on="f" focussize="0,0"/>
                <v:stroke on="f" weight="0.5pt"/>
                <v:imagedata o:title=""/>
                <o:lock v:ext="edit" aspectratio="f"/>
                <v:textbox>
                  <w:txbxContent>
                    <w:p>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GJrNoM4AgAAWw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10Exm2QAAAAkBAAAPAAAAAAAAAAEAIAAAACIAAABkcnMvZG93bnJldi54bWxQ&#10;SwECFAAUAAAACACHTuJA/rL8kS8CAABPBAAADgAAAAAAAAABACAAAAAoAQAAZHJzL2Uyb0RvYy54&#10;bWxQSwUGAAAAAAYABgBZAQAAyQU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patient_name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cs="微软雅黑"/>
                <w:bCs/>
                <w:kern w:val="2"/>
                <w:sz w:val="24"/>
                <w:szCs w:val="24"/>
              </w:rPr>
            </w:pPr>
            <w:r>
              <w:rPr>
                <w:rFonts w:hint="eastAsia" w:ascii="微软雅黑" w:hAnsi="微软雅黑" w:cs="微软雅黑"/>
                <w:bCs/>
                <w:kern w:val="2"/>
                <w:sz w:val="24"/>
                <w:szCs w:val="24"/>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gender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age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Cs/>
                <w:kern w:val="2"/>
                <w:sz w:val="24"/>
                <w:szCs w:val="24"/>
              </w:rPr>
              <w:t>{{ clinical_diagnosis }}</w:t>
            </w:r>
          </w:p>
        </w:tc>
        <w:tc>
          <w:tcPr>
            <w:tcW w:w="240" w:type="dxa"/>
            <w:tcBorders>
              <w:tl2br w:val="nil"/>
              <w:tr2bl w:val="nil"/>
            </w:tcBorders>
            <w:shd w:val="clear" w:color="auto" w:fill="FFFFFF" w:themeFill="background1" w:themeFillTint="32"/>
            <w:vAlign w:val="center"/>
          </w:tcPr>
          <w:p>
            <w:pPr>
              <w:pStyle w:val="29"/>
              <w:numPr>
                <w:ilvl w:val="255"/>
                <w:numId w:val="0"/>
              </w:numPr>
              <w:spacing w:after="0"/>
              <w:rPr>
                <w:rFonts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pPr>
              <w:pStyle w:val="29"/>
              <w:numPr>
                <w:ilvl w:val="255"/>
                <w:numId w:val="0"/>
              </w:numPr>
              <w:spacing w:after="0"/>
              <w:rPr>
                <w:rFonts w:ascii="微软雅黑" w:hAnsi="微软雅黑"/>
                <w:bCs/>
                <w:kern w:val="2"/>
                <w:sz w:val="24"/>
                <w:szCs w:val="24"/>
              </w:rPr>
            </w:pPr>
            <w:r>
              <w:rPr>
                <w:rFonts w:ascii="微软雅黑" w:hAnsi="微软雅黑"/>
                <w:bCs/>
                <w:kern w:val="2"/>
                <w:sz w:val="24"/>
                <w:szCs w:val="24"/>
              </w:rPr>
              <w:t>{{ sample_id }}</w:t>
            </w:r>
          </w:p>
        </w:tc>
      </w:tr>
      <w:bookmarkEnd w:id="42"/>
    </w:tbl>
    <w:p>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8728"/>
      <w:bookmarkStart w:id="44" w:name="_Toc1619"/>
      <w:bookmarkStart w:id="45" w:name="_Toc16727"/>
      <w:bookmarkStart w:id="46" w:name="_Toc31667"/>
      <w:bookmarkStart w:id="47" w:name="_Toc5570"/>
      <w:bookmarkStart w:id="48" w:name="_Toc5129"/>
      <w:bookmarkStart w:id="49" w:name="_Toc3347"/>
      <w:bookmarkStart w:id="50" w:name="_Toc22529"/>
      <w:bookmarkStart w:id="51" w:name="_Toc31893"/>
      <w:bookmarkStart w:id="52" w:name="_Toc30103"/>
      <w:bookmarkStart w:id="53" w:name="_Toc1458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rPr>
        <w:t>301</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p>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r>
        <w:rPr>
          <w:rFonts w:hint="eastAsia" w:ascii="微软雅黑" w:hAnsi="微软雅黑" w:eastAsia="微软雅黑"/>
          <w:sz w:val="24"/>
          <w:szCs w:val="24"/>
          <w:lang w:val="en-US" w:eastAsia="zh-CN"/>
        </w:rPr>
        <w:t>3</w:t>
      </w:r>
      <w:r>
        <w:rPr>
          <w:rFonts w:ascii="微软雅黑" w:hAnsi="微软雅黑" w:eastAsia="微软雅黑"/>
          <w:sz w:val="24"/>
          <w:szCs w:val="24"/>
          <w:lang w:eastAsia="zh-CN"/>
        </w:rPr>
        <w:t xml:space="preserve">. </w:t>
      </w:r>
      <w:r>
        <w:rPr>
          <w:rFonts w:hint="eastAsia" w:ascii="微软雅黑" w:hAnsi="微软雅黑" w:eastAsia="微软雅黑" w:cs="LPJNJT+Arial Unicode MS"/>
          <w:sz w:val="24"/>
          <w:szCs w:val="24"/>
          <w:lang w:val="en-US" w:eastAsia="zh-CN"/>
        </w:rPr>
        <w:t>分析</w:t>
      </w:r>
      <w:r>
        <w:rPr>
          <w:rFonts w:ascii="微软雅黑" w:hAnsi="微软雅黑" w:eastAsia="微软雅黑" w:cs="LPJNJT+Arial Unicode MS"/>
          <w:sz w:val="24"/>
          <w:szCs w:val="24"/>
          <w:lang w:eastAsia="zh-CN"/>
        </w:rPr>
        <w:t>与化疗药物相关的基因变异，</w:t>
      </w:r>
      <w:r>
        <w:rPr>
          <w:rFonts w:hint="eastAsia" w:ascii="微软雅黑" w:hAnsi="微软雅黑" w:eastAsia="微软雅黑" w:cs="LPJNJT+Arial Unicode MS"/>
          <w:sz w:val="24"/>
          <w:szCs w:val="24"/>
          <w:lang w:eastAsia="zh-CN"/>
        </w:rPr>
        <w:t>评估化疗的敏感性或毒副作用，为化疗方案的制订提供参考。</w:t>
      </w:r>
      <w:bookmarkEnd w:id="56"/>
    </w:p>
    <w:p>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5769"/>
      <w:bookmarkEnd w:id="57"/>
      <w:bookmarkStart w:id="58" w:name="_Toc30794"/>
      <w:bookmarkEnd w:id="58"/>
      <w:bookmarkStart w:id="59" w:name="_Toc7901"/>
      <w:bookmarkEnd w:id="59"/>
      <w:bookmarkStart w:id="60" w:name="_Toc20306"/>
      <w:bookmarkEnd w:id="60"/>
      <w:bookmarkStart w:id="61" w:name="_Toc3810"/>
      <w:bookmarkEnd w:id="61"/>
      <w:bookmarkStart w:id="62" w:name="_Toc8199"/>
      <w:bookmarkEnd w:id="62"/>
      <w:bookmarkStart w:id="63" w:name="_Toc23594"/>
      <w:bookmarkStart w:id="64" w:name="_Toc4168"/>
      <w:bookmarkStart w:id="65" w:name="_Toc28223"/>
      <w:bookmarkStart w:id="66" w:name="_Toc30443"/>
      <w:bookmarkStart w:id="67" w:name="_Toc1330"/>
      <w:bookmarkStart w:id="68" w:name="_Toc25481"/>
      <w:bookmarkStart w:id="69" w:name="_Toc10524"/>
      <w:bookmarkStart w:id="70" w:name="_Toc21519"/>
      <w:bookmarkStart w:id="71" w:name="_Toc30145"/>
      <w:bookmarkStart w:id="72" w:name="_Toc12358"/>
      <w:bookmarkStart w:id="73" w:name="_Toc26768"/>
      <w:bookmarkStart w:id="74" w:name="_Toc6361"/>
      <w:bookmarkStart w:id="75" w:name="_Toc26709"/>
    </w:p>
    <w:p>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pPr>
        <w:adjustRightInd/>
        <w:snapToGrid/>
        <w:spacing w:after="0" w:line="220" w:lineRule="atLeast"/>
        <w:outlineLvl w:val="0"/>
        <w:rPr>
          <w:rFonts w:ascii="微软雅黑" w:hAnsi="微软雅黑"/>
          <w:b/>
          <w:color w:val="00C4D8"/>
          <w:sz w:val="32"/>
          <w:szCs w:val="32"/>
        </w:rPr>
      </w:pPr>
      <w:bookmarkStart w:id="76" w:name="_Toc27165"/>
      <w:bookmarkStart w:id="77" w:name="_Toc14194"/>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1758"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530"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7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{%tr for row in targeted_drug_tips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 row.gene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row.variant_site }}</w:t>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t>{{ row.caution_drugs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pPr>
              <w:adjustRightInd/>
              <w:snapToGrid/>
              <w:spacing w:after="0" w:line="220" w:lineRule="atLeast"/>
              <w:jc w:val="center"/>
              <w:rPr>
                <w:rFonts w:ascii="微软雅黑" w:hAnsi="微软雅黑" w:cs="微软雅黑"/>
                <w:color w:val="0000FF"/>
                <w:kern w:val="2"/>
                <w:sz w:val="18"/>
                <w:szCs w:val="18"/>
                <w:u w:val="single"/>
              </w:rPr>
            </w:pPr>
            <w:r>
              <w:rPr>
                <w:rFonts w:ascii="微软雅黑" w:hAnsi="微软雅黑" w:cs="微软雅黑"/>
                <w:color w:val="0000FF"/>
                <w:kern w:val="2"/>
                <w:sz w:val="18"/>
                <w:szCs w:val="18"/>
                <w:u w:val="single"/>
              </w:rPr>
              <w:t>{%tr endfor %}</w:t>
            </w:r>
          </w:p>
        </w:tc>
        <w:tc>
          <w:tcPr>
            <w:tcW w:w="1758" w:type="dxa"/>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3530" w:type="dxa"/>
            <w:vAlign w:val="center"/>
          </w:tcPr>
          <w:p>
            <w:pPr>
              <w:spacing w:after="0" w:line="240" w:lineRule="atLeast"/>
              <w:jc w:val="center"/>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837" w:type="dxa"/>
            <w:vAlign w:val="center"/>
          </w:tcPr>
          <w:p>
            <w:pPr>
              <w:spacing w:after="0" w:line="240" w:lineRule="atLeast"/>
              <w:jc w:val="center"/>
              <w:rPr>
                <w:rFonts w:ascii="微软雅黑" w:hAnsi="微软雅黑" w:cs="微软雅黑"/>
                <w:bCs/>
                <w:kern w:val="2"/>
                <w:sz w:val="18"/>
                <w:szCs w:val="18"/>
              </w:rPr>
            </w:pPr>
            <w:r>
              <w:rPr>
                <w:rFonts w:hint="eastAsia" w:ascii="微软雅黑" w:hAnsi="微软雅黑"/>
                <w:bCs/>
                <w:kern w:val="2"/>
                <w:sz w:val="18"/>
                <w:szCs w:val="18"/>
              </w:rPr>
            </w:r>
          </w:p>
        </w:tc>
      </w:tr>
    </w:tbl>
    <w:p>
      <w:pPr>
        <w:adjustRightInd/>
        <w:snapToGrid/>
        <w:spacing w:after="260"/>
        <w:jc w:val="both"/>
        <w:rPr>
          <w:rFonts w:ascii="微软雅黑" w:hAnsi="微软雅黑"/>
          <w:sz w:val="18"/>
        </w:rPr>
      </w:pPr>
      <w:r>
        <w:rPr>
          <w:rFonts w:hint="eastAsia" w:ascii="Times New Roman" w:hAnsi="Times New Roman" w:cs="Times New Roman"/>
          <w:kern w:val="2"/>
          <w:sz w:val="18"/>
          <w:szCs w:val="18"/>
        </w:rPr>
        <w:t>*本次共检出体细胞变异：{{ total_variants_count }}个，其中与靶向药物用药相关的变异有：{{ drug_related_count }}个。</w:t>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r>
        <w:rPr>
          <w:rFonts w:hint="eastAsia" w:ascii="微软雅黑" w:hAnsi="微软雅黑" w:cs="微软雅黑"/>
          <w:kern w:val="2"/>
          <w:sz w:val="18"/>
          <w:szCs w:val="18"/>
        </w:rPr>
      </w:r>
    </w:p>
    <w:p>
      <w:pPr>
        <w:adjustRightInd/>
        <w:snapToGrid/>
        <w:spacing w:after="0"/>
        <w:jc w:val="both"/>
        <w:rPr>
          <w:rFonts w:ascii="微软雅黑" w:hAnsi="微软雅黑"/>
          <w:sz w:val="16"/>
          <w:szCs w:val="21"/>
        </w:rPr>
      </w:pPr>
      <w:r>
        <w:rPr>
          <w:rFonts w:hint="eastAsia" w:ascii="微软雅黑" w:hAnsi="微软雅黑"/>
          <w:sz w:val="16"/>
          <w:szCs w:val="21"/>
        </w:rPr>
        <w:t>备注：1. 变异与药物敏感性证据等级依据AMP/ASCO/CAP相关指南，将证据等级分为四个等级：</w:t>
      </w:r>
    </w:p>
    <w:p>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p>
    <w:p>
      <w:pPr>
        <w:jc w:val="both"/>
        <w:rPr>
          <w:rFonts w:ascii="微软雅黑" w:hAnsi="微软雅黑"/>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r>
        <w:rPr>
          <w:rFonts w:hint="eastAsia" w:ascii="微软雅黑" w:hAnsi="微软雅黑"/>
          <w:b/>
          <w:bCs/>
          <w:sz w:val="16"/>
          <w:szCs w:val="21"/>
        </w:rPr>
        <w:t>奥拉帕利[利普卓]</w:t>
      </w:r>
      <w:r>
        <w:rPr>
          <w:rFonts w:hint="eastAsia" w:ascii="微软雅黑" w:hAnsi="微软雅黑"/>
          <w:b/>
          <w:bCs/>
          <w:sz w:val="16"/>
          <w:szCs w:val="21"/>
          <w:lang w:eastAsia="zh-CN"/>
        </w:rPr>
        <w:t>、</w:t>
      </w:r>
      <w:r>
        <w:rPr>
          <w:rFonts w:hint="eastAsia" w:ascii="微软雅黑" w:hAnsi="微软雅黑"/>
          <w:b/>
          <w:bCs/>
          <w:sz w:val="16"/>
          <w:szCs w:val="21"/>
        </w:rPr>
        <w:t>替西罗莫司[TORISEL]、西罗莫司[赛莫司]</w:t>
      </w:r>
      <w:r>
        <w:rPr>
          <w:rFonts w:hint="eastAsia" w:ascii="微软雅黑" w:hAnsi="微软雅黑"/>
          <w:b/>
          <w:bCs/>
          <w:sz w:val="16"/>
          <w:szCs w:val="21"/>
          <w:lang w:eastAsia="zh-CN"/>
        </w:rPr>
        <w:t>、瑞戈非尼[拜万戈]、索拉非尼[多吉美]、</w:t>
      </w:r>
      <w:r>
        <w:rPr>
          <w:rFonts w:hint="eastAsia" w:ascii="微软雅黑" w:hAnsi="微软雅黑"/>
          <w:b/>
          <w:bCs/>
          <w:sz w:val="16"/>
          <w:szCs w:val="21"/>
        </w:rPr>
        <w:t>司美替尼[科赛优]、曲美替尼[迈吉宁]、帕尼单抗[维克替比]、贝美替尼[MEKTOVI]、哌柏西利[爱博新]、奈拉替尼[贺俪安]、西妥昔单抗[爱必妥]、依维莫司[飞尼妥]、褔巴替尼[LYTGOBI]</w:t>
      </w:r>
      <w:r>
        <w:rPr>
          <w:rFonts w:hint="eastAsia" w:ascii="微软雅黑" w:hAnsi="微软雅黑"/>
          <w:b/>
          <w:bCs/>
          <w:sz w:val="16"/>
          <w:szCs w:val="21"/>
          <w:lang w:eastAsia="zh-CN"/>
        </w:rPr>
        <w:t>、</w:t>
      </w:r>
      <w:r>
        <w:rPr>
          <w:rFonts w:hint="eastAsia" w:ascii="微软雅黑" w:hAnsi="微软雅黑"/>
          <w:b/>
          <w:bCs/>
          <w:sz w:val="16"/>
          <w:szCs w:val="21"/>
          <w:lang w:val="en-US" w:eastAsia="zh-CN"/>
        </w:rPr>
        <w:t>考比替尼[</w:t>
      </w:r>
      <w:r>
        <w:rPr>
          <w:rFonts w:hint="eastAsia" w:ascii="微软雅黑" w:hAnsi="微软雅黑"/>
          <w:b/>
          <w:bCs/>
          <w:caps/>
          <w:smallCaps w:val="0"/>
          <w:sz w:val="16"/>
          <w:szCs w:val="21"/>
          <w:lang w:val="en-US" w:eastAsia="zh-CN"/>
        </w:rPr>
        <w:t>Cotellic</w:t>
      </w:r>
      <w:r>
        <w:rPr>
          <w:rFonts w:hint="eastAsia" w:ascii="微软雅黑" w:hAnsi="微软雅黑"/>
          <w:b/>
          <w:bCs/>
          <w:sz w:val="16"/>
          <w:szCs w:val="21"/>
          <w:lang w:val="en-US" w:eastAsia="zh-CN"/>
        </w:rPr>
        <w:t>]、尼拉帕利[则乐]、他拉唑帕利[TALZENNA]、盐酸可泮利塞[奥罗巴]、度伐利尤单抗[英飞凡]、芦卡帕利[RUBRACA]、替雷利珠单抗[百泽安]、帕博利珠单抗[可瑞达]、帕米帕利[百汇泽]</w:t>
      </w:r>
      <w:r>
        <w:rPr>
          <w:rFonts w:hint="eastAsia" w:ascii="微软雅黑" w:hAnsi="微软雅黑"/>
          <w:sz w:val="16"/>
          <w:szCs w:val="21"/>
        </w:rPr>
        <w:t>。</w:t>
      </w:r>
    </w:p>
    <w:p>
      <w:pPr>
        <w:jc w:val="both"/>
        <w:rPr>
          <w:rFonts w:ascii="微软雅黑" w:hAnsi="微软雅黑"/>
          <w:sz w:val="16"/>
          <w:szCs w:val="21"/>
        </w:rPr>
      </w:pPr>
    </w:p>
    <w:p>
      <w:pPr>
        <w:rPr>
          <w:rFonts w:ascii="微软雅黑" w:hAnsi="微软雅黑"/>
          <w:b/>
          <w:color w:val="00C4D8"/>
          <w:sz w:val="28"/>
          <w:szCs w:val="28"/>
        </w:rPr>
      </w:pPr>
      <w:r>
        <w:rPr>
          <w:rFonts w:hint="eastAsia" w:ascii="微软雅黑" w:hAnsi="微软雅黑"/>
          <w:b/>
          <w:color w:val="00C4D8"/>
          <w:sz w:val="28"/>
          <w:szCs w:val="28"/>
        </w:rPr>
        <w:br w:type="page"/>
      </w:r>
    </w:p>
    <w:p>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3219"/>
        <w:gridCol w:w="39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pPr>
              <w:pStyle w:val="53"/>
              <w:numPr>
                <w:ilvl w:val="255"/>
                <w:numId w:val="0"/>
              </w:numPr>
              <w:spacing w:after="0"/>
              <w:jc w:val="center"/>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1" w:type="dxa"/>
            <w:vAlign w:val="center"/>
          </w:tcPr>
          <w:p>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9" w:type="dxa"/>
            <w:vAlign w:val="center"/>
          </w:tcPr>
          <w:p>
            <w:pPr>
              <w:pStyle w:val="55"/>
              <w:spacing w:after="0"/>
              <w:ind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tmb_summary }}</w:t>
            </w:r>
            <w:r>
              <w:rPr>
                <w:rFonts w:hint="eastAsia" w:ascii="微软雅黑" w:hAnsi="微软雅黑" w:cs="微软雅黑"/>
                <w:kern w:val="2"/>
                <w:sz w:val="18"/>
                <w:szCs w:val="18"/>
              </w:rPr>
            </w:r>
            <w:r>
              <w:rPr>
                <w:rFonts w:hint="eastAsia" w:ascii="微软雅黑" w:hAnsi="微软雅黑" w:cs="微软雅黑"/>
                <w:kern w:val="2"/>
                <w:sz w:val="18"/>
                <w:szCs w:val="18"/>
                <w:lang w:val="en-US" w:eastAsia="zh-CN"/>
              </w:rPr>
            </w:r>
          </w:p>
        </w:tc>
        <w:tc>
          <w:tcPr>
            <w:tcW w:w="3971" w:type="dxa"/>
            <w:vAlign w:val="center"/>
          </w:tcPr>
          <w:p>
            <w:pPr>
              <w:pStyle w:val="55"/>
              <w:spacing w:after="0"/>
              <w:ind w:firstLine="0" w:firstLineChars="0"/>
              <w:jc w:val="center"/>
              <w:rPr>
                <w:rFonts w:ascii="微软雅黑" w:hAnsi="微软雅黑"/>
                <w:kern w:val="2"/>
                <w:sz w:val="18"/>
                <w:szCs w:val="18"/>
              </w:rPr>
            </w:pPr>
            <w:r>
              <w:rPr>
                <w:rFonts w:hint="eastAsia" w:ascii="微软雅黑" w:hAnsi="微软雅黑"/>
                <w:kern w:val="2"/>
                <w:sz w:val="18"/>
                <w:szCs w:val="18"/>
              </w:rPr>
              <w:t>{{ immuno_tips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pPr>
              <w:pStyle w:val="53"/>
              <w:spacing w:after="0"/>
              <w:ind w:firstLine="0" w:firstLineChars="0"/>
              <w:jc w:val="center"/>
              <w:rPr>
                <w:rFonts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9" w:type="dxa"/>
            <w:vAlign w:val="center"/>
          </w:tcPr>
          <w:p>
            <w:pPr>
              <w:pStyle w:val="55"/>
              <w:spacing w:after="0"/>
              <w:ind w:firstLine="0" w:firstLineChars="0"/>
              <w:jc w:val="center"/>
              <w:rPr>
                <w:rFonts w:ascii="微软雅黑" w:hAnsi="微软雅黑" w:cs="微软雅黑"/>
                <w:kern w:val="2"/>
                <w:sz w:val="18"/>
                <w:szCs w:val="18"/>
                <w:highlight w:val="yellow"/>
              </w:rPr>
            </w:pPr>
            <w:r>
              <w:rPr>
                <w:rFonts w:hint="eastAsia" w:ascii="微软雅黑" w:hAnsi="微软雅黑" w:cs="微软雅黑"/>
                <w:kern w:val="2"/>
                <w:sz w:val="18"/>
                <w:szCs w:val="18"/>
              </w:rPr>
              <w:t>{{ msi_summary }}</w:t>
            </w:r>
          </w:p>
        </w:tc>
        <w:tc>
          <w:tcPr>
            <w:tcW w:w="3971" w:type="dxa"/>
            <w:vAlign w:val="center"/>
          </w:tcPr>
          <w:p>
            <w:pPr>
              <w:pStyle w:val="55"/>
              <w:spacing w:after="0"/>
              <w:ind w:firstLine="0" w:firstLineChars="0"/>
              <w:jc w:val="center"/>
              <w:rPr>
                <w:rFonts w:ascii="微软雅黑" w:hAnsi="微软雅黑" w:cs="微软雅黑"/>
                <w:kern w:val="2"/>
                <w:sz w:val="18"/>
                <w:szCs w:val="18"/>
                <w:highlight w:val="yellow"/>
                <w:u w:val="single"/>
              </w:rPr>
            </w:pPr>
            <w:r>
              <w:rPr>
                <w:rFonts w:hint="eastAsia" w:ascii="微软雅黑" w:hAnsi="微软雅黑"/>
                <w:kern w:val="2"/>
                <w:sz w:val="18"/>
                <w:szCs w:val="18"/>
              </w:rPr>
              <w:t>{{ msi_tips }}</w:t>
            </w:r>
            <w:r>
              <w:rPr>
                <w:rFonts w:ascii="微软雅黑" w:hAnsi="微软雅黑"/>
                <w:kern w:val="2"/>
                <w:sz w:val="18"/>
                <w:szCs w:val="18"/>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1" w:type="dxa"/>
            <w:vAlign w:val="center"/>
          </w:tcPr>
          <w:p>
            <w:pPr>
              <w:adjustRightInd/>
              <w:snapToGrid/>
              <w:spacing w:after="0" w:line="220" w:lineRule="atLeast"/>
              <w:jc w:val="center"/>
              <w:rPr>
                <w:rFonts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p>
        </w:tc>
        <w:tc>
          <w:tcPr>
            <w:tcW w:w="3219"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 immune_positive_result }}</w:t>
            </w:r>
            <w:r>
              <w:rPr>
                <w:rStyle w:val="23"/>
                <w:rFonts w:hint="eastAsia" w:ascii="微软雅黑" w:hAnsi="微软雅黑" w:cs="微软雅黑"/>
                <w:bCs/>
                <w:color w:val="auto"/>
                <w:kern w:val="2"/>
                <w:sz w:val="18"/>
                <w:szCs w:val="18"/>
                <w:u w:val="none"/>
                <w:lang w:val="en-US" w:eastAsia="zh-CN" w:bidi="ar"/>
              </w:rPr>
            </w:r>
            <w:r>
              <w:rPr>
                <w:rStyle w:val="23"/>
                <w:rFonts w:hint="eastAsia" w:ascii="微软雅黑" w:hAnsi="微软雅黑" w:cs="微软雅黑"/>
                <w:bCs/>
                <w:color w:val="auto"/>
                <w:kern w:val="2"/>
                <w:sz w:val="18"/>
                <w:szCs w:val="18"/>
                <w:u w:val="none"/>
                <w:lang w:bidi="ar"/>
              </w:rPr>
            </w:r>
          </w:p>
        </w:tc>
        <w:tc>
          <w:tcPr>
            <w:tcW w:w="3971" w:type="dxa"/>
            <w:vAlign w:val="center"/>
          </w:tcPr>
          <w:p>
            <w:pPr>
              <w:adjustRightInd/>
              <w:snapToGrid/>
              <w:spacing w:after="0" w:line="220" w:lineRule="atLeast"/>
              <w:jc w:val="center"/>
              <w:rPr>
                <w:rFonts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1881"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9" w:type="dxa"/>
            <w:vAlign w:val="center"/>
          </w:tcPr>
          <w:p>
            <w:pPr>
              <w:spacing w:after="0"/>
              <w:jc w:val="center"/>
              <w:rPr>
                <w:rFonts w:ascii="微软雅黑" w:hAnsi="微软雅黑" w:cs="微软雅黑"/>
                <w:kern w:val="2"/>
                <w:sz w:val="18"/>
                <w:szCs w:val="18"/>
              </w:rPr>
            </w:pPr>
            <w:r>
              <w:rPr>
                <w:rFonts w:hint="eastAsia" w:ascii="微软雅黑" w:hAnsi="微软雅黑" w:cs="微软雅黑"/>
                <w:kern w:val="2"/>
                <w:sz w:val="18"/>
                <w:szCs w:val="18"/>
              </w:rPr>
              <w:t>{{ immune_negative_result }}</w:t>
            </w:r>
          </w:p>
        </w:tc>
        <w:tc>
          <w:tcPr>
            <w:tcW w:w="3971" w:type="dxa"/>
            <w:vAlign w:val="center"/>
          </w:tcPr>
          <w:p>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881" w:type="dxa"/>
            <w:vAlign w:val="center"/>
          </w:tcPr>
          <w:p>
            <w:pPr>
              <w:adjustRightInd/>
              <w:snapToGrid/>
              <w:spacing w:after="0" w:line="220" w:lineRule="atLeast"/>
              <w:jc w:val="center"/>
              <w:rPr>
                <w:rStyle w:val="23"/>
                <w:rFonts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9" w:type="dxa"/>
            <w:vAlign w:val="center"/>
          </w:tcPr>
          <w:p>
            <w:pPr>
              <w:spacing w:after="0"/>
              <w:jc w:val="center"/>
              <w:rPr>
                <w:rStyle w:val="23"/>
                <w:rFonts w:hint="eastAsia"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 immune_hyperprogression_result }}</w:t>
            </w:r>
            <w:r>
              <w:rPr>
                <w:rStyle w:val="23"/>
                <w:rFonts w:hint="eastAsia" w:ascii="微软雅黑" w:hAnsi="微软雅黑" w:cs="微软雅黑"/>
                <w:bCs/>
                <w:color w:val="auto"/>
                <w:kern w:val="2"/>
                <w:sz w:val="18"/>
                <w:szCs w:val="18"/>
                <w:u w:val="none"/>
                <w:lang w:val="en-US" w:eastAsia="zh-CN" w:bidi="ar"/>
              </w:rPr>
            </w:r>
            <w:r>
              <w:rPr>
                <w:rStyle w:val="23"/>
                <w:rFonts w:hint="eastAsia" w:ascii="微软雅黑" w:hAnsi="微软雅黑" w:cs="微软雅黑"/>
                <w:bCs/>
                <w:color w:val="auto"/>
                <w:kern w:val="2"/>
                <w:sz w:val="18"/>
                <w:szCs w:val="18"/>
                <w:u w:val="none"/>
                <w:lang w:bidi="ar"/>
              </w:rPr>
            </w:r>
          </w:p>
        </w:tc>
        <w:tc>
          <w:tcPr>
            <w:tcW w:w="3971" w:type="dxa"/>
            <w:vAlign w:val="center"/>
          </w:tcPr>
          <w:p>
            <w:pPr>
              <w:adjustRightInd/>
              <w:snapToGrid/>
              <w:spacing w:after="0" w:line="220" w:lineRule="atLeast"/>
              <w:jc w:val="center"/>
              <w:rPr>
                <w:rStyle w:val="23"/>
                <w:rFonts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pPr>
        <w:numPr>
          <w:ilvl w:val="255"/>
          <w:numId w:val="0"/>
        </w:numPr>
        <w:spacing w:after="0"/>
        <w:jc w:val="both"/>
        <w:rPr>
          <w:rFonts w:ascii="微软雅黑" w:hAnsi="微软雅黑"/>
          <w:sz w:val="18"/>
        </w:rPr>
      </w:pPr>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numPr>
          <w:ilvl w:val="0"/>
          <w:numId w:val="1"/>
        </w:numPr>
        <w:spacing w:after="0"/>
        <w:jc w:val="both"/>
        <w:rPr>
          <w:rFonts w:hint="default" w:ascii="微软雅黑" w:hAnsi="微软雅黑" w:eastAsia="微软雅黑"/>
          <w:b w:val="0"/>
          <w:bCs w:val="0"/>
          <w:kern w:val="2"/>
          <w:sz w:val="18"/>
          <w:szCs w:val="22"/>
          <w:lang w:val="en-US" w:eastAsia="zh-CN"/>
        </w:rPr>
      </w:pPr>
      <w:r>
        <w:rPr>
          <w:rFonts w:hint="eastAsia" w:ascii="微软雅黑" w:hAnsi="微软雅黑"/>
          <w:kern w:val="2"/>
          <w:sz w:val="18"/>
        </w:rPr>
        <w:t>#帕博利珠单抗、#纳武利尤单抗、#纳武利尤单抗+伊匹木单抗均已获FDA和/或NMPA批准用于治疗结直肠癌。#多塔利单抗、#恩沃利单抗</w:t>
      </w:r>
      <w:r>
        <w:rPr>
          <w:rFonts w:hint="eastAsia" w:ascii="微软雅黑" w:hAnsi="微软雅黑"/>
          <w:kern w:val="2"/>
          <w:sz w:val="18"/>
          <w:lang w:eastAsia="zh-CN"/>
        </w:rPr>
        <w:t>、#斯鲁利单抗</w:t>
      </w:r>
      <w:r>
        <w:rPr>
          <w:rFonts w:hint="eastAsia" w:ascii="微软雅黑" w:hAnsi="微软雅黑"/>
          <w:kern w:val="2"/>
          <w:sz w:val="18"/>
        </w:rPr>
        <w:t>已获FDA或NMPA批准用于治疗实体瘤患者。</w:t>
      </w:r>
      <w:r>
        <w:rPr>
          <w:rFonts w:hint="eastAsia" w:ascii="微软雅黑" w:hAnsi="微软雅黑"/>
          <w:b w:val="0"/>
          <w:bCs w:val="0"/>
          <w:kern w:val="2"/>
          <w:sz w:val="18"/>
          <w:szCs w:val="22"/>
          <w:lang w:val="en-US" w:eastAsia="zh-CN"/>
        </w:rPr>
        <w:t>并且，FDA已批准帕博利珠单抗用于治疗TMB-H的不可切除或转移性的成人和儿童实体瘤。</w:t>
      </w:r>
    </w:p>
    <w:p>
      <w:pPr>
        <w:numPr>
          <w:ilvl w:val="0"/>
          <w:numId w:val="1"/>
        </w:numPr>
        <w:spacing w:after="0"/>
        <w:jc w:val="both"/>
        <w:rPr>
          <w:rFonts w:hint="default" w:ascii="微软雅黑" w:hAnsi="微软雅黑" w:eastAsia="微软雅黑"/>
          <w:b w:val="0"/>
          <w:bCs w:val="0"/>
          <w:kern w:val="2"/>
          <w:sz w:val="18"/>
          <w:szCs w:val="22"/>
          <w:lang w:val="en-US" w:eastAsia="zh-CN"/>
        </w:rPr>
      </w:pPr>
      <w:r>
        <w:rPr>
          <w:rFonts w:hint="eastAsia" w:ascii="微软雅黑" w:hAnsi="微软雅黑"/>
          <w:sz w:val="18"/>
        </w:rPr>
        <w:t>目前已知的免疫治疗生物标志物包括TMB、MSI、PD-L1表达、免疫疗效正相关/负相关/超进展基因等。值得注意的是，TMB、MSI、PD-L1表达预测生物标志物是相对独立的预测指标，对免疫治疗临床获益率的评估具有独立性，建议您结合临床实际情况选择治疗方案。</w:t>
      </w:r>
    </w:p>
    <w:p>
      <w:pPr>
        <w:spacing w:after="0"/>
        <w:jc w:val="both"/>
        <w:rPr>
          <w:rFonts w:ascii="微软雅黑" w:hAnsi="微软雅黑"/>
          <w:b/>
          <w:bCs/>
          <w:sz w:val="18"/>
        </w:rPr>
      </w:pPr>
      <w:r>
        <w:rPr>
          <w:rFonts w:hint="eastAsia" w:ascii="微软雅黑" w:hAnsi="微软雅黑"/>
          <w:kern w:val="2"/>
          <w:sz w:val="18"/>
          <w:lang w:val="en-US" w:eastAsia="zh-CN"/>
        </w:rPr>
        <w:t>4</w:t>
      </w:r>
      <w:r>
        <w:rPr>
          <w:rFonts w:hint="eastAsia" w:ascii="微软雅黑" w:hAnsi="微软雅黑"/>
          <w:kern w:val="2"/>
          <w:sz w:val="18"/>
        </w:rPr>
        <w:t>. 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rPr>
        <w:t>。</w:t>
      </w:r>
    </w:p>
    <w:p>
      <w:pPr>
        <w:pStyle w:val="29"/>
        <w:keepNext w:val="0"/>
        <w:keepLines w:val="0"/>
        <w:pageBreakBefore w:val="0"/>
        <w:widowControl/>
        <w:numPr>
          <w:ilvl w:val="0"/>
          <w:numId w:val="2"/>
        </w:numPr>
        <w:kinsoku/>
        <w:wordWrap/>
        <w:overflowPunct/>
        <w:topLinePunct w:val="0"/>
        <w:autoSpaceDE/>
        <w:autoSpaceDN/>
        <w:bidi w:val="0"/>
        <w:adjustRightInd/>
        <w:snapToGrid/>
        <w:spacing w:before="200" w:after="100"/>
        <w:ind w:left="420" w:hanging="420" w:firstLineChars="0"/>
        <w:textAlignment w:val="auto"/>
        <w:rPr>
          <w:rFonts w:ascii="微软雅黑" w:hAnsi="微软雅黑" w:cs="微软雅黑"/>
          <w:color w:val="00C4D8"/>
          <w:sz w:val="28"/>
        </w:rPr>
      </w:pPr>
      <w:r>
        <w:rPr>
          <w:rFonts w:ascii="微软雅黑" w:hAnsi="微软雅黑" w:cs="微软雅黑"/>
          <w:b/>
          <w:color w:val="00C4D8"/>
          <w:sz w:val="28"/>
        </w:rPr>
        <w:t>化疗药物用药提示</w:t>
      </w:r>
    </w:p>
    <w:tbl>
      <w:tblPr>
        <w:tblStyle w:val="15"/>
        <w:tblW w:w="8660" w:type="dxa"/>
        <w:jc w:val="center"/>
        <w:tblLayout w:type="autofit"/>
        <w:tblCellMar>
          <w:top w:w="0" w:type="dxa"/>
          <w:left w:w="0" w:type="dxa"/>
          <w:bottom w:w="0" w:type="dxa"/>
          <w:right w:w="0" w:type="dxa"/>
        </w:tblCellMar>
      </w:tblPr>
      <w:tblGrid>
        <w:gridCol w:w="8660"/>
      </w:tblGrid>
      <w:tr>
        <w:tblPrEx>
          <w:tblCellMar>
            <w:top w:w="0" w:type="dxa"/>
            <w:left w:w="0" w:type="dxa"/>
            <w:bottom w:w="0" w:type="dxa"/>
            <w:right w:w="0"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17B8CF"/>
            <w:tcMar>
              <w:top w:w="80" w:type="dxa"/>
              <w:left w:w="40" w:type="dxa"/>
              <w:bottom w:w="80" w:type="dxa"/>
              <w:right w:w="40" w:type="dxa"/>
            </w:tcMar>
            <w:vAlign w:val="center"/>
          </w:tcPr>
          <w:p>
            <w:pPr>
              <w:shd w:val="clear" w:color="auto" w:fill="17B8CF"/>
              <w:spacing w:after="0"/>
            </w:pPr>
            <w:r>
              <w:rPr>
                <w:rFonts w:ascii="微软雅黑" w:hAnsi="微软雅黑" w:cs="微软雅黑"/>
                <w:b/>
                <w:color w:val="FFFFFF"/>
                <w:sz w:val="20"/>
                <w:shd w:val="clear" w:color="auto" w:fill="17B8CF"/>
              </w:rPr>
              <w:t>化疗药物检测结果</w:t>
            </w:r>
          </w:p>
        </w:tc>
      </w:tr>
      <w:tr>
        <w:tblPrEx>
          <w:tblCellMar>
            <w:top w:w="0" w:type="dxa"/>
            <w:left w:w="0" w:type="dxa"/>
            <w:bottom w:w="0" w:type="dxa"/>
            <w:right w:w="0" w:type="dxa"/>
          </w:tblCellMar>
        </w:tblPrEx>
        <w:trPr>
          <w:trHeight w:val="90" w:hRule="atLeast"/>
          <w:jc w:val="center"/>
        </w:trPr>
        <w:tc>
          <w:tcPr>
            <w:tcW w:w="5000" w:type="pct"/>
            <w:tcBorders>
              <w:top w:val="single" w:color="000000" w:sz="4" w:space="0"/>
              <w:left w:val="single" w:color="000000" w:sz="4" w:space="0"/>
              <w:bottom w:val="single" w:color="000000" w:sz="4" w:space="0"/>
              <w:right w:val="single" w:color="000000" w:sz="4" w:space="0"/>
            </w:tcBorders>
            <w:shd w:val="clear" w:color="auto" w:fill="auto"/>
            <w:tcMar>
              <w:top w:w="80" w:type="dxa"/>
              <w:left w:w="40" w:type="dxa"/>
              <w:bottom w:w="80" w:type="dxa"/>
              <w:right w:w="40" w:type="dxa"/>
            </w:tcMar>
            <w:vAlign w:val="center"/>
          </w:tcPr>
          <w:p>
            <w:pPr>
              <w:spacing w:after="0"/>
            </w:pPr>
            <w:r>
              <w:rPr>
                <w:rFonts w:hint="eastAsia"/>
                <w:sz w:val="20"/>
                <w:szCs w:val="20"/>
              </w:rPr>
              <w:t>详情请见报告“第二部分”</w:t>
            </w:r>
          </w:p>
        </w:tc>
      </w:tr>
    </w:tbl>
    <w:p>
      <w:pPr>
        <w:rPr>
          <w:rFonts w:ascii="微软雅黑" w:hAnsi="微软雅黑"/>
          <w:b/>
          <w:color w:val="00C4D8"/>
          <w:sz w:val="32"/>
          <w:szCs w:val="32"/>
        </w:rPr>
      </w:pPr>
      <w:bookmarkStart w:id="79" w:name="_Toc137"/>
      <w:bookmarkStart w:id="80" w:name="_Toc2090"/>
      <w:r>
        <w:rPr>
          <w:rFonts w:hint="eastAsia" w:ascii="微软雅黑" w:hAnsi="微软雅黑"/>
          <w:b/>
          <w:color w:val="00C4D8"/>
          <w:sz w:val="32"/>
          <w:szCs w:val="32"/>
        </w:rPr>
        <w:br w:type="page"/>
      </w:r>
    </w:p>
    <w:p>
      <w:pPr>
        <w:adjustRightInd/>
        <w:snapToGrid/>
        <w:spacing w:after="0" w:line="220" w:lineRule="atLeast"/>
        <w:outlineLvl w:val="0"/>
        <w:rPr>
          <w:rFonts w:ascii="微软雅黑" w:hAnsi="微软雅黑"/>
          <w:b/>
          <w:color w:val="00C4D8"/>
          <w:sz w:val="32"/>
          <w:szCs w:val="32"/>
        </w:rPr>
      </w:pPr>
      <w:bookmarkStart w:id="81" w:name="_Toc24469"/>
      <w:r>
        <w:rPr>
          <w:rFonts w:hint="eastAsia" w:ascii="微软雅黑" w:hAnsi="微软雅黑"/>
          <w:b/>
          <w:color w:val="00C4D8"/>
          <w:sz w:val="32"/>
          <w:szCs w:val="32"/>
        </w:rPr>
        <w:t>2. 靶向药物相关检测结果</w:t>
      </w:r>
      <w:bookmarkEnd w:id="81"/>
    </w:p>
    <w:p>
      <w:pPr>
        <w:adjustRightInd/>
        <w:snapToGrid/>
        <w:spacing w:before="100" w:after="100" w:line="220" w:lineRule="atLeast"/>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bookmarkStart w:id="83" w:name="_Toc25786"/>
            <w:bookmarkStart w:id="84" w:name="_Toc10150"/>
            <w:bookmarkStart w:id="85" w:name="_Toc14241"/>
            <w:bookmarkStart w:id="86" w:name="_Toc26736"/>
            <w:bookmarkStart w:id="87" w:name="_Toc11391"/>
            <w:bookmarkStart w:id="88" w:name="_Toc6770"/>
            <w:bookmarkStart w:id="89" w:name="_Toc8706"/>
            <w:bookmarkStart w:id="90" w:name="_Toc5555"/>
            <w:bookmarkStart w:id="91" w:name="_Toc19180"/>
            <w:bookmarkStart w:id="92" w:name="重要基因变异及潜在靶向药物信息"/>
            <w:bookmarkStart w:id="93" w:name="_Toc23880"/>
            <w:bookmarkStart w:id="94" w:name="_Toc14818"/>
            <w:bookmarkStart w:id="95" w:name="_Toc6644"/>
            <w:bookmarkStart w:id="96" w:name="OLE_LINK3"/>
            <w:bookmarkStart w:id="97" w:name="_Toc26040"/>
            <w:bookmarkStart w:id="98" w:name="_Toc30153"/>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9"/>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for row in variants_2_1 %}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 row.gene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row.transcript }}</w:t>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row.chr }}</w:t>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row.exon }}</w:t>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row.locus }}</w:t>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 row.var_type_cn }}</w:t>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row.af_pct }}</w:t>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row.benefit_drugs }}</w:t>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endfor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bl>
    <w:p>
      <w:pPr>
        <w:adjustRightInd/>
        <w:snapToGrid/>
        <w:spacing w:after="0" w:line="220" w:lineRule="atLeast"/>
        <w:jc w:val="both"/>
        <w:rPr>
          <w:rFonts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97"/>
      <w:bookmarkEnd w:id="98"/>
      <w:r>
        <w:rPr>
          <w:rFonts w:hint="eastAsia" w:ascii="微软雅黑" w:hAnsi="微软雅黑" w:cs="微软雅黑"/>
          <w:color w:val="000000"/>
          <w:sz w:val="20"/>
          <w:szCs w:val="20"/>
        </w:rPr>
        <w:t>上表中“未见突变”基因仅为与本癌种最相关的部分基因，此次所检测的全部基因列表请见附录。</w:t>
      </w:r>
    </w:p>
    <w:p>
      <w:pPr>
        <w:adjustRightInd/>
        <w:snapToGrid/>
        <w:spacing w:after="0" w:line="220" w:lineRule="atLeast"/>
        <w:jc w:val="both"/>
        <w:rPr>
          <w:rFonts w:ascii="微软雅黑" w:hAnsi="微软雅黑" w:cs="微软雅黑"/>
          <w:color w:val="000000"/>
          <w:sz w:val="20"/>
          <w:szCs w:val="20"/>
        </w:rPr>
      </w:pPr>
    </w:p>
    <w:p>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pPr>
        <w:rPr>
          <w:rFonts w:ascii="微软雅黑" w:hAnsi="微软雅黑"/>
          <w:b/>
          <w:color w:val="00C4D8"/>
          <w:sz w:val="28"/>
          <w:szCs w:val="28"/>
        </w:rPr>
      </w:pPr>
      <w:r>
        <w:rPr>
          <w:rFonts w:hint="eastAsia" w:ascii="微软雅黑" w:hAnsi="微软雅黑"/>
          <w:b/>
          <w:color w:val="00C4D8"/>
          <w:sz w:val="28"/>
          <w:szCs w:val="28"/>
        </w:rPr>
        <w:br w:type="page"/>
      </w:r>
    </w:p>
    <w:p>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p>
    <w:p>
      <w:pPr>
        <w:adjustRightInd/>
        <w:snapToGrid/>
        <w:spacing w:after="100" w:line="220" w:lineRule="atLeast"/>
        <w:jc w:val="both"/>
        <w:rPr>
          <w:rFonts w:ascii="微软雅黑" w:hAnsi="微软雅黑"/>
          <w:b/>
          <w:color w:val="00C4D8"/>
          <w:sz w:val="21"/>
          <w:szCs w:val="21"/>
        </w:rPr>
      </w:pPr>
      <w:bookmarkStart w:id="100" w:name="_Toc19562"/>
      <w:bookmarkStart w:id="101" w:name="_Toc27296"/>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pPr>
              <w:adjustRightInd/>
              <w:snapToGrid/>
              <w:spacing w:after="0" w:line="220" w:lineRule="atLeast"/>
              <w:jc w:val="center"/>
              <w:rPr>
                <w:rFonts w:ascii="微软雅黑" w:hAnsi="微软雅黑"/>
                <w:b/>
                <w:color w:val="F9FBFA"/>
                <w:kern w:val="0"/>
              </w:rPr>
            </w:pPr>
            <w:r>
              <w:rPr>
                <w:rFonts w:hint="eastAsia" w:ascii="微软雅黑" w:hAnsi="微软雅黑"/>
                <w:b/>
                <w:color w:val="F9FBFA"/>
                <w:kern w:val="2"/>
                <w:sz w:val="24"/>
                <w:szCs w:val="24"/>
              </w:rPr>
              <w:t>药物适应情况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{%tr for row in chemotherapy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 row.Drug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 row.Gene }}</w:t>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t>{{ row["药物适应情况"] }}</w:t>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t>{%tr endfor %}</w:t>
            </w:r>
          </w:p>
        </w:tc>
        <w:tc>
          <w:tcPr>
            <w:tcW w:w="2539" w:type="dxa"/>
            <w:tcBorders>
              <w:tl2br w:val="nil"/>
              <w:tr2bl w:val="nil"/>
            </w:tcBorders>
            <w:shd w:val="clear" w:color="auto" w:fill="auto"/>
            <w:vAlign w:val="center"/>
          </w:tcPr>
          <w:p>
            <w:pPr>
              <w:spacing w:after="0"/>
              <w:jc w:val="center"/>
              <w:rPr>
                <w:rFonts w:ascii="微软雅黑" w:hAnsi="微软雅黑" w:cs="微软雅黑"/>
                <w:kern w:val="2"/>
                <w:sz w:val="21"/>
                <w:szCs w:val="21"/>
              </w:rPr>
            </w:pPr>
            <w:r>
              <w:rPr>
                <w:rFonts w:hint="eastAsia" w:ascii="微软雅黑" w:hAnsi="微软雅黑" w:cs="微软雅黑"/>
                <w:kern w:val="2"/>
                <w:sz w:val="21"/>
                <w:szCs w:val="21"/>
              </w:rPr>
            </w:r>
          </w:p>
        </w:tc>
        <w:tc>
          <w:tcPr>
            <w:tcW w:w="4383" w:type="dxa"/>
            <w:tcBorders>
              <w:tl2br w:val="nil"/>
              <w:tr2bl w:val="nil"/>
            </w:tcBorders>
            <w:shd w:val="clear" w:color="auto" w:fill="auto"/>
            <w:vAlign w:val="center"/>
          </w:tcPr>
          <w:p>
            <w:pPr>
              <w:spacing w:after="0"/>
              <w:ind w:firstLine="420"/>
              <w:jc w:val="both"/>
              <w:rPr>
                <w:rFonts w:ascii="微软雅黑" w:hAnsi="微软雅黑" w:cs="微软雅黑"/>
                <w:kern w:val="2"/>
                <w:sz w:val="21"/>
                <w:szCs w:val="21"/>
              </w:rPr>
            </w:pP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微软雅黑"/>
                <w:kern w:val="2"/>
                <w:sz w:val="21"/>
                <w:szCs w:val="24"/>
              </w:rPr>
            </w:r>
            <w:r>
              <w:rPr>
                <w:rFonts w:hint="eastAsia" w:ascii="微软雅黑" w:hAnsi="微软雅黑" w:cs="微软雅黑"/>
                <w:kern w:val="2"/>
                <w:sz w:val="21"/>
                <w:szCs w:val="21"/>
              </w:rPr>
            </w:r>
            <w:r>
              <w:rPr>
                <w:rFonts w:hint="eastAsia" w:ascii="微软雅黑" w:hAnsi="微软雅黑" w:cs="Times New Roman"/>
                <w:bCs/>
                <w:kern w:val="2"/>
                <w:sz w:val="21"/>
                <w:szCs w:val="21"/>
              </w:rPr>
            </w:r>
            <w:r>
              <w:rPr>
                <w:rFonts w:hint="eastAsia" w:ascii="微软雅黑" w:hAnsi="微软雅黑" w:cs="微软雅黑"/>
                <w:kern w:val="2"/>
                <w:sz w:val="21"/>
                <w:szCs w:val="21"/>
              </w:rPr>
            </w:r>
          </w:p>
        </w:tc>
      </w:tr>
    </w:tbl>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100"/>
    <w:bookmarkEnd w:id="101"/>
    <w:p>
      <w:pPr>
        <w:adjustRightInd/>
        <w:snapToGrid/>
        <w:spacing w:before="200" w:after="0" w:line="220" w:lineRule="atLeast"/>
        <w:jc w:val="both"/>
        <w:rPr>
          <w:rFonts w:ascii="微软雅黑" w:hAnsi="微软雅黑"/>
          <w:b/>
          <w:color w:val="00C4D8"/>
          <w:sz w:val="28"/>
          <w:szCs w:val="28"/>
        </w:rPr>
      </w:pPr>
      <w:bookmarkStart w:id="102" w:name="_Toc31019"/>
      <w:bookmarkStart w:id="103" w:name="_Toc4246"/>
      <w:bookmarkStart w:id="104" w:name="_Toc19901"/>
      <w:bookmarkStart w:id="105" w:name="_Toc12380"/>
      <w:bookmarkStart w:id="106" w:name="_Toc3639"/>
      <w:bookmarkStart w:id="107" w:name="_Toc25543"/>
      <w:bookmarkStart w:id="108" w:name="_Toc6223"/>
      <w:bookmarkStart w:id="109" w:name="_Toc2116"/>
      <w:bookmarkStart w:id="110" w:name="_Toc15081"/>
      <w:bookmarkStart w:id="111" w:name="_Toc621"/>
      <w:bookmarkStart w:id="112" w:name="_Toc32647"/>
      <w:bookmarkStart w:id="113" w:name="_Toc5868"/>
      <w:bookmarkStart w:id="114" w:name="_Toc26244"/>
      <w:bookmarkStart w:id="115" w:name="_Toc18838"/>
      <w:bookmarkStart w:id="116" w:name="_Toc11221"/>
      <w:bookmarkStart w:id="117" w:name="_Toc32035"/>
      <w:r>
        <w:rPr>
          <w:rFonts w:hint="eastAsia" w:ascii="微软雅黑" w:hAnsi="微软雅黑"/>
          <w:b/>
          <w:color w:val="00C4D8"/>
          <w:sz w:val="28"/>
          <w:szCs w:val="28"/>
        </w:rPr>
        <w:t>2.3</w:t>
      </w:r>
      <w:r>
        <w:rPr>
          <w:rFonts w:ascii="微软雅黑" w:hAnsi="微软雅黑"/>
          <w:b/>
          <w:color w:val="00C4D8"/>
          <w:sz w:val="28"/>
          <w:szCs w:val="28"/>
        </w:rPr>
        <w:t xml:space="preserve"> </w:t>
      </w:r>
      <w:bookmarkStart w:id="118" w:name="推荐临床常规靶向药物相关基因检测结果"/>
      <w:r>
        <w:rPr>
          <w:rFonts w:ascii="微软雅黑" w:hAnsi="微软雅黑"/>
          <w:b/>
          <w:color w:val="00C4D8"/>
          <w:sz w:val="28"/>
          <w:szCs w:val="28"/>
        </w:rPr>
        <w:t>NCCN 推荐临床常规靶向药物相关基因检测结果</w:t>
      </w:r>
      <w:bookmarkEnd w:id="102"/>
      <w:bookmarkEnd w:id="103"/>
      <w:bookmarkEnd w:id="104"/>
      <w:bookmarkEnd w:id="105"/>
      <w:bookmarkEnd w:id="106"/>
      <w:bookmarkEnd w:id="118"/>
      <w:r>
        <w:rPr>
          <w:rFonts w:hint="eastAsia" w:ascii="微软雅黑" w:hAnsi="微软雅黑"/>
          <w:b/>
          <w:color w:val="00C4D8"/>
          <w:sz w:val="28"/>
          <w:szCs w:val="28"/>
        </w:rPr>
        <w:t>（不限于本癌种）</w:t>
      </w:r>
    </w:p>
    <w:bookmarkEnd w:id="107"/>
    <w:bookmarkEnd w:id="108"/>
    <w:bookmarkEnd w:id="109"/>
    <w:bookmarkEnd w:id="110"/>
    <w:bookmarkEnd w:id="111"/>
    <w:bookmarkEnd w:id="112"/>
    <w:bookmarkEnd w:id="113"/>
    <w:bookmarkEnd w:id="114"/>
    <w:bookmarkEnd w:id="115"/>
    <w:bookmarkEnd w:id="116"/>
    <w:bookmarkEnd w:id="117"/>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pPr>
              <w:adjustRightInd/>
              <w:snapToGrid/>
              <w:spacing w:after="0"/>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{%tr for row in nccn_results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row.gene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row.content }}</w:t>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 row.result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t>{%tr endfor %}</w:t>
            </w:r>
          </w:p>
        </w:tc>
        <w:tc>
          <w:tcPr>
            <w:tcW w:w="2277"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c>
          <w:tcPr>
            <w:tcW w:w="4386" w:type="dxa"/>
            <w:vAlign w:val="center"/>
          </w:tcPr>
          <w:p>
            <w:pPr>
              <w:spacing w:after="0"/>
              <w:jc w:val="center"/>
              <w:rPr>
                <w:rFonts w:ascii="微软雅黑" w:hAnsi="微软雅黑"/>
                <w:bCs/>
                <w:kern w:val="2"/>
                <w:sz w:val="20"/>
                <w:szCs w:val="20"/>
              </w:rPr>
            </w:pPr>
            <w:r>
              <w:rPr>
                <w:rFonts w:hint="eastAsia" w:ascii="微软雅黑" w:hAnsi="微软雅黑"/>
                <w:bCs/>
                <w:kern w:val="2"/>
                <w:sz w:val="20"/>
                <w:szCs w:val="20"/>
              </w:rPr>
            </w:r>
          </w:p>
        </w:tc>
      </w:tr>
    </w:tbl>
    <w:p>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pPr>
        <w:adjustRightInd/>
        <w:snapToGrid/>
        <w:spacing w:after="0" w:line="220" w:lineRule="atLeast"/>
        <w:ind w:firstLine="360" w:firstLineChars="200"/>
        <w:rPr>
          <w:rFonts w:ascii="微软雅黑" w:hAnsi="微软雅黑" w:cs="微软雅黑"/>
          <w:color w:val="262626"/>
          <w:sz w:val="18"/>
          <w:szCs w:val="18"/>
        </w:rPr>
      </w:pPr>
    </w:p>
    <w:p>
      <w:pPr>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结肠癌NCCN指南（2022 V1）和直肠癌NCCN指南（2022 V1）</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pPr>
        <w:numPr>
          <w:ilvl w:val="255"/>
          <w:numId w:val="0"/>
        </w:numPr>
        <w:adjustRightInd/>
        <w:snapToGrid/>
        <w:spacing w:after="0" w:line="228" w:lineRule="auto"/>
        <w:jc w:val="both"/>
        <w:rPr>
          <w:rFonts w:ascii="微软雅黑" w:hAnsi="微软雅黑" w:cs="微软雅黑"/>
          <w:color w:val="00C4D8"/>
          <w:sz w:val="21"/>
          <w:szCs w:val="21"/>
        </w:rPr>
      </w:pPr>
    </w:p>
    <w:p>
      <w:pPr>
        <w:rPr>
          <w:rFonts w:ascii="微软雅黑" w:hAnsi="微软雅黑" w:cs="微软雅黑"/>
          <w:sz w:val="21"/>
          <w:szCs w:val="21"/>
        </w:rPr>
      </w:pPr>
      <w:r>
        <w:rPr>
          <w:rFonts w:hint="eastAsia" w:ascii="微软雅黑" w:hAnsi="微软雅黑" w:cs="微软雅黑"/>
          <w:sz w:val="21"/>
          <w:szCs w:val="21"/>
        </w:rPr>
        <w:br w:type="page"/>
      </w:r>
    </w:p>
    <w:p>
      <w:pPr>
        <w:numPr>
          <w:ilvl w:val="255"/>
          <w:numId w:val="0"/>
        </w:numPr>
        <w:adjustRightInd/>
        <w:snapToGrid/>
        <w:spacing w:after="0" w:line="220" w:lineRule="atLeast"/>
        <w:outlineLvl w:val="0"/>
        <w:rPr>
          <w:rFonts w:ascii="微软雅黑" w:hAnsi="微软雅黑"/>
          <w:b/>
          <w:color w:val="00C4D8"/>
          <w:sz w:val="32"/>
          <w:szCs w:val="32"/>
        </w:rPr>
      </w:pPr>
      <w:bookmarkStart w:id="119" w:name="_Toc31097"/>
      <w:bookmarkStart w:id="120" w:name="_Toc28714"/>
      <w:bookmarkStart w:id="121" w:name="_Toc31274"/>
      <w:bookmarkStart w:id="122" w:name="_Toc6327"/>
      <w:bookmarkStart w:id="123" w:name="肿瘤突变负荷（TMB）水平提示"/>
      <w:bookmarkStart w:id="124" w:name="肿瘤突变负荷（TMB）水平提示杨传敏"/>
      <w:bookmarkStart w:id="125" w:name="_Toc28845"/>
      <w:bookmarkStart w:id="126" w:name="_Toc22245"/>
      <w:bookmarkStart w:id="127" w:name="_Toc10173"/>
      <w:bookmarkStart w:id="128" w:name="_Toc21388"/>
      <w:bookmarkStart w:id="129" w:name="_Toc18298"/>
      <w:bookmarkStart w:id="130" w:name="_Toc9198"/>
      <w:bookmarkStart w:id="131" w:name="_Toc29653"/>
      <w:bookmarkStart w:id="132" w:name="_Toc11092"/>
      <w:bookmarkStart w:id="133" w:name="_Toc1459"/>
      <w:bookmarkStart w:id="134" w:name="_Toc5886"/>
      <w:bookmarkStart w:id="135" w:name="_Toc5877"/>
      <w:r>
        <w:rPr>
          <w:rFonts w:hint="eastAsia" w:ascii="微软雅黑" w:hAnsi="微软雅黑"/>
          <w:b/>
          <w:color w:val="00C4D8"/>
          <w:sz w:val="32"/>
          <w:szCs w:val="32"/>
        </w:rPr>
        <w:t>3. 免疫治疗疗效评估</w:t>
      </w:r>
      <w:bookmarkEnd w:id="119"/>
    </w:p>
    <w:p>
      <w:pPr>
        <w:adjustRightInd/>
        <w:snapToGrid/>
        <w:spacing w:before="200" w:line="220" w:lineRule="atLeast"/>
        <w:rPr>
          <w:rFonts w:ascii="微软雅黑" w:hAnsi="微软雅黑"/>
          <w:b/>
          <w:color w:val="00C4D8"/>
          <w:sz w:val="28"/>
          <w:szCs w:val="28"/>
        </w:rPr>
      </w:pPr>
      <w:bookmarkStart w:id="136" w:name="OLE_LINK4"/>
      <w:r>
        <w:rPr>
          <w:rFonts w:hint="eastAsia" w:ascii="微软雅黑" w:hAnsi="微软雅黑"/>
          <w:b/>
          <w:color w:val="00C4D8"/>
          <w:sz w:val="28"/>
          <w:szCs w:val="28"/>
        </w:rPr>
        <w:t>3.1 肿瘤突变负荷（TMB）水平提示</w:t>
      </w:r>
      <w:bookmarkEnd w:id="120"/>
      <w:bookmarkEnd w:id="121"/>
      <w:bookmarkEnd w:id="122"/>
    </w:p>
    <w:bookmarkEnd w:id="123"/>
    <w:bookmarkEnd w:id="124"/>
    <w:bookmarkEnd w:id="136"/>
    <w:p>
      <w:pPr>
        <w:numPr>
          <w:ilvl w:val="255"/>
          <w:numId w:val="0"/>
        </w:numPr>
        <w:spacing w:after="0" w:line="236" w:lineRule="auto"/>
        <w:ind w:firstLine="420" w:firstLineChars="200"/>
        <w:jc w:val="both"/>
        <w:rPr>
          <w:rFonts w:ascii="微软雅黑" w:hAnsi="微软雅黑" w:cs="微软雅黑"/>
          <w:sz w:val="21"/>
          <w:szCs w:val="21"/>
        </w:rPr>
      </w:pPr>
      <w:bookmarkStart w:id="137" w:name="OLE_LINK29"/>
      <w:r>
        <w:rPr>
          <w:rFonts w:hint="eastAsia" w:ascii="微软雅黑" w:hAnsi="微软雅黑" w:cs="Arial Unicode MS"/>
          <w:b/>
          <w:bCs/>
          <w:kern w:val="2"/>
          <w:sz w:val="21"/>
          <w:szCs w:val="21"/>
        </w:rPr>
        <w:t>{{ tmb_detail_sentence }}</w:t>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r>
        <w:rPr>
          <w:rFonts w:hint="eastAsia" w:ascii="微软雅黑" w:hAnsi="微软雅黑" w:cs="微软雅黑"/>
          <w:b/>
          <w:bCs/>
          <w:sz w:val="21"/>
          <w:szCs w:val="21"/>
          <w:lang w:val="en-US" w:eastAsia="zh-CN"/>
        </w:rPr>
      </w:r>
      <w:r>
        <w:rPr>
          <w:rFonts w:hint="eastAsia" w:ascii="微软雅黑" w:hAnsi="微软雅黑" w:cs="微软雅黑"/>
          <w:b/>
          <w:bCs/>
          <w:sz w:val="21"/>
          <w:szCs w:val="21"/>
        </w:rPr>
      </w:r>
      <w:bookmarkEnd w:id="137"/>
    </w:p>
    <w:p>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 tmb_detail_interpretation }}</w:t>
      </w:r>
      <w:r>
        <w:rPr>
          <w:rFonts w:hint="eastAsia" w:ascii="微软雅黑" w:hAnsi="微软雅黑" w:cs="Arial Unicode MS"/>
          <w:kern w:val="2"/>
          <w:sz w:val="21"/>
          <w:szCs w:val="21"/>
        </w:rPr>
      </w:r>
      <w:r>
        <w:rPr>
          <w:rFonts w:hint="eastAsia" w:ascii="微软雅黑" w:hAnsi="微软雅黑" w:cs="Arial Unicode MS"/>
          <w:kern w:val="2"/>
          <w:sz w:val="21"/>
          <w:szCs w:val="21"/>
          <w:vertAlign w:val="superscript"/>
        </w:rPr>
      </w:r>
      <w:r>
        <w:rPr>
          <w:rFonts w:hint="eastAsia" w:ascii="微软雅黑" w:hAnsi="微软雅黑" w:cs="Arial Unicode MS"/>
          <w:kern w:val="2"/>
          <w:sz w:val="21"/>
          <w:szCs w:val="21"/>
        </w:rPr>
      </w:r>
      <w:r>
        <w:rPr>
          <w:rFonts w:hint="eastAsia" w:ascii="微软雅黑" w:hAnsi="微软雅黑" w:cs="微软雅黑"/>
          <w:sz w:val="21"/>
          <w:szCs w:val="21"/>
        </w:rPr>
      </w:r>
      <w:r>
        <w:rPr>
          <w:rFonts w:hint="eastAsia" w:ascii="微软雅黑" w:hAnsi="微软雅黑" w:cs="微软雅黑"/>
          <w:sz w:val="21"/>
          <w:szCs w:val="21"/>
          <w:vertAlign w:val="superscript"/>
        </w:rPr>
      </w:r>
      <w:r>
        <w:rPr>
          <w:rFonts w:hint="eastAsia" w:ascii="微软雅黑" w:hAnsi="微软雅黑" w:cs="微软雅黑"/>
          <w:sz w:val="21"/>
          <w:szCs w:val="21"/>
        </w:rPr>
      </w:r>
    </w:p>
    <w:p>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 tmb_drug_note }}</w:t>
      </w:r>
    </w:p>
    <w:p>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19"/>
                    <a:stretch>
                      <a:fillRect/>
                    </a:stretch>
                  </pic:blipFill>
                  <pic:spPr>
                    <a:xfrm>
                      <a:off x="0" y="0"/>
                      <a:ext cx="5267960" cy="2298065"/>
                    </a:xfrm>
                    <a:prstGeom prst="rect">
                      <a:avLst/>
                    </a:prstGeom>
                    <a:noFill/>
                    <a:ln>
                      <a:noFill/>
                    </a:ln>
                  </pic:spPr>
                </pic:pic>
              </a:graphicData>
            </a:graphic>
          </wp:inline>
        </w:drawing>
      </w:r>
    </w:p>
    <w:p>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pPr>
        <w:adjustRightInd/>
        <w:spacing w:after="0" w:line="220" w:lineRule="atLeast"/>
        <w:ind w:firstLine="400" w:firstLineChars="200"/>
        <w:jc w:val="both"/>
        <w:rPr>
          <w:rFonts w:ascii="微软雅黑" w:hAnsi="微软雅黑" w:cs="微软雅黑"/>
          <w:sz w:val="20"/>
          <w:szCs w:val="20"/>
        </w:rPr>
      </w:pPr>
    </w:p>
    <w:p>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25"/>
    <w:bookmarkEnd w:id="126"/>
    <w:bookmarkEnd w:id="127"/>
    <w:bookmarkEnd w:id="128"/>
    <w:bookmarkEnd w:id="129"/>
    <w:bookmarkEnd w:id="130"/>
    <w:bookmarkEnd w:id="131"/>
    <w:bookmarkEnd w:id="132"/>
    <w:bookmarkEnd w:id="133"/>
    <w:p>
      <w:pPr>
        <w:rPr>
          <w:rFonts w:ascii="微软雅黑" w:hAnsi="微软雅黑"/>
          <w:b/>
          <w:color w:val="00C4D8"/>
          <w:sz w:val="28"/>
          <w:szCs w:val="28"/>
        </w:rPr>
      </w:pPr>
      <w:bookmarkStart w:id="138" w:name="_Toc18750"/>
      <w:bookmarkStart w:id="139" w:name="_Toc27001"/>
      <w:bookmarkStart w:id="140" w:name="_Toc21245"/>
      <w:bookmarkStart w:id="141" w:name="_Toc25168"/>
      <w:bookmarkStart w:id="142" w:name="_Toc9267"/>
      <w:bookmarkStart w:id="143" w:name="_Toc11842"/>
      <w:bookmarkStart w:id="144" w:name="_Toc9573"/>
      <w:bookmarkStart w:id="145" w:name="_Toc11318"/>
      <w:bookmarkStart w:id="146" w:name="_Toc10847"/>
      <w:bookmarkStart w:id="147" w:name="_Toc22528"/>
      <w:bookmarkStart w:id="148" w:name="化疗药物用药提示"/>
      <w:r>
        <w:rPr>
          <w:rFonts w:hint="eastAsia" w:ascii="微软雅黑" w:hAnsi="微软雅黑"/>
          <w:b/>
          <w:color w:val="00C4D8"/>
          <w:sz w:val="28"/>
          <w:szCs w:val="28"/>
        </w:rPr>
        <w:t>3.2微卫星不稳定性（MSI）检测结果</w:t>
      </w:r>
    </w:p>
    <w:p>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 msi_detail_sentence }}</w:t>
      </w:r>
      <w:r>
        <w:rPr>
          <w:rFonts w:hint="eastAsia" w:ascii="微软雅黑" w:hAnsi="微软雅黑" w:cs="LPJNJT+Arial Unicode MS"/>
          <w:b/>
          <w:color w:val="000000"/>
          <w:sz w:val="21"/>
          <w:szCs w:val="21"/>
        </w:rPr>
      </w:r>
      <w:r>
        <w:rPr>
          <w:rFonts w:hint="eastAsia" w:ascii="微软雅黑" w:hAnsi="微软雅黑" w:cs="LPJNJT+Arial Unicode MS"/>
          <w:b/>
          <w:color w:val="000000"/>
          <w:sz w:val="21"/>
          <w:szCs w:val="21"/>
          <w:u w:val="single"/>
        </w:rPr>
      </w:r>
    </w:p>
    <w:p>
      <w:pPr>
        <w:spacing w:after="0" w:line="288" w:lineRule="auto"/>
        <w:rPr>
          <w:rFonts w:ascii="微软雅黑" w:hAnsi="微软雅黑" w:cs="LPJNJT+Arial Unicode MS"/>
          <w:color w:val="000000"/>
          <w:sz w:val="21"/>
          <w:szCs w:val="21"/>
        </w:rPr>
      </w:pPr>
    </w:p>
    <w:p>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after="0" w:line="220" w:lineRule="atLeast"/>
        <w:jc w:val="both"/>
        <w:rPr>
          <w:rFonts w:ascii="微软雅黑" w:hAnsi="微软雅黑" w:cs="LPJNJT+Arial Unicode MS"/>
          <w:color w:val="000000"/>
          <w:sz w:val="21"/>
          <w:szCs w:val="21"/>
        </w:rPr>
      </w:pPr>
    </w:p>
    <w:p>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pPr>
        <w:adjustRightInd/>
        <w:snapToGrid/>
        <w:spacing w:before="200" w:line="220" w:lineRule="atLeast"/>
        <w:jc w:val="both"/>
        <w:rPr>
          <w:rFonts w:ascii="微软雅黑" w:hAnsi="微软雅黑" w:cs="LPJNJT+Arial Unicode MS"/>
          <w:color w:val="000000"/>
          <w:sz w:val="21"/>
          <w:szCs w:val="21"/>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pPr>
        <w:adjustRightInd/>
        <w:snapToGrid/>
        <w:spacing w:after="0" w:line="288" w:lineRule="auto"/>
        <w:jc w:val="both"/>
        <w:rPr>
          <w:rFonts w:ascii="微软雅黑" w:hAnsi="微软雅黑" w:cs="LPJNJT+Arial Unicode MS"/>
          <w:sz w:val="18"/>
          <w:szCs w:val="18"/>
        </w:rPr>
      </w:pPr>
    </w:p>
    <w:p>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p>
    <w:p>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2914"/>
        <w:gridCol w:w="3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36"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14"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bookmarkEnd w:id="149"/>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{%tr for row in immune_positive_results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 row.gene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row.result }}</w:t>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6" w:type="dxa"/>
            <w:vAlign w:val="center"/>
          </w:tcPr>
          <w:p>
            <w:pPr>
              <w:adjustRightInd/>
              <w:snapToGrid/>
              <w:spacing w:after="0"/>
              <w:jc w:val="center"/>
              <w:rPr>
                <w:rFonts w:ascii="微软雅黑" w:hAnsi="微软雅黑" w:cs="微软雅黑"/>
                <w:kern w:val="0"/>
                <w:sz w:val="20"/>
                <w:szCs w:val="20"/>
                <w:lang w:bidi="ar"/>
              </w:rPr>
            </w:pPr>
            <w:bookmarkStart w:id="149" w:name="OLE_LINK30" w:colFirst="1" w:colLast="2"/>
            <w:r>
              <w:rPr>
                <w:rFonts w:hint="eastAsia" w:ascii="微软雅黑" w:hAnsi="微软雅黑" w:cs="微软雅黑"/>
                <w:kern w:val="0"/>
                <w:sz w:val="20"/>
                <w:szCs w:val="20"/>
                <w:lang w:bidi="ar"/>
              </w:rPr>
              <w:t>{%tr endfor %}</w:t>
            </w:r>
          </w:p>
        </w:tc>
        <w:tc>
          <w:tcPr>
            <w:tcW w:w="2914"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033"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bl>
    <w:p>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0"/>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1"/>
                    <a:stretch>
                      <a:fillRect/>
                    </a:stretch>
                  </pic:blipFill>
                  <pic:spPr>
                    <a:xfrm>
                      <a:off x="0" y="0"/>
                      <a:ext cx="3230245" cy="1979930"/>
                    </a:xfrm>
                    <a:prstGeom prst="rect">
                      <a:avLst/>
                    </a:prstGeom>
                    <a:noFill/>
                    <a:ln>
                      <a:noFill/>
                    </a:ln>
                  </pic:spPr>
                </pic:pic>
              </a:graphicData>
            </a:graphic>
          </wp:inline>
        </w:drawing>
      </w:r>
    </w:p>
    <w:p>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{%tr for row in immune_negative_results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row.gene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row.result }}</w:t>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t>{%tr endfor %}</w:t>
            </w:r>
          </w:p>
        </w:tc>
        <w:tc>
          <w:tcPr>
            <w:tcW w:w="2656"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c>
          <w:tcPr>
            <w:tcW w:w="3215" w:type="dxa"/>
            <w:vAlign w:val="center"/>
          </w:tcPr>
          <w:p>
            <w:pPr>
              <w:adjustRightInd/>
              <w:snapToGrid/>
              <w:spacing w:after="0"/>
              <w:jc w:val="center"/>
              <w:rPr>
                <w:rFonts w:ascii="微软雅黑" w:hAnsi="微软雅黑" w:cs="微软雅黑"/>
                <w:kern w:val="0"/>
                <w:sz w:val="20"/>
                <w:szCs w:val="20"/>
                <w:lang w:bidi="ar"/>
              </w:rPr>
            </w:pPr>
            <w:r>
              <w:rPr>
                <w:rFonts w:hint="eastAsia" w:ascii="微软雅黑" w:hAnsi="微软雅黑" w:cs="微软雅黑"/>
                <w:kern w:val="0"/>
                <w:sz w:val="20"/>
                <w:szCs w:val="20"/>
                <w:lang w:bidi="ar"/>
              </w:rPr>
            </w:r>
          </w:p>
        </w:tc>
      </w:tr>
    </w:tbl>
    <w:p>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2"/>
                    <a:stretch>
                      <a:fillRect/>
                    </a:stretch>
                  </pic:blipFill>
                  <pic:spPr>
                    <a:xfrm>
                      <a:off x="0" y="0"/>
                      <a:ext cx="3832225" cy="2641600"/>
                    </a:xfrm>
                    <a:prstGeom prst="rect">
                      <a:avLst/>
                    </a:prstGeom>
                    <a:noFill/>
                    <a:ln>
                      <a:noFill/>
                    </a:ln>
                  </pic:spPr>
                </pic:pic>
              </a:graphicData>
            </a:graphic>
          </wp:inline>
        </w:drawing>
      </w:r>
    </w:p>
    <w:p>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pPr>
              <w:adjustRightInd/>
              <w:snapToGrid/>
              <w:spacing w:after="0" w:line="220" w:lineRule="atLeast"/>
              <w:jc w:val="center"/>
              <w:rPr>
                <w:rFonts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for row in immune_hyperprogression_results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row.gene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row.result }}</w:t>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 row.interpretation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{%tr endfor %}</w:t>
            </w:r>
          </w:p>
        </w:tc>
        <w:tc>
          <w:tcPr>
            <w:tcW w:w="2793"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r>
          </w:p>
        </w:tc>
        <w:tc>
          <w:tcPr>
            <w:tcW w:w="3478" w:type="dxa"/>
            <w:vAlign w:val="center"/>
          </w:tcPr>
          <w:p>
            <w:pPr>
              <w:adjustRightInd/>
              <w:snapToGrid/>
              <w:spacing w:after="0"/>
              <w:jc w:val="center"/>
              <w:rPr>
                <w:rFonts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r>
          </w:p>
        </w:tc>
      </w:tr>
    </w:tbl>
    <w:p>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3"/>
                    <a:stretch>
                      <a:fillRect/>
                    </a:stretch>
                  </pic:blipFill>
                  <pic:spPr>
                    <a:xfrm>
                      <a:off x="0" y="0"/>
                      <a:ext cx="4568190" cy="2336800"/>
                    </a:xfrm>
                    <a:prstGeom prst="rect">
                      <a:avLst/>
                    </a:prstGeom>
                    <a:noFill/>
                    <a:ln>
                      <a:noFill/>
                    </a:ln>
                  </pic:spPr>
                </pic:pic>
              </a:graphicData>
            </a:graphic>
          </wp:inline>
        </w:drawing>
      </w:r>
    </w:p>
    <w:p>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pPr>
        <w:adjustRightInd/>
        <w:snapToGrid/>
        <w:spacing w:after="0" w:line="312" w:lineRule="auto"/>
        <w:jc w:val="both"/>
        <w:rPr>
          <w:rFonts w:ascii="微软雅黑" w:hAnsi="微软雅黑"/>
          <w:b/>
          <w:color w:val="00C4D8"/>
          <w:sz w:val="28"/>
          <w:szCs w:val="28"/>
        </w:rPr>
      </w:pPr>
    </w:p>
    <w:p>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34"/>
    <w:bookmarkEnd w:id="135"/>
    <w:bookmarkEnd w:id="138"/>
    <w:bookmarkEnd w:id="139"/>
    <w:bookmarkEnd w:id="140"/>
    <w:bookmarkEnd w:id="141"/>
    <w:bookmarkEnd w:id="142"/>
    <w:bookmarkEnd w:id="143"/>
    <w:bookmarkEnd w:id="144"/>
    <w:bookmarkEnd w:id="145"/>
    <w:bookmarkEnd w:id="146"/>
    <w:bookmarkEnd w:id="147"/>
    <w:p>
      <w:pPr>
        <w:keepNext w:val="0"/>
        <w:keepLines w:val="0"/>
        <w:widowControl/>
        <w:suppressLineNumbers w:val="0"/>
        <w:adjustRightInd/>
        <w:snapToGrid/>
        <w:spacing w:after="0"/>
        <w:jc w:val="left"/>
        <w:rPr>
          <w:rFonts w:hint="eastAsia" w:ascii="微软雅黑" w:hAnsi="微软雅黑" w:eastAsia="微软雅黑" w:cs="微软雅黑"/>
          <w:color w:val="00C4D8"/>
          <w:kern w:val="0"/>
          <w:sz w:val="27"/>
          <w:szCs w:val="27"/>
          <w:lang w:bidi="ar"/>
        </w:rPr>
      </w:pPr>
      <w:bookmarkStart w:id="150" w:name="_Toc29527"/>
      <w:r>
        <w:rPr>
          <w:rFonts w:hint="eastAsia" w:ascii="微软雅黑" w:hAnsi="微软雅黑"/>
          <w:b/>
          <w:color w:val="00C4D8"/>
          <w:sz w:val="32"/>
          <w:szCs w:val="32"/>
        </w:rPr>
        <w:t xml:space="preserve">4. </w:t>
      </w:r>
      <w:r>
        <w:rPr>
          <w:rFonts w:hint="eastAsia" w:ascii="微软雅黑" w:hAnsi="微软雅黑" w:cs="微软雅黑"/>
          <w:b/>
          <w:color w:val="00C4D8"/>
          <w:sz w:val="32"/>
          <w:szCs w:val="32"/>
        </w:rPr>
        <w:t>临床</w:t>
      </w:r>
      <w:bookmarkEnd w:id="148"/>
      <w:bookmarkStart w:id="151" w:name="_Toc9272"/>
      <w:bookmarkStart w:id="152" w:name="_Toc10733"/>
      <w:bookmarkStart w:id="153" w:name="_Toc5863"/>
      <w:bookmarkStart w:id="154" w:name="_Toc25870"/>
      <w:bookmarkStart w:id="155" w:name="_Toc17788"/>
      <w:bookmarkStart w:id="156" w:name="_Toc28030"/>
      <w:bookmarkStart w:id="157" w:name="_Toc15124"/>
      <w:bookmarkStart w:id="158" w:name="_Toc1157"/>
      <w:bookmarkStart w:id="159" w:name="_Toc12179"/>
      <w:bookmarkStart w:id="160" w:name="_Toc17166"/>
      <w:bookmarkStart w:id="161" w:name="_Toc19754"/>
      <w:r>
        <w:rPr>
          <w:rFonts w:hint="eastAsia" w:ascii="微软雅黑" w:hAnsi="微软雅黑" w:cs="微软雅黑"/>
          <w:b/>
          <w:color w:val="00C4D8"/>
          <w:sz w:val="32"/>
          <w:szCs w:val="32"/>
        </w:rPr>
        <w:t>常用化疗药物评估及</w:t>
      </w:r>
      <w:bookmarkEnd w:id="150"/>
      <w:r>
        <w:rPr>
          <w:rFonts w:hint="eastAsia" w:ascii="微软雅黑" w:hAnsi="微软雅黑" w:cs="微软雅黑"/>
          <w:b/>
          <w:color w:val="00C4D8"/>
          <w:sz w:val="32"/>
          <w:szCs w:val="32"/>
        </w:rPr>
        <w:t>解析</w:t>
      </w:r>
    </w:p>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cisplatin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XPC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rs2228001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相比GG/GT基因型，毒副作用风险可能较低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结果解析：顺铂属细胞周期非特异性药物，具有细胞毒性，可抑制癌细胞的DNA复制过程，有较强的广谱抗癌作用。根据基因检测结果，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提示您在接受顺铂化合物治疗时，药物敏感性可能较高，毒副作用风险可能较低。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carboplatin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结果解析：卡铂为第二代铂类化合物，其生化物征与顺铂相似，但肾毒性、耳毒性、神经毒性尤其是胃肠道反应明显低于DDP，与DDP一样同属细胞周期非特异性药物。根据基因检测结果，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相比non-null/non-null和non-null/null基因型，药物敏感性可能较高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 fluorouracil and 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 xml:space="preserve">结果解析：奥沙利铂为第3代铂类抗癌药，进入体内后转化为有活性的衍生物，与DNA形成链内和链间交联，从而抑制DNA的复制和转录。奥沙利铂属非周期特异性抗肿瘤药。 </w:t>
            </w:r>
            <w:r>
              <w:rPr>
                <w:rFonts w:hint="eastAsia" w:ascii="微软雅黑" w:hAnsi="微软雅黑" w:eastAsia="微软雅黑" w:cs="微软雅黑"/>
                <w:color w:val="0000FF"/>
                <w:kern w:val="0"/>
                <w:sz w:val="18"/>
                <w:szCs w:val="18"/>
                <w:lang w:bidi="ar"/>
              </w:rPr>
              <w:t>提示您在接受奥沙利铂化合物治疗时，药物敏感性可能较高，毒副作用风险可能较低。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platinum compounds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结果解析：铂类化合物主要有第一代的顺铂、第二代的卡铂、奈达铂以及第三代的奥沙利铂、洛铂等。根据基因检测结果，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提示您在接受铂类化合物化合物治疗时，药物敏感性可能较高，毒副作用风险可能较高。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34"/>
        <w:gridCol w:w="32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methotrexate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甲氨蝶呤</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相比GG基因型，药物敏感性可能较低，毒副作用风险可能较高，相比AA基因型，药物敏感性可能较高，毒副作用风险可能较低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rs11045879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相比CC/CT基因型，胃肠道毒性可能较高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MTRR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rs1801394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9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0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结果解析：甲氨蝶呤为抗叶酸类抗肿瘤药，通过对二氢叶酸还原酶的抑制而达到阻碍肿瘤细胞的合成，进而抑制肿瘤细胞的生长与繁殖。根据基因检测结果，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提示您在接受甲氨蝶呤化合物治疗时，药物敏感性可能居中，毒副作用风险可能居中。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21"/>
        <w:gridCol w:w="3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paclitaxel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紫杉醇</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相比其他基因型患者，药物敏感性可能较高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paclitaxel and cisplatin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紫杉醇联合顺铂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TP53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rs1042522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8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CG</w:t>
            </w:r>
            <w:r>
              <w:rPr>
                <w:rFonts w:ascii="宋体" w:hAnsi="宋体" w:eastAsia="宋体" w:cs="宋体"/>
                <w:kern w:val="0"/>
                <w:sz w:val="24"/>
                <w:szCs w:val="24"/>
                <w:lang w:bidi="ar"/>
              </w:rPr>
              <w:t xml:space="preserve"> </w:t>
            </w:r>
          </w:p>
        </w:tc>
        <w:tc>
          <w:tcPr>
            <w:tcW w:w="19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结果解析：紫杉醇药物是从植物中分离得到的抗肿瘤活性成分，具有良好的抗肿瘤活性。根据基因检测结果，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提示您在接受紫杉醇化合物治疗时，药物敏感性可能较高，毒副作用风险可能较低。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FAC</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5-氟尿嘧啶、多柔比星、环磷酰胺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XRCC1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rs25487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相比CT或TT基因型，药物敏感性可能较高，毒副作用风险可能较高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SOD2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rs4880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相比AA基因型，药物敏感性可能较低，相比GG基因型，药物敏感性可能较高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 doxorubicin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环磷酰胺+多柔比星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cyclophosphamide epirubicin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环磷酰胺+表柔比星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环磷酰胺为目前广泛应用的抗癌药物，对恶性淋巴瘤、急性或慢性淋巴细胞白血病、多发性骨髓瘤有较好的疗效，对乳腺癌、睾丸肿瘤、卵巢癌、肺癌、头颈部鳞癌、鼻咽癌、神经母细胞瘤、横纹肌肉瘤及骨肉瘤均有一定的疗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提示您在接受环磷酰胺化合物治疗时，药物敏感性可能居中，毒副作用风险可能居中。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ifosfamide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异环磷酰胺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rs13181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rs1799793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结果解析：异环磷酰胺为目前广泛应用的抗癌药物，适用于睾丸癌、卵巢癌、乳腺癌、肉瘤、恶性淋巴瘤和肺癌等。根据基因检测结果，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提示您在接受异环磷酰胺化合物治疗时，药物敏感性可能较低。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irinotecan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rs8175347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6TA/6TA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 7TA/7TA 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rs4148323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相比GG基因型，毒副作用风险可能较高，相比AA基因型，毒副作用风险可能较低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C8orf34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rs1517114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SEMA3C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rs7779029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结果解析：伊立替康是一种S期特异性的半合成可溶性喜树碱类衍生物，通过抑制拓扑异构酶 Ⅰ，干扰DNA复制和细胞分裂，从而起到抗肿瘤作用。根据基因检测结果，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提示您在接受伊立替康化合物治疗时，毒副作用风险可能较低。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宋体" w:hAnsi="宋体" w:eastAsia="宋体" w:cs="宋体"/>
          <w:kern w:val="0"/>
          <w:sz w:val="16"/>
          <w:szCs w:val="16"/>
          <w:lang w:bidi="ar"/>
        </w:rPr>
      </w:pPr>
      <w:r>
        <w:rPr>
          <w:rFonts w:ascii="宋体" w:hAnsi="宋体" w:eastAsia="宋体" w:cs="宋体"/>
          <w:kern w:val="0"/>
          <w:sz w:val="16"/>
          <w:szCs w:val="16"/>
          <w:lang w:bidi="ar"/>
        </w:rPr>
        <w:t> </w:t>
      </w:r>
    </w:p>
    <w:p>
      <w:pPr>
        <w:keepNext w:val="0"/>
        <w:keepLines w:val="0"/>
        <w:widowControl/>
        <w:suppressLineNumbers w:val="0"/>
        <w:adjustRightInd/>
        <w:snapToGrid/>
        <w:spacing w:after="0"/>
        <w:ind w:firstLine="210" w:firstLineChars="100"/>
        <w:jc w:val="left"/>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t xml:space="preserve">v </w:t>
      </w:r>
      <w:r>
        <w:rPr>
          <w:rFonts w:hint="eastAsia" w:ascii="微软雅黑" w:hAnsi="微软雅黑" w:eastAsia="微软雅黑" w:cs="微软雅黑"/>
          <w:b/>
          <w:bCs/>
          <w:color w:val="00C4D8"/>
          <w:kern w:val="0"/>
          <w:sz w:val="21"/>
          <w:szCs w:val="21"/>
          <w:lang w:bidi="ar"/>
        </w:rPr>
        <w:t>伊立替康用药剂量参考</w:t>
      </w:r>
      <w:r>
        <w:rPr>
          <w:rFonts w:asciiTheme="minorEastAsia" w:hAnsiTheme="minorEastAsia" w:eastAsiaTheme="minorEastAsia" w:cstheme="minorEastAsia"/>
          <w:kern w:val="0"/>
          <w:sz w:val="24"/>
          <w:szCs w:val="24"/>
          <w:lang w:bidi="ar"/>
        </w:rPr>
        <w:t xml:space="preserve">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UGT1A1基因型为6TA/6TA</w:t>
            </w:r>
            <w:r>
              <w:rPr>
                <w:rFonts w:ascii="宋体" w:hAnsi="宋体" w:eastAsia="宋体" w:cs="宋体"/>
                <w:kern w:val="0"/>
                <w:sz w:val="24"/>
                <w:szCs w:val="24"/>
                <w:lang w:bidi="ar"/>
              </w:rPr>
              <w:t xml:space="preserve"> </w:t>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正常剂量使用</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daunorubicin, etoposide,mitoxantrone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etoposide,platinum compounds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依托泊苷+铂类化合物</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DYNC2H1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rs716274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相比GG或AG基因型，毒副作用风险可能较低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结果解析：依托泊苷是一种细胞周期特异性抗肿瘤药物，作用于DNA拓扑异构酶II，形成药物-酶-DNA稳定的可逆性复合物，阻碍DNA修复。根据基因检测结果，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提示您在接受依托泊苷化合物治疗时，药物敏感性可能较高，毒副作用风险可能较低。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ABVD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结果解析：达卡巴嗪为嘌呤生物合成的前体，能干扰嘌呤的生物合成，进入体内后由肝微粒体去甲基形成单甲基化合物，具有直接细胞毒作用。根据基因检测结果，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提示您在接受达卡巴嗪化合物治疗时，药物敏感性可能较低，毒副作用风险可能较高。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anthracyclines and related substances</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蒽环类：阿霉素、表阿霉素、柔红霉素等</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CBR3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rs1056892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SLC28A3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rs7853758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相比AA或AG基因型，心脏毒性风险可能较高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结果解析：蒽环类药物，包括阿霉素、表阿霉素、柔红霉素等广泛地用于治疗血液系统恶性肿瘤和实体肿瘤，如急性白血病、淋巴瘤、乳腺癌、胃癌、软组织肉瘤和卵巢癌等。根据基因检测结果，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提示您在接受蒽环类化合物治疗时，药物敏感性可能较低，毒副作用风险可能较高。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bleomycin, cisplatin,etoposide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博来霉素+顺铂+依托泊苷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相比AA基因型，呕吐的风险可能较低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ABVD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博来霉素、达卡巴嗪、阿霉素、长春碱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null/null</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相比non-null/non-null基因型，药物敏感性可能较低，毒副作用风险可能较高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结果解析：博来霉素是一种广谱抗肿瘤抗生素，其可选择性地和DNA结合，从而抑制有丝分裂，使DNA双链结构变得不稳定，引起单链断裂，并选择性地抑制DNA合成反应。根据基因检测结果，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提示您在接受博来霉素化合物治疗时，药物敏感性可能较低，毒副作用风险可能居中。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capecitabine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卡培他滨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rs75017182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相比CC或CG基因型，毒副作用风险可能较低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卡培他滨是一种对肿瘤细胞具有选择性活性的口服细胞毒性制剂，其本身无细胞毒性，但可转化为具有细胞毒性的5氟尿嘧啶，其结构通过肿瘤相关性血管因子胸苷磷酸化酶在肿瘤所在部位转化而成，从而最大程度的降低了5-氟尿嘧啶对正常人体细胞的损害。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提示您在接受卡培他滨化合物治疗时，毒副作用风险可能较低。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宋体" w:hAnsi="宋体" w:eastAsia="宋体" w:cs="宋体"/>
          <w:kern w:val="0"/>
          <w:sz w:val="16"/>
          <w:szCs w:val="16"/>
          <w:lang w:bidi="ar"/>
        </w:rPr>
      </w:pPr>
      <w:r>
        <w:rPr>
          <w:rFonts w:ascii="宋体" w:hAnsi="宋体" w:eastAsia="宋体" w:cs="宋体"/>
          <w:kern w:val="0"/>
          <w:sz w:val="16"/>
          <w:szCs w:val="16"/>
          <w:lang w:bidi="ar"/>
        </w:rPr>
        <w:t> </w:t>
      </w:r>
    </w:p>
    <w:p>
      <w:pPr>
        <w:keepNext w:val="0"/>
        <w:keepLines w:val="0"/>
        <w:widowControl/>
        <w:suppressLineNumbers w:val="0"/>
        <w:adjustRightInd/>
        <w:snapToGrid/>
        <w:spacing w:after="0"/>
        <w:jc w:val="left"/>
        <w:rPr>
          <w:rFonts w:ascii="宋体" w:hAnsi="宋体" w:eastAsia="宋体" w:cs="宋体"/>
          <w:kern w:val="0"/>
          <w:sz w:val="16"/>
          <w:szCs w:val="16"/>
          <w:lang w:bidi="ar"/>
        </w:rPr>
      </w:pPr>
    </w:p>
    <w:p>
      <w:pPr>
        <w:keepNext w:val="0"/>
        <w:keepLines w:val="0"/>
        <w:widowControl/>
        <w:suppressLineNumbers w:val="0"/>
        <w:adjustRightInd/>
        <w:snapToGrid/>
        <w:spacing w:after="0"/>
        <w:jc w:val="left"/>
        <w:rPr>
          <w:rFonts w:ascii="宋体" w:hAnsi="宋体" w:eastAsia="宋体" w:cs="宋体"/>
          <w:kern w:val="0"/>
          <w:sz w:val="16"/>
          <w:szCs w:val="16"/>
          <w:lang w:bidi="ar"/>
        </w:rPr>
      </w:pPr>
    </w:p>
    <w:p>
      <w:pPr>
        <w:keepNext w:val="0"/>
        <w:keepLines w:val="0"/>
        <w:widowControl/>
        <w:suppressLineNumbers w:val="0"/>
        <w:adjustRightInd/>
        <w:snapToGrid/>
        <w:spacing w:after="0"/>
        <w:jc w:val="left"/>
        <w:rPr>
          <w:rFonts w:ascii="宋体" w:hAnsi="宋体" w:eastAsia="宋体" w:cs="宋体"/>
          <w:kern w:val="0"/>
          <w:sz w:val="16"/>
          <w:szCs w:val="16"/>
          <w:lang w:bidi="ar"/>
        </w:rPr>
      </w:pP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FOLFOX</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氟尿嘧啶、亚叶酸钙、奥沙利铂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MTHFR</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rs1801133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oxaliplatin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5-Fu+奥沙利铂</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GSTP1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rs1695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相比GG基因型，药物敏感性可能较高，相比AA基因型，药物敏感性可能较低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NQO1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rs1800566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rs2297595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相比CC/CT基因型，毒副作用风险可能较低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leucovorin,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capecitabine, fluorouracil, Pyrimidine analogues,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氟嘧啶为基础治疗</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结果解析：5-Fu、氟嘧啶类是目前临床上应用最广的抗嘧啶类药物 ，对消化道癌及其它实体瘤有良好疗效， 其在抑制 DNA 合成的同时会调控某些蛋白的表达从而发挥抑癌作用。根据基因检测结果，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提示您在接受5-Fu、氟嘧啶类化合物治疗时，药物敏感性可能居中，毒副作用风险可能较低。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trifluridine/tipiracil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曲氟尿苷盐酸/替吡嘧啶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rs9394992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相比CT或TT基因型，药物敏感性可能较低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rs760370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结果解析：曲氟尿苷盐酸/替吡嘧啶是一种新型抗代谢复方药物，由抗肿瘤核苷类似物FTD（三氟胸苷，trifluridine）和胸苷磷酸化酶抑制剂TPI（tipiracil）组成。根据基因检测结果，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提示您在接受曲氟尿苷盐酸/替吡嘧啶化合物治疗时，药物敏感性可能居中。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temozolomide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替莫唑胺</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结果解析：替莫唑胺为咪唑并四嗪类具有抗肿瘤活性的烷化剂。 替莫唑胺在生理PH条件下经快速非酶催化转变为活性化合物MTIC，MTIC主要通过DNA鸟嘌呤的O6和N2位点上的烷基化（甲基化）发挥细胞毒作用。根据基因检测结果，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提示您在接受替莫唑胺化合物治疗时，药物敏感性可能较高。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gemcitabine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吉西他滨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rs2072671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CDA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rs60369023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RRM1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rs9937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结果解析：吉西他滨为嘧啶类抗肿瘤药物，其主要代谢物在细胞内掺入DNA，主要作用于G1/S期。根据基因检测结果，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提示您在接受吉西他滨化合物治疗时，药物敏感性可能较高，毒副作用风险可能较低。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1007"/>
        <w:gridCol w:w="33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docetaxel</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多西他赛</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rs3212986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相比AA/AC基因型，毒副作用风险可能较高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ERCC1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rs11615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VEGFA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rs13207351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1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结果解析：多西他赛是紫杉醇类抗肿瘤药，通过干扰细胞有丝分裂和分裂间期细胞功能所必需的微管网络而起抗肿瘤作用。根据基因检测结果，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提示您在接受多西他赛化合物治疗时，药物敏感性可能较高，毒副作用风险可能居中。</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pemetrexed</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培美曲塞</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rs1051298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相比GG基因型，药物敏感性可能较低，相比AA基因型，药物敏感性可能较高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GGH</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rs11545078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相比AA基因型，毒副作用风险可能较高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结果解析：培美曲塞是一种结构上含有核心为吡咯嘧啶基团的抗叶酸制剂，通过破坏细胞内叶酸依赖性的正常代谢过程，抑制细胞复制，从而抑制肿瘤的生长。根据基因检测结果，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提示您在接受培美曲塞化合物治疗时，药物敏感性可能居中，毒副作用风险可能较高。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2"/>
        <w:gridCol w:w="575"/>
        <w:gridCol w:w="1012"/>
        <w:gridCol w:w="558"/>
        <w:gridCol w:w="951"/>
        <w:gridCol w:w="2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vinblastine,vincristine,vinorelbine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长春碱、长春新碱、长春瑞滨</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CEP72</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rs924607</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相比TT基因型，周围神经系统疾病风险可能较低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dexamethasone,doxorubicin,vincristine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地塞米松+多柔比星+长春新碱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NA</w:t>
            </w:r>
            <w:r>
              <w:rPr>
                <w:rFonts w:ascii="宋体" w:hAnsi="宋体" w:eastAsia="宋体" w:cs="宋体"/>
                <w:kern w:val="0"/>
                <w:sz w:val="24"/>
                <w:szCs w:val="24"/>
                <w:lang w:bidi="ar"/>
              </w:rPr>
              <w:t xml:space="preserve"> </w:t>
            </w:r>
          </w:p>
        </w:tc>
        <w:tc>
          <w:tcPr>
            <w:tcW w:w="54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45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长春碱类药主要有长春碱（Vinblastine）、长春新碱（Vincristine）、长春瑞滨（Vinorelbine）、长春地辛（Vindesine）等，作用机制相似。通过与微管蛋白结合，阻止微管装配并阻碍纺缍体形成，使细胞分裂停止于M期，是M期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提示您在接受长春碱类化合物治疗时，药物敏感性可能较高，毒副作用风险可能较低。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 cisplatin, fluorouracil,mitoxantrone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米托蒽醌+顺铂+氟尿嘧啶</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GALNT14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rs12613732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相比TT基因型，药物敏感性可能较高；相比GG基因型，药物敏感性可能较低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daunorubicin, etoposide,mitoxantrone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阿糖胞苷+柔红霉素+依托泊苷+米托蒽醌</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SLCO1B1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rs2291075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结果解析：米托蒽醌是一种广谱的抗肿瘤药物，适用于乳腺癌、恶性淋巴瘤、胃肠道肿瘤、白血病、膀胱癌、卵巢癌、原发性肝癌以及多发性骨髓瘤等。根据基因检测结果，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提示您在接受米托蒽醌化合物治疗时，药物敏感性可能较高。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7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9"/>
        <w:gridCol w:w="801"/>
        <w:gridCol w:w="1042"/>
        <w:gridCol w:w="600"/>
        <w:gridCol w:w="2059"/>
        <w:gridCol w:w="26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9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4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8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2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carboplatin, cyclophosphamide, thiotepa</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卡铂+环磷酰胺+三胺硫磷</w:t>
            </w:r>
            <w:r>
              <w:rPr>
                <w:rFonts w:ascii="宋体" w:hAnsi="宋体" w:eastAsia="宋体" w:cs="宋体"/>
                <w:kern w:val="0"/>
                <w:sz w:val="24"/>
                <w:szCs w:val="24"/>
                <w:lang w:bidi="ar"/>
              </w:rPr>
              <w:t xml:space="preserve"> </w:t>
            </w:r>
          </w:p>
        </w:tc>
        <w:tc>
          <w:tcPr>
            <w:tcW w:w="46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ALDH1A1</w:t>
            </w:r>
            <w:r>
              <w:rPr>
                <w:rFonts w:ascii="宋体" w:hAnsi="宋体" w:eastAsia="宋体" w:cs="宋体"/>
                <w:kern w:val="0"/>
                <w:sz w:val="24"/>
                <w:szCs w:val="24"/>
                <w:lang w:bidi="ar"/>
              </w:rPr>
              <w:t xml:space="preserve"> </w:t>
            </w:r>
          </w:p>
        </w:tc>
        <w:tc>
          <w:tcPr>
            <w:tcW w:w="59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rs6151031</w:t>
            </w:r>
            <w:r>
              <w:rPr>
                <w:rFonts w:ascii="宋体" w:hAnsi="宋体" w:eastAsia="宋体" w:cs="宋体"/>
                <w:kern w:val="0"/>
                <w:sz w:val="24"/>
                <w:szCs w:val="24"/>
                <w:lang w:bidi="ar"/>
              </w:rPr>
              <w:t xml:space="preserve"> </w:t>
            </w:r>
          </w:p>
        </w:tc>
        <w:tc>
          <w:tcPr>
            <w:tcW w:w="34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11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CTGGTGAGGAGAGAACC/CTGGTGAGGAGAGAACC</w:t>
            </w:r>
            <w:r>
              <w:rPr>
                <w:rFonts w:ascii="宋体" w:hAnsi="宋体" w:eastAsia="宋体" w:cs="宋体"/>
                <w:kern w:val="0"/>
                <w:sz w:val="24"/>
                <w:szCs w:val="24"/>
                <w:lang w:bidi="ar"/>
              </w:rPr>
              <w:t xml:space="preserve"> </w:t>
            </w:r>
          </w:p>
        </w:tc>
        <w:tc>
          <w:tcPr>
            <w:tcW w:w="15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相比CTGGTGAGGAGAGAACC/del或del/del基因型，毒副作用风险可能较低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结果解析：三胺硫磷是一种广谱的抗肿瘤药物，适用于乳腺癌、卵巢癌、膀胱癌和霍奇金淋巴瘤等。根据基因检测结果，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提示您在接受三胺硫磷化合物治疗时，毒副作用风险可能较低。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6"/>
        <w:gridCol w:w="1057"/>
        <w:gridCol w:w="626"/>
        <w:gridCol w:w="1064"/>
        <w:gridCol w:w="26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1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1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2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bortezomib,melphalan,prednisone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硼替佐米+马法兰+强的松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CTLA4</w:t>
            </w:r>
            <w:r>
              <w:rPr>
                <w:rFonts w:ascii="宋体" w:hAnsi="宋体" w:eastAsia="宋体" w:cs="宋体"/>
                <w:kern w:val="0"/>
                <w:sz w:val="24"/>
                <w:szCs w:val="24"/>
                <w:lang w:bidi="ar"/>
              </w:rPr>
              <w:t xml:space="preserve"> </w:t>
            </w:r>
          </w:p>
        </w:tc>
        <w:tc>
          <w:tcPr>
            <w:tcW w:w="61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rs4553808</w:t>
            </w:r>
            <w:r>
              <w:rPr>
                <w:rFonts w:ascii="宋体" w:hAnsi="宋体" w:eastAsia="宋体" w:cs="宋体"/>
                <w:kern w:val="0"/>
                <w:sz w:val="24"/>
                <w:szCs w:val="24"/>
                <w:lang w:bidi="ar"/>
              </w:rPr>
              <w:t xml:space="preserve"> </w:t>
            </w:r>
          </w:p>
        </w:tc>
        <w:tc>
          <w:tcPr>
            <w:tcW w:w="3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61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520"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结果解析：马法兰是是氮芥类抗肿瘤药，对精原细胞瘤、乳腺癌、卵巢癌、慢性白血病、真性红细胞增多症，恶性淋巴瘤、儿童晚期神经母细胞瘤、甲状腺癌有效。根据基因检测结果，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提示您在接受马法兰化合物治疗时，毒副作用风险可能较低。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替加氟/替吉奥</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rs3918290</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相比CT/TT基因型，毒副作用风险可能较低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rs67376798</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相比AT基因型，毒副作用风险可能较低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DPYD</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rs55886062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1A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相比AC/CC基因型，毒副作用风险可能较低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fluorouracil, leucovorin, tegafur</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5-Fu+亚叶酸钙或替加氟+亚叶酸钙</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UMPS</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rs1801019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相比CC基因型，毒副作用风险可能较低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结果解析：替加氟/替吉奥为氟尿嘧啶的衍生物，在体内经肝脏活化逐渐转变为氟尿嘧啶而起抗肿瘤作用，其干扰、阻断DNA、RNA及蛋白质合成，是抗嘧啶类药物，为细胞周期特异性药物。根据基因检测结果，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提示您在接受替加氟/替吉奥化合物治疗时，毒副作用风险可能较低。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rs1128503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相比AA或AG基因型，药物敏感性可能较低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结果解析：阿糖胞苷是主要作用于细胞S期的嘧啶类抗代谢药物，通过抑制DNA生物合成而干扰细胞的增殖，具有抗肿瘤活性，尤其适用于治疗白血病。根据基因检测结果，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提示您在接受阿糖胞苷化合物治疗时，药物敏感性可能较低，毒副作用风险可能较低。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3"/>
        <w:gridCol w:w="778"/>
        <w:gridCol w:w="1126"/>
        <w:gridCol w:w="693"/>
        <w:gridCol w:w="989"/>
        <w:gridCol w:w="33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4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letrozole/anastrozole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来曲唑/阿那曲唑</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rs2234693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相比TT基因型，肌肉骨骼疼痛风险可能较高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rs9340799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AA</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相比GG基因型，肌肉骨骼疼痛风险可能较高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7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92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结果解析：来曲唑/阿那曲唑是新一代芳香化酶抑制剂，为人工合成的苄三唑类衍生物，来曲唑/阿那曲唑通过抑制芳香化酶，使雌激素水平下降，从而消除雌激素对肿瘤生长的刺激作用。根据基因检测结果，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提示您在接受来曲唑/阿那曲唑化合物治疗时，药物敏感性可能居中/较高，毒副作用风险可能较高。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39"/>
        <w:gridCol w:w="1010"/>
        <w:gridCol w:w="24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DOK5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rs117532069</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相比AG或AA基因型，骨坏死风险可能较低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dexamethasone,doxorubicin,vincristine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地塞米松+多柔比星+长春新碱</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rs2032582</w:t>
            </w:r>
            <w:r>
              <w:rPr>
                <w:rFonts w:ascii="宋体" w:hAnsi="宋体" w:eastAsia="宋体" w:cs="宋体"/>
                <w:kern w:val="0"/>
                <w:sz w:val="24"/>
                <w:szCs w:val="24"/>
                <w:lang w:bidi="ar"/>
              </w:rPr>
              <w:t xml:space="preserve"> </w:t>
            </w:r>
          </w:p>
        </w:tc>
        <w:tc>
          <w:tcPr>
            <w:tcW w:w="31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NA</w:t>
            </w:r>
            <w:r>
              <w:rPr>
                <w:rFonts w:ascii="宋体" w:hAnsi="宋体" w:eastAsia="宋体" w:cs="宋体"/>
                <w:kern w:val="0"/>
                <w:sz w:val="24"/>
                <w:szCs w:val="24"/>
                <w:lang w:bidi="ar"/>
              </w:rPr>
              <w:t xml:space="preserve"> </w:t>
            </w:r>
          </w:p>
        </w:tc>
        <w:tc>
          <w:tcPr>
            <w:tcW w:w="58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TT</w:t>
            </w:r>
            <w:r>
              <w:rPr>
                <w:rFonts w:ascii="宋体" w:hAnsi="宋体" w:eastAsia="宋体" w:cs="宋体"/>
                <w:kern w:val="0"/>
                <w:sz w:val="24"/>
                <w:szCs w:val="24"/>
                <w:lang w:bidi="ar"/>
              </w:rPr>
              <w:t xml:space="preserve"> </w:t>
            </w:r>
          </w:p>
        </w:tc>
        <w:tc>
          <w:tcPr>
            <w:tcW w:w="141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结果解析：地塞米松是一种长效的糖皮质激素，可单独或联合其他化疗药物治疗淋巴增殖性肿瘤，如多发性骨髓瘤、霍奇金淋巴瘤、非霍奇金淋巴瘤和急性淋巴细胞白血病等。根据基因检测结果，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提示您在接受地塞米松化合物治疗时，毒副作用风险可能较低。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prednisone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CXCL12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rs1801157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GATA3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rs3824662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相比CC基因型，药物敏感性可能较低，相比AA基因型，药物敏感性可能较高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CHOP</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利妥昔单抗、环磷酰胺、阿霉素、长春新碱、强的松</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rs2229109</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相比CT基因型，腹泻和呕吐风险可能较低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结果解析：强的松具有抗炎及抗过敏作用，能抑制结缔组织的增生，降低毛细血管壁和细胞膜的通透性，减少炎性渗出，并能抑制组胺及其它毒性物质的形成与释放。根据基因检测结果，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提示您在接受强的松化合物治疗时，药物敏感性可能居中，毒副作用风险可能较低。</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2550"/>
        <w:gridCol w:w="805"/>
        <w:gridCol w:w="982"/>
        <w:gridCol w:w="559"/>
        <w:gridCol w:w="941"/>
        <w:gridCol w:w="282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ESR2</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rs4986938</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相比TT或CT基因型，甘油三酯升高风险可能较高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CYP2D6</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rs3892097</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2A</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相比TT基因型，药物敏感性可能较高，潮热风险可能较高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ABCB1</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rs1045642</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4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46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32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54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162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5000" w:type="pct"/>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他莫昔芬为合成的抗雌激素药物。结构类似雌激素，能与雌二醇竞争雌激素受体，与雌激素受体形成稳定的复合物，并转运入核内，阻止染色体基因开放，从而使癌细胞的生长和发育受到抑制，用于治疗晚期乳腺癌和卵巢癌。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提示您在接受他莫昔芬化合物治疗时，药物敏感性可能较高，毒副作用风险可能较高。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exemestane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ESR1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rs2813543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GG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相比AA基因型，骨密度降低风险可能较高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rs6493497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tamoxifen (with or without anastrozole, exemestane, letrozole）</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他莫昔芬±来曲唑/阿那曲唑/依西美坦</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CYP19A1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rs4646</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2B</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相比AA基因型，绝经前女性药物敏感性可能较低，绝经后女性药物敏感性可能较高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结果解析：依西美坦是一种不可逆的甾体类芳香化酶抑制剂，通过抑制芳香化酶从而阻断患者体内雌激素的生成，适用于以他莫昔芬治疗后病情进展的绝经后晚期乳腺癌患者。根据基因检测结果，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提示您在接受依西美坦化合物治疗时，药物敏感性可能居中/较高，毒副作用风险可能较高。</w:t>
            </w:r>
            <w:r>
              <w:rPr>
                <w:rFonts w:ascii="宋体" w:hAnsi="宋体" w:eastAsia="宋体" w:cs="宋体"/>
                <w:kern w:val="0"/>
                <w:sz w:val="24"/>
                <w:szCs w:val="24"/>
                <w:lang w:bidi="ar"/>
              </w:rPr>
              <w:t xml:space="preserve"> </w:t>
            </w:r>
          </w:p>
        </w:tc>
      </w:tr>
    </w:tbl>
    <w:p>
      <w:pPr>
        <w:keepNext w:val="0"/>
        <w:keepLines w:val="0"/>
        <w:widowControl/>
        <w:suppressLineNumbers w:val="0"/>
        <w:adjustRightInd/>
        <w:snapToGrid/>
        <w:spacing w:after="0"/>
        <w:jc w:val="left"/>
        <w:rPr>
          <w:rFonts w:asciiTheme="minorEastAsia" w:hAnsiTheme="minorEastAsia" w:eastAsiaTheme="minorEastAsia" w:cstheme="minorEastAsia"/>
          <w:kern w:val="0"/>
          <w:sz w:val="16"/>
          <w:szCs w:val="16"/>
          <w:lang w:bidi="ar"/>
        </w:rPr>
      </w:pPr>
      <w:r>
        <w:rPr>
          <w:rFonts w:ascii="宋体" w:hAnsi="宋体" w:eastAsia="宋体" w:cs="宋体"/>
          <w:kern w:val="0"/>
          <w:sz w:val="16"/>
          <w:szCs w:val="16"/>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and idarubicin </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DCK</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rs2306744</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CC</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相比TT基因型，药物敏感性可能较低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NT5C3A</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rs3750117</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AG</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相比GG基因型，药物敏感性可能较高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hint="eastAsia" w:ascii="微软雅黑" w:hAnsi="微软雅黑" w:eastAsia="微软雅黑" w:cs="微软雅黑"/>
                <w:kern w:val="0"/>
                <w:sz w:val="16"/>
                <w:szCs w:val="16"/>
                <w:lang w:eastAsia="zh-CN" w:bidi="ar"/>
              </w:rPr>
            </w:pPr>
            <w:r>
              <w:rPr>
                <w:rFonts w:hint="eastAsia" w:ascii="微软雅黑" w:hAnsi="微软雅黑" w:eastAsia="微软雅黑" w:cs="微软雅黑"/>
                <w:kern w:val="0"/>
                <w:sz w:val="16"/>
                <w:szCs w:val="16"/>
                <w:lang w:bidi="ar"/>
              </w:rPr>
              <w:t>cytarabine, fludarabine, gemtuzumab ozogamicin and idarubicin</w:t>
            </w:r>
          </w:p>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阿糖胞苷+氟达拉滨+吉妥珠单抗+伊达比星</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CYP2E1</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rs2070673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AT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相比TT基因型，中毒性肝病风险可能较低，相比AA基因型，中毒性肝病风险可能较高</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continue"/>
            <w:tcBorders>
              <w:top w:val="dashed" w:color="878787" w:sz="4" w:space="0"/>
              <w:left w:val="nil"/>
              <w:bottom w:val="nil"/>
              <w:right w:val="nil"/>
            </w:tcBorders>
            <w:shd w:val="clear" w:color="auto" w:fill="auto"/>
            <w:tcMar>
              <w:top w:w="30" w:type="dxa"/>
              <w:left w:w="30" w:type="dxa"/>
              <w:bottom w:w="30" w:type="dxa"/>
              <w:right w:w="30" w:type="dxa"/>
            </w:tcMar>
            <w:vAlign w:val="center"/>
          </w:tcPr>
          <w:p>
            <w:pPr>
              <w:adjustRightInd/>
              <w:snapToGrid/>
              <w:spacing w:after="0"/>
              <w:jc w:val="center"/>
              <w:rPr>
                <w:rFonts w:hint="eastAsia" w:ascii="宋体" w:hAnsiTheme="minorEastAsia" w:eastAsiaTheme="minorEastAsia" w:cstheme="minorEastAsia"/>
                <w:kern w:val="0"/>
                <w:sz w:val="24"/>
                <w:szCs w:val="24"/>
                <w:lang w:bidi="ar"/>
              </w:rPr>
            </w:pP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SLC22A12</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rs11231825</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3</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CT</w:t>
            </w:r>
            <w:r>
              <w:rPr>
                <w:rFonts w:ascii="宋体" w:hAnsi="宋体" w:eastAsia="宋体" w:cs="宋体"/>
                <w:kern w:val="0"/>
                <w:sz w:val="24"/>
                <w:szCs w:val="24"/>
                <w:lang w:bidi="ar"/>
              </w:rPr>
              <w:t xml:space="preserve"> </w:t>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相比TT基因型，发热风险可能较低</w:t>
            </w:r>
            <w:r>
              <w:rPr>
                <w:rFonts w:ascii="宋体" w:hAnsi="宋体" w:eastAsia="宋体" w:cs="宋体"/>
                <w:kern w:val="0"/>
                <w:sz w:val="24"/>
                <w:szCs w:val="24"/>
                <w:lang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gridSpan w:val="6"/>
            <w:tcBorders>
              <w:top w:val="dashed" w:color="878787" w:sz="4" w:space="0"/>
              <w:left w:val="nil"/>
              <w:bottom w:val="single" w:color="000000" w:sz="8" w:space="0"/>
              <w:right w:val="nil"/>
            </w:tcBorders>
            <w:shd w:val="clear" w:color="auto" w:fill="D3F0F4"/>
            <w:tcMar>
              <w:top w:w="30" w:type="dxa"/>
              <w:left w:w="30" w:type="dxa"/>
              <w:bottom w:w="30" w:type="dxa"/>
              <w:right w:w="30" w:type="dxa"/>
            </w:tcMar>
            <w:vAlign w:val="center"/>
          </w:tcPr>
          <w:p>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color w:val="404040"/>
                <w:kern w:val="0"/>
                <w:sz w:val="18"/>
                <w:szCs w:val="18"/>
                <w:lang w:bidi="ar"/>
              </w:rPr>
              <w:t>结果解析：伊达比星为蒽环类细胞周期非特异性抗癌药，可抑制DNA合成，干扰RNA聚合酶，抑制拓扑异构酶Ⅱ。根据基因检测结果，</w:t>
            </w:r>
            <w:r>
              <w:rPr>
                <w:rFonts w:ascii="宋体" w:hAnsi="宋体" w:eastAsia="宋体" w:cs="宋体"/>
                <w:kern w:val="0"/>
                <w:sz w:val="24"/>
                <w:szCs w:val="24"/>
                <w:lang w:bidi="ar"/>
              </w:rPr>
              <w:t xml:space="preserve"> </w:t>
            </w:r>
            <w:r>
              <w:rPr>
                <w:rFonts w:hint="eastAsia" w:ascii="微软雅黑" w:hAnsi="微软雅黑" w:eastAsia="微软雅黑" w:cs="微软雅黑"/>
                <w:color w:val="0000FF"/>
                <w:kern w:val="0"/>
                <w:sz w:val="18"/>
                <w:szCs w:val="18"/>
                <w:lang w:bidi="ar"/>
              </w:rPr>
              <w:t>提示您在接受伊达比星化合物治疗时，药物敏感性可能居中，毒副作用风险可能居中。</w:t>
            </w:r>
            <w:r>
              <w:rPr>
                <w:rFonts w:ascii="宋体" w:hAnsi="宋体" w:eastAsia="宋体" w:cs="宋体"/>
                <w:kern w:val="0"/>
                <w:sz w:val="24"/>
                <w:szCs w:val="24"/>
                <w:lang w:bidi="ar"/>
              </w:rPr>
              <w:t xml:space="preserve"> </w:t>
            </w:r>
          </w:p>
        </w:tc>
      </w:tr>
    </w:tbl>
    <w:p>
      <w:pPr>
        <w:ind w:firstLine="360" w:firstLineChars="200"/>
        <w:outlineLvl w:val="0"/>
      </w:pPr>
      <w:r>
        <w:rPr>
          <w:rFonts w:hint="eastAsia" w:ascii="微软雅黑" w:hAnsi="微软雅黑" w:cs="微软雅黑"/>
          <w:sz w:val="18"/>
          <w:lang w:val="en-US" w:eastAsia="zh-CN"/>
        </w:rPr>
        <w:t>*</w:t>
      </w:r>
      <w:r>
        <w:rPr>
          <w:rFonts w:ascii="微软雅黑" w:hAnsi="微软雅黑" w:eastAsia="微软雅黑" w:cs="微软雅黑"/>
          <w:sz w:val="18"/>
        </w:rPr>
        <w:t>"-"未有研究报道或现有研究结论不一致</w:t>
      </w:r>
    </w:p>
    <w:p>
      <w:pPr>
        <w:spacing w:after="0"/>
        <w:rPr>
          <w:rFonts w:ascii="微软雅黑" w:hAnsi="微软雅黑" w:cs="Arial Unicode MS"/>
          <w:b/>
          <w:color w:val="000000"/>
          <w:sz w:val="20"/>
          <w:szCs w:val="20"/>
        </w:rPr>
      </w:pPr>
    </w:p>
    <w:p>
      <w:pPr>
        <w:spacing w:after="0"/>
        <w:rPr>
          <w:rFonts w:hint="eastAsia" w:ascii="微软雅黑" w:hAnsi="微软雅黑" w:eastAsia="微软雅黑" w:cs="Arial Unicode MS"/>
          <w:b/>
          <w:color w:val="000000"/>
          <w:sz w:val="20"/>
          <w:szCs w:val="20"/>
          <w:lang w:eastAsia="zh-CN"/>
        </w:rPr>
      </w:pPr>
      <w:r>
        <w:rPr>
          <w:rFonts w:hint="eastAsia" w:ascii="微软雅黑" w:hAnsi="微软雅黑" w:cs="Arial Unicode MS"/>
          <w:b/>
          <w:color w:val="000000"/>
          <w:sz w:val="20"/>
          <w:szCs w:val="20"/>
        </w:rPr>
        <w:t>说明：</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（1）基因名称均采用 NCBI-Gene 里的官方命名（Official Symbol）；</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（2） rs 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（3）level 的划分：依据 PharmGKB 网站 http://www.pharmgkb.org/page/clinAnnLevels，</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1A：注释基于被医学会认可的指南或经某些重大卫生系统的认可；</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1B：注释基于多项有统计显著的研究；</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2A：注释基于多项重复研究，故药效关系很有可能是有意义的；</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Level 2B：注释基于多项重复研究，但某些研究可能无统计显著性或样本数量少；</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3：注释仅基于 1 项有显著差异的研究（未重复）或多项研究但缺乏明显药效关联性；</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pPr>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NA：无 level 划分</w:t>
      </w:r>
    </w:p>
    <w:p>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（4）基因多态性与化疗药物用药提示的综合解读：</w:t>
      </w:r>
    </w:p>
    <w:p>
      <w:pPr>
        <w:adjustRightInd/>
        <w:snapToGrid/>
        <w:spacing w:after="0"/>
        <w:rPr>
          <w:rFonts w:hint="eastAsia" w:ascii="微软雅黑" w:hAnsi="微软雅黑" w:eastAsia="微软雅黑" w:cs="Arial Unicode MS"/>
          <w:color w:val="000000"/>
          <w:sz w:val="20"/>
          <w:szCs w:val="20"/>
          <w:lang w:eastAsia="zh-CN"/>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p>
    <w:p>
      <w:pPr>
        <w:adjustRightInd/>
        <w:snapToGrid/>
        <w:spacing w:after="0"/>
        <w:rPr>
          <w:rFonts w:ascii="微软雅黑" w:hAnsi="微软雅黑"/>
          <w:b/>
          <w:color w:val="00C4D8"/>
          <w:sz w:val="32"/>
          <w:szCs w:val="32"/>
        </w:rPr>
      </w:pPr>
      <w:r>
        <w:rPr>
          <w:rFonts w:hint="eastAsia" w:ascii="微软雅黑" w:hAnsi="微软雅黑" w:cs="Arial Unicode MS"/>
          <w:b/>
          <w:color w:val="000000"/>
          <w:sz w:val="20"/>
          <w:szCs w:val="20"/>
        </w:rPr>
        <w:t>此处检测结果仅供临床医师参考，不作为直接用药依据，具体临床用药请谨遵医嘱。</w:t>
      </w:r>
      <w:bookmarkEnd w:id="151"/>
      <w:bookmarkEnd w:id="152"/>
      <w:bookmarkEnd w:id="153"/>
      <w:bookmarkEnd w:id="154"/>
      <w:bookmarkEnd w:id="155"/>
      <w:bookmarkEnd w:id="156"/>
      <w:bookmarkEnd w:id="157"/>
      <w:bookmarkEnd w:id="158"/>
      <w:bookmarkEnd w:id="159"/>
      <w:bookmarkEnd w:id="160"/>
      <w:bookmarkEnd w:id="161"/>
    </w:p>
    <w:p>
      <w:pPr>
        <w:rPr>
          <w:rFonts w:ascii="微软雅黑" w:hAnsi="微软雅黑"/>
          <w:b/>
          <w:color w:val="00C4D8"/>
          <w:sz w:val="32"/>
          <w:szCs w:val="32"/>
        </w:rPr>
      </w:pPr>
      <w:bookmarkStart w:id="162" w:name="_Toc6736"/>
      <w:bookmarkStart w:id="163" w:name="_Toc16388"/>
      <w:bookmarkStart w:id="164" w:name="_Toc2749"/>
      <w:bookmarkStart w:id="165" w:name="_Toc2916"/>
      <w:bookmarkStart w:id="166" w:name="_Toc24294"/>
      <w:bookmarkStart w:id="167" w:name="_Toc14090"/>
      <w:bookmarkStart w:id="168" w:name="_Toc29075"/>
      <w:bookmarkStart w:id="169" w:name="_Toc3246"/>
      <w:bookmarkStart w:id="170" w:name="_Toc27301"/>
      <w:bookmarkStart w:id="171" w:name="_Toc27819"/>
      <w:bookmarkStart w:id="172" w:name="_Toc7238"/>
      <w:r>
        <w:rPr>
          <w:rFonts w:hint="eastAsia" w:ascii="微软雅黑" w:hAnsi="微软雅黑"/>
          <w:b/>
          <w:color w:val="00C4D8"/>
          <w:sz w:val="32"/>
          <w:szCs w:val="32"/>
        </w:rPr>
        <w:br w:type="page"/>
      </w:r>
    </w:p>
    <w:p>
      <w:pPr>
        <w:numPr>
          <w:ilvl w:val="255"/>
          <w:numId w:val="0"/>
        </w:numPr>
        <w:jc w:val="both"/>
        <w:outlineLvl w:val="0"/>
        <w:rPr>
          <w:rFonts w:ascii="微软雅黑" w:hAnsi="微软雅黑"/>
          <w:b/>
          <w:color w:val="00C4D8"/>
          <w:sz w:val="32"/>
          <w:szCs w:val="32"/>
        </w:rPr>
      </w:pPr>
      <w:bookmarkStart w:id="173" w:name="_Toc29647"/>
      <w:r>
        <w:rPr>
          <w:rFonts w:hint="eastAsia" w:ascii="微软雅黑" w:hAnsi="微软雅黑"/>
          <w:b/>
          <w:color w:val="00C4D8"/>
          <w:sz w:val="32"/>
          <w:szCs w:val="32"/>
        </w:rPr>
        <w:t>5. 检测结果说明</w:t>
      </w:r>
      <w:bookmarkEnd w:id="162"/>
      <w:bookmarkEnd w:id="163"/>
      <w:bookmarkEnd w:id="164"/>
      <w:bookmarkEnd w:id="165"/>
      <w:bookmarkEnd w:id="166"/>
      <w:bookmarkEnd w:id="167"/>
      <w:bookmarkEnd w:id="168"/>
      <w:bookmarkEnd w:id="169"/>
      <w:bookmarkEnd w:id="170"/>
      <w:bookmarkEnd w:id="171"/>
      <w:bookmarkEnd w:id="172"/>
      <w:bookmarkEnd w:id="173"/>
    </w:p>
    <w:p>
      <w:r>
        <w:t>__PART3_MARKER__</w:t>
      </w:r>
    </w:p>
    <w:p>
      <w:pPr>
        <w:adjustRightInd/>
        <w:snapToGrid/>
        <w:spacing w:line="220" w:lineRule="atLeast"/>
        <w:outlineLvl w:val="0"/>
        <w:rPr>
          <w:rFonts w:ascii="微软雅黑" w:hAnsi="微软雅黑"/>
          <w:b/>
          <w:sz w:val="24"/>
          <w:szCs w:val="24"/>
        </w:rPr>
      </w:pPr>
      <w:bookmarkStart w:id="252" w:name="_Toc3535"/>
      <w:r>
        <w:rPr>
          <w:rFonts w:hint="eastAsia" w:ascii="微软雅黑" w:hAnsi="微软雅黑"/>
          <w:b/>
          <w:sz w:val="24"/>
          <w:szCs w:val="24"/>
        </w:rPr>
        <w:t>3. 阅读说明</w:t>
      </w:r>
      <w:bookmarkEnd w:id="252"/>
    </w:p>
    <w:p>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pPr>
        <w:numPr>
          <w:ilvl w:val="0"/>
          <w:numId w:val="18"/>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pPr>
        <w:numPr>
          <w:ilvl w:val="0"/>
          <w:numId w:val="18"/>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253"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253"/>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254" w:name="OLE_LINK106"/>
      <w:r>
        <w:rPr>
          <w:rFonts w:hint="eastAsia" w:ascii="微软雅黑" w:hAnsi="微软雅黑" w:cs="微软雅黑"/>
          <w:sz w:val="21"/>
          <w:szCs w:val="21"/>
        </w:rPr>
        <w:t>ChiCTR</w:t>
      </w:r>
      <w:bookmarkEnd w:id="254"/>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255" w:name="OLE_LINK107"/>
      <w:r>
        <w:rPr>
          <w:rFonts w:hint="eastAsia" w:ascii="微软雅黑" w:hAnsi="微软雅黑" w:cs="微软雅黑"/>
          <w:sz w:val="21"/>
          <w:szCs w:val="21"/>
        </w:rPr>
        <w:t>国内临床试验网站：http://www.chinadrugtrials.org.cn</w:t>
      </w:r>
      <w:bookmarkStart w:id="256" w:name="OLE_LINK104"/>
      <w:r>
        <w:rPr>
          <w:rFonts w:hint="eastAsia" w:ascii="微软雅黑" w:hAnsi="微软雅黑" w:cs="微软雅黑"/>
          <w:sz w:val="21"/>
          <w:szCs w:val="21"/>
        </w:rPr>
        <w:t>、http://www.chictr.org.cn</w:t>
      </w:r>
      <w:bookmarkEnd w:id="255"/>
      <w:bookmarkEnd w:id="256"/>
      <w:r>
        <w:rPr>
          <w:rFonts w:hint="eastAsia" w:ascii="微软雅黑" w:hAnsi="微软雅黑" w:cs="微软雅黑"/>
          <w:sz w:val="21"/>
          <w:szCs w:val="21"/>
        </w:rPr>
        <w:t>。这三个网站的临床试验信息持续更新，患者也可以通过上述网站关注后续更多的参与临床试验机会。</w:t>
      </w:r>
    </w:p>
    <w:p>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pPr>
        <w:pStyle w:val="14"/>
        <w:numPr>
          <w:ilvl w:val="0"/>
          <w:numId w:val="19"/>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pPr>
        <w:numPr>
          <w:ilvl w:val="0"/>
          <w:numId w:val="20"/>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pPr>
        <w:numPr>
          <w:ilvl w:val="0"/>
          <w:numId w:val="20"/>
        </w:numPr>
        <w:adjustRightInd/>
        <w:snapToGrid/>
        <w:spacing w:after="0" w:line="264" w:lineRule="auto"/>
        <w:jc w:val="both"/>
        <w:rPr>
          <w:rFonts w:ascii="微软雅黑" w:hAnsi="微软雅黑" w:cs="Arial Unicode MS"/>
          <w:b/>
          <w:bCs/>
          <w:kern w:val="2"/>
          <w:sz w:val="21"/>
          <w:szCs w:val="21"/>
        </w:rPr>
      </w:pPr>
      <w:bookmarkStart w:id="257" w:name="OLE_LINK43"/>
      <w:r>
        <w:rPr>
          <w:rFonts w:hint="eastAsia" w:ascii="微软雅黑" w:hAnsi="微软雅黑" w:cs="Arial Unicode MS"/>
          <w:b/>
          <w:bCs/>
          <w:kern w:val="2"/>
          <w:sz w:val="21"/>
          <w:szCs w:val="21"/>
        </w:rPr>
        <w:t>生殖细胞突变</w:t>
      </w:r>
      <w:bookmarkEnd w:id="257"/>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pPr>
        <w:numPr>
          <w:ilvl w:val="0"/>
          <w:numId w:val="20"/>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pPr>
        <w:numPr>
          <w:ilvl w:val="0"/>
          <w:numId w:val="20"/>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numPr>
                <w:ilvl w:val="255"/>
                <w:numId w:val="0"/>
              </w:numPr>
              <w:adjustRightInd/>
              <w:snapToGrid/>
              <w:spacing w:after="0"/>
              <w:jc w:val="center"/>
              <w:rPr>
                <w:rFonts w:ascii="微软雅黑" w:hAnsi="微软雅黑" w:cs="Arial Unicode MS"/>
                <w:color w:val="000000"/>
                <w:kern w:val="2"/>
                <w:sz w:val="21"/>
                <w:szCs w:val="21"/>
              </w:rPr>
            </w:pPr>
          </w:p>
        </w:tc>
      </w:tr>
    </w:tbl>
    <w:p>
      <w:pPr>
        <w:pStyle w:val="29"/>
        <w:adjustRightInd/>
        <w:snapToGrid/>
        <w:spacing w:after="300" w:line="220" w:lineRule="atLeast"/>
        <w:ind w:firstLine="0" w:firstLineChars="0"/>
        <w:jc w:val="center"/>
        <w:rPr>
          <w:rFonts w:ascii="微软雅黑" w:hAnsi="微软雅黑"/>
          <w:b/>
          <w:sz w:val="36"/>
          <w:szCs w:val="36"/>
        </w:rPr>
      </w:pPr>
    </w:p>
    <w:p>
      <w:pPr>
        <w:pStyle w:val="29"/>
        <w:adjustRightInd/>
        <w:snapToGrid/>
        <w:spacing w:after="300" w:line="220" w:lineRule="atLeast"/>
        <w:ind w:firstLine="0" w:firstLineChars="0"/>
        <w:jc w:val="center"/>
        <w:rPr>
          <w:rFonts w:ascii="微软雅黑" w:hAnsi="微软雅黑"/>
          <w:b/>
          <w:sz w:val="36"/>
          <w:szCs w:val="36"/>
        </w:rPr>
      </w:pPr>
    </w:p>
    <w:p>
      <w:pPr>
        <w:pStyle w:val="29"/>
        <w:adjustRightInd/>
        <w:snapToGrid/>
        <w:spacing w:after="300" w:line="220" w:lineRule="atLeast"/>
        <w:ind w:firstLine="0" w:firstLineChars="0"/>
        <w:jc w:val="center"/>
        <w:outlineLvl w:val="0"/>
        <w:rPr>
          <w:rFonts w:ascii="微软雅黑" w:hAnsi="微软雅黑"/>
          <w:b/>
          <w:sz w:val="36"/>
          <w:szCs w:val="36"/>
        </w:rPr>
      </w:pPr>
      <w:bookmarkStart w:id="258" w:name="_Toc28254"/>
      <w:r>
        <w:rPr>
          <w:rFonts w:hint="eastAsia" w:ascii="微软雅黑" w:hAnsi="微软雅黑"/>
          <w:b/>
          <w:sz w:val="36"/>
          <w:szCs w:val="36"/>
        </w:rPr>
        <w:t>第四部分：附录</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58"/>
    </w:p>
    <w:p>
      <w:pPr>
        <w:numPr>
          <w:ilvl w:val="0"/>
          <w:numId w:val="21"/>
        </w:numPr>
        <w:spacing w:after="240" w:afterLines="100" w:line="288" w:lineRule="auto"/>
        <w:jc w:val="both"/>
        <w:outlineLvl w:val="0"/>
        <w:rPr>
          <w:rFonts w:ascii="微软雅黑" w:hAnsi="微软雅黑"/>
          <w:b/>
          <w:sz w:val="24"/>
          <w:szCs w:val="24"/>
        </w:rPr>
      </w:pPr>
      <w:bookmarkStart w:id="259" w:name="_Toc6659"/>
      <w:bookmarkStart w:id="260" w:name="_Toc11173"/>
      <w:bookmarkStart w:id="261" w:name="_Toc7531"/>
      <w:bookmarkStart w:id="262" w:name="_Toc30037"/>
      <w:bookmarkStart w:id="263" w:name="_Toc15057"/>
      <w:bookmarkStart w:id="264" w:name="_Toc7887"/>
      <w:bookmarkStart w:id="265" w:name="_Toc2981"/>
      <w:bookmarkStart w:id="266" w:name="_Toc6795"/>
      <w:bookmarkStart w:id="267" w:name="_Toc3318"/>
      <w:bookmarkStart w:id="268" w:name="_Toc8652"/>
      <w:bookmarkStart w:id="269" w:name="_Toc4199"/>
      <w:bookmarkStart w:id="270" w:name="_Toc28988"/>
      <w:r>
        <w:rPr>
          <w:rFonts w:hint="eastAsia" w:ascii="微软雅黑" w:hAnsi="微软雅黑"/>
          <w:b/>
          <w:sz w:val="24"/>
          <w:szCs w:val="24"/>
        </w:rPr>
        <w:t>常见问题解答</w:t>
      </w:r>
      <w:bookmarkEnd w:id="259"/>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numPr>
                <w:ilvl w:val="0"/>
                <w:numId w:val="22"/>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pPr>
              <w:numPr>
                <w:ilvl w:val="0"/>
                <w:numId w:val="22"/>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pPr>
              <w:numPr>
                <w:ilvl w:val="0"/>
                <w:numId w:val="22"/>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pPr>
              <w:numPr>
                <w:ilvl w:val="0"/>
                <w:numId w:val="22"/>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pPr>
        <w:spacing w:after="0" w:line="240" w:lineRule="atLeast"/>
        <w:jc w:val="both"/>
        <w:rPr>
          <w:rFonts w:ascii="微软雅黑" w:hAnsi="微软雅黑" w:cs="微软雅黑"/>
          <w:sz w:val="21"/>
          <w:szCs w:val="21"/>
          <w:shd w:val="clear" w:color="auto" w:fill="FFFFFF"/>
        </w:rPr>
      </w:pPr>
    </w:p>
    <w:p>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numPr>
                <w:ilvl w:val="0"/>
                <w:numId w:val="22"/>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pPr>
              <w:numPr>
                <w:ilvl w:val="0"/>
                <w:numId w:val="22"/>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pPr>
        <w:spacing w:after="0" w:line="140" w:lineRule="atLeast"/>
        <w:jc w:val="both"/>
        <w:rPr>
          <w:rFonts w:ascii="微软雅黑" w:hAnsi="微软雅黑" w:cs="微软雅黑"/>
          <w:sz w:val="21"/>
          <w:szCs w:val="21"/>
          <w:shd w:val="clear" w:color="auto" w:fill="FFFFFF"/>
        </w:rPr>
      </w:pPr>
    </w:p>
    <w:p>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pPr>
        <w:spacing w:line="460" w:lineRule="exact"/>
        <w:ind w:firstLine="420" w:firstLineChars="200"/>
        <w:jc w:val="both"/>
        <w:rPr>
          <w:rFonts w:ascii="微软雅黑" w:hAnsi="微软雅黑" w:cs="微软雅黑"/>
          <w:sz w:val="21"/>
          <w:szCs w:val="21"/>
          <w:shd w:val="clear" w:color="auto" w:fill="FFFFFF"/>
        </w:rPr>
      </w:pPr>
    </w:p>
    <w:p>
      <w:pPr>
        <w:spacing w:line="460" w:lineRule="exact"/>
        <w:ind w:firstLine="420" w:firstLineChars="200"/>
        <w:jc w:val="both"/>
        <w:rPr>
          <w:rFonts w:ascii="微软雅黑" w:hAnsi="微软雅黑" w:cs="微软雅黑"/>
          <w:sz w:val="21"/>
          <w:szCs w:val="21"/>
          <w:shd w:val="clear" w:color="auto" w:fill="FFFFFF"/>
        </w:rPr>
      </w:pPr>
    </w:p>
    <w:p>
      <w:pPr>
        <w:rPr>
          <w:rFonts w:ascii="微软雅黑" w:hAnsi="微软雅黑"/>
          <w:b/>
          <w:sz w:val="24"/>
          <w:szCs w:val="24"/>
        </w:rPr>
      </w:pPr>
      <w:r>
        <w:rPr>
          <w:rFonts w:hint="eastAsia" w:ascii="微软雅黑" w:hAnsi="微软雅黑"/>
          <w:b/>
          <w:sz w:val="24"/>
          <w:szCs w:val="24"/>
        </w:rPr>
        <w:br w:type="page"/>
      </w:r>
    </w:p>
    <w:bookmarkEnd w:id="260"/>
    <w:p>
      <w:pPr>
        <w:spacing w:after="0" w:line="288" w:lineRule="auto"/>
        <w:jc w:val="both"/>
        <w:outlineLvl w:val="0"/>
        <w:rPr>
          <w:rFonts w:ascii="微软雅黑" w:hAnsi="微软雅黑"/>
          <w:b/>
          <w:sz w:val="24"/>
          <w:szCs w:val="24"/>
        </w:rPr>
      </w:pPr>
      <w:bookmarkStart w:id="271" w:name="_Toc9100"/>
      <w:bookmarkStart w:id="272" w:name="_Toc21727"/>
      <w:bookmarkStart w:id="273" w:name="OLE_LINK34"/>
      <w:r>
        <w:rPr>
          <w:rFonts w:hint="eastAsia" w:ascii="微软雅黑" w:hAnsi="微软雅黑"/>
          <w:b/>
          <w:sz w:val="24"/>
          <w:szCs w:val="24"/>
        </w:rPr>
        <w:t>2. 结直肠癌诊疗知识</w:t>
      </w:r>
      <w:bookmarkEnd w:id="271"/>
    </w:p>
    <w:p>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7"/>
                    <a:srcRect l="988"/>
                    <a:stretch>
                      <a:fillRect/>
                    </a:stretch>
                  </pic:blipFill>
                  <pic:spPr>
                    <a:xfrm>
                      <a:off x="0" y="0"/>
                      <a:ext cx="5220335" cy="3353435"/>
                    </a:xfrm>
                    <a:prstGeom prst="rect">
                      <a:avLst/>
                    </a:prstGeom>
                    <a:noFill/>
                    <a:ln>
                      <a:noFill/>
                    </a:ln>
                  </pic:spPr>
                </pic:pic>
              </a:graphicData>
            </a:graphic>
          </wp:inline>
        </w:drawing>
      </w:r>
    </w:p>
    <w:p>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pPr>
        <w:jc w:val="both"/>
        <w:rPr>
          <w:b/>
          <w:bCs/>
        </w:rPr>
      </w:pPr>
      <w:r>
        <w:rPr>
          <w:rFonts w:hint="eastAsia"/>
          <w:b/>
          <w:bCs/>
        </w:rPr>
        <w:t>1、高危患病因素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8"/>
                    <a:srcRect b="2092"/>
                    <a:stretch>
                      <a:fillRect/>
                    </a:stretch>
                  </pic:blipFill>
                  <pic:spPr>
                    <a:xfrm>
                      <a:off x="0" y="0"/>
                      <a:ext cx="5175885" cy="3589020"/>
                    </a:xfrm>
                    <a:prstGeom prst="rect">
                      <a:avLst/>
                    </a:prstGeom>
                    <a:noFill/>
                    <a:ln>
                      <a:noFill/>
                    </a:ln>
                  </pic:spPr>
                </pic:pic>
              </a:graphicData>
            </a:graphic>
          </wp:inline>
        </w:drawing>
      </w:r>
    </w:p>
    <w:p>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74" w:name="OLE_LINK8"/>
      <w:r>
        <w:rPr>
          <w:rFonts w:ascii="微软雅黑" w:hAnsi="微软雅黑" w:cs="微软雅黑"/>
          <w:sz w:val="21"/>
          <w:szCs w:val="21"/>
        </w:rPr>
        <w:t>林奇</w:t>
      </w:r>
      <w:bookmarkEnd w:id="274"/>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pPr>
        <w:jc w:val="both"/>
        <w:rPr>
          <w:b/>
          <w:bCs/>
        </w:rPr>
      </w:pPr>
      <w:r>
        <w:rPr>
          <w:rFonts w:hint="eastAsia"/>
          <w:b/>
          <w:bCs/>
        </w:rPr>
        <w:t>2、致病机理</w:t>
      </w:r>
    </w:p>
    <w:p>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29"/>
                    <a:stretch>
                      <a:fillRect/>
                    </a:stretch>
                  </pic:blipFill>
                  <pic:spPr>
                    <a:xfrm>
                      <a:off x="0" y="0"/>
                      <a:ext cx="5189855" cy="2466340"/>
                    </a:xfrm>
                    <a:prstGeom prst="rect">
                      <a:avLst/>
                    </a:prstGeom>
                    <a:noFill/>
                    <a:ln>
                      <a:noFill/>
                    </a:ln>
                  </pic:spPr>
                </pic:pic>
              </a:graphicData>
            </a:graphic>
          </wp:inline>
        </w:drawing>
      </w:r>
    </w:p>
    <w:p>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0"/>
                    <a:stretch>
                      <a:fillRect/>
                    </a:stretch>
                  </pic:blipFill>
                  <pic:spPr>
                    <a:xfrm>
                      <a:off x="0" y="0"/>
                      <a:ext cx="5024755" cy="2521585"/>
                    </a:xfrm>
                    <a:prstGeom prst="rect">
                      <a:avLst/>
                    </a:prstGeom>
                    <a:noFill/>
                    <a:ln>
                      <a:noFill/>
                    </a:ln>
                  </pic:spPr>
                </pic:pic>
              </a:graphicData>
            </a:graphic>
          </wp:inline>
        </w:drawing>
      </w:r>
    </w:p>
    <w:p>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1" cstate="print"/>
                    <a:stretch>
                      <a:fillRect/>
                    </a:stretch>
                  </pic:blipFill>
                  <pic:spPr>
                    <a:xfrm>
                      <a:off x="0" y="0"/>
                      <a:ext cx="5131435" cy="3287395"/>
                    </a:xfrm>
                    <a:prstGeom prst="rect">
                      <a:avLst/>
                    </a:prstGeom>
                    <a:noFill/>
                    <a:ln w="9525">
                      <a:noFill/>
                    </a:ln>
                  </pic:spPr>
                </pic:pic>
              </a:graphicData>
            </a:graphic>
          </wp:inline>
        </w:drawing>
      </w:r>
    </w:p>
    <w:p>
      <w:pPr>
        <w:ind w:firstLine="400" w:firstLineChars="200"/>
        <w:jc w:val="center"/>
        <w:rPr>
          <w:rFonts w:ascii="微软雅黑" w:hAnsi="微软雅黑" w:cs="微软雅黑"/>
          <w:sz w:val="21"/>
          <w:szCs w:val="21"/>
        </w:rPr>
      </w:pPr>
      <w:bookmarkStart w:id="275" w:name="OLE_LINK10"/>
      <w:r>
        <w:rPr>
          <w:rFonts w:hint="eastAsia" w:ascii="微软雅黑" w:hAnsi="微软雅黑" w:cs="微软雅黑"/>
          <w:sz w:val="20"/>
          <w:szCs w:val="20"/>
        </w:rPr>
        <w:t>图5 结肠直肠癌发病机制相关信号通路</w:t>
      </w:r>
    </w:p>
    <w:bookmarkEnd w:id="275"/>
    <w:p>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pPr>
        <w:jc w:val="both"/>
        <w:rPr>
          <w:b/>
          <w:bCs/>
        </w:rPr>
      </w:pPr>
      <w:r>
        <w:rPr>
          <w:rFonts w:hint="eastAsia"/>
          <w:b/>
          <w:bCs/>
        </w:rPr>
        <w:t>3、诊断、筛查与预防</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pPr>
        <w:jc w:val="both"/>
        <w:rPr>
          <w:b/>
          <w:bCs/>
        </w:rPr>
      </w:pPr>
      <w:r>
        <w:rPr>
          <w:rFonts w:hint="eastAsia"/>
          <w:b/>
          <w:bCs/>
        </w:rPr>
        <w:t>4、治疗方法</w:t>
      </w:r>
    </w:p>
    <w:p>
      <w:pPr>
        <w:jc w:val="both"/>
        <w:rPr>
          <w:rFonts w:ascii="微软雅黑" w:hAnsi="微软雅黑" w:cs="微软雅黑"/>
          <w:b/>
          <w:bCs/>
          <w:sz w:val="21"/>
          <w:szCs w:val="21"/>
        </w:rPr>
      </w:pPr>
      <w:r>
        <w:rPr>
          <w:rFonts w:hint="eastAsia" w:ascii="微软雅黑" w:hAnsi="微软雅黑" w:cs="微软雅黑"/>
          <w:b/>
          <w:bCs/>
          <w:sz w:val="21"/>
          <w:szCs w:val="21"/>
        </w:rPr>
        <w:t>4.1 手术</w:t>
      </w:r>
    </w:p>
    <w:p>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pPr>
        <w:jc w:val="both"/>
        <w:rPr>
          <w:rFonts w:ascii="微软雅黑" w:hAnsi="微软雅黑" w:cs="微软雅黑"/>
          <w:b/>
          <w:bCs/>
          <w:sz w:val="21"/>
          <w:szCs w:val="21"/>
        </w:rPr>
      </w:pPr>
      <w:r>
        <w:rPr>
          <w:rFonts w:hint="eastAsia" w:ascii="微软雅黑" w:hAnsi="微软雅黑" w:cs="微软雅黑"/>
          <w:b/>
          <w:bCs/>
          <w:sz w:val="21"/>
          <w:szCs w:val="21"/>
        </w:rPr>
        <w:t>4.2 辅助治疗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pPr>
        <w:jc w:val="both"/>
        <w:rPr>
          <w:rFonts w:ascii="微软雅黑" w:hAnsi="微软雅黑" w:cs="微软雅黑"/>
          <w:b/>
          <w:bCs/>
          <w:sz w:val="21"/>
          <w:szCs w:val="21"/>
        </w:rPr>
      </w:pPr>
      <w:r>
        <w:rPr>
          <w:rFonts w:hint="eastAsia" w:ascii="微软雅黑" w:hAnsi="微软雅黑" w:cs="微软雅黑"/>
          <w:b/>
          <w:bCs/>
          <w:sz w:val="21"/>
          <w:szCs w:val="21"/>
        </w:rPr>
        <w:t>4.3 化疗</w:t>
      </w:r>
    </w:p>
    <w:p>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2"/>
                    <a:stretch>
                      <a:fillRect/>
                    </a:stretch>
                  </pic:blipFill>
                  <pic:spPr>
                    <a:xfrm>
                      <a:off x="0" y="0"/>
                      <a:ext cx="4368165" cy="3756025"/>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pPr>
        <w:jc w:val="both"/>
        <w:rPr>
          <w:rFonts w:ascii="微软雅黑" w:hAnsi="微软雅黑" w:cs="微软雅黑"/>
          <w:sz w:val="21"/>
          <w:szCs w:val="21"/>
        </w:rPr>
      </w:pPr>
      <w:r>
        <w:rPr>
          <w:rFonts w:hint="eastAsia" w:ascii="微软雅黑" w:hAnsi="微软雅黑" w:cs="微软雅黑"/>
          <w:sz w:val="21"/>
          <w:szCs w:val="21"/>
        </w:rPr>
        <w:t>4.4.1 EGFR单克隆抗体</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pPr>
        <w:jc w:val="both"/>
        <w:rPr>
          <w:rFonts w:ascii="微软雅黑" w:hAnsi="微软雅黑" w:cs="微软雅黑"/>
          <w:sz w:val="21"/>
          <w:szCs w:val="21"/>
        </w:rPr>
      </w:pPr>
      <w:r>
        <w:rPr>
          <w:rFonts w:hint="eastAsia" w:ascii="微软雅黑" w:hAnsi="微软雅黑" w:cs="微软雅黑"/>
          <w:sz w:val="21"/>
          <w:szCs w:val="21"/>
        </w:rPr>
        <w:t>4.4.2抗血管生成抑制剂</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pPr>
        <w:jc w:val="both"/>
        <w:rPr>
          <w:rFonts w:ascii="微软雅黑" w:hAnsi="微软雅黑" w:cs="微软雅黑"/>
          <w:sz w:val="21"/>
          <w:szCs w:val="21"/>
        </w:rPr>
      </w:pPr>
      <w:r>
        <w:rPr>
          <w:rFonts w:hint="eastAsia" w:ascii="微软雅黑" w:hAnsi="微软雅黑" w:cs="微软雅黑"/>
          <w:sz w:val="21"/>
          <w:szCs w:val="21"/>
        </w:rPr>
        <w:t>4.4.3.1 染色体不稳定（CIN）</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pPr>
        <w:jc w:val="both"/>
        <w:rPr>
          <w:rFonts w:ascii="微软雅黑" w:hAnsi="微软雅黑" w:cs="微软雅黑"/>
          <w:sz w:val="21"/>
          <w:szCs w:val="21"/>
        </w:rPr>
      </w:pPr>
      <w:r>
        <w:rPr>
          <w:rFonts w:hint="eastAsia" w:ascii="微软雅黑" w:hAnsi="微软雅黑" w:cs="微软雅黑"/>
          <w:sz w:val="21"/>
          <w:szCs w:val="21"/>
        </w:rPr>
        <w:t>4.4.4 靶向药及相关基因</w:t>
      </w:r>
    </w:p>
    <w:p>
      <w:pPr>
        <w:jc w:val="both"/>
        <w:rPr>
          <w:rFonts w:ascii="微软雅黑" w:hAnsi="微软雅黑" w:cs="微软雅黑"/>
          <w:sz w:val="21"/>
          <w:szCs w:val="21"/>
        </w:rPr>
      </w:pPr>
      <w:bookmarkStart w:id="276" w:name="OLE_LINK6"/>
      <w:r>
        <w:rPr>
          <w:rFonts w:hint="eastAsia" w:ascii="微软雅黑" w:hAnsi="微软雅黑" w:cs="微软雅黑"/>
          <w:sz w:val="21"/>
          <w:szCs w:val="21"/>
        </w:rPr>
        <w:t>4.4.4</w:t>
      </w:r>
      <w:bookmarkEnd w:id="276"/>
      <w:r>
        <w:rPr>
          <w:rFonts w:hint="eastAsia" w:ascii="微软雅黑" w:hAnsi="微软雅黑" w:cs="微软雅黑"/>
          <w:sz w:val="21"/>
          <w:szCs w:val="21"/>
        </w:rPr>
        <w:t>.1 BRAF V600E突变型及相关治疗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4"/>
                    <a:stretch>
                      <a:fillRect/>
                    </a:stretch>
                  </pic:blipFill>
                  <pic:spPr>
                    <a:xfrm>
                      <a:off x="0" y="0"/>
                      <a:ext cx="5153660" cy="4201795"/>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pPr>
        <w:jc w:val="both"/>
        <w:rPr>
          <w:rFonts w:ascii="微软雅黑" w:hAnsi="微软雅黑" w:cs="微软雅黑"/>
          <w:sz w:val="21"/>
          <w:szCs w:val="21"/>
        </w:rPr>
      </w:pPr>
      <w:r>
        <w:rPr>
          <w:rFonts w:hint="eastAsia" w:ascii="微软雅黑" w:hAnsi="微软雅黑" w:cs="微软雅黑"/>
          <w:sz w:val="21"/>
          <w:szCs w:val="21"/>
        </w:rPr>
        <w:t>4.4.5  免疫检查点抑制剂</w:t>
      </w:r>
    </w:p>
    <w:p>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5" cstate="print"/>
                    <a:stretch>
                      <a:fillRect/>
                    </a:stretch>
                  </pic:blipFill>
                  <pic:spPr>
                    <a:xfrm>
                      <a:off x="0" y="0"/>
                      <a:ext cx="5221605" cy="2280285"/>
                    </a:xfrm>
                    <a:prstGeom prst="rect">
                      <a:avLst/>
                    </a:prstGeom>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6"/>
                    <a:stretch>
                      <a:fillRect/>
                    </a:stretch>
                  </pic:blipFill>
                  <pic:spPr>
                    <a:xfrm>
                      <a:off x="0" y="0"/>
                      <a:ext cx="4853305" cy="3787140"/>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pPr>
        <w:jc w:val="both"/>
        <w:rPr>
          <w:rFonts w:ascii="微软雅黑" w:hAnsi="微软雅黑" w:cs="微软雅黑"/>
          <w:sz w:val="21"/>
          <w:szCs w:val="21"/>
        </w:rPr>
      </w:pPr>
      <w:r>
        <w:rPr>
          <w:rFonts w:hint="eastAsia" w:ascii="微软雅黑" w:hAnsi="微软雅黑" w:cs="微软雅黑"/>
          <w:sz w:val="21"/>
          <w:szCs w:val="21"/>
        </w:rPr>
        <w:t>4.4.5.2  POLE基因突变</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77" w:name="OLE_LINK21"/>
      <w:bookmarkStart w:id="278" w:name="OLE_LINK22"/>
      <w:r>
        <w:rPr>
          <w:rFonts w:hint="eastAsia" w:ascii="微软雅黑" w:hAnsi="微软雅黑" w:cs="微软雅黑"/>
          <w:sz w:val="21"/>
          <w:szCs w:val="21"/>
        </w:rPr>
        <w:t>（microsatellite instability-high，MSI-H）</w:t>
      </w:r>
      <w:bookmarkEnd w:id="277"/>
      <w:bookmarkEnd w:id="278"/>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7"/>
                    <a:stretch>
                      <a:fillRect/>
                    </a:stretch>
                  </pic:blipFill>
                  <pic:spPr>
                    <a:xfrm>
                      <a:off x="0" y="0"/>
                      <a:ext cx="4732655" cy="4027170"/>
                    </a:xfrm>
                    <a:prstGeom prst="rect">
                      <a:avLst/>
                    </a:prstGeom>
                    <a:noFill/>
                    <a:ln>
                      <a:noFill/>
                    </a:ln>
                  </pic:spPr>
                </pic:pic>
              </a:graphicData>
            </a:graphic>
          </wp:inline>
        </w:drawing>
      </w:r>
    </w:p>
    <w:p>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pPr>
        <w:jc w:val="both"/>
        <w:rPr>
          <w:b/>
          <w:bCs/>
        </w:rPr>
      </w:pPr>
      <w:r>
        <w:rPr>
          <w:rFonts w:hint="eastAsia"/>
          <w:b/>
          <w:bCs/>
        </w:rPr>
        <w:t>5、结论</w:t>
      </w:r>
    </w:p>
    <w:p>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pPr>
        <w:autoSpaceDE w:val="0"/>
        <w:autoSpaceDN w:val="0"/>
        <w:spacing w:after="0" w:line="312" w:lineRule="auto"/>
        <w:jc w:val="both"/>
        <w:rPr>
          <w:rFonts w:ascii="微软雅黑" w:hAnsi="微软雅黑" w:cs="微软雅黑"/>
          <w:sz w:val="21"/>
          <w:szCs w:val="21"/>
        </w:rPr>
      </w:pPr>
    </w:p>
    <w:p>
      <w:pPr>
        <w:ind w:firstLine="440" w:firstLineChars="200"/>
        <w:jc w:val="center"/>
      </w:pPr>
    </w:p>
    <w:p>
      <w:pPr>
        <w:ind w:firstLine="440" w:firstLineChars="200"/>
        <w:jc w:val="both"/>
      </w:pPr>
    </w:p>
    <w:p>
      <w:pPr>
        <w:jc w:val="both"/>
        <w:rPr>
          <w:rFonts w:ascii="微软雅黑" w:hAnsi="微软雅黑" w:cs="微软雅黑"/>
          <w:b/>
          <w:bCs/>
          <w:sz w:val="21"/>
          <w:szCs w:val="21"/>
        </w:rPr>
      </w:pPr>
      <w:r>
        <w:rPr>
          <w:rFonts w:hint="eastAsia" w:ascii="微软雅黑" w:hAnsi="微软雅黑" w:cs="微软雅黑"/>
          <w:b/>
          <w:bCs/>
          <w:sz w:val="21"/>
          <w:szCs w:val="21"/>
        </w:rPr>
        <w:br w:type="page"/>
      </w:r>
    </w:p>
    <w:p>
      <w:pPr>
        <w:jc w:val="both"/>
        <w:rPr>
          <w:b/>
          <w:bCs/>
        </w:rPr>
      </w:pPr>
      <w:r>
        <w:rPr>
          <w:rFonts w:hint="eastAsia"/>
          <w:b/>
          <w:bCs/>
        </w:rPr>
        <w:t>参考文献：</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Weitz J, Koch M, Debus J, et al. Colorectal cancer.[J]. Lancet, 2004, 365(9454):153-165.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GBD 2013 Mortality and Causes of Death Collaborators.Global, regional, and national age-sex specific all-cause and cause-specific mortality for 240 causes of death, 1990-2013: a systematic analysis for the Global Burden of Disease Study 2013.Lancet,2015 Jan 10,385(9963):117-71.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Kuipers E J , Grady W M , Lieberman D , et al. Colorectal cancer.[J]. Nature Reviews Disease Primers, 2015, 1:15065.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Walker D P , Rogier D J . European guidelines for quality assurance in colorectal cancer screening and diagnosis: Overview and introduction to the full Supplement publication[J]. Endoscopy, 2012, 44 Suppl 3(S 03):SE131.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Ervik, M，Soerjomataram, I，Ferlay, J., et al.GLOBOCAN 2012 Estimated Cancer Incidence, Mortality and Prevalence Worldwide in 2012.[online], http://globocan.iarc.fr/Default.aspx (2015).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Lier M G F V , Leenen C H M , Wagner A , et al. Yield of routine molecular analyses in colorectal cancer patients ≤70 years to detect underlying Lynch syndrome[J]. Journal of Pathology, 2012, 226(5):764-774.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Jess T , Rungoe C , Peyrin–Biroulet, Laurent. Risk of Colorectal Cancer in Patients With Ulcerative Colitis: A Meta-analysis of Population-Based Cohort Studies[J]. Clinical Gastroenterology &amp; Hepatology, 2012, 10(6):639-645.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Jess T , Simonsen J , J?Rgensen K T , et al. Decreasing risk of colorectal cancer in patients with inflammatory bowel disease over 30 years.[J]. Gastroenterology, 2012, 143(2):375-381.e1.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Haraldsdottir S, Hampel H, Tomsic J, et al. Colon and endometrial cancers with mismatch repair deficiency can arise from somatic, rather than germline, mutations[J]. Gastroenterology, 2014, 147(6):1308-1316.e1.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Perez-Carbonell L , Ruiz-Ponte C , Guarinos C , et al. Comparison between universal molecular screening for Lynch syndrome and revised Bethesda guidelines in a large population-based cohort of patients with colorectal cancer[J]. Gut, 2012, 61(6):865.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Casta?O-Milla C , Chaparro M , Gisbert J P . Systematic review with meta-analysis: the declining risk of colorectal cancer in ulcerative colitis.[J]. Aliment Pharmacol Ther, 2014, 39(7):645-659.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Half EE, Bresalier RS. Clinical management of hereditary colorectal cancer syndromes.[J]. Current Opinion in Gastroenterology, 2015, 20(2):88.</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Herrinton L J , Liu L , Levin T R , et al. Incidence and Mortality of Colorectal Adenocarcinoma in Persons With Inflammatory Bowel Disease From 1998 to 2010[J]. Gastroenterology, 2012, 143(2):382-389.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World Cancer Research Fund/American Institute for Cancer Research. Continuous update project report. Food, nutrition, physical activity, and the prevention of colorectal cancer. Diet and Cancer Report [online]</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Guraya S Y . Association of type 2 diabetes mellitus and the risk ofcolorectal cancer: A meta-analysis and systematic review[J]. 世界胃肠病学杂志:英文版(电子版), 2015(19):6026-6031.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 Fedirko, I Tramacere, V Bagnardi , et al.Alcohol drinking and colorectal cancer risk: an overall and dose-response meta-analysis of published studies.Ann Oncol. 2011 Sep;22(9):1958-1972.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Heike U Krämer,, Ben Schöttker, Elke Raum, et al.Type 2 diabetes mellitus and colorectal cancer: meta-analysis on sex-specific differences.Eur J Cancer. 2012 Jun;48(9):1269-82.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Nakatsu G , Li X , Zhou H , et al. Gut mucosal microbiome across stages of colorectal carcinogenesis[J]. Nature Communications, 2015, 6:8727.</w:t>
      </w:r>
    </w:p>
    <w:p>
      <w:pPr>
        <w:numPr>
          <w:ilvl w:val="0"/>
          <w:numId w:val="23"/>
        </w:numPr>
        <w:spacing w:after="0" w:line="360" w:lineRule="auto"/>
        <w:jc w:val="both"/>
        <w:rPr>
          <w:rFonts w:hAnsi="Calibri" w:cs="Calibri" w:asciiTheme="minorHAnsi"/>
          <w:sz w:val="20"/>
          <w:szCs w:val="20"/>
        </w:rPr>
      </w:pPr>
      <w:r>
        <w:rPr>
          <w:rFonts w:hAnsi="Helvetica" w:eastAsia="Helvetica" w:cs="Helvetica" w:asciiTheme="minorHAnsi"/>
          <w:color w:val="000000"/>
          <w:sz w:val="20"/>
          <w:szCs w:val="20"/>
          <w:shd w:val="clear" w:color="auto" w:fill="FFFFFF"/>
        </w:rPr>
        <w:t>Arem H , Moore S C , Park Y , et al. Physical activity and cancer-specific mortality in the N</w:t>
      </w:r>
      <w:r>
        <w:rPr>
          <w:rFonts w:hint="eastAsia" w:hAnsi="Calibri" w:cs="Calibri" w:asciiTheme="minorHAnsi"/>
          <w:sz w:val="20"/>
          <w:szCs w:val="20"/>
        </w:rPr>
        <w:t>IH-AARP Diet and Health Study cohort[J]. International Journal of Cancer, 2014, 135(2):423-431.</w:t>
      </w:r>
    </w:p>
    <w:p>
      <w:pPr>
        <w:numPr>
          <w:ilvl w:val="0"/>
          <w:numId w:val="23"/>
        </w:numPr>
        <w:spacing w:after="0" w:line="360" w:lineRule="auto"/>
        <w:jc w:val="both"/>
        <w:rPr>
          <w:rFonts w:hAnsi="Calibri" w:cs="Calibri" w:asciiTheme="minorHAnsi"/>
          <w:sz w:val="20"/>
          <w:szCs w:val="20"/>
        </w:rPr>
      </w:pPr>
      <w:r>
        <w:fldChar w:fldCharType="begin"/>
      </w:r>
      <w:r>
        <w:instrText xml:space="preserve"> HYPERLINK "https://pubmed.ncbi.nlm.nih.gov/?term=Algra+AM&amp;cauthor_id=22440112" </w:instrText>
      </w:r>
      <w:r>
        <w:fldChar w:fldCharType="separate"/>
      </w:r>
      <w:r>
        <w:rPr>
          <w:rFonts w:hAnsi="Calibri" w:cs="Calibri" w:asciiTheme="minorHAnsi"/>
          <w:sz w:val="20"/>
          <w:szCs w:val="20"/>
        </w:rPr>
        <w:t>Annemijn M Algra</w:t>
      </w:r>
      <w:r>
        <w:rPr>
          <w:rFonts w:hAnsi="Calibri" w:cs="Calibri" w:asciiTheme="minorHAnsi"/>
          <w:sz w:val="20"/>
          <w:szCs w:val="20"/>
        </w:rPr>
        <w:fldChar w:fldCharType="end"/>
      </w:r>
      <w:r>
        <w:rPr>
          <w:rFonts w:hAnsi="Calibri" w:cs="Calibri" w:asciiTheme="minorHAnsi"/>
          <w:sz w:val="20"/>
          <w:szCs w:val="20"/>
        </w:rPr>
        <w:t> , </w:t>
      </w:r>
      <w:r>
        <w:fldChar w:fldCharType="begin"/>
      </w:r>
      <w:r>
        <w:instrText xml:space="preserve"> HYPERLINK "https://pubmed.ncbi.nlm.nih.gov/?term=Rothwell+PM&amp;cauthor_id=22440112" </w:instrText>
      </w:r>
      <w:r>
        <w:fldChar w:fldCharType="separate"/>
      </w:r>
      <w:r>
        <w:rPr>
          <w:rFonts w:hAnsi="Calibri" w:cs="Calibri" w:asciiTheme="minorHAnsi"/>
          <w:sz w:val="20"/>
          <w:szCs w:val="20"/>
        </w:rPr>
        <w:t>Peter M Rothwell</w:t>
      </w:r>
      <w:r>
        <w:rPr>
          <w:rFonts w:hAnsi="Calibri" w:cs="Calibri" w:asciiTheme="minorHAnsi"/>
          <w:sz w:val="20"/>
          <w:szCs w:val="20"/>
        </w:rPr>
        <w:fldChar w:fldCharType="end"/>
      </w:r>
      <w:r>
        <w:rPr>
          <w:rFonts w:hint="eastAsia" w:hAnsi="Calibri" w:cs="Calibri" w:asciiTheme="minorHAnsi"/>
          <w:sz w:val="20"/>
          <w:szCs w:val="20"/>
        </w:rPr>
        <w:t xml:space="preserve">.Effects of regular aspirin on long-term cancer incidence and metastasis: a systematic comparison of evidence from observational studies versus randomised trials.Lancet Oncol.2012 May;13(5):518-27.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Mismatch repair deficiency predicts response of solid tumors to PD-1 blockade[J]. ence, 2017, 357(6349):409.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Engeland M V , Derks S , Smits K M , et al. Colorectal Cancer Epigenetics: Complex Simplicity[J]. Journal of Clinical Oncology, 2011, 29(10):1382-1391.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Goldstein N S . Serrated Pathway and APC (Conventional)-Type Colorectal PolypsMolecular-Morphologic Correlations, Genetic Pathways, and Implications for Classification[J]. American Journal of Clinical Pathology(1):146-153.</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Loree J M , Pereira A A , Lam M , et al. Classifying colorectal cancer by tumor location rather than sidedness highlights a continuum in mutation profiles and Consensus Molecular Subtypes.[J]. Clinical Cancer Research, 2017:clincanres.2484.2017.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Cancer Genome Atlas Network. Comprehensive molecular characterization of human colon and rectal cancer[J]. Nature, 2012,487(7407): 330-337.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Starr, T. K, Raha A, Kevin A T S, et al. A transposon-based genetic screen in mice identifies genes altered in colorectal cancer. Science 323, 1747–1750 (2009).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Kim, Y.-H, Petko Z, Dzieciatkowski S. et al. CpG island methylation of genes accumulates during the adenoma progression step of the multistep pathogenesis of colorectal cancer.2006 Aug;45(8):781-9. </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Worthley D L , Whitehall V L J , Buttenshaw R L , et al. DNA methylation within the normal colorectal mucosa is associated with pathway-specific predisposition to cancer[J]. Oncogene, 2010.</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Yamauchi M,Morikawa T, Kuchiba A, et al. Assessment of colorectal cancer molecular features along bowel subsites challenges the conception of distinct dichotomy of proximal versus distal colorectum. Gut 61, 847–854 (2012).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Chittenden T W , Howe E A , Culhane A C , et al. Functional classification analysis of somatically mutated genes in human breast and colorectal cancers[J]. Genomics, 2008, 91(6):508-511.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Spada C , Hassan C , Marmo R , et al. Meta-analysis Shows Colon Capsule Endoscopy Is Effective in Detecting Colorectal Polyps[J]. Clin Gastroenterol Hepatol, 2010, 8(6):516-522.e8.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Spada C , Hassan C , Barbaro B , et al. Colon capsule versus CT colonography in patients with incomplete colonoscopy: a prospective, comparative trial[J]. Gut, 2015, 64(2):272-81.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Kenneth, W, Kinzler, et al. Lessons from Hereditary Colorectal Cancer[J]. Cell, 1996.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Ahlquist, D. A, Sargent D J , Loprinzi C L, et al. Stool DNA and occult blood testing for screen detection of colorectal neoplasia. Ann. Intern. Med. 149, 441–450 (2008).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Pages F , Mlecnik B , Marliot F , et al. International validation of the consensus Immunoscore for the classification of colon cancer: a prognostic and accuracy study[J]. Lancet (London, England).</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Mismatch repair deficiency predicts response of solid tumors to PD-1 blockade[J]. ence, 2017, 357(6349):409.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Quirke P , West N P , Nagtegaal I D . EURECCA consensus conference highlights about colorectal cancer clinical management: the pathologists expert review[J]. Virchows Archiv, 2014, 464(2):129-134.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Graaf E J R D , Doornebosch P G , Tollenaar R A E M , et al. Transanal endoscopic microsurgery versus total mesorectal excision of T1 rectal adenocarcinomas with curative intention[J]. European Journal of Surgical Oncology, 2009, 35(12):1280-1285.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Karim, M, Ramji, et al. Comparison of clinical and economic outcomes between robotic, laparoscopic, and open rectal cancer surgery: early experience at a tertiary care center[J]. Surgical Endoscopy, 2016.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Habr-Gama A , Perez R O , Juli?O G P S , et al. Nonoperative Approaches to Rectal Cancer: A Critical Evaluation[J]. Seminars in Radiation Oncology, 2011, 21(3):234-239.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Amado R G , Wolf M , Peeters M , et al. Wild-Type KRAS Is Required for Panitumumab Efficacy in Patients With Metastatic Colorectal Cancer[J]. Journal of Clinical Oncology, 2008, 26(10):1626-1634.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Willett, C. G，Boucher Y, Tomaso E d, et al. Direct evidence that the VEGF specific antibody bevacizumab has antivascular effects in human rectal cancer. Nat. Med. 10, 145–147 (2004).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Henricks LM, Lunenburg CATC, de Man FM, et al. DPYD genotype-guided dose individualisation of fluoropyrimidine therapy in patients with cancer: a prospective safety analysis. Lancet Oncol 2018; 19: 1459–67</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Pages F , Mlecnik B , Marliot F , et al. International validation of the consensus Immunoscore for the classification of colon cancer: a prognostic and accuracy study[J]. Lancet. 2018 May 26;391(10135):2128-2139.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Grothey A , Sobrero A F , Shields A F , et al. Duration of adjuvant chemotherapy for stage III colon cancer[J]. N Engl J Med, 2018, PP(13):1177-1188.</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Arnold D, Lueza B, Douillard JY, et al. Prognostic and predictive value of primary tumour side in patients with RAS wild-type metastatic colorectal cancer treated with chemotherapy and EGFR directed antibodies in six randomized trials. Ann Oncol 2017; 28: 1713–29.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Bokemeyer C, Bondarenko I, Makhson A, et al. Fluorouracil,leucovorin, and oxaliplatin with and without cetuximab in the first-line treatment of metastatic colorectal cancer. J Clin Oncol 2009; 27: 663–71.</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Pietrantonio F, Petrelli F, Coinu A, et al. Predictive role of BRAF mutations in patients with advanced colorectal cancer receiving cetuximab and panitumumab: a meta-analysis. Eur J Cancer 2015; 51: 587–94</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 xml:space="preserve">Van Cutsem, E, </w:t>
      </w:r>
      <w:r>
        <w:fldChar w:fldCharType="begin"/>
      </w:r>
      <w:r>
        <w:instrText xml:space="preserve"> HYPERLINK "https://xueshu.baidu.com/s?wd=author:(Tabernero,%20J.)%20&amp;tn=SE_baiduxueshu_c1gjeupa&amp;ie=utf-8&amp;sc_f_para=sc_hilight=person" \t "https://xueshu.baidu.com/usercenter/paper/_blank" </w:instrText>
      </w:r>
      <w:r>
        <w:fldChar w:fldCharType="separate"/>
      </w:r>
      <w:r>
        <w:rPr>
          <w:rFonts w:hint="eastAsia" w:hAnsi="Calibri" w:cs="Calibri" w:asciiTheme="minorHAnsi"/>
          <w:sz w:val="20"/>
          <w:szCs w:val="20"/>
        </w:rPr>
        <w:t>Tabernero, J.</w:t>
      </w:r>
      <w:r>
        <w:rPr>
          <w:rFonts w:hint="eastAsia" w:hAnsi="Calibri" w:cs="Calibri" w:asciiTheme="minorHAnsi"/>
          <w:sz w:val="20"/>
          <w:szCs w:val="20"/>
        </w:rPr>
        <w:fldChar w:fldCharType="end"/>
      </w:r>
      <w:r>
        <w:rPr>
          <w:rFonts w:hint="eastAsia" w:hAnsi="Calibri" w:cs="Calibri" w:asciiTheme="minorHAnsi"/>
          <w:sz w:val="20"/>
          <w:szCs w:val="20"/>
        </w:rPr>
        <w:t xml:space="preserve">, </w:t>
      </w:r>
      <w:r>
        <w:fldChar w:fldCharType="begin"/>
      </w:r>
      <w:r>
        <w:instrText xml:space="preserve"> HYPERLINK "https://xueshu.baidu.com/s?wd=author:(Lakomy,%20R.)%20&amp;tn=SE_baiduxueshu_c1gjeupa&amp;ie=utf-8&amp;sc_f_para=sc_hilight=person" \t "https://xueshu.baidu.com/usercenter/paper/_blank" </w:instrText>
      </w:r>
      <w:r>
        <w:fldChar w:fldCharType="separate"/>
      </w:r>
      <w:r>
        <w:rPr>
          <w:rFonts w:hint="eastAsia" w:hAnsi="Calibri" w:cs="Calibri" w:asciiTheme="minorHAnsi"/>
          <w:sz w:val="20"/>
          <w:szCs w:val="20"/>
        </w:rPr>
        <w:t>Lakomy, R.</w:t>
      </w:r>
      <w:r>
        <w:rPr>
          <w:rFonts w:hint="eastAsia" w:hAnsi="Calibri" w:cs="Calibri" w:asciiTheme="minorHAnsi"/>
          <w:sz w:val="20"/>
          <w:szCs w:val="20"/>
        </w:rPr>
        <w:fldChar w:fldCharType="end"/>
      </w:r>
      <w:r>
        <w:rPr>
          <w:rFonts w:hint="eastAsia" w:hAnsi="Calibri" w:cs="Calibri" w:asciiTheme="minorHAnsi"/>
          <w:sz w:val="20"/>
          <w:szCs w:val="20"/>
        </w:rPr>
        <w:t>, et al. Addition of aflibercept to fluorouracil, leucovorin, and irinotecan improves survival in a Phase III randomized trial in patients with metastatic colorectal cancer previously treated with an oxaliplatin-based regimen. J. Clin. Oncol. 30, 3499–3506 (2012).</w:t>
      </w:r>
    </w:p>
    <w:p>
      <w:pPr>
        <w:numPr>
          <w:ilvl w:val="0"/>
          <w:numId w:val="23"/>
        </w:numPr>
        <w:spacing w:after="0" w:line="360" w:lineRule="auto"/>
        <w:jc w:val="both"/>
        <w:rPr>
          <w:rFonts w:hAnsi="Calibri" w:cs="Calibri" w:asciiTheme="minorHAnsi"/>
          <w:sz w:val="20"/>
          <w:szCs w:val="20"/>
        </w:rPr>
      </w:pPr>
      <w:r>
        <w:rPr>
          <w:rFonts w:hAnsi="Helvetica" w:eastAsia="Helvetica" w:cs="Helvetica" w:asciiTheme="minorHAnsi"/>
          <w:color w:val="000000"/>
          <w:sz w:val="20"/>
          <w:szCs w:val="20"/>
          <w:shd w:val="clear" w:color="auto" w:fill="FFFFFF"/>
        </w:rPr>
        <w:t>Tomlinson J S , Jarnagin W R , Dematteo R P , et al. Actual 10-year survival after resection of colorectal liver metastases defines cure.[J]. Journal of Clinical Oncology, 2007, 25(29):4575-4580.</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Ayez N,Lalmahomed Z S，Eggermont A M M , et al. Outcome of microscopic incomplete resection (R1) of colorectal liver metastases in the era of neoadjuvant chemotherapy. Ann. Surg. Oncol. 19, 1618–1627 (2012).</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Heinemann, V,von Weikersthal LF, Decker T, et al. FOLFIRI plus cetuximab versus FOLFIRI plus bevacizumab as first-line treatment for patients with metastatic colorectal cancer (FIRE-3): a randomised, open-label, phase 3 trial. Lancet Oncol. 15, 1065–1075 (2014).</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Amarpreet Bhalla, Muhammad Zulfiqar, Martin H. Bluth. Molecular Diagnostics in Colorectal Carcinoma : Advances and Applications for 2018[J]. Clinics in Laboratory Medicine, 2018, 38(2):311-342.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Kanthan R, Senger J L, Kanthan S C. Molecular Events in Primary and Metastatic Colorectal Carcinoma: A Review[J]. Pathology Research International,2012,({{ report_date_dot }}), 2012, 2012:597497.</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Tan C, Du X. KRAS mutation testing in metastatic colorectal cancer[J]. World Journal of Gastroenterology, 2012, 18(37):5171-5180.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Heinemann V, von Weikersthal L F, Decker T, et al. FOLFIRI plus cetuximab versus FOLFIRI plus bevacizumab as first-line treatment for patients with metastatic colorectal cancer (FIRE-3): a randomised, open-label, phase 3 trial[J]. Lancet Oncology, 2014, 15(10):1065-1075.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Ma B B, Mo F, Tong J H, et al. Elucidating the prognostic significance of KRAS, NRAS, BRAF and PIK3CA mutations in Chinese patients with metastatic colorectal cancer[J]. Asia Pac J Clin Oncol, 2015, 11(2):160-169.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Tsuneo I, Yohko H, Fumihiko K,</w:t>
      </w:r>
      <w:r>
        <w:rPr>
          <w:rFonts w:hAnsi="Calibri" w:cs="Calibri" w:asciiTheme="minorHAnsi"/>
          <w:sz w:val="20"/>
          <w:szCs w:val="20"/>
        </w:rPr>
        <w:t xml:space="preserve"> et al.</w:t>
      </w:r>
      <w:r>
        <w:rPr>
          <w:rFonts w:hint="eastAsia" w:hAnsi="Calibri" w:cs="Calibri" w:asciiTheme="minorHAnsi"/>
          <w:sz w:val="20"/>
          <w:szCs w:val="20"/>
        </w:rPr>
        <w:t>Different effects of point mutations within the B-Raf glycine-rich loop in colorectal tumors on mitogen-activated protein/extracellular signal-regulated kinase kinase/extracellular signal-regulated kinase and nuclear factor kappaB pathway and cellular transformation.Cancer Res. 2004 May 15;64(10):3428-35.</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Siena S, Sartore-Bianchi A, Marsoni S, et al. Targeting the human epidermal growth factor receptor 2 in colorectal cancer. Ann Oncol. 2018;29:1108-1119.</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Pertuzumab plus trastuzumab for HER2-amplified metastatic colorectal cancer (MyPathway): an updated report from a multicentre, open-label, phase 2a, multiple basket study.[J]. The Lancet. Oncology, 2019.</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Peltomäki P. Deficient DNA mismatch repair: a common etiologic factor for colon cancer.[J]. Human Molecular Genetics, 2001, 10(7):735-740.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Amarpreet Bhalla, Muhammad Zulfiqar, Martin H. Bluth. Molecular Diagnostics in Colorectal Carcinoma : Advances and Applications for 2018[J]. Clinics in Laboratory Medicine, 2018, 38(2):311-342.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Palomaki G E, Mcclain M R, Melillo S, et al. EGAPP supplementary evidence review: DNA testing strategies aimed at reducing morbidity and mortality from Lynch syndrome[J]. Genetics in Medicine, 2009, 11(1):42-65.</w:t>
      </w:r>
    </w:p>
    <w:p>
      <w:pPr>
        <w:numPr>
          <w:ilvl w:val="0"/>
          <w:numId w:val="23"/>
        </w:numPr>
        <w:spacing w:after="0" w:line="360" w:lineRule="auto"/>
        <w:jc w:val="both"/>
        <w:rPr>
          <w:rFonts w:hAnsi="Calibri" w:cs="Calibri" w:asciiTheme="minorHAnsi"/>
          <w:sz w:val="20"/>
          <w:szCs w:val="20"/>
        </w:rPr>
      </w:pPr>
      <w:r>
        <w:rPr>
          <w:rFonts w:hAnsi="微软雅黑" w:cs="微软雅黑" w:asciiTheme="minorHAnsi"/>
          <w:color w:val="000000"/>
          <w:sz w:val="20"/>
          <w:szCs w:val="20"/>
          <w:shd w:val="clear" w:color="auto" w:fill="FFFFFF"/>
        </w:rPr>
        <w:t>Boyiadzis M M , Kirkwood J M , Marshall J L , et al. Significance and implications of FDA approval of pembrolizumab for biomarker-defined disease[J]. Journal for ImmunoTherapy of Cancer, 2018, 6(1):35.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Aparicio T. PD-1 blockade in tumors with mismatch-repair deficiency[J]. New England Journal of Medicine, 2015, 373(20):2509-2520.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Le D T, Durham J N, Smith K N, et al. Mismatch-repair deficiency predicts response of solid tumors to PD-1 blockade.[J]. Science, 2017, 357(6349):409.</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Overman M J, Mcdermott R, Leach J L, et al. Nivolumab in patients with metastatic DNA mismatch repair-deficient or microsatellite instability-high colorectal cancer (CheckMate 142): an open-label, multicentre, phase 2 study.[J]. Lancet Oncology, 2017, 18(9):1182.</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Link J T, Overman M J. Immunotherapy Progress in Mismatch Repair-Deficient Colorectal Cancer and Future Therapeutic Challenges[J]. Cancer Journal, 2016, 22(3):190.</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Giannakis M, Shukla S, Mu JX, et al. Comprehensive molecular characterization of colorectal cancer reveals genomic predictors of immune cell infiltrates[J]. Bioorgan Med Chem, 2015, 17(2): 569-575.</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Mehnert J M, Panda A, Hua Z, et al. Immune activation and response to pembrolizumab in POLE-mutant endometrial cancer[J]. Journal of Clinical Investigation, 2016, 126(6):2334.</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NA Rizvi, MD Hellmann, A Snyder, et al. Cancer immunology. Mutational landscape determines sensitivity to PD-1 blockade in non-small cell lung cancer.[J]. Science, 2015, 348(6230):124-128.</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Domingo E, Freeman-Mills L, Rayner E, et al. Somatic POLE, proofreading domain mutation, immune response, and prognosis in colorectal cancer: a retrospective, pooled biomarker study[J]. Lancet Gastroenterology &amp; Hepatology, 2016, 1(3):207-216.</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Jun G, Chongkai W, Peter PL, et al. Response to PD-1 blockade in microsatellite stable metastatic colorectal cancer harboring a POLE mutation.</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Wang C, Gong J, Tu TY, et al. Immune profiling of microsatellite instability-high and polymerase ε (POLE)-mutated metastatic colorectal tumors identifies predictors of response to anti-PD-1 therapy. J Gastrointest Oncol. (2018) 9:404–15. 10.21037/jgo.{{ report_date_dot }}</w:t>
      </w:r>
      <w:r>
        <w:rPr>
          <w:rFonts w:hint="eastAsia" w:hAnsi="Calibri" w:cs="Calibri" w:asciiTheme="minorHAnsi"/>
          <w:sz w:val="20"/>
          <w:szCs w:val="20"/>
        </w:rPr>
        <w:t>.</w:t>
      </w:r>
    </w:p>
    <w:p>
      <w:pPr>
        <w:numPr>
          <w:ilvl w:val="0"/>
          <w:numId w:val="23"/>
        </w:numPr>
        <w:spacing w:after="0" w:line="360" w:lineRule="auto"/>
        <w:jc w:val="both"/>
        <w:rPr>
          <w:rFonts w:hAnsi="Calibri" w:cs="Calibri" w:asciiTheme="minorHAnsi"/>
          <w:sz w:val="20"/>
          <w:szCs w:val="20"/>
        </w:rPr>
      </w:pPr>
      <w:r>
        <w:rPr>
          <w:rFonts w:hAnsi="微软雅黑" w:cs="微软雅黑" w:asciiTheme="minorHAnsi"/>
          <w:sz w:val="20"/>
          <w:szCs w:val="20"/>
        </w:rPr>
        <w:t>M</w:t>
      </w:r>
      <w:r>
        <w:rPr>
          <w:rFonts w:hAnsi="Calibri" w:cs="Calibri" w:asciiTheme="minorHAnsi"/>
          <w:sz w:val="20"/>
          <w:szCs w:val="20"/>
        </w:rPr>
        <w:t>ehnert JM, Panda A, Zhong H, Hirshfield K, Damare S, Lane K, et al. Immune activation and response to pembrolizumab in POLE-mutant endometrial cancer. J Clin Invest. (2016) 126:2334–40.</w:t>
      </w:r>
      <w:r>
        <w:rPr>
          <w:rFonts w:hint="eastAsia" w:hAnsi="Calibri" w:cs="Calibri" w:asciiTheme="minorHAnsi"/>
          <w:sz w:val="20"/>
          <w:szCs w:val="20"/>
        </w:rPr>
        <w:t xml:space="preserve"> </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HAnsi"/>
          <w:sz w:val="20"/>
          <w:szCs w:val="20"/>
        </w:rPr>
        <w:t xml:space="preserve"> 100</w:t>
      </w:r>
      <w:r>
        <w:rPr>
          <w:rFonts w:hAnsi="Calibri" w:cs="Calibri" w:asciiTheme="minorHAnsi"/>
          <w:sz w:val="20"/>
          <w:szCs w:val="20"/>
        </w:rPr>
        <w:t>.</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Picard E , Verschoor C P , Ma G W , et al. Relationships Between Immune Landscapes, Genetic Subtypes and Responses to Immunotherapy in Colorectal Cancer[J]. Frontiers in Immunology, 2020, 11:-.</w:t>
      </w:r>
    </w:p>
    <w:p>
      <w:pPr>
        <w:numPr>
          <w:ilvl w:val="0"/>
          <w:numId w:val="23"/>
        </w:numPr>
        <w:spacing w:after="0" w:line="360" w:lineRule="auto"/>
        <w:jc w:val="both"/>
        <w:rPr>
          <w:rFonts w:hAnsi="Calibri" w:cs="Calibri" w:asciiTheme="minorHAnsi"/>
          <w:sz w:val="20"/>
          <w:szCs w:val="20"/>
        </w:rPr>
      </w:pPr>
      <w:r>
        <w:rPr>
          <w:rFonts w:hAnsi="Calibri" w:cs="Calibri" w:asciiTheme="minorHAnsi"/>
          <w:sz w:val="20"/>
          <w:szCs w:val="20"/>
        </w:rPr>
        <w:t>Booth R A. Minimally invasive biomarkers for detection and staging of colorectal cancer[J]. Cancer Letters, 2007, 249(1):87-96.</w:t>
      </w:r>
    </w:p>
    <w:p>
      <w:pPr>
        <w:numPr>
          <w:ilvl w:val="0"/>
          <w:numId w:val="23"/>
        </w:numPr>
        <w:spacing w:after="0" w:line="360" w:lineRule="auto"/>
        <w:jc w:val="both"/>
        <w:rPr>
          <w:rFonts w:hAnsi="Calibri" w:cs="Calibri" w:asciiTheme="minorHAnsi"/>
          <w:sz w:val="20"/>
          <w:szCs w:val="20"/>
        </w:rPr>
      </w:pPr>
      <w:r>
        <w:rPr>
          <w:rFonts w:hint="eastAsia" w:hAnsi="Calibri" w:cs="Calibri" w:asciiTheme="minorHAnsi"/>
          <w:sz w:val="20"/>
          <w:szCs w:val="20"/>
        </w:rPr>
        <w:t>Hong D S , Fakih M G , Strickler J H , et al. KRASG12C Inhibition with Sotorasib in Advanced Solid Tumors[J]. New England Journal of Medicine, 2020.</w:t>
      </w:r>
    </w:p>
    <w:p>
      <w:pPr>
        <w:adjustRightInd/>
        <w:snapToGrid/>
        <w:jc w:val="both"/>
        <w:rPr>
          <w:rFonts w:hAnsi="微软雅黑" w:cs="微软雅黑" w:asciiTheme="minorHAnsi"/>
          <w:color w:val="222222"/>
          <w:sz w:val="18"/>
          <w:szCs w:val="18"/>
          <w:shd w:val="clear" w:color="auto" w:fill="FFFFFF"/>
        </w:rPr>
      </w:pPr>
    </w:p>
    <w:p>
      <w:pPr>
        <w:spacing w:line="312" w:lineRule="auto"/>
        <w:jc w:val="both"/>
        <w:rPr>
          <w:rFonts w:ascii="微软雅黑" w:hAnsi="微软雅黑"/>
          <w:b/>
          <w:sz w:val="28"/>
          <w:szCs w:val="28"/>
        </w:rPr>
      </w:pPr>
      <w:r>
        <w:rPr>
          <w:rFonts w:hint="eastAsia" w:ascii="微软雅黑" w:hAnsi="微软雅黑"/>
          <w:b/>
          <w:sz w:val="28"/>
          <w:szCs w:val="28"/>
        </w:rPr>
        <w:br w:type="page"/>
      </w:r>
    </w:p>
    <w:p>
      <w:pPr>
        <w:spacing w:line="312" w:lineRule="auto"/>
        <w:jc w:val="both"/>
        <w:outlineLvl w:val="0"/>
        <w:rPr>
          <w:rFonts w:ascii="微软雅黑" w:hAnsi="微软雅黑"/>
          <w:b/>
          <w:sz w:val="24"/>
          <w:szCs w:val="24"/>
        </w:rPr>
      </w:pPr>
      <w:bookmarkStart w:id="279" w:name="_Toc17460"/>
      <w:bookmarkStart w:id="280" w:name="_Toc12428"/>
      <w:r>
        <w:rPr>
          <w:rFonts w:hint="eastAsia" w:ascii="微软雅黑" w:hAnsi="微软雅黑"/>
          <w:b/>
          <w:sz w:val="24"/>
          <w:szCs w:val="24"/>
        </w:rPr>
        <w:t>3. 癌症相关信号通路</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61"/>
      <w:bookmarkEnd w:id="262"/>
      <w:bookmarkEnd w:id="263"/>
      <w:bookmarkEnd w:id="264"/>
      <w:bookmarkEnd w:id="265"/>
      <w:bookmarkEnd w:id="266"/>
      <w:bookmarkEnd w:id="267"/>
      <w:bookmarkEnd w:id="268"/>
      <w:bookmarkEnd w:id="269"/>
      <w:bookmarkEnd w:id="270"/>
      <w:bookmarkEnd w:id="272"/>
      <w:bookmarkEnd w:id="279"/>
      <w:bookmarkEnd w:id="280"/>
    </w:p>
    <w:bookmarkEnd w:id="273"/>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PI3K-Akt-mTOR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ascii="微软雅黑" w:hAnsi="微软雅黑" w:cs="微软雅黑"/>
                <w:kern w:val="2"/>
                <w:sz w:val="18"/>
                <w:szCs w:val="18"/>
              </w:rPr>
              <w:t>（</w:t>
            </w:r>
            <w:r>
              <w:rPr>
                <w:rFonts w:hint="eastAsia" w:ascii="微软雅黑" w:hAnsi="微软雅黑" w:cs="微软雅黑"/>
                <w:kern w:val="2"/>
                <w:sz w:val="18"/>
                <w:szCs w:val="18"/>
              </w:rPr>
              <w:t>如EGF、HGF</w:t>
            </w:r>
            <w:r>
              <w:rPr>
                <w:rFonts w:ascii="微软雅黑" w:hAnsi="微软雅黑" w:cs="微软雅黑"/>
                <w:kern w:val="2"/>
                <w:sz w:val="18"/>
                <w:szCs w:val="18"/>
              </w:rPr>
              <w:t>）</w:t>
            </w:r>
            <w:r>
              <w:rPr>
                <w:rFonts w:hint="eastAsia" w:ascii="微软雅黑" w:hAnsi="微软雅黑" w:cs="微软雅黑"/>
                <w:kern w:val="2"/>
                <w:sz w:val="18"/>
                <w:szCs w:val="18"/>
              </w:rPr>
              <w:t>与受体酪氨酸激酶</w:t>
            </w:r>
            <w:r>
              <w:rPr>
                <w:rFonts w:ascii="微软雅黑" w:hAnsi="微软雅黑" w:cs="微软雅黑"/>
                <w:kern w:val="2"/>
                <w:sz w:val="18"/>
                <w:szCs w:val="18"/>
              </w:rPr>
              <w:t>（</w:t>
            </w:r>
            <w:r>
              <w:rPr>
                <w:rFonts w:hint="eastAsia" w:ascii="微软雅黑" w:hAnsi="微软雅黑" w:cs="微软雅黑"/>
                <w:kern w:val="2"/>
                <w:sz w:val="18"/>
                <w:szCs w:val="18"/>
              </w:rPr>
              <w:t>RTK</w:t>
            </w:r>
            <w:r>
              <w:rPr>
                <w:rFonts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ascii="微软雅黑" w:hAnsi="微软雅黑" w:cs="微软雅黑"/>
                <w:kern w:val="2"/>
                <w:sz w:val="18"/>
                <w:szCs w:val="18"/>
              </w:rPr>
              <w:t>（</w:t>
            </w:r>
            <w:r>
              <w:rPr>
                <w:rFonts w:hint="eastAsia" w:ascii="微软雅黑" w:hAnsi="微软雅黑" w:cs="微软雅黑"/>
                <w:kern w:val="2"/>
                <w:sz w:val="18"/>
                <w:szCs w:val="18"/>
              </w:rPr>
              <w:t>IRS-1</w:t>
            </w:r>
            <w:r>
              <w:rPr>
                <w:rFonts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ascii="微软雅黑" w:hAnsi="微软雅黑" w:cs="微软雅黑"/>
                <w:kern w:val="2"/>
                <w:sz w:val="18"/>
                <w:szCs w:val="18"/>
              </w:rPr>
              <w:t>-</w:t>
            </w:r>
            <w:r>
              <w:rPr>
                <w:rFonts w:hint="eastAsia" w:ascii="微软雅黑" w:hAnsi="微软雅黑" w:cs="微软雅黑"/>
                <w:kern w:val="2"/>
                <w:sz w:val="18"/>
                <w:szCs w:val="18"/>
              </w:rPr>
              <w:t>激酶</w:t>
            </w:r>
            <w:r>
              <w:rPr>
                <w:rFonts w:ascii="微软雅黑" w:hAnsi="微软雅黑" w:cs="微软雅黑"/>
                <w:kern w:val="2"/>
                <w:sz w:val="18"/>
                <w:szCs w:val="18"/>
              </w:rPr>
              <w:t>（</w:t>
            </w:r>
            <w:r>
              <w:rPr>
                <w:rFonts w:hint="eastAsia" w:ascii="微软雅黑" w:hAnsi="微软雅黑" w:cs="微软雅黑"/>
                <w:kern w:val="2"/>
                <w:sz w:val="18"/>
                <w:szCs w:val="18"/>
              </w:rPr>
              <w:t>PI3K</w:t>
            </w:r>
            <w:r>
              <w:rPr>
                <w:rFonts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ascii="微软雅黑" w:hAnsi="微软雅黑" w:cs="微软雅黑"/>
                <w:kern w:val="2"/>
                <w:sz w:val="18"/>
                <w:szCs w:val="18"/>
              </w:rPr>
              <w:t>（</w:t>
            </w:r>
            <w:r>
              <w:rPr>
                <w:rFonts w:hint="eastAsia" w:ascii="微软雅黑" w:hAnsi="微软雅黑" w:cs="微软雅黑"/>
                <w:kern w:val="2"/>
                <w:sz w:val="18"/>
                <w:szCs w:val="18"/>
              </w:rPr>
              <w:t>PIP2</w:t>
            </w:r>
            <w:r>
              <w:rPr>
                <w:rFonts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line="220" w:lineRule="atLeast"/>
              <w:jc w:val="both"/>
              <w:rPr>
                <w:rFonts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pPr>
        <w:adjustRightInd/>
        <w:snapToGrid/>
        <w:spacing w:after="0" w:line="240" w:lineRule="atLeast"/>
        <w:rPr>
          <w:rFonts w:ascii="微软雅黑" w:hAnsi="微软雅黑"/>
          <w:bCs/>
          <w:sz w:val="21"/>
          <w:szCs w:val="21"/>
        </w:rPr>
      </w:pPr>
    </w:p>
    <w:p>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8" cstate="print"/>
                    <a:stretch>
                      <a:fillRect/>
                    </a:stretch>
                  </pic:blipFill>
                  <pic:spPr>
                    <a:xfrm>
                      <a:off x="0" y="0"/>
                      <a:ext cx="2753360" cy="2493645"/>
                    </a:xfrm>
                    <a:prstGeom prst="rect">
                      <a:avLst/>
                    </a:prstGeom>
                  </pic:spPr>
                </pic:pic>
              </a:graphicData>
            </a:graphic>
          </wp:inline>
        </w:drawing>
      </w:r>
    </w:p>
    <w:p>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MAPK/ERK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widowControl w:val="0"/>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FG</w:t>
            </w:r>
            <w:r>
              <w:rPr>
                <w:rFonts w:ascii="微软雅黑" w:hAnsi="微软雅黑" w:cs="微软雅黑"/>
                <w:color w:val="000000" w:themeColor="text1"/>
                <w:kern w:val="2"/>
                <w:sz w:val="18"/>
                <w:szCs w:val="18"/>
                <w14:textFill>
                  <w14:solidFill>
                    <w14:schemeClr w14:val="tx1"/>
                  </w14:solidFill>
                </w14:textFill>
              </w:rPr>
              <w:t>FR4 KRAS RET A</w:t>
            </w:r>
            <w:r>
              <w:rPr>
                <w:rFonts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pPr>
        <w:adjustRightInd/>
        <w:snapToGrid/>
        <w:spacing w:after="0"/>
        <w:rPr>
          <w:rFonts w:ascii="微软雅黑" w:hAnsi="微软雅黑"/>
          <w:b/>
          <w:sz w:val="24"/>
          <w:szCs w:val="24"/>
        </w:rPr>
      </w:pPr>
    </w:p>
    <w:p>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39" cstate="print"/>
                    <a:stretch>
                      <a:fillRect/>
                    </a:stretch>
                  </pic:blipFill>
                  <pic:spPr>
                    <a:xfrm>
                      <a:off x="0" y="0"/>
                      <a:ext cx="3298825" cy="3857625"/>
                    </a:xfrm>
                    <a:prstGeom prst="rect">
                      <a:avLst/>
                    </a:prstGeom>
                  </pic:spPr>
                </pic:pic>
              </a:graphicData>
            </a:graphic>
          </wp:inline>
        </w:drawing>
      </w:r>
    </w:p>
    <w:p>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pPr>
        <w:adjustRightInd/>
        <w:snapToGrid/>
        <w:spacing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0" cstate="print"/>
                    <a:stretch>
                      <a:fillRect/>
                    </a:stretch>
                  </pic:blipFill>
                  <pic:spPr>
                    <a:xfrm>
                      <a:off x="0" y="0"/>
                      <a:ext cx="4990465" cy="2981325"/>
                    </a:xfrm>
                    <a:prstGeom prst="rect">
                      <a:avLst/>
                    </a:prstGeom>
                    <a:noFill/>
                    <a:ln>
                      <a:noFill/>
                    </a:ln>
                  </pic:spPr>
                </pic:pic>
              </a:graphicData>
            </a:graphic>
          </wp:inline>
        </w:drawing>
      </w:r>
    </w:p>
    <w:p>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pPr>
        <w:adjustRightInd/>
        <w:snapToGrid/>
        <w:spacing w:line="220" w:lineRule="atLeast"/>
        <w:rPr>
          <w:rFonts w:ascii="微软雅黑" w:hAnsi="微软雅黑"/>
          <w:b/>
          <w:sz w:val="24"/>
          <w:szCs w:val="24"/>
        </w:rPr>
      </w:pPr>
    </w:p>
    <w:p>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1" cstate="print"/>
                    <a:stretch>
                      <a:fillRect/>
                    </a:stretch>
                  </pic:blipFill>
                  <pic:spPr>
                    <a:xfrm>
                      <a:off x="0" y="0"/>
                      <a:ext cx="3504565" cy="3209925"/>
                    </a:xfrm>
                    <a:prstGeom prst="rect">
                      <a:avLst/>
                    </a:prstGeom>
                    <a:noFill/>
                    <a:ln w="9525">
                      <a:noFill/>
                    </a:ln>
                  </pic:spPr>
                </pic:pic>
              </a:graphicData>
            </a:graphic>
          </wp:inline>
        </w:drawing>
      </w:r>
    </w:p>
    <w:p>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pPr>
        <w:adjustRightInd/>
        <w:snapToGrid/>
        <w:spacing w:after="0"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2" cstate="print"/>
                    <a:stretch>
                      <a:fillRect/>
                    </a:stretch>
                  </pic:blipFill>
                  <pic:spPr>
                    <a:xfrm>
                      <a:off x="0" y="0"/>
                      <a:ext cx="2727325" cy="3348355"/>
                    </a:xfrm>
                    <a:prstGeom prst="rect">
                      <a:avLst/>
                    </a:prstGeom>
                    <a:noFill/>
                    <a:ln>
                      <a:noFill/>
                    </a:ln>
                  </pic:spPr>
                </pic:pic>
              </a:graphicData>
            </a:graphic>
          </wp:inline>
        </w:drawing>
      </w:r>
    </w:p>
    <w:p>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pPr>
        <w:adjustRightInd/>
        <w:snapToGrid/>
        <w:spacing w:line="220" w:lineRule="atLeast"/>
        <w:jc w:val="center"/>
      </w:pPr>
    </w:p>
    <w:p>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3" cstate="print"/>
                    <a:stretch>
                      <a:fillRect/>
                    </a:stretch>
                  </pic:blipFill>
                  <pic:spPr>
                    <a:xfrm>
                      <a:off x="0" y="0"/>
                      <a:ext cx="5267325" cy="2696845"/>
                    </a:xfrm>
                    <a:prstGeom prst="rect">
                      <a:avLst/>
                    </a:prstGeom>
                    <a:noFill/>
                    <a:ln>
                      <a:noFill/>
                    </a:ln>
                  </pic:spPr>
                </pic:pic>
              </a:graphicData>
            </a:graphic>
          </wp:inline>
        </w:drawing>
      </w:r>
    </w:p>
    <w:p>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bookmarkStart w:id="281" w:name="OLE_LINK33"/>
            <w:r>
              <w:rPr>
                <w:rFonts w:ascii="微软雅黑" w:hAnsi="微软雅黑" w:cs="Times New Roman"/>
                <w:b/>
                <w:color w:val="F9FBFA"/>
                <w:kern w:val="2"/>
                <w:sz w:val="20"/>
                <w:szCs w:val="20"/>
              </w:rPr>
              <w:t>Cell cycle signaling pathway</w:t>
            </w:r>
            <w:bookmarkEnd w:id="281"/>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pPr>
        <w:adjustRightInd/>
        <w:snapToGrid/>
        <w:spacing w:after="0"/>
        <w:rPr>
          <w:rFonts w:ascii="微软雅黑" w:hAnsi="微软雅黑"/>
          <w:b/>
          <w:sz w:val="24"/>
          <w:szCs w:val="24"/>
        </w:rPr>
      </w:pPr>
    </w:p>
    <w:p>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4" cstate="print"/>
                    <a:stretch>
                      <a:fillRect/>
                    </a:stretch>
                  </pic:blipFill>
                  <pic:spPr>
                    <a:xfrm>
                      <a:off x="0" y="0"/>
                      <a:ext cx="4167505" cy="3260725"/>
                    </a:xfrm>
                    <a:prstGeom prst="rect">
                      <a:avLst/>
                    </a:prstGeom>
                  </pic:spPr>
                </pic:pic>
              </a:graphicData>
            </a:graphic>
          </wp:inline>
        </w:drawing>
      </w:r>
    </w:p>
    <w:p>
      <w:pPr>
        <w:adjustRightInd/>
        <w:snapToGrid/>
        <w:spacing w:line="220" w:lineRule="atLeast"/>
        <w:jc w:val="center"/>
        <w:rPr>
          <w:rFonts w:ascii="微软雅黑" w:hAnsi="微软雅黑"/>
          <w:b/>
          <w:sz w:val="24"/>
          <w:szCs w:val="24"/>
        </w:rPr>
      </w:pPr>
    </w:p>
    <w:p>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p>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pPr>
        <w:adjustRightInd/>
        <w:snapToGrid/>
        <w:spacing w:after="0"/>
        <w:rPr>
          <w:rFonts w:ascii="微软雅黑" w:hAnsi="微软雅黑"/>
          <w:b/>
          <w:sz w:val="24"/>
          <w:szCs w:val="24"/>
        </w:rPr>
      </w:pPr>
    </w:p>
    <w:p>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5" cstate="print"/>
                    <a:stretch>
                      <a:fillRect/>
                    </a:stretch>
                  </pic:blipFill>
                  <pic:spPr>
                    <a:xfrm>
                      <a:off x="0" y="0"/>
                      <a:ext cx="4766310" cy="3221355"/>
                    </a:xfrm>
                    <a:prstGeom prst="rect">
                      <a:avLst/>
                    </a:prstGeom>
                  </pic:spPr>
                </pic:pic>
              </a:graphicData>
            </a:graphic>
          </wp:inline>
        </w:drawing>
      </w:r>
    </w:p>
    <w:p>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bookmarkStart w:id="282"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bookmarkStart w:id="283" w:name="OLE_LINK48"/>
            <w:r>
              <w:rPr>
                <w:rFonts w:ascii="微软雅黑" w:hAnsi="微软雅黑" w:cs="Times New Roman"/>
                <w:b/>
                <w:color w:val="F9FBFA"/>
                <w:kern w:val="2"/>
                <w:sz w:val="20"/>
                <w:szCs w:val="20"/>
              </w:rPr>
              <w:t>DNA damage/repair signaling pathway</w:t>
            </w:r>
            <w:bookmarkEnd w:id="28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82"/>
    </w:tbl>
    <w:p>
      <w:pPr>
        <w:adjustRightInd/>
        <w:snapToGrid/>
        <w:spacing w:after="40" w:line="220" w:lineRule="atLeast"/>
        <w:rPr>
          <w:rFonts w:ascii="微软雅黑" w:hAnsi="微软雅黑"/>
          <w:b/>
          <w:sz w:val="24"/>
          <w:szCs w:val="24"/>
        </w:rPr>
      </w:pPr>
    </w:p>
    <w:p>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6" cstate="print"/>
                    <a:stretch>
                      <a:fillRect/>
                    </a:stretch>
                  </pic:blipFill>
                  <pic:spPr>
                    <a:xfrm>
                      <a:off x="0" y="0"/>
                      <a:ext cx="4323080" cy="3528060"/>
                    </a:xfrm>
                    <a:prstGeom prst="rect">
                      <a:avLst/>
                    </a:prstGeom>
                    <a:noFill/>
                    <a:ln>
                      <a:noFill/>
                    </a:ln>
                  </pic:spPr>
                </pic:pic>
              </a:graphicData>
            </a:graphic>
          </wp:inline>
        </w:drawing>
      </w:r>
    </w:p>
    <w:p>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bookmarkStart w:id="284" w:name="OLE_LINK52"/>
      <w:r>
        <w:rPr>
          <w:rFonts w:hint="eastAsia" w:ascii="微软雅黑" w:hAnsi="微软雅黑" w:cs="微软雅黑"/>
          <w:b/>
          <w:bCs/>
          <w:sz w:val="18"/>
          <w:szCs w:val="18"/>
        </w:rPr>
        <w:t>参考文献：</w:t>
      </w:r>
    </w:p>
    <w:p>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84"/>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pPr>
        <w:jc w:val="center"/>
      </w:pPr>
      <w:r>
        <w:drawing>
          <wp:anchor distT="0" distB="0" distL="114300" distR="114300" simplePos="0" relativeHeight="251693056"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pPr>
        <w:adjustRightInd/>
        <w:snapToGrid/>
        <w:spacing w:after="40"/>
        <w:jc w:val="center"/>
        <w:rPr>
          <w:rFonts w:ascii="微软雅黑" w:hAnsi="微软雅黑" w:cs="Times New Roman"/>
          <w:bCs/>
          <w:kern w:val="2"/>
          <w:sz w:val="20"/>
          <w:szCs w:val="20"/>
        </w:rPr>
      </w:pPr>
      <w:bookmarkStart w:id="285" w:name="OLE_LINK53"/>
      <w:r>
        <w:rPr>
          <w:rFonts w:ascii="微软雅黑" w:hAnsi="微软雅黑" w:cs="Times New Roman"/>
          <w:bCs/>
          <w:kern w:val="2"/>
          <w:sz w:val="20"/>
          <w:szCs w:val="20"/>
        </w:rPr>
        <w:t>Chromatin remodeling/DNA methylation</w:t>
      </w:r>
      <w:bookmarkEnd w:id="285"/>
    </w:p>
    <w:p>
      <w:pPr>
        <w:rPr>
          <w:rFonts w:ascii="微软雅黑" w:hAnsi="微软雅黑"/>
          <w:b/>
          <w:sz w:val="24"/>
          <w:szCs w:val="24"/>
        </w:rPr>
      </w:pPr>
    </w:p>
    <w:p>
      <w:pPr>
        <w:adjustRightInd/>
        <w:snapToGrid/>
        <w:spacing w:after="40"/>
        <w:jc w:val="both"/>
        <w:rPr>
          <w:rFonts w:ascii="微软雅黑" w:hAnsi="微软雅黑" w:cs="微软雅黑"/>
          <w:b/>
          <w:bCs/>
          <w:sz w:val="18"/>
          <w:szCs w:val="18"/>
        </w:rPr>
      </w:pPr>
    </w:p>
    <w:p>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pPr>
        <w:spacing w:after="0" w:line="312" w:lineRule="auto"/>
        <w:jc w:val="both"/>
        <w:rPr>
          <w:rFonts w:ascii="微软雅黑" w:hAnsi="微软雅黑"/>
          <w:b/>
          <w:sz w:val="28"/>
          <w:szCs w:val="28"/>
        </w:rPr>
      </w:pPr>
    </w:p>
    <w:p>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86" w:name="_Toc16989"/>
      <w:r>
        <w:rPr>
          <w:rFonts w:hint="eastAsia" w:ascii="微软雅黑" w:hAnsi="微软雅黑"/>
          <w:b/>
          <w:sz w:val="24"/>
          <w:szCs w:val="24"/>
        </w:rPr>
        <w:t>4. 基因检测列表</w:t>
      </w:r>
      <w:bookmarkEnd w:id="286"/>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8985" w:type="dxa"/>
            <w:gridSpan w:val="7"/>
            <w:shd w:val="clear" w:color="auto" w:fill="auto"/>
            <w:vAlign w:val="center"/>
          </w:tcPr>
          <w:p>
            <w:pPr>
              <w:spacing w:after="0"/>
              <w:jc w:val="center"/>
              <w:rPr>
                <w:rFonts w:ascii="Calibri" w:hAnsi="Calibri" w:cs="Calibri"/>
                <w:b/>
                <w:bCs/>
                <w:sz w:val="21"/>
                <w:szCs w:val="21"/>
              </w:rPr>
            </w:pPr>
            <w:bookmarkStart w:id="287" w:name="_Toc8753"/>
            <w:r>
              <w:rPr>
                <w:rFonts w:hint="eastAsia" w:ascii="微软雅黑" w:hAnsi="微软雅黑"/>
                <w:b/>
                <w:bCs/>
                <w:sz w:val="28"/>
                <w:szCs w:val="28"/>
              </w:rPr>
              <w:br w:type="page"/>
            </w:r>
            <w:bookmarkStart w:id="288" w:name="_Toc2662"/>
            <w:bookmarkStart w:id="289" w:name="_Toc17878"/>
            <w:bookmarkStart w:id="290" w:name="_Toc11577"/>
            <w:bookmarkStart w:id="291" w:name="_Toc28976"/>
            <w:bookmarkStart w:id="292" w:name="_Toc13296"/>
            <w:bookmarkStart w:id="293" w:name="_Toc15384"/>
            <w:bookmarkStart w:id="294" w:name="_Toc4537"/>
            <w:bookmarkStart w:id="295" w:name="_Toc2402"/>
            <w:bookmarkStart w:id="296" w:name="_Toc18363"/>
            <w:bookmarkStart w:id="297" w:name="_Toc18738"/>
            <w:bookmarkStart w:id="298" w:name="_Toc22999"/>
            <w:bookmarkStart w:id="299" w:name="_Toc11739"/>
            <w:bookmarkStart w:id="300" w:name="_Toc20015"/>
            <w:r>
              <w:rPr>
                <w:rFonts w:ascii="Calibri" w:hAnsi="Calibri" w:cs="Calibri"/>
                <w:b/>
                <w:bCs w:val="0"/>
                <w:sz w:val="28"/>
                <w:szCs w:val="28"/>
              </w:rPr>
              <w:t>Gene List for MLseq (n=</w:t>
            </w:r>
            <w:r>
              <w:rPr>
                <w:rFonts w:hint="eastAsia" w:ascii="Calibri" w:hAnsi="Calibri" w:cs="Calibri"/>
                <w:b/>
                <w:bCs w:val="0"/>
                <w:sz w:val="28"/>
                <w:szCs w:val="28"/>
              </w:rPr>
              <w:t>301</w:t>
            </w:r>
            <w:r>
              <w:rPr>
                <w:rFonts w:ascii="Calibri" w:hAnsi="Calibri" w:cs="Calibri"/>
                <w:b/>
                <w:bCs w:val="0"/>
                <w:sz w:val="28"/>
                <w:szCs w:val="28"/>
              </w:rPr>
              <w:t>)</w:t>
            </w:r>
            <w:bookmarkEnd w:id="288"/>
            <w:bookmarkEnd w:id="289"/>
            <w:bookmarkEnd w:id="290"/>
            <w:bookmarkEnd w:id="291"/>
            <w:bookmarkEnd w:id="292"/>
            <w:bookmarkEnd w:id="293"/>
            <w:bookmarkEnd w:id="294"/>
            <w:bookmarkEnd w:id="295"/>
            <w:bookmarkEnd w:id="296"/>
            <w:bookmarkEnd w:id="297"/>
            <w:bookmarkEnd w:id="298"/>
            <w:bookmarkEnd w:id="299"/>
            <w:bookmarkEnd w:id="300"/>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ABCB1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ABL1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AKT1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ALDH1A1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ALK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APC</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ARAF</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AREG</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ARID1A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ASXL1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ATM</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ATR</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ATRX</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AXIN1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B2M</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BAP1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BARD1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BCL2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BCL2L11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BLM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BMPR1A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BRAF</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BRCA1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BRCA2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BRD4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BRIP1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BTK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C8orf34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CARD11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CBL</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CBR3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CCND1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CCND2</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CCNE1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CD274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CD79B</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CDH11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CDK12</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CDK6</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CDKN2A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CEP72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CHEK1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CHEK2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CIC</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CREBBP</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CRKL</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CSF1R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CTLA4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CTNNB1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CXCL12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CYP19A1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CYP2D6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CYP2E1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DCK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DDR2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DEK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DNMT3A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DOK5</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DPYD</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DYNC2H1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EGFR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EP300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EP400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EPAS1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EPCAM</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EPHA2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ERBB2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ERBB3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ERBB4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ERCC1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ERCC2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ERRFI1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ESR1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ESR2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EZH2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FAM175A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FANCD2</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FANCF</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FANCG</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FANCI</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FANCL</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FANCM</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FAT1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FBXW7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FGF19</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FGFR3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FLCN</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FLT1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FLT3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FOXL2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GALNT12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GALNT14</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GATA3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GGH</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GNAQ</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GNAS</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GSTM1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GSTP1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H3F3A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HIF1A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HIST1H1E</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HIST1H2AL</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HIST1H2BC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HIST1H2BD</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HIST1H2BG</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HIST1H2BJ</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HIST1H2BK</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HIST1H2BO</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HIST1H3B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HIST1H3E</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HIST1H3F</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HIST1H3G</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HIST1H3I</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HIST1H3J</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HIST1H4I</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HIST3H3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HLA-B</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HLA-DPA1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HLA-DPB1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HLA-DQA1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HLA-DQB1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HLA-DRB1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HLA-DRB5</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HLA-G</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HNF1A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HOXB13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HRAS</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IDH1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IDH2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IFNGR1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IFNGR2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IGF1R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IRS1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JAK3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JUN</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KAT6A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KDM6A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KDR</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KEAP1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KEL</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KIT</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KMT2A</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LBP1B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LRP1B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MAP2K1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MAP2K2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MAPK1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MAPK3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MDM2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MDM4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MED12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MET</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MLH1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MLH3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MPL</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MRE11A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MSH2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MSH3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MSH6</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MTHFR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MTOR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MTRR</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MYC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MYCN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MYD88</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NBN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NF1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NF2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NOTCH1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NPM1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NQO1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NRAS</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NRG1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NT5C3A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NTRK1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NTRK2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NTRK3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PALB2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PBRM1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PDCD1LG2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PDGFB</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PDGFRA</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PDGFRB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PIK3CA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PIK3R1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PIM1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PMS1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PMS2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POLD1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POLE</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PPP2R2A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PTCH1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PTCH2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PTEN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PTPN11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RAD21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RAD51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RAD51D</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RAD54B</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RAD54L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RAF1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RARA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RBM10</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RECQL4</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RET</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ROS1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RRM1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RUNX1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SDHB</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SDHC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SEMA3C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SERPINB3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SERPINB4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SETD2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SF3B1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SHH</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SLC19A1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SLC22A12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SLC28A3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SLC29A1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SLCO1B1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SLIT2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SMAD4</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SMARCA4</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SMARCB1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SMO</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SOD2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SRC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STAG1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STAG2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STK11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SYK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TCF7L2</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TEK</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TERC</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TERT</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TET1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TGFBR1</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TMEM127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TNFAIP3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TOP2A</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TP53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TP53BP1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TP63</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TSC1</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TSC2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TSHR</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U2AF1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UGT1A1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UMPS</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VEGFA</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VHL</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WHSC1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WHSC1L1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WRN</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XPC</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XRCC1</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XRCC2</w:t>
            </w:r>
          </w:p>
        </w:tc>
        <w:tc>
          <w:tcPr>
            <w:tcW w:w="1283"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XRCC3</w:t>
            </w:r>
          </w:p>
        </w:tc>
        <w:tc>
          <w:tcPr>
            <w:tcW w:w="1287" w:type="dxa"/>
            <w:shd w:val="clear" w:color="auto" w:fill="F2F2F2"/>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YAP1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pPr>
              <w:spacing w:after="0"/>
              <w:jc w:val="center"/>
              <w:textAlignment w:val="center"/>
              <w:rPr>
                <w:rFonts w:ascii="Calibri" w:hAnsi="Calibri" w:eastAsia="宋体" w:cs="Calibri"/>
                <w:b w:val="0"/>
                <w:bCs w:val="0"/>
                <w:color w:val="000000"/>
                <w:sz w:val="21"/>
                <w:szCs w:val="21"/>
              </w:rPr>
            </w:pPr>
            <w:r>
              <w:rPr>
                <w:rFonts w:ascii="Calibri" w:hAnsi="Calibri" w:eastAsia="宋体" w:cs="Calibri"/>
                <w:b w:val="0"/>
                <w:bCs w:val="0"/>
                <w:color w:val="000000"/>
                <w:sz w:val="21"/>
                <w:szCs w:val="21"/>
                <w:lang w:bidi="ar"/>
              </w:rPr>
              <w:t>YES1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ZFHX3</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ZNF217</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ZNF278</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ZNF521</w:t>
            </w:r>
          </w:p>
        </w:tc>
        <w:tc>
          <w:tcPr>
            <w:tcW w:w="1283"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ZNF703</w:t>
            </w:r>
          </w:p>
        </w:tc>
        <w:tc>
          <w:tcPr>
            <w:tcW w:w="1287" w:type="dxa"/>
            <w:shd w:val="clear" w:color="auto" w:fill="auto"/>
            <w:vAlign w:val="center"/>
          </w:tcPr>
          <w:p>
            <w:pPr>
              <w:spacing w:after="0"/>
              <w:jc w:val="center"/>
              <w:textAlignment w:val="center"/>
              <w:rPr>
                <w:rFonts w:ascii="Calibri" w:hAnsi="Calibri" w:eastAsia="宋体" w:cs="Calibri"/>
                <w:color w:val="000000"/>
                <w:sz w:val="21"/>
                <w:szCs w:val="21"/>
              </w:rPr>
            </w:pPr>
            <w:r>
              <w:rPr>
                <w:rFonts w:ascii="Calibri" w:hAnsi="Calibri" w:eastAsia="宋体" w:cs="Calibri"/>
                <w:color w:val="000000"/>
                <w:sz w:val="21"/>
                <w:szCs w:val="21"/>
                <w:lang w:bidi="ar"/>
              </w:rPr>
              <w:t>ZRSR2</w:t>
            </w:r>
          </w:p>
        </w:tc>
      </w:tr>
    </w:tbl>
    <w:p>
      <w:pPr>
        <w:rPr>
          <w:rFonts w:ascii="微软雅黑" w:hAnsi="微软雅黑"/>
          <w:b/>
          <w:sz w:val="24"/>
          <w:szCs w:val="24"/>
        </w:rPr>
      </w:pPr>
      <w:r>
        <w:rPr>
          <w:rFonts w:hint="eastAsia" w:ascii="微软雅黑" w:hAnsi="微软雅黑"/>
          <w:b/>
          <w:sz w:val="24"/>
          <w:szCs w:val="24"/>
        </w:rPr>
        <w:br w:type="page"/>
      </w:r>
    </w:p>
    <w:p>
      <w:pPr>
        <w:numPr>
          <w:ilvl w:val="255"/>
          <w:numId w:val="0"/>
        </w:numPr>
        <w:outlineLvl w:val="0"/>
        <w:rPr>
          <w:rFonts w:ascii="Calibri" w:hAnsi="Calibri" w:cs="Calibri"/>
          <w:color w:val="000000" w:themeColor="text1"/>
          <w:sz w:val="21"/>
          <w:szCs w:val="21"/>
          <w14:textFill>
            <w14:solidFill>
              <w14:schemeClr w14:val="tx1"/>
            </w14:solidFill>
          </w14:textFill>
        </w:rPr>
      </w:pPr>
      <w:bookmarkStart w:id="301" w:name="_Toc8115"/>
      <w:r>
        <w:rPr>
          <w:rFonts w:hint="eastAsia" w:ascii="微软雅黑" w:hAnsi="微软雅黑"/>
          <w:b/>
          <w:color w:val="000000" w:themeColor="text1"/>
          <w:sz w:val="24"/>
          <w:szCs w:val="24"/>
          <w14:textFill>
            <w14:solidFill>
              <w14:schemeClr w14:val="tx1"/>
            </w14:solidFill>
          </w14:textFill>
        </w:rPr>
        <w:t>5. 参考文献</w:t>
      </w:r>
      <w:bookmarkEnd w:id="287"/>
      <w:bookmarkEnd w:id="301"/>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10959075 Wnt/beta-catenin signaling.</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1338691 Somatic mutation of the APC gene in gastric cancer: frequent mutations in very well differentiated denocarcinoma and signet-ring cell carcinoma.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12378616 Mutation analysis of APC gene in gastric cancer with microsatellite instability.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1423316 Frequent somatic mutations of the APC gene in human pancreatic cancer.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8033082 Wild-type but not mutant APC associates with the microtubule cytoskeleton.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8698812 The adenomatous polyposis coli tumor suppressor protein localizes to plasma membrane sites involved in active cell migration.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10656683 The APC-hDLG complex negatively regulates cell cycle progression from the G0/G1 to S phase.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24200292 Exploiting APC function as a novel cancer 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18593890 C-Myc is a critical mediator of the phenotypes of Apc loss in the intestine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19407794 Cytoplasmic functions of the tumour suppressor p53.</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22872685 Combination treatment in vitro with Nutlin, a small-molecule antagonist of MDM2, and pegylated interferon-α 2a specifically targets JAK2V617F-positive polycythemia vera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21728981 Anti-cancer peptides from ras-p21 and p53 proteins.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27242894 TP53 Mutation Spectrum in Smokers and Never Smoking Lung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25555218 F-box protein FBXW7 inhibits cancer metastasis in a non-cell-autonomous manner.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30086763 FBXW7: a critical tumor suppressor of human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29876005 Computational development of a molecular-based approach to improve risk stratification of endometrial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23558291 Rapamycin inhibits FBXW7 loss-induced epithelial-mesenchymal transition and cancer stem cell-like characteristics in colorectal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18541364 The Fbxw7/hCdc4 tumor suppressor in human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18787170 FBXW7 targets mTOR for degradation and cooperates with PTEN in tumor suppression.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17909001 FBXW7/hCDC4 is a general tumor suppressor in human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25555218 F-box protein FBXW7 inhibits cancer metastasis in a non-cell-autonomous manner.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23066310 KRAS mutation testing in metastatic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20100961 Molecular mechanisms of resistance to cetuximab and panitumumab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20531296 The activating mutation R201C in GNAS promotes intestinal tumourigenesis in Apc(Min/+) mice through activation of Wnt and ERK1/2 MAPK pathways.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23208952 Frequent GNAS and KRAS mutations in pyloric gland adenoma of the stomach and duodenum.</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24828667 Small-cell lung cancers in patients who never smoked cigarettes.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24498230 GNAS mutations identify a set of right-sided, RAS mutant, villous colon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17875924 Mutant p53 attenuates the SMAD-dependent transforming growth factor beta1 (TGF-beta1) signaling pathway by repressing the expression of TGF-beta receptor type II.</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15855639 SCF(beta-TrCP1) controls Smad4 protein stability in pancreatic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15014009 Missense mutations of MADH4: characterization of the mutational hot spot and functional consequences in human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29720405 Smad4/ DPC4.</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10340381 Higher frequency of Smad4 gene mutation in human colorectal cancer with distant metastasis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23396845 Context is everything for dependence receptors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12450792 Expression of the ETV6-NTRK3 gene fusion as a primary event in human secretory breast carcinoma.</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24658004 Recurrent SMARCA4 mutations in small cell carcinoma of the ovary.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24925223 Loss of ARID1A expression in colorectal carcinoma is strongly associated with mismatch repair deficiency.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26069190 ARID1A Deficiency Impairs the DNA Damage Checkpoint and Sensitizes Cells to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27320729 POLD1: Central Mediator of DNA Replication and Repair, and Implication in Cancer and Other Pathologies.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28003236 Targeting DNA Repair in Cancer: Beyond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Castellucci E, He T, Goldstein D.Y, et al. DNA Polymerase E Deficiency Leading to an Ultramutator Phenotype: A Novel Clinically Relevant Entity.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PMID: 28976787 Negative predictive biomarkers of checkpoint inhibitors in hyper-progressive tumors.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28351930 Hyperprogressors after Immunotherapy: Analysis of Genomic Alterations Associated with Accelerated Growth Rate.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28978051 Mutational status of TP53 defines the efficacy of Wee1 inhibitor AZD1775 in KRAS-mutant non-small cell lung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27601554 Phase I Study Evaluating WEE1 Inhibitor AZD1775 As Monotherapy and in Combination With Gemcitabine, Cisplatin, or Carboplatin in Patients With Advanced Solid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NCT02906059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NCT02576444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25987188 Aurora kinase A in gastrointestinal cancers: time to target.</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22753585 Phase I pharmacokinetic/pharmacodynamic study of MLN8237, an investigational, oral, selective aurora a kinase inhibitor, in patients with advanced solid tumors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30755439 Combined Aurora Kinase A (AURKA) and WEE1 Inhibition Demonstrates Synergistic Antitumor Effect in Squamous Cell Carcinoma of the Head and Neck.</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26086967 APR-246 overcomes resistance to cisplatin and doxorubicin in ovarian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26870698 Targeting of Mutant p53 and the Cellular Redox Balance by APR-246 as a Strategy for Efficient Cancer 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26452133 PRIMA-1met (APR-246) inhibits growth of colorectal cancer cells with different p53 status through distinct mechanisms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NCT03072043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23558291 Rapamycin Inhibits FBXW7 Loss-Induced Epithelial-Mesenchymal Transition and Cancer Stem Cell-Like Characteristics in Colorectal Cancer Cells.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18787170 FBXW7 targets mTOR for degradation and cooperates with PTEN in tumor suppression.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24586741 FBXW7 mutations in patients with advanced cancers: clinical and molecular characteristics and outcomes with mTOR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24360397 Temsirolimus therapy in a patient with lung adenocarcinoma harboring an FBXW7 mutation.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NCT03297606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26508446 Prediction of response to anti-EGFR antibody-based therapies by multigene sequencing in colorectal cancer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30086763 FBXW7: a critical tumor suppressor of human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27399335 FBW7 mutations mediate resistance of colorectal cancer to targeted therapies by blocking Mcl-1 degradation.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NCT02079740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NCT03087071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27167191 Efficacy of the combination of MEK and CDK4/6 inhibitors in vitro and in vivo in KRAS mutant colorectal cancer models.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NCT02613650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NCT03981614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NCT04111458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NCT03065387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NCT04965818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24170544 Modeling RAS phenotype in colorectal cancer uncovers novel molecular traits of RAS dependency and improves prediction of response to targeted agents in patients.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26666244 A phase I study of selumetinib (AZD6244/ARRY-142866), a MEK1/2 inhibitor, in combination with cetuximab in refractory solid tumors and KRAS mutant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25322874 Phase II study of selumetinib (AZD6244, ARRY-142886) plus irinotecan as second-line therapy in patients with K-RAS mutated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19401449 PI3K pathway activation mediates resistance to MEK inhibitors in KRAS mutant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21451123 A MEK inhibitor abrogates myeloproliferative disease in Kras mutant mice.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24576621 Combination PI3K/MEK inhibition promotes tumor apoptosis and regression in PIK3CA wild-type, KRAS mutant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20215549 Phase I pharmacokinetic and pharmacodynamic study of the oral MAPK/ERK kinase inhibitor PD-0325901 in patients with advanced cancers.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NCT02022982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NCT03875820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NCT02407509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CTR20222296  http://www.chinadrugtrials.org.cn.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16618717 KRAS mutation status is predictive of response to cetuximab therapy in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17664471 Expression of epiregulin and amphiregulin and K-ras mutation status predict disease control in metastatic colorectal cancer patients treated with cetuximab.</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17375050 Clinical relevance of KRAS mutation detection in metastatic colorectal cancer treated by Cetuximab plus chemotherapy.</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18621636 Association of K-ras mutational status and clinical outcomes in patients with metastatic colorectal cancer receiving panitumumab alone.</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23066310 KRAS mutation testing in metastatic colorectal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23182985 Mutant KRAS codon 12 and 13 alleles in patients with metastatic colorectal cancer: assessment as prognostic and predictive biomarkers of response to panitumumab.</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29285035 Biomarkers of Everolimus Sensitivity in Hormone Receptor-Positive Breast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28544747 K-Ras mutation and amplification status is predictive of resistance and high basal pAKT is predictive of sensitivity to everolimus in biliary tract cancer cell lines.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20664172 Deregulation of the PI3K and KRAS signaling pathways in human cancer cells determines their response to everolimus.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31801585 Clinical correlates of blood-derived circulating tumor DNA in pancreatic cancer.</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26069190 ARID1A Deficiency Impairs the DNA Damage Checkpoint and Sensitizes Cells to PARP Inhibitors.</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PMID: 24979463 Loss of ARID1A expression sensitizes cancer cells to PI3K- and AKT-inhibition.</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NCT02576444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NCT03842228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NCT04633902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NCT03209401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NCT02286687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NCT04985721 https://clinicaltrials.gov.</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 xml:space="preserve">NCT03297424 https://clinicaltrials.gov. </w:t>
      </w:r>
    </w:p>
    <w:p>
      <w:pPr>
        <w:numPr>
          <w:ilvl w:val="0"/>
          <w:numId w:val="24"/>
        </w:numPr>
        <w:spacing w:after="0" w:line="312" w:lineRule="auto"/>
        <w:jc w:val="both"/>
        <w:rPr>
          <w:rFonts w:hint="default" w:cs="Calibri" w:asciiTheme="minorHAnsi" w:hAnsiTheme="minorHAnsi"/>
          <w:color w:val="000000" w:themeColor="text1"/>
          <w:sz w:val="21"/>
          <w:szCs w:val="21"/>
          <w:lang w:val="en-US" w:eastAsia="zh-CN"/>
          <w14:textFill>
            <w14:solidFill>
              <w14:schemeClr w14:val="tx1"/>
            </w14:solidFill>
          </w14:textFill>
        </w:rPr>
      </w:pPr>
      <w:r>
        <w:rPr>
          <w:rFonts w:hint="default" w:cs="Calibri" w:asciiTheme="minorHAnsi" w:hAnsiTheme="minorHAnsi"/>
          <w:color w:val="000000" w:themeColor="text1"/>
          <w:sz w:val="21"/>
          <w:szCs w:val="21"/>
          <w:lang w:val="en-US" w:eastAsia="zh-CN"/>
          <w14:textFill>
            <w14:solidFill>
              <w14:schemeClr w14:val="tx1"/>
            </w14:solidFill>
          </w14:textFill>
        </w:rPr>
        <w:t>NCT05226507 https://clinicaltrials.gov.</w:t>
      </w:r>
    </w:p>
    <w:p>
      <w:pPr>
        <w:rPr>
          <w:rFonts w:ascii="微软雅黑" w:hAnsi="微软雅黑"/>
          <w:b/>
          <w:color w:val="00C4D8"/>
          <w:sz w:val="28"/>
          <w:szCs w:val="28"/>
        </w:rPr>
      </w:pPr>
      <w:r>
        <w:rPr>
          <w:rFonts w:hint="eastAsia" w:ascii="微软雅黑" w:hAnsi="微软雅黑"/>
          <w:b/>
          <w:color w:val="00C4D8"/>
          <w:sz w:val="28"/>
          <w:szCs w:val="28"/>
        </w:rPr>
        <w:br w:type="page"/>
      </w:r>
    </w:p>
    <w:p>
      <w:pPr>
        <w:adjustRightInd/>
        <w:snapToGrid/>
        <w:spacing w:before="200"/>
        <w:rPr>
          <w:rFonts w:ascii="微软雅黑" w:hAnsi="微软雅黑"/>
          <w:b/>
          <w:color w:val="00C4D8"/>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 report_date_dot }}）、参考基因组（GRCh37）、1000G（{{ report_date_dot }}）、dbSNP（151）、clinvar（{{ report_date_dot }}）、EXAC（0.3.1）、cosmic（{{ report_date_dot }}）、SIFT/LRT/MT/PhyloP /PolyPhen2_HDIV/PolyPhen2_HVAR（{{ report_date_dot }}）、Esp6500（{{ report_date_dot }}）、gnomad211_exome（v2.1.1）、gnomad211_genome（v2.1.1）。</w:t>
      </w: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302" w:name="OLE_LINK45"/>
      <w:r>
        <w:rPr>
          <w:rFonts w:hint="eastAsia" w:ascii="微软雅黑" w:hAnsi="微软雅黑" w:cs="微软雅黑"/>
          <w:sz w:val="21"/>
          <w:szCs w:val="21"/>
        </w:rPr>
        <w:t>血浆中循环肿瘤DNA</w:t>
      </w:r>
      <w:bookmarkEnd w:id="302"/>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4"/>
        <w:spacing w:line="300" w:lineRule="auto"/>
        <w:ind w:firstLine="0" w:firstLineChars="0"/>
        <w:rPr>
          <w:b/>
          <w:sz w:val="28"/>
          <w:szCs w:val="28"/>
        </w:rPr>
      </w:pPr>
    </w:p>
    <w:p>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spacing w:line="300" w:lineRule="auto"/>
        <w:ind w:firstLine="420" w:firstLineChars="200"/>
        <w:jc w:val="both"/>
        <w:rPr>
          <w:sz w:val="21"/>
          <w:szCs w:val="21"/>
        </w:rPr>
      </w:pPr>
    </w:p>
    <w:p>
      <w:pPr>
        <w:spacing w:line="300" w:lineRule="auto"/>
        <w:ind w:firstLine="420" w:firstLineChars="200"/>
        <w:jc w:val="both"/>
        <w:rPr>
          <w:sz w:val="21"/>
          <w:szCs w:val="21"/>
        </w:rPr>
      </w:pPr>
    </w:p>
    <w:p>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8" cstate="print"/>
                    <a:stretch>
                      <a:fillRect/>
                    </a:stretch>
                  </pic:blipFill>
                  <pic:spPr>
                    <a:xfrm>
                      <a:off x="0" y="0"/>
                      <a:ext cx="1292860" cy="1292225"/>
                    </a:xfrm>
                    <a:prstGeom prst="rect">
                      <a:avLst/>
                    </a:prstGeom>
                    <a:solidFill>
                      <a:srgbClr val="79CED5"/>
                    </a:solidFill>
                    <a:ln w="9525">
                      <a:noFill/>
                    </a:ln>
                  </pic:spPr>
                </pic:pic>
              </a:graphicData>
            </a:graphic>
          </wp:anchor>
        </w:drawing>
      </w:r>
    </w:p>
    <w:p>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pPr>
        <w:spacing w:line="300" w:lineRule="auto"/>
        <w:ind w:firstLine="360" w:firstLineChars="200"/>
        <w:jc w:val="both"/>
        <w:rPr>
          <w:sz w:val="21"/>
          <w:szCs w:val="21"/>
        </w:rPr>
      </w:pPr>
      <w:r>
        <w:rPr>
          <w:rFonts w:hint="eastAsia" w:ascii="微软雅黑" w:hAnsi="微软雅黑" w:cs="微软雅黑"/>
          <w:sz w:val="18"/>
          <w:szCs w:val="18"/>
        </w:rPr>
        <w:t>网站：www.marvelbio.com</w:t>
      </w:r>
    </w:p>
    <w:p>
      <w:pPr>
        <w:spacing w:line="300" w:lineRule="auto"/>
        <w:ind w:firstLine="420" w:firstLineChars="200"/>
        <w:jc w:val="both"/>
        <w:rPr>
          <w:sz w:val="21"/>
          <w:szCs w:val="21"/>
        </w:rPr>
      </w:pPr>
    </w:p>
    <w:p>
      <w:pPr>
        <w:spacing w:line="300" w:lineRule="auto"/>
        <w:ind w:firstLine="440" w:firstLineChars="200"/>
        <w:jc w:val="both"/>
        <w:rPr>
          <w:sz w:val="21"/>
          <w:szCs w:val="21"/>
        </w:rPr>
      </w:pPr>
      <w:r>
        <w:rPr>
          <w:rFonts w:hint="eastAsia"/>
        </w:rPr>
        <w:t xml:space="preserve">  </w:t>
      </w:r>
    </w:p>
    <w:p>
      <w:pPr>
        <w:spacing w:line="300" w:lineRule="auto"/>
        <w:rPr>
          <w:sz w:val="21"/>
          <w:szCs w:val="21"/>
        </w:rPr>
        <w:sectPr>
          <w:headerReference r:id="rId9" w:type="default"/>
          <w:footerReference r:id="rId10" w:type="default"/>
          <w:pgSz w:w="11906" w:h="16838"/>
          <w:pgMar w:top="1440" w:right="1800" w:bottom="1440" w:left="1800" w:header="709" w:footer="708" w:gutter="0"/>
          <w:cols w:space="708" w:num="1"/>
          <w:docGrid w:linePitch="360" w:charSpace="0"/>
        </w:sectPr>
      </w:pPr>
    </w:p>
    <w:bookmarkEnd w:id="14"/>
    <w:bookmarkEnd w:id="15"/>
    <w:p>
      <w:pPr>
        <w:spacing w:after="0"/>
        <w:jc w:val="center"/>
      </w:pPr>
      <w:r>
        <w:rPr>
          <w:rFonts w:hint="eastAsia" w:ascii="微软雅黑" w:hAnsi="微软雅黑" w:cs="微软雅黑"/>
          <w:b/>
          <w:sz w:val="21"/>
          <w:szCs w:val="21"/>
        </w:rPr>
        <w:drawing>
          <wp:anchor distT="0" distB="0" distL="114300" distR="114300" simplePos="0" relativeHeight="251691008"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49"/>
                    <a:stretch>
                      <a:fillRect/>
                    </a:stretch>
                  </pic:blipFill>
                  <pic:spPr>
                    <a:xfrm>
                      <a:off x="0" y="0"/>
                      <a:ext cx="7547610" cy="10774680"/>
                    </a:xfrm>
                    <a:prstGeom prst="rect">
                      <a:avLst/>
                    </a:prstGeom>
                  </pic:spPr>
                </pic:pic>
              </a:graphicData>
            </a:graphic>
          </wp:anchor>
        </w:drawing>
      </w:r>
    </w:p>
    <w:sectPr>
      <w:headerReference r:id="rId13" w:type="first"/>
      <w:headerReference r:id="rId11" w:type="default"/>
      <w:footerReference r:id="rId14" w:type="default"/>
      <w:headerReference r:id="rId12" w:type="even"/>
      <w:pgSz w:w="11906" w:h="16838"/>
      <w:pgMar w:top="720" w:right="720" w:bottom="720" w:left="720" w:header="709"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幼圆">
    <w:altName w:val="宋体"/>
    <w:panose1 w:val="02010509060101010101"/>
    <w:charset w:val="86"/>
    <w:family w:val="modern"/>
    <w:pitch w:val="default"/>
    <w:sig w:usb0="00000000" w:usb1="00000000" w:usb2="00000000" w:usb3="00000000" w:csb0="00040000" w:csb1="00000000"/>
  </w:font>
  <w:font w:name="Helvetica">
    <w:altName w:val="Arial"/>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CUh1e10gEAAKUDAAAOAAAAAAAAAAEAIAAAAB4BAABk&#10;cnMvZTJvRG9jLnhtbFBLBQYAAAAABgAGAFkBAABi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 patient_name }}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 xml:space="preserve">姓名：{{ patient_name }}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2">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3">
    <w:nsid w:val="C162700D"/>
    <w:multiLevelType w:val="singleLevel"/>
    <w:tmpl w:val="C162700D"/>
    <w:lvl w:ilvl="0" w:tentative="0">
      <w:start w:val="1"/>
      <w:numFmt w:val="decimal"/>
      <w:suff w:val="space"/>
      <w:lvlText w:val="%1."/>
      <w:lvlJc w:val="left"/>
    </w:lvl>
  </w:abstractNum>
  <w:abstractNum w:abstractNumId="4">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5">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9F938D4"/>
    <w:multiLevelType w:val="singleLevel"/>
    <w:tmpl w:val="59F938D4"/>
    <w:lvl w:ilvl="0" w:tentative="0">
      <w:start w:val="1"/>
      <w:numFmt w:val="chineseCounting"/>
      <w:suff w:val="nothing"/>
      <w:lvlText w:val="%1项"/>
      <w:lvlJc w:val="left"/>
    </w:lvl>
  </w:abstractNum>
  <w:abstractNum w:abstractNumId="14">
    <w:nsid w:val="5B10DDC0"/>
    <w:multiLevelType w:val="singleLevel"/>
    <w:tmpl w:val="5B10DDC0"/>
    <w:lvl w:ilvl="0" w:tentative="0">
      <w:start w:val="1"/>
      <w:numFmt w:val="decimal"/>
      <w:suff w:val="space"/>
      <w:lvlText w:val="[%1]"/>
      <w:lvlJc w:val="left"/>
    </w:lvl>
  </w:abstractNum>
  <w:abstractNum w:abstractNumId="15">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6">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7">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73A48B0C"/>
    <w:multiLevelType w:val="singleLevel"/>
    <w:tmpl w:val="73A48B0C"/>
    <w:lvl w:ilvl="0" w:tentative="0">
      <w:start w:val="1"/>
      <w:numFmt w:val="decimal"/>
      <w:suff w:val="space"/>
      <w:lvlText w:val="[%1]"/>
      <w:lvlJc w:val="left"/>
    </w:lvl>
  </w:abstractNum>
  <w:abstractNum w:abstractNumId="19">
    <w:nsid w:val="7515515F"/>
    <w:multiLevelType w:val="singleLevel"/>
    <w:tmpl w:val="7515515F"/>
    <w:lvl w:ilvl="0" w:tentative="0">
      <w:start w:val="1"/>
      <w:numFmt w:val="decimal"/>
      <w:suff w:val="space"/>
      <w:lvlText w:val="%1."/>
      <w:lvlJc w:val="left"/>
    </w:lvl>
  </w:abstractNum>
  <w:abstractNum w:abstractNumId="20">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1">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2">
    <w:nsid w:val="78AFFE8A"/>
    <w:multiLevelType w:val="singleLevel"/>
    <w:tmpl w:val="78AFFE8A"/>
    <w:lvl w:ilvl="0" w:tentative="0">
      <w:start w:val="1"/>
      <w:numFmt w:val="bullet"/>
      <w:lvlText w:val=""/>
      <w:lvlJc w:val="left"/>
      <w:pPr>
        <w:ind w:left="420" w:hanging="420"/>
      </w:pPr>
      <w:rPr>
        <w:rFonts w:hint="default" w:ascii="Wingdings" w:hAnsi="Wingdings"/>
        <w:color w:val="FF0000"/>
      </w:rPr>
    </w:lvl>
  </w:abstractNum>
  <w:abstractNum w:abstractNumId="23">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9"/>
  </w:num>
  <w:num w:numId="2">
    <w:abstractNumId w:val="5"/>
  </w:num>
  <w:num w:numId="3">
    <w:abstractNumId w:val="23"/>
  </w:num>
  <w:num w:numId="4">
    <w:abstractNumId w:val="18"/>
  </w:num>
  <w:num w:numId="5">
    <w:abstractNumId w:val="12"/>
  </w:num>
  <w:num w:numId="6">
    <w:abstractNumId w:val="16"/>
  </w:num>
  <w:num w:numId="7">
    <w:abstractNumId w:val="7"/>
  </w:num>
  <w:num w:numId="8">
    <w:abstractNumId w:val="17"/>
  </w:num>
  <w:num w:numId="9">
    <w:abstractNumId w:val="6"/>
  </w:num>
  <w:num w:numId="10">
    <w:abstractNumId w:val="8"/>
  </w:num>
  <w:num w:numId="11">
    <w:abstractNumId w:val="22"/>
  </w:num>
  <w:num w:numId="12">
    <w:abstractNumId w:val="10"/>
  </w:num>
  <w:num w:numId="13">
    <w:abstractNumId w:val="9"/>
  </w:num>
  <w:num w:numId="14">
    <w:abstractNumId w:val="1"/>
  </w:num>
  <w:num w:numId="15">
    <w:abstractNumId w:val="2"/>
  </w:num>
  <w:num w:numId="16">
    <w:abstractNumId w:val="11"/>
  </w:num>
  <w:num w:numId="17">
    <w:abstractNumId w:val="13"/>
  </w:num>
  <w:num w:numId="18">
    <w:abstractNumId w:val="20"/>
  </w:num>
  <w:num w:numId="19">
    <w:abstractNumId w:val="4"/>
  </w:num>
  <w:num w:numId="20">
    <w:abstractNumId w:val="21"/>
  </w:num>
  <w:num w:numId="21">
    <w:abstractNumId w:val="0"/>
  </w:num>
  <w:num w:numId="22">
    <w:abstractNumId w:val="15"/>
  </w:num>
  <w:num w:numId="23">
    <w:abstractNumId w:val="1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4E9"/>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73066"/>
    <w:rsid w:val="01D7699C"/>
    <w:rsid w:val="01D8543F"/>
    <w:rsid w:val="01DA04FD"/>
    <w:rsid w:val="01DB05F2"/>
    <w:rsid w:val="01E55FD7"/>
    <w:rsid w:val="01E72F2E"/>
    <w:rsid w:val="01E75ED0"/>
    <w:rsid w:val="01E93A59"/>
    <w:rsid w:val="01E94C64"/>
    <w:rsid w:val="01EB7A43"/>
    <w:rsid w:val="01EF6EA8"/>
    <w:rsid w:val="01F26BA1"/>
    <w:rsid w:val="01F36FCC"/>
    <w:rsid w:val="01F61FCC"/>
    <w:rsid w:val="01F73C28"/>
    <w:rsid w:val="01FA184C"/>
    <w:rsid w:val="01FB7D73"/>
    <w:rsid w:val="01FC36D0"/>
    <w:rsid w:val="01FD59F6"/>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F011B"/>
    <w:rsid w:val="0223548A"/>
    <w:rsid w:val="02272F70"/>
    <w:rsid w:val="02281201"/>
    <w:rsid w:val="02312630"/>
    <w:rsid w:val="02314B51"/>
    <w:rsid w:val="02345C73"/>
    <w:rsid w:val="02352BA2"/>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16EAC"/>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B5446"/>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8028B"/>
    <w:rsid w:val="03AB1570"/>
    <w:rsid w:val="03AB3DD7"/>
    <w:rsid w:val="03AC4128"/>
    <w:rsid w:val="03B0486E"/>
    <w:rsid w:val="03B30A60"/>
    <w:rsid w:val="03B87EBB"/>
    <w:rsid w:val="03BD58C5"/>
    <w:rsid w:val="03BF0C92"/>
    <w:rsid w:val="03BF3EB1"/>
    <w:rsid w:val="03C0718C"/>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277AA"/>
    <w:rsid w:val="045571C7"/>
    <w:rsid w:val="04576011"/>
    <w:rsid w:val="0459756B"/>
    <w:rsid w:val="04597A92"/>
    <w:rsid w:val="04610B65"/>
    <w:rsid w:val="04611F50"/>
    <w:rsid w:val="04660ADA"/>
    <w:rsid w:val="046E09E1"/>
    <w:rsid w:val="046F0C24"/>
    <w:rsid w:val="04700AEC"/>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61EBF"/>
    <w:rsid w:val="04D81727"/>
    <w:rsid w:val="04DA2547"/>
    <w:rsid w:val="04DB199F"/>
    <w:rsid w:val="04DB3607"/>
    <w:rsid w:val="04DC042D"/>
    <w:rsid w:val="04E10477"/>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E37F3"/>
    <w:rsid w:val="05702DF9"/>
    <w:rsid w:val="0573545C"/>
    <w:rsid w:val="0575654D"/>
    <w:rsid w:val="0576263D"/>
    <w:rsid w:val="05776718"/>
    <w:rsid w:val="05815B43"/>
    <w:rsid w:val="05835374"/>
    <w:rsid w:val="05844893"/>
    <w:rsid w:val="05856CAD"/>
    <w:rsid w:val="05857708"/>
    <w:rsid w:val="05877B47"/>
    <w:rsid w:val="058831AE"/>
    <w:rsid w:val="05966579"/>
    <w:rsid w:val="059B1FE1"/>
    <w:rsid w:val="059C2EBD"/>
    <w:rsid w:val="05A0242D"/>
    <w:rsid w:val="05A27C21"/>
    <w:rsid w:val="05A37A8F"/>
    <w:rsid w:val="05A43BF5"/>
    <w:rsid w:val="05B20635"/>
    <w:rsid w:val="05B253F0"/>
    <w:rsid w:val="05B6224D"/>
    <w:rsid w:val="05B86847"/>
    <w:rsid w:val="05B9407D"/>
    <w:rsid w:val="05BD1C6F"/>
    <w:rsid w:val="05C262D4"/>
    <w:rsid w:val="05C26988"/>
    <w:rsid w:val="05C362A1"/>
    <w:rsid w:val="05C70A61"/>
    <w:rsid w:val="05CE608C"/>
    <w:rsid w:val="05D074FD"/>
    <w:rsid w:val="05D2173E"/>
    <w:rsid w:val="05D33011"/>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B15E4"/>
    <w:rsid w:val="065C6BD2"/>
    <w:rsid w:val="065E6DDB"/>
    <w:rsid w:val="06660F96"/>
    <w:rsid w:val="06681752"/>
    <w:rsid w:val="066C380F"/>
    <w:rsid w:val="066D775C"/>
    <w:rsid w:val="066E7569"/>
    <w:rsid w:val="067036A2"/>
    <w:rsid w:val="06712612"/>
    <w:rsid w:val="067404C7"/>
    <w:rsid w:val="06762EC4"/>
    <w:rsid w:val="06764AB0"/>
    <w:rsid w:val="067A4D1F"/>
    <w:rsid w:val="067A543D"/>
    <w:rsid w:val="067B6092"/>
    <w:rsid w:val="067D04ED"/>
    <w:rsid w:val="067E03E5"/>
    <w:rsid w:val="067E0CBB"/>
    <w:rsid w:val="067E4E21"/>
    <w:rsid w:val="0688297B"/>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22102"/>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5520D"/>
    <w:rsid w:val="07A75A6E"/>
    <w:rsid w:val="07AA4314"/>
    <w:rsid w:val="07AD508F"/>
    <w:rsid w:val="07AE54E9"/>
    <w:rsid w:val="07AF74D4"/>
    <w:rsid w:val="07B0105B"/>
    <w:rsid w:val="07B03524"/>
    <w:rsid w:val="07BD0EFB"/>
    <w:rsid w:val="07C821A7"/>
    <w:rsid w:val="07D01EA4"/>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90331E8"/>
    <w:rsid w:val="0916780C"/>
    <w:rsid w:val="091709C3"/>
    <w:rsid w:val="091738A8"/>
    <w:rsid w:val="091A5D5A"/>
    <w:rsid w:val="091B21A8"/>
    <w:rsid w:val="091E4A6C"/>
    <w:rsid w:val="091E505F"/>
    <w:rsid w:val="091E738F"/>
    <w:rsid w:val="091F1C84"/>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4B69"/>
    <w:rsid w:val="0A1D3C7D"/>
    <w:rsid w:val="0A1D6E00"/>
    <w:rsid w:val="0A1F0101"/>
    <w:rsid w:val="0A267A65"/>
    <w:rsid w:val="0A2B10CA"/>
    <w:rsid w:val="0A2B783A"/>
    <w:rsid w:val="0A2C57AA"/>
    <w:rsid w:val="0A2D3D2D"/>
    <w:rsid w:val="0A307C63"/>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63CB"/>
    <w:rsid w:val="0A993FFD"/>
    <w:rsid w:val="0A9A2A54"/>
    <w:rsid w:val="0A9C3C2B"/>
    <w:rsid w:val="0A9E5FDC"/>
    <w:rsid w:val="0A9F4A0F"/>
    <w:rsid w:val="0AA238AC"/>
    <w:rsid w:val="0AA408F6"/>
    <w:rsid w:val="0AA4505E"/>
    <w:rsid w:val="0AA60167"/>
    <w:rsid w:val="0AA76F49"/>
    <w:rsid w:val="0AA86904"/>
    <w:rsid w:val="0AAA5618"/>
    <w:rsid w:val="0AB10DE5"/>
    <w:rsid w:val="0AB154B4"/>
    <w:rsid w:val="0AB419D2"/>
    <w:rsid w:val="0AB85910"/>
    <w:rsid w:val="0ABC2954"/>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BC"/>
    <w:rsid w:val="0AFD5923"/>
    <w:rsid w:val="0AFF2194"/>
    <w:rsid w:val="0B007BCE"/>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4F5A"/>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17073"/>
    <w:rsid w:val="10D25F76"/>
    <w:rsid w:val="10D3115B"/>
    <w:rsid w:val="10D50142"/>
    <w:rsid w:val="10D63177"/>
    <w:rsid w:val="10D84401"/>
    <w:rsid w:val="10DB60FA"/>
    <w:rsid w:val="10E15560"/>
    <w:rsid w:val="10E1634A"/>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60292B"/>
    <w:rsid w:val="1164219C"/>
    <w:rsid w:val="116513EC"/>
    <w:rsid w:val="11653B97"/>
    <w:rsid w:val="11662EB4"/>
    <w:rsid w:val="116B6BB2"/>
    <w:rsid w:val="116C044A"/>
    <w:rsid w:val="116C06A4"/>
    <w:rsid w:val="116C34F0"/>
    <w:rsid w:val="116E3FD1"/>
    <w:rsid w:val="116E5CDD"/>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F7D40"/>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6029B"/>
    <w:rsid w:val="1286242B"/>
    <w:rsid w:val="128B1AAC"/>
    <w:rsid w:val="128B4FFF"/>
    <w:rsid w:val="128F5D4B"/>
    <w:rsid w:val="128F7F8B"/>
    <w:rsid w:val="12932802"/>
    <w:rsid w:val="129A4C68"/>
    <w:rsid w:val="129A73A9"/>
    <w:rsid w:val="129E2FE7"/>
    <w:rsid w:val="129F40F1"/>
    <w:rsid w:val="12A2119D"/>
    <w:rsid w:val="12A243F9"/>
    <w:rsid w:val="12A55E02"/>
    <w:rsid w:val="12A61E39"/>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B210C"/>
    <w:rsid w:val="12FF4867"/>
    <w:rsid w:val="13010D3C"/>
    <w:rsid w:val="130152C1"/>
    <w:rsid w:val="1302674E"/>
    <w:rsid w:val="130513AD"/>
    <w:rsid w:val="130617B1"/>
    <w:rsid w:val="13062E42"/>
    <w:rsid w:val="130A6064"/>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52D67"/>
    <w:rsid w:val="13555633"/>
    <w:rsid w:val="13563DAD"/>
    <w:rsid w:val="13567904"/>
    <w:rsid w:val="135B0551"/>
    <w:rsid w:val="135B5997"/>
    <w:rsid w:val="1360506C"/>
    <w:rsid w:val="13615AD3"/>
    <w:rsid w:val="136373F0"/>
    <w:rsid w:val="136733E5"/>
    <w:rsid w:val="13683DAF"/>
    <w:rsid w:val="136B514F"/>
    <w:rsid w:val="136E4917"/>
    <w:rsid w:val="13710699"/>
    <w:rsid w:val="13721448"/>
    <w:rsid w:val="137723E0"/>
    <w:rsid w:val="137D465B"/>
    <w:rsid w:val="137E5A7E"/>
    <w:rsid w:val="1380639A"/>
    <w:rsid w:val="138376BF"/>
    <w:rsid w:val="13856AE5"/>
    <w:rsid w:val="13884241"/>
    <w:rsid w:val="138B3C13"/>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4C6D"/>
    <w:rsid w:val="13C57DF3"/>
    <w:rsid w:val="13C734D6"/>
    <w:rsid w:val="13C8086B"/>
    <w:rsid w:val="13C875D6"/>
    <w:rsid w:val="13CC66E1"/>
    <w:rsid w:val="13CD0ADC"/>
    <w:rsid w:val="13CE4254"/>
    <w:rsid w:val="13CE5AEB"/>
    <w:rsid w:val="13CF3DBE"/>
    <w:rsid w:val="13DD5884"/>
    <w:rsid w:val="13DD698E"/>
    <w:rsid w:val="13DE609A"/>
    <w:rsid w:val="13E50C9A"/>
    <w:rsid w:val="13E83D5C"/>
    <w:rsid w:val="13E8410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F2B50"/>
    <w:rsid w:val="14B15F56"/>
    <w:rsid w:val="14B32029"/>
    <w:rsid w:val="14B801EF"/>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B5E21"/>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A1C04"/>
    <w:rsid w:val="15BF29C1"/>
    <w:rsid w:val="15C00173"/>
    <w:rsid w:val="15C10F74"/>
    <w:rsid w:val="15C446D3"/>
    <w:rsid w:val="15C832A4"/>
    <w:rsid w:val="15CE612C"/>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9857F4"/>
    <w:rsid w:val="16997F27"/>
    <w:rsid w:val="169B62C6"/>
    <w:rsid w:val="169C3CD4"/>
    <w:rsid w:val="16A13986"/>
    <w:rsid w:val="16A60D3C"/>
    <w:rsid w:val="16A719BC"/>
    <w:rsid w:val="16A71ED1"/>
    <w:rsid w:val="16A9527E"/>
    <w:rsid w:val="16A96FB6"/>
    <w:rsid w:val="16AD1069"/>
    <w:rsid w:val="16AF730F"/>
    <w:rsid w:val="16B32970"/>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45EA2"/>
    <w:rsid w:val="176C2904"/>
    <w:rsid w:val="176C62D5"/>
    <w:rsid w:val="176D7C2A"/>
    <w:rsid w:val="17707BBF"/>
    <w:rsid w:val="17723C77"/>
    <w:rsid w:val="17731703"/>
    <w:rsid w:val="17746E2A"/>
    <w:rsid w:val="17787115"/>
    <w:rsid w:val="177B2BB7"/>
    <w:rsid w:val="177B3EF6"/>
    <w:rsid w:val="177F7F6A"/>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C413D"/>
    <w:rsid w:val="17AD2824"/>
    <w:rsid w:val="17AD57B0"/>
    <w:rsid w:val="17AE1FE1"/>
    <w:rsid w:val="17AE4F2B"/>
    <w:rsid w:val="17AF57C6"/>
    <w:rsid w:val="17AF781A"/>
    <w:rsid w:val="17AF79E2"/>
    <w:rsid w:val="17B13DCE"/>
    <w:rsid w:val="17C041B0"/>
    <w:rsid w:val="17C3337D"/>
    <w:rsid w:val="17C604E5"/>
    <w:rsid w:val="17D13499"/>
    <w:rsid w:val="17D20B5F"/>
    <w:rsid w:val="17D640E4"/>
    <w:rsid w:val="17DD553F"/>
    <w:rsid w:val="17DE1A81"/>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F5A62"/>
    <w:rsid w:val="18700F1F"/>
    <w:rsid w:val="18730A0F"/>
    <w:rsid w:val="18731B82"/>
    <w:rsid w:val="18731FB0"/>
    <w:rsid w:val="18760463"/>
    <w:rsid w:val="187C3B59"/>
    <w:rsid w:val="187C6979"/>
    <w:rsid w:val="187F35D3"/>
    <w:rsid w:val="187F46C3"/>
    <w:rsid w:val="187F6C01"/>
    <w:rsid w:val="188268EF"/>
    <w:rsid w:val="188428B3"/>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D2FF5"/>
    <w:rsid w:val="1AEE29A9"/>
    <w:rsid w:val="1AF27FC9"/>
    <w:rsid w:val="1AF53561"/>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405F"/>
    <w:rsid w:val="1B4B451B"/>
    <w:rsid w:val="1B4B6808"/>
    <w:rsid w:val="1B4F2662"/>
    <w:rsid w:val="1B502212"/>
    <w:rsid w:val="1B505EA9"/>
    <w:rsid w:val="1B507C38"/>
    <w:rsid w:val="1B521BAE"/>
    <w:rsid w:val="1B522602"/>
    <w:rsid w:val="1B522B5E"/>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4B90"/>
    <w:rsid w:val="1C3C78C6"/>
    <w:rsid w:val="1C3D0941"/>
    <w:rsid w:val="1C411445"/>
    <w:rsid w:val="1C447172"/>
    <w:rsid w:val="1C47468D"/>
    <w:rsid w:val="1C485582"/>
    <w:rsid w:val="1C4A5F2B"/>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4891"/>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82A51"/>
    <w:rsid w:val="1E406F8C"/>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66BB1"/>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08D5"/>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75D28"/>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738FF"/>
    <w:rsid w:val="20B77240"/>
    <w:rsid w:val="20B9542D"/>
    <w:rsid w:val="20BB42D2"/>
    <w:rsid w:val="20BB57DA"/>
    <w:rsid w:val="20C2018C"/>
    <w:rsid w:val="20C25F02"/>
    <w:rsid w:val="20C86C49"/>
    <w:rsid w:val="20CD76A5"/>
    <w:rsid w:val="20D1108C"/>
    <w:rsid w:val="20D414E3"/>
    <w:rsid w:val="20D74D5F"/>
    <w:rsid w:val="20D76314"/>
    <w:rsid w:val="20D82020"/>
    <w:rsid w:val="20D9646E"/>
    <w:rsid w:val="20DE0E7A"/>
    <w:rsid w:val="20DE1C9A"/>
    <w:rsid w:val="20E221E4"/>
    <w:rsid w:val="20E53376"/>
    <w:rsid w:val="20E70C38"/>
    <w:rsid w:val="20E830D5"/>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B40B6"/>
    <w:rsid w:val="216C6E6A"/>
    <w:rsid w:val="216E3857"/>
    <w:rsid w:val="216F5CB3"/>
    <w:rsid w:val="21715339"/>
    <w:rsid w:val="21724273"/>
    <w:rsid w:val="217465D2"/>
    <w:rsid w:val="217A4226"/>
    <w:rsid w:val="217F2A3E"/>
    <w:rsid w:val="21816786"/>
    <w:rsid w:val="21816AC6"/>
    <w:rsid w:val="2186527B"/>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D3"/>
    <w:rsid w:val="21A8797C"/>
    <w:rsid w:val="21AF0627"/>
    <w:rsid w:val="21B222C0"/>
    <w:rsid w:val="21B239C6"/>
    <w:rsid w:val="21B764CD"/>
    <w:rsid w:val="21B812D8"/>
    <w:rsid w:val="21C173F3"/>
    <w:rsid w:val="21C3208B"/>
    <w:rsid w:val="21C347B6"/>
    <w:rsid w:val="21C839CE"/>
    <w:rsid w:val="21C979FE"/>
    <w:rsid w:val="21CD2655"/>
    <w:rsid w:val="21CD3378"/>
    <w:rsid w:val="21CD75D5"/>
    <w:rsid w:val="21D20555"/>
    <w:rsid w:val="21D23A45"/>
    <w:rsid w:val="21D327EF"/>
    <w:rsid w:val="21DA6174"/>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64DFE"/>
    <w:rsid w:val="22266513"/>
    <w:rsid w:val="2228687C"/>
    <w:rsid w:val="2228794E"/>
    <w:rsid w:val="22293DAC"/>
    <w:rsid w:val="222B4109"/>
    <w:rsid w:val="222D66D8"/>
    <w:rsid w:val="222F32A5"/>
    <w:rsid w:val="223215B0"/>
    <w:rsid w:val="22345C93"/>
    <w:rsid w:val="223C5396"/>
    <w:rsid w:val="224A7E32"/>
    <w:rsid w:val="224D0688"/>
    <w:rsid w:val="224E1A8D"/>
    <w:rsid w:val="22536448"/>
    <w:rsid w:val="22540F67"/>
    <w:rsid w:val="2256273C"/>
    <w:rsid w:val="22570048"/>
    <w:rsid w:val="22610A32"/>
    <w:rsid w:val="22650199"/>
    <w:rsid w:val="2268071D"/>
    <w:rsid w:val="226E18C3"/>
    <w:rsid w:val="22706523"/>
    <w:rsid w:val="2274388F"/>
    <w:rsid w:val="2274695C"/>
    <w:rsid w:val="22761853"/>
    <w:rsid w:val="22783D2E"/>
    <w:rsid w:val="227A10CF"/>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D4C7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F5C7C"/>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907C4"/>
    <w:rsid w:val="268A7DD4"/>
    <w:rsid w:val="268D1F28"/>
    <w:rsid w:val="268E7C6E"/>
    <w:rsid w:val="269364D1"/>
    <w:rsid w:val="26942BE6"/>
    <w:rsid w:val="269448A2"/>
    <w:rsid w:val="26962499"/>
    <w:rsid w:val="26990243"/>
    <w:rsid w:val="269909FA"/>
    <w:rsid w:val="269C2D19"/>
    <w:rsid w:val="269C36EB"/>
    <w:rsid w:val="269F3F2E"/>
    <w:rsid w:val="26A01AA9"/>
    <w:rsid w:val="26A54056"/>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C631B"/>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0116A"/>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F3722"/>
    <w:rsid w:val="29701412"/>
    <w:rsid w:val="29755792"/>
    <w:rsid w:val="29766AA9"/>
    <w:rsid w:val="29772C0F"/>
    <w:rsid w:val="29783B5A"/>
    <w:rsid w:val="2978652E"/>
    <w:rsid w:val="297B7724"/>
    <w:rsid w:val="297E54B9"/>
    <w:rsid w:val="29835948"/>
    <w:rsid w:val="29856B6A"/>
    <w:rsid w:val="298E7418"/>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75310"/>
    <w:rsid w:val="29C76FB0"/>
    <w:rsid w:val="29CF2110"/>
    <w:rsid w:val="29D347D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831C5"/>
    <w:rsid w:val="2A191200"/>
    <w:rsid w:val="2A19456D"/>
    <w:rsid w:val="2A1A5203"/>
    <w:rsid w:val="2A205201"/>
    <w:rsid w:val="2A213E21"/>
    <w:rsid w:val="2A224677"/>
    <w:rsid w:val="2A264F50"/>
    <w:rsid w:val="2A2906E7"/>
    <w:rsid w:val="2A2F1014"/>
    <w:rsid w:val="2A2F6817"/>
    <w:rsid w:val="2A2F751F"/>
    <w:rsid w:val="2A302AEF"/>
    <w:rsid w:val="2A360F19"/>
    <w:rsid w:val="2A3C392E"/>
    <w:rsid w:val="2A454796"/>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22892"/>
    <w:rsid w:val="2AD57308"/>
    <w:rsid w:val="2AD948FE"/>
    <w:rsid w:val="2ADA0B47"/>
    <w:rsid w:val="2ADB7341"/>
    <w:rsid w:val="2AE0548C"/>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87612"/>
    <w:rsid w:val="2B490125"/>
    <w:rsid w:val="2B4A23D1"/>
    <w:rsid w:val="2B4B36FF"/>
    <w:rsid w:val="2B5205AF"/>
    <w:rsid w:val="2B5C7894"/>
    <w:rsid w:val="2B5D1579"/>
    <w:rsid w:val="2B6562D3"/>
    <w:rsid w:val="2B681F2A"/>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0068"/>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86FF9"/>
    <w:rsid w:val="2C2960FC"/>
    <w:rsid w:val="2C2B021E"/>
    <w:rsid w:val="2C2D2D0D"/>
    <w:rsid w:val="2C375944"/>
    <w:rsid w:val="2C3B155A"/>
    <w:rsid w:val="2C3F2EB7"/>
    <w:rsid w:val="2C454CDB"/>
    <w:rsid w:val="2C4D7F46"/>
    <w:rsid w:val="2C4F0497"/>
    <w:rsid w:val="2C506442"/>
    <w:rsid w:val="2C541335"/>
    <w:rsid w:val="2C57251C"/>
    <w:rsid w:val="2C5C51D5"/>
    <w:rsid w:val="2C5F6823"/>
    <w:rsid w:val="2C605945"/>
    <w:rsid w:val="2C62700C"/>
    <w:rsid w:val="2C6631F9"/>
    <w:rsid w:val="2C685693"/>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01DB"/>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9330D"/>
    <w:rsid w:val="2DFB0CFD"/>
    <w:rsid w:val="2DFE0923"/>
    <w:rsid w:val="2DFE3326"/>
    <w:rsid w:val="2DFF182D"/>
    <w:rsid w:val="2DFF3E40"/>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5F38"/>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CD498D"/>
    <w:rsid w:val="2ED36616"/>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70B57"/>
    <w:rsid w:val="2F27590D"/>
    <w:rsid w:val="2F27710F"/>
    <w:rsid w:val="2F281646"/>
    <w:rsid w:val="2F2A651E"/>
    <w:rsid w:val="2F2C7FF7"/>
    <w:rsid w:val="2F2D3340"/>
    <w:rsid w:val="2F2E5C57"/>
    <w:rsid w:val="2F30212C"/>
    <w:rsid w:val="2F315864"/>
    <w:rsid w:val="2F32137F"/>
    <w:rsid w:val="2F351AE9"/>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6146"/>
    <w:rsid w:val="2F71797B"/>
    <w:rsid w:val="2F762ECF"/>
    <w:rsid w:val="2F79396A"/>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61B3"/>
    <w:rsid w:val="30E81B43"/>
    <w:rsid w:val="30EB193A"/>
    <w:rsid w:val="30ED25C8"/>
    <w:rsid w:val="30EF3F28"/>
    <w:rsid w:val="30F331EA"/>
    <w:rsid w:val="30F779FC"/>
    <w:rsid w:val="30F9414D"/>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D1917"/>
    <w:rsid w:val="31DF76F1"/>
    <w:rsid w:val="31E00FB5"/>
    <w:rsid w:val="31E45B8C"/>
    <w:rsid w:val="31E645B1"/>
    <w:rsid w:val="31EC756B"/>
    <w:rsid w:val="31EE29B3"/>
    <w:rsid w:val="31EE412C"/>
    <w:rsid w:val="31F745D3"/>
    <w:rsid w:val="31F83CBF"/>
    <w:rsid w:val="31FA339D"/>
    <w:rsid w:val="31FB28EC"/>
    <w:rsid w:val="31FC58E9"/>
    <w:rsid w:val="31FE3095"/>
    <w:rsid w:val="31FE67FD"/>
    <w:rsid w:val="31FF671F"/>
    <w:rsid w:val="32020056"/>
    <w:rsid w:val="32034F14"/>
    <w:rsid w:val="3204181A"/>
    <w:rsid w:val="32056815"/>
    <w:rsid w:val="320A2560"/>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5274F"/>
    <w:rsid w:val="328D317B"/>
    <w:rsid w:val="328D7338"/>
    <w:rsid w:val="328F15D2"/>
    <w:rsid w:val="32903113"/>
    <w:rsid w:val="32920760"/>
    <w:rsid w:val="3294299E"/>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A38CA"/>
    <w:rsid w:val="34B01D5A"/>
    <w:rsid w:val="34B04A3D"/>
    <w:rsid w:val="34B2580F"/>
    <w:rsid w:val="34B41020"/>
    <w:rsid w:val="34B962E0"/>
    <w:rsid w:val="34BF33D6"/>
    <w:rsid w:val="34C27A5A"/>
    <w:rsid w:val="34C30824"/>
    <w:rsid w:val="34C64994"/>
    <w:rsid w:val="34C82459"/>
    <w:rsid w:val="34C93E4B"/>
    <w:rsid w:val="34CC7593"/>
    <w:rsid w:val="34D467DD"/>
    <w:rsid w:val="34DB7B3E"/>
    <w:rsid w:val="34E97AB3"/>
    <w:rsid w:val="34EA018F"/>
    <w:rsid w:val="34EA0FA1"/>
    <w:rsid w:val="34EB768F"/>
    <w:rsid w:val="34ED5259"/>
    <w:rsid w:val="34F0335F"/>
    <w:rsid w:val="34F52260"/>
    <w:rsid w:val="34FC127E"/>
    <w:rsid w:val="34FC5CDE"/>
    <w:rsid w:val="35020C24"/>
    <w:rsid w:val="35042CC3"/>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58ED"/>
    <w:rsid w:val="357F736D"/>
    <w:rsid w:val="3584606C"/>
    <w:rsid w:val="35861800"/>
    <w:rsid w:val="3586192A"/>
    <w:rsid w:val="35872075"/>
    <w:rsid w:val="358D306E"/>
    <w:rsid w:val="358F26DC"/>
    <w:rsid w:val="358F69ED"/>
    <w:rsid w:val="359143C4"/>
    <w:rsid w:val="359202CF"/>
    <w:rsid w:val="35987485"/>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E2705"/>
    <w:rsid w:val="36CF361F"/>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17919"/>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BC5AD7"/>
    <w:rsid w:val="37BE0520"/>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81389A"/>
    <w:rsid w:val="388624AD"/>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D4198"/>
    <w:rsid w:val="38B02942"/>
    <w:rsid w:val="38B16CB8"/>
    <w:rsid w:val="38B22037"/>
    <w:rsid w:val="38B467AE"/>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414158"/>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7316E"/>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3531C"/>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449D4"/>
    <w:rsid w:val="3C652428"/>
    <w:rsid w:val="3C66428B"/>
    <w:rsid w:val="3C6666A9"/>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4150"/>
    <w:rsid w:val="3E2F3B0E"/>
    <w:rsid w:val="3E324F76"/>
    <w:rsid w:val="3E352A83"/>
    <w:rsid w:val="3E38233A"/>
    <w:rsid w:val="3E383748"/>
    <w:rsid w:val="3E3B6A60"/>
    <w:rsid w:val="3E3D78EB"/>
    <w:rsid w:val="3E3E04D6"/>
    <w:rsid w:val="3E3E2C2F"/>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654D6"/>
    <w:rsid w:val="3F481985"/>
    <w:rsid w:val="3F4874E3"/>
    <w:rsid w:val="3F4973BD"/>
    <w:rsid w:val="3F4C57EF"/>
    <w:rsid w:val="3F4D43D5"/>
    <w:rsid w:val="3F525A06"/>
    <w:rsid w:val="3F54627F"/>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52699"/>
    <w:rsid w:val="41475A67"/>
    <w:rsid w:val="4148218A"/>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A181B"/>
    <w:rsid w:val="448E5015"/>
    <w:rsid w:val="448F4618"/>
    <w:rsid w:val="449045B1"/>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1379"/>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92D22"/>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76EC"/>
    <w:rsid w:val="46697C23"/>
    <w:rsid w:val="466B1E95"/>
    <w:rsid w:val="466D3137"/>
    <w:rsid w:val="466D4E77"/>
    <w:rsid w:val="46713857"/>
    <w:rsid w:val="4674136E"/>
    <w:rsid w:val="467657F9"/>
    <w:rsid w:val="46782F47"/>
    <w:rsid w:val="467830C8"/>
    <w:rsid w:val="467D48EA"/>
    <w:rsid w:val="467E5625"/>
    <w:rsid w:val="46817374"/>
    <w:rsid w:val="468477E7"/>
    <w:rsid w:val="4685178A"/>
    <w:rsid w:val="468764EB"/>
    <w:rsid w:val="468937D3"/>
    <w:rsid w:val="468B027F"/>
    <w:rsid w:val="468C239F"/>
    <w:rsid w:val="468C2DA9"/>
    <w:rsid w:val="468E73C7"/>
    <w:rsid w:val="46912243"/>
    <w:rsid w:val="46920AC3"/>
    <w:rsid w:val="469726FC"/>
    <w:rsid w:val="469A348A"/>
    <w:rsid w:val="46A73126"/>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04FC0"/>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70E34"/>
    <w:rsid w:val="4A0A5A5E"/>
    <w:rsid w:val="4A0B32D9"/>
    <w:rsid w:val="4A0B4278"/>
    <w:rsid w:val="4A0B59F3"/>
    <w:rsid w:val="4A0E79CA"/>
    <w:rsid w:val="4A1243E2"/>
    <w:rsid w:val="4A1B1491"/>
    <w:rsid w:val="4A20214B"/>
    <w:rsid w:val="4A21733A"/>
    <w:rsid w:val="4A2231B7"/>
    <w:rsid w:val="4A244932"/>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3B69"/>
    <w:rsid w:val="4A564886"/>
    <w:rsid w:val="4A58325F"/>
    <w:rsid w:val="4A5A5897"/>
    <w:rsid w:val="4A5C0F0C"/>
    <w:rsid w:val="4A5D0EE4"/>
    <w:rsid w:val="4A5E2910"/>
    <w:rsid w:val="4A5E7D2E"/>
    <w:rsid w:val="4A614C2D"/>
    <w:rsid w:val="4A6315A8"/>
    <w:rsid w:val="4A6537B7"/>
    <w:rsid w:val="4A7411B1"/>
    <w:rsid w:val="4A7A0A45"/>
    <w:rsid w:val="4A7A75FA"/>
    <w:rsid w:val="4A7E3207"/>
    <w:rsid w:val="4A820975"/>
    <w:rsid w:val="4A826B80"/>
    <w:rsid w:val="4A830182"/>
    <w:rsid w:val="4A837295"/>
    <w:rsid w:val="4A8738AC"/>
    <w:rsid w:val="4A8A3823"/>
    <w:rsid w:val="4A8C7560"/>
    <w:rsid w:val="4A8E7A40"/>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388A"/>
    <w:rsid w:val="4B017362"/>
    <w:rsid w:val="4B0212D7"/>
    <w:rsid w:val="4B060270"/>
    <w:rsid w:val="4B0B42D2"/>
    <w:rsid w:val="4B0C6638"/>
    <w:rsid w:val="4B14260F"/>
    <w:rsid w:val="4B151303"/>
    <w:rsid w:val="4B166E55"/>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13578"/>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67DDC"/>
    <w:rsid w:val="4B6B6D43"/>
    <w:rsid w:val="4B6E5744"/>
    <w:rsid w:val="4B6F44F5"/>
    <w:rsid w:val="4B724622"/>
    <w:rsid w:val="4B73143D"/>
    <w:rsid w:val="4B762487"/>
    <w:rsid w:val="4B776E31"/>
    <w:rsid w:val="4B7E3A71"/>
    <w:rsid w:val="4B856EEB"/>
    <w:rsid w:val="4B86222C"/>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578FE"/>
    <w:rsid w:val="4BA61464"/>
    <w:rsid w:val="4BAB6053"/>
    <w:rsid w:val="4BB050A5"/>
    <w:rsid w:val="4BB07825"/>
    <w:rsid w:val="4BB2372B"/>
    <w:rsid w:val="4BB752CB"/>
    <w:rsid w:val="4BC0223A"/>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5852"/>
    <w:rsid w:val="4CD4750B"/>
    <w:rsid w:val="4CD83D84"/>
    <w:rsid w:val="4CDC509B"/>
    <w:rsid w:val="4CDE39A2"/>
    <w:rsid w:val="4CE73126"/>
    <w:rsid w:val="4CEC25AC"/>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266E6"/>
    <w:rsid w:val="4E353250"/>
    <w:rsid w:val="4E3934F1"/>
    <w:rsid w:val="4E3B2F5F"/>
    <w:rsid w:val="4E3E1774"/>
    <w:rsid w:val="4E4405F7"/>
    <w:rsid w:val="4E462BDB"/>
    <w:rsid w:val="4E4706FF"/>
    <w:rsid w:val="4E472DE4"/>
    <w:rsid w:val="4E490E91"/>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B26DC"/>
    <w:rsid w:val="4EEF1BEC"/>
    <w:rsid w:val="4EF03CEE"/>
    <w:rsid w:val="4EF7109C"/>
    <w:rsid w:val="4EF87191"/>
    <w:rsid w:val="4EFC114C"/>
    <w:rsid w:val="4EFD19E2"/>
    <w:rsid w:val="4EFF592D"/>
    <w:rsid w:val="4F030297"/>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34326"/>
    <w:rsid w:val="507373A8"/>
    <w:rsid w:val="50767D49"/>
    <w:rsid w:val="507B1010"/>
    <w:rsid w:val="5080064E"/>
    <w:rsid w:val="50815D12"/>
    <w:rsid w:val="50881A2F"/>
    <w:rsid w:val="508A2397"/>
    <w:rsid w:val="508B41E7"/>
    <w:rsid w:val="508B5B37"/>
    <w:rsid w:val="508C6425"/>
    <w:rsid w:val="50922785"/>
    <w:rsid w:val="509D475A"/>
    <w:rsid w:val="50A078EC"/>
    <w:rsid w:val="50A234B0"/>
    <w:rsid w:val="50A25654"/>
    <w:rsid w:val="50A454F9"/>
    <w:rsid w:val="50A61BD5"/>
    <w:rsid w:val="50AB5363"/>
    <w:rsid w:val="50AD6935"/>
    <w:rsid w:val="50AE16EE"/>
    <w:rsid w:val="50AF30C6"/>
    <w:rsid w:val="50B332A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E176A"/>
    <w:rsid w:val="527F6F49"/>
    <w:rsid w:val="5285323E"/>
    <w:rsid w:val="528613D1"/>
    <w:rsid w:val="5287106C"/>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D3304A"/>
    <w:rsid w:val="53D352E6"/>
    <w:rsid w:val="53D505EF"/>
    <w:rsid w:val="53D61877"/>
    <w:rsid w:val="53D766AF"/>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A7ECF"/>
    <w:rsid w:val="540E09B9"/>
    <w:rsid w:val="540F054F"/>
    <w:rsid w:val="54103DD4"/>
    <w:rsid w:val="54104215"/>
    <w:rsid w:val="54123FF7"/>
    <w:rsid w:val="54150E7E"/>
    <w:rsid w:val="541B2F5B"/>
    <w:rsid w:val="541B3CC4"/>
    <w:rsid w:val="54207519"/>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96C80"/>
    <w:rsid w:val="548B0D85"/>
    <w:rsid w:val="548C0CEF"/>
    <w:rsid w:val="548C12C1"/>
    <w:rsid w:val="548C16B2"/>
    <w:rsid w:val="54935398"/>
    <w:rsid w:val="54954FC0"/>
    <w:rsid w:val="54977EEA"/>
    <w:rsid w:val="54980D2D"/>
    <w:rsid w:val="549A316E"/>
    <w:rsid w:val="549F6090"/>
    <w:rsid w:val="54A203AA"/>
    <w:rsid w:val="54A32783"/>
    <w:rsid w:val="54A46F58"/>
    <w:rsid w:val="54A76C80"/>
    <w:rsid w:val="54A83508"/>
    <w:rsid w:val="54A95E9D"/>
    <w:rsid w:val="54AA0902"/>
    <w:rsid w:val="54AB40D2"/>
    <w:rsid w:val="54AD5D40"/>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F009A"/>
    <w:rsid w:val="552F108E"/>
    <w:rsid w:val="5533583F"/>
    <w:rsid w:val="55387C97"/>
    <w:rsid w:val="553A2C6B"/>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30C3C"/>
    <w:rsid w:val="56532AA2"/>
    <w:rsid w:val="56557AA7"/>
    <w:rsid w:val="565A6FAE"/>
    <w:rsid w:val="565D3695"/>
    <w:rsid w:val="565E4F9F"/>
    <w:rsid w:val="565F5964"/>
    <w:rsid w:val="56602CF9"/>
    <w:rsid w:val="5661438B"/>
    <w:rsid w:val="56640307"/>
    <w:rsid w:val="56660B41"/>
    <w:rsid w:val="5667482A"/>
    <w:rsid w:val="566B273B"/>
    <w:rsid w:val="566E223B"/>
    <w:rsid w:val="56725F6F"/>
    <w:rsid w:val="5676236B"/>
    <w:rsid w:val="56777E21"/>
    <w:rsid w:val="567800FD"/>
    <w:rsid w:val="567C7B7C"/>
    <w:rsid w:val="5681559F"/>
    <w:rsid w:val="56830D7B"/>
    <w:rsid w:val="56885DF8"/>
    <w:rsid w:val="568E138E"/>
    <w:rsid w:val="5694135E"/>
    <w:rsid w:val="569C2596"/>
    <w:rsid w:val="569D62EC"/>
    <w:rsid w:val="569F0117"/>
    <w:rsid w:val="569F38CC"/>
    <w:rsid w:val="56A81045"/>
    <w:rsid w:val="56A812A9"/>
    <w:rsid w:val="56AB6FEB"/>
    <w:rsid w:val="56AC14BF"/>
    <w:rsid w:val="56B459E7"/>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A4046"/>
    <w:rsid w:val="56FC0E19"/>
    <w:rsid w:val="56FC33A3"/>
    <w:rsid w:val="57014A64"/>
    <w:rsid w:val="57047A2A"/>
    <w:rsid w:val="57050988"/>
    <w:rsid w:val="570549BD"/>
    <w:rsid w:val="57072BD8"/>
    <w:rsid w:val="57094CCE"/>
    <w:rsid w:val="570A2782"/>
    <w:rsid w:val="570E037A"/>
    <w:rsid w:val="570E2112"/>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93911"/>
    <w:rsid w:val="57C9790E"/>
    <w:rsid w:val="57CA425B"/>
    <w:rsid w:val="57CC7594"/>
    <w:rsid w:val="57CD09B2"/>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3B75"/>
    <w:rsid w:val="5854674E"/>
    <w:rsid w:val="58584CE4"/>
    <w:rsid w:val="585B2BBE"/>
    <w:rsid w:val="585D2137"/>
    <w:rsid w:val="585D23DB"/>
    <w:rsid w:val="585E353C"/>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C764D"/>
    <w:rsid w:val="591F385A"/>
    <w:rsid w:val="59203C9E"/>
    <w:rsid w:val="59215342"/>
    <w:rsid w:val="59220F83"/>
    <w:rsid w:val="592579D7"/>
    <w:rsid w:val="59272C34"/>
    <w:rsid w:val="5927334D"/>
    <w:rsid w:val="59283A5F"/>
    <w:rsid w:val="592B5AD6"/>
    <w:rsid w:val="592B61C1"/>
    <w:rsid w:val="593065AF"/>
    <w:rsid w:val="59325A49"/>
    <w:rsid w:val="593E2A08"/>
    <w:rsid w:val="593E5EF4"/>
    <w:rsid w:val="59431288"/>
    <w:rsid w:val="59442B47"/>
    <w:rsid w:val="59461CD4"/>
    <w:rsid w:val="5947751C"/>
    <w:rsid w:val="594850A2"/>
    <w:rsid w:val="594918BF"/>
    <w:rsid w:val="594D15CA"/>
    <w:rsid w:val="594F7F1D"/>
    <w:rsid w:val="59520481"/>
    <w:rsid w:val="59527BF2"/>
    <w:rsid w:val="595615D0"/>
    <w:rsid w:val="59571529"/>
    <w:rsid w:val="595C3BB1"/>
    <w:rsid w:val="595C70E1"/>
    <w:rsid w:val="595F1E39"/>
    <w:rsid w:val="595F2C1F"/>
    <w:rsid w:val="5961772D"/>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30E7E"/>
    <w:rsid w:val="59E51E95"/>
    <w:rsid w:val="59E54238"/>
    <w:rsid w:val="59E74401"/>
    <w:rsid w:val="59EC5A2D"/>
    <w:rsid w:val="59ED4A50"/>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D5782"/>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8F6EDB"/>
    <w:rsid w:val="5B97487F"/>
    <w:rsid w:val="5B9B4B48"/>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D07C9"/>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0821"/>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64528"/>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B3C00"/>
    <w:rsid w:val="5F2D1078"/>
    <w:rsid w:val="5F2E044E"/>
    <w:rsid w:val="5F2E347F"/>
    <w:rsid w:val="5F2F5BFC"/>
    <w:rsid w:val="5F314D24"/>
    <w:rsid w:val="5F3543B4"/>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E607C"/>
    <w:rsid w:val="5F703B52"/>
    <w:rsid w:val="5F7071CA"/>
    <w:rsid w:val="5F753ABB"/>
    <w:rsid w:val="5F790C0F"/>
    <w:rsid w:val="5F79383A"/>
    <w:rsid w:val="5F8261BE"/>
    <w:rsid w:val="5F830D22"/>
    <w:rsid w:val="5F86603F"/>
    <w:rsid w:val="5F8B116D"/>
    <w:rsid w:val="5F8C7182"/>
    <w:rsid w:val="5F8F4C49"/>
    <w:rsid w:val="5F9A4EC6"/>
    <w:rsid w:val="5F9D66AA"/>
    <w:rsid w:val="5FA00073"/>
    <w:rsid w:val="5FA05A73"/>
    <w:rsid w:val="5FA232FA"/>
    <w:rsid w:val="5FA74D31"/>
    <w:rsid w:val="5FAA7C6F"/>
    <w:rsid w:val="5FAF36A8"/>
    <w:rsid w:val="5FB14795"/>
    <w:rsid w:val="5FB26929"/>
    <w:rsid w:val="5FB42312"/>
    <w:rsid w:val="5FB72D03"/>
    <w:rsid w:val="5FBA204D"/>
    <w:rsid w:val="5FC06FB3"/>
    <w:rsid w:val="5FC23405"/>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36AD3"/>
    <w:rsid w:val="61750BBE"/>
    <w:rsid w:val="61755D08"/>
    <w:rsid w:val="617946B7"/>
    <w:rsid w:val="617A153A"/>
    <w:rsid w:val="617E6773"/>
    <w:rsid w:val="61800291"/>
    <w:rsid w:val="61856EFD"/>
    <w:rsid w:val="618E4412"/>
    <w:rsid w:val="619A5E1C"/>
    <w:rsid w:val="619B2470"/>
    <w:rsid w:val="619B6BFC"/>
    <w:rsid w:val="619C1E94"/>
    <w:rsid w:val="619E73A5"/>
    <w:rsid w:val="619F599E"/>
    <w:rsid w:val="619F7775"/>
    <w:rsid w:val="61A12EDF"/>
    <w:rsid w:val="61A151CF"/>
    <w:rsid w:val="61A40AB6"/>
    <w:rsid w:val="61AD1BA1"/>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B4411"/>
    <w:rsid w:val="625B7B17"/>
    <w:rsid w:val="625E003D"/>
    <w:rsid w:val="62611035"/>
    <w:rsid w:val="626349AF"/>
    <w:rsid w:val="626C2DFB"/>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7244C"/>
    <w:rsid w:val="628770E5"/>
    <w:rsid w:val="62896A91"/>
    <w:rsid w:val="628A03FC"/>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843CD"/>
    <w:rsid w:val="62B852EE"/>
    <w:rsid w:val="62BA7203"/>
    <w:rsid w:val="62BF00E5"/>
    <w:rsid w:val="62C2363F"/>
    <w:rsid w:val="62C40E60"/>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21472B"/>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9034AC"/>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C4F0C"/>
    <w:rsid w:val="64D137CB"/>
    <w:rsid w:val="64D310A6"/>
    <w:rsid w:val="64D3285D"/>
    <w:rsid w:val="64D76C08"/>
    <w:rsid w:val="64DE12B9"/>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B17AA"/>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C5EDC"/>
    <w:rsid w:val="66D0175B"/>
    <w:rsid w:val="66D3451E"/>
    <w:rsid w:val="66D71874"/>
    <w:rsid w:val="66D76BE3"/>
    <w:rsid w:val="66D96C69"/>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3270"/>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F4DF1"/>
    <w:rsid w:val="68522762"/>
    <w:rsid w:val="68541A0D"/>
    <w:rsid w:val="685500F8"/>
    <w:rsid w:val="6855620F"/>
    <w:rsid w:val="6859176A"/>
    <w:rsid w:val="685E738A"/>
    <w:rsid w:val="68630AA0"/>
    <w:rsid w:val="686716E8"/>
    <w:rsid w:val="6868146A"/>
    <w:rsid w:val="68686F8D"/>
    <w:rsid w:val="6869150C"/>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4A3B"/>
    <w:rsid w:val="68D57C16"/>
    <w:rsid w:val="68D813C3"/>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390F"/>
    <w:rsid w:val="69947E46"/>
    <w:rsid w:val="69953EB2"/>
    <w:rsid w:val="69967F4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03AB4"/>
    <w:rsid w:val="69FA3BD8"/>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27351"/>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3F61"/>
    <w:rsid w:val="6E9B76B4"/>
    <w:rsid w:val="6E9E2147"/>
    <w:rsid w:val="6EA163F5"/>
    <w:rsid w:val="6EA2262A"/>
    <w:rsid w:val="6EA30DF3"/>
    <w:rsid w:val="6EA7723A"/>
    <w:rsid w:val="6EA80A9E"/>
    <w:rsid w:val="6EAB316E"/>
    <w:rsid w:val="6EAC7541"/>
    <w:rsid w:val="6EAD3F31"/>
    <w:rsid w:val="6EAF2038"/>
    <w:rsid w:val="6EAF7157"/>
    <w:rsid w:val="6EB02117"/>
    <w:rsid w:val="6EB032B3"/>
    <w:rsid w:val="6EB16A61"/>
    <w:rsid w:val="6EB2703C"/>
    <w:rsid w:val="6EB5235D"/>
    <w:rsid w:val="6EB85FBB"/>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9727A"/>
    <w:rsid w:val="6FBD0995"/>
    <w:rsid w:val="6FBD2FCE"/>
    <w:rsid w:val="6FBE2553"/>
    <w:rsid w:val="6FBF2F50"/>
    <w:rsid w:val="6FCB01D0"/>
    <w:rsid w:val="6FCC0C02"/>
    <w:rsid w:val="6FCE112B"/>
    <w:rsid w:val="6FCE1C7C"/>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F2A63"/>
    <w:rsid w:val="701F5621"/>
    <w:rsid w:val="70237A09"/>
    <w:rsid w:val="70277E9C"/>
    <w:rsid w:val="702820CB"/>
    <w:rsid w:val="702E4CB2"/>
    <w:rsid w:val="702E716A"/>
    <w:rsid w:val="702F5572"/>
    <w:rsid w:val="70336CAE"/>
    <w:rsid w:val="70343ED9"/>
    <w:rsid w:val="703662AF"/>
    <w:rsid w:val="7037546E"/>
    <w:rsid w:val="703A140C"/>
    <w:rsid w:val="703B3944"/>
    <w:rsid w:val="7045236D"/>
    <w:rsid w:val="70465FD3"/>
    <w:rsid w:val="70487CF9"/>
    <w:rsid w:val="704B361D"/>
    <w:rsid w:val="704F7B15"/>
    <w:rsid w:val="70523E05"/>
    <w:rsid w:val="70535AEC"/>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C3E77"/>
    <w:rsid w:val="70BE6942"/>
    <w:rsid w:val="70BF6D6C"/>
    <w:rsid w:val="70BF7DE7"/>
    <w:rsid w:val="70C162C7"/>
    <w:rsid w:val="70C25013"/>
    <w:rsid w:val="70C41399"/>
    <w:rsid w:val="70C70C4E"/>
    <w:rsid w:val="70CA338D"/>
    <w:rsid w:val="70D13EC9"/>
    <w:rsid w:val="70D253FD"/>
    <w:rsid w:val="70D9199C"/>
    <w:rsid w:val="70D934E3"/>
    <w:rsid w:val="70D94A29"/>
    <w:rsid w:val="70DA60AB"/>
    <w:rsid w:val="70E132FF"/>
    <w:rsid w:val="70E53F5D"/>
    <w:rsid w:val="70E63C74"/>
    <w:rsid w:val="70E83423"/>
    <w:rsid w:val="70F04063"/>
    <w:rsid w:val="70F25AEA"/>
    <w:rsid w:val="70F36131"/>
    <w:rsid w:val="70F5617C"/>
    <w:rsid w:val="70FA1B16"/>
    <w:rsid w:val="70FB4D50"/>
    <w:rsid w:val="70FE577E"/>
    <w:rsid w:val="71033854"/>
    <w:rsid w:val="710805D7"/>
    <w:rsid w:val="710A56D2"/>
    <w:rsid w:val="710B46CD"/>
    <w:rsid w:val="710E2C80"/>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644F9"/>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403296"/>
    <w:rsid w:val="734231A5"/>
    <w:rsid w:val="73462432"/>
    <w:rsid w:val="734720F8"/>
    <w:rsid w:val="734B03DF"/>
    <w:rsid w:val="734B7734"/>
    <w:rsid w:val="734B77D3"/>
    <w:rsid w:val="734D4442"/>
    <w:rsid w:val="734F77F8"/>
    <w:rsid w:val="73506E68"/>
    <w:rsid w:val="73544F4C"/>
    <w:rsid w:val="735639BF"/>
    <w:rsid w:val="735848BE"/>
    <w:rsid w:val="73591E51"/>
    <w:rsid w:val="735F4FE0"/>
    <w:rsid w:val="7362201C"/>
    <w:rsid w:val="73630676"/>
    <w:rsid w:val="7364136F"/>
    <w:rsid w:val="73647975"/>
    <w:rsid w:val="7365283D"/>
    <w:rsid w:val="736A6DBA"/>
    <w:rsid w:val="736B4D4D"/>
    <w:rsid w:val="736D4121"/>
    <w:rsid w:val="73705B4F"/>
    <w:rsid w:val="73732452"/>
    <w:rsid w:val="73772B09"/>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AD5CF9"/>
    <w:rsid w:val="73B159E0"/>
    <w:rsid w:val="73BD2BD0"/>
    <w:rsid w:val="73BE53C3"/>
    <w:rsid w:val="73BE562F"/>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6F5C82"/>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53C6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03B29"/>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E4EDF"/>
    <w:rsid w:val="77EE6A34"/>
    <w:rsid w:val="77EF03CA"/>
    <w:rsid w:val="77F3360E"/>
    <w:rsid w:val="77F33B98"/>
    <w:rsid w:val="77F47954"/>
    <w:rsid w:val="77F73CE8"/>
    <w:rsid w:val="77FB320A"/>
    <w:rsid w:val="77FC0F59"/>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67D36"/>
    <w:rsid w:val="7969279E"/>
    <w:rsid w:val="79694B38"/>
    <w:rsid w:val="796A4721"/>
    <w:rsid w:val="796A5D78"/>
    <w:rsid w:val="796C624D"/>
    <w:rsid w:val="797352EE"/>
    <w:rsid w:val="7974097A"/>
    <w:rsid w:val="79742C52"/>
    <w:rsid w:val="7975134B"/>
    <w:rsid w:val="79767FFC"/>
    <w:rsid w:val="797712CC"/>
    <w:rsid w:val="7979172B"/>
    <w:rsid w:val="797C4DA7"/>
    <w:rsid w:val="797D64E8"/>
    <w:rsid w:val="79821102"/>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260A2"/>
    <w:rsid w:val="79E3167F"/>
    <w:rsid w:val="79E41D48"/>
    <w:rsid w:val="79E53C96"/>
    <w:rsid w:val="79E56079"/>
    <w:rsid w:val="79E70B47"/>
    <w:rsid w:val="79F06638"/>
    <w:rsid w:val="79F11200"/>
    <w:rsid w:val="79F20023"/>
    <w:rsid w:val="79F32313"/>
    <w:rsid w:val="79F3466B"/>
    <w:rsid w:val="79F37792"/>
    <w:rsid w:val="79F64305"/>
    <w:rsid w:val="79F67EF0"/>
    <w:rsid w:val="79F75659"/>
    <w:rsid w:val="79F85AD2"/>
    <w:rsid w:val="79F91114"/>
    <w:rsid w:val="79FD629E"/>
    <w:rsid w:val="7A0154C7"/>
    <w:rsid w:val="7A020420"/>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78C7"/>
    <w:rsid w:val="7AE87351"/>
    <w:rsid w:val="7AE87439"/>
    <w:rsid w:val="7AEF5FDF"/>
    <w:rsid w:val="7AF00DB4"/>
    <w:rsid w:val="7AF3046A"/>
    <w:rsid w:val="7AF33363"/>
    <w:rsid w:val="7AF5196F"/>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DE4C9E"/>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37462"/>
    <w:rsid w:val="7C4617C2"/>
    <w:rsid w:val="7C465214"/>
    <w:rsid w:val="7C4822C5"/>
    <w:rsid w:val="7C492337"/>
    <w:rsid w:val="7C4961E4"/>
    <w:rsid w:val="7C4A5941"/>
    <w:rsid w:val="7C4C2BED"/>
    <w:rsid w:val="7C5461D6"/>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7080D"/>
    <w:rsid w:val="7CC7607D"/>
    <w:rsid w:val="7CC77E2B"/>
    <w:rsid w:val="7CCB22A2"/>
    <w:rsid w:val="7CCD26CF"/>
    <w:rsid w:val="7CCD6A45"/>
    <w:rsid w:val="7CCE3FDE"/>
    <w:rsid w:val="7CCF3759"/>
    <w:rsid w:val="7CD17CAD"/>
    <w:rsid w:val="7CD267D0"/>
    <w:rsid w:val="7CD50259"/>
    <w:rsid w:val="7CD744DD"/>
    <w:rsid w:val="7CD85482"/>
    <w:rsid w:val="7CDA03B2"/>
    <w:rsid w:val="7CDE27CD"/>
    <w:rsid w:val="7CE52D60"/>
    <w:rsid w:val="7CE62EAE"/>
    <w:rsid w:val="7CE74FD7"/>
    <w:rsid w:val="7CE821E8"/>
    <w:rsid w:val="7CEC017E"/>
    <w:rsid w:val="7CF010AC"/>
    <w:rsid w:val="7CFE1606"/>
    <w:rsid w:val="7D03643D"/>
    <w:rsid w:val="7D0559DD"/>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516A1"/>
    <w:rsid w:val="7F297580"/>
    <w:rsid w:val="7F2C3D96"/>
    <w:rsid w:val="7F303A79"/>
    <w:rsid w:val="7F363E6E"/>
    <w:rsid w:val="7F380575"/>
    <w:rsid w:val="7F3D16A4"/>
    <w:rsid w:val="7F402B5E"/>
    <w:rsid w:val="7F412D6A"/>
    <w:rsid w:val="7F417CE5"/>
    <w:rsid w:val="7F4C4618"/>
    <w:rsid w:val="7F4F0673"/>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B63CC"/>
    <w:rsid w:val="7F7D28FB"/>
    <w:rsid w:val="7F803CB7"/>
    <w:rsid w:val="7F822FE3"/>
    <w:rsid w:val="7F83107B"/>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9.jpe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jpeg"/><Relationship Id="rId40" Type="http://schemas.openxmlformats.org/officeDocument/2006/relationships/image" Target="media/image30.png"/><Relationship Id="rId4" Type="http://schemas.openxmlformats.org/officeDocument/2006/relationships/header" Target="head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microsoft.com/office/2007/relationships/hdphoto" Target="media/image15.wdp"/><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104</Pages>
  <Words>60153</Words>
  <Characters>103839</Characters>
  <Lines>542</Lines>
  <Paragraphs>152</Paragraphs>
  <TotalTime>4</TotalTime>
  <ScaleCrop>false</ScaleCrop>
  <LinksUpToDate>false</LinksUpToDate>
  <CharactersWithSpaces>110104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2024-07-05T08:04:08Z</dcterms:modified>
  <cp:revision>928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CF8CDFFE788C458DBD82AA0838DC0616_13</vt:lpwstr>
  </property>
</Properties>
</file>