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335C08">
      <w:pPr>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10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3"/>
                    <pic:cNvPicPr>
                      <a:picLocks noChangeAspect="1"/>
                    </pic:cNvPicPr>
                  </pic:nvPicPr>
                  <pic:blipFill>
                    <a:blip r:embed="rId18" cstate="print"/>
                    <a:stretch>
                      <a:fillRect/>
                    </a:stretch>
                  </pic:blipFill>
                  <pic:spPr>
                    <a:xfrm>
                      <a:off x="0" y="0"/>
                      <a:ext cx="7746365" cy="10864215"/>
                    </a:xfrm>
                    <a:prstGeom prst="rect">
                      <a:avLst/>
                    </a:prstGeom>
                    <a:noFill/>
                    <a:ln>
                      <a:noFill/>
                    </a:ln>
                  </pic:spPr>
                </pic:pic>
              </a:graphicData>
            </a:graphic>
          </wp:anchor>
        </w:drawing>
      </w:r>
    </w:p>
    <w:p w14:paraId="0B0FB728">
      <w:pPr>
        <w:ind w:firstLine="550" w:firstLineChars="250"/>
        <w:rPr>
          <w:rFonts w:ascii="微软雅黑" w:hAnsi="微软雅黑"/>
        </w:rPr>
      </w:pPr>
    </w:p>
    <w:p w14:paraId="034E477F">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002"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14" descr="捕获1"/>
                    <pic:cNvPicPr>
                      <a:picLocks noChangeAspect="1"/>
                    </pic:cNvPicPr>
                  </pic:nvPicPr>
                  <pic:blipFill>
                    <a:blip r:embed="rId19" cstate="print"/>
                    <a:stretch>
                      <a:fillRect/>
                    </a:stretch>
                  </pic:blipFill>
                  <pic:spPr>
                    <a:xfrm>
                      <a:off x="0" y="0"/>
                      <a:ext cx="2834640" cy="762000"/>
                    </a:xfrm>
                    <a:prstGeom prst="rect">
                      <a:avLst/>
                    </a:prstGeom>
                  </pic:spPr>
                </pic:pic>
              </a:graphicData>
            </a:graphic>
          </wp:anchor>
        </w:drawing>
      </w:r>
    </w:p>
    <w:p w14:paraId="0680B568">
      <w:pPr>
        <w:spacing w:line="240" w:lineRule="atLeast"/>
        <w:jc w:val="center"/>
        <w:rPr>
          <w:rFonts w:ascii="微软雅黑" w:hAnsi="微软雅黑"/>
          <w:b/>
          <w:color w:val="3D5E18"/>
          <w:sz w:val="52"/>
          <w:szCs w:val="52"/>
        </w:rPr>
      </w:pPr>
    </w:p>
    <w:p w14:paraId="133AE424">
      <w:pPr>
        <w:spacing w:line="240" w:lineRule="atLeast"/>
        <w:jc w:val="center"/>
        <w:rPr>
          <w:rFonts w:ascii="微软雅黑" w:hAnsi="微软雅黑"/>
          <w:b/>
          <w:color w:val="3D5E18"/>
          <w:sz w:val="10"/>
          <w:szCs w:val="10"/>
        </w:rPr>
      </w:pPr>
    </w:p>
    <w:p w14:paraId="30AE2761">
      <w:pPr>
        <w:spacing w:line="240" w:lineRule="atLeast"/>
        <w:jc w:val="center"/>
        <w:rPr>
          <w:rFonts w:ascii="微软雅黑" w:hAnsi="微软雅黑"/>
          <w:b/>
          <w:color w:val="3D5E18"/>
          <w:sz w:val="10"/>
          <w:szCs w:val="10"/>
        </w:rPr>
      </w:pPr>
    </w:p>
    <w:p w14:paraId="290650F7">
      <w:pPr>
        <w:spacing w:line="240" w:lineRule="atLeast"/>
        <w:jc w:val="center"/>
        <w:rPr>
          <w:rFonts w:ascii="微软雅黑" w:hAnsi="微软雅黑"/>
          <w:b/>
          <w:color w:val="3D5E18"/>
          <w:sz w:val="10"/>
          <w:szCs w:val="10"/>
        </w:rPr>
      </w:pPr>
    </w:p>
    <w:p w14:paraId="4330775C">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14:paraId="668A98BC">
      <w:pPr>
        <w:spacing w:line="240" w:lineRule="atLeast"/>
        <w:jc w:val="center"/>
        <w:rPr>
          <w:rFonts w:ascii="微软雅黑" w:hAnsi="微软雅黑"/>
          <w:b/>
          <w:color w:val="3D5E18"/>
          <w:sz w:val="32"/>
          <w:szCs w:val="32"/>
        </w:rPr>
      </w:pPr>
    </w:p>
    <w:p w14:paraId="4E994034">
      <w:pPr>
        <w:spacing w:line="240" w:lineRule="atLeast"/>
        <w:jc w:val="center"/>
        <w:rPr>
          <w:rFonts w:ascii="微软雅黑" w:hAnsi="微软雅黑"/>
          <w:b/>
          <w:color w:val="3D5E18"/>
          <w:sz w:val="32"/>
          <w:szCs w:val="32"/>
        </w:rPr>
      </w:pPr>
    </w:p>
    <w:p w14:paraId="71375646">
      <w:pPr>
        <w:spacing w:line="240" w:lineRule="atLeast"/>
        <w:jc w:val="center"/>
        <w:rPr>
          <w:rFonts w:ascii="微软雅黑" w:hAnsi="微软雅黑"/>
          <w:b/>
          <w:color w:val="3D5E18"/>
          <w:sz w:val="10"/>
          <w:szCs w:val="10"/>
        </w:rPr>
      </w:pPr>
    </w:p>
    <w:p w14:paraId="38D2AAB2">
      <w:pPr>
        <w:spacing w:line="240" w:lineRule="atLeast"/>
        <w:jc w:val="center"/>
        <w:rPr>
          <w:rFonts w:ascii="微软雅黑" w:hAnsi="微软雅黑"/>
          <w:b/>
          <w:color w:val="3D5E18"/>
          <w:sz w:val="32"/>
          <w:szCs w:val="32"/>
        </w:rPr>
      </w:pPr>
    </w:p>
    <w:p w14:paraId="1A81F98E">
      <w:pPr>
        <w:spacing w:line="240" w:lineRule="atLeast"/>
        <w:jc w:val="center"/>
        <w:rPr>
          <w:rFonts w:ascii="微软雅黑" w:hAnsi="微软雅黑"/>
          <w:b/>
          <w:color w:val="3D5E18"/>
          <w:sz w:val="32"/>
          <w:szCs w:val="32"/>
        </w:rPr>
      </w:pPr>
    </w:p>
    <w:p w14:paraId="6235DA44">
      <w:pPr>
        <w:spacing w:line="240" w:lineRule="atLeast"/>
        <w:jc w:val="center"/>
        <w:rPr>
          <w:rFonts w:ascii="微软雅黑" w:hAnsi="微软雅黑"/>
          <w:b/>
          <w:color w:val="3D5E18"/>
          <w:sz w:val="32"/>
          <w:szCs w:val="32"/>
        </w:rPr>
      </w:pPr>
    </w:p>
    <w:p w14:paraId="71E9601F">
      <w:pPr>
        <w:spacing w:line="240" w:lineRule="atLeast"/>
        <w:jc w:val="center"/>
        <w:rPr>
          <w:rFonts w:ascii="微软雅黑" w:hAnsi="微软雅黑"/>
          <w:b/>
          <w:color w:val="3D5E18"/>
          <w:sz w:val="32"/>
          <w:szCs w:val="32"/>
        </w:rPr>
      </w:pPr>
    </w:p>
    <w:p w14:paraId="0D2EA703">
      <w:pPr>
        <w:spacing w:line="240" w:lineRule="atLeast"/>
        <w:jc w:val="center"/>
        <w:rPr>
          <w:rFonts w:ascii="微软雅黑" w:hAnsi="微软雅黑"/>
          <w:b/>
          <w:color w:val="3D5E18"/>
          <w:sz w:val="32"/>
          <w:szCs w:val="32"/>
        </w:rPr>
      </w:pPr>
    </w:p>
    <w:p w14:paraId="159F3B7E">
      <w:pPr>
        <w:spacing w:line="360" w:lineRule="auto"/>
        <w:ind w:left="297" w:leftChars="135" w:firstLine="836" w:firstLineChars="348"/>
        <w:rPr>
          <w:rFonts w:ascii="微软雅黑" w:hAnsi="微软雅黑" w:cs="微软雅黑"/>
          <w:kern w:val="2"/>
          <w:sz w:val="24"/>
          <w:szCs w:val="24"/>
        </w:rPr>
      </w:pPr>
      <w:r>
        <w:rPr>
          <w:rFonts w:ascii="微软雅黑" w:hAnsi="微软雅黑"/>
          <w:b/>
          <w:sz w:val="24"/>
          <w:szCs w:val="24"/>
        </w:rPr>
        <mc:AlternateContent>
          <mc:Choice Requires="wps">
            <w:drawing>
              <wp:anchor distT="0" distB="0" distL="114300" distR="114300" simplePos="0" relativeHeight="251670528"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3"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3" o:spid="_x0000_s1026" o:spt="32" type="#_x0000_t32" style="position:absolute;left:0pt;margin-left:117.7pt;margin-top:22.25pt;height:0.55pt;width:245.7pt;z-index:251670528;mso-width-relative:page;mso-height-relative:page;" filled="f" stroked="t" coordsize="21600,21600" o:gfxdata="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HkK5BPYAAAACQEAAA8AAAAAAAAAAQAgAAAAIgAAAGRycy9kb3du&#10;cmV2LnhtbFBLAQIUABQAAAAIAIdO4kD08AHy/wEAAPgDAAAOAAAAAAAAAAEAIAAAACcBAABkcnMv&#10;ZTJvRG9jLnhtbFBLBQYAAAAABgAGAFkBAACYBQAAAAA=&#10;">
                <v:fill on="f" focussize="0,0"/>
                <v:stroke color="#000000" joinstyle="round"/>
                <v:imagedata o:title=""/>
                <o:lock v:ext="edit" aspectratio="f"/>
              </v:shape>
            </w:pict>
          </mc:Fallback>
        </mc:AlternateContent>
      </w:r>
      <w:r>
        <w:rPr>
          <w:rFonts w:hint="eastAsia" w:ascii="微软雅黑" w:hAnsi="微软雅黑"/>
          <w:b/>
          <w:sz w:val="24"/>
          <w:szCs w:val="24"/>
        </w:rPr>
        <w:t>姓    名</w:t>
      </w:r>
      <w:r>
        <w:rPr>
          <w:rFonts w:ascii="微软雅黑" w:hAnsi="微软雅黑"/>
          <w:b/>
          <w:sz w:val="24"/>
          <w:szCs w:val="24"/>
        </w:rPr>
        <w:t>：</w:t>
      </w:r>
      <w:r>
        <w:rPr>
          <w:rFonts w:hint="eastAsia" w:ascii="微软雅黑" w:hAnsi="微软雅黑" w:cs="微软雅黑"/>
          <w:kern w:val="2"/>
          <w:sz w:val="24"/>
          <w:szCs w:val="24"/>
        </w:rPr>
        <w:t xml:space="preserve">               </w:t>
      </w:r>
      <w:r>
        <w:rPr>
          <w:rFonts w:hint="eastAsia" w:ascii="微软雅黑" w:hAnsi="微软雅黑" w:cs="微软雅黑"/>
          <w:kern w:val="2"/>
          <w:sz w:val="24"/>
          <w:szCs w:val="24"/>
          <w:lang w:val="en-US" w:eastAsia="zh-CN"/>
        </w:rPr>
        <w:t xml:space="preserve">  </w:t>
      </w:r>
      <w:r>
        <w:rPr>
          <w:rFonts w:hint="eastAsia" w:ascii="微软雅黑" w:hAnsi="微软雅黑" w:cs="微软雅黑"/>
          <w:kern w:val="2"/>
          <w:sz w:val="24"/>
          <w:szCs w:val="24"/>
          <w:lang w:eastAsia="zh-CN"/>
        </w:rPr>
        <w:t>{{ patient_name }}</w:t>
      </w:r>
      <w:r>
        <w:rPr>
          <w:rFonts w:hint="eastAsia" w:ascii="微软雅黑" w:hAnsi="微软雅黑" w:cs="微软雅黑"/>
          <w:kern w:val="2"/>
          <w:sz w:val="24"/>
          <w:szCs w:val="24"/>
        </w:rPr>
        <w:t xml:space="preserve"> </w:t>
      </w:r>
      <w:r>
        <w:rPr>
          <w:rFonts w:hint="eastAsia" w:ascii="微软雅黑" w:hAnsi="微软雅黑" w:cs="微软雅黑"/>
          <w:kern w:val="2"/>
          <w:sz w:val="24"/>
          <w:szCs w:val="24"/>
        </w:rPr>
        <w:t xml:space="preserve">       </w:t>
      </w:r>
    </w:p>
    <w:p w14:paraId="0F9A3115">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1552"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4"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4" o:spid="_x0000_s1026" o:spt="32" type="#_x0000_t32" style="position:absolute;left:0pt;flip:y;margin-left:117.7pt;margin-top:22.25pt;height:0.55pt;width:245.7pt;z-index:251671552;mso-width-relative:page;mso-height-relative:page;" filled="f" stroked="t" coordsize="21600,21600" o:gfxdata="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&#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B9D5dzXAAAACQEAAA8AAAAAAAAAAQAgAAAAIgAAAGRy&#10;cy9kb3ducmV2LnhtbFBLAQIUABQAAAAIAIdO4kBRQxPdBgIAAAIEAAAOAAAAAAAAAAEAIAAAACYB&#10;AABkcnMvZTJvRG9jLnhtbFBLBQYAAAAABgAGAFkBAACeBQAAAAA=&#10;">
                <v:fill on="f" focussize="0,0"/>
                <v:stroke color="#000000" joinstyle="round"/>
                <v:imagedata o:title=""/>
                <o:lock v:ext="edit" aspectratio="f"/>
              </v:shape>
            </w:pict>
          </mc:Fallback>
        </mc:AlternateContent>
      </w:r>
      <w:r>
        <w:rPr>
          <w:rFonts w:hint="eastAsia" w:ascii="微软雅黑" w:hAnsi="微软雅黑"/>
          <w:b/>
          <w:sz w:val="24"/>
          <w:szCs w:val="24"/>
        </w:rPr>
        <w:t>报告编号</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report_number }}</w:t>
      </w:r>
      <w:r>
        <w:rPr>
          <w:rFonts w:hint="eastAsia" w:ascii="微软雅黑" w:hAnsi="微软雅黑"/>
          <w:bCs/>
          <w:sz w:val="24"/>
          <w:szCs w:val="24"/>
          <w:lang w:eastAsia="zh-CN"/>
        </w:rPr>
        <w:t/>
      </w:r>
      <w:r>
        <w:rPr>
          <w:rFonts w:hint="eastAsia" w:ascii="微软雅黑" w:hAnsi="微软雅黑"/>
          <w:bCs/>
          <w:sz w:val="24"/>
          <w:szCs w:val="24"/>
          <w:lang w:val="en-US" w:eastAsia="zh-CN"/>
        </w:rPr>
        <w:t/>
      </w:r>
    </w:p>
    <w:p w14:paraId="2AF1C6A0">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1005"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5" o:spid="_x0000_s1026" o:spt="32" type="#_x0000_t32" style="position:absolute;left:0pt;flip:y;margin-left:117.7pt;margin-top:23.4pt;height:0.55pt;width:245.7pt;z-index:251672576;mso-width-relative:page;mso-height-relative:page;" filled="f" stroked="t" coordsize="21600,21600" o:gfxdata="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AOtqVS1wAAAAkBAAAPAAAAAAAAAAEAIAAAACIAAABk&#10;cnMvZG93bnJldi54bWxQSwECFAAUAAAACACHTuJA4QBRIwcCAAACBAAADgAAAAAAAAABACAAAAAm&#10;AQAAZHJzL2Uyb0RvYy54bWxQSwUGAAAAAAYABgBZAQAAnwUAAAAA&#10;">
                <v:fill on="f" focussize="0,0"/>
                <v:stroke color="#000000" joinstyle="round"/>
                <v:imagedata o:title=""/>
                <o:lock v:ext="edit" aspectratio="f"/>
              </v:shape>
            </w:pict>
          </mc:Fallback>
        </mc:AlternateContent>
      </w:r>
      <w:r>
        <w:rPr>
          <w:rFonts w:hint="eastAsia" w:ascii="微软雅黑" w:hAnsi="微软雅黑"/>
          <w:b/>
          <w:sz w:val="24"/>
          <w:szCs w:val="24"/>
        </w:rPr>
        <w:t>送检日期</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receive_date_compact }}</w:t>
      </w:r>
      <w:r>
        <w:rPr>
          <w:rFonts w:hint="eastAsia" w:ascii="微软雅黑" w:hAnsi="微软雅黑"/>
          <w:bCs/>
          <w:sz w:val="24"/>
          <w:szCs w:val="24"/>
          <w:lang w:val="en-US" w:eastAsia="zh-CN"/>
        </w:rPr>
        <w:t/>
      </w:r>
    </w:p>
    <w:p w14:paraId="052DA000">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1006"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6" o:spid="_x0000_s1026" o:spt="32" type="#_x0000_t32" style="position:absolute;left:0pt;margin-left:117.7pt;margin-top:25.25pt;height:0.55pt;width:245.7pt;z-index:251673600;mso-width-relative:page;mso-height-relative:page;" filled="f" stroked="t" coordsize="21600,21600" o:gfxdata="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48kIIdgAAAAJAQAADwAAAAAAAAABACAAAAAiAAAAZHJzL2Rvd25y&#10;ZXYueG1sUEsBAhQAFAAAAAgAh07iQA/X74X+AQAA+AMAAA4AAAAAAAAAAQAgAAAAJwEAAGRycy9l&#10;Mm9Eb2MueG1sUEsFBgAAAAAGAAYAWQEAAJcFAAAAAA==&#10;">
                <v:fill on="f" focussize="0,0"/>
                <v:stroke color="#000000" joinstyle="round"/>
                <v:imagedata o:title=""/>
                <o:lock v:ext="edit" aspectratio="f"/>
              </v:shape>
            </w:pict>
          </mc:Fallback>
        </mc:AlternateContent>
      </w:r>
      <w:r>
        <w:rPr>
          <w:rFonts w:hint="eastAsia" w:ascii="微软雅黑" w:hAnsi="微软雅黑"/>
          <w:b/>
          <w:sz w:val="24"/>
          <w:szCs w:val="24"/>
        </w:rPr>
        <w:t xml:space="preserve">报告日期：          </w:t>
      </w:r>
      <w:r>
        <w:rPr>
          <w:rFonts w:hint="eastAsia" w:ascii="微软雅黑" w:hAnsi="微软雅黑"/>
          <w:b/>
          <w:color w:val="FF0000"/>
          <w:sz w:val="24"/>
          <w:szCs w:val="24"/>
        </w:rPr>
        <w:t xml:space="preserve">      </w:t>
      </w:r>
      <w:r>
        <w:rPr>
          <w:rFonts w:hint="eastAsia" w:ascii="微软雅黑" w:hAnsi="微软雅黑"/>
          <w:bCs/>
          <w:sz w:val="24"/>
          <w:szCs w:val="24"/>
        </w:rPr>
        <w:t>{{ report_date_compact }}</w:t>
      </w:r>
      <w:r>
        <w:rPr>
          <w:rFonts w:hint="eastAsia" w:ascii="微软雅黑" w:hAnsi="微软雅黑"/>
          <w:bCs/>
          <w:sz w:val="24"/>
          <w:szCs w:val="24"/>
          <w:lang w:val="en-US" w:eastAsia="zh-CN"/>
        </w:rPr>
        <w:t/>
      </w:r>
    </w:p>
    <w:p w14:paraId="235D47CC">
      <w:pPr>
        <w:adjustRightInd/>
        <w:snapToGrid/>
        <w:spacing w:line="220" w:lineRule="atLeast"/>
        <w:rPr>
          <w:sz w:val="20"/>
          <w:szCs w:val="20"/>
        </w:rPr>
      </w:pPr>
      <w:r>
        <w:rPr>
          <w:rFonts w:ascii="微软雅黑" w:hAnsi="微软雅黑"/>
          <w:b/>
          <w:color w:val="3D5E18"/>
          <w:sz w:val="32"/>
          <w:szCs w:val="32"/>
        </w:rPr>
        <w:br w:type="page"/>
      </w:r>
    </w:p>
    <w:p w14:paraId="60E32C51">
      <w:pPr>
        <w:tabs>
          <w:tab w:val="left" w:pos="2312"/>
        </w:tabs>
        <w:spacing w:after="0" w:line="240" w:lineRule="atLeast"/>
        <w:rPr>
          <w:sz w:val="20"/>
          <w:szCs w:val="20"/>
        </w:rPr>
      </w:pPr>
    </w:p>
    <w:p w14:paraId="2964E5C1">
      <w:pPr>
        <w:tabs>
          <w:tab w:val="left" w:pos="2312"/>
        </w:tabs>
        <w:spacing w:after="0" w:line="240" w:lineRule="atLeast"/>
        <w:rPr>
          <w:sz w:val="20"/>
          <w:szCs w:val="20"/>
        </w:rPr>
      </w:pPr>
    </w:p>
    <w:p w14:paraId="635F9D8B">
      <w:pPr>
        <w:tabs>
          <w:tab w:val="left" w:pos="2312"/>
        </w:tabs>
        <w:spacing w:after="0" w:line="240" w:lineRule="atLeast"/>
        <w:rPr>
          <w:sz w:val="20"/>
          <w:szCs w:val="20"/>
        </w:rPr>
      </w:pPr>
    </w:p>
    <w:p w14:paraId="47FD4346">
      <w:pPr>
        <w:tabs>
          <w:tab w:val="left" w:pos="2312"/>
        </w:tabs>
        <w:spacing w:after="0" w:line="240" w:lineRule="atLeast"/>
        <w:rPr>
          <w:sz w:val="20"/>
          <w:szCs w:val="20"/>
        </w:rPr>
      </w:pPr>
    </w:p>
    <w:p w14:paraId="28FE2E95">
      <w:pPr>
        <w:tabs>
          <w:tab w:val="left" w:pos="2312"/>
        </w:tabs>
        <w:spacing w:after="0" w:line="240" w:lineRule="atLeast"/>
        <w:rPr>
          <w:sz w:val="20"/>
          <w:szCs w:val="20"/>
        </w:rPr>
      </w:pPr>
    </w:p>
    <w:p w14:paraId="3E611981">
      <w:pPr>
        <w:tabs>
          <w:tab w:val="left" w:pos="2312"/>
        </w:tabs>
        <w:spacing w:after="0" w:line="240" w:lineRule="atLeast"/>
        <w:rPr>
          <w:sz w:val="20"/>
          <w:szCs w:val="20"/>
        </w:rPr>
      </w:pPr>
    </w:p>
    <w:p w14:paraId="48397FB2">
      <w:pPr>
        <w:tabs>
          <w:tab w:val="left" w:pos="2312"/>
        </w:tabs>
        <w:spacing w:after="0" w:line="240" w:lineRule="atLeast"/>
        <w:rPr>
          <w:sz w:val="20"/>
          <w:szCs w:val="20"/>
        </w:rPr>
      </w:pPr>
    </w:p>
    <w:p w14:paraId="0E9A561F">
      <w:pPr>
        <w:tabs>
          <w:tab w:val="left" w:pos="2312"/>
        </w:tabs>
        <w:spacing w:after="0" w:line="240" w:lineRule="atLeast"/>
        <w:rPr>
          <w:sz w:val="20"/>
          <w:szCs w:val="20"/>
        </w:rPr>
      </w:pPr>
    </w:p>
    <w:p w14:paraId="5E5832A1">
      <w:pPr>
        <w:tabs>
          <w:tab w:val="left" w:pos="2312"/>
        </w:tabs>
        <w:spacing w:after="0" w:line="240" w:lineRule="atLeast"/>
        <w:rPr>
          <w:sz w:val="20"/>
          <w:szCs w:val="20"/>
        </w:rPr>
      </w:pPr>
    </w:p>
    <w:p w14:paraId="2490B3BE">
      <w:pPr>
        <w:tabs>
          <w:tab w:val="left" w:pos="2312"/>
        </w:tabs>
        <w:spacing w:after="0" w:line="240" w:lineRule="atLeast"/>
        <w:rPr>
          <w:sz w:val="20"/>
          <w:szCs w:val="20"/>
        </w:rPr>
      </w:pPr>
    </w:p>
    <w:p w14:paraId="2FA4B0FB">
      <w:pPr>
        <w:tabs>
          <w:tab w:val="left" w:pos="2312"/>
        </w:tabs>
        <w:spacing w:after="0" w:line="240" w:lineRule="atLeast"/>
        <w:rPr>
          <w:sz w:val="20"/>
          <w:szCs w:val="20"/>
        </w:rPr>
      </w:pPr>
    </w:p>
    <w:p w14:paraId="7B50429B">
      <w:pPr>
        <w:tabs>
          <w:tab w:val="left" w:pos="2312"/>
        </w:tabs>
        <w:spacing w:after="0" w:line="240" w:lineRule="atLeast"/>
        <w:rPr>
          <w:sz w:val="20"/>
          <w:szCs w:val="20"/>
        </w:rPr>
      </w:pPr>
    </w:p>
    <w:p w14:paraId="2E187D9D">
      <w:pPr>
        <w:tabs>
          <w:tab w:val="left" w:pos="2312"/>
        </w:tabs>
        <w:spacing w:after="0" w:line="240" w:lineRule="atLeast"/>
        <w:rPr>
          <w:sz w:val="20"/>
          <w:szCs w:val="20"/>
        </w:rPr>
      </w:pPr>
    </w:p>
    <w:p w14:paraId="564D2484">
      <w:pPr>
        <w:tabs>
          <w:tab w:val="left" w:pos="2312"/>
        </w:tabs>
        <w:spacing w:after="0" w:line="240" w:lineRule="atLeast"/>
        <w:rPr>
          <w:sz w:val="20"/>
          <w:szCs w:val="20"/>
        </w:rPr>
      </w:pPr>
    </w:p>
    <w:p w14:paraId="37E8A29A">
      <w:pPr>
        <w:tabs>
          <w:tab w:val="left" w:pos="2312"/>
        </w:tabs>
        <w:spacing w:after="0" w:line="240" w:lineRule="atLeast"/>
        <w:rPr>
          <w:sz w:val="20"/>
          <w:szCs w:val="20"/>
        </w:rPr>
      </w:pPr>
    </w:p>
    <w:p w14:paraId="1AB54AF1">
      <w:pPr>
        <w:tabs>
          <w:tab w:val="left" w:pos="2312"/>
        </w:tabs>
        <w:spacing w:after="0" w:line="240" w:lineRule="atLeast"/>
        <w:rPr>
          <w:sz w:val="20"/>
          <w:szCs w:val="20"/>
        </w:rPr>
      </w:pPr>
    </w:p>
    <w:p w14:paraId="7A30E6DC">
      <w:pPr>
        <w:tabs>
          <w:tab w:val="left" w:pos="2312"/>
        </w:tabs>
        <w:spacing w:after="0" w:line="240" w:lineRule="atLeast"/>
        <w:rPr>
          <w:sz w:val="20"/>
          <w:szCs w:val="20"/>
        </w:rPr>
      </w:pPr>
    </w:p>
    <w:p w14:paraId="0CBDB812">
      <w:pPr>
        <w:tabs>
          <w:tab w:val="left" w:pos="2312"/>
        </w:tabs>
        <w:spacing w:after="0" w:line="240" w:lineRule="atLeast"/>
        <w:rPr>
          <w:sz w:val="20"/>
          <w:szCs w:val="20"/>
        </w:rPr>
      </w:pPr>
    </w:p>
    <w:p w14:paraId="23A97B61">
      <w:pPr>
        <w:tabs>
          <w:tab w:val="left" w:pos="2312"/>
        </w:tabs>
        <w:spacing w:after="0" w:line="240" w:lineRule="atLeast"/>
        <w:rPr>
          <w:sz w:val="20"/>
          <w:szCs w:val="20"/>
        </w:rPr>
      </w:pPr>
    </w:p>
    <w:p w14:paraId="2E4B9A79">
      <w:pPr>
        <w:tabs>
          <w:tab w:val="left" w:pos="2312"/>
        </w:tabs>
        <w:spacing w:after="0" w:line="240" w:lineRule="atLeast"/>
        <w:rPr>
          <w:sz w:val="20"/>
          <w:szCs w:val="20"/>
        </w:rPr>
      </w:pPr>
    </w:p>
    <w:p w14:paraId="57991455">
      <w:pPr>
        <w:tabs>
          <w:tab w:val="left" w:pos="2312"/>
        </w:tabs>
        <w:spacing w:after="0" w:line="240" w:lineRule="atLeast"/>
        <w:rPr>
          <w:sz w:val="20"/>
          <w:szCs w:val="20"/>
        </w:rPr>
      </w:pPr>
    </w:p>
    <w:p w14:paraId="6A0709D1">
      <w:pPr>
        <w:tabs>
          <w:tab w:val="left" w:pos="2312"/>
        </w:tabs>
        <w:spacing w:after="0" w:line="240" w:lineRule="atLeast"/>
        <w:rPr>
          <w:sz w:val="20"/>
          <w:szCs w:val="20"/>
        </w:rPr>
      </w:pPr>
    </w:p>
    <w:p w14:paraId="232F9950">
      <w:pPr>
        <w:tabs>
          <w:tab w:val="left" w:pos="2312"/>
        </w:tabs>
        <w:spacing w:after="0" w:line="240" w:lineRule="atLeast"/>
        <w:rPr>
          <w:sz w:val="20"/>
          <w:szCs w:val="20"/>
        </w:rPr>
      </w:pPr>
    </w:p>
    <w:p w14:paraId="7DF3EC2E">
      <w:pPr>
        <w:tabs>
          <w:tab w:val="left" w:pos="2312"/>
        </w:tabs>
        <w:spacing w:after="0" w:line="240" w:lineRule="atLeast"/>
        <w:rPr>
          <w:sz w:val="20"/>
          <w:szCs w:val="20"/>
        </w:rPr>
      </w:pPr>
    </w:p>
    <w:p w14:paraId="3EA5A232">
      <w:pPr>
        <w:tabs>
          <w:tab w:val="left" w:pos="2312"/>
        </w:tabs>
        <w:spacing w:after="0" w:line="240" w:lineRule="atLeast"/>
        <w:rPr>
          <w:sz w:val="20"/>
          <w:szCs w:val="20"/>
        </w:rPr>
      </w:pPr>
    </w:p>
    <w:p w14:paraId="5DA5603C">
      <w:pPr>
        <w:tabs>
          <w:tab w:val="left" w:pos="2312"/>
        </w:tabs>
        <w:spacing w:after="0" w:line="240" w:lineRule="atLeast"/>
        <w:rPr>
          <w:sz w:val="20"/>
          <w:szCs w:val="20"/>
        </w:rPr>
      </w:pPr>
    </w:p>
    <w:p w14:paraId="2861ED8B">
      <w:pPr>
        <w:tabs>
          <w:tab w:val="left" w:pos="2312"/>
        </w:tabs>
        <w:spacing w:after="0" w:line="240" w:lineRule="atLeast"/>
        <w:rPr>
          <w:sz w:val="20"/>
          <w:szCs w:val="20"/>
        </w:rPr>
      </w:pPr>
    </w:p>
    <w:p w14:paraId="6C823519">
      <w:pPr>
        <w:tabs>
          <w:tab w:val="left" w:pos="2312"/>
        </w:tabs>
        <w:spacing w:after="0" w:line="240" w:lineRule="atLeast"/>
        <w:rPr>
          <w:sz w:val="20"/>
          <w:szCs w:val="20"/>
        </w:rPr>
      </w:pPr>
    </w:p>
    <w:p w14:paraId="19C46F08">
      <w:pPr>
        <w:tabs>
          <w:tab w:val="left" w:pos="2312"/>
        </w:tabs>
        <w:spacing w:after="0" w:line="240" w:lineRule="atLeast"/>
        <w:rPr>
          <w:sz w:val="20"/>
          <w:szCs w:val="20"/>
        </w:rPr>
      </w:pPr>
    </w:p>
    <w:p w14:paraId="0B399909">
      <w:pPr>
        <w:tabs>
          <w:tab w:val="left" w:pos="2312"/>
        </w:tabs>
        <w:spacing w:after="0" w:line="240" w:lineRule="atLeast"/>
        <w:rPr>
          <w:sz w:val="20"/>
          <w:szCs w:val="20"/>
        </w:rPr>
      </w:pPr>
    </w:p>
    <w:p w14:paraId="576BCB33">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34814F28">
      <w:pPr>
        <w:tabs>
          <w:tab w:val="left" w:pos="2312"/>
        </w:tabs>
        <w:spacing w:after="0" w:line="240" w:lineRule="atLeast"/>
        <w:rPr>
          <w:rFonts w:ascii="微软雅黑" w:hAnsi="微软雅黑"/>
          <w:b/>
          <w:sz w:val="30"/>
          <w:szCs w:val="30"/>
        </w:rPr>
      </w:pPr>
    </w:p>
    <w:p w14:paraId="1B44EA2A">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7"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图片 2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55C7E305">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8"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图片 31"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检测结果（提供本次检测涉及的靶向治疗、免疫治疗等综合检测结果），是本报告的关键信息。</w:t>
      </w:r>
    </w:p>
    <w:p w14:paraId="5EFF7EFE">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6432"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1009"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图片 3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540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0"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图片 44"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14:paraId="64E74D2B">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14:paraId="24B0DF39">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1"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图片 4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3CFA394F">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2"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图片 4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14:paraId="6B9D9A4A">
      <w:pPr>
        <w:tabs>
          <w:tab w:val="left" w:pos="2312"/>
        </w:tabs>
        <w:spacing w:after="0" w:line="288" w:lineRule="auto"/>
        <w:ind w:firstLine="420" w:firstLineChars="200"/>
        <w:jc w:val="both"/>
        <w:rPr>
          <w:rFonts w:ascii="微软雅黑" w:hAnsi="微软雅黑"/>
          <w:sz w:val="21"/>
          <w:szCs w:val="21"/>
        </w:rPr>
        <w:sectPr>
          <w:headerReference r:id="rId6" w:type="default"/>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72A86E49">
      <w:pPr>
        <w:widowControl w:val="0"/>
        <w:adjustRightInd/>
        <w:snapToGrid/>
        <w:spacing w:after="0" w:line="312" w:lineRule="auto"/>
        <w:jc w:val="both"/>
        <w:rPr>
          <w:b/>
          <w:bCs/>
          <w:sz w:val="24"/>
          <w:szCs w:val="24"/>
        </w:rPr>
      </w:pPr>
    </w:p>
    <w:p w14:paraId="5751A270">
      <w:pPr>
        <w:tabs>
          <w:tab w:val="left" w:pos="2312"/>
        </w:tabs>
        <w:spacing w:after="0" w:line="240" w:lineRule="atLeast"/>
        <w:rPr>
          <w:sz w:val="20"/>
          <w:szCs w:val="20"/>
        </w:rPr>
      </w:pPr>
      <w:r>
        <w:rPr>
          <w:b/>
          <w:bCs/>
          <w:color w:val="00C4D8"/>
          <w:sz w:val="32"/>
          <w:szCs w:val="32"/>
        </w:rPr>
        <w:t>致您的一封信</w:t>
      </w:r>
    </w:p>
    <w:p w14:paraId="19A45F0F">
      <w:pPr>
        <w:widowControl w:val="0"/>
        <w:adjustRightInd/>
        <w:snapToGrid/>
        <w:spacing w:line="312" w:lineRule="auto"/>
        <w:ind w:firstLine="420"/>
        <w:jc w:val="both"/>
        <w:rPr>
          <w:rFonts w:ascii="微软雅黑" w:hAnsi="微软雅黑"/>
          <w:b/>
          <w:sz w:val="30"/>
          <w:szCs w:val="30"/>
        </w:rPr>
        <w:sectPr>
          <w:footerReference r:id="rId7" w:type="default"/>
          <w:pgSz w:w="11906" w:h="16838"/>
          <w:pgMar w:top="1440" w:right="1800" w:bottom="1440" w:left="1800" w:header="708" w:footer="708" w:gutter="0"/>
          <w:cols w:space="708" w:num="1"/>
          <w:docGrid w:linePitch="360" w:charSpace="0"/>
        </w:sectPr>
      </w:pPr>
      <w:r>
        <w:rPr>
          <w:sz w:val="24"/>
        </w:rPr>
        <mc:AlternateContent>
          <mc:Choice Requires="wps">
            <w:drawing>
              <wp:anchor distT="0" distB="0" distL="114300" distR="114300" simplePos="0" relativeHeight="251669504" behindDoc="1" locked="0" layoutInCell="1" allowOverlap="1">
                <wp:simplePos x="0" y="0"/>
                <wp:positionH relativeFrom="column">
                  <wp:posOffset>1474470</wp:posOffset>
                </wp:positionH>
                <wp:positionV relativeFrom="paragraph">
                  <wp:posOffset>349250</wp:posOffset>
                </wp:positionV>
                <wp:extent cx="3796665" cy="8905240"/>
                <wp:effectExtent l="0" t="0" r="0" b="0"/>
                <wp:wrapNone/>
                <wp:docPr id="1013" name="文本框 52"/>
                <wp:cNvGraphicFramePr/>
                <a:graphic xmlns:a="http://schemas.openxmlformats.org/drawingml/2006/main">
                  <a:graphicData uri="http://schemas.microsoft.com/office/word/2010/wordprocessingShape">
                    <wps:wsp>
                      <wps:cNvSpPr txBox="1"/>
                      <wps:spPr>
                        <a:xfrm>
                          <a:off x="0" y="0"/>
                          <a:ext cx="3796665" cy="8905240"/>
                        </a:xfrm>
                        <a:prstGeom prst="rect">
                          <a:avLst/>
                        </a:prstGeom>
                        <a:noFill/>
                        <a:ln w="6350">
                          <a:noFill/>
                        </a:ln>
                        <a:effectLst/>
                      </wps:spPr>
                      <wps:txb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2" o:spid="_x0000_s1026" o:spt="202" type="#_x0000_t202" style="position:absolute;left:0pt;margin-left:116.1pt;margin-top:27.5pt;height:701.2pt;width:298.95pt;z-index:-251646976;mso-width-relative:page;mso-height-relative:page;" filled="f" stroked="f" coordsize="21600,21600" o:gfxdata="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ZMVD3AAAAAsBAAAPAAAAAAAA&#10;AAEAIAAAACIAAABkcnMvZG93bnJldi54bWxQSwECFAAUAAAACACHTuJA+SD4qUcCAAB5BAAADgAA&#10;AAAAAAABACAAAAArAQAAZHJzL2Uyb0RvYy54bWxQSwUGAAAAAAYABgBZAQAA5AUAAAAA&#10;">
                <v:fill on="f" focussize="0,0"/>
                <v:stroke on="f" weight="0.5pt"/>
                <v:imagedata o:title=""/>
                <o:lock v:ext="edit" aspectratio="f"/>
                <v:textbo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101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14:paraId="1E07B7BE">
      <w:pPr>
        <w:spacing w:before="240" w:beforeLines="100" w:after="0"/>
        <w:jc w:val="both"/>
        <w:rPr>
          <w:b/>
          <w:bCs/>
          <w:color w:val="00C4D8"/>
          <w:sz w:val="44"/>
          <w:szCs w:val="44"/>
        </w:rPr>
      </w:pPr>
      <w:bookmarkStart w:id="0" w:name="_Toc31222"/>
      <w:bookmarkStart w:id="1" w:name="_Toc6876"/>
      <w:bookmarkStart w:id="2" w:name="_Toc6603"/>
      <w:bookmarkStart w:id="3" w:name="_Toc6705"/>
      <w:bookmarkStart w:id="4" w:name="_Toc30904"/>
      <w:bookmarkStart w:id="5" w:name="_Toc18130"/>
      <w:bookmarkStart w:id="6" w:name="_Toc3608"/>
      <w:bookmarkStart w:id="7" w:name="_Toc12809"/>
      <w:bookmarkStart w:id="8" w:name="_Toc27006"/>
      <w:bookmarkStart w:id="9" w:name="_Toc26024"/>
      <w:bookmarkStart w:id="10" w:name="_Toc14260"/>
      <w:bookmarkStart w:id="11" w:name="_Toc3134"/>
      <w:bookmarkStart w:id="12" w:name="_Toc4599"/>
      <w:bookmarkStart w:id="13" w:name="_Toc17764"/>
      <w:bookmarkStart w:id="14" w:name="OLE_LINK2"/>
      <w:bookmarkStart w:id="15" w:name="OLE_LINK1"/>
      <w:r>
        <w:rPr>
          <w:sz w:val="24"/>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1015"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9/Fg&#10;recBAACxAwAADgAAAAAAAAABACAAAAAlAQAAZHJzL2Uyb0RvYy54bWxQSwUGAAAAAAYABgBZAQAA&#10;fgUAAAAA&#10;">
                <v:fill on="f" focussize="0,0"/>
                <v:stroke weight="1.5pt" color="#00C4D8" joinstyle="round"/>
                <v:imagedata o:title=""/>
                <o:lock v:ext="edit" aspectratio="f"/>
              </v:lin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1016"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0565EC9C">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YTBG62AAAAAsBAAAPAAAAAAAAAAEAIAAAACIAAABkcnMvZG93bnJldi54bWxQ&#10;SwECFAAUAAAACACHTuJApVyj32kCAADRBAAADgAAAAAAAAABACAAAAAnAQAAZHJzL2Uyb0RvYy54&#10;bWxQSwUGAAAAAAYABgBZAQAAAgYAAAAA&#10;">
                <v:fill on="f" focussize="0,0"/>
                <v:stroke weight="1pt" color="#00C4D8" joinstyle="round"/>
                <v:imagedata o:title=""/>
                <o:lock v:ext="edit" aspectratio="f"/>
                <v:textbox>
                  <w:txbxContent>
                    <w:p w14:paraId="0565EC9C">
                      <w:pPr>
                        <w:jc w:val="center"/>
                      </w:pPr>
                    </w:p>
                  </w:txbxContent>
                </v:textbox>
              </v:shape>
            </w:pict>
          </mc:Fallback>
        </mc:AlternateContent>
      </w:r>
      <w:r>
        <w:rPr>
          <w:b/>
          <w:bCs/>
          <w:color w:val="00C4D8"/>
          <w:sz w:val="44"/>
          <w:szCs w:val="44"/>
        </w:rPr>
        <w:t>目    录</w:t>
      </w:r>
    </w:p>
    <w:sdt>
      <w:sdtPr>
        <w:rPr>
          <w:rFonts w:ascii="宋体" w:hAnsi="宋体" w:eastAsia="宋体"/>
          <w:sz w:val="21"/>
        </w:rPr>
        <w:id w:val="147482047"/>
        <w15:color w:val="DBDBDB"/>
        <w:docPartObj>
          <w:docPartGallery w:val="Table of Contents"/>
          <w:docPartUnique/>
        </w:docPartObj>
      </w:sdtPr>
      <w:sdtEndPr>
        <w:rPr>
          <w:rFonts w:ascii="Tahoma" w:hAnsi="Tahoma" w:eastAsia="微软雅黑"/>
          <w:bCs/>
          <w:color w:val="00C4D8"/>
          <w:sz w:val="22"/>
          <w:szCs w:val="44"/>
        </w:rPr>
      </w:sdtEndPr>
      <w:sdtContent>
        <w:p w14:paraId="1FB0E3E3">
          <w:pPr>
            <w:spacing w:after="0"/>
            <w:jc w:val="center"/>
            <w:rPr>
              <w:rFonts w:ascii="宋体" w:hAnsi="宋体" w:eastAsia="宋体"/>
              <w:sz w:val="21"/>
            </w:rPr>
          </w:pPr>
        </w:p>
        <w:p w14:paraId="1AAD7890">
          <w:pPr>
            <w:spacing w:after="0"/>
            <w:jc w:val="center"/>
            <w:rPr>
              <w:rFonts w:ascii="宋体" w:hAnsi="宋体" w:eastAsia="宋体"/>
              <w:sz w:val="21"/>
            </w:rPr>
          </w:pPr>
        </w:p>
        <w:p w14:paraId="17BE5C0B">
          <w:pPr>
            <w:spacing w:after="0"/>
            <w:jc w:val="center"/>
            <w:rPr>
              <w:rFonts w:ascii="宋体" w:hAnsi="宋体" w:eastAsia="宋体"/>
              <w:sz w:val="21"/>
            </w:rPr>
          </w:pPr>
        </w:p>
        <w:p w14:paraId="760C8D7A">
          <w:pPr>
            <w:spacing w:after="0"/>
            <w:jc w:val="center"/>
            <w:rPr>
              <w:rFonts w:ascii="宋体" w:hAnsi="宋体" w:eastAsia="宋体"/>
              <w:sz w:val="21"/>
            </w:rPr>
          </w:pPr>
        </w:p>
        <w:p w14:paraId="63ABB7D7">
          <w:pPr>
            <w:spacing w:after="0"/>
            <w:jc w:val="center"/>
            <w:rPr>
              <w:rFonts w:ascii="宋体" w:hAnsi="宋体" w:eastAsia="宋体"/>
              <w:sz w:val="21"/>
            </w:rPr>
          </w:pPr>
        </w:p>
        <w:p w14:paraId="6F44D1AA">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b/>
              <w:bCs/>
              <w:color w:val="00C4D8"/>
              <w:sz w:val="44"/>
              <w:szCs w:val="44"/>
              <w:lang w:val="en-US" w:eastAsia="zh-CN" w:bidi="ar-SA"/>
            </w:rPr>
            <w:fldChar w:fldCharType="begin"/>
          </w:r>
          <w:r>
            <w:rPr>
              <w:rFonts w:ascii="Tahoma" w:hAnsi="Tahoma" w:eastAsia="微软雅黑" w:cs="Times New Roman"/>
              <w:b/>
              <w:bCs/>
              <w:color w:val="00C4D8"/>
              <w:sz w:val="44"/>
              <w:szCs w:val="44"/>
              <w:lang w:val="en-US" w:eastAsia="zh-CN" w:bidi="ar-SA"/>
            </w:rPr>
            <w:instrText xml:space="preserve">TOC \o "1-1" \h \u </w:instrText>
          </w:r>
          <w:r>
            <w:rPr>
              <w:rFonts w:ascii="Tahoma" w:hAnsi="Tahoma" w:eastAsia="微软雅黑" w:cs="Times New Roman"/>
              <w:b/>
              <w:bCs/>
              <w:color w:val="00C4D8"/>
              <w:sz w:val="44"/>
              <w:szCs w:val="44"/>
              <w:lang w:val="en-US" w:eastAsia="zh-CN" w:bidi="ar-SA"/>
            </w:rPr>
            <w:fldChar w:fldCharType="separate"/>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"_Toc26009"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第一部分：基本信息</w:t>
          </w:r>
          <w:r>
            <w:rPr>
              <w:rFonts w:ascii="Tahoma" w:hAnsi="Tahoma" w:eastAsia="微软雅黑" w:cs="Times New Roman"/>
              <w:b/>
              <w:bCs/>
              <w:color w:val="00C4D8"/>
              <w:sz w:val="32"/>
              <w:szCs w:val="32"/>
              <w:lang w:val="en-US" w:eastAsia="zh-CN" w:bidi="ar-SA"/>
            </w:rPr>
            <w:tab/>
          </w:r>
          <w:r>
            <w:rPr>
              <w:rFonts w:ascii="Tahoma" w:hAnsi="Tahoma" w:eastAsia="微软雅黑" w:cs="Times New Roman"/>
              <w:b/>
              <w:bCs/>
              <w:color w:val="00C4D8"/>
              <w:sz w:val="32"/>
              <w:szCs w:val="32"/>
              <w:lang w:val="en-US" w:eastAsia="zh-CN" w:bidi="ar-SA"/>
            </w:rPr>
            <w:fldChar w:fldCharType="end"/>
          </w:r>
        </w:p>
        <w:p w14:paraId="1AECC18F">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"_Toc24274"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患者及样本信息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_Toc24274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037C18E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"_Toc17258"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检测内容</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_Toc17258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2C79A89C">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"_Toc4168"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第二部分：检测结果</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5134043C">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"_Toc14194"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检测结果小结</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_Toc14194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38736788">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"_Toc24469"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靶向药物相关检测结果</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_Toc24469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5</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1C3C88C7">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"_Toc31097"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免疫治疗疗效评估</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_Toc31097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13</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43A926E6">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"_Toc29647"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_Toc29647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20</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5BE00BEF">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"_Toc6684"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第三部分：基因变异及相应靶向/免疫药物解析</w:t>
          </w:r>
          <w:r>
            <w:rPr>
              <w:rFonts w:hint="eastAsia" w:ascii="Tahoma" w:hAnsi="Tahoma" w:eastAsia="微软雅黑" w:cs="Times New Roman"/>
              <w:b/>
              <w:bCs/>
              <w:color w:val="00C4D8"/>
              <w:sz w:val="32"/>
              <w:szCs w:val="32"/>
              <w:lang w:val="en-US" w:eastAsia="zh-CN" w:bidi="ar-SA"/>
            </w:rPr>
            <w:fldChar w:fldCharType="end"/>
          </w:r>
        </w:p>
        <w:p w14:paraId="21358DA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"_Toc6727" </w:instrText>
          </w:r>
          <w:r>
            <w:rPr>
              <w:rFonts w:ascii="Tahoma" w:hAnsi="Tahoma" w:eastAsia="微软雅黑" w:cs="Times New Roman"/>
              <w:sz w:val="22"/>
              <w:szCs w:val="22"/>
              <w:lang w:val="en-US" w:eastAsia="zh-CN" w:bidi="ar-SA"/>
            </w:rPr>
            <w:fldChar w:fldCharType="separate"/>
          </w:r>
          <w:r>
            <w:rPr>
              <w:rFonts w:ascii="微软雅黑" w:hAnsi="微软雅黑" w:eastAsia="微软雅黑" w:cs="Times New Roman"/>
              <w:sz w:val="22"/>
              <w:szCs w:val="24"/>
              <w:lang w:val="en-US" w:eastAsia="zh-CN" w:bidi="ar-SA"/>
            </w:rPr>
            <w:t>基因</w:t>
          </w:r>
          <w:r>
            <w:rPr>
              <w:rFonts w:hint="eastAsia" w:ascii="微软雅黑" w:hAnsi="微软雅黑" w:eastAsia="微软雅黑" w:cs="Times New Roman"/>
              <w:sz w:val="22"/>
              <w:szCs w:val="24"/>
              <w:lang w:val="en-US" w:eastAsia="zh-CN" w:bidi="ar-SA"/>
            </w:rPr>
            <w:t>变异</w:t>
          </w:r>
          <w:r>
            <w:rPr>
              <w:rFonts w:ascii="微软雅黑" w:hAnsi="微软雅黑" w:eastAsia="微软雅黑" w:cs="Times New Roman"/>
              <w:sz w:val="22"/>
              <w:szCs w:val="24"/>
              <w:lang w:val="en-US" w:eastAsia="zh-CN" w:bidi="ar-SA"/>
            </w:rPr>
            <w:t>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_Toc6727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712B6AEE">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"_Toc16898"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靶向</w:t>
          </w:r>
          <w:r>
            <w:rPr>
              <w:rFonts w:ascii="微软雅黑" w:hAnsi="微软雅黑" w:eastAsia="微软雅黑" w:cs="Times New Roman"/>
              <w:sz w:val="22"/>
              <w:szCs w:val="24"/>
              <w:lang w:val="en-US" w:eastAsia="zh-CN" w:bidi="ar-SA"/>
            </w:rPr>
            <w:t>药物</w:t>
          </w:r>
          <w:r>
            <w:rPr>
              <w:rFonts w:hint="eastAsia" w:ascii="微软雅黑" w:hAnsi="微软雅黑" w:eastAsia="微软雅黑" w:cs="Times New Roman"/>
              <w:sz w:val="22"/>
              <w:szCs w:val="24"/>
              <w:lang w:val="en-US" w:eastAsia="zh-CN" w:bidi="ar-SA"/>
            </w:rPr>
            <w:t>/免疫用药</w:t>
          </w:r>
          <w:r>
            <w:rPr>
              <w:rFonts w:ascii="微软雅黑" w:hAnsi="微软雅黑" w:eastAsia="微软雅黑" w:cs="Times New Roman"/>
              <w:sz w:val="22"/>
              <w:szCs w:val="24"/>
              <w:lang w:val="en-US" w:eastAsia="zh-CN" w:bidi="ar-SA"/>
            </w:rPr>
            <w:t>提示解析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27</w:t>
          </w:r>
        </w:p>
        <w:p w14:paraId="05F73296">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"_Toc3535"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阅读说明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36</w:t>
          </w:r>
        </w:p>
        <w:p w14:paraId="35F8FABB">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"_Toc28254"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第四部分：附录</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3FAC9C39">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"_Toc6659"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常见问题解答</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39</w:t>
          </w:r>
        </w:p>
        <w:p w14:paraId="4C8F957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"_Toc9100"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结直肠癌诊疗知识</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41</w:t>
          </w:r>
        </w:p>
        <w:p w14:paraId="0F86970C">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"_Toc17460"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癌症相关信号通路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63</w:t>
          </w:r>
        </w:p>
        <w:p w14:paraId="0F19E295">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"_Toc16989"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基因检测列表</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73</w:t>
          </w:r>
        </w:p>
        <w:p w14:paraId="23DFAEB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"_Toc8115"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参考文献</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75</w:t>
          </w:r>
        </w:p>
        <w:p w14:paraId="6E86B1AB">
          <w:pPr>
            <w:spacing w:after="0" w:line="312" w:lineRule="auto"/>
            <w:ind w:left="1980" w:leftChars="900"/>
            <w:jc w:val="both"/>
            <w:rPr>
              <w:b/>
              <w:bCs/>
              <w:color w:val="00C4D8"/>
              <w:sz w:val="44"/>
              <w:szCs w:val="44"/>
            </w:rPr>
            <w:sectPr>
              <w:footerReference r:id="rId8" w:type="default"/>
              <w:pgSz w:w="11906" w:h="16838"/>
              <w:pgMar w:top="1440" w:right="1526" w:bottom="1440" w:left="1800" w:header="708" w:footer="708" w:gutter="0"/>
              <w:cols w:space="708" w:num="1"/>
              <w:docGrid w:linePitch="360" w:charSpace="0"/>
            </w:sectPr>
          </w:pPr>
          <w:r>
            <w:rPr>
              <w:rFonts w:ascii="Tahoma" w:hAnsi="Tahoma" w:eastAsia="微软雅黑" w:cs="Times New Roman"/>
              <w:bCs/>
              <w:color w:val="00C4D8"/>
              <w:kern w:val="0"/>
              <w:sz w:val="22"/>
              <w:szCs w:val="44"/>
            </w:rPr>
            <w:fldChar w:fldCharType="end"/>
          </w:r>
        </w:p>
      </w:sdtContent>
    </w:sdt>
    <w:p w14:paraId="196C30E6">
      <w:pPr>
        <w:tabs>
          <w:tab w:val="left" w:pos="7492"/>
        </w:tabs>
        <w:adjustRightInd/>
        <w:snapToGrid/>
        <w:spacing w:line="220" w:lineRule="atLeast"/>
        <w:rPr>
          <w:rFonts w:ascii="微软雅黑" w:hAnsi="微软雅黑"/>
          <w:b/>
          <w:sz w:val="30"/>
          <w:szCs w:val="30"/>
        </w:rPr>
      </w:pPr>
      <w:r>
        <w:rPr>
          <w:rFonts w:hint="eastAsia" w:ascii="微软雅黑" w:hAnsi="微软雅黑"/>
          <w:b/>
          <w:sz w:val="30"/>
          <w:szCs w:val="30"/>
        </w:rPr>
        <w:tab/>
      </w:r>
    </w:p>
    <w:p w14:paraId="6D48FF65">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8579"/>
      <w:bookmarkStart w:id="17" w:name="_Toc14886"/>
      <w:bookmarkStart w:id="18" w:name="_Toc10896"/>
      <w:bookmarkStart w:id="19" w:name="_Toc445"/>
      <w:bookmarkStart w:id="20" w:name="_Toc14336"/>
      <w:bookmarkStart w:id="21" w:name="_Toc12032"/>
      <w:bookmarkStart w:id="22" w:name="_Toc3165"/>
      <w:bookmarkStart w:id="23" w:name="_Toc12673"/>
      <w:bookmarkStart w:id="24" w:name="_Toc18057"/>
      <w:bookmarkStart w:id="25" w:name="_Toc20058"/>
      <w:bookmarkStart w:id="26" w:name="_Toc32538"/>
      <w:bookmarkStart w:id="27" w:name="_Toc4575"/>
      <w:bookmarkStart w:id="28" w:name="_Toc16016"/>
      <w:bookmarkStart w:id="29" w:name="_Toc14984"/>
      <w:bookmarkStart w:id="30" w:name="_Toc22635"/>
      <w:bookmarkStart w:id="31" w:name="_Toc1945"/>
      <w:bookmarkStart w:id="32" w:name="_Toc21484"/>
      <w:bookmarkStart w:id="33" w:name="_Toc24717"/>
      <w:bookmarkStart w:id="34" w:name="_Toc7206"/>
      <w:bookmarkStart w:id="35" w:name="_Toc31884"/>
      <w:bookmarkStart w:id="36" w:name="_Toc15404"/>
      <w:bookmarkStart w:id="37" w:name="_Toc29729"/>
      <w:bookmarkStart w:id="38" w:name="_Toc15999"/>
      <w:bookmarkStart w:id="39" w:name="_Toc26009"/>
      <w:bookmarkStart w:id="40"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826135</wp:posOffset>
                </wp:positionV>
                <wp:extent cx="3056890" cy="609600"/>
                <wp:effectExtent l="0" t="0" r="0" b="0"/>
                <wp:wrapNone/>
                <wp:docPr id="1017" name="文本框 53"/>
                <wp:cNvGraphicFramePr/>
                <a:graphic xmlns:a="http://schemas.openxmlformats.org/drawingml/2006/main">
                  <a:graphicData uri="http://schemas.microsoft.com/office/word/2010/wordprocessingShape">
                    <wps:wsp>
                      <wps:cNvSpPr txBox="1"/>
                      <wps:spPr>
                        <a:xfrm>
                          <a:off x="3897630" y="1962150"/>
                          <a:ext cx="3056890" cy="609600"/>
                        </a:xfrm>
                        <a:prstGeom prst="rect">
                          <a:avLst/>
                        </a:prstGeom>
                        <a:noFill/>
                        <a:ln w="6350">
                          <a:noFill/>
                        </a:ln>
                        <a:effectLst/>
                      </wps:spPr>
                      <wps:txb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3" o:spid="_x0000_s1026" o:spt="202" type="#_x0000_t202" style="position:absolute;left:0pt;margin-left:214pt;margin-top:65.05pt;height:48pt;width:240.7pt;z-index:251678720;mso-width-relative:page;mso-height-relative:page;" filled="f" stroked="f" coordsize="21600,21600" o:gfxdata="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xRlKo2wAAAAsBAAAP&#10;AAAAAAAAAAEAIAAAACIAAABkcnMvZG93bnJldi54bWxQSwECFAAUAAAACACHTuJAtIJC4E4CAACE&#10;BAAADgAAAAAAAAABACAAAAAqAQAAZHJzL2Uyb0RvYy54bWxQSwUGAAAAAAYABgBZAQAA6gUAAAAA&#10;">
                <v:fill on="f" focussize="0,0"/>
                <v:stroke on="f" weight="0.5pt"/>
                <v:imagedata o:title=""/>
                <o:lock v:ext="edit" aspectratio="f"/>
                <v:textbo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bookmarkEnd w:id="40"/>
    </w:p>
    <w:p w14:paraId="70CD0809">
      <w:pPr>
        <w:pStyle w:val="29"/>
        <w:numPr>
          <w:ilvl w:val="255"/>
          <w:numId w:val="0"/>
        </w:numPr>
        <w:adjustRightInd/>
        <w:snapToGrid/>
        <w:spacing w:after="300" w:line="220" w:lineRule="atLeast"/>
        <w:outlineLvl w:val="0"/>
        <w:rPr>
          <w:rFonts w:ascii="微软雅黑" w:hAnsi="微软雅黑"/>
          <w:b/>
          <w:color w:val="00C4D8"/>
          <w:sz w:val="32"/>
          <w:szCs w:val="32"/>
        </w:rPr>
      </w:pPr>
      <w:bookmarkStart w:id="41" w:name="_Toc24274"/>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1018"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1"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GJrNoM4AgAAWw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1019"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4"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10Exm2QAAAAkBAAAPAAAAAAAAAAEAIAAAACIAAABkcnMvZG93bnJldi54bWxQ&#10;SwECFAAUAAAACACHTuJA/rL8kS8CAABPBAAADgAAAAAAAAABACAAAAAoAQAAZHJzL2Uyb0RvYy54&#10;bWxQSwUGAAAAAAYABgBZAQAAyQU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bookmarkEnd w:id="41"/>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14:paraId="01A15D7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3D922DAF">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bookmarkStart w:id="42" w:name="OLE_LINK60" w:colFirst="0" w:colLast="4"/>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6B9A69E1">
            <w:pPr>
              <w:pStyle w:val="29"/>
              <w:keepNext w:val="0"/>
              <w:keepLines w:val="0"/>
              <w:widowControl/>
              <w:numPr>
                <w:ilvl w:val="255"/>
                <w:numId w:val="0"/>
              </w:numPr>
              <w:suppressLineNumbers w:val="0"/>
              <w:spacing w:before="0" w:beforeAutospacing="0" w:after="0" w:afterAutospacing="0"/>
              <w:ind w:left="0" w:right="0"/>
              <w:rPr>
                <w:rFonts w:hint="eastAsia" w:ascii="微软雅黑" w:hAnsi="微软雅黑" w:eastAsia="微软雅黑"/>
                <w:bCs/>
                <w:kern w:val="2"/>
                <w:sz w:val="24"/>
                <w:szCs w:val="24"/>
                <w:lang w:eastAsia="zh-CN"/>
              </w:rPr>
            </w:pPr>
            <w:r>
              <w:rPr>
                <w:rFonts w:hint="eastAsia" w:ascii="微软雅黑" w:hAnsi="微软雅黑"/>
                <w:bCs/>
                <w:kern w:val="2"/>
                <w:sz w:val="24"/>
                <w:szCs w:val="24"/>
                <w:lang w:eastAsia="zh-CN"/>
              </w:rPr>
              <w:t>{{ patient_name }}</w:t>
            </w:r>
          </w:p>
        </w:tc>
        <w:tc>
          <w:tcPr>
            <w:tcW w:w="240" w:type="dxa"/>
            <w:tcBorders>
              <w:tl2br w:val="nil"/>
              <w:tr2bl w:val="nil"/>
            </w:tcBorders>
            <w:shd w:val="clear" w:color="auto" w:fill="FFFFFF" w:themeFill="background1" w:themeFillTint="32"/>
            <w:vAlign w:val="center"/>
          </w:tcPr>
          <w:p w14:paraId="5E695D9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p>
        </w:tc>
        <w:tc>
          <w:tcPr>
            <w:tcW w:w="1907" w:type="dxa"/>
            <w:tcBorders>
              <w:tl2br w:val="nil"/>
              <w:tr2bl w:val="nil"/>
            </w:tcBorders>
            <w:shd w:val="clear" w:color="auto" w:fill="DBEEF3" w:themeFill="accent5" w:themeFillTint="32"/>
            <w:vAlign w:val="center"/>
          </w:tcPr>
          <w:p w14:paraId="7D99678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b/>
                <w:kern w:val="2"/>
                <w:sz w:val="24"/>
                <w:szCs w:val="24"/>
              </w:rPr>
              <w:t>样本类型：</w:t>
            </w:r>
          </w:p>
        </w:tc>
        <w:tc>
          <w:tcPr>
            <w:tcW w:w="2321" w:type="dxa"/>
            <w:tcBorders>
              <w:tl2br w:val="nil"/>
              <w:tr2bl w:val="nil"/>
            </w:tcBorders>
            <w:shd w:val="clear" w:color="auto" w:fill="DBEEF3" w:themeFill="accent5" w:themeFillTint="32"/>
            <w:vAlign w:val="center"/>
          </w:tcPr>
          <w:p w14:paraId="71C77A2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cs="微软雅黑"/>
                <w:bCs/>
                <w:kern w:val="2"/>
                <w:sz w:val="24"/>
                <w:szCs w:val="24"/>
              </w:rPr>
              <w:t>{{ sample_type }}</w:t>
            </w:r>
          </w:p>
        </w:tc>
      </w:tr>
      <w:tr w14:paraId="3110C11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A7EB1CD">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1A808895">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ED49DB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6615350A">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14:paraId="047695C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 sampling_method }}</w:t>
            </w:r>
          </w:p>
        </w:tc>
      </w:tr>
      <w:tr w14:paraId="5FCB214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546D31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39D7E3D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2ACA21F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0CDC6A7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14:paraId="7EC4F6C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 sample_site }}</w:t>
            </w:r>
          </w:p>
        </w:tc>
      </w:tr>
      <w:tr w14:paraId="691C18D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FED254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8816B1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14:paraId="69DE7E9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2CF5326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项目编码：</w:t>
            </w:r>
          </w:p>
        </w:tc>
        <w:tc>
          <w:tcPr>
            <w:tcW w:w="2321" w:type="dxa"/>
            <w:tcBorders>
              <w:tl2br w:val="nil"/>
              <w:tr2bl w:val="nil"/>
            </w:tcBorders>
            <w:shd w:val="clear" w:color="auto" w:fill="DBEEF3" w:themeFill="accent5" w:themeFillTint="32"/>
            <w:vAlign w:val="center"/>
          </w:tcPr>
          <w:p w14:paraId="521B916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eastAsia="zh-CN"/>
              </w:rPr>
              <w:t>{{ sample_id }}</w:t>
            </w:r>
            <w:r>
              <w:rPr>
                <w:rFonts w:hint="eastAsia" w:ascii="微软雅黑" w:hAnsi="微软雅黑"/>
                <w:bCs/>
                <w:kern w:val="2"/>
                <w:sz w:val="24"/>
                <w:szCs w:val="24"/>
                <w:lang w:val="en-US" w:eastAsia="zh-CN"/>
              </w:rPr>
            </w:r>
          </w:p>
        </w:tc>
      </w:tr>
      <w:bookmarkEnd w:id="42"/>
    </w:tbl>
    <w:p w14:paraId="2D23A9C5">
      <w:pPr>
        <w:tabs>
          <w:tab w:val="left" w:pos="6274"/>
        </w:tabs>
        <w:adjustRightInd/>
        <w:snapToGrid/>
        <w:spacing w:before="100" w:after="100" w:line="220" w:lineRule="atLeast"/>
        <w:jc w:val="both"/>
        <w:rPr>
          <w:rFonts w:ascii="微软雅黑" w:hAnsi="微软雅黑"/>
          <w:b/>
          <w:color w:val="0D0D0D" w:themeColor="text1" w:themeTint="F2"/>
          <w:sz w:val="18"/>
          <w:szCs w:val="18"/>
          <w14:textFill>
            <w14:solidFill>
              <w14:schemeClr w14:val="tx1">
                <w14:lumMod w14:val="95000"/>
                <w14:lumOff w14:val="5000"/>
              </w14:schemeClr>
            </w14:solidFill>
          </w14:textFill>
        </w:rPr>
      </w:pPr>
      <w:bookmarkStart w:id="43" w:name="_Toc14589"/>
      <w:bookmarkStart w:id="44" w:name="_Toc22529"/>
      <w:bookmarkStart w:id="45" w:name="_Toc3347"/>
      <w:bookmarkStart w:id="46" w:name="_Toc1619"/>
      <w:bookmarkStart w:id="47" w:name="_Toc31667"/>
      <w:bookmarkStart w:id="48" w:name="_Toc18728"/>
      <w:bookmarkStart w:id="49" w:name="_Toc16727"/>
      <w:bookmarkStart w:id="50" w:name="_Toc30103"/>
      <w:bookmarkStart w:id="51" w:name="_Toc5570"/>
      <w:bookmarkStart w:id="52" w:name="_Toc31893"/>
      <w:bookmarkStart w:id="53" w:name="_Toc5129"/>
      <w:r>
        <w:rPr>
          <w:rFonts w:hint="eastAsia" w:ascii="微软雅黑" w:hAnsi="微软雅黑"/>
          <w:b/>
          <w:color w:val="0D0D0D" w:themeColor="text1" w:themeTint="F2"/>
          <w:sz w:val="18"/>
          <w:szCs w:val="18"/>
          <w14:textFill>
            <w14:solidFill>
              <w14:schemeClr w14:val="tx1">
                <w14:lumMod w14:val="95000"/>
                <w14:lumOff w14:val="5000"/>
              </w14:schemeClr>
            </w14:solidFill>
          </w14:textFill>
        </w:rPr>
        <w:t>附注：以上受检者信息和样本信息均来自受检者送检时提供的信息，而非来自检测结果。本检测报告不对以上信息的准确性负责。</w:t>
      </w:r>
    </w:p>
    <w:p w14:paraId="4CC8F785">
      <w:pPr>
        <w:tabs>
          <w:tab w:val="left" w:pos="6274"/>
        </w:tabs>
        <w:adjustRightInd/>
        <w:snapToGrid/>
        <w:spacing w:before="400" w:line="220" w:lineRule="atLeast"/>
        <w:outlineLvl w:val="0"/>
        <w:rPr>
          <w:rFonts w:ascii="微软雅黑" w:hAnsi="微软雅黑"/>
          <w:b/>
          <w:sz w:val="32"/>
          <w:szCs w:val="32"/>
        </w:rPr>
      </w:pPr>
      <w:bookmarkStart w:id="54" w:name="_Toc17258"/>
      <w:bookmarkStart w:id="55" w:name="_Toc2382"/>
      <w:r>
        <w:rPr>
          <w:rFonts w:hint="eastAsia" w:ascii="微软雅黑" w:hAnsi="微软雅黑"/>
          <w:b/>
          <w:color w:val="00C4D8"/>
          <w:sz w:val="32"/>
          <w:szCs w:val="32"/>
        </w:rPr>
        <w:t>检测内容</w:t>
      </w:r>
      <w:bookmarkEnd w:id="43"/>
      <w:bookmarkEnd w:id="44"/>
      <w:bookmarkEnd w:id="45"/>
      <w:bookmarkEnd w:id="46"/>
      <w:bookmarkEnd w:id="47"/>
      <w:bookmarkEnd w:id="48"/>
      <w:bookmarkEnd w:id="49"/>
      <w:bookmarkEnd w:id="50"/>
      <w:bookmarkEnd w:id="51"/>
      <w:bookmarkEnd w:id="52"/>
      <w:bookmarkEnd w:id="53"/>
      <w:bookmarkEnd w:id="54"/>
      <w:bookmarkEnd w:id="55"/>
      <w:r>
        <w:rPr>
          <w:rFonts w:ascii="微软雅黑" w:hAnsi="微软雅黑"/>
          <w:b/>
          <w:sz w:val="32"/>
          <w:szCs w:val="32"/>
        </w:rPr>
        <w:tab/>
      </w:r>
    </w:p>
    <w:p w14:paraId="1652F277">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对委托人</w:t>
      </w:r>
      <w:r>
        <w:rPr>
          <w:rFonts w:hint="eastAsia" w:ascii="微软雅黑" w:hAnsi="微软雅黑" w:cs="LPJNJT+Arial Unicode MS"/>
          <w:sz w:val="24"/>
          <w:szCs w:val="24"/>
          <w:u w:val="single"/>
        </w:rPr>
        <w:t xml:space="preserve">    组织    </w:t>
      </w:r>
      <w:r>
        <w:rPr>
          <w:rFonts w:ascii="微软雅黑" w:hAnsi="微软雅黑" w:cs="LPJNJT+Arial Unicode MS"/>
          <w:sz w:val="24"/>
          <w:szCs w:val="24"/>
        </w:rPr>
        <w:t xml:space="preserve">的 </w:t>
      </w:r>
      <w:r>
        <w:rPr>
          <w:rFonts w:ascii="微软雅黑" w:hAnsi="微软雅黑"/>
          <w:sz w:val="24"/>
          <w:szCs w:val="24"/>
        </w:rPr>
        <w:t xml:space="preserve">DNA </w:t>
      </w:r>
      <w:r>
        <w:rPr>
          <w:rFonts w:ascii="微软雅黑" w:hAnsi="微软雅黑" w:cs="LPJNJT+Arial Unicode MS"/>
          <w:sz w:val="24"/>
          <w:szCs w:val="24"/>
        </w:rPr>
        <w:t>样本</w:t>
      </w:r>
      <w:r>
        <w:rPr>
          <w:rFonts w:hint="eastAsia" w:ascii="微软雅黑" w:hAnsi="微软雅黑" w:cs="LPJNJT+Arial Unicode MS"/>
          <w:sz w:val="24"/>
          <w:szCs w:val="24"/>
        </w:rPr>
        <w:t>微卫星不稳定性（MSI）以及</w:t>
      </w:r>
      <w:r>
        <w:rPr>
          <w:rFonts w:ascii="微软雅黑" w:hAnsi="微软雅黑" w:cs="LPJNJT+Arial Unicode MS"/>
          <w:sz w:val="24"/>
          <w:szCs w:val="24"/>
        </w:rPr>
        <w:t>与肿瘤密切相关的</w:t>
      </w:r>
      <w:r>
        <w:rPr>
          <w:rFonts w:hint="eastAsia" w:ascii="微软雅黑" w:hAnsi="微软雅黑" w:cs="LPJNJT+Arial Unicode MS"/>
          <w:sz w:val="24"/>
          <w:szCs w:val="24"/>
          <w:lang w:eastAsia="zh-CN"/>
        </w:rPr>
        <w:t>358</w:t>
      </w:r>
      <w:r>
        <w:rPr>
          <w:rFonts w:ascii="微软雅黑" w:hAnsi="微软雅黑" w:cs="LPJNJT+Arial Unicode MS"/>
          <w:sz w:val="24"/>
          <w:szCs w:val="24"/>
        </w:rPr>
        <w:t>个基因进行</w:t>
      </w:r>
      <w:r>
        <w:rPr>
          <w:rFonts w:hint="eastAsia" w:ascii="微软雅黑" w:hAnsi="微软雅黑" w:cs="LPJNJT+Arial Unicode MS"/>
          <w:sz w:val="24"/>
          <w:szCs w:val="24"/>
        </w:rPr>
        <w:t>检测</w:t>
      </w:r>
      <w:r>
        <w:rPr>
          <w:rFonts w:ascii="微软雅黑" w:hAnsi="微软雅黑" w:cs="LPJNJT+Arial Unicode MS"/>
          <w:sz w:val="24"/>
          <w:szCs w:val="24"/>
        </w:rPr>
        <w:t>：</w:t>
      </w:r>
    </w:p>
    <w:p w14:paraId="415FEE6D">
      <w:pPr>
        <w:numPr>
          <w:ilvl w:val="0"/>
          <w:numId w:val="1"/>
        </w:numPr>
        <w:spacing w:after="0" w:line="312" w:lineRule="auto"/>
        <w:jc w:val="both"/>
        <w:rPr>
          <w:rFonts w:ascii="微软雅黑" w:hAnsi="微软雅黑" w:cs="LPJNJT+Arial Unicode MS"/>
          <w:sz w:val="24"/>
          <w:szCs w:val="24"/>
        </w:rPr>
      </w:pPr>
      <w:bookmarkStart w:id="56" w:name="OLE_LINK28"/>
      <w:r>
        <w:rPr>
          <w:rFonts w:hint="eastAsia" w:ascii="微软雅黑" w:hAnsi="微软雅黑" w:cs="LPJNJT+Arial Unicode MS"/>
          <w:sz w:val="24"/>
          <w:szCs w:val="24"/>
        </w:rPr>
        <w:t>分析样本微卫星不稳定性，给予用药提示。</w:t>
      </w:r>
    </w:p>
    <w:p w14:paraId="6909263C">
      <w:pPr>
        <w:spacing w:after="0" w:line="312" w:lineRule="auto"/>
        <w:jc w:val="both"/>
        <w:rPr>
          <w:rFonts w:ascii="微软雅黑" w:hAnsi="微软雅黑" w:cs="LPJNJT+Arial Unicode MS"/>
          <w:sz w:val="24"/>
          <w:szCs w:val="24"/>
        </w:rPr>
      </w:pPr>
      <w:r>
        <w:rPr>
          <w:rFonts w:hint="eastAsia" w:ascii="微软雅黑" w:hAnsi="微软雅黑" w:cs="LPJNJT+Arial Unicode MS"/>
          <w:sz w:val="24"/>
          <w:szCs w:val="24"/>
        </w:rPr>
        <w:t>2</w:t>
      </w:r>
      <w:r>
        <w:rPr>
          <w:rFonts w:ascii="微软雅黑" w:hAnsi="微软雅黑" w:cs="LPJNJT+Arial Unicode MS"/>
          <w:sz w:val="24"/>
          <w:szCs w:val="24"/>
        </w:rPr>
        <w:t xml:space="preserve">. </w:t>
      </w:r>
      <w:r>
        <w:rPr>
          <w:rFonts w:hint="eastAsia" w:ascii="微软雅黑" w:hAnsi="微软雅黑" w:cs="LPJNJT+Arial Unicode MS"/>
          <w:sz w:val="24"/>
          <w:szCs w:val="24"/>
        </w:rPr>
        <w:t>分析样本存在的基因变异情况，寻找与靶向/免疫药物相关的变异，给予用药提示与理论支持。</w:t>
      </w:r>
    </w:p>
    <w:bookmarkEnd w:id="56"/>
    <w:p w14:paraId="489EAF85">
      <w:pPr>
        <w:pStyle w:val="28"/>
        <w:widowControl w:val="0"/>
        <w:autoSpaceDE w:val="0"/>
        <w:autoSpaceDN w:val="0"/>
        <w:adjustRightInd w:val="0"/>
        <w:spacing w:before="0" w:after="0" w:line="312" w:lineRule="auto"/>
        <w:rPr>
          <w:rFonts w:ascii="微软雅黑" w:hAnsi="微软雅黑" w:eastAsia="微软雅黑" w:cs="LPJNJT+Arial Unicode MS"/>
          <w:sz w:val="24"/>
          <w:szCs w:val="24"/>
          <w:lang w:eastAsia="zh-CN"/>
        </w:rPr>
      </w:pPr>
    </w:p>
    <w:p w14:paraId="63B0A0F6">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bookmarkStart w:id="57" w:name="_Toc3810"/>
      <w:bookmarkEnd w:id="57"/>
      <w:bookmarkStart w:id="58" w:name="_Toc8199"/>
      <w:bookmarkEnd w:id="58"/>
      <w:bookmarkStart w:id="59" w:name="_Toc5769"/>
      <w:bookmarkEnd w:id="59"/>
      <w:bookmarkStart w:id="60" w:name="_Toc20306"/>
      <w:bookmarkEnd w:id="60"/>
      <w:bookmarkStart w:id="61" w:name="_Toc30794"/>
      <w:bookmarkEnd w:id="61"/>
      <w:bookmarkStart w:id="62" w:name="_Toc7901"/>
      <w:bookmarkEnd w:id="62"/>
      <w:bookmarkStart w:id="63" w:name="_Toc23594"/>
      <w:bookmarkStart w:id="64" w:name="_Toc4168"/>
      <w:bookmarkStart w:id="65" w:name="_Toc26709"/>
      <w:bookmarkStart w:id="66" w:name="_Toc6361"/>
      <w:bookmarkStart w:id="67" w:name="_Toc28223"/>
      <w:bookmarkStart w:id="68" w:name="_Toc21519"/>
      <w:bookmarkStart w:id="69" w:name="_Toc26768"/>
      <w:bookmarkStart w:id="70" w:name="_Toc30443"/>
      <w:bookmarkStart w:id="71" w:name="_Toc12358"/>
      <w:bookmarkStart w:id="72" w:name="_Toc1330"/>
      <w:bookmarkStart w:id="73" w:name="_Toc30145"/>
      <w:bookmarkStart w:id="74" w:name="_Toc25481"/>
      <w:bookmarkStart w:id="75" w:name="_Toc10524"/>
    </w:p>
    <w:p w14:paraId="289E6EDC">
      <w:pPr>
        <w:rPr>
          <w:rFonts w:ascii="微软雅黑" w:hAnsi="微软雅黑" w:eastAsia="微软雅黑" w:cs="OSTASS+åæä¸­å®"/>
          <w:color w:val="000000"/>
          <w:sz w:val="24"/>
          <w:szCs w:val="24"/>
          <w:lang w:eastAsia="zh-CN"/>
        </w:rPr>
      </w:pPr>
      <w:r>
        <w:rPr>
          <w:rFonts w:ascii="微软雅黑" w:hAnsi="微软雅黑" w:eastAsia="微软雅黑" w:cs="OSTASS+åæä¸­å®"/>
          <w:color w:val="000000"/>
          <w:sz w:val="24"/>
          <w:szCs w:val="24"/>
          <w:lang w:eastAsia="zh-CN"/>
        </w:rPr>
        <w:br w:type="page"/>
      </w:r>
    </w:p>
    <w:p w14:paraId="3EA8B616">
      <w:pPr>
        <w:pStyle w:val="28"/>
        <w:widowControl w:val="0"/>
        <w:autoSpaceDE w:val="0"/>
        <w:autoSpaceDN w:val="0"/>
        <w:adjustRightInd w:val="0"/>
        <w:spacing w:line="312" w:lineRule="auto"/>
        <w:rPr>
          <w:rFonts w:ascii="微软雅黑" w:hAnsi="微软雅黑"/>
          <w:b/>
          <w:sz w:val="30"/>
          <w:szCs w:val="30"/>
        </w:rPr>
      </w:pPr>
      <w:r>
        <w:rPr>
          <w:rFonts w:hint="eastAsia" w:ascii="微软雅黑" w:hAnsi="微软雅黑"/>
          <w:b/>
          <w:sz w:val="30"/>
          <w:szCs w:val="30"/>
        </w:rPr>
        <w:tab/>
      </w:r>
    </w:p>
    <w:p w14:paraId="501053BD">
      <w:pPr>
        <w:pStyle w:val="29"/>
        <w:numPr>
          <w:ilvl w:val="255"/>
          <w:numId w:val="0"/>
        </w:numPr>
        <w:adjustRightInd/>
        <w:snapToGrid/>
        <w:spacing w:before="200" w:after="100" w:line="220" w:lineRule="atLeast"/>
        <w:jc w:val="center"/>
        <w:outlineLvl w:val="0"/>
        <w:rPr>
          <w:rFonts w:ascii="微软雅黑" w:hAnsi="微软雅黑"/>
          <w:b/>
          <w:color w:val="00C4D8"/>
          <w:sz w:val="32"/>
          <w:szCs w:val="32"/>
        </w:rPr>
      </w:pPr>
      <w:r>
        <w:rPr>
          <w:rFonts w:hint="eastAsia" w:ascii="微软雅黑" w:hAnsi="微软雅黑"/>
          <w:b/>
          <w:color w:val="00C4D8"/>
          <w:sz w:val="36"/>
          <w:szCs w:val="36"/>
        </w:rPr>
        <w:t>第二部分：检测结果</w:t>
      </w:r>
      <w:bookmarkEnd w:id="63"/>
      <w:bookmarkEnd w:id="64"/>
    </w:p>
    <w:p w14:paraId="5473502D">
      <w:pPr>
        <w:adjustRightInd/>
        <w:snapToGrid/>
        <w:spacing w:after="0" w:line="220" w:lineRule="atLeast"/>
        <w:outlineLvl w:val="0"/>
        <w:rPr>
          <w:rFonts w:ascii="微软雅黑" w:hAnsi="微软雅黑"/>
          <w:b/>
          <w:color w:val="00C4D8"/>
          <w:sz w:val="32"/>
          <w:szCs w:val="32"/>
        </w:rPr>
      </w:pPr>
      <w:bookmarkStart w:id="76" w:name="_Toc14194"/>
      <w:bookmarkStart w:id="77" w:name="_Toc27165"/>
      <w:r>
        <w:rPr>
          <w:rFonts w:ascii="微软雅黑" w:hAnsi="微软雅黑"/>
          <w:b/>
          <w:color w:val="00C4D8"/>
          <w:sz w:val="32"/>
          <w:szCs w:val="32"/>
        </w:rPr>
        <w:t>1.</w:t>
      </w:r>
      <w:r>
        <w:rPr>
          <w:rFonts w:hint="eastAsia" w:ascii="微软雅黑" w:hAnsi="微软雅黑"/>
          <w:b/>
          <w:color w:val="00C4D8"/>
          <w:sz w:val="32"/>
          <w:szCs w:val="32"/>
        </w:rPr>
        <w:t>检测结果小结</w:t>
      </w:r>
      <w:bookmarkEnd w:id="65"/>
      <w:bookmarkEnd w:id="66"/>
      <w:bookmarkEnd w:id="67"/>
      <w:bookmarkEnd w:id="68"/>
      <w:bookmarkEnd w:id="69"/>
      <w:bookmarkEnd w:id="70"/>
      <w:bookmarkEnd w:id="71"/>
      <w:bookmarkEnd w:id="72"/>
      <w:bookmarkEnd w:id="73"/>
      <w:bookmarkEnd w:id="74"/>
      <w:bookmarkEnd w:id="75"/>
      <w:bookmarkEnd w:id="76"/>
      <w:bookmarkEnd w:id="77"/>
    </w:p>
    <w:p w14:paraId="01671F87">
      <w:pPr>
        <w:pStyle w:val="29"/>
        <w:numPr>
          <w:ilvl w:val="0"/>
          <w:numId w:val="2"/>
        </w:numPr>
        <w:adjustRightInd/>
        <w:snapToGrid/>
        <w:spacing w:before="200" w:line="320" w:lineRule="exact"/>
        <w:ind w:firstLineChars="0"/>
        <w:rPr>
          <w:rFonts w:ascii="微软雅黑" w:hAnsi="微软雅黑"/>
          <w:b/>
          <w:color w:val="00C4D8"/>
          <w:sz w:val="28"/>
          <w:szCs w:val="28"/>
        </w:rPr>
      </w:pPr>
      <w:r>
        <w:rPr>
          <w:rFonts w:hint="eastAsia" w:ascii="微软雅黑" w:hAnsi="微软雅黑"/>
          <w:b/>
          <w:color w:val="00C4D8"/>
          <w:sz w:val="28"/>
          <w:szCs w:val="28"/>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1758"/>
        <w:gridCol w:w="3530"/>
        <w:gridCol w:w="1837"/>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bookmarkStart w:id="78" w:name="OLE_LINK9"/>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1758" w:type="dxa"/>
            <w:shd w:val="clear" w:color="auto" w:fill="00C4D8"/>
            <w:vAlign w:val="center"/>
          </w:tcPr>
          <w:p w14:paraId="336B05FD">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530" w:type="dxa"/>
            <w:shd w:val="clear" w:color="auto" w:fill="00C4D8"/>
            <w:vAlign w:val="center"/>
          </w:tcPr>
          <w:p w14:paraId="221172A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837" w:type="dxa"/>
            <w:shd w:val="clear" w:color="auto" w:fill="00C4D8"/>
            <w:vAlign w:val="center"/>
          </w:tcPr>
          <w:p w14:paraId="2774FB64">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bookmarkEnd w:id="78"/>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{%tr for row in targeted_drug_tips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 row.gene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{%tr endfor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bl>
    <w:p w14:paraId="7B1239DF">
      <w:pPr>
        <w:adjustRightInd/>
        <w:snapToGrid/>
        <w:spacing w:after="260"/>
        <w:jc w:val="both"/>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*本次共检出体细胞变异：{{ total_variants_count }}个，其中与靶向药物用药相关的变异有：{{ drug_related_count }}个。</w:t>
      </w:r>
      <w:r>
        <w:rPr>
          <w:rFonts w:hint="eastAsia" w:ascii="微软雅黑" w:hAnsi="微软雅黑" w:cs="微软雅黑"/>
          <w:kern w:val="2"/>
          <w:sz w:val="18"/>
          <w:szCs w:val="18"/>
          <w:lang w:val="en-US" w:eastAsia="zh-CN"/>
        </w:rPr>
      </w:r>
      <w:r>
        <w:rPr>
          <w:rFonts w:hint="eastAsia" w:ascii="微软雅黑" w:hAnsi="微软雅黑" w:eastAsia="微软雅黑" w:cs="微软雅黑"/>
          <w:kern w:val="2"/>
          <w:sz w:val="18"/>
          <w:szCs w:val="18"/>
        </w:rPr>
      </w:r>
      <w:r>
        <w:rPr>
          <w:rFonts w:hint="eastAsia" w:ascii="微软雅黑" w:hAnsi="微软雅黑" w:cs="微软雅黑"/>
          <w:kern w:val="2"/>
          <w:sz w:val="18"/>
          <w:szCs w:val="18"/>
          <w:lang w:val="en-US" w:eastAsia="zh-CN"/>
        </w:rPr>
      </w:r>
      <w:r>
        <w:rPr>
          <w:rFonts w:hint="eastAsia" w:ascii="微软雅黑" w:hAnsi="微软雅黑" w:eastAsia="微软雅黑" w:cs="微软雅黑"/>
          <w:kern w:val="2"/>
          <w:sz w:val="18"/>
          <w:szCs w:val="18"/>
        </w:rPr>
      </w:r>
    </w:p>
    <w:p w14:paraId="23ABDA43">
      <w:pPr>
        <w:adjustRightInd/>
        <w:snapToGrid/>
        <w:spacing w:after="0"/>
        <w:jc w:val="both"/>
        <w:rPr>
          <w:rFonts w:ascii="微软雅黑" w:hAnsi="微软雅黑"/>
          <w:sz w:val="16"/>
          <w:szCs w:val="21"/>
        </w:rPr>
      </w:pPr>
      <w:r>
        <w:rPr>
          <w:rFonts w:hint="eastAsia" w:ascii="微软雅黑" w:hAnsi="微软雅黑"/>
          <w:sz w:val="16"/>
          <w:szCs w:val="21"/>
        </w:rPr>
        <w:t>备注：1. 变异与药物敏感性证据等级依据AMP/ASCO/CAP相关指南，将证据等级分为四个等级：</w:t>
      </w:r>
    </w:p>
    <w:p w14:paraId="17068449">
      <w:pPr>
        <w:adjustRightInd/>
        <w:snapToGrid/>
        <w:spacing w:after="0"/>
        <w:jc w:val="both"/>
        <w:rPr>
          <w:rFonts w:ascii="微软雅黑" w:hAnsi="微软雅黑"/>
          <w:sz w:val="16"/>
          <w:szCs w:val="21"/>
        </w:rPr>
      </w:pPr>
      <w:r>
        <w:rPr>
          <w:rFonts w:hint="eastAsia" w:ascii="微软雅黑" w:hAnsi="微软雅黑"/>
          <w:sz w:val="16"/>
          <w:szCs w:val="21"/>
        </w:rPr>
        <w:t>Level A：FDA/NMPA或专业指南批准/推荐在本癌种中针对该靶点治疗有响应或耐药的药物；</w:t>
      </w:r>
    </w:p>
    <w:p w14:paraId="44C26DB5">
      <w:pPr>
        <w:adjustRightInd/>
        <w:snapToGrid/>
        <w:spacing w:after="0"/>
        <w:jc w:val="both"/>
        <w:rPr>
          <w:rFonts w:ascii="微软雅黑" w:hAnsi="微软雅黑"/>
          <w:sz w:val="16"/>
          <w:szCs w:val="21"/>
        </w:rPr>
      </w:pPr>
      <w:r>
        <w:rPr>
          <w:rFonts w:hint="eastAsia" w:ascii="微软雅黑" w:hAnsi="微软雅黑"/>
          <w:sz w:val="16"/>
          <w:szCs w:val="21"/>
        </w:rPr>
        <w:t>Level B：专家共识明确在本癌种中针对该靶点治疗有响应或耐药的药物；</w:t>
      </w:r>
    </w:p>
    <w:p w14:paraId="2B7D0532">
      <w:pPr>
        <w:adjustRightInd/>
        <w:snapToGrid/>
        <w:spacing w:after="0"/>
        <w:jc w:val="both"/>
        <w:rPr>
          <w:rFonts w:ascii="微软雅黑" w:hAnsi="微软雅黑"/>
          <w:sz w:val="16"/>
          <w:szCs w:val="21"/>
        </w:rPr>
      </w:pPr>
      <w:r>
        <w:rPr>
          <w:rFonts w:hint="eastAsia" w:ascii="微软雅黑" w:hAnsi="微软雅黑"/>
          <w:sz w:val="16"/>
          <w:szCs w:val="21"/>
        </w:rPr>
        <w:t>Level C：FDA/NMPA或专业指南批准/推荐在其他癌种中针对该靶点治疗有响应或耐药的药物，或已作为临床试验的筛选入组标准；</w:t>
      </w:r>
    </w:p>
    <w:p w14:paraId="4CB6B777">
      <w:pPr>
        <w:adjustRightInd/>
        <w:snapToGrid/>
        <w:spacing w:after="0"/>
        <w:jc w:val="both"/>
        <w:rPr>
          <w:rFonts w:ascii="微软雅黑" w:hAnsi="微软雅黑"/>
          <w:sz w:val="16"/>
          <w:szCs w:val="21"/>
        </w:rPr>
      </w:pPr>
      <w:r>
        <w:rPr>
          <w:rFonts w:hint="eastAsia" w:ascii="微软雅黑" w:hAnsi="微软雅黑"/>
          <w:sz w:val="16"/>
          <w:szCs w:val="21"/>
        </w:rPr>
        <w:t>Level D：临床前研究/案例报道显示针对该靶点可能对治疗有响应或耐药的药物。</w:t>
      </w:r>
    </w:p>
    <w:p w14:paraId="04F289F2">
      <w:pPr>
        <w:adjustRightInd/>
        <w:snapToGrid/>
        <w:spacing w:after="0"/>
        <w:jc w:val="both"/>
        <w:rPr>
          <w:rFonts w:ascii="微软雅黑" w:hAnsi="微软雅黑"/>
          <w:sz w:val="16"/>
          <w:szCs w:val="21"/>
          <w:highlight w:val="yellow"/>
        </w:rPr>
      </w:pPr>
      <w:r>
        <w:rPr>
          <w:rFonts w:hint="eastAsia" w:ascii="微软雅黑" w:hAnsi="微软雅黑"/>
          <w:sz w:val="16"/>
          <w:szCs w:val="21"/>
        </w:rPr>
        <w:t>随临床证据更新药物推荐结果及分级可能产生变化。</w:t>
      </w:r>
    </w:p>
    <w:p w14:paraId="77FB5E70">
      <w:pPr>
        <w:jc w:val="both"/>
        <w:rPr>
          <w:rFonts w:hint="eastAsia" w:ascii="微软雅黑" w:hAnsi="微软雅黑"/>
          <w:b/>
          <w:bCs/>
          <w:sz w:val="16"/>
          <w:szCs w:val="21"/>
        </w:rPr>
      </w:pPr>
      <w:r>
        <w:rPr>
          <w:rFonts w:ascii="微软雅黑" w:hAnsi="微软雅黑"/>
          <w:sz w:val="16"/>
          <w:szCs w:val="21"/>
        </w:rPr>
        <w:t>2.</w:t>
      </w:r>
      <w:r>
        <w:rPr>
          <w:rFonts w:hint="eastAsia" w:ascii="微软雅黑" w:hAnsi="微软雅黑"/>
          <w:sz w:val="16"/>
          <w:szCs w:val="21"/>
        </w:rPr>
        <w:t>上表涉及的已上市的药物名称及对应的商品名称：</w:t>
      </w:r>
      <w:r>
        <w:rPr>
          <w:rFonts w:hint="eastAsia" w:ascii="微软雅黑" w:hAnsi="微软雅黑"/>
          <w:b/>
          <w:bCs/>
          <w:sz w:val="16"/>
          <w:szCs w:val="21"/>
        </w:rPr>
        <w:t>Avutometinib[AVMAPKI]、Defactinib[FAKZYNJA]、阿替利珠单抗[泰圣奇]、阿维鲁单抗[巴文西亚]、奥拉帕利[利普卓]、贝美替尼[MEKTOVI]、度伐利尤单抗[英飞凡]、福巴替尼[LYTGOBI]、芦卡帕利[RUBRACA]、奈拉替尼[贺俪安]、尼拉帕利[则乐]、帕博利珠单抗[可瑞达]、帕米帕利[百汇泽]、帕尼单抗[维克替比]、哌柏西利[爱博新]、曲美替尼[迈吉宁]、司美替尼[科赛优]、他拉唑帕利[泰泽纳]、替雷利珠单抗[百泽安]、西妥昔单抗[爱必妥]、盐酸可泮利塞[奥罗巴]、依维莫司[飞尼妥]。</w:t>
      </w:r>
    </w:p>
    <w:p w14:paraId="1F1ED41D">
      <w:pPr>
        <w:rPr>
          <w:rFonts w:ascii="微软雅黑" w:hAnsi="微软雅黑"/>
          <w:b/>
          <w:color w:val="00C4D8"/>
          <w:sz w:val="28"/>
          <w:szCs w:val="28"/>
        </w:rPr>
      </w:pPr>
    </w:p>
    <w:p w14:paraId="43583AD7">
      <w:pPr>
        <w:pStyle w:val="29"/>
        <w:numPr>
          <w:ilvl w:val="0"/>
          <w:numId w:val="2"/>
        </w:numPr>
        <w:adjustRightInd/>
        <w:snapToGrid/>
        <w:spacing w:after="100"/>
        <w:ind w:firstLineChars="0"/>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9"/>
        <w:gridCol w:w="3211"/>
        <w:gridCol w:w="3971"/>
      </w:tblGrid>
      <w:tr w14:paraId="147F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100" w:type="dxa"/>
            <w:gridSpan w:val="2"/>
            <w:shd w:val="clear" w:color="auto" w:fill="00C4D8"/>
            <w:vAlign w:val="center"/>
          </w:tcPr>
          <w:p w14:paraId="55B97E5B">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3971" w:type="dxa"/>
            <w:shd w:val="clear" w:color="auto" w:fill="00C4D8"/>
            <w:vAlign w:val="center"/>
          </w:tcPr>
          <w:p w14:paraId="4350D2B0">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4D3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1889" w:type="dxa"/>
            <w:vAlign w:val="center"/>
          </w:tcPr>
          <w:p w14:paraId="2678CD2B">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肿瘤突变负荷（TMB）</w:t>
            </w:r>
          </w:p>
        </w:tc>
        <w:tc>
          <w:tcPr>
            <w:tcW w:w="3211" w:type="dxa"/>
            <w:vAlign w:val="center"/>
          </w:tcPr>
          <w:p w14:paraId="7B228BC8">
            <w:pPr>
              <w:pStyle w:val="55"/>
              <w:keepNext w:val="0"/>
              <w:keepLines w:val="0"/>
              <w:widowControl/>
              <w:suppressLineNumbers w:val="0"/>
              <w:spacing w:before="0" w:beforeAutospacing="0" w:after="0" w:afterAutospacing="0"/>
              <w:ind w:left="0" w:right="0" w:firstLine="0" w:firstLineChars="0"/>
              <w:jc w:val="center"/>
              <w:rPr>
                <w:rFonts w:hint="eastAsia" w:ascii="微软雅黑" w:hAnsi="微软雅黑" w:eastAsia="微软雅黑" w:cs="微软雅黑"/>
                <w:kern w:val="2"/>
                <w:sz w:val="18"/>
                <w:szCs w:val="18"/>
                <w:lang w:val="en-US" w:eastAsia="zh-CN"/>
              </w:rPr>
            </w:pPr>
            <w:r>
              <w:rPr>
                <w:rFonts w:hint="eastAsia" w:ascii="微软雅黑" w:hAnsi="微软雅黑" w:cs="微软雅黑"/>
                <w:kern w:val="2"/>
                <w:sz w:val="18"/>
                <w:szCs w:val="18"/>
                <w:lang w:val="en-US" w:eastAsia="zh-CN"/>
              </w:rPr>
              <w:t>{{ tmb_summary }}</w:t>
            </w:r>
            <w:r>
              <w:rPr>
                <w:rFonts w:hint="eastAsia" w:ascii="微软雅黑" w:hAnsi="微软雅黑" w:cs="微软雅黑"/>
                <w:kern w:val="2"/>
                <w:sz w:val="18"/>
                <w:szCs w:val="18"/>
              </w:rPr>
            </w:r>
            <w:r>
              <w:rPr>
                <w:rFonts w:hint="eastAsia" w:ascii="微软雅黑" w:hAnsi="微软雅黑" w:cs="微软雅黑"/>
                <w:kern w:val="2"/>
                <w:sz w:val="18"/>
                <w:szCs w:val="18"/>
                <w:lang w:val="en-US" w:eastAsia="zh-CN"/>
              </w:rPr>
            </w:r>
          </w:p>
        </w:tc>
        <w:tc>
          <w:tcPr>
            <w:tcW w:w="3971" w:type="dxa"/>
            <w:vAlign w:val="center"/>
          </w:tcPr>
          <w:p w14:paraId="3913828D">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kern w:val="2"/>
                <w:sz w:val="18"/>
                <w:szCs w:val="18"/>
              </w:rPr>
            </w:pPr>
            <w:r>
              <w:rPr>
                <w:rFonts w:hint="eastAsia" w:ascii="微软雅黑" w:hAnsi="微软雅黑"/>
                <w:kern w:val="2"/>
                <w:sz w:val="18"/>
                <w:szCs w:val="18"/>
              </w:rPr>
              <w:t>{{ immuno_tips }}</w:t>
            </w:r>
          </w:p>
        </w:tc>
      </w:tr>
      <w:tr w14:paraId="03C21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AB85D5F">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微卫星不稳定性（MSI）</w:t>
            </w:r>
          </w:p>
        </w:tc>
        <w:tc>
          <w:tcPr>
            <w:tcW w:w="3211" w:type="dxa"/>
            <w:vAlign w:val="center"/>
          </w:tcPr>
          <w:p w14:paraId="7DAB5B87">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rPr>
            </w:pPr>
            <w:r>
              <w:rPr>
                <w:rFonts w:hint="eastAsia" w:ascii="微软雅黑" w:hAnsi="微软雅黑" w:cs="微软雅黑"/>
                <w:kern w:val="2"/>
                <w:sz w:val="18"/>
                <w:szCs w:val="18"/>
              </w:rPr>
              <w:t>{{ msi_summary }}</w:t>
            </w:r>
          </w:p>
        </w:tc>
        <w:tc>
          <w:tcPr>
            <w:tcW w:w="3971" w:type="dxa"/>
            <w:vAlign w:val="center"/>
          </w:tcPr>
          <w:p w14:paraId="53E0273A">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u w:val="single"/>
              </w:rPr>
            </w:pPr>
            <w:r>
              <w:rPr>
                <w:rFonts w:hint="eastAsia" w:ascii="微软雅黑" w:hAnsi="微软雅黑"/>
                <w:kern w:val="2"/>
                <w:sz w:val="18"/>
                <w:szCs w:val="18"/>
              </w:rPr>
              <w:t>{{ msi_tips }}</w:t>
            </w:r>
            <w:r>
              <w:rPr>
                <w:rFonts w:hint="default" w:ascii="微软雅黑" w:hAnsi="微软雅黑"/>
                <w:kern w:val="2"/>
                <w:sz w:val="18"/>
                <w:szCs w:val="18"/>
              </w:rPr>
            </w:r>
          </w:p>
        </w:tc>
      </w:tr>
      <w:tr w14:paraId="36143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94C1E4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Style w:val="23"/>
                <w:rFonts w:hint="eastAsia" w:ascii="微软雅黑" w:hAnsi="微软雅黑" w:cs="微软雅黑"/>
                <w:bCs/>
                <w:color w:val="auto"/>
                <w:kern w:val="2"/>
                <w:sz w:val="18"/>
                <w:szCs w:val="18"/>
                <w:u w:val="none"/>
                <w:lang w:bidi="ar"/>
              </w:rPr>
              <w:t>免疫正相关基因</w:t>
            </w:r>
          </w:p>
        </w:tc>
        <w:tc>
          <w:tcPr>
            <w:tcW w:w="3211" w:type="dxa"/>
            <w:vAlign w:val="center"/>
          </w:tcPr>
          <w:p w14:paraId="64A84E5E">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 immune_positive_result }}</w:t>
            </w:r>
            <w:r>
              <w:rPr>
                <w:rStyle w:val="23"/>
                <w:rFonts w:hint="eastAsia" w:ascii="微软雅黑" w:hAnsi="微软雅黑" w:cs="微软雅黑"/>
                <w:bCs/>
                <w:color w:val="auto"/>
                <w:kern w:val="2"/>
                <w:sz w:val="18"/>
                <w:szCs w:val="18"/>
                <w:u w:val="none"/>
                <w:lang w:val="en-US" w:eastAsia="zh-CN" w:bidi="ar"/>
              </w:rPr>
            </w:r>
            <w:r>
              <w:rPr>
                <w:rStyle w:val="23"/>
                <w:rFonts w:hint="eastAsia" w:ascii="微软雅黑" w:hAnsi="微软雅黑" w:cs="微软雅黑"/>
                <w:bCs/>
                <w:color w:val="auto"/>
                <w:kern w:val="2"/>
                <w:sz w:val="18"/>
                <w:szCs w:val="18"/>
                <w:u w:val="none"/>
                <w:lang w:bidi="ar"/>
              </w:rPr>
            </w:r>
          </w:p>
        </w:tc>
        <w:tc>
          <w:tcPr>
            <w:tcW w:w="3971" w:type="dxa"/>
            <w:vAlign w:val="center"/>
          </w:tcPr>
          <w:p w14:paraId="505ED8BE">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FF"/>
                <w:kern w:val="2"/>
                <w:sz w:val="18"/>
                <w:szCs w:val="18"/>
                <w:u w:val="single"/>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检出有害变异时可能疗效较好</w:t>
            </w:r>
          </w:p>
        </w:tc>
      </w:tr>
      <w:tr w14:paraId="019F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54B4A072">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免疫负相关基因</w:t>
            </w:r>
          </w:p>
        </w:tc>
        <w:tc>
          <w:tcPr>
            <w:tcW w:w="3211" w:type="dxa"/>
            <w:vAlign w:val="center"/>
          </w:tcPr>
          <w:p w14:paraId="3D096273">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lang w:val="en-US" w:eastAsia="zh-CN"/>
              </w:rPr>
            </w:pPr>
            <w:r>
              <w:rPr>
                <w:rFonts w:hint="eastAsia" w:ascii="微软雅黑" w:hAnsi="微软雅黑" w:cs="微软雅黑"/>
                <w:kern w:val="2"/>
                <w:sz w:val="18"/>
                <w:szCs w:val="18"/>
              </w:rPr>
              <w:t>{{ immune_negative_result }}</w:t>
            </w:r>
          </w:p>
        </w:tc>
        <w:tc>
          <w:tcPr>
            <w:tcW w:w="3971" w:type="dxa"/>
            <w:vAlign w:val="center"/>
          </w:tcPr>
          <w:p w14:paraId="56B42F58">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kern w:val="0"/>
                <w:sz w:val="18"/>
                <w:szCs w:val="18"/>
                <w:lang w:bidi="ar"/>
              </w:rPr>
              <w:t>检出有害变异时可能耐药/疗效不佳</w:t>
            </w:r>
          </w:p>
        </w:tc>
      </w:tr>
      <w:tr w14:paraId="18A4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jc w:val="center"/>
        </w:trPr>
        <w:tc>
          <w:tcPr>
            <w:tcW w:w="1889" w:type="dxa"/>
            <w:vAlign w:val="center"/>
          </w:tcPr>
          <w:p w14:paraId="7CC925F0">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免疫超进展相关基因</w:t>
            </w:r>
          </w:p>
        </w:tc>
        <w:tc>
          <w:tcPr>
            <w:tcW w:w="3211" w:type="dxa"/>
            <w:vAlign w:val="center"/>
          </w:tcPr>
          <w:p w14:paraId="31AEB7C5">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rPr>
            </w:pPr>
            <w:r>
              <w:rPr>
                <w:rFonts w:hint="eastAsia" w:ascii="微软雅黑" w:hAnsi="微软雅黑" w:cs="微软雅黑"/>
                <w:kern w:val="2"/>
                <w:sz w:val="18"/>
                <w:szCs w:val="18"/>
              </w:rPr>
              <w:t>{{ immune_hyperprogression_result }}</w:t>
            </w:r>
          </w:p>
        </w:tc>
        <w:tc>
          <w:tcPr>
            <w:tcW w:w="3971" w:type="dxa"/>
            <w:vAlign w:val="center"/>
          </w:tcPr>
          <w:p w14:paraId="6041BB87">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检出有害变异时可能与超进展相关</w:t>
            </w:r>
          </w:p>
        </w:tc>
      </w:tr>
    </w:tbl>
    <w:p w14:paraId="2F9DA7A8">
      <w:pPr>
        <w:numPr>
          <w:ilvl w:val="255"/>
          <w:numId w:val="0"/>
        </w:numPr>
        <w:spacing w:after="0"/>
        <w:jc w:val="both"/>
        <w:rPr>
          <w:rFonts w:ascii="微软雅黑" w:hAnsi="微软雅黑"/>
          <w:sz w:val="18"/>
        </w:rPr>
      </w:pPr>
      <w:r>
        <w:rPr>
          <w:rFonts w:hint="eastAsia" w:ascii="微软雅黑" w:hAnsi="微软雅黑"/>
          <w:sz w:val="18"/>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C157ADC">
      <w:pPr>
        <w:numPr>
          <w:ilvl w:val="0"/>
          <w:numId w:val="1"/>
        </w:numPr>
        <w:spacing w:after="0"/>
        <w:jc w:val="both"/>
        <w:rPr>
          <w:rFonts w:ascii="微软雅黑" w:hAnsi="微软雅黑"/>
          <w:kern w:val="2"/>
          <w:sz w:val="18"/>
        </w:rPr>
      </w:pPr>
      <w:r>
        <w:rPr>
          <w:rFonts w:hint="eastAsia" w:ascii="微软雅黑" w:hAnsi="微软雅黑"/>
          <w:kern w:val="2"/>
          <w:sz w:val="18"/>
        </w:rPr>
        <w:t>#帕博利珠单抗、#纳武利尤单抗、#纳武利尤单抗+伊匹木单抗均已获FDA和/或NMPA批准用于治疗结直肠癌。</w:t>
      </w:r>
      <w:r>
        <w:rPr>
          <w:rFonts w:hint="eastAsia" w:ascii="微软雅黑" w:hAnsi="微软雅黑"/>
          <w:b w:val="0"/>
          <w:bCs w:val="0"/>
          <w:kern w:val="2"/>
          <w:sz w:val="18"/>
          <w:szCs w:val="22"/>
          <w:lang w:val="en-US" w:eastAsia="zh-CN"/>
        </w:rPr>
        <w:t>#普特利单抗、#替雷利珠单抗、#多塔利单抗、#斯鲁利单抗、#恩沃利单抗已获FDA或NMPA批准用于治疗MSI-H或dMMR实体瘤患者。</w:t>
      </w:r>
    </w:p>
    <w:p w14:paraId="40316303">
      <w:pPr>
        <w:spacing w:after="0"/>
        <w:jc w:val="both"/>
        <w:rPr>
          <w:rFonts w:ascii="微软雅黑" w:hAnsi="微软雅黑"/>
          <w:b/>
          <w:color w:val="00C4D8"/>
          <w:sz w:val="32"/>
          <w:szCs w:val="32"/>
        </w:rPr>
      </w:pPr>
      <w:r>
        <w:rPr>
          <w:rFonts w:hint="eastAsia" w:ascii="微软雅黑" w:hAnsi="微软雅黑"/>
          <w:kern w:val="2"/>
          <w:sz w:val="18"/>
          <w:lang w:val="en-US" w:eastAsia="zh-CN"/>
        </w:rPr>
        <w:t xml:space="preserve">3. </w:t>
      </w:r>
      <w:r>
        <w:rPr>
          <w:rFonts w:hint="eastAsia" w:ascii="微软雅黑" w:hAnsi="微软雅黑"/>
          <w:kern w:val="2"/>
          <w:sz w:val="18"/>
        </w:rPr>
        <w:t>上表涉及的已上市的药物名称及对应的商品名称</w:t>
      </w:r>
      <w:r>
        <w:rPr>
          <w:rFonts w:hint="eastAsia" w:ascii="微软雅黑" w:hAnsi="微软雅黑"/>
          <w:sz w:val="18"/>
        </w:rPr>
        <w:t>：</w:t>
      </w:r>
      <w:r>
        <w:rPr>
          <w:rFonts w:hint="eastAsia" w:ascii="微软雅黑" w:hAnsi="微软雅黑"/>
          <w:b/>
          <w:bCs/>
          <w:sz w:val="18"/>
        </w:rPr>
        <w:t>帕博利珠单抗[可瑞达]、纳武利尤单抗[欧狄沃]、阿替利珠单抗[泰圣奇]、度伐利尤单抗[英飞凡]、特瑞普利单抗[拓益]、信迪利单抗[达伯舒]、卡瑞利珠单抗[艾立妥]、替雷利珠单抗[百</w:t>
      </w:r>
      <w:r>
        <w:rPr>
          <w:rFonts w:hint="eastAsia" w:ascii="微软雅黑" w:hAnsi="微软雅黑"/>
          <w:b/>
          <w:bCs/>
          <w:sz w:val="18"/>
          <w:lang w:val="en-US" w:eastAsia="zh-CN"/>
        </w:rPr>
        <w:t>泽</w:t>
      </w:r>
      <w:r>
        <w:rPr>
          <w:rFonts w:hint="eastAsia" w:ascii="微软雅黑" w:hAnsi="微软雅黑"/>
          <w:b/>
          <w:bCs/>
          <w:sz w:val="18"/>
        </w:rPr>
        <w:t>安]、伊匹木单抗[逸沃]、恩沃利单抗[恩维达]、多塔利单抗[JEMPERLI]、派安普利单抗[安尼可]、赛帕利单抗[誉妥]</w:t>
      </w:r>
      <w:r>
        <w:rPr>
          <w:rFonts w:hint="eastAsia" w:ascii="微软雅黑" w:hAnsi="微软雅黑"/>
          <w:b/>
          <w:bCs/>
          <w:sz w:val="18"/>
          <w:highlight w:val="none"/>
          <w:lang w:val="en-US" w:eastAsia="zh-CN"/>
        </w:rPr>
        <w:t>、斯鲁利单抗[汉斯状]</w:t>
      </w:r>
      <w:r>
        <w:rPr>
          <w:rFonts w:hint="eastAsia" w:ascii="微软雅黑" w:hAnsi="微软雅黑"/>
          <w:b/>
          <w:bCs/>
          <w:sz w:val="18"/>
          <w:lang w:val="en-US" w:eastAsia="zh-CN"/>
        </w:rPr>
        <w:t>、</w:t>
      </w:r>
      <w:r>
        <w:rPr>
          <w:rFonts w:hint="eastAsia" w:ascii="微软雅黑" w:hAnsi="微软雅黑"/>
          <w:b/>
          <w:bCs/>
          <w:sz w:val="18"/>
          <w:highlight w:val="none"/>
          <w:lang w:val="en-US" w:eastAsia="zh-CN"/>
        </w:rPr>
        <w:t>普特利单抗[普佑恒]</w:t>
      </w:r>
      <w:r>
        <w:rPr>
          <w:rFonts w:hint="eastAsia" w:ascii="微软雅黑" w:hAnsi="微软雅黑"/>
          <w:b/>
          <w:bCs/>
          <w:sz w:val="18"/>
        </w:rPr>
        <w:t>。</w:t>
      </w:r>
      <w:bookmarkStart w:id="79" w:name="_Toc2090"/>
      <w:bookmarkStart w:id="80" w:name="_Toc137"/>
    </w:p>
    <w:p w14:paraId="60293507">
      <w:pPr>
        <w:adjustRightInd/>
        <w:snapToGrid/>
        <w:spacing w:after="0" w:line="240" w:lineRule="auto"/>
        <w:outlineLvl w:val="9"/>
        <w:rPr>
          <w:rFonts w:hint="eastAsia" w:ascii="微软雅黑" w:hAnsi="微软雅黑"/>
          <w:b/>
          <w:color w:val="00C4D8"/>
          <w:sz w:val="32"/>
          <w:szCs w:val="32"/>
        </w:rPr>
      </w:pPr>
      <w:bookmarkStart w:id="81" w:name="_Toc24469"/>
      <w:r>
        <w:rPr>
          <w:rFonts w:hint="eastAsia" w:ascii="微软雅黑" w:hAnsi="微软雅黑"/>
          <w:b/>
          <w:color w:val="00C4D8"/>
          <w:sz w:val="32"/>
          <w:szCs w:val="32"/>
        </w:rPr>
        <w:br w:type="page"/>
      </w:r>
    </w:p>
    <w:p w14:paraId="48AF7AEC">
      <w:pPr>
        <w:adjustRightInd/>
        <w:snapToGrid/>
        <w:spacing w:after="0" w:line="220" w:lineRule="atLeast"/>
        <w:outlineLvl w:val="0"/>
        <w:rPr>
          <w:rFonts w:ascii="微软雅黑" w:hAnsi="微软雅黑"/>
          <w:b/>
          <w:color w:val="00C4D8"/>
          <w:sz w:val="32"/>
          <w:szCs w:val="32"/>
        </w:rPr>
      </w:pPr>
      <w:r>
        <w:rPr>
          <w:rFonts w:hint="eastAsia" w:ascii="微软雅黑" w:hAnsi="微软雅黑"/>
          <w:b/>
          <w:color w:val="00C4D8"/>
          <w:sz w:val="32"/>
          <w:szCs w:val="32"/>
        </w:rPr>
        <w:t>2. 靶向药物相关检测结果</w:t>
      </w:r>
      <w:bookmarkEnd w:id="81"/>
    </w:p>
    <w:p w14:paraId="68EE026B">
      <w:pPr>
        <w:adjustRightInd/>
        <w:snapToGrid/>
        <w:spacing w:before="100" w:after="1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82"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82"/>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14:paraId="66E82AB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14:paraId="48201ADE">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14:paraId="16935D61">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14:paraId="7BD00B99">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14:paraId="7C688B7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14:paraId="73CBF2B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14:paraId="531D0807">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14:paraId="7BDE936A">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14:paraId="21C6859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14:paraId="46D0635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14:paraId="25CEF3A5">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14:paraId="255FC6A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14:paraId="32C82E42">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14:paraId="645C32EC">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14:paraId="206E7CC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2B6230E2">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14:paraId="388116FC">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14:paraId="5C2677BE">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14:paraId="7956C1F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{%tr for row in variants_2_1 %}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 row.gene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row.transcript }}</w:t>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row.chr }}</w:t>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row.exon }}</w:t>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row.locus }}</w:t>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t>{{ row.var_type_cn }}</w:t>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row.af_pct }}</w:t>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{%tr endfor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bl>
    <w:p w14:paraId="724EBEA6">
      <w:pPr>
        <w:adjustRightInd/>
        <w:snapToGrid/>
        <w:spacing w:after="0" w:line="220" w:lineRule="atLeast"/>
        <w:jc w:val="both"/>
        <w:rPr>
          <w:rFonts w:ascii="微软雅黑" w:hAnsi="微软雅黑" w:cs="微软雅黑"/>
          <w:color w:val="000000"/>
          <w:sz w:val="20"/>
          <w:szCs w:val="20"/>
        </w:rPr>
      </w:pPr>
      <w:bookmarkStart w:id="83" w:name="_Toc26040"/>
      <w:bookmarkStart w:id="84" w:name="_Toc30153"/>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3"/>
      <w:bookmarkEnd w:id="84"/>
      <w:r>
        <w:rPr>
          <w:rFonts w:hint="eastAsia" w:ascii="微软雅黑" w:hAnsi="微软雅黑" w:cs="微软雅黑"/>
          <w:color w:val="000000"/>
          <w:sz w:val="20"/>
          <w:szCs w:val="20"/>
        </w:rPr>
        <w:t>上表中“未见突变”基因仅为与本癌种最相关的部分基因，此次所检测的全部基因列表请见附录。</w:t>
      </w:r>
    </w:p>
    <w:p w14:paraId="1FF8A671">
      <w:pPr>
        <w:adjustRightInd/>
        <w:snapToGrid/>
        <w:spacing w:after="0" w:line="220" w:lineRule="atLeast"/>
        <w:jc w:val="both"/>
        <w:rPr>
          <w:rFonts w:ascii="微软雅黑" w:hAnsi="微软雅黑" w:cs="微软雅黑"/>
          <w:color w:val="000000"/>
          <w:sz w:val="20"/>
          <w:szCs w:val="20"/>
        </w:rPr>
      </w:pPr>
    </w:p>
    <w:p w14:paraId="4399BCB0">
      <w:pPr>
        <w:adjustRightInd/>
        <w:snapToGrid/>
        <w:jc w:val="both"/>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3F8C857B">
      <w:pPr>
        <w:rPr>
          <w:rFonts w:ascii="微软雅黑" w:hAnsi="微软雅黑"/>
          <w:b/>
          <w:color w:val="00C4D8"/>
          <w:sz w:val="28"/>
          <w:szCs w:val="28"/>
        </w:rPr>
      </w:pPr>
      <w:r>
        <w:rPr>
          <w:rFonts w:hint="eastAsia" w:ascii="微软雅黑" w:hAnsi="微软雅黑"/>
          <w:b/>
          <w:color w:val="00C4D8"/>
          <w:sz w:val="28"/>
          <w:szCs w:val="28"/>
        </w:rPr>
        <w:br w:type="page"/>
      </w:r>
    </w:p>
    <w:p w14:paraId="363D0D1C">
      <w:pPr>
        <w:adjustRightInd/>
        <w:snapToGrid/>
        <w:spacing w:before="2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其它潜在获益上市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9"/>
      <w:bookmarkEnd w:id="80"/>
    </w:p>
    <w:p w14:paraId="3E48C0FE">
      <w:pPr>
        <w:adjustRightInd/>
        <w:snapToGrid/>
        <w:spacing w:after="100" w:line="220" w:lineRule="atLeast"/>
        <w:jc w:val="both"/>
        <w:rPr>
          <w:rFonts w:ascii="微软雅黑" w:hAnsi="微软雅黑"/>
          <w:b/>
          <w:color w:val="00C4D8"/>
          <w:sz w:val="21"/>
          <w:szCs w:val="21"/>
        </w:rPr>
      </w:pPr>
      <w:bookmarkStart w:id="85" w:name="_Toc27296"/>
      <w:bookmarkStart w:id="86" w:name="_Toc19562"/>
      <w:r>
        <w:rPr>
          <w:rFonts w:hint="eastAsia" w:ascii="微软雅黑" w:hAnsi="微软雅黑"/>
          <w:b/>
          <w:color w:val="00C4D8"/>
          <w:sz w:val="21"/>
          <w:szCs w:val="21"/>
        </w:rPr>
        <w:t>（*以下为本癌种FDA/NMPA批准的抗血管生成类的靶向药物，或国内临床实践中疗效较好的靶向药物，可以作为多线治疗的备选方案。）</w:t>
      </w:r>
    </w:p>
    <w:tbl>
      <w:tblPr>
        <w:tblStyle w:val="16"/>
        <w:tblW w:w="8728" w:type="dxa"/>
        <w:tblInd w:w="-5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806"/>
        <w:gridCol w:w="2539"/>
        <w:gridCol w:w="4383"/>
      </w:tblGrid>
      <w:tr w14:paraId="5AE3EC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27" w:hRule="atLeast"/>
        </w:trPr>
        <w:tc>
          <w:tcPr>
            <w:tcW w:w="1806" w:type="dxa"/>
            <w:tcBorders>
              <w:tl2br w:val="nil"/>
              <w:tr2bl w:val="nil"/>
            </w:tcBorders>
            <w:shd w:val="clear" w:color="auto" w:fill="00C4D8"/>
            <w:vAlign w:val="center"/>
          </w:tcPr>
          <w:p w14:paraId="4D2F6D4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药物名称</w:t>
            </w:r>
          </w:p>
        </w:tc>
        <w:tc>
          <w:tcPr>
            <w:tcW w:w="2539" w:type="dxa"/>
            <w:tcBorders>
              <w:tl2br w:val="nil"/>
              <w:tr2bl w:val="nil"/>
            </w:tcBorders>
            <w:shd w:val="clear" w:color="auto" w:fill="00C4D8"/>
            <w:vAlign w:val="center"/>
          </w:tcPr>
          <w:p w14:paraId="080FC06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相关基因</w:t>
            </w:r>
          </w:p>
        </w:tc>
        <w:tc>
          <w:tcPr>
            <w:tcW w:w="4383" w:type="dxa"/>
            <w:tcBorders>
              <w:tl2br w:val="nil"/>
              <w:tr2bl w:val="nil"/>
            </w:tcBorders>
            <w:shd w:val="clear" w:color="auto" w:fill="00C4D8"/>
            <w:vAlign w:val="center"/>
          </w:tcPr>
          <w:p w14:paraId="369B1B6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药物适应情况</w:t>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{%tr for row in chemotherapy %}</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r>
            <w:r>
              <w:rPr>
                <w:rFonts w:hint="eastAsia" w:ascii="微软雅黑" w:hAnsi="微软雅黑" w:cs="Times New Roman"/>
                <w:bCs/>
                <w:kern w:val="2"/>
                <w:sz w:val="21"/>
                <w:szCs w:val="21"/>
              </w:rPr>
            </w:r>
            <w:r>
              <w:rPr>
                <w:rFonts w:hint="eastAsia" w:ascii="微软雅黑" w:hAnsi="微软雅黑" w:cs="微软雅黑"/>
                <w:kern w:val="2"/>
                <w:sz w:val="21"/>
                <w:szCs w:val="21"/>
              </w:rPr>
            </w:r>
            <w:r>
              <w:rPr>
                <w:rFonts w:hint="eastAsia" w:ascii="微软雅黑" w:hAnsi="微软雅黑" w:cs="Times New Roman"/>
                <w:bCs/>
                <w:kern w:val="2"/>
                <w:sz w:val="21"/>
                <w:szCs w:val="21"/>
              </w:rPr>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 row.Drug }}</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 row.Gene }}</w:t>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t>{{ row["药物适应情况"] }}</w:t>
            </w:r>
            <w:r>
              <w:rPr>
                <w:rFonts w:hint="eastAsia" w:ascii="微软雅黑" w:hAnsi="微软雅黑" w:cs="Times New Roman"/>
                <w:bCs/>
                <w:kern w:val="2"/>
                <w:sz w:val="21"/>
                <w:szCs w:val="21"/>
              </w:rPr>
            </w:r>
            <w:r>
              <w:rPr>
                <w:rFonts w:hint="eastAsia" w:ascii="微软雅黑" w:hAnsi="微软雅黑" w:cs="微软雅黑"/>
                <w:kern w:val="2"/>
                <w:sz w:val="21"/>
                <w:szCs w:val="21"/>
              </w:rPr>
            </w:r>
            <w:r>
              <w:rPr>
                <w:rFonts w:hint="eastAsia" w:ascii="微软雅黑" w:hAnsi="微软雅黑" w:cs="Times New Roman"/>
                <w:bCs/>
                <w:kern w:val="2"/>
                <w:sz w:val="21"/>
                <w:szCs w:val="21"/>
              </w:rPr>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{%tr endfor %}</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r>
            <w:r>
              <w:rPr>
                <w:rFonts w:hint="eastAsia" w:ascii="微软雅黑" w:hAnsi="微软雅黑" w:cs="Times New Roman"/>
                <w:bCs/>
                <w:kern w:val="2"/>
                <w:sz w:val="21"/>
                <w:szCs w:val="21"/>
              </w:rPr>
            </w:r>
            <w:r>
              <w:rPr>
                <w:rFonts w:hint="eastAsia" w:ascii="微软雅黑" w:hAnsi="微软雅黑" w:cs="微软雅黑"/>
                <w:kern w:val="2"/>
                <w:sz w:val="21"/>
                <w:szCs w:val="21"/>
              </w:rPr>
            </w:r>
            <w:r>
              <w:rPr>
                <w:rFonts w:hint="eastAsia" w:ascii="微软雅黑" w:hAnsi="微软雅黑" w:cs="Times New Roman"/>
                <w:bCs/>
                <w:kern w:val="2"/>
                <w:sz w:val="21"/>
                <w:szCs w:val="21"/>
              </w:rPr>
            </w:r>
          </w:p>
        </w:tc>
      </w:tr>
    </w:tbl>
    <w:p w14:paraId="09F8EFC9">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 xml:space="preserve">注： </w:t>
      </w:r>
    </w:p>
    <w:p w14:paraId="0BC9E81C">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FOLFIRI，即伊立替康+亚叶酸钙+5-FU；</w:t>
      </w:r>
    </w:p>
    <w:p w14:paraId="26EAA772">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FOLFOX，即奥沙利铂+亚叶酸钙+5-FU；</w:t>
      </w:r>
    </w:p>
    <w:p w14:paraId="6DDD81C7">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CAPEOX，即奥沙利铂+卡培他滨；</w:t>
      </w:r>
    </w:p>
    <w:p w14:paraId="7844E60E">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FOLFOXIRI，即伊立替康+奥沙利铂+亚叶酸钙+5-FU。</w:t>
      </w:r>
    </w:p>
    <w:p w14:paraId="6123A10C">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85"/>
    <w:bookmarkEnd w:id="86"/>
    <w:p w14:paraId="1C9E9177">
      <w:pPr>
        <w:adjustRightInd/>
        <w:snapToGrid/>
        <w:spacing w:before="200" w:after="0" w:line="220" w:lineRule="atLeast"/>
        <w:jc w:val="both"/>
        <w:rPr>
          <w:rFonts w:ascii="微软雅黑" w:hAnsi="微软雅黑"/>
          <w:b/>
          <w:color w:val="00C4D8"/>
          <w:sz w:val="28"/>
          <w:szCs w:val="28"/>
        </w:rPr>
      </w:pPr>
      <w:bookmarkStart w:id="87" w:name="_Toc19901"/>
      <w:bookmarkStart w:id="88" w:name="_Toc3639"/>
      <w:bookmarkStart w:id="89" w:name="_Toc12380"/>
      <w:bookmarkStart w:id="90" w:name="_Toc4246"/>
      <w:bookmarkStart w:id="91" w:name="_Toc31019"/>
      <w:bookmarkStart w:id="92" w:name="_Toc18838"/>
      <w:bookmarkStart w:id="93" w:name="_Toc6223"/>
      <w:bookmarkStart w:id="94" w:name="_Toc5868"/>
      <w:bookmarkStart w:id="95" w:name="_Toc11221"/>
      <w:bookmarkStart w:id="96" w:name="_Toc26244"/>
      <w:bookmarkStart w:id="97" w:name="_Toc32035"/>
      <w:bookmarkStart w:id="98" w:name="_Toc32647"/>
      <w:bookmarkStart w:id="99" w:name="_Toc621"/>
      <w:bookmarkStart w:id="100" w:name="_Toc15081"/>
      <w:bookmarkStart w:id="101" w:name="_Toc25543"/>
      <w:bookmarkStart w:id="102" w:name="_Toc2116"/>
      <w:r>
        <w:rPr>
          <w:rFonts w:hint="eastAsia" w:ascii="微软雅黑" w:hAnsi="微软雅黑"/>
          <w:b/>
          <w:color w:val="00C4D8"/>
          <w:sz w:val="28"/>
          <w:szCs w:val="28"/>
        </w:rPr>
        <w:t>2.3</w:t>
      </w:r>
      <w:r>
        <w:rPr>
          <w:rFonts w:ascii="微软雅黑" w:hAnsi="微软雅黑"/>
          <w:b/>
          <w:color w:val="00C4D8"/>
          <w:sz w:val="28"/>
          <w:szCs w:val="28"/>
        </w:rPr>
        <w:t xml:space="preserve"> </w:t>
      </w:r>
      <w:bookmarkStart w:id="103" w:name="推荐临床常规靶向药物相关基因检测结果"/>
      <w:r>
        <w:rPr>
          <w:rFonts w:ascii="微软雅黑" w:hAnsi="微软雅黑"/>
          <w:b/>
          <w:color w:val="00C4D8"/>
          <w:sz w:val="28"/>
          <w:szCs w:val="28"/>
        </w:rPr>
        <w:t>NCCN 推荐临床常规靶向药物相关基因检测结果</w:t>
      </w:r>
      <w:bookmarkEnd w:id="87"/>
      <w:bookmarkEnd w:id="88"/>
      <w:bookmarkEnd w:id="89"/>
      <w:bookmarkEnd w:id="90"/>
      <w:bookmarkEnd w:id="91"/>
      <w:bookmarkEnd w:id="103"/>
      <w:r>
        <w:rPr>
          <w:rFonts w:hint="eastAsia" w:ascii="微软雅黑" w:hAnsi="微软雅黑"/>
          <w:b/>
          <w:color w:val="00C4D8"/>
          <w:sz w:val="28"/>
          <w:szCs w:val="28"/>
        </w:rPr>
        <w:t>（不限于本癌种）</w:t>
      </w:r>
    </w:p>
    <w:bookmarkEnd w:id="92"/>
    <w:bookmarkEnd w:id="93"/>
    <w:bookmarkEnd w:id="94"/>
    <w:bookmarkEnd w:id="95"/>
    <w:bookmarkEnd w:id="96"/>
    <w:bookmarkEnd w:id="97"/>
    <w:bookmarkEnd w:id="98"/>
    <w:bookmarkEnd w:id="99"/>
    <w:bookmarkEnd w:id="100"/>
    <w:bookmarkEnd w:id="101"/>
    <w:bookmarkEnd w:id="102"/>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1FC4B5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14:paraId="0829D514">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检测基因</w:t>
            </w:r>
          </w:p>
        </w:tc>
        <w:tc>
          <w:tcPr>
            <w:tcW w:w="2277" w:type="dxa"/>
            <w:shd w:val="clear" w:color="auto" w:fill="00C4D8"/>
            <w:vAlign w:val="center"/>
          </w:tcPr>
          <w:p w14:paraId="1B68CDEA">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检测内容</w:t>
            </w:r>
          </w:p>
        </w:tc>
        <w:tc>
          <w:tcPr>
            <w:tcW w:w="4386" w:type="dxa"/>
            <w:shd w:val="clear" w:color="auto" w:fill="00C4D8"/>
            <w:vAlign w:val="center"/>
          </w:tcPr>
          <w:p w14:paraId="14188507">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检测结果</w:t>
            </w:r>
          </w:p>
        </w:tc>
      </w:tr>
      <w:tr w14:paraId="3905A6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C0CBF7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{%tr for row in nccn_results %}</w:t>
            </w:r>
          </w:p>
        </w:tc>
        <w:tc>
          <w:tcPr>
            <w:tcW w:w="2277" w:type="dxa"/>
            <w:vAlign w:val="center"/>
          </w:tcPr>
          <w:p w14:paraId="2B7E6633">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c>
          <w:tcPr>
            <w:tcW w:w="4386" w:type="dxa"/>
            <w:vAlign w:val="center"/>
          </w:tcPr>
          <w:p w14:paraId="11675E37">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r>
      <w:tr w14:paraId="3905A6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C0CBF7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 row.gene }}</w:t>
            </w:r>
          </w:p>
        </w:tc>
        <w:tc>
          <w:tcPr>
            <w:tcW w:w="2277" w:type="dxa"/>
            <w:vAlign w:val="center"/>
          </w:tcPr>
          <w:p w14:paraId="2B7E6633">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 row.content }}</w:t>
            </w:r>
          </w:p>
        </w:tc>
        <w:tc>
          <w:tcPr>
            <w:tcW w:w="4386" w:type="dxa"/>
            <w:vAlign w:val="center"/>
          </w:tcPr>
          <w:p w14:paraId="11675E37">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 row.result }}</w:t>
            </w:r>
          </w:p>
        </w:tc>
      </w:tr>
      <w:tr w14:paraId="3905A6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C0CBF7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{%tr endfor %}</w:t>
            </w:r>
          </w:p>
        </w:tc>
        <w:tc>
          <w:tcPr>
            <w:tcW w:w="2277" w:type="dxa"/>
            <w:vAlign w:val="center"/>
          </w:tcPr>
          <w:p w14:paraId="2B7E6633">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c>
          <w:tcPr>
            <w:tcW w:w="4386" w:type="dxa"/>
            <w:vAlign w:val="center"/>
          </w:tcPr>
          <w:p w14:paraId="11675E37">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r>
    </w:tbl>
    <w:p w14:paraId="7A11A733">
      <w:pPr>
        <w:adjustRightInd/>
        <w:snapToGrid/>
        <w:spacing w:after="0" w:line="220" w:lineRule="atLeast"/>
        <w:rPr>
          <w:rFonts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75EE7E9">
      <w:pPr>
        <w:adjustRightInd/>
        <w:snapToGrid/>
        <w:spacing w:after="0" w:line="220" w:lineRule="atLeast"/>
        <w:ind w:firstLine="360" w:firstLineChars="200"/>
        <w:rPr>
          <w:rFonts w:ascii="微软雅黑" w:hAnsi="微软雅黑" w:cs="微软雅黑"/>
          <w:color w:val="262626"/>
          <w:sz w:val="18"/>
          <w:szCs w:val="18"/>
        </w:rPr>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2D07B8AF">
      <w:pPr>
        <w:adjustRightInd/>
        <w:snapToGrid/>
        <w:spacing w:after="0" w:line="220" w:lineRule="atLeast"/>
        <w:ind w:firstLine="360" w:firstLineChars="200"/>
        <w:rPr>
          <w:rFonts w:ascii="微软雅黑" w:hAnsi="微软雅黑" w:cs="微软雅黑"/>
          <w:color w:val="262626"/>
          <w:sz w:val="18"/>
          <w:szCs w:val="18"/>
        </w:rPr>
      </w:pPr>
    </w:p>
    <w:p w14:paraId="4B161EA5">
      <w:pPr>
        <w:spacing w:after="0"/>
        <w:jc w:val="both"/>
        <w:rPr>
          <w:rFonts w:ascii="微软雅黑" w:hAnsi="微软雅黑" w:cs="微软雅黑"/>
          <w:b/>
          <w:color w:val="00C4D8"/>
          <w:sz w:val="24"/>
          <w:szCs w:val="24"/>
        </w:rPr>
      </w:pPr>
      <w:r>
        <w:rPr>
          <w:rFonts w:hint="eastAsia" w:ascii="微软雅黑" w:hAnsi="微软雅黑" w:cs="微软雅黑"/>
          <w:b/>
          <w:color w:val="00C4D8"/>
          <w:sz w:val="24"/>
          <w:szCs w:val="24"/>
        </w:rPr>
        <w:t>结肠癌NCCN指南（2022 V1）和直肠癌NCCN指南（2022 V1）</w:t>
      </w:r>
    </w:p>
    <w:p w14:paraId="01CB2458">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KRAS基因/NARS基因/BRAF基因野生型的结肠癌和直肠癌患者推荐西妥昔单抗/帕尼单抗±化疗（针对结肠癌：仅限于左半结肠，即</w:t>
      </w:r>
      <w:r>
        <w:rPr>
          <w:rFonts w:ascii="微软雅黑" w:hAnsi="微软雅黑" w:cs="微软雅黑"/>
          <w:color w:val="222222"/>
          <w:sz w:val="21"/>
          <w:szCs w:val="21"/>
          <w:shd w:val="clear" w:color="auto" w:fill="FFFFFF"/>
        </w:rPr>
        <w:t>脾曲至直肠</w:t>
      </w:r>
      <w:r>
        <w:rPr>
          <w:rFonts w:hint="eastAsia" w:ascii="微软雅黑" w:hAnsi="微软雅黑" w:cs="微软雅黑"/>
          <w:color w:val="222222"/>
          <w:sz w:val="21"/>
          <w:szCs w:val="21"/>
          <w:shd w:val="clear" w:color="auto" w:fill="FFFFFF"/>
        </w:rPr>
        <w:t>段</w:t>
      </w:r>
      <w:r>
        <w:rPr>
          <w:rFonts w:hint="eastAsia" w:ascii="微软雅黑" w:hAnsi="微软雅黑" w:cs="微软雅黑"/>
          <w:color w:val="000000"/>
          <w:sz w:val="21"/>
          <w:szCs w:val="21"/>
        </w:rPr>
        <w:t>）；</w:t>
      </w:r>
    </w:p>
    <w:p w14:paraId="39EB683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KRAS基因和NRAS基因2、3、4号外显子已知突变的结肠癌和直肠癌患者不推荐西妥昔单抗和帕尼单抗；</w:t>
      </w:r>
    </w:p>
    <w:p w14:paraId="7542146E">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BRAF基因V600E突变阳性的结肠癌和直肠癌患者推荐康奈非尼+西妥昔单抗/帕尼单抗；</w:t>
      </w:r>
    </w:p>
    <w:p w14:paraId="52B99B8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HER2扩增且RAS/BRAF野生型的结肠癌和直肠癌患者推荐曲妥珠单抗+</w:t>
      </w:r>
      <w:r>
        <w:fldChar w:fldCharType="begin"/>
      </w:r>
      <w:r>
        <w:instrText xml:space="preserve"> HYPERLINK "http://www.baidu.com/link?url=z_Cosz0facbgFVcnFkx7T5GGDSMtTGnOs0mmKI6WKGHPGl76DWuxkh5ftT9dps1dqOOMejkqJ7jj9JUDal9vna" \t "https://www.baidu.com/_blank" </w:instrText>
      </w:r>
      <w:r>
        <w:fldChar w:fldCharType="separate"/>
      </w:r>
      <w:r>
        <w:rPr>
          <w:rFonts w:hint="eastAsia" w:ascii="微软雅黑" w:hAnsi="微软雅黑" w:cs="微软雅黑"/>
          <w:color w:val="000000"/>
          <w:sz w:val="21"/>
          <w:szCs w:val="21"/>
        </w:rPr>
        <w:t>帕妥珠单抗</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/拉帕替尼</w:t>
      </w:r>
      <w:r>
        <w:rPr>
          <w:rFonts w:hint="eastAsia" w:ascii="微软雅黑" w:hAnsi="微软雅黑" w:cs="微软雅黑"/>
          <w:sz w:val="21"/>
          <w:szCs w:val="21"/>
        </w:rPr>
        <w:t>、</w:t>
      </w:r>
      <w:r>
        <w:rPr>
          <w:rFonts w:hint="eastAsia" w:ascii="微软雅黑" w:hAnsi="微软雅黑" w:cs="微软雅黑"/>
          <w:kern w:val="2"/>
          <w:sz w:val="21"/>
          <w:szCs w:val="21"/>
        </w:rPr>
        <w:t>德曲妥珠单抗</w:t>
      </w:r>
      <w:r>
        <w:rPr>
          <w:rFonts w:hint="eastAsia" w:ascii="微软雅黑" w:hAnsi="微软雅黑" w:cs="微软雅黑"/>
          <w:color w:val="000000"/>
          <w:sz w:val="21"/>
          <w:szCs w:val="21"/>
        </w:rPr>
        <w:t>；</w:t>
      </w:r>
    </w:p>
    <w:p w14:paraId="7644855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NTRK基因融合阳性的结肠癌和直肠癌患者推荐拉罗替尼</w:t>
      </w:r>
      <w:r>
        <w:rPr>
          <w:rFonts w:hint="eastAsia" w:ascii="微软雅黑" w:hAnsi="微软雅黑" w:cs="微软雅黑"/>
          <w:color w:val="000000"/>
          <w:sz w:val="21"/>
          <w:szCs w:val="21"/>
        </w:rPr>
        <w:t>、</w:t>
      </w:r>
      <w:r>
        <w:fldChar w:fldCharType="begin"/>
      </w:r>
      <w:r>
        <w:instrText xml:space="preserve"> HYPERLINK "http://www.baidu.com/link?url=iRSZFkrWlWRnyToUBJ36cOsFFuSfIVHNYc_liWy2RGsCcnDP8rmSzqylht-BACtJe_jPjek8iwXrp1-gifZb3K" \t "https://www.baidu.com/_blank" </w:instrText>
      </w:r>
      <w:r>
        <w:fldChar w:fldCharType="separate"/>
      </w:r>
      <w:r>
        <w:rPr>
          <w:rFonts w:hint="eastAsia" w:ascii="微软雅黑" w:hAnsi="微软雅黑" w:cs="微软雅黑"/>
          <w:color w:val="000000"/>
          <w:sz w:val="21"/>
          <w:szCs w:val="21"/>
        </w:rPr>
        <w:t>恩曲替尼</w:t>
      </w:r>
      <w:r>
        <w:rPr>
          <w:rFonts w:hint="eastAsia" w:ascii="微软雅黑" w:hAnsi="微软雅黑" w:cs="微软雅黑"/>
          <w:color w:val="000000"/>
          <w:sz w:val="21"/>
          <w:szCs w:val="21"/>
        </w:rPr>
        <w:fldChar w:fldCharType="end"/>
      </w:r>
      <w:r>
        <w:rPr>
          <w:rFonts w:hint="eastAsia" w:ascii="微软雅黑" w:hAnsi="微软雅黑" w:cs="微软雅黑"/>
          <w:sz w:val="21"/>
          <w:szCs w:val="21"/>
        </w:rPr>
        <w:t>；</w:t>
      </w:r>
    </w:p>
    <w:p w14:paraId="73BA120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PIK3CA基因突变与结肠癌和直肠癌患者对阿司匹林的响应有关，PIK3CA突变的患者接受阿司匹林的辅助治疗能延长生存期。非阿司匹林NSAIDS（非甾体抗炎药）更有利于预防复发，但低剂量阿司匹林更安全，能够降低患者复发和死亡的风险；</w:t>
      </w:r>
    </w:p>
    <w:p w14:paraId="5D970A98">
      <w:pPr>
        <w:numPr>
          <w:ilvl w:val="0"/>
          <w:numId w:val="3"/>
        </w:numPr>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结肠癌或直肠癌患者推荐进行微卫星不稳定性（MSI）或错配修复（MMR）检测，MSI-H或dMMR患者推荐帕博利珠单抗、纳武利尤单抗、纳武利尤单抗+伊匹木单抗、多塔利单抗。MLH1缺失且存在BRAF V600E突变的绝大多数病例排除林奇综合征。但值得注意的是，大约1%的BRAF V600E突变（和MLH1缺失）的病例为林奇综合征；</w:t>
      </w:r>
      <w:r>
        <w:rPr>
          <w:rFonts w:hint="eastAsia" w:ascii="微软雅黑" w:hAnsi="微软雅黑" w:cs="微软雅黑"/>
          <w:color w:val="000000"/>
          <w:sz w:val="21"/>
          <w:szCs w:val="21"/>
        </w:rPr>
        <w:fldChar w:fldCharType="begin"/>
      </w:r>
      <w:r>
        <w:rPr>
          <w:rFonts w:hint="eastAsia" w:ascii="微软雅黑" w:hAnsi="微软雅黑" w:cs="微软雅黑"/>
          <w:color w:val="000000"/>
          <w:sz w:val="21"/>
          <w:szCs w:val="21"/>
        </w:rPr>
        <w:instrText xml:space="preserve"> = 2 \* ROMAN \* MERGEFORMAT </w:instrText>
      </w:r>
      <w:r>
        <w:rPr>
          <w:rFonts w:hint="eastAsia" w:ascii="微软雅黑" w:hAnsi="微软雅黑" w:cs="微软雅黑"/>
          <w:color w:val="000000"/>
          <w:sz w:val="21"/>
          <w:szCs w:val="21"/>
        </w:rPr>
        <w:fldChar w:fldCharType="separate"/>
      </w:r>
      <w:r>
        <w:rPr>
          <w:rFonts w:hint="eastAsia" w:ascii="微软雅黑" w:hAnsi="微软雅黑" w:cs="微软雅黑"/>
          <w:color w:val="000000"/>
          <w:sz w:val="21"/>
          <w:szCs w:val="21"/>
        </w:rPr>
        <w:t>II</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期MSI-H的患者预后良好，可能不能从5-FU辅助治疗中获益。</w:t>
      </w:r>
    </w:p>
    <w:p w14:paraId="5DC27E2F">
      <w:pPr>
        <w:widowControl w:val="0"/>
        <w:adjustRightInd/>
        <w:spacing w:after="0"/>
        <w:jc w:val="both"/>
        <w:rPr>
          <w:rFonts w:ascii="微软雅黑" w:hAnsi="微软雅黑" w:cs="微软雅黑"/>
          <w:b/>
          <w:color w:val="00C4D8"/>
          <w:sz w:val="24"/>
          <w:szCs w:val="24"/>
        </w:rPr>
      </w:pPr>
      <w:r>
        <w:rPr>
          <w:rFonts w:hint="eastAsia" w:ascii="微软雅黑" w:hAnsi="微软雅黑" w:cs="微软雅黑"/>
          <w:b/>
          <w:color w:val="00C4D8"/>
          <w:sz w:val="24"/>
          <w:szCs w:val="24"/>
        </w:rPr>
        <w:t>结直肠癌CSCO指南（2022）</w:t>
      </w:r>
    </w:p>
    <w:p w14:paraId="0F8169D4">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和BRAF均野生型）：原发灶位于左侧结直肠的适合强烈治疗的患者Ⅰ级推荐化疗+西妥昔单抗（2A类），Ⅱ级推荐化疗±贝伐珠单抗（2A类）；原发灶位于右侧结肠的适合强烈治疗的患者Ⅰ级推荐化疗±贝伐珠单抗（2A类），Ⅱ级推荐化疗±西妥昔单抗（2B类），Ⅲ级推荐化疗+西妥昔单抗（2B类）；</w:t>
      </w:r>
    </w:p>
    <w:p w14:paraId="1302767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潜在可切除组治疗（RAS或BRAF突变型）：适合强烈治疗的患者Ⅰ级推荐化疗±贝伐珠单抗（2A类）；</w:t>
      </w:r>
    </w:p>
    <w:p w14:paraId="5BFC125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MSI-H/dMMR的结直肠癌患者Ⅰ级推荐帕博利珠单抗（1A类）；一线未使用免疫检查点抑制剂，二线方案Ⅱ级推荐免疫检查点抑制剂（PD-1/PD-L1抑制剂）（2A类）；一线、二线未使用免疫检查点抑制剂，三线方案Ⅱ级推荐免疫检查点抑制剂（PD-1/PD-L1抑制剂）（2A类）；</w:t>
      </w:r>
    </w:p>
    <w:p w14:paraId="59E0C93E">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和BRAF均野生型）：原发灶位于左侧结直肠的适合强烈治疗的患者Ⅰ级推荐化疗±西妥昔单抗（1A类），Ⅱ级推荐化疗±贝伐珠单抗（1类）；原发灶位于右侧结肠的适合强烈治疗的患者Ⅰ级推荐两药化疗±贝伐珠单抗（1A类），Ⅱ级推荐三药化疗±贝伐珠单抗（1B类），化疗+西妥昔单抗（贝伐珠单抗有禁忌者）（2A类）；不适合强烈治疗的结直肠癌患者Ⅰ级推荐氟尿嘧啶类单药±贝伐珠单抗（1A类），Ⅱ级推荐西妥昔单抗单药（左半结直肠）（2B类），化疗±西妥昔单抗（2B类），化疗±贝伐珠单抗（2B类）；</w:t>
      </w:r>
    </w:p>
    <w:p w14:paraId="0714033C">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或BRAF突变型）：适合强烈治疗的结直肠癌患者推荐化疗±贝伐珠单抗（1类）；不适合强烈治疗的患者Ⅰ级推荐氟尿嘧啶类单药±贝伐珠单抗（1A类），Ⅱ级推荐减量的两药化疗±贝伐珠单抗（2B类）；</w:t>
      </w:r>
    </w:p>
    <w:p w14:paraId="0EFFC033">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和BRAF均野生型）：一线接受奥沙利铂治疗的结直肠癌患者二线方案Ⅰ级推荐化疗±西妥昔单抗/贝伐珠单抗（2A类），Ⅱ级推荐伊立替康±西妥昔单抗（2A类）、伊立替康+卡培他滨±贝伐珠单抗（1B类）；一线接受伊立替康治疗的结直肠癌患者二线方案Ⅰ级推荐推荐化疗±西妥昔单抗/贝伐珠单抗，Ⅱ级推荐伊立替康±西妥昔单抗；</w:t>
      </w:r>
    </w:p>
    <w:p w14:paraId="3801F3D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或BRAF突变型）：一线接受奥沙利铂治疗的结直肠癌患者二线方案Ⅰ级推荐化疗±贝伐珠单抗（1A类），Ⅱ级推荐伊立替康±贝伐珠单抗（2A类）、伊立替康＋卡培他滨±贝伐珠单抗（1B类），Ⅲ级推荐伊立替康+西妥昔单抗+维莫非尼（RAS野生型/BRAF V600E突变）（2B类）、BRAF抑制剂+西妥昔单抗±MEK抑制剂（RAS野生型/BRAF V600E突变）（2B类）；一线接受伊立替康治疗（MSS或MSI-L/pMMR，RAS或BRAF突变型）的结直肠癌患者二线方案Ⅰ级推荐推荐化疗±贝伐珠单抗（1A类），Ⅲ级推荐BRAF抑制剂+西妥昔单抗±MEK抑制剂（RAS野生型/BRAF V600E突变）（2B类）；</w:t>
      </w:r>
    </w:p>
    <w:p w14:paraId="61EAE631">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一线未接受奥沙利铂或伊立替康治疗的结直肠癌患者二线方案Ⅰ级推荐化疗±西妥昔单抗/贝伐珠单抗（2A类），Ⅱ级推荐伊立替康±西妥昔单抗/贝伐珠单抗（2A类）、伊立替康+卡培他滨±贝伐珠单抗（1B类），Ⅲ级推荐伊立替康+西妥昔单抗+维莫非尼（RAS野生型/BRAF V600E突变）（2B类）、BRAF抑制剂+西妥昔单抗±MEK抑制剂（RAS野生型/BRAF V600E突变）（2B类）；</w:t>
      </w:r>
    </w:p>
    <w:p w14:paraId="4FE930E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三线方案（MSS或MSI-L/pMMR，RAS和BRAF均野生型）：已接受过奥沙利铂和伊立替康治疗的结直肠癌患者三线方案Ⅰ级推荐西妥昔单抗±伊立替康（之前未行西妥昔单抗治疗）（1A类）、瑞戈非尼（1A类）、呋喹替尼（1A类），Ⅲ级推荐抗HER2治疗（HER2扩增）（2B类）、曲氟尿苷替匹嘧啶＋贝伐珠单抗（2B类）、西妥昔单抗±伊立替康（之前接受过西妥昔单抗治疗）（3类）；</w:t>
      </w:r>
    </w:p>
    <w:p w14:paraId="0BDF3325">
      <w:pPr>
        <w:numPr>
          <w:ilvl w:val="0"/>
          <w:numId w:val="3"/>
        </w:numPr>
        <w:adjustRightInd/>
        <w:snapToGrid/>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姑息治疗组三线方案（MSS或MSI-L/pMMR，RAS或BRAF突变型）：已接受过奥沙利铂和伊立替康治疗的结直肠癌患者三线方案Ⅰ级推荐瑞戈非尼（1A类）、呋喹替尼（1A类），Ⅲ级推荐伊立替康+西妥昔单抗+维莫非尼（RAS野生型/BRAF V600E突变）（2B类）、BRAF抑制剂+西妥昔单抗±MEK抑制剂（RAS野生型/BRAF V600E突变）（2B类）、曲氟尿苷替匹嘧啶＋贝伐珠单抗（2B类）。</w:t>
      </w:r>
    </w:p>
    <w:p w14:paraId="57B72DFF">
      <w:pPr>
        <w:numPr>
          <w:ilvl w:val="255"/>
          <w:numId w:val="0"/>
        </w:numPr>
        <w:adjustRightInd/>
        <w:snapToGrid/>
        <w:spacing w:after="0" w:line="228" w:lineRule="auto"/>
        <w:jc w:val="both"/>
        <w:rPr>
          <w:rFonts w:ascii="微软雅黑" w:hAnsi="微软雅黑" w:cs="微软雅黑"/>
          <w:color w:val="00C4D8"/>
          <w:sz w:val="21"/>
          <w:szCs w:val="21"/>
        </w:rPr>
      </w:pPr>
    </w:p>
    <w:p w14:paraId="1E4D6F0B">
      <w:pPr>
        <w:rPr>
          <w:rFonts w:ascii="微软雅黑" w:hAnsi="微软雅黑" w:cs="微软雅黑"/>
          <w:sz w:val="21"/>
          <w:szCs w:val="21"/>
        </w:rPr>
      </w:pPr>
      <w:r>
        <w:rPr>
          <w:rFonts w:hint="eastAsia" w:ascii="微软雅黑" w:hAnsi="微软雅黑" w:cs="微软雅黑"/>
          <w:sz w:val="21"/>
          <w:szCs w:val="21"/>
        </w:rPr>
        <w:br w:type="page"/>
      </w:r>
    </w:p>
    <w:p w14:paraId="33D7048A">
      <w:pPr>
        <w:numPr>
          <w:ilvl w:val="255"/>
          <w:numId w:val="0"/>
        </w:numPr>
        <w:adjustRightInd/>
        <w:snapToGrid/>
        <w:spacing w:after="0" w:line="220" w:lineRule="atLeast"/>
        <w:outlineLvl w:val="0"/>
        <w:rPr>
          <w:rFonts w:ascii="微软雅黑" w:hAnsi="微软雅黑"/>
          <w:b/>
          <w:color w:val="00C4D8"/>
          <w:sz w:val="32"/>
          <w:szCs w:val="32"/>
        </w:rPr>
      </w:pPr>
      <w:bookmarkStart w:id="104" w:name="_Toc31097"/>
      <w:bookmarkStart w:id="105" w:name="_Toc31274"/>
      <w:bookmarkStart w:id="106" w:name="_Toc28714"/>
      <w:bookmarkStart w:id="107" w:name="_Toc6327"/>
      <w:bookmarkStart w:id="108" w:name="肿瘤突变负荷（TMB）水平提示"/>
      <w:bookmarkStart w:id="109" w:name="肿瘤突变负荷（TMB）水平提示杨传敏"/>
      <w:bookmarkStart w:id="110" w:name="_Toc21388"/>
      <w:bookmarkStart w:id="111" w:name="_Toc10173"/>
      <w:bookmarkStart w:id="112" w:name="_Toc11092"/>
      <w:bookmarkStart w:id="113" w:name="_Toc9198"/>
      <w:bookmarkStart w:id="114" w:name="_Toc22245"/>
      <w:bookmarkStart w:id="115" w:name="_Toc18298"/>
      <w:bookmarkStart w:id="116" w:name="_Toc28845"/>
      <w:bookmarkStart w:id="117" w:name="_Toc1459"/>
      <w:bookmarkStart w:id="118" w:name="_Toc29653"/>
      <w:bookmarkStart w:id="119" w:name="_Toc5886"/>
      <w:bookmarkStart w:id="120" w:name="_Toc5877"/>
      <w:r>
        <w:rPr>
          <w:rFonts w:hint="eastAsia" w:ascii="微软雅黑" w:hAnsi="微软雅黑"/>
          <w:b/>
          <w:color w:val="00C4D8"/>
          <w:sz w:val="32"/>
          <w:szCs w:val="32"/>
        </w:rPr>
        <w:t>3. 免疫治疗疗效评估</w:t>
      </w:r>
      <w:bookmarkEnd w:id="104"/>
    </w:p>
    <w:p w14:paraId="29403A30">
      <w:pPr>
        <w:adjustRightInd/>
        <w:snapToGrid/>
        <w:spacing w:before="200" w:line="220" w:lineRule="atLeast"/>
        <w:rPr>
          <w:rFonts w:ascii="微软雅黑" w:hAnsi="微软雅黑"/>
          <w:b/>
          <w:color w:val="00C4D8"/>
          <w:sz w:val="28"/>
          <w:szCs w:val="28"/>
        </w:rPr>
      </w:pPr>
      <w:bookmarkStart w:id="121" w:name="OLE_LINK4"/>
      <w:r>
        <w:rPr>
          <w:rFonts w:hint="eastAsia" w:ascii="微软雅黑" w:hAnsi="微软雅黑"/>
          <w:b/>
          <w:color w:val="00C4D8"/>
          <w:sz w:val="28"/>
          <w:szCs w:val="28"/>
        </w:rPr>
        <w:t>3.1 肿瘤突变负荷（TMB）水平提示</w:t>
      </w:r>
      <w:bookmarkEnd w:id="105"/>
      <w:bookmarkEnd w:id="106"/>
      <w:bookmarkEnd w:id="107"/>
    </w:p>
    <w:bookmarkEnd w:id="108"/>
    <w:bookmarkEnd w:id="109"/>
    <w:bookmarkEnd w:id="121"/>
    <w:p w14:paraId="7AC94F57">
      <w:pPr>
        <w:numPr>
          <w:ilvl w:val="255"/>
          <w:numId w:val="0"/>
        </w:numPr>
        <w:spacing w:after="0" w:line="236" w:lineRule="auto"/>
        <w:ind w:firstLine="420" w:firstLineChars="200"/>
        <w:jc w:val="both"/>
        <w:rPr>
          <w:rFonts w:ascii="微软雅黑" w:hAnsi="微软雅黑" w:cs="微软雅黑"/>
          <w:sz w:val="21"/>
          <w:szCs w:val="21"/>
        </w:rPr>
      </w:pPr>
      <w:bookmarkStart w:id="122" w:name="OLE_LINK29"/>
      <w:r>
        <w:rPr>
          <w:rFonts w:hint="eastAsia" w:ascii="微软雅黑" w:hAnsi="微软雅黑" w:cs="Arial Unicode MS"/>
          <w:b/>
          <w:bCs/>
          <w:kern w:val="2"/>
          <w:sz w:val="21"/>
          <w:szCs w:val="21"/>
        </w:rPr>
        <w:t>{{ tmb_detail_sentence }}</w:t>
      </w:r>
      <w:r>
        <w:rPr>
          <w:rFonts w:hint="eastAsia" w:ascii="微软雅黑" w:hAnsi="微软雅黑" w:cs="微软雅黑"/>
          <w:b/>
          <w:bCs/>
          <w:sz w:val="21"/>
          <w:szCs w:val="21"/>
        </w:rPr>
      </w:r>
      <w:r>
        <w:rPr>
          <w:rFonts w:hint="eastAsia" w:ascii="微软雅黑" w:hAnsi="微软雅黑" w:cs="微软雅黑"/>
          <w:b/>
          <w:bCs/>
          <w:sz w:val="21"/>
          <w:szCs w:val="21"/>
          <w:lang w:val="en-US" w:eastAsia="zh-CN"/>
        </w:rPr>
      </w:r>
      <w:r>
        <w:rPr>
          <w:rFonts w:hint="eastAsia" w:ascii="微软雅黑" w:hAnsi="微软雅黑" w:cs="微软雅黑"/>
          <w:b/>
          <w:bCs/>
          <w:sz w:val="21"/>
          <w:szCs w:val="21"/>
          <w:lang w:val="en-US" w:eastAsia="zh-CN"/>
        </w:rPr>
      </w:r>
      <w:r>
        <w:rPr>
          <w:rFonts w:hint="eastAsia" w:ascii="微软雅黑" w:hAnsi="微软雅黑" w:cs="微软雅黑"/>
          <w:b/>
          <w:bCs/>
          <w:sz w:val="21"/>
          <w:szCs w:val="21"/>
        </w:rPr>
      </w:r>
      <w:r>
        <w:rPr>
          <w:rFonts w:hint="eastAsia" w:ascii="微软雅黑" w:hAnsi="微软雅黑" w:cs="微软雅黑"/>
          <w:b/>
          <w:bCs/>
          <w:sz w:val="21"/>
          <w:szCs w:val="21"/>
          <w:lang w:val="en-US" w:eastAsia="zh-CN"/>
        </w:rPr>
      </w:r>
      <w:r>
        <w:rPr>
          <w:rFonts w:hint="eastAsia" w:ascii="微软雅黑" w:hAnsi="微软雅黑" w:cs="微软雅黑"/>
          <w:b/>
          <w:bCs/>
          <w:sz w:val="21"/>
          <w:szCs w:val="21"/>
        </w:rPr>
      </w:r>
      <w:bookmarkEnd w:id="122"/>
    </w:p>
    <w:p w14:paraId="18235869">
      <w:pPr>
        <w:numPr>
          <w:ilvl w:val="255"/>
          <w:numId w:val="0"/>
        </w:numPr>
        <w:spacing w:after="120" w:afterLines="50" w:line="236"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 tmb_detail_interpretation }}</w:t>
      </w:r>
      <w:r>
        <w:rPr>
          <w:rFonts w:hint="eastAsia" w:ascii="微软雅黑" w:hAnsi="微软雅黑" w:cs="Arial Unicode MS"/>
          <w:kern w:val="2"/>
          <w:sz w:val="21"/>
          <w:szCs w:val="21"/>
        </w:rPr>
      </w:r>
      <w:r>
        <w:rPr>
          <w:rFonts w:hint="eastAsia" w:ascii="微软雅黑" w:hAnsi="微软雅黑" w:cs="Arial Unicode MS"/>
          <w:kern w:val="2"/>
          <w:sz w:val="21"/>
          <w:szCs w:val="21"/>
          <w:vertAlign w:val="superscript"/>
        </w:rPr>
      </w:r>
      <w:r>
        <w:rPr>
          <w:rFonts w:hint="eastAsia" w:ascii="微软雅黑" w:hAnsi="微软雅黑" w:cs="Arial Unicode MS"/>
          <w:kern w:val="2"/>
          <w:sz w:val="21"/>
          <w:szCs w:val="21"/>
        </w:rPr>
      </w:r>
      <w:r>
        <w:rPr>
          <w:rFonts w:hint="eastAsia" w:ascii="微软雅黑" w:hAnsi="微软雅黑" w:cs="微软雅黑"/>
          <w:sz w:val="21"/>
          <w:szCs w:val="21"/>
        </w:rPr>
      </w:r>
      <w:r>
        <w:rPr>
          <w:rFonts w:hint="eastAsia" w:ascii="微软雅黑" w:hAnsi="微软雅黑" w:cs="微软雅黑"/>
          <w:sz w:val="21"/>
          <w:szCs w:val="21"/>
          <w:vertAlign w:val="superscript"/>
        </w:rPr>
      </w:r>
      <w:r>
        <w:rPr>
          <w:rFonts w:hint="eastAsia" w:ascii="微软雅黑" w:hAnsi="微软雅黑" w:cs="微软雅黑"/>
          <w:sz w:val="21"/>
          <w:szCs w:val="21"/>
        </w:rPr>
      </w:r>
    </w:p>
    <w:p w14:paraId="1AAEAA90">
      <w:pPr>
        <w:numPr>
          <w:ilvl w:val="255"/>
          <w:numId w:val="0"/>
        </w:numPr>
        <w:spacing w:after="120" w:afterLines="50" w:line="236" w:lineRule="auto"/>
        <w:ind w:firstLine="420" w:firstLineChars="200"/>
        <w:jc w:val="both"/>
        <w:rPr>
          <w:rFonts w:ascii="微软雅黑" w:hAnsi="微软雅黑" w:cs="Arial Unicode MS"/>
          <w:color w:val="FF0000"/>
          <w:kern w:val="2"/>
          <w:sz w:val="21"/>
          <w:szCs w:val="21"/>
        </w:rPr>
      </w:pPr>
      <w:r>
        <w:rPr>
          <w:rFonts w:hint="eastAsia" w:ascii="微软雅黑" w:hAnsi="微软雅黑" w:cs="微软雅黑"/>
          <w:sz w:val="21"/>
          <w:szCs w:val="21"/>
        </w:rPr>
        <w:t>{{ tmb_drug_note }}</w:t>
      </w:r>
    </w:p>
    <w:p w14:paraId="704DD9D8">
      <w:pPr>
        <w:numPr>
          <w:ilvl w:val="255"/>
          <w:numId w:val="0"/>
        </w:numPr>
        <w:spacing w:after="0" w:line="236" w:lineRule="auto"/>
        <w:jc w:val="both"/>
      </w:pPr>
      <w:r>
        <w:drawing>
          <wp:inline distT="0" distB="0" distL="114300" distR="114300">
            <wp:extent cx="5267960" cy="2298065"/>
            <wp:effectExtent l="0" t="0" r="8890" b="6985"/>
            <wp:docPr id="10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图片 2"/>
                    <pic:cNvPicPr>
                      <a:picLocks noChangeAspect="1"/>
                    </pic:cNvPicPr>
                  </pic:nvPicPr>
                  <pic:blipFill>
                    <a:blip r:embed="rId21"/>
                    <a:stretch>
                      <a:fillRect/>
                    </a:stretch>
                  </pic:blipFill>
                  <pic:spPr>
                    <a:xfrm>
                      <a:off x="0" y="0"/>
                      <a:ext cx="5267960" cy="2298065"/>
                    </a:xfrm>
                    <a:prstGeom prst="rect">
                      <a:avLst/>
                    </a:prstGeom>
                    <a:noFill/>
                    <a:ln>
                      <a:noFill/>
                    </a:ln>
                  </pic:spPr>
                </pic:pic>
              </a:graphicData>
            </a:graphic>
          </wp:inline>
        </w:drawing>
      </w:r>
    </w:p>
    <w:p w14:paraId="5604AC2F">
      <w:pPr>
        <w:numPr>
          <w:ilvl w:val="255"/>
          <w:numId w:val="0"/>
        </w:numPr>
        <w:spacing w:after="0" w:line="236" w:lineRule="auto"/>
        <w:ind w:firstLine="440" w:firstLineChars="200"/>
        <w:jc w:val="center"/>
        <w:rPr>
          <w:rFonts w:ascii="微软雅黑" w:hAnsi="微软雅黑" w:cs="微软雅黑"/>
          <w:sz w:val="21"/>
          <w:szCs w:val="21"/>
        </w:rPr>
      </w:pPr>
      <w:r>
        <w:rPr>
          <w:rFonts w:hint="eastAsia" w:ascii="微软雅黑" w:hAnsi="微软雅黑" w:cs="微软雅黑"/>
        </w:rPr>
        <w:t>图1  不同癌种高/低</w:t>
      </w:r>
      <w:r>
        <w:rPr>
          <w:rFonts w:hint="eastAsia" w:ascii="微软雅黑" w:hAnsi="微软雅黑" w:cs="微软雅黑"/>
          <w:sz w:val="21"/>
          <w:szCs w:val="21"/>
        </w:rPr>
        <w:t>TMB与抗PD-1/PD-L1治疗的客观反应率</w:t>
      </w:r>
      <w:r>
        <w:rPr>
          <w:rFonts w:hint="eastAsia" w:ascii="微软雅黑" w:hAnsi="微软雅黑" w:cs="微软雅黑"/>
          <w:sz w:val="21"/>
          <w:szCs w:val="21"/>
          <w:vertAlign w:val="superscript"/>
        </w:rPr>
        <w:t>[2]</w:t>
      </w:r>
    </w:p>
    <w:p w14:paraId="5B36C188">
      <w:pPr>
        <w:numPr>
          <w:ilvl w:val="255"/>
          <w:numId w:val="0"/>
        </w:numPr>
        <w:spacing w:after="0" w:line="236" w:lineRule="auto"/>
        <w:jc w:val="both"/>
        <w:rPr>
          <w:rFonts w:ascii="微软雅黑" w:hAnsi="微软雅黑" w:cs="Arial Unicode MS"/>
          <w:b/>
          <w:bCs/>
          <w:kern w:val="2"/>
          <w:sz w:val="20"/>
          <w:szCs w:val="20"/>
        </w:rPr>
      </w:pPr>
      <w:r>
        <w:rPr>
          <w:rFonts w:hint="eastAsia" w:ascii="微软雅黑" w:hAnsi="微软雅黑" w:cs="Arial Unicode MS"/>
          <w:b/>
          <w:bCs/>
          <w:kern w:val="2"/>
          <w:sz w:val="20"/>
          <w:szCs w:val="20"/>
        </w:rPr>
        <w:t>说明：</w:t>
      </w:r>
    </w:p>
    <w:p w14:paraId="745BEBF8">
      <w:pPr>
        <w:adjustRightInd/>
        <w:spacing w:after="0" w:line="220" w:lineRule="atLeast"/>
        <w:ind w:firstLine="400" w:firstLineChars="200"/>
        <w:jc w:val="both"/>
        <w:rPr>
          <w:rFonts w:ascii="微软雅黑" w:hAnsi="微软雅黑" w:cs="微软雅黑"/>
          <w:sz w:val="20"/>
          <w:szCs w:val="20"/>
        </w:rPr>
      </w:pPr>
      <w:r>
        <w:rPr>
          <w:rFonts w:hint="eastAsia" w:ascii="微软雅黑" w:hAnsi="微软雅黑" w:cs="微软雅黑"/>
          <w:sz w:val="20"/>
          <w:szCs w:val="20"/>
        </w:rPr>
        <w:t>由于 TMB 的计算方式与检测的靶向捕获技术类型等因素相关，且具体阈值的划定需要临床试验提供依据。FoundationOne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23D66E85">
      <w:pPr>
        <w:adjustRightInd/>
        <w:spacing w:after="0" w:line="220" w:lineRule="atLeast"/>
        <w:ind w:firstLine="400" w:firstLineChars="200"/>
        <w:jc w:val="both"/>
        <w:rPr>
          <w:rFonts w:ascii="微软雅黑" w:hAnsi="微软雅黑" w:cs="微软雅黑"/>
          <w:sz w:val="20"/>
          <w:szCs w:val="20"/>
        </w:rPr>
      </w:pPr>
    </w:p>
    <w:p w14:paraId="5D0AEBC9">
      <w:pPr>
        <w:pStyle w:val="14"/>
        <w:widowControl w:val="0"/>
        <w:autoSpaceDE w:val="0"/>
        <w:autoSpaceDN w:val="0"/>
        <w:snapToGrid/>
        <w:spacing w:beforeAutospacing="0" w:afterAutospacing="0"/>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7D737292">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Yarchoan M , Hopkins A, et al. Tumor Mutational Burden and Response Rate to PD-1 Inhibition[J]. New England Journal of Medicine, 2017, 377(25): 2500-2501.</w:t>
      </w:r>
    </w:p>
    <w:p w14:paraId="4EC1A39A">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 xml:space="preserve">Marabelle A, Fakih M, et al. Association of tumour mutational burden with outcomes in patients with advanced solid tumours treated with pembrolizumab: prospective biomarker analysis of the multicohort, open-label, phase 2 KEYNOTE-158 study. Lancet Oncol. 2020 Oct;21(10):1353-1365. </w:t>
      </w:r>
    </w:p>
    <w:p w14:paraId="3B0B4B45">
      <w:pPr>
        <w:adjustRightInd/>
        <w:snapToGrid/>
        <w:spacing w:after="0" w:line="288" w:lineRule="auto"/>
        <w:jc w:val="both"/>
        <w:rPr>
          <w:rFonts w:ascii="微软雅黑" w:hAnsi="微软雅黑" w:cs="LPJNJT+Arial Unicode MS"/>
          <w:sz w:val="18"/>
          <w:szCs w:val="18"/>
        </w:rPr>
      </w:pPr>
      <w:r>
        <w:rPr>
          <w:rFonts w:hint="eastAsia" w:ascii="微软雅黑" w:hAnsi="微软雅黑" w:cs="微软雅黑"/>
          <w:sz w:val="21"/>
          <w:szCs w:val="21"/>
        </w:rPr>
        <w:br w:type="page"/>
      </w:r>
    </w:p>
    <w:bookmarkEnd w:id="110"/>
    <w:bookmarkEnd w:id="111"/>
    <w:bookmarkEnd w:id="112"/>
    <w:bookmarkEnd w:id="113"/>
    <w:bookmarkEnd w:id="114"/>
    <w:bookmarkEnd w:id="115"/>
    <w:bookmarkEnd w:id="116"/>
    <w:bookmarkEnd w:id="117"/>
    <w:bookmarkEnd w:id="118"/>
    <w:p w14:paraId="11D23B54">
      <w:pPr>
        <w:rPr>
          <w:rFonts w:ascii="微软雅黑" w:hAnsi="微软雅黑"/>
          <w:b/>
          <w:color w:val="00C4D8"/>
          <w:sz w:val="28"/>
          <w:szCs w:val="28"/>
        </w:rPr>
      </w:pPr>
      <w:bookmarkStart w:id="123" w:name="_Toc22528"/>
      <w:bookmarkStart w:id="124" w:name="_Toc18750"/>
      <w:bookmarkStart w:id="125" w:name="_Toc27001"/>
      <w:bookmarkStart w:id="126" w:name="_Toc25168"/>
      <w:bookmarkStart w:id="127" w:name="_Toc10847"/>
      <w:bookmarkStart w:id="128" w:name="_Toc21245"/>
      <w:bookmarkStart w:id="129" w:name="_Toc9267"/>
      <w:bookmarkStart w:id="130" w:name="_Toc11842"/>
      <w:bookmarkStart w:id="131" w:name="_Toc11318"/>
      <w:bookmarkStart w:id="132" w:name="_Toc9573"/>
      <w:bookmarkStart w:id="133" w:name="化疗药物用药提示"/>
      <w:r>
        <w:rPr>
          <w:rFonts w:hint="eastAsia" w:ascii="微软雅黑" w:hAnsi="微软雅黑"/>
          <w:b/>
          <w:color w:val="00C4D8"/>
          <w:sz w:val="28"/>
          <w:szCs w:val="28"/>
        </w:rPr>
        <w:t>3.2微卫星不稳定性（MSI）检测结果</w:t>
      </w:r>
    </w:p>
    <w:p w14:paraId="14384A29">
      <w:pPr>
        <w:spacing w:after="0" w:line="288" w:lineRule="auto"/>
        <w:ind w:firstLine="420" w:firstLineChars="200"/>
        <w:rPr>
          <w:rFonts w:ascii="微软雅黑" w:hAnsi="微软雅黑" w:cs="LPJNJT+Arial Unicode MS"/>
          <w:color w:val="000000"/>
          <w:sz w:val="21"/>
          <w:szCs w:val="21"/>
          <w:u w:val="single"/>
        </w:rPr>
      </w:pPr>
      <w:r>
        <w:rPr>
          <w:rFonts w:hint="eastAsia" w:ascii="微软雅黑" w:hAnsi="微软雅黑" w:cs="LPJNJT+Arial Unicode MS"/>
          <w:color w:val="000000"/>
          <w:sz w:val="21"/>
          <w:szCs w:val="21"/>
        </w:rPr>
        <w:t>{{ msi_detail_sentence }}</w:t>
      </w:r>
      <w:r>
        <w:rPr>
          <w:rFonts w:hint="eastAsia" w:ascii="微软雅黑" w:hAnsi="微软雅黑" w:cs="LPJNJT+Arial Unicode MS"/>
          <w:b/>
          <w:color w:val="000000"/>
          <w:sz w:val="21"/>
          <w:szCs w:val="21"/>
        </w:rPr>
      </w:r>
      <w:r>
        <w:rPr>
          <w:rFonts w:hint="eastAsia" w:ascii="微软雅黑" w:hAnsi="微软雅黑" w:cs="LPJNJT+Arial Unicode MS"/>
          <w:b/>
          <w:color w:val="000000"/>
          <w:sz w:val="21"/>
          <w:szCs w:val="21"/>
          <w:u w:val="single"/>
        </w:rPr>
      </w:r>
      <w:r>
        <w:rPr>
          <w:rFonts w:hint="eastAsia" w:ascii="微软雅黑" w:hAnsi="微软雅黑" w:cs="LPJNJT+Arial Unicode MS"/>
          <w:b/>
          <w:color w:val="000000"/>
          <w:sz w:val="21"/>
          <w:szCs w:val="21"/>
          <w:u w:val="single"/>
        </w:rPr>
      </w:r>
    </w:p>
    <w:p w14:paraId="48882F1B">
      <w:pPr>
        <w:spacing w:after="0" w:line="288" w:lineRule="auto"/>
        <w:rPr>
          <w:rFonts w:ascii="微软雅黑" w:hAnsi="微软雅黑" w:cs="LPJNJT+Arial Unicode MS"/>
          <w:color w:val="000000"/>
          <w:sz w:val="21"/>
          <w:szCs w:val="21"/>
        </w:rPr>
      </w:pPr>
    </w:p>
    <w:p w14:paraId="136352D9">
      <w:pPr>
        <w:adjustRightInd/>
        <w:snapToGrid/>
        <w:spacing w:after="0" w:line="288" w:lineRule="auto"/>
        <w:rPr>
          <w:rFonts w:ascii="微软雅黑" w:hAnsi="微软雅黑" w:cs="微软雅黑"/>
          <w:b/>
          <w:color w:val="00C4D8"/>
          <w:sz w:val="21"/>
          <w:szCs w:val="21"/>
        </w:rPr>
      </w:pPr>
      <w:r>
        <w:rPr>
          <w:rFonts w:hint="eastAsia" w:ascii="微软雅黑" w:hAnsi="微软雅黑" w:cs="LPJNJT+Arial Unicode MS"/>
          <w:b/>
          <w:color w:val="000000"/>
          <w:sz w:val="21"/>
          <w:szCs w:val="21"/>
        </w:rPr>
        <w:t>结果解读：</w:t>
      </w:r>
    </w:p>
    <w:p w14:paraId="43BD192D">
      <w:pPr>
        <w:spacing w:after="0" w:line="288" w:lineRule="auto"/>
        <w:ind w:right="-51" w:firstLine="420" w:firstLineChars="200"/>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肠癌和直肠癌NCCN指南涉及的化疗药物包括伊立替康、亚叶酸钙、5-氟尿嘧啶、奥沙利铂以及卡培他滨，指南中涉及的化疗方案包括FOLFOX（奥沙利铂+亚叶酸钙+5-氟尿嘧啶）、CAPEOX（奥沙利铂+卡培他滨）、FOLFIRI（伊立替康+亚叶酸钙+5-氟尿嘧啶）、FOLFOXIRI（伊立替康+奥沙利铂+亚叶酸钙+5-FU）以及IROX（奥沙利铂+伊立替康）。</w:t>
      </w:r>
    </w:p>
    <w:p w14:paraId="1792BCA5">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u w:val="single"/>
        </w:rPr>
      </w:pPr>
      <w:r>
        <w:rPr>
          <w:rFonts w:hint="eastAsia" w:ascii="微软雅黑" w:hAnsi="微软雅黑" w:cs="LPJNJT+Arial Unicode MS"/>
          <w:color w:val="000000"/>
          <w:sz w:val="21"/>
          <w:szCs w:val="21"/>
          <w:u w:val="single"/>
        </w:rPr>
        <w:t>肿瘤组织为MSS（微卫星稳定）/MSI-L（微卫星低度不稳定）的结直肠癌患者，含5-FU的化疗方案相对敏感，可以正常使用，建议结合临床实际情况选择治疗方案</w:t>
      </w:r>
      <w:r>
        <w:rPr>
          <w:rFonts w:hint="eastAsia" w:ascii="微软雅黑" w:hAnsi="微软雅黑" w:cs="LPJNJT+Arial Unicode MS"/>
          <w:color w:val="000000"/>
          <w:sz w:val="21"/>
          <w:szCs w:val="21"/>
          <w:u w:val="single"/>
          <w:vertAlign w:val="superscript"/>
        </w:rPr>
        <w:t>[1]</w:t>
      </w:r>
      <w:r>
        <w:rPr>
          <w:rFonts w:hint="eastAsia" w:ascii="微软雅黑" w:hAnsi="微软雅黑" w:cs="LPJNJT+Arial Unicode MS"/>
          <w:color w:val="000000"/>
          <w:sz w:val="21"/>
          <w:szCs w:val="21"/>
          <w:u w:val="single"/>
        </w:rPr>
        <w:t>。</w:t>
      </w:r>
    </w:p>
    <w:p w14:paraId="2783E9E4">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肿瘤组织为MSI-H（微卫星高度不稳定）的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期结直肠癌患者，预后较好，且不能从5-FU辅助化疗获益，不推荐氟尿嘧啶类药物的单药辅助化疗</w:t>
      </w:r>
      <w:r>
        <w:rPr>
          <w:rFonts w:hint="eastAsia" w:ascii="微软雅黑" w:hAnsi="微软雅黑" w:cs="LPJNJT+Arial Unicode MS"/>
          <w:color w:val="000000"/>
          <w:sz w:val="21"/>
          <w:szCs w:val="21"/>
          <w:vertAlign w:val="superscript"/>
        </w:rPr>
        <w:t>[1-3]</w:t>
      </w:r>
      <w:r>
        <w:rPr>
          <w:rFonts w:hint="eastAsia" w:ascii="微软雅黑" w:hAnsi="微软雅黑" w:cs="LPJNJT+Arial Unicode MS"/>
          <w:color w:val="000000"/>
          <w:sz w:val="21"/>
          <w:szCs w:val="21"/>
        </w:rPr>
        <w:t>。</w:t>
      </w:r>
    </w:p>
    <w:p w14:paraId="5B6E1C96">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肿瘤组织为MSI-H的转移性结直肠癌患者，可能从PD-1免疫治疗获益</w:t>
      </w:r>
      <w:r>
        <w:rPr>
          <w:rFonts w:hint="eastAsia" w:ascii="微软雅黑" w:hAnsi="微软雅黑" w:cs="LPJNJT+Arial Unicode MS"/>
          <w:color w:val="000000"/>
          <w:sz w:val="21"/>
          <w:szCs w:val="21"/>
          <w:vertAlign w:val="superscript"/>
        </w:rPr>
        <w:t>[4,5]</w:t>
      </w:r>
      <w:r>
        <w:rPr>
          <w:rFonts w:hint="eastAsia" w:ascii="微软雅黑" w:hAnsi="微软雅黑" w:cs="LPJNJT+Arial Unicode MS"/>
          <w:color w:val="000000"/>
          <w:sz w:val="21"/>
          <w:szCs w:val="21"/>
        </w:rPr>
        <w:t>。</w:t>
      </w:r>
    </w:p>
    <w:p w14:paraId="730469B2">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肿瘤组织为MSI-H的结直肠癌患者，患有林奇综合征的风险较高，建议做进一步的林奇综合征筛查诊断（NCCN指南建议林奇综合征的基因检测应包括：MMR基因MLH1、MSH2、MSH6、PMS2和EPCAM基因）。</w:t>
      </w:r>
    </w:p>
    <w:p w14:paraId="3F0D5172">
      <w:pPr>
        <w:pStyle w:val="14"/>
        <w:widowControl w:val="0"/>
        <w:numPr>
          <w:ilvl w:val="255"/>
          <w:numId w:val="0"/>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p>
    <w:p w14:paraId="648C3818">
      <w:pPr>
        <w:adjustRightInd/>
        <w:snapToGrid/>
        <w:spacing w:after="0" w:line="220" w:lineRule="atLeast"/>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注：</w:t>
      </w:r>
    </w:p>
    <w:p w14:paraId="4B0C8ABA">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2022年中国临床肿瘤学会（CSCO）《结直肠癌诊疗指南》指出，所有</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期结直肠癌患者均应考虑进行错配修复蛋白（MMR，mismatch repair）检测，dMMR或MSI-H的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期结直肠癌患者可能预后较好，且不会从单药5-FU的辅助化疗中获益</w:t>
      </w:r>
      <w:r>
        <w:rPr>
          <w:rFonts w:hint="eastAsia" w:ascii="微软雅黑" w:hAnsi="微软雅黑" w:cs="LPJNJT+Arial Unicode MS"/>
          <w:color w:val="000000"/>
          <w:sz w:val="21"/>
          <w:szCs w:val="21"/>
          <w:vertAlign w:val="superscript"/>
        </w:rPr>
        <w:t>[3]</w:t>
      </w:r>
      <w:r>
        <w:rPr>
          <w:rFonts w:hint="eastAsia" w:ascii="微软雅黑" w:hAnsi="微软雅黑" w:cs="LPJNJT+Arial Unicode MS"/>
          <w:color w:val="000000"/>
          <w:sz w:val="21"/>
          <w:szCs w:val="21"/>
        </w:rPr>
        <w:t>；</w:t>
      </w:r>
    </w:p>
    <w:p w14:paraId="5822F70B">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及其他相关实体瘤微卫星不稳定性检测中国专家共识（2019）》推荐对所有明确诊断为结直肠癌的患者，均应考虑进行MMR/MSI状态筛查；晚期实体瘤患者（如胃癌、小肠癌、子宫内膜癌、尿路上皮癌、胰腺癌和胆管癌等）如考虑跨适应症进行免疫治疗，均应行MSI状态检测</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61606681">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若患者同时进行IHC-MMR蛋白表达和DNA分析（PCR或NGS法）MSI状态检测，且存在检测结果不一致的情况，可考虑采用第3种方法（NGS或PCR法）进行验证</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1FDB1861">
      <w:pPr>
        <w:adjustRightInd/>
        <w:snapToGrid/>
        <w:spacing w:after="0" w:line="220" w:lineRule="atLeast"/>
        <w:jc w:val="both"/>
        <w:rPr>
          <w:rFonts w:ascii="微软雅黑" w:hAnsi="微软雅黑" w:cs="LPJNJT+Arial Unicode MS"/>
          <w:color w:val="000000"/>
          <w:sz w:val="21"/>
          <w:szCs w:val="21"/>
        </w:rPr>
      </w:pPr>
    </w:p>
    <w:p w14:paraId="489A977A">
      <w:pPr>
        <w:adjustRightInd/>
        <w:snapToGrid/>
        <w:spacing w:after="0" w:line="220" w:lineRule="atLeast"/>
        <w:jc w:val="both"/>
        <w:rPr>
          <w:rFonts w:ascii="微软雅黑" w:hAnsi="微软雅黑" w:cs="LPJNJT+Arial Unicode MS"/>
          <w:color w:val="000000"/>
          <w:sz w:val="21"/>
          <w:szCs w:val="21"/>
        </w:rPr>
      </w:pPr>
    </w:p>
    <w:p w14:paraId="6DCD7ED1">
      <w:pPr>
        <w:adjustRightInd/>
        <w:snapToGrid/>
        <w:spacing w:after="0" w:line="220" w:lineRule="atLeast"/>
        <w:jc w:val="both"/>
        <w:rPr>
          <w:rFonts w:ascii="微软雅黑" w:hAnsi="微软雅黑" w:cs="LPJNJT+Arial Unicode MS"/>
          <w:color w:val="000000"/>
          <w:sz w:val="21"/>
          <w:szCs w:val="21"/>
        </w:rPr>
      </w:pPr>
    </w:p>
    <w:p w14:paraId="1DDE988D">
      <w:pPr>
        <w:adjustRightInd/>
        <w:snapToGrid/>
        <w:spacing w:after="0" w:line="220" w:lineRule="atLeast"/>
        <w:jc w:val="both"/>
        <w:rPr>
          <w:rFonts w:ascii="微软雅黑" w:hAnsi="微软雅黑" w:cs="LPJNJT+Arial Unicode MS"/>
          <w:color w:val="000000"/>
          <w:sz w:val="21"/>
          <w:szCs w:val="21"/>
        </w:rPr>
      </w:pPr>
    </w:p>
    <w:p w14:paraId="1B1651BA">
      <w:pPr>
        <w:adjustRightInd/>
        <w:snapToGrid/>
        <w:spacing w:before="200" w:after="80" w:line="220" w:lineRule="atLeast"/>
        <w:jc w:val="both"/>
        <w:rPr>
          <w:rFonts w:ascii="微软雅黑" w:hAnsi="微软雅黑" w:cs="LPJNJT+Arial Unicode MS"/>
          <w:color w:val="000000"/>
          <w:sz w:val="21"/>
          <w:szCs w:val="21"/>
        </w:rPr>
      </w:pPr>
      <w:r>
        <w:rPr>
          <w:rFonts w:hint="eastAsia" w:ascii="微软雅黑" w:hAnsi="微软雅黑" w:cs="LPJNJT+Arial Unicode MS"/>
          <w:b/>
          <w:color w:val="000000"/>
          <w:sz w:val="21"/>
          <w:szCs w:val="21"/>
        </w:rPr>
        <w:t>MSI 结果说明：</w:t>
      </w:r>
    </w:p>
    <w:p w14:paraId="2642B479">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结直肠癌组织样本中，MSI阈值的划分与传统检测方法MSI毛细电泳PCR法进行验证，一致性为100%。</w:t>
      </w:r>
    </w:p>
    <w:p w14:paraId="47CF18D3">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本次检测使用NGS技术结合生物信息学算法，对于在肿瘤样本和正常样本中测序深度均大于等于20的微卫星位点，计算其等位基因的分布信息；其次，通过卡方检验比较肿瘤样本和正常样本的相同微卫星位点的等位基因分布，若显著不同，则认为该微卫星位点不稳定；最后统计不稳定位点的比例。</w:t>
      </w:r>
    </w:p>
    <w:p w14:paraId="1E44092B">
      <w:pPr>
        <w:adjustRightInd/>
        <w:snapToGrid/>
        <w:spacing w:before="200" w:line="220" w:lineRule="atLeast"/>
        <w:jc w:val="both"/>
        <w:rPr>
          <w:rFonts w:ascii="微软雅黑" w:hAnsi="微软雅黑" w:cs="LPJNJT+Arial Unicode MS"/>
          <w:color w:val="000000"/>
          <w:sz w:val="21"/>
          <w:szCs w:val="21"/>
        </w:rPr>
      </w:pPr>
    </w:p>
    <w:p w14:paraId="3AF8F56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rPr>
      </w:pPr>
      <w:r>
        <w:rPr>
          <w:rFonts w:hint="eastAsia" w:ascii="微软雅黑" w:hAnsi="微软雅黑" w:cs="LPJNJT+Arial Unicode MS"/>
          <w:b/>
          <w:color w:val="000000"/>
          <w:sz w:val="21"/>
          <w:szCs w:val="21"/>
        </w:rPr>
        <w:t>参考文献：</w:t>
      </w:r>
    </w:p>
    <w:p w14:paraId="18EC23E8">
      <w:pPr>
        <w:pStyle w:val="14"/>
        <w:widowControl w:val="0"/>
        <w:autoSpaceDE w:val="0"/>
        <w:autoSpaceDN w:val="0"/>
        <w:snapToGrid/>
        <w:spacing w:beforeAutospacing="0" w:afterAutospacing="0" w:line="288" w:lineRule="auto"/>
        <w:ind w:right="-51"/>
        <w:jc w:val="both"/>
        <w:rPr>
          <w:rFonts w:ascii="微软雅黑" w:hAnsi="微软雅黑" w:cs="LPJNJT+Arial Unicode MS"/>
          <w:sz w:val="16"/>
          <w:szCs w:val="16"/>
        </w:rPr>
      </w:pPr>
      <w:r>
        <w:rPr>
          <w:rFonts w:hint="eastAsia" w:ascii="微软雅黑" w:hAnsi="微软雅黑" w:cs="LPJNJT+Arial Unicode MS"/>
          <w:color w:val="000000"/>
          <w:sz w:val="16"/>
          <w:szCs w:val="16"/>
          <w:lang w:bidi="ar"/>
        </w:rPr>
        <w:t xml:space="preserve">[1] Sargent DJ, Marsoni S, Monges G, et al. Defective mismatch repair as a predictive marker for lack of efficacy of fluorouracil-based adjuvant therapy in colon cancer[J]. J Clin Oncol. 2010, 28(20): 3219-3226. </w:t>
      </w:r>
    </w:p>
    <w:p w14:paraId="05E78BF2">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[2]</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w:t>
      </w:r>
      <w:r>
        <w:rPr>
          <w:rFonts w:hint="default" w:ascii="微软雅黑" w:hAnsi="微软雅黑" w:eastAsia="微软雅黑" w:cs="LPJNJT+Arial Unicode MS"/>
          <w:sz w:val="16"/>
          <w:szCs w:val="16"/>
        </w:rPr>
        <w:t>Colon Cancer》</w:t>
      </w:r>
      <w:r>
        <w:rPr>
          <w:rFonts w:ascii="微软雅黑" w:hAnsi="微软雅黑" w:eastAsia="微软雅黑" w:cs="LPJNJT+Arial Unicode MS"/>
          <w:sz w:val="16"/>
          <w:szCs w:val="16"/>
        </w:rPr>
        <w:t>;</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22-Rectal</w:t>
      </w:r>
      <w:r>
        <w:rPr>
          <w:rFonts w:hint="default" w:ascii="微软雅黑" w:hAnsi="微软雅黑" w:eastAsia="微软雅黑" w:cs="LPJNJT+Arial Unicode MS"/>
          <w:sz w:val="16"/>
          <w:szCs w:val="16"/>
        </w:rPr>
        <w:t xml:space="preserve"> Cancer》</w:t>
      </w:r>
      <w:r>
        <w:rPr>
          <w:rFonts w:ascii="微软雅黑" w:hAnsi="微软雅黑" w:eastAsia="微软雅黑" w:cs="LPJNJT+Arial Unicode MS"/>
          <w:sz w:val="16"/>
          <w:szCs w:val="16"/>
        </w:rPr>
        <w:t>.</w:t>
      </w:r>
    </w:p>
    <w:p w14:paraId="25390B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[3] 《CSCO结直肠癌诊疗指南（2022年版）》.</w:t>
      </w:r>
    </w:p>
    <w:p w14:paraId="14B78A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[4] 《结直肠癌及其他相关实体瘤微卫星不稳定性检测中国专家共识》.2019.</w:t>
      </w:r>
    </w:p>
    <w:p w14:paraId="69687796">
      <w:pPr>
        <w:adjustRightInd/>
        <w:snapToGrid/>
        <w:spacing w:after="0" w:line="288" w:lineRule="auto"/>
        <w:jc w:val="both"/>
        <w:rPr>
          <w:rFonts w:ascii="微软雅黑" w:hAnsi="微软雅黑" w:cs="LPJNJT+Arial Unicode MS"/>
          <w:sz w:val="18"/>
          <w:szCs w:val="18"/>
        </w:rPr>
      </w:pPr>
      <w:r>
        <w:rPr>
          <w:rFonts w:hint="eastAsia" w:ascii="微软雅黑" w:hAnsi="微软雅黑" w:cs="LPJNJT+Arial Unicode MS"/>
          <w:sz w:val="16"/>
          <w:szCs w:val="16"/>
        </w:rPr>
        <w:t>[5]</w:t>
      </w:r>
      <w:r>
        <w:rPr>
          <w:rFonts w:ascii="微软雅黑" w:hAnsi="微软雅黑" w:cs="LPJNJT+Arial Unicode MS"/>
          <w:sz w:val="16"/>
          <w:szCs w:val="16"/>
        </w:rPr>
        <w:t xml:space="preserve"> Le DT, Uram JN, Wang H,</w:t>
      </w:r>
      <w:r>
        <w:rPr>
          <w:rFonts w:hint="eastAsia" w:ascii="微软雅黑" w:hAnsi="微软雅黑" w:cs="LPJNJT+Arial Unicode MS"/>
          <w:sz w:val="16"/>
          <w:szCs w:val="16"/>
        </w:rPr>
        <w:t xml:space="preserve"> et al. PD-1 Blockade in Tumors with Mismatch-Repair Deficiency[J]. N Engl J Med. 2015, 372(26): 2509-2520.</w:t>
      </w:r>
    </w:p>
    <w:p w14:paraId="79751420">
      <w:pPr>
        <w:adjustRightInd/>
        <w:snapToGrid/>
        <w:spacing w:after="0" w:line="288" w:lineRule="auto"/>
        <w:jc w:val="both"/>
        <w:rPr>
          <w:rFonts w:ascii="微软雅黑" w:hAnsi="微软雅黑" w:cs="LPJNJT+Arial Unicode MS"/>
          <w:sz w:val="18"/>
          <w:szCs w:val="18"/>
        </w:rPr>
      </w:pPr>
    </w:p>
    <w:p w14:paraId="5F0EB5BB">
      <w:pPr>
        <w:adjustRightInd/>
        <w:snapToGrid/>
        <w:spacing w:before="200" w:line="220" w:lineRule="atLeast"/>
        <w:rPr>
          <w:rFonts w:ascii="微软雅黑" w:hAnsi="微软雅黑"/>
          <w:b/>
          <w:color w:val="00C4D8"/>
          <w:sz w:val="28"/>
          <w:szCs w:val="28"/>
        </w:rPr>
      </w:pPr>
      <w:r>
        <w:rPr>
          <w:rFonts w:ascii="微软雅黑" w:hAnsi="微软雅黑"/>
          <w:b/>
          <w:color w:val="00C4D8"/>
          <w:sz w:val="28"/>
          <w:szCs w:val="28"/>
        </w:rPr>
        <w:br w:type="page"/>
      </w:r>
    </w:p>
    <w:p w14:paraId="327E3D87">
      <w:pPr>
        <w:adjustRightInd/>
        <w:snapToGrid/>
        <w:spacing w:before="200" w:line="220" w:lineRule="atLeast"/>
        <w:rPr>
          <w:rFonts w:ascii="微软雅黑" w:hAnsi="微软雅黑"/>
          <w:b/>
          <w:color w:val="FF0000"/>
          <w:sz w:val="28"/>
          <w:szCs w:val="28"/>
        </w:rPr>
      </w:pPr>
      <w:r>
        <w:rPr>
          <w:rFonts w:hint="eastAsia" w:ascii="微软雅黑" w:hAnsi="微软雅黑"/>
          <w:b/>
          <w:color w:val="00C4D8"/>
          <w:sz w:val="28"/>
          <w:szCs w:val="28"/>
        </w:rPr>
        <w:t>3.3 免疫疗效正相关/负相关/超进展基因检测结果</w:t>
      </w:r>
    </w:p>
    <w:p w14:paraId="0F2186EC">
      <w:pPr>
        <w:numPr>
          <w:ilvl w:val="255"/>
          <w:numId w:val="0"/>
        </w:numPr>
        <w:spacing w:after="0" w:line="236" w:lineRule="auto"/>
        <w:ind w:firstLine="420" w:firstLineChars="200"/>
        <w:jc w:val="both"/>
        <w:rPr>
          <w:rFonts w:ascii="微软雅黑" w:hAnsi="微软雅黑" w:cs="微软雅黑"/>
          <w:sz w:val="21"/>
          <w:szCs w:val="21"/>
        </w:rPr>
      </w:pPr>
      <w:r>
        <w:rPr>
          <w:rFonts w:ascii="微软雅黑" w:hAnsi="微软雅黑" w:cs="微软雅黑"/>
          <w:sz w:val="21"/>
          <w:szCs w:val="21"/>
        </w:rPr>
        <w:t>随着免疫治疗</w:t>
      </w:r>
      <w:r>
        <w:rPr>
          <w:rFonts w:hint="eastAsia" w:ascii="微软雅黑" w:hAnsi="微软雅黑" w:cs="微软雅黑"/>
          <w:sz w:val="21"/>
          <w:szCs w:val="21"/>
        </w:rPr>
        <w:t>研究的</w:t>
      </w:r>
      <w:r>
        <w:rPr>
          <w:rFonts w:ascii="微软雅黑" w:hAnsi="微软雅黑" w:cs="微软雅黑"/>
          <w:sz w:val="21"/>
          <w:szCs w:val="21"/>
        </w:rPr>
        <w:t>深入，更多基因组变异被发现与免疫治疗敏感、耐药、超进展相关，以下免疫相关基因标记物预测来源于多种肿瘤的科学研究成果，结果仅供参考。</w:t>
      </w:r>
    </w:p>
    <w:p w14:paraId="020D3B6B">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免疫治疗正相关基因检测结果</w:t>
      </w:r>
    </w:p>
    <w:tbl>
      <w:tblPr>
        <w:tblStyle w:val="16"/>
        <w:tblW w:w="87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6"/>
        <w:gridCol w:w="2944"/>
        <w:gridCol w:w="3033"/>
      </w:tblGrid>
      <w:tr w14:paraId="2A371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jc w:val="center"/>
        </w:trPr>
        <w:tc>
          <w:tcPr>
            <w:tcW w:w="2806" w:type="dxa"/>
            <w:shd w:val="clear" w:color="auto" w:fill="00C4D8"/>
            <w:vAlign w:val="center"/>
          </w:tcPr>
          <w:p w14:paraId="7B397E12">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944" w:type="dxa"/>
            <w:shd w:val="clear" w:color="auto" w:fill="00C4D8"/>
            <w:vAlign w:val="center"/>
          </w:tcPr>
          <w:p w14:paraId="2DD30AB6">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033" w:type="dxa"/>
            <w:shd w:val="clear" w:color="auto" w:fill="00C4D8"/>
            <w:vAlign w:val="center"/>
          </w:tcPr>
          <w:p w14:paraId="2B99193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bookmarkEnd w:id="134"/>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{%tr for row in immune_positive_results %}</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 row.gene }}</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row.result }}</w:t>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row.interpretation }}</w:t>
            </w:r>
          </w:p>
        </w:tc>
      </w:tr>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{%tr endfor %}</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bl>
    <w:p w14:paraId="56488F99">
      <w:pPr>
        <w:adjustRightInd/>
        <w:snapToGrid/>
        <w:spacing w:before="200" w:line="220" w:lineRule="atLeast"/>
        <w:ind w:firstLine="400" w:firstLineChars="200"/>
        <w:jc w:val="both"/>
        <w:rPr>
          <w:rFonts w:ascii="微软雅黑" w:hAnsi="微软雅黑" w:cs="微软雅黑"/>
          <w:color w:val="262626"/>
          <w:sz w:val="20"/>
          <w:szCs w:val="20"/>
          <w:lang w:bidi="ar"/>
        </w:rPr>
      </w:pPr>
      <w:r>
        <w:rPr>
          <w:rFonts w:hint="eastAsia" w:ascii="微软雅黑" w:hAnsi="微软雅黑" w:cs="微软雅黑"/>
          <w:sz w:val="20"/>
          <w:szCs w:val="20"/>
        </w:rPr>
        <w:t>免疫治疗正相关基因，指的是在免疫治疗过程中，携带该类基因突变的患者接受免疫治疗疗效可能较好，如</w:t>
      </w:r>
      <w:r>
        <w:rPr>
          <w:rFonts w:hint="eastAsia" w:ascii="微软雅黑" w:hAnsi="微软雅黑" w:cs="微软雅黑"/>
          <w:color w:val="262626"/>
          <w:sz w:val="20"/>
          <w:szCs w:val="20"/>
          <w:lang w:bidi="ar"/>
        </w:rPr>
        <w:t>PBRM1基因</w:t>
      </w:r>
      <w:r>
        <w:rPr>
          <w:rFonts w:hint="eastAsia" w:ascii="微软雅黑" w:hAnsi="微软雅黑" w:cs="微软雅黑"/>
          <w:color w:val="262626"/>
          <w:sz w:val="20"/>
          <w:szCs w:val="20"/>
          <w:vertAlign w:val="superscript"/>
          <w:lang w:bidi="ar"/>
        </w:rPr>
        <w:t>[1]</w:t>
      </w:r>
      <w:r>
        <w:rPr>
          <w:rFonts w:hint="eastAsia" w:ascii="微软雅黑" w:hAnsi="微软雅黑" w:cs="微软雅黑"/>
          <w:color w:val="262626"/>
          <w:sz w:val="20"/>
          <w:szCs w:val="20"/>
          <w:lang w:bidi="ar"/>
        </w:rPr>
        <w:t>。</w:t>
      </w:r>
    </w:p>
    <w:p w14:paraId="0DBB7570">
      <w:pPr>
        <w:pStyle w:val="29"/>
        <w:adjustRightInd/>
        <w:snapToGrid/>
        <w:spacing w:before="200"/>
        <w:ind w:firstLine="0" w:firstLineChars="0"/>
        <w:jc w:val="center"/>
        <w:rPr>
          <w:rFonts w:ascii="微软雅黑" w:hAnsi="微软雅黑" w:cs="LPJNJT+Arial Unicode MS"/>
          <w:b/>
          <w:color w:val="000000"/>
          <w:sz w:val="21"/>
          <w:szCs w:val="21"/>
          <w:lang w:bidi="ar"/>
        </w:rPr>
      </w:pPr>
      <w:r>
        <w:drawing>
          <wp:inline distT="0" distB="0" distL="114300" distR="114300">
            <wp:extent cx="947420" cy="1979930"/>
            <wp:effectExtent l="0" t="0" r="5080" b="1270"/>
            <wp:docPr id="10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图片 3"/>
                    <pic:cNvPicPr>
                      <a:picLocks noChangeAspect="1"/>
                    </pic:cNvPicPr>
                  </pic:nvPicPr>
                  <pic:blipFill>
                    <a:blip r:embed="rId22"/>
                    <a:stretch>
                      <a:fillRect/>
                    </a:stretch>
                  </pic:blipFill>
                  <pic:spPr>
                    <a:xfrm>
                      <a:off x="0" y="0"/>
                      <a:ext cx="947420" cy="1979930"/>
                    </a:xfrm>
                    <a:prstGeom prst="rect">
                      <a:avLst/>
                    </a:prstGeom>
                    <a:noFill/>
                    <a:ln>
                      <a:noFill/>
                    </a:ln>
                  </pic:spPr>
                </pic:pic>
              </a:graphicData>
            </a:graphic>
          </wp:inline>
        </w:drawing>
      </w:r>
      <w:r>
        <w:rPr>
          <w:rFonts w:hint="eastAsia"/>
        </w:rPr>
        <w:t xml:space="preserve"> </w:t>
      </w:r>
      <w:r>
        <w:drawing>
          <wp:inline distT="0" distB="0" distL="114300" distR="114300">
            <wp:extent cx="3230245" cy="1979930"/>
            <wp:effectExtent l="0" t="0" r="8255" b="1270"/>
            <wp:docPr id="10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图片 5"/>
                    <pic:cNvPicPr>
                      <a:picLocks noChangeAspect="1"/>
                    </pic:cNvPicPr>
                  </pic:nvPicPr>
                  <pic:blipFill>
                    <a:blip r:embed="rId23"/>
                    <a:stretch>
                      <a:fillRect/>
                    </a:stretch>
                  </pic:blipFill>
                  <pic:spPr>
                    <a:xfrm>
                      <a:off x="0" y="0"/>
                      <a:ext cx="3230245" cy="1979930"/>
                    </a:xfrm>
                    <a:prstGeom prst="rect">
                      <a:avLst/>
                    </a:prstGeom>
                    <a:noFill/>
                    <a:ln>
                      <a:noFill/>
                    </a:ln>
                  </pic:spPr>
                </pic:pic>
              </a:graphicData>
            </a:graphic>
          </wp:inline>
        </w:drawing>
      </w:r>
    </w:p>
    <w:p w14:paraId="192B2E71">
      <w:pPr>
        <w:numPr>
          <w:ilvl w:val="255"/>
          <w:numId w:val="0"/>
        </w:numPr>
        <w:spacing w:after="0" w:line="236" w:lineRule="auto"/>
        <w:ind w:firstLine="400" w:firstLineChars="200"/>
        <w:jc w:val="center"/>
        <w:rPr>
          <w:sz w:val="20"/>
          <w:szCs w:val="20"/>
        </w:rPr>
      </w:pPr>
      <w:r>
        <w:rPr>
          <w:rFonts w:hint="eastAsia" w:ascii="微软雅黑" w:hAnsi="微软雅黑" w:cs="微软雅黑"/>
          <w:sz w:val="20"/>
          <w:szCs w:val="20"/>
        </w:rPr>
        <w:t>图1  PBRM1基因突变的肾透明细胞癌患者免疫治疗获益</w:t>
      </w:r>
    </w:p>
    <w:p w14:paraId="02DEBBD1">
      <w:pPr>
        <w:pStyle w:val="29"/>
        <w:adjustRightInd/>
        <w:snapToGrid/>
        <w:spacing w:after="0"/>
        <w:ind w:firstLine="0" w:firstLineChars="0"/>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3C1BD3F">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 xml:space="preserve">[1] </w:t>
      </w:r>
      <w:r>
        <w:rPr>
          <w:rFonts w:hint="default" w:ascii="微软雅黑" w:hAnsi="微软雅黑" w:eastAsia="微软雅黑" w:cs="LPJNJT+Arial Unicode MS"/>
          <w:sz w:val="16"/>
          <w:szCs w:val="16"/>
        </w:rPr>
        <w:t>Miao D, Margolis C A, Gao W, et al. Genomic correlates of response to immune checkpoint therapies in clear cell renal cell carcinoma[J]. Science, 2018, 359(6377): 801-806.</w:t>
      </w:r>
    </w:p>
    <w:p w14:paraId="5BA68B57">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6129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6FD53ACF">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656" w:type="dxa"/>
            <w:shd w:val="clear" w:color="auto" w:fill="00C4D8"/>
            <w:vAlign w:val="center"/>
          </w:tcPr>
          <w:p w14:paraId="4BF8E4C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215" w:type="dxa"/>
            <w:shd w:val="clear" w:color="auto" w:fill="00C4D8"/>
            <w:vAlign w:val="center"/>
          </w:tcPr>
          <w:p w14:paraId="41A396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{%tr for row in immune_negative_results %}</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row.gene }}</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t>{{ row.result }}</w:t>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row.interpretation }}</w:t>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{%tr endfor %}</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bl>
    <w:p w14:paraId="2773012B">
      <w:pPr>
        <w:adjustRightInd/>
        <w:snapToGrid/>
        <w:spacing w:before="200" w:line="220" w:lineRule="atLeast"/>
        <w:ind w:firstLine="400" w:firstLineChars="200"/>
        <w:jc w:val="both"/>
        <w:rPr>
          <w:rFonts w:ascii="微软雅黑" w:hAnsi="微软雅黑" w:cs="微软雅黑"/>
          <w:color w:val="000000"/>
          <w:sz w:val="20"/>
          <w:szCs w:val="20"/>
          <w:lang w:bidi="ar"/>
        </w:rPr>
      </w:pPr>
      <w:r>
        <w:rPr>
          <w:rFonts w:hint="eastAsia" w:ascii="微软雅黑" w:hAnsi="微软雅黑" w:cs="微软雅黑"/>
          <w:color w:val="000000"/>
          <w:sz w:val="20"/>
          <w:szCs w:val="20"/>
          <w:lang w:bidi="ar"/>
        </w:rPr>
        <w:t>免疫治疗负相关基因，指的是在免疫治疗过程中，携带该类基因突变的患者产生免疫治疗耐药/疗效不佳。这些特定基因突变引起通路的改变，可能导致肿瘤微环境中免疫细胞的浸润以及功能受到抑制，如JAK1/2失活突变</w:t>
      </w:r>
      <w:r>
        <w:rPr>
          <w:rFonts w:hint="eastAsia" w:ascii="微软雅黑" w:hAnsi="微软雅黑" w:cs="微软雅黑"/>
          <w:color w:val="000000"/>
          <w:sz w:val="20"/>
          <w:szCs w:val="20"/>
          <w:vertAlign w:val="superscript"/>
          <w:lang w:bidi="ar"/>
        </w:rPr>
        <w:t>[1]</w:t>
      </w:r>
      <w:r>
        <w:rPr>
          <w:rFonts w:hint="eastAsia" w:ascii="微软雅黑" w:hAnsi="微软雅黑" w:cs="微软雅黑"/>
          <w:color w:val="000000"/>
          <w:sz w:val="20"/>
          <w:szCs w:val="20"/>
          <w:lang w:bidi="ar"/>
        </w:rPr>
        <w:t>。</w:t>
      </w:r>
    </w:p>
    <w:p w14:paraId="517BD09B">
      <w:pPr>
        <w:adjustRightInd/>
        <w:snapToGrid/>
        <w:spacing w:before="200" w:line="220" w:lineRule="atLeast"/>
        <w:ind w:firstLine="440" w:firstLineChars="200"/>
        <w:jc w:val="center"/>
        <w:rPr>
          <w:rFonts w:ascii="微软雅黑" w:hAnsi="微软雅黑" w:cs="微软雅黑"/>
          <w:color w:val="262626"/>
          <w:sz w:val="20"/>
          <w:szCs w:val="20"/>
          <w:lang w:bidi="ar"/>
        </w:rPr>
      </w:pPr>
      <w:r>
        <w:drawing>
          <wp:inline distT="0" distB="0" distL="114300" distR="114300">
            <wp:extent cx="3832225" cy="2641600"/>
            <wp:effectExtent l="0" t="0" r="15875" b="6350"/>
            <wp:docPr id="10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图片 6"/>
                    <pic:cNvPicPr>
                      <a:picLocks noChangeAspect="1"/>
                    </pic:cNvPicPr>
                  </pic:nvPicPr>
                  <pic:blipFill>
                    <a:blip r:embed="rId24"/>
                    <a:stretch>
                      <a:fillRect/>
                    </a:stretch>
                  </pic:blipFill>
                  <pic:spPr>
                    <a:xfrm>
                      <a:off x="0" y="0"/>
                      <a:ext cx="3832225" cy="2641600"/>
                    </a:xfrm>
                    <a:prstGeom prst="rect">
                      <a:avLst/>
                    </a:prstGeom>
                    <a:noFill/>
                    <a:ln>
                      <a:noFill/>
                    </a:ln>
                  </pic:spPr>
                </pic:pic>
              </a:graphicData>
            </a:graphic>
          </wp:inline>
        </w:drawing>
      </w:r>
    </w:p>
    <w:p w14:paraId="4A38A33A">
      <w:pPr>
        <w:numPr>
          <w:ilvl w:val="255"/>
          <w:numId w:val="0"/>
        </w:numPr>
        <w:spacing w:after="0" w:line="236" w:lineRule="auto"/>
        <w:ind w:firstLine="400" w:firstLineChars="200"/>
        <w:jc w:val="center"/>
        <w:rPr>
          <w:rFonts w:ascii="微软雅黑" w:hAnsi="微软雅黑" w:cs="微软雅黑"/>
          <w:sz w:val="21"/>
          <w:szCs w:val="21"/>
        </w:rPr>
      </w:pPr>
      <w:r>
        <w:rPr>
          <w:rFonts w:hint="eastAsia" w:ascii="微软雅黑" w:hAnsi="微软雅黑" w:cs="微软雅黑"/>
          <w:sz w:val="20"/>
          <w:szCs w:val="20"/>
        </w:rPr>
        <w:t>图1  JAK1/2失活免疫抑制机制</w:t>
      </w:r>
    </w:p>
    <w:p w14:paraId="686290C2">
      <w:pPr>
        <w:pStyle w:val="29"/>
        <w:adjustRightInd/>
        <w:snapToGrid/>
        <w:spacing w:before="200"/>
        <w:ind w:firstLine="0" w:firstLineChars="0"/>
        <w:rPr>
          <w:rFonts w:ascii="微软雅黑" w:hAnsi="微软雅黑" w:cs="LPJNJT+Arial Unicode MS"/>
          <w:color w:val="000000"/>
          <w:sz w:val="16"/>
          <w:szCs w:val="16"/>
          <w:lang w:bidi="ar"/>
        </w:rPr>
      </w:pPr>
      <w:r>
        <w:rPr>
          <w:rFonts w:hint="eastAsia" w:ascii="微软雅黑" w:hAnsi="微软雅黑" w:cs="LPJNJT+Arial Unicode MS"/>
          <w:b/>
          <w:color w:val="000000"/>
          <w:sz w:val="21"/>
          <w:szCs w:val="21"/>
          <w:lang w:bidi="ar"/>
        </w:rPr>
        <w:t>参考文献：</w:t>
      </w:r>
    </w:p>
    <w:p w14:paraId="3297A30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[1] Kalbasi A, Ribas A. Tumour-intrinsic resistance to immune checkpoint blockade[J]. Nature Reviews Immunology, 2019: 1-15.</w:t>
      </w:r>
    </w:p>
    <w:p w14:paraId="2B48199F">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1"/>
        <w:gridCol w:w="2793"/>
        <w:gridCol w:w="3478"/>
      </w:tblGrid>
      <w:tr w14:paraId="64AF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251" w:type="dxa"/>
            <w:shd w:val="clear" w:color="auto" w:fill="00C4D8"/>
            <w:vAlign w:val="center"/>
          </w:tcPr>
          <w:p w14:paraId="15EC39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793" w:type="dxa"/>
            <w:shd w:val="clear" w:color="auto" w:fill="00C4D8"/>
            <w:vAlign w:val="center"/>
          </w:tcPr>
          <w:p w14:paraId="3744395A">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478" w:type="dxa"/>
            <w:shd w:val="clear" w:color="auto" w:fill="00C4D8"/>
            <w:vAlign w:val="center"/>
          </w:tcPr>
          <w:p w14:paraId="540161B9">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{%tr for row in immune_hyperprogression_results %}</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 row.gene }}</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row.result }}</w:t>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 row.interpretation }}</w:t>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{%tr endfor %}</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r>
          </w:p>
        </w:tc>
      </w:tr>
    </w:tbl>
    <w:p w14:paraId="21CA29B9">
      <w:pPr>
        <w:adjustRightInd/>
        <w:snapToGrid/>
        <w:spacing w:before="200" w:line="220" w:lineRule="atLeast"/>
        <w:ind w:firstLine="400" w:firstLineChars="200"/>
        <w:jc w:val="both"/>
        <w:rPr>
          <w:rFonts w:ascii="微软雅黑" w:hAnsi="微软雅黑" w:cs="微软雅黑"/>
          <w:sz w:val="21"/>
          <w:szCs w:val="21"/>
        </w:rPr>
      </w:pPr>
      <w:r>
        <w:rPr>
          <w:rFonts w:hint="eastAsia" w:ascii="微软雅黑" w:hAnsi="微软雅黑" w:cs="微软雅黑"/>
          <w:sz w:val="20"/>
          <w:szCs w:val="20"/>
        </w:rPr>
        <w:t>有研究表明，MDM2/4基因的有害突变与疾病超进展（HPD）密切相关</w:t>
      </w:r>
      <w:r>
        <w:rPr>
          <w:rFonts w:hint="eastAsia" w:ascii="微软雅黑" w:hAnsi="微软雅黑" w:cs="微软雅黑"/>
          <w:sz w:val="20"/>
          <w:szCs w:val="20"/>
          <w:vertAlign w:val="superscript"/>
        </w:rPr>
        <w:t>[1-2]</w:t>
      </w:r>
      <w:r>
        <w:rPr>
          <w:rFonts w:hint="eastAsia" w:ascii="微软雅黑" w:hAnsi="微软雅黑" w:cs="微软雅黑"/>
          <w:sz w:val="20"/>
          <w:szCs w:val="20"/>
        </w:rPr>
        <w:t>。HPD被定义为治疗后肿瘤反常地加速生长，包括：（1）在免疫检查点抑制剂治疗后第一次评价时进展，或至治疗失败时间（TTF）&lt;2月；（2）肿瘤体积增加&gt;50%；(3)肿瘤增长速度（TGR）增加&gt;2倍。</w:t>
      </w:r>
    </w:p>
    <w:p w14:paraId="7AC3CDC5">
      <w:pPr>
        <w:adjustRightInd/>
        <w:snapToGrid/>
        <w:spacing w:before="200" w:line="220" w:lineRule="atLeast"/>
        <w:jc w:val="center"/>
        <w:rPr>
          <w:rFonts w:ascii="微软雅黑" w:hAnsi="微软雅黑"/>
          <w:b/>
          <w:color w:val="FF0000"/>
          <w:sz w:val="28"/>
          <w:szCs w:val="28"/>
        </w:rPr>
      </w:pPr>
      <w:r>
        <w:drawing>
          <wp:inline distT="0" distB="0" distL="114300" distR="114300">
            <wp:extent cx="4568190" cy="2336800"/>
            <wp:effectExtent l="0" t="0" r="3810" b="6350"/>
            <wp:docPr id="10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图片 2"/>
                    <pic:cNvPicPr>
                      <a:picLocks noChangeAspect="1"/>
                    </pic:cNvPicPr>
                  </pic:nvPicPr>
                  <pic:blipFill>
                    <a:blip r:embed="rId25"/>
                    <a:stretch>
                      <a:fillRect/>
                    </a:stretch>
                  </pic:blipFill>
                  <pic:spPr>
                    <a:xfrm>
                      <a:off x="0" y="0"/>
                      <a:ext cx="4568190" cy="2336800"/>
                    </a:xfrm>
                    <a:prstGeom prst="rect">
                      <a:avLst/>
                    </a:prstGeom>
                    <a:noFill/>
                    <a:ln>
                      <a:noFill/>
                    </a:ln>
                  </pic:spPr>
                </pic:pic>
              </a:graphicData>
            </a:graphic>
          </wp:inline>
        </w:drawing>
      </w:r>
    </w:p>
    <w:p w14:paraId="14CA6F52">
      <w:pPr>
        <w:numPr>
          <w:ilvl w:val="255"/>
          <w:numId w:val="0"/>
        </w:numPr>
        <w:spacing w:after="0" w:line="236" w:lineRule="auto"/>
        <w:ind w:firstLine="400" w:firstLineChars="200"/>
        <w:jc w:val="center"/>
      </w:pPr>
      <w:r>
        <w:rPr>
          <w:rFonts w:hint="eastAsia" w:ascii="微软雅黑" w:hAnsi="微软雅黑" w:cs="微软雅黑"/>
          <w:sz w:val="20"/>
          <w:szCs w:val="20"/>
        </w:rPr>
        <w:t>图1  疾病超进展图示</w:t>
      </w:r>
    </w:p>
    <w:p w14:paraId="284402D5">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26C51A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BB6BC9E">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419CC47">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[1] Kato S , Goodman A M , Walavalkar V , et al. Hyper-progressors after Immunotherapy: Analysis of Genomic Alterations Associated with Accelerated Growth Rate[J]. Clinical Cancer Research, 2017: clincanres. 3133.2016.</w:t>
      </w:r>
    </w:p>
    <w:p w14:paraId="76A93F45">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[2] Hyperprogressive Disease in Patients With Advanced Non-Small Cell Lung Cancer Treated With PD-1/PD-L1 Inhibitors or With Single-Agent Chemotherapy.[J]. JAMA oncology, 2018.</w:t>
      </w:r>
    </w:p>
    <w:p w14:paraId="3738B207">
      <w:pPr>
        <w:adjustRightInd/>
        <w:snapToGrid/>
        <w:spacing w:after="0" w:line="312" w:lineRule="auto"/>
        <w:jc w:val="both"/>
        <w:rPr>
          <w:rFonts w:ascii="微软雅黑" w:hAnsi="微软雅黑"/>
          <w:b/>
          <w:color w:val="00C4D8"/>
          <w:sz w:val="28"/>
          <w:szCs w:val="28"/>
        </w:rPr>
      </w:pPr>
    </w:p>
    <w:p w14:paraId="4634BE55">
      <w:pPr>
        <w:numPr>
          <w:ilvl w:val="0"/>
          <w:numId w:val="7"/>
        </w:numPr>
        <w:adjustRightInd/>
        <w:snapToGrid/>
        <w:spacing w:before="200" w:line="220" w:lineRule="atLeast"/>
        <w:jc w:val="both"/>
        <w:rPr>
          <w:rFonts w:ascii="微软雅黑" w:hAnsi="微软雅黑" w:cs="LPJNJT+Arial Unicode MS"/>
          <w:color w:val="000000"/>
          <w:sz w:val="16"/>
          <w:szCs w:val="16"/>
        </w:rPr>
      </w:pPr>
      <w:r>
        <w:rPr>
          <w:rFonts w:hint="eastAsia" w:ascii="微软雅黑" w:hAnsi="微软雅黑" w:cs="LPJNJT+Arial Unicode MS"/>
          <w:color w:val="000000"/>
          <w:sz w:val="16"/>
          <w:szCs w:val="16"/>
        </w:rPr>
        <w:br w:type="page"/>
      </w:r>
    </w:p>
    <w:bookmarkEnd w:id="119"/>
    <w:bookmarkEnd w:id="120"/>
    <w:bookmarkEnd w:id="123"/>
    <w:bookmarkEnd w:id="124"/>
    <w:bookmarkEnd w:id="125"/>
    <w:bookmarkEnd w:id="126"/>
    <w:bookmarkEnd w:id="127"/>
    <w:bookmarkEnd w:id="128"/>
    <w:bookmarkEnd w:id="129"/>
    <w:bookmarkEnd w:id="130"/>
    <w:bookmarkEnd w:id="131"/>
    <w:bookmarkEnd w:id="132"/>
    <w:bookmarkEnd w:id="133"/>
    <w:p w14:paraId="2BC1F0D3">
      <w:pPr>
        <w:numPr>
          <w:ilvl w:val="255"/>
          <w:numId w:val="0"/>
        </w:numPr>
        <w:jc w:val="both"/>
        <w:outlineLvl w:val="0"/>
        <w:rPr>
          <w:rFonts w:ascii="微软雅黑" w:hAnsi="微软雅黑"/>
          <w:b/>
          <w:color w:val="00C4D8"/>
          <w:sz w:val="32"/>
          <w:szCs w:val="32"/>
        </w:rPr>
      </w:pPr>
      <w:bookmarkStart w:id="135" w:name="_Toc6736"/>
      <w:bookmarkStart w:id="136" w:name="_Toc14090"/>
      <w:bookmarkStart w:id="137" w:name="_Toc16388"/>
      <w:bookmarkStart w:id="138" w:name="_Toc27819"/>
      <w:bookmarkStart w:id="139" w:name="_Toc29647"/>
      <w:bookmarkStart w:id="140" w:name="_Toc2916"/>
      <w:bookmarkStart w:id="141" w:name="_Toc24294"/>
      <w:bookmarkStart w:id="142" w:name="_Toc3246"/>
      <w:bookmarkStart w:id="143" w:name="_Toc27301"/>
      <w:bookmarkStart w:id="144" w:name="_Toc7238"/>
      <w:bookmarkStart w:id="145" w:name="_Toc29075"/>
      <w:bookmarkStart w:id="146" w:name="_Toc2749"/>
      <w:r>
        <w:rPr>
          <w:rFonts w:hint="eastAsia" w:ascii="微软雅黑" w:hAnsi="微软雅黑"/>
          <w:b/>
          <w:color w:val="00C4D8"/>
          <w:sz w:val="32"/>
          <w:szCs w:val="32"/>
          <w:lang w:val="en-US" w:eastAsia="zh-CN"/>
        </w:rPr>
        <w:t>4</w:t>
      </w:r>
      <w:r>
        <w:rPr>
          <w:rFonts w:hint="eastAsia" w:ascii="微软雅黑" w:hAnsi="微软雅黑"/>
          <w:b/>
          <w:color w:val="00C4D8"/>
          <w:sz w:val="32"/>
          <w:szCs w:val="32"/>
        </w:rPr>
        <w:t>. 检测结果说明</w:t>
      </w:r>
      <w:bookmarkEnd w:id="135"/>
      <w:bookmarkEnd w:id="136"/>
      <w:bookmarkEnd w:id="137"/>
      <w:bookmarkEnd w:id="138"/>
      <w:bookmarkEnd w:id="139"/>
      <w:bookmarkEnd w:id="140"/>
      <w:bookmarkEnd w:id="141"/>
      <w:bookmarkEnd w:id="142"/>
      <w:bookmarkEnd w:id="143"/>
      <w:bookmarkEnd w:id="144"/>
      <w:bookmarkEnd w:id="145"/>
      <w:bookmarkEnd w:id="146"/>
    </w:p>
    <w:p w14:paraId="39789A30">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892D3F2">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38CF8F07">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2381842E">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3EF05F79">
      <w:pPr>
        <w:pStyle w:val="29"/>
        <w:numPr>
          <w:ilvl w:val="255"/>
          <w:numId w:val="0"/>
        </w:numPr>
        <w:adjustRightInd/>
        <w:snapToGrid/>
        <w:spacing w:after="0" w:line="360" w:lineRule="auto"/>
        <w:jc w:val="both"/>
        <w:rPr>
          <w:rFonts w:ascii="微软雅黑" w:hAnsi="微软雅黑"/>
          <w:color w:val="000000"/>
          <w:sz w:val="21"/>
          <w:szCs w:val="21"/>
        </w:rPr>
      </w:pPr>
      <w:r>
        <w:drawing>
          <wp:anchor distT="0" distB="0" distL="114300" distR="114300" simplePos="0" relativeHeight="251693056" behindDoc="0" locked="0" layoutInCell="1" allowOverlap="1">
            <wp:simplePos x="0" y="0"/>
            <wp:positionH relativeFrom="column">
              <wp:posOffset>628650</wp:posOffset>
            </wp:positionH>
            <wp:positionV relativeFrom="paragraph">
              <wp:posOffset>233680</wp:posOffset>
            </wp:positionV>
            <wp:extent cx="762635" cy="407035"/>
            <wp:effectExtent l="0" t="0" r="12065" b="1206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762635" cy="407035"/>
                    </a:xfrm>
                    <a:prstGeom prst="rect">
                      <a:avLst/>
                    </a:prstGeom>
                    <a:noFill/>
                    <a:ln>
                      <a:noFill/>
                    </a:ln>
                  </pic:spPr>
                </pic:pic>
              </a:graphicData>
            </a:graphic>
          </wp:anchor>
        </w:drawing>
      </w:r>
      <w:r>
        <w:rPr>
          <w:rFonts w:hint="eastAsia" w:eastAsiaTheme="minorEastAsia"/>
        </w:rPr>
        <w:drawing>
          <wp:anchor distT="0" distB="0" distL="114300" distR="114300" simplePos="0" relativeHeight="251691008" behindDoc="0" locked="0" layoutInCell="1" allowOverlap="1">
            <wp:simplePos x="0" y="0"/>
            <wp:positionH relativeFrom="column">
              <wp:posOffset>2604770</wp:posOffset>
            </wp:positionH>
            <wp:positionV relativeFrom="paragraph">
              <wp:posOffset>288925</wp:posOffset>
            </wp:positionV>
            <wp:extent cx="762000" cy="317500"/>
            <wp:effectExtent l="0" t="0" r="0" b="7620"/>
            <wp:wrapNone/>
            <wp:docPr id="1026" name="图片 19" descr="C:/Users/Wonzer/Desktop/微信图片_20241230095914.png微信图片_20241230095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图片 19" descr="C:/Users/Wonzer/Desktop/微信图片_20241230095914.png微信图片_20241230095914"/>
                    <pic:cNvPicPr>
                      <a:picLocks noChangeAspect="1"/>
                    </pic:cNvPicPr>
                  </pic:nvPicPr>
                  <pic:blipFill>
                    <a:blip r:embed="rId27"/>
                    <a:srcRect t="8167" b="8167"/>
                    <a:stretch>
                      <a:fillRect/>
                    </a:stretch>
                  </pic:blipFill>
                  <pic:spPr>
                    <a:xfrm>
                      <a:off x="0" y="0"/>
                      <a:ext cx="762000" cy="317500"/>
                    </a:xfrm>
                    <a:prstGeom prst="rect">
                      <a:avLst/>
                    </a:prstGeom>
                  </pic:spPr>
                </pic:pic>
              </a:graphicData>
            </a:graphic>
          </wp:anchor>
        </w:drawing>
      </w:r>
    </w:p>
    <w:p w14:paraId="6D6F9AD0">
      <w:pPr>
        <w:adjustRightInd/>
        <w:snapToGrid/>
        <w:spacing w:line="360" w:lineRule="auto"/>
        <w:rPr>
          <w:rFonts w:hint="default" w:ascii="微软雅黑" w:hAnsi="微软雅黑" w:eastAsia="微软雅黑"/>
          <w:sz w:val="24"/>
          <w:szCs w:val="24"/>
          <w:lang w:val="en-US" w:eastAsia="zh-CN"/>
        </w:rPr>
      </w:pPr>
      <w:r>
        <w:rPr>
          <w:rFonts w:hint="eastAsia" w:ascii="微软雅黑" w:hAnsi="微软雅黑"/>
          <w:b/>
          <w:color w:val="000000"/>
          <w:sz w:val="24"/>
          <w:szCs w:val="24"/>
        </w:rPr>
        <w:t>检测</w:t>
      </w:r>
      <w:r>
        <w:rPr>
          <w:rFonts w:ascii="微软雅黑" w:hAnsi="微软雅黑"/>
          <w:b/>
          <w:color w:val="000000"/>
          <w:sz w:val="24"/>
          <w:szCs w:val="24"/>
        </w:rPr>
        <w:t>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ascii="微软雅黑" w:hAnsi="微软雅黑"/>
          <w:b/>
          <w:color w:val="000000"/>
          <w:sz w:val="24"/>
          <w:szCs w:val="24"/>
        </w:rPr>
        <w:t>审核者：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hint="eastAsia" w:ascii="微软雅黑" w:hAnsi="微软雅黑"/>
          <w:bCs/>
          <w:color w:val="000000"/>
          <w:sz w:val="24"/>
          <w:szCs w:val="24"/>
          <w:lang w:val="en-US" w:eastAsia="zh-CN"/>
        </w:rPr>
        <w:t xml:space="preserve"> </w:t>
      </w:r>
      <w:r>
        <w:rPr>
          <w:rFonts w:ascii="微软雅黑" w:hAnsi="微软雅黑"/>
          <w:b/>
          <w:color w:val="000000"/>
          <w:sz w:val="24"/>
          <w:szCs w:val="24"/>
        </w:rPr>
        <w:t>报告日期：</w:t>
      </w:r>
      <w:r>
        <w:rPr>
          <w:rFonts w:ascii="微软雅黑" w:hAnsi="微软雅黑"/>
          <w:sz w:val="24"/>
          <w:szCs w:val="24"/>
        </w:rPr>
        <w:t>{{ report_date_dot }}</w:t>
      </w:r>
      <w:r>
        <w:rPr>
          <w:rFonts w:hint="eastAsia" w:ascii="微软雅黑" w:hAnsi="微软雅黑"/>
          <w:sz w:val="24"/>
          <w:szCs w:val="24"/>
          <w:lang w:val="en-US" w:eastAsia="zh-CN"/>
        </w:rPr>
        <w:t/>
      </w:r>
      <w:r>
        <w:rPr>
          <w:rFonts w:ascii="微软雅黑" w:hAnsi="微软雅黑"/>
          <w:sz w:val="24"/>
          <w:szCs w:val="24"/>
        </w:rPr>
        <w:t/>
      </w:r>
      <w:r>
        <w:rPr>
          <w:rFonts w:hint="eastAsia" w:ascii="微软雅黑" w:hAnsi="微软雅黑"/>
          <w:sz w:val="24"/>
          <w:szCs w:val="24"/>
          <w:lang w:val="en-US" w:eastAsia="zh-CN"/>
        </w:rPr>
        <w:t/>
      </w:r>
    </w:p>
    <w:p w14:paraId="7D9AEFBF"/>
    <w:p w14:paraId="0D994C33"/>
    <w:p w14:paraId="66D19B44"/>
    <w:p w14:paraId="42E5FAD5"/>
    <w:p w14:paraId="404555B1"/>
    <w:p w14:paraId="62FB4799"/>
    <w:p w14:paraId="66E0B589">
      <w:pPr>
        <w:tabs>
          <w:tab w:val="left" w:pos="3071"/>
        </w:tabs>
        <w:sectPr>
          <w:headerReference r:id="rId9" w:type="default"/>
          <w:footerReference r:id="rId10" w:type="default"/>
          <w:pgSz w:w="11906" w:h="16838"/>
          <w:pgMar w:top="1440" w:right="1800" w:bottom="1440" w:left="1800" w:header="708" w:footer="708" w:gutter="0"/>
          <w:pgNumType w:start="1"/>
          <w:cols w:space="708" w:num="1"/>
          <w:docGrid w:linePitch="360" w:charSpace="0"/>
        </w:sectPr>
      </w:pPr>
    </w:p>
    <w:p w14:paraId="52A9245A">
      <w:pPr>
        <w:jc w:val="center"/>
        <w:outlineLvl w:val="0"/>
        <w:rPr>
          <w:rFonts w:ascii="微软雅黑" w:hAnsi="微软雅黑"/>
          <w:b/>
          <w:sz w:val="30"/>
          <w:szCs w:val="30"/>
        </w:rPr>
      </w:pPr>
      <w:bookmarkStart w:id="147" w:name="_Toc7183"/>
      <w:bookmarkStart w:id="148" w:name="_Toc5394"/>
      <w:bookmarkStart w:id="149" w:name="_Toc6684"/>
      <w:bookmarkStart w:id="150" w:name="_Toc350"/>
      <w:bookmarkStart w:id="151" w:name="_Toc6828"/>
      <w:bookmarkStart w:id="152" w:name="_Toc20456"/>
      <w:bookmarkStart w:id="153" w:name="_Toc23181"/>
      <w:bookmarkStart w:id="154" w:name="_Toc9132"/>
      <w:bookmarkStart w:id="155" w:name="_Toc13707"/>
      <w:bookmarkStart w:id="156" w:name="_Toc8942"/>
      <w:bookmarkStart w:id="157" w:name="_Toc15791"/>
      <w:bookmarkStart w:id="158" w:name="_Toc10825"/>
      <w:bookmarkStart w:id="159" w:name="_Toc8090"/>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47"/>
      <w:bookmarkEnd w:id="148"/>
      <w:bookmarkEnd w:id="149"/>
      <w:bookmarkEnd w:id="150"/>
      <w:bookmarkEnd w:id="151"/>
      <w:bookmarkEnd w:id="152"/>
      <w:bookmarkEnd w:id="153"/>
      <w:bookmarkEnd w:id="154"/>
      <w:bookmarkEnd w:id="155"/>
      <w:bookmarkEnd w:id="156"/>
      <w:bookmarkEnd w:id="157"/>
      <w:bookmarkEnd w:id="158"/>
      <w:bookmarkEnd w:id="159"/>
    </w:p>
    <w:p w14:paraId="1A07FF19">
      <w:pPr>
        <w:numPr>
          <w:ilvl w:val="0"/>
          <w:numId w:val="9"/>
        </w:numPr>
        <w:outlineLvl w:val="0"/>
        <w:rPr>
          <w:rFonts w:ascii="微软雅黑" w:hAnsi="微软雅黑"/>
          <w:b/>
          <w:sz w:val="24"/>
          <w:szCs w:val="24"/>
        </w:rPr>
      </w:pPr>
      <w:bookmarkStart w:id="160" w:name="_Toc6727"/>
      <w:bookmarkStart w:id="161" w:name="_Toc4690"/>
      <w:bookmarkStart w:id="162" w:name="_Toc7612"/>
      <w:bookmarkStart w:id="163" w:name="_Toc20363"/>
      <w:bookmarkStart w:id="164" w:name="_Toc13243"/>
      <w:bookmarkStart w:id="165" w:name="_Toc28597"/>
      <w:bookmarkStart w:id="166" w:name="_Toc8230"/>
      <w:bookmarkStart w:id="167" w:name="_Toc24256"/>
      <w:bookmarkStart w:id="168" w:name="_Toc17360"/>
      <w:bookmarkStart w:id="169" w:name="_Toc15599"/>
      <w:bookmarkStart w:id="170" w:name="_Toc11477"/>
      <w:bookmarkStart w:id="171" w:name="_Toc9120"/>
      <w:bookmarkStart w:id="172" w:name="潜在获益靶向药物解析"/>
      <w:bookmarkStart w:id="173" w:name="_Toc10990"/>
      <w:bookmarkStart w:id="174" w:name="_Toc9236"/>
      <w:bookmarkStart w:id="175" w:name="_Toc6679"/>
      <w:bookmarkStart w:id="176" w:name="_Toc26457"/>
      <w:r>
        <w:rPr>
          <w:rFonts w:ascii="微软雅黑" w:hAnsi="微软雅黑"/>
          <w:b/>
          <w:sz w:val="24"/>
          <w:szCs w:val="24"/>
        </w:rPr>
        <w:t>基因</w:t>
      </w:r>
      <w:r>
        <w:rPr>
          <w:rFonts w:hint="eastAsia" w:ascii="微软雅黑" w:hAnsi="微软雅黑"/>
          <w:b/>
          <w:sz w:val="24"/>
          <w:szCs w:val="24"/>
        </w:rPr>
        <w:t>变异</w:t>
      </w:r>
      <w:r>
        <w:rPr>
          <w:rFonts w:ascii="微软雅黑" w:hAnsi="微软雅黑"/>
          <w:b/>
          <w:sz w:val="24"/>
          <w:szCs w:val="24"/>
        </w:rPr>
        <w:t>解析</w:t>
      </w:r>
      <w:bookmarkEnd w:id="160"/>
    </w:p>
    <w:p w14:paraId="5F21ACF6">
      <w:pPr>
        <w:numPr>
          <w:ilvl w:val="0"/>
          <w:numId w:val="10"/>
        </w:numPr>
        <w:jc w:val="both"/>
        <w:rPr>
          <w:rFonts w:ascii="微软雅黑" w:hAnsi="微软雅黑" w:cs="Arial Unicode MS"/>
          <w:kern w:val="2"/>
          <w:sz w:val="21"/>
          <w:szCs w:val="21"/>
        </w:rPr>
      </w:pPr>
      <w:r>
        <w:rPr>
          <w:rFonts w:hint="eastAsia" w:ascii="微软雅黑" w:hAnsi="微软雅黑" w:cs="微软雅黑"/>
          <w:sz w:val="21"/>
          <w:szCs w:val="21"/>
        </w:rPr>
        <w:t>在本次检测范围内，检出体细胞变异：{{ total_variants_count }}个，其中与靶向/免疫药物相关的变异：{{ drug_related_count }}个。（下面红色标注的为有对应靶向/免疫药物的基因变异。）</w:t>
      </w:r>
      <w:r>
        <w:rPr>
          <w:rFonts w:hint="eastAsia" w:ascii="微软雅黑" w:hAnsi="微软雅黑" w:cs="微软雅黑"/>
          <w:sz w:val="21"/>
          <w:szCs w:val="21"/>
          <w:lang w:val="en-US" w:eastAsia="zh-CN"/>
        </w:rPr>
      </w:r>
      <w:r>
        <w:rPr>
          <w:rFonts w:hint="eastAsia" w:ascii="微软雅黑" w:hAnsi="微软雅黑" w:cs="微软雅黑"/>
          <w:sz w:val="21"/>
          <w:szCs w:val="21"/>
        </w:rPr>
      </w:r>
      <w:r>
        <w:rPr>
          <w:rFonts w:hint="eastAsia" w:ascii="微软雅黑" w:hAnsi="微软雅黑" w:cs="微软雅黑"/>
          <w:sz w:val="21"/>
          <w:szCs w:val="21"/>
          <w:lang w:val="en-US" w:eastAsia="zh-CN"/>
        </w:rPr>
      </w:r>
      <w:r>
        <w:rPr>
          <w:rFonts w:hint="eastAsia" w:ascii="微软雅黑" w:hAnsi="微软雅黑" w:cs="微软雅黑"/>
          <w:sz w:val="21"/>
          <w:szCs w:val="21"/>
        </w:rPr>
      </w:r>
      <w:bookmarkStart w:id="177" w:name="KRAS侯"/>
    </w:p>
    <w:bookmarkEnd w:id="177"/>
    <w:p w14:paraId="243891A8">
      <w:pPr>
        <w:spacing w:before="200"/>
        <w:jc w:val="both"/>
        <w:rPr>
          <w:rFonts w:hint="eastAsia" w:ascii="微软雅黑" w:hAnsi="微软雅黑" w:cs="微软雅黑"/>
          <w:b/>
          <w:color w:val="FF0000"/>
          <w:sz w:val="24"/>
          <w:u w:val="single"/>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eastAsia="宋体" w:cs="微软雅黑"/>
          <w:b/>
          <w:color w:val="FF0000"/>
          <w:sz w:val="24"/>
          <w:u w:val="single"/>
        </w:rPr>
        <w:t>TP53</w:t>
      </w:r>
      <w:r>
        <w:rPr>
          <w:rFonts w:ascii="微软雅黑" w:hAnsi="微软雅黑" w:cs="微软雅黑"/>
          <w:b/>
          <w:color w:val="FF0000"/>
          <w:sz w:val="24"/>
          <w:u w:val="single"/>
        </w:rPr>
        <w:t>：</w:t>
      </w:r>
      <w:r>
        <w:rPr>
          <w:rFonts w:hint="eastAsia" w:ascii="微软雅黑" w:hAnsi="微软雅黑" w:cs="微软雅黑"/>
          <w:b/>
          <w:color w:val="FF0000"/>
          <w:sz w:val="24"/>
          <w:u w:val="single"/>
        </w:rPr>
        <w:t>c.844C&gt;T，p.R282W；67.29%</w:t>
      </w:r>
    </w:p>
    <w:p w14:paraId="50CD55D4">
      <w:pPr>
        <w:spacing w:after="0"/>
      </w:pPr>
      <w:r>
        <w:rPr>
          <w:rFonts w:ascii="微软雅黑" w:hAnsi="微软雅黑" w:cs="微软雅黑"/>
          <w:b/>
        </w:rPr>
        <w:t>基因简介：</w:t>
      </w:r>
    </w:p>
    <w:p w14:paraId="6C0691F2">
      <w:pPr>
        <w:spacing w:after="0"/>
        <w:ind w:firstLine="400"/>
        <w:jc w:val="both"/>
        <w:rPr>
          <w:rFonts w:ascii="微软雅黑" w:hAnsi="微软雅黑" w:cs="微软雅黑"/>
          <w:sz w:val="21"/>
        </w:rPr>
      </w:pPr>
      <w:r>
        <w:rPr>
          <w:rFonts w:hint="eastAsia" w:ascii="微软雅黑" w:hAnsi="微软雅黑" w:cs="微软雅黑"/>
          <w:sz w:val="21"/>
        </w:rPr>
        <w:t>TP53基因是重要的抑癌基因之一，其编码蛋白为p53，大约有一半人类肿瘤呈现出TP53的失活突变，其余的恶性肿瘤中通过活化p53抑制因子、降低p53活化因子，使p53信号通路失活。p53通过其在细胞核中转录依赖和胞浆中转录不依赖两种途径发挥抑癌作用。p53作为转录因子可靶向结合特定的DNA序列，使与细胞周期停滞、凋亡、细胞代谢改变等功能相关的基因转录活化。除了细胞核内的活性，p53在胞浆中表现出转录非依赖的生物活性，研究表明细胞质中p53的活化有促进细胞凋亡的作用[19407794]。其作用机制为：DNA受损时，p53蛋白活化DNA修复蛋白并阻滞细胞生长周期的进行[22872685]。当细胞DNA受损严重不能修复时，p53蛋白与特定DNA结合，激活WAF1/CIP1等多种基因，启动细胞凋亡程序，抑制细胞分裂，从而避免携带异常遗传信息的细胞继续生长、分裂[21728981]。</w:t>
      </w:r>
    </w:p>
    <w:p w14:paraId="3C1CACC8">
      <w:pPr>
        <w:spacing w:after="0"/>
      </w:pPr>
      <w:r>
        <w:rPr>
          <w:rFonts w:ascii="微软雅黑" w:hAnsi="微软雅黑" w:cs="微软雅黑"/>
          <w:b/>
        </w:rPr>
        <w:t>基因变异说明：</w:t>
      </w:r>
    </w:p>
    <w:p w14:paraId="62D2B214">
      <w:pPr>
        <w:spacing w:after="0"/>
        <w:ind w:firstLine="400"/>
        <w:jc w:val="both"/>
        <w:rPr>
          <w:rFonts w:ascii="微软雅黑" w:hAnsi="微软雅黑" w:cs="微软雅黑"/>
          <w:sz w:val="21"/>
        </w:rPr>
      </w:pPr>
      <w:r>
        <w:rPr>
          <w:rFonts w:hint="eastAsia" w:ascii="微软雅黑" w:hAnsi="微软雅黑" w:cs="微软雅黑"/>
          <w:sz w:val="21"/>
        </w:rPr>
        <w:t>该样本检出TP53基因c.844C&gt;T，p.R282W错义突变，第844位核苷酸由C突变为T，导致相应蛋白序列中第282位氨基酸由精氨酸突变为色氨酸，此突变在样本中的突变丰度为67.29%。</w:t>
      </w:r>
    </w:p>
    <w:p w14:paraId="4643BAA1">
      <w:pPr>
        <w:spacing w:after="0"/>
      </w:pPr>
      <w:r>
        <w:rPr>
          <w:rFonts w:ascii="微软雅黑" w:hAnsi="微软雅黑" w:cs="微软雅黑"/>
          <w:b/>
        </w:rPr>
        <w:t xml:space="preserve">基因变异解析： </w:t>
      </w:r>
    </w:p>
    <w:p w14:paraId="4DFF7FB7">
      <w:pPr>
        <w:spacing w:after="0"/>
        <w:ind w:firstLine="400"/>
        <w:jc w:val="both"/>
        <w:rPr>
          <w:rFonts w:hint="eastAsia" w:ascii="微软雅黑" w:hAnsi="微软雅黑" w:cs="微软雅黑"/>
          <w:sz w:val="21"/>
        </w:rPr>
      </w:pPr>
      <w:r>
        <w:rPr>
          <w:rFonts w:hint="eastAsia" w:ascii="微软雅黑" w:hAnsi="微软雅黑" w:cs="微软雅黑"/>
          <w:sz w:val="21"/>
        </w:rPr>
        <w:t>TP53基因编码的蛋白p53全长393个氨基酸，包含3个结构域：反式激活结构域（5-29位氨基酸）、DNA结合结构域（95-289位氨基酸）和四聚化结构域（318-359位氨基酸）。根据报道TP53突变主要发生在175、245、248、273和282这五个热点突变密码子区[19810096，10612830，12619105]，而TP53基因的K132、C135、P151、V157、R158、Y163、V173、C176、H179、H193、Y205、Y220、Y234、M237、C238、S241、C242、M246、R249、G266、P278、R280、D281和E285也是较为常见的突变密码子区[19336573]。这些位点均处于p53蛋白的DNA结合结构域，均可能会对蛋白功能产生影响。</w:t>
      </w:r>
      <w:r>
        <w:rPr>
          <w:rFonts w:hint="eastAsia" w:ascii="微软雅黑" w:hAnsi="微软雅黑" w:cs="微软雅黑"/>
          <w:sz w:val="21"/>
        </w:rPr>
        <w:t>该样本检出的p.R282W 突变位于DNA结合结构域</w:t>
      </w:r>
      <w:r>
        <w:rPr>
          <w:rFonts w:hint="eastAsia" w:ascii="微软雅黑" w:hAnsi="微软雅黑" w:cs="微软雅黑"/>
          <w:sz w:val="21"/>
          <w:lang w:eastAsia="zh-CN"/>
        </w:rPr>
        <w:t>，</w:t>
      </w:r>
      <w:r>
        <w:rPr>
          <w:rFonts w:hint="eastAsia" w:ascii="微软雅黑" w:hAnsi="微软雅黑" w:cs="微软雅黑"/>
          <w:sz w:val="21"/>
        </w:rPr>
        <w:t>研究表明，该突变抑制 AMPK 信号传导，导致细胞侵袭性生长，促进小鼠模型中的肿瘤发展[24857548]。</w:t>
      </w:r>
    </w:p>
    <w:p w14:paraId="403D4904">
      <w:pPr>
        <w:spacing w:after="0"/>
        <w:ind w:firstLine="400"/>
        <w:jc w:val="both"/>
        <w:rPr>
          <w:rFonts w:hint="eastAsia" w:ascii="微软雅黑" w:hAnsi="微软雅黑" w:cs="微软雅黑"/>
          <w:b/>
          <w:color w:val="FF0000"/>
          <w:sz w:val="24"/>
          <w:u w:val="single"/>
        </w:rPr>
      </w:pPr>
      <w:r>
        <w:rPr>
          <w:rFonts w:hint="eastAsia" w:ascii="微软雅黑" w:hAnsi="微软雅黑" w:cs="微软雅黑"/>
          <w:sz w:val="21"/>
        </w:rPr>
        <w:t>一项研究在389名Ⅲ期结肠癌患者中检测TP53的突变状态，结果表明TP53的突变频率为33%[26425688]。在一项包含276个结直肠癌样本的分子突变分析研究中，发现165个非高频突变的结直肠癌样本中有59%检测到TP53突变，导致TP53信号通路失活[22810696]，说明TP53在结直肠癌的发生发展中具有重要作用。因此，该样本检出的突变可能与疾病的发生发展相关。</w:t>
      </w:r>
    </w:p>
    <w:p w14:paraId="20131506">
      <w:pPr>
        <w:spacing w:before="200"/>
        <w:jc w:val="both"/>
        <w:rPr>
          <w:rFonts w:hint="eastAsia" w:ascii="微软雅黑" w:hAnsi="微软雅黑" w:cs="微软雅黑"/>
          <w:b/>
          <w:color w:val="FF0000"/>
          <w:sz w:val="24"/>
          <w:u w:val="single"/>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eastAsia="宋体" w:cs="微软雅黑"/>
          <w:b/>
          <w:color w:val="FF0000"/>
          <w:sz w:val="24"/>
          <w:u w:val="single"/>
        </w:rPr>
        <w:t>KRAS</w:t>
      </w:r>
      <w:r>
        <w:rPr>
          <w:rFonts w:ascii="微软雅黑" w:hAnsi="微软雅黑" w:cs="微软雅黑"/>
          <w:b/>
          <w:color w:val="FF0000"/>
          <w:sz w:val="24"/>
          <w:u w:val="single"/>
        </w:rPr>
        <w:t>：</w:t>
      </w:r>
      <w:r>
        <w:rPr>
          <w:rFonts w:hint="eastAsia" w:ascii="微软雅黑" w:hAnsi="微软雅黑" w:cs="微软雅黑"/>
          <w:b/>
          <w:color w:val="FF0000"/>
          <w:sz w:val="24"/>
          <w:u w:val="single"/>
        </w:rPr>
        <w:t>c.34G&gt;A，p.G12S；46.29%</w:t>
      </w:r>
    </w:p>
    <w:p w14:paraId="41D8986D">
      <w:pPr>
        <w:spacing w:after="0"/>
      </w:pPr>
      <w:r>
        <w:rPr>
          <w:rFonts w:ascii="微软雅黑" w:hAnsi="微软雅黑" w:cs="微软雅黑"/>
          <w:b/>
        </w:rPr>
        <w:t>基因简介：</w:t>
      </w:r>
    </w:p>
    <w:p w14:paraId="0A1BA969">
      <w:pPr>
        <w:spacing w:after="0"/>
        <w:ind w:firstLine="400"/>
        <w:jc w:val="both"/>
        <w:rPr>
          <w:rFonts w:ascii="微软雅黑" w:hAnsi="微软雅黑" w:cs="微软雅黑"/>
          <w:sz w:val="21"/>
        </w:rPr>
      </w:pPr>
      <w:r>
        <w:rPr>
          <w:rFonts w:hint="eastAsia" w:ascii="微软雅黑" w:hAnsi="微软雅黑" w:cs="微软雅黑"/>
          <w:sz w:val="21"/>
        </w:rPr>
        <w:t>KRAS基因是致癌基因，属于RAS基因家族成员，编码P21蛋白。该蛋白在MAPK信号通路中起作用，能够与GDP/GTP结合并促进GTP酶活性。当KRAS基因发生突变时不能被水解酶水解失活，而处于持续激活状态，引起RAF/MAPK的上调，传递多种生存通路信号，从而使细胞过度生长、增殖，抵抗EGFR-TKIs的作用。KRAS突变可以导致肺癌、黏蛋白腺瘤、胰腺导管癌和结肠癌等多种恶性肿瘤。KRAS基因被激活最常见的方式是点突变，多发生在N端的第12、13、61和146密码子，其中以第12密码子突变最常见。不同突变位点对P21蛋白的活化机制不同，第12密码子突变可以减弱P21内在的GTP酶活性，并使细胞凋亡减少，细胞间接触抑制减弱。RAS家族基因在癌症中没有可用的药物直接拮抗靶点，主要影响信号通路上下游靶点药物的使用效果，突变主要导致EGFR靶药和BRAF靶药的耐药性。</w:t>
      </w:r>
    </w:p>
    <w:p w14:paraId="2A5782EA">
      <w:pPr>
        <w:spacing w:after="0"/>
      </w:pPr>
      <w:r>
        <w:rPr>
          <w:rFonts w:ascii="微软雅黑" w:hAnsi="微软雅黑" w:cs="微软雅黑"/>
          <w:b/>
        </w:rPr>
        <w:t>基因变异说明：</w:t>
      </w:r>
    </w:p>
    <w:p w14:paraId="4CF37066">
      <w:pPr>
        <w:spacing w:after="0"/>
        <w:ind w:firstLine="400"/>
        <w:jc w:val="both"/>
        <w:rPr>
          <w:rFonts w:ascii="微软雅黑" w:hAnsi="微软雅黑" w:cs="微软雅黑"/>
          <w:sz w:val="21"/>
        </w:rPr>
      </w:pPr>
      <w:r>
        <w:rPr>
          <w:rFonts w:hint="eastAsia" w:ascii="微软雅黑" w:hAnsi="微软雅黑" w:cs="微软雅黑"/>
          <w:sz w:val="21"/>
        </w:rPr>
        <w:t>该样本检出KRAS基因c.34G&gt;A，p.G12S错义突变，第34位核苷酸由G突变为A，导致相应蛋白序列中第12位氨基酸由甘氨酸突变为丝氨酸，此突变在样本中的突变丰度为46.29%。</w:t>
      </w:r>
    </w:p>
    <w:p w14:paraId="64CDA2B2">
      <w:pPr>
        <w:spacing w:after="0"/>
      </w:pPr>
      <w:r>
        <w:rPr>
          <w:rFonts w:ascii="微软雅黑" w:hAnsi="微软雅黑" w:cs="微软雅黑"/>
          <w:b/>
        </w:rPr>
        <w:t xml:space="preserve">基因变异解析： </w:t>
      </w:r>
    </w:p>
    <w:p w14:paraId="45791A43">
      <w:pPr>
        <w:spacing w:after="0"/>
        <w:ind w:firstLine="400"/>
        <w:jc w:val="both"/>
        <w:rPr>
          <w:rFonts w:hint="eastAsia" w:ascii="微软雅黑" w:hAnsi="微软雅黑" w:cs="微软雅黑"/>
          <w:sz w:val="21"/>
        </w:rPr>
      </w:pPr>
      <w:r>
        <w:rPr>
          <w:rFonts w:hint="eastAsia" w:ascii="微软雅黑" w:hAnsi="微软雅黑" w:cs="微软雅黑"/>
          <w:sz w:val="21"/>
        </w:rPr>
        <w:t>KRAS基因编码的蛋白全长为189个氨基酸，主要包含RAS结构域（1-166位氨基酸）。该样本检出的p.G12</w:t>
      </w:r>
      <w:r>
        <w:rPr>
          <w:rFonts w:hint="eastAsia" w:ascii="微软雅黑" w:hAnsi="微软雅黑" w:cs="微软雅黑"/>
          <w:sz w:val="21"/>
          <w:lang w:val="en-US" w:eastAsia="zh-CN"/>
        </w:rPr>
        <w:t>S</w:t>
      </w:r>
      <w:r>
        <w:rPr>
          <w:rFonts w:hint="eastAsia" w:ascii="微软雅黑" w:hAnsi="微软雅黑" w:cs="微软雅黑"/>
          <w:sz w:val="21"/>
        </w:rPr>
        <w:t>突变位于上述结构域</w:t>
      </w:r>
      <w:r>
        <w:rPr>
          <w:rFonts w:hint="eastAsia" w:ascii="微软雅黑" w:hAnsi="微软雅黑" w:cs="微软雅黑"/>
          <w:sz w:val="21"/>
          <w:lang w:val="en-US" w:eastAsia="zh-CN"/>
        </w:rPr>
        <w:t>之</w:t>
      </w:r>
      <w:r>
        <w:rPr>
          <w:rFonts w:hint="eastAsia" w:ascii="微软雅黑" w:hAnsi="微软雅黑" w:cs="微软雅黑"/>
          <w:sz w:val="21"/>
        </w:rPr>
        <w:t>内，为已知激活突变，对蛋白功能有重要影响。</w:t>
      </w:r>
    </w:p>
    <w:p w14:paraId="05B21F62">
      <w:pPr>
        <w:spacing w:after="0"/>
        <w:ind w:firstLine="400"/>
        <w:jc w:val="both"/>
        <w:rPr>
          <w:rFonts w:hint="eastAsia" w:ascii="微软雅黑" w:hAnsi="微软雅黑" w:cs="微软雅黑"/>
          <w:b/>
          <w:color w:val="FF0000"/>
          <w:sz w:val="24"/>
          <w:u w:val="single"/>
        </w:rPr>
      </w:pPr>
      <w:r>
        <w:rPr>
          <w:rFonts w:hint="eastAsia" w:ascii="微软雅黑" w:hAnsi="微软雅黑" w:cs="微软雅黑"/>
          <w:sz w:val="21"/>
        </w:rPr>
        <w:t>KRAS突变在人体肿瘤发生过程中起着重要的作用，并在胰腺癌、甲状腺癌、结直肠癌和肺癌中普遍存在[23066310]。研究显示，大约有35%-45%的结直肠癌患者携带原癌基因KRAS的突变。常见的KRAS突变多发生在N端第12、13、61和第146号密码子。这些突变会导致KRAS蛋白处于激活状态，并激活下游的信号通路，且已被证实是anti-EGFR抗体药物（如西妥昔单抗、帕尼单抗）耐药的标志[20100961]。因此，该样本检出的突变可能与疾病的发生发展</w:t>
      </w:r>
      <w:r>
        <w:rPr>
          <w:rFonts w:hint="eastAsia" w:ascii="微软雅黑" w:hAnsi="微软雅黑" w:cs="微软雅黑"/>
          <w:sz w:val="21"/>
          <w:lang w:val="en-US" w:eastAsia="zh-CN"/>
        </w:rPr>
        <w:t>及用药</w:t>
      </w:r>
      <w:r>
        <w:rPr>
          <w:rFonts w:hint="eastAsia" w:ascii="微软雅黑" w:hAnsi="微软雅黑" w:cs="微软雅黑"/>
          <w:sz w:val="21"/>
        </w:rPr>
        <w:t>相关。</w:t>
      </w:r>
    </w:p>
    <w:p w14:paraId="6E8559E3">
      <w:pPr>
        <w:spacing w:before="200"/>
        <w:jc w:val="both"/>
        <w:rPr>
          <w:rFonts w:ascii="微软雅黑" w:hAnsi="微软雅黑" w:cs="微软雅黑"/>
          <w:sz w:val="21"/>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cs="微软雅黑"/>
          <w:b/>
          <w:color w:val="0000FF"/>
          <w:sz w:val="24"/>
          <w:u w:val="single"/>
        </w:rPr>
        <w:t>APC：c.4348C&gt;T，p.R1450*；41.12%</w:t>
      </w:r>
    </w:p>
    <w:p w14:paraId="20B44021">
      <w:pPr>
        <w:spacing w:after="0"/>
      </w:pPr>
      <w:r>
        <w:rPr>
          <w:rFonts w:ascii="微软雅黑" w:hAnsi="微软雅黑" w:cs="微软雅黑"/>
          <w:b/>
        </w:rPr>
        <w:t>基因简介：</w:t>
      </w:r>
    </w:p>
    <w:p w14:paraId="38BA68E0">
      <w:pPr>
        <w:spacing w:after="0"/>
        <w:ind w:firstLine="400"/>
        <w:jc w:val="both"/>
        <w:rPr>
          <w:rFonts w:ascii="微软雅黑" w:hAnsi="微软雅黑" w:cs="微软雅黑"/>
          <w:sz w:val="21"/>
        </w:rPr>
      </w:pPr>
      <w:r>
        <w:rPr>
          <w:rFonts w:hint="eastAsia" w:ascii="微软雅黑" w:hAnsi="微软雅黑" w:cs="微软雅黑"/>
          <w:sz w:val="21"/>
        </w:rPr>
        <w:t>APC基因能够编码肿瘤抑制蛋白，并在经典WNT信号通路中起拮抗作用，APC作为β-链蛋白（β-catenin）信号传导的负调节因子，与β-链蛋白的稳定性密切相关。β-链蛋白参与E-钙粘蛋白细胞粘附系统和Wnt信号传导途径[10959075]。APC基因突变导致其不能有效地与β-catenin、GSK-3β和Axin结合而形成复合物，失去了调节表达水平的能力，信号通路下游相关基因转录激活，从而导致细胞增殖异常和肿瘤的发生。研究显示，APC突变在胰腺癌、胃癌中也频繁发生，可能与其疾病的发生发展相关[1338691，12378616，1423316]。对APC的功能研究还发现APC通过其基本结构域与微管细胞骨架结合，参与细胞迁移过程。有助于微管网络的组装和重组，这与细胞分裂密切相关。APC可以间接调节肌动蛋白丝网络的组织，并因此影响细胞形态、极性和迁移[8033082，8698812]。APC-hDLG复合物形成在APC细胞周期阻断信号转导中起重要作用[10656683]。</w:t>
      </w:r>
    </w:p>
    <w:p w14:paraId="37D81575">
      <w:pPr>
        <w:spacing w:after="0"/>
      </w:pPr>
      <w:r>
        <w:rPr>
          <w:rFonts w:ascii="微软雅黑" w:hAnsi="微软雅黑" w:cs="微软雅黑"/>
          <w:b/>
        </w:rPr>
        <w:t>基因变异说明：</w:t>
      </w:r>
    </w:p>
    <w:p w14:paraId="5DB70BD0">
      <w:pPr>
        <w:spacing w:after="0"/>
        <w:ind w:firstLine="400"/>
        <w:jc w:val="both"/>
        <w:rPr>
          <w:rFonts w:ascii="微软雅黑" w:hAnsi="微软雅黑" w:cs="微软雅黑"/>
          <w:sz w:val="21"/>
        </w:rPr>
      </w:pPr>
      <w:r>
        <w:rPr>
          <w:rFonts w:hint="eastAsia" w:ascii="微软雅黑" w:hAnsi="微软雅黑" w:cs="微软雅黑"/>
          <w:sz w:val="21"/>
        </w:rPr>
        <w:t>该样本检出APC基因c.4348C&gt;T，p.R1450*无义突变，第4348位核苷酸由C突变为T，导致相应蛋白序列中第1450位氨基酸由精氨酸突变为终止密码子，此突变在样本中的突变丰度为41.12%。</w:t>
      </w:r>
    </w:p>
    <w:p w14:paraId="40C2F624">
      <w:pPr>
        <w:spacing w:after="0"/>
      </w:pPr>
      <w:r>
        <w:rPr>
          <w:rFonts w:ascii="微软雅黑" w:hAnsi="微软雅黑" w:cs="微软雅黑"/>
          <w:b/>
        </w:rPr>
        <w:t xml:space="preserve">基因变异解析： </w:t>
      </w:r>
    </w:p>
    <w:p w14:paraId="3E7C71F6">
      <w:pPr>
        <w:spacing w:after="0"/>
        <w:ind w:firstLine="400"/>
        <w:jc w:val="both"/>
        <w:rPr>
          <w:rFonts w:hint="eastAsia" w:ascii="微软雅黑" w:hAnsi="微软雅黑" w:cs="微软雅黑"/>
          <w:sz w:val="21"/>
        </w:rPr>
      </w:pPr>
      <w:r>
        <w:rPr>
          <w:rFonts w:hint="eastAsia" w:ascii="微软雅黑" w:hAnsi="微软雅黑" w:cs="微软雅黑"/>
          <w:sz w:val="21"/>
        </w:rPr>
        <w:t>APC基因编码的蛋白全长为2843个氨基酸，主要包含2个卷曲螺旋结构域（2-59位、1869-1893位氨基酸）、1个Suppressor_APC结构域（126-208位氨基酸）、6个ARM结构域（340-392位、459-510位、512-553位、556-597位、599-644位和649-689位氨基酸）、1个Armadillo/beta-catenin-like repeat结构域（691-731位氨基酸）、4个APC_15aa结构域、7个APC_crr结构域、3个SAMP结构域、1个APC基础结构域（2223-2579位氨基酸）以及1个EB-1结合结构域（2670-2843位氨基酸）。该样本检出的p.R1450*突变导致蛋白翻译提前终止，产生截短的蛋白，可能导致蛋白功能缺失。</w:t>
      </w:r>
    </w:p>
    <w:p w14:paraId="4C034EC9">
      <w:pPr>
        <w:spacing w:after="0"/>
        <w:ind w:firstLine="400"/>
        <w:jc w:val="both"/>
        <w:rPr>
          <w:rFonts w:hint="eastAsia" w:ascii="微软雅黑" w:hAnsi="微软雅黑" w:cs="微软雅黑"/>
          <w:sz w:val="21"/>
        </w:rPr>
      </w:pPr>
      <w:r>
        <w:rPr>
          <w:rFonts w:hint="eastAsia" w:ascii="微软雅黑" w:hAnsi="微软雅黑" w:cs="微软雅黑"/>
          <w:sz w:val="21"/>
        </w:rPr>
        <w:t>APC作为看家基因，参与DNA修复，它的突变会导致DNA修复减缓，增加周边其它细胞突变的风险，从而促进癌症的进展[24200292]。有研究表明，结直肠癌患者存在APC基因缺失，从而导致Wnt信号通路失调和C-Myc的反式激活，是潜在的治疗靶点[18593890]。</w:t>
      </w:r>
      <w:r>
        <w:rPr>
          <w:rFonts w:hint="eastAsia" w:ascii="微软雅黑" w:hAnsi="微软雅黑" w:cs="Arial Unicode MS"/>
          <w:kern w:val="2"/>
          <w:sz w:val="21"/>
          <w:szCs w:val="21"/>
          <w:lang w:val="en-US" w:eastAsia="zh-CN"/>
        </w:rPr>
        <w:t>因此，该样本检出的突变可能与疾病的发生发展相关。</w:t>
      </w:r>
      <w:r>
        <w:rPr>
          <w:rFonts w:hint="eastAsia" w:ascii="微软雅黑" w:hAnsi="微软雅黑" w:cs="微软雅黑"/>
          <w:sz w:val="21"/>
        </w:rPr>
        <w:t xml:space="preserve">  </w:t>
      </w:r>
    </w:p>
    <w:p w14:paraId="664D8C6F">
      <w:pPr>
        <w:spacing w:before="200"/>
        <w:jc w:val="both"/>
        <w:rPr>
          <w:rFonts w:ascii="微软雅黑" w:hAnsi="微软雅黑" w:cs="微软雅黑"/>
          <w:sz w:val="21"/>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cs="微软雅黑"/>
          <w:b/>
          <w:color w:val="0000FF"/>
          <w:sz w:val="24"/>
          <w:u w:val="single"/>
        </w:rPr>
        <w:t>APC：c.2387_2388del，p.Y796Wfs*2；37.52%</w:t>
      </w:r>
    </w:p>
    <w:p w14:paraId="07F959AF">
      <w:pPr>
        <w:spacing w:after="0"/>
      </w:pPr>
      <w:r>
        <w:rPr>
          <w:rFonts w:ascii="微软雅黑" w:hAnsi="微软雅黑" w:cs="微软雅黑"/>
          <w:b/>
        </w:rPr>
        <w:t>基因简介：</w:t>
      </w:r>
    </w:p>
    <w:p w14:paraId="2321AE8A">
      <w:pPr>
        <w:spacing w:after="0"/>
        <w:ind w:firstLine="400"/>
        <w:jc w:val="both"/>
        <w:rPr>
          <w:rFonts w:ascii="微软雅黑" w:hAnsi="微软雅黑" w:cs="微软雅黑"/>
          <w:sz w:val="21"/>
        </w:rPr>
      </w:pPr>
      <w:r>
        <w:rPr>
          <w:rFonts w:hint="eastAsia" w:ascii="微软雅黑" w:hAnsi="微软雅黑" w:cs="微软雅黑"/>
          <w:sz w:val="21"/>
        </w:rPr>
        <w:t>APC基因能够编码肿瘤抑制蛋白，并在经典WNT信号通路中起拮抗作用，APC作为β-链蛋白（β-catenin）信号传导的负调节因子，与β-链蛋白的稳定性密切相关。β-链蛋白参与E-钙粘蛋白细胞粘附系统和Wnt信号传导途径[10959075]。APC基因突变导致其不能有效地与β-catenin、GSK-3β和Axin结合而形成复合物，失去了调节表达水平的能力，信号通路下游相关基因转录激活，从而导致细胞增殖异常和肿瘤的发生。研究显示，APC突变在胰腺癌、胃癌中也频繁发生，可能与其疾病的发生发展相关[1338691，12378616，1423316]。对APC的功能研究还发现APC通过其基本结构域与微管细胞骨架结合，参与细胞迁移过程。有助于微管网络的组装和重组，这与细胞分裂密切相关。APC可以间接调节肌动蛋白丝网络的组织，并因此影响细胞形态、极性和迁移[8033082，8698812]。APC-hDLG复合物形成在APC细胞周期阻断信号转导中起重要作用[10656683]。</w:t>
      </w:r>
    </w:p>
    <w:p w14:paraId="716B65A7">
      <w:pPr>
        <w:spacing w:after="0"/>
      </w:pPr>
      <w:r>
        <w:rPr>
          <w:rFonts w:ascii="微软雅黑" w:hAnsi="微软雅黑" w:cs="微软雅黑"/>
          <w:b/>
        </w:rPr>
        <w:t>基因变异说明：</w:t>
      </w:r>
    </w:p>
    <w:p w14:paraId="4339EAC3">
      <w:pPr>
        <w:spacing w:after="0"/>
        <w:ind w:firstLine="400"/>
        <w:jc w:val="both"/>
        <w:rPr>
          <w:rFonts w:ascii="微软雅黑" w:hAnsi="微软雅黑" w:cs="微软雅黑"/>
          <w:sz w:val="21"/>
        </w:rPr>
      </w:pPr>
      <w:r>
        <w:rPr>
          <w:rFonts w:hint="eastAsia" w:ascii="微软雅黑" w:hAnsi="微软雅黑" w:cs="微软雅黑"/>
          <w:sz w:val="21"/>
        </w:rPr>
        <w:t>该样本检出APC基因c.2387_2388del，p.Y796Wfs*2碱基缺失引起的移码突变，第2387位至第2388位核苷酸缺失，导致相应蛋白序列中第796位氨基酸由酪氨酸突变为色氨酸，并开始发生移码，于此后第2位氨基酸处翻译终止，此突变在样本中的突变丰度为37.52%。</w:t>
      </w:r>
    </w:p>
    <w:p w14:paraId="547DAF2E">
      <w:pPr>
        <w:spacing w:after="0"/>
      </w:pPr>
      <w:r>
        <w:rPr>
          <w:rFonts w:ascii="微软雅黑" w:hAnsi="微软雅黑" w:cs="微软雅黑"/>
          <w:b/>
        </w:rPr>
        <w:t xml:space="preserve">基因变异解析： </w:t>
      </w:r>
    </w:p>
    <w:p w14:paraId="0DB53F77">
      <w:pPr>
        <w:spacing w:after="0"/>
        <w:ind w:firstLine="400"/>
        <w:jc w:val="both"/>
        <w:rPr>
          <w:rFonts w:hint="eastAsia" w:ascii="微软雅黑" w:hAnsi="微软雅黑" w:cs="微软雅黑"/>
          <w:sz w:val="21"/>
        </w:rPr>
      </w:pPr>
      <w:r>
        <w:rPr>
          <w:rFonts w:hint="eastAsia" w:ascii="微软雅黑" w:hAnsi="微软雅黑" w:cs="微软雅黑"/>
          <w:sz w:val="21"/>
        </w:rPr>
        <w:t>APC基因编码的蛋白全长为2843个氨基酸，主要包含2个卷曲螺旋结构域（2-59位、1869-1893位氨基酸）、1个Suppressor_APC结构域（126-208位氨基酸）、6个ARM结构域（340-392位、459-510位、512-553位、556-597位、599-644位和649-689位氨基酸）、1个Armadillo/beta-catenin-like repeat结构域（691-731位氨基酸）、4个APC_15aa结构域、7个APC_crr结构域、3个SAMP结构域、1个APC基础结构域（2223-2579位氨基酸）以及1个EB-1结合结构域（2670-2843位氨基酸）。该样本检出的p.Y796Wfs*2突变导致蛋白翻译提前终止，产生截短的蛋白，可能导致蛋白功能缺失。</w:t>
      </w:r>
    </w:p>
    <w:p w14:paraId="455FFDDD">
      <w:pPr>
        <w:spacing w:after="0"/>
        <w:ind w:firstLine="400"/>
        <w:jc w:val="both"/>
        <w:rPr>
          <w:rFonts w:hint="eastAsia" w:ascii="微软雅黑" w:hAnsi="微软雅黑" w:cs="微软雅黑"/>
          <w:sz w:val="21"/>
        </w:rPr>
      </w:pPr>
      <w:r>
        <w:rPr>
          <w:rFonts w:hint="eastAsia" w:ascii="微软雅黑" w:hAnsi="微软雅黑" w:cs="微软雅黑"/>
          <w:sz w:val="21"/>
        </w:rPr>
        <w:t>APC作为看家基因，参与DNA修复，它的突变会导致DNA修复减缓，增加周边其它细胞突变的风险，从而促进癌症的进展[24200292]。有研究表明，结直肠癌患者存在APC基因缺失，从而导致Wnt信号通路失调和C-Myc的反式激活，是潜在的治疗靶点[18593890]。</w:t>
      </w:r>
      <w:r>
        <w:rPr>
          <w:rFonts w:hint="eastAsia" w:ascii="微软雅黑" w:hAnsi="微软雅黑" w:cs="Arial Unicode MS"/>
          <w:kern w:val="2"/>
          <w:sz w:val="21"/>
          <w:szCs w:val="21"/>
          <w:lang w:val="en-US" w:eastAsia="zh-CN"/>
        </w:rPr>
        <w:t>因此，该样本检出的突变可能与疾病的发生发展相关。</w:t>
      </w:r>
      <w:r>
        <w:rPr>
          <w:rFonts w:hint="eastAsia" w:ascii="微软雅黑" w:hAnsi="微软雅黑" w:cs="微软雅黑"/>
          <w:sz w:val="21"/>
        </w:rPr>
        <w:t xml:space="preserve">  </w:t>
      </w:r>
    </w:p>
    <w:p w14:paraId="503F804B">
      <w:pPr>
        <w:spacing w:before="200"/>
        <w:jc w:val="both"/>
        <w:rPr>
          <w:rFonts w:hint="eastAsia" w:ascii="微软雅黑" w:hAnsi="微软雅黑" w:cs="微软雅黑"/>
          <w:b/>
          <w:color w:val="FF0000"/>
          <w:sz w:val="24"/>
          <w:u w:val="single"/>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eastAsia="宋体" w:cs="微软雅黑"/>
          <w:b/>
          <w:color w:val="FF0000"/>
          <w:sz w:val="24"/>
          <w:u w:val="single"/>
        </w:rPr>
        <w:t>SETD2</w:t>
      </w:r>
      <w:r>
        <w:rPr>
          <w:rFonts w:ascii="微软雅黑" w:hAnsi="微软雅黑" w:cs="微软雅黑"/>
          <w:b/>
          <w:color w:val="FF0000"/>
          <w:sz w:val="24"/>
          <w:u w:val="single"/>
        </w:rPr>
        <w:t>：</w:t>
      </w:r>
      <w:r>
        <w:rPr>
          <w:rFonts w:hint="eastAsia" w:ascii="微软雅黑" w:hAnsi="微软雅黑" w:cs="微软雅黑"/>
          <w:b/>
          <w:color w:val="FF0000"/>
          <w:sz w:val="24"/>
          <w:u w:val="single"/>
        </w:rPr>
        <w:t>c.4930G&gt;T，p.G1644*；22.15%</w:t>
      </w:r>
    </w:p>
    <w:p w14:paraId="6FFBAC27">
      <w:pPr>
        <w:spacing w:after="0"/>
      </w:pPr>
      <w:r>
        <w:rPr>
          <w:rFonts w:ascii="微软雅黑" w:hAnsi="微软雅黑" w:cs="微软雅黑"/>
          <w:b/>
        </w:rPr>
        <w:t>基因简介：</w:t>
      </w:r>
    </w:p>
    <w:p w14:paraId="48F51615">
      <w:pPr>
        <w:spacing w:after="0"/>
        <w:ind w:firstLine="420" w:firstLineChars="200"/>
        <w:jc w:val="both"/>
        <w:outlineLvl w:val="9"/>
        <w:rPr>
          <w:rFonts w:hint="eastAsia" w:ascii="微软雅黑" w:hAnsi="微软雅黑" w:cs="Arial Unicode MS"/>
          <w:kern w:val="2"/>
          <w:sz w:val="21"/>
          <w:szCs w:val="21"/>
        </w:rPr>
      </w:pPr>
      <w:r>
        <w:rPr>
          <w:rFonts w:hint="eastAsia" w:ascii="微软雅黑" w:hAnsi="微软雅黑" w:cs="Arial Unicode MS"/>
          <w:kern w:val="2"/>
          <w:sz w:val="21"/>
          <w:szCs w:val="21"/>
        </w:rPr>
        <w:t>SETD2基因又名KMT3A或HYPB，该基因编码的蛋白是一个含有SET结构域的组蛋白H3K36特异性三甲基转移酶，最早是由人造血干细胞分离的，也是与亨廷顿病的发病机制相关的蛋白[9700202]。在人体中，SETD2是H3K36唯一的三甲基转移酶，参与调节H3K36三甲基化过程（H3K36me3）[12730288</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rPr>
        <w:t>18157086]。SETD2蛋白主要包含WW结构域和AWS-SET-postSET三联结构域，负责与H3K36的特异性结合发挥甲基转移酶活性；保守的低电荷区域( low charge region) ，被认为是富有谷氨酰胺和脯氨酸的转录激活结构域；SETD2通过羧基端与高度磷酸化的RNA聚合酶Ⅱ相结合[16118227</w:t>
      </w:r>
      <w:r>
        <w:rPr>
          <w:rFonts w:hint="eastAsia" w:ascii="微软雅黑" w:hAnsi="微软雅黑" w:cs="Arial Unicode MS"/>
          <w:kern w:val="2"/>
          <w:sz w:val="21"/>
          <w:szCs w:val="21"/>
          <w:lang w:val="en-US" w:eastAsia="zh-CN"/>
        </w:rPr>
        <w:t>]</w:t>
      </w:r>
      <w:r>
        <w:rPr>
          <w:rFonts w:hint="eastAsia" w:ascii="微软雅黑" w:hAnsi="微软雅黑" w:cs="Arial Unicode MS"/>
          <w:kern w:val="2"/>
          <w:sz w:val="21"/>
          <w:szCs w:val="21"/>
        </w:rPr>
        <w:t>。因此SETD2可能是组蛋白甲基化修饰与基因转录调控之间的桥梁。SETD2通过抑制转录起始、激活转录因子p53、参与DNA修复过程和对细胞凋亡基因的调节等防止肿瘤的发生。目前，已在肾透明细胞癌、结直肠癌、乳腺癌、急性淋巴细胞性白血病和晚期脑胶质细胞瘤等多种肿瘤中发现SETD2基因发生突变，而绝大多数突变导致H3K36me3水平降低，表明SETD2的突变导致其编码蛋白失活[20501857</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rPr>
        <w:t>20944102</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rPr>
        <w:t>24509477]。</w:t>
      </w:r>
    </w:p>
    <w:p w14:paraId="5702E89C">
      <w:pPr>
        <w:spacing w:after="0"/>
      </w:pPr>
      <w:r>
        <w:rPr>
          <w:rFonts w:ascii="微软雅黑" w:hAnsi="微软雅黑" w:cs="微软雅黑"/>
          <w:b/>
        </w:rPr>
        <w:t>基因变异说明：</w:t>
      </w:r>
    </w:p>
    <w:p w14:paraId="6139506B">
      <w:pPr>
        <w:spacing w:after="0"/>
        <w:ind w:firstLine="400"/>
        <w:jc w:val="both"/>
        <w:rPr>
          <w:rFonts w:ascii="微软雅黑" w:hAnsi="微软雅黑" w:cs="微软雅黑"/>
          <w:sz w:val="21"/>
        </w:rPr>
      </w:pPr>
      <w:r>
        <w:rPr>
          <w:rFonts w:hint="eastAsia" w:ascii="微软雅黑" w:hAnsi="微软雅黑" w:cs="微软雅黑"/>
          <w:sz w:val="21"/>
        </w:rPr>
        <w:t>该样本检出SETD2基因c.4930G&gt;T，p.G1644*无义突变，第4930位核苷酸由G突变为T，导致相应蛋白序列中第1644位氨基酸由甘氨酸突变为终止密码子，此突变在样本中的突变丰度为22.15%。</w:t>
      </w:r>
    </w:p>
    <w:p w14:paraId="638F7D83">
      <w:pPr>
        <w:spacing w:after="0"/>
      </w:pPr>
      <w:r>
        <w:rPr>
          <w:rFonts w:ascii="微软雅黑" w:hAnsi="微软雅黑" w:cs="微软雅黑"/>
          <w:b/>
        </w:rPr>
        <w:t xml:space="preserve">基因变异解析： </w:t>
      </w:r>
    </w:p>
    <w:p w14:paraId="0BF9D77D">
      <w:pPr>
        <w:numPr>
          <w:ilvl w:val="-1"/>
          <w:numId w:val="0"/>
        </w:numPr>
        <w:spacing w:before="0" w:beforeLines="-2147483648" w:after="0" w:afterLines="-2147483648"/>
        <w:ind w:left="0" w:leftChars="0" w:firstLine="420" w:firstLineChars="200"/>
        <w:jc w:val="both"/>
        <w:outlineLvl w:val="9"/>
        <w:rPr>
          <w:rFonts w:hint="eastAsia" w:ascii="微软雅黑" w:hAnsi="微软雅黑" w:cs="Arial Unicode MS"/>
          <w:b w:val="0"/>
          <w:bCs w:val="0"/>
          <w:kern w:val="2"/>
          <w:sz w:val="21"/>
          <w:szCs w:val="21"/>
          <w:highlight w:val="none"/>
          <w:lang w:val="en-US" w:eastAsia="zh-CN"/>
        </w:rPr>
      </w:pPr>
      <w:r>
        <w:rPr>
          <w:rFonts w:hint="eastAsia" w:ascii="微软雅黑" w:hAnsi="微软雅黑" w:cs="Arial Unicode MS"/>
          <w:kern w:val="2"/>
          <w:sz w:val="21"/>
          <w:szCs w:val="21"/>
          <w:highlight w:val="none"/>
        </w:rPr>
        <w:t>SETD2</w:t>
      </w:r>
      <w:r>
        <w:rPr>
          <w:rFonts w:hint="eastAsia" w:ascii="微软雅黑" w:hAnsi="微软雅黑" w:cs="Arial Unicode MS"/>
          <w:kern w:val="2"/>
          <w:sz w:val="21"/>
          <w:szCs w:val="21"/>
          <w:highlight w:val="none"/>
          <w:lang w:eastAsia="zh-CN"/>
        </w:rPr>
        <w:t>基因编码的蛋</w:t>
      </w:r>
      <w:r>
        <w:rPr>
          <w:rFonts w:hint="eastAsia" w:ascii="微软雅黑" w:hAnsi="微软雅黑" w:cs="Arial Unicode MS"/>
          <w:kern w:val="2"/>
          <w:sz w:val="21"/>
          <w:szCs w:val="21"/>
          <w:lang w:eastAsia="zh-CN"/>
        </w:rPr>
        <w:t>白</w:t>
      </w:r>
      <w:r>
        <w:rPr>
          <w:rFonts w:hint="eastAsia" w:ascii="微软雅黑" w:hAnsi="微软雅黑" w:cs="Arial Unicode MS"/>
          <w:kern w:val="2"/>
          <w:sz w:val="21"/>
          <w:szCs w:val="21"/>
          <w:lang w:val="en-US" w:eastAsia="zh-CN"/>
        </w:rPr>
        <w:t>全长为2564个氨基酸，</w:t>
      </w:r>
      <w:r>
        <w:rPr>
          <w:rFonts w:hint="eastAsia" w:ascii="微软雅黑" w:hAnsi="微软雅黑" w:cs="Arial Unicode MS"/>
          <w:kern w:val="2"/>
          <w:sz w:val="21"/>
          <w:szCs w:val="21"/>
          <w:lang w:eastAsia="zh-CN"/>
        </w:rPr>
        <w:t>主要包含</w:t>
      </w:r>
      <w:r>
        <w:rPr>
          <w:rFonts w:hint="eastAsia" w:ascii="微软雅黑" w:hAnsi="微软雅黑" w:cs="Arial Unicode MS"/>
          <w:kern w:val="2"/>
          <w:sz w:val="21"/>
          <w:szCs w:val="21"/>
          <w:lang w:val="en-US" w:eastAsia="zh-CN"/>
        </w:rPr>
        <w:t>AWS结构域（第1494-1549位氨基酸）、SET结构域（第1550-1673位氨基酸）和SRI结构域（第2465-2559位氨基酸）。</w:t>
      </w:r>
      <w:r>
        <w:rPr>
          <w:rFonts w:hint="eastAsia" w:ascii="微软雅黑" w:hAnsi="微软雅黑" w:cs="Arial Unicode MS"/>
          <w:b w:val="0"/>
          <w:bCs w:val="0"/>
          <w:kern w:val="2"/>
          <w:sz w:val="21"/>
          <w:szCs w:val="21"/>
          <w:highlight w:val="none"/>
          <w:lang w:val="en-US" w:eastAsia="zh-CN"/>
        </w:rPr>
        <w:t>该样本检出的</w:t>
      </w:r>
      <w:r>
        <w:rPr>
          <w:rFonts w:hint="eastAsia" w:ascii="微软雅黑" w:hAnsi="微软雅黑" w:cs="微软雅黑"/>
          <w:sz w:val="21"/>
        </w:rPr>
        <w:t>p.G1644*</w:t>
      </w:r>
      <w:r>
        <w:rPr>
          <w:rFonts w:hint="eastAsia" w:ascii="微软雅黑" w:hAnsi="微软雅黑" w:cs="Arial Unicode MS"/>
          <w:kern w:val="2"/>
          <w:sz w:val="21"/>
          <w:szCs w:val="21"/>
          <w:highlight w:val="none"/>
          <w:lang w:eastAsia="zh-CN"/>
        </w:rPr>
        <w:t>突变导致蛋白翻译提前终止</w:t>
      </w:r>
      <w:r>
        <w:rPr>
          <w:rFonts w:hint="eastAsia" w:ascii="微软雅黑" w:hAnsi="微软雅黑" w:cs="Arial Unicode MS"/>
          <w:b w:val="0"/>
          <w:bCs w:val="0"/>
          <w:kern w:val="2"/>
          <w:sz w:val="21"/>
          <w:szCs w:val="21"/>
          <w:highlight w:val="none"/>
          <w:lang w:val="en-US" w:eastAsia="zh-CN"/>
        </w:rPr>
        <w:t>，产生截短的蛋白，可能导致蛋白功能缺失。</w:t>
      </w:r>
    </w:p>
    <w:p w14:paraId="6C5D8E05">
      <w:pPr>
        <w:numPr>
          <w:ilvl w:val="-1"/>
          <w:numId w:val="0"/>
        </w:numPr>
        <w:spacing w:before="0" w:beforeLines="-2147483648" w:after="0" w:afterLines="-2147483648"/>
        <w:ind w:left="0" w:leftChars="0" w:firstLine="420" w:firstLineChars="200"/>
        <w:jc w:val="both"/>
        <w:outlineLvl w:val="9"/>
        <w:rPr>
          <w:rFonts w:hint="eastAsia" w:ascii="微软雅黑" w:hAnsi="微软雅黑" w:cs="Arial Unicode MS"/>
          <w:kern w:val="2"/>
          <w:sz w:val="21"/>
          <w:szCs w:val="21"/>
          <w:lang w:val="en-US" w:eastAsia="zh-CN"/>
        </w:rPr>
      </w:pPr>
      <w:r>
        <w:rPr>
          <w:rFonts w:hint="eastAsia" w:ascii="微软雅黑" w:hAnsi="微软雅黑" w:cs="Arial Unicode MS"/>
          <w:kern w:val="2"/>
          <w:sz w:val="21"/>
          <w:szCs w:val="21"/>
          <w:lang w:val="en-US" w:eastAsia="zh-CN"/>
        </w:rPr>
        <w:t>有研究表明，SETD2缺失与WEE1抑制剂具有“合成致死”作用[29955114]。因此，该样本检出的突变可能与疾病的发生发展及用药相关。</w:t>
      </w:r>
    </w:p>
    <w:p w14:paraId="02C2BA7A">
      <w:pPr>
        <w:spacing w:before="200"/>
        <w:jc w:val="both"/>
        <w:rPr>
          <w:rFonts w:ascii="微软雅黑" w:hAnsi="微软雅黑" w:cs="微软雅黑"/>
          <w:sz w:val="21"/>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cs="微软雅黑"/>
          <w:b/>
          <w:color w:val="0000FF"/>
          <w:sz w:val="24"/>
          <w:u w:val="single"/>
        </w:rPr>
        <w:t>EPHA2：c.153+2T&gt;C；3.33%</w:t>
      </w:r>
    </w:p>
    <w:p w14:paraId="31DFD8D9">
      <w:pPr>
        <w:spacing w:after="0"/>
      </w:pPr>
      <w:r>
        <w:rPr>
          <w:rFonts w:ascii="微软雅黑" w:hAnsi="微软雅黑" w:cs="微软雅黑"/>
          <w:b/>
        </w:rPr>
        <w:t>基因简介：</w:t>
      </w:r>
    </w:p>
    <w:p w14:paraId="7A2AC3E0">
      <w:pPr>
        <w:keepNext w:val="0"/>
        <w:keepLines w:val="0"/>
        <w:pageBreakBefore w:val="0"/>
        <w:widowControl/>
        <w:kinsoku/>
        <w:wordWrap/>
        <w:overflowPunct/>
        <w:topLinePunct w:val="0"/>
        <w:autoSpaceDE/>
        <w:autoSpaceDN/>
        <w:bidi w:val="0"/>
        <w:adjustRightInd w:val="0"/>
        <w:snapToGrid w:val="0"/>
        <w:spacing w:after="0"/>
        <w:ind w:firstLine="420" w:firstLineChars="200"/>
        <w:jc w:val="both"/>
        <w:textAlignment w:val="auto"/>
        <w:rPr>
          <w:rFonts w:hint="eastAsia" w:ascii="微软雅黑" w:hAnsi="微软雅黑" w:cs="Arial Unicode MS"/>
          <w:kern w:val="2"/>
          <w:sz w:val="21"/>
          <w:szCs w:val="21"/>
          <w:highlight w:val="none"/>
        </w:rPr>
      </w:pPr>
      <w:r>
        <w:rPr>
          <w:rFonts w:hint="eastAsia" w:ascii="微软雅黑" w:hAnsi="微软雅黑" w:cs="Arial Unicode MS"/>
          <w:kern w:val="2"/>
          <w:sz w:val="21"/>
          <w:szCs w:val="21"/>
          <w:highlight w:val="none"/>
        </w:rPr>
        <w:t>EPHA2是EPH亚家族的成员之一，编码蛋白含有一个976个氨基酸多肽，相对分子质量为130000，为膜结合Ⅰ型糖蛋白。研究表明，EPHA2广泛高表达于许多肿瘤组织中，包括乳腺癌、脑癌、前列腺癌、非小细胞肺癌和结肠癌等[28165374]。对大肠癌的研究发现，EPHA2在癌组织中高表达，并与肿瘤组织血管形成呈正相关。EPHA2能促进肿瘤血管内皮细胞的迁移，并通过影响细胞骨架、基质粘附和细胞粘附而促进毛细血管结构的形成。EPHA2在内皮和卵巢癌细胞中的过表达与涉及血管发生和侵袭的关键因素密切相关。这些结果表明EPHA2过表达的患者的临床结局通常较差[17154180]。</w:t>
      </w:r>
    </w:p>
    <w:p w14:paraId="55922ACA">
      <w:pPr>
        <w:spacing w:after="0"/>
      </w:pPr>
      <w:r>
        <w:rPr>
          <w:rFonts w:ascii="微软雅黑" w:hAnsi="微软雅黑" w:cs="微软雅黑"/>
          <w:b/>
        </w:rPr>
        <w:t>基因变异说明：</w:t>
      </w:r>
    </w:p>
    <w:p w14:paraId="0DD5ECB4">
      <w:pPr>
        <w:spacing w:after="0"/>
        <w:ind w:firstLine="400"/>
        <w:jc w:val="both"/>
        <w:rPr>
          <w:rFonts w:ascii="微软雅黑" w:hAnsi="微软雅黑" w:cs="微软雅黑"/>
          <w:sz w:val="21"/>
        </w:rPr>
      </w:pPr>
      <w:r>
        <w:rPr>
          <w:rFonts w:hint="eastAsia" w:ascii="微软雅黑" w:hAnsi="微软雅黑" w:cs="微软雅黑"/>
          <w:sz w:val="21"/>
        </w:rPr>
        <w:t>该样本检出EPHA2基因c.153+2T&gt;C剪接突变，第153位核苷酸下游第2位核苷酸由T突变为C，此突变在样本中的突变丰度为3.33%。</w:t>
      </w:r>
    </w:p>
    <w:p w14:paraId="6467F40F">
      <w:pPr>
        <w:spacing w:after="0"/>
      </w:pPr>
      <w:r>
        <w:rPr>
          <w:rFonts w:ascii="微软雅黑" w:hAnsi="微软雅黑" w:cs="微软雅黑"/>
          <w:b/>
        </w:rPr>
        <w:t xml:space="preserve">基因变异解析： </w:t>
      </w:r>
    </w:p>
    <w:p w14:paraId="6B1957D5">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0" w:line="240" w:lineRule="auto"/>
        <w:ind w:firstLine="400"/>
        <w:jc w:val="both"/>
        <w:textAlignment w:val="auto"/>
        <w:rPr>
          <w:rFonts w:hint="eastAsia" w:ascii="微软雅黑" w:hAnsi="微软雅黑" w:cs="Arial Unicode MS"/>
          <w:kern w:val="2"/>
          <w:sz w:val="21"/>
          <w:szCs w:val="21"/>
          <w:highlight w:val="yellow"/>
        </w:rPr>
      </w:pPr>
      <w:r>
        <w:rPr>
          <w:rFonts w:hint="eastAsia" w:ascii="微软雅黑" w:hAnsi="微软雅黑" w:cs="Arial Unicode MS"/>
          <w:kern w:val="2"/>
          <w:sz w:val="21"/>
          <w:szCs w:val="21"/>
          <w:highlight w:val="none"/>
        </w:rPr>
        <w:t>EPHA2基因编码的蛋白</w:t>
      </w:r>
      <w:r>
        <w:rPr>
          <w:rFonts w:hint="eastAsia" w:ascii="微软雅黑" w:hAnsi="微软雅黑" w:cs="Arial Unicode MS"/>
          <w:kern w:val="2"/>
          <w:sz w:val="21"/>
          <w:szCs w:val="21"/>
          <w:highlight w:val="none"/>
          <w:lang w:val="en-US" w:eastAsia="zh-CN"/>
        </w:rPr>
        <w:t>全长为976个氨基酸，</w:t>
      </w:r>
      <w:r>
        <w:rPr>
          <w:rFonts w:hint="eastAsia" w:ascii="微软雅黑" w:hAnsi="微软雅黑" w:cs="Arial Unicode MS"/>
          <w:kern w:val="2"/>
          <w:sz w:val="21"/>
          <w:szCs w:val="21"/>
          <w:highlight w:val="none"/>
        </w:rPr>
        <w:t>主要包含1个信号肽区域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1-24位氨基酸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、1个胞外配体结合结构域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28-201位氨基酸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、1个跨膜结构域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536-558位氨基酸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、2个FN3结构域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329-419位氨基酸和436-516位氨基酸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、1个酪氨酸激酶结构域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613-871位氨基酸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以及1个SAM结构域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901-968位氨基酸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。该样本检出的</w:t>
      </w:r>
      <w:r>
        <w:rPr>
          <w:rFonts w:hint="eastAsia" w:ascii="微软雅黑" w:hAnsi="微软雅黑" w:cs="微软雅黑"/>
          <w:sz w:val="21"/>
        </w:rPr>
        <w:t>c.153+2T&gt;C突变位于内含子与外显子交界处，可能导致mRNA剪接异常，进而导致蛋白功能缺失</w:t>
      </w:r>
      <w:r>
        <w:rPr>
          <w:rFonts w:hint="eastAsia" w:ascii="微软雅黑" w:hAnsi="微软雅黑" w:cs="微软雅黑"/>
          <w:sz w:val="21"/>
          <w:lang w:eastAsia="zh-CN"/>
        </w:rPr>
        <w:t>。</w:t>
      </w:r>
    </w:p>
    <w:p w14:paraId="3ECEB9BF">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0" w:line="240" w:lineRule="auto"/>
        <w:ind w:firstLine="400"/>
        <w:jc w:val="both"/>
        <w:textAlignment w:val="auto"/>
        <w:rPr>
          <w:rFonts w:hint="eastAsia" w:ascii="微软雅黑" w:hAnsi="微软雅黑" w:cs="Arial Unicode MS"/>
          <w:kern w:val="2"/>
          <w:sz w:val="21"/>
          <w:szCs w:val="21"/>
          <w:highlight w:val="none"/>
        </w:rPr>
      </w:pPr>
      <w:r>
        <w:rPr>
          <w:rFonts w:hint="eastAsia" w:ascii="微软雅黑" w:hAnsi="微软雅黑" w:cs="Arial Unicode MS"/>
          <w:kern w:val="2"/>
          <w:sz w:val="21"/>
          <w:szCs w:val="21"/>
          <w:highlight w:val="none"/>
        </w:rPr>
        <w:t>人类EPHA2在前列腺癌、肺癌、食管癌、结直肠癌、宫颈癌、卵巢癌、乳腺癌和皮肤癌中大量表达</w:t>
      </w:r>
      <w:r>
        <w:rPr>
          <w:rFonts w:hint="eastAsia" w:ascii="微软雅黑" w:hAnsi="微软雅黑" w:cs="Arial Unicode MS"/>
          <w:kern w:val="2"/>
          <w:sz w:val="21"/>
          <w:szCs w:val="21"/>
          <w:highlight w:val="none"/>
          <w:lang w:val="en-US" w:eastAsia="zh-CN"/>
        </w:rPr>
        <w:t>[28966234]</w:t>
      </w:r>
      <w:r>
        <w:rPr>
          <w:rFonts w:hint="eastAsia" w:ascii="微软雅黑" w:hAnsi="微软雅黑" w:cs="Arial Unicode MS"/>
          <w:kern w:val="2"/>
          <w:sz w:val="21"/>
          <w:szCs w:val="21"/>
          <w:highlight w:val="none"/>
        </w:rPr>
        <w:t>。有研究表明，EphA2的表达与临床分期及淋巴结转移密切相关。EphA2可与VEGF结合作为判断NSCLC恶性程度及预后的指标，及早期诊断指标和治疗的新靶点</w:t>
      </w:r>
      <w:r>
        <w:rPr>
          <w:rFonts w:hint="eastAsia" w:ascii="微软雅黑" w:hAnsi="微软雅黑" w:cs="Arial Unicode MS"/>
          <w:kern w:val="2"/>
          <w:sz w:val="21"/>
          <w:szCs w:val="21"/>
          <w:highlight w:val="none"/>
          <w:lang w:val="en-US" w:eastAsia="zh-CN"/>
        </w:rPr>
        <w:t>[19531623]</w:t>
      </w:r>
      <w:r>
        <w:rPr>
          <w:rFonts w:hint="eastAsia" w:ascii="微软雅黑" w:hAnsi="微软雅黑" w:cs="Arial Unicode MS"/>
          <w:kern w:val="2"/>
          <w:sz w:val="21"/>
          <w:szCs w:val="21"/>
          <w:highlight w:val="none"/>
        </w:rPr>
        <w:t>。</w:t>
      </w:r>
      <w:r>
        <w:rPr>
          <w:rFonts w:hint="eastAsia" w:ascii="微软雅黑" w:hAnsi="微软雅黑" w:cs="微软雅黑"/>
          <w:sz w:val="21"/>
          <w:highlight w:val="none"/>
          <w:lang w:eastAsia="zh-CN"/>
        </w:rPr>
        <w:t>但是，目前该样本检出的突变在</w:t>
      </w:r>
      <w:r>
        <w:rPr>
          <w:rFonts w:hint="eastAsia" w:ascii="微软雅黑" w:hAnsi="微软雅黑" w:cs="微软雅黑"/>
          <w:sz w:val="21"/>
          <w:highlight w:val="none"/>
          <w:lang w:val="en-US" w:eastAsia="zh-CN"/>
        </w:rPr>
        <w:t>结直肠癌</w:t>
      </w:r>
      <w:r>
        <w:rPr>
          <w:rFonts w:hint="eastAsia" w:ascii="微软雅黑" w:hAnsi="微软雅黑" w:cs="微软雅黑"/>
          <w:sz w:val="21"/>
          <w:highlight w:val="none"/>
          <w:lang w:eastAsia="zh-CN"/>
        </w:rPr>
        <w:t>中的具体临床意义</w:t>
      </w:r>
      <w:r>
        <w:rPr>
          <w:rFonts w:hint="eastAsia" w:ascii="微软雅黑" w:hAnsi="微软雅黑" w:cs="微软雅黑"/>
          <w:sz w:val="21"/>
          <w:highlight w:val="none"/>
          <w:lang w:val="en-US" w:eastAsia="zh-CN"/>
        </w:rPr>
        <w:t>有待明确</w:t>
      </w:r>
      <w:r>
        <w:rPr>
          <w:rFonts w:hint="eastAsia" w:ascii="微软雅黑" w:hAnsi="微软雅黑" w:cs="微软雅黑"/>
          <w:sz w:val="21"/>
          <w:highlight w:val="none"/>
          <w:lang w:eastAsia="zh-CN"/>
        </w:rPr>
        <w:t>。</w:t>
      </w:r>
    </w:p>
    <w:p w14:paraId="25D23E08">
      <w:pPr>
        <w:spacing w:before="200"/>
        <w:jc w:val="both"/>
        <w:rPr>
          <w:rFonts w:ascii="微软雅黑" w:hAnsi="微软雅黑" w:cs="微软雅黑"/>
          <w:sz w:val="21"/>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cs="微软雅黑"/>
          <w:b/>
          <w:color w:val="0000FF"/>
          <w:sz w:val="24"/>
          <w:u w:val="single"/>
        </w:rPr>
        <w:t>FANCI：c.2879G&gt;A，p.R960Q；2.18%</w:t>
      </w:r>
    </w:p>
    <w:p w14:paraId="07618F6F">
      <w:pPr>
        <w:spacing w:after="0"/>
      </w:pPr>
      <w:r>
        <w:rPr>
          <w:rFonts w:ascii="微软雅黑" w:hAnsi="微软雅黑" w:cs="微软雅黑"/>
          <w:b/>
        </w:rPr>
        <w:t>基因简介：</w:t>
      </w:r>
    </w:p>
    <w:p w14:paraId="21EB1736">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beforeLines="0" w:after="0" w:line="240" w:lineRule="auto"/>
        <w:ind w:firstLine="400"/>
        <w:jc w:val="both"/>
        <w:textAlignment w:val="auto"/>
        <w:rPr>
          <w:rFonts w:ascii="微软雅黑" w:hAnsi="微软雅黑" w:eastAsia="微软雅黑" w:cs="微软雅黑"/>
          <w:sz w:val="21"/>
        </w:rPr>
      </w:pPr>
      <w:r>
        <w:rPr>
          <w:rFonts w:hint="eastAsia" w:ascii="微软雅黑" w:hAnsi="微软雅黑" w:eastAsia="微软雅黑" w:cs="微软雅黑"/>
          <w:sz w:val="21"/>
        </w:rPr>
        <w:t>FANCI基因是范可尼贫血互补组（FANC）的成员之一，其他成员还包括FANCA、FANCB、FANCC、FANCD1（也称为BRCA2）、FANCD2、FANCE、FANCF、FANCG、FANCJ（也称为BRIP1）、FANCL、FANCM和FANCN（也称为PALB2）[GeneCards]。FANCI基因编码的蛋白在DNA修复中起作用。目前，已在甲状腺癌、结肠癌和皮肤癌等癌症中观察到FANCI基因的错义突变、同义突变、无义突变、移码插入和移码缺失。</w:t>
      </w:r>
    </w:p>
    <w:p w14:paraId="6F490BB4">
      <w:pPr>
        <w:spacing w:after="0"/>
      </w:pPr>
      <w:r>
        <w:rPr>
          <w:rFonts w:ascii="微软雅黑" w:hAnsi="微软雅黑" w:cs="微软雅黑"/>
          <w:b/>
        </w:rPr>
        <w:t>基因变异说明：</w:t>
      </w:r>
    </w:p>
    <w:p w14:paraId="7B4E2C5E">
      <w:pPr>
        <w:spacing w:after="0"/>
        <w:ind w:firstLine="400"/>
        <w:jc w:val="both"/>
        <w:rPr>
          <w:rFonts w:ascii="微软雅黑" w:hAnsi="微软雅黑" w:cs="微软雅黑"/>
          <w:sz w:val="21"/>
        </w:rPr>
      </w:pPr>
      <w:r>
        <w:rPr>
          <w:rFonts w:hint="eastAsia" w:ascii="微软雅黑" w:hAnsi="微软雅黑" w:cs="微软雅黑"/>
          <w:sz w:val="21"/>
        </w:rPr>
        <w:t>该样本检出FANCI基因c.2879G&gt;A，p.R960Q错义突变，第2879位核苷酸由G突变为A，导致相应蛋白序列中第960位氨基酸由精氨酸突变为谷氨酰胺，此突变在样本中的突变丰度为2.18%。</w:t>
      </w:r>
    </w:p>
    <w:p w14:paraId="272A8761">
      <w:pPr>
        <w:spacing w:after="0"/>
      </w:pPr>
      <w:r>
        <w:rPr>
          <w:rFonts w:ascii="微软雅黑" w:hAnsi="微软雅黑" w:cs="微软雅黑"/>
          <w:b/>
        </w:rPr>
        <w:t xml:space="preserve">基因变异解析： </w:t>
      </w:r>
    </w:p>
    <w:p w14:paraId="6F0D52AD">
      <w:pPr>
        <w:spacing w:after="0"/>
        <w:ind w:firstLine="420" w:firstLineChars="200"/>
        <w:jc w:val="both"/>
        <w:outlineLvl w:val="9"/>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FANCI基因编码的蛋白全长为1328个氨基酸，主要包含多个低复杂度区域。该样本检出的</w:t>
      </w:r>
      <w:r>
        <w:rPr>
          <w:rFonts w:hint="eastAsia" w:ascii="微软雅黑" w:hAnsi="微软雅黑" w:cs="微软雅黑"/>
          <w:sz w:val="21"/>
        </w:rPr>
        <w:t>p.R960Q</w:t>
      </w:r>
      <w:r>
        <w:rPr>
          <w:rFonts w:hint="eastAsia" w:ascii="微软雅黑" w:hAnsi="微软雅黑" w:eastAsia="微软雅黑" w:cs="微软雅黑"/>
          <w:sz w:val="21"/>
          <w:highlight w:val="none"/>
        </w:rPr>
        <w:t>突变</w:t>
      </w:r>
      <w:r>
        <w:rPr>
          <w:rFonts w:hint="eastAsia" w:ascii="微软雅黑" w:hAnsi="微软雅黑" w:cs="微软雅黑"/>
          <w:sz w:val="21"/>
          <w:highlight w:val="none"/>
          <w:lang w:val="en-US" w:eastAsia="zh-CN"/>
        </w:rPr>
        <w:t>位于上述结构域之外，对蛋白功能的影响未知</w:t>
      </w:r>
      <w:r>
        <w:rPr>
          <w:rFonts w:hint="eastAsia" w:ascii="微软雅黑" w:hAnsi="微软雅黑" w:eastAsia="微软雅黑" w:cs="微软雅黑"/>
          <w:sz w:val="21"/>
          <w:highlight w:val="none"/>
        </w:rPr>
        <w:t>。</w:t>
      </w:r>
    </w:p>
    <w:p w14:paraId="778A9581">
      <w:pPr>
        <w:spacing w:after="0"/>
        <w:ind w:firstLine="400"/>
        <w:jc w:val="both"/>
        <w:rPr>
          <w:rFonts w:hint="eastAsia" w:ascii="微软雅黑" w:hAnsi="微软雅黑" w:cs="微软雅黑"/>
          <w:sz w:val="21"/>
        </w:rPr>
      </w:pPr>
      <w:r>
        <w:rPr>
          <w:rFonts w:hint="eastAsia" w:ascii="微软雅黑" w:hAnsi="微软雅黑" w:eastAsia="微软雅黑" w:cs="微软雅黑"/>
          <w:sz w:val="21"/>
        </w:rPr>
        <w:t>有研究表明，FANCI是FA途径的第二个单泛素化成员，FANCI功能缺失可导致AKT的自发磷酸化和活化[27097374]。另有研究表明，FANCI基因编码的蛋白在DNA修复中起重要作用，FANCI功能缺失可增强肿瘤对PARP抑制剂的敏感性[27022037，Abstract IA25]。研究显示，DNA修复基因包含FANCI</w:t>
      </w:r>
      <w:r>
        <w:rPr>
          <w:rFonts w:hint="eastAsia" w:ascii="微软雅黑" w:hAnsi="微软雅黑" w:cs="微软雅黑"/>
          <w:sz w:val="21"/>
          <w:lang w:eastAsia="zh-CN"/>
        </w:rPr>
        <w:t>，</w:t>
      </w:r>
      <w:r>
        <w:rPr>
          <w:rFonts w:hint="eastAsia" w:ascii="微软雅黑" w:hAnsi="微软雅黑" w:eastAsia="微软雅黑" w:cs="微软雅黑"/>
          <w:sz w:val="21"/>
        </w:rPr>
        <w:t>DNA修复基因突变与免疫治疗临床获益相关[30262796</w:t>
      </w:r>
      <w:r>
        <w:rPr>
          <w:rFonts w:hint="eastAsia" w:ascii="微软雅黑" w:hAnsi="微软雅黑" w:cs="微软雅黑"/>
          <w:sz w:val="21"/>
          <w:lang w:eastAsia="zh-CN"/>
        </w:rPr>
        <w:t>，</w:t>
      </w:r>
      <w:r>
        <w:rPr>
          <w:rFonts w:hint="eastAsia" w:ascii="微软雅黑" w:hAnsi="微软雅黑" w:eastAsia="微软雅黑" w:cs="微软雅黑"/>
          <w:sz w:val="21"/>
        </w:rPr>
        <w:t>31658756]。</w:t>
      </w:r>
      <w:r>
        <w:rPr>
          <w:rFonts w:hint="eastAsia" w:ascii="微软雅黑" w:hAnsi="微软雅黑" w:cs="微软雅黑"/>
          <w:sz w:val="21"/>
        </w:rPr>
        <w:t>但是，目前该样本检出的突变在</w:t>
      </w:r>
      <w:r>
        <w:rPr>
          <w:rFonts w:hint="eastAsia" w:ascii="微软雅黑" w:hAnsi="微软雅黑" w:cs="微软雅黑"/>
          <w:sz w:val="21"/>
          <w:lang w:val="en-US" w:eastAsia="zh-CN"/>
        </w:rPr>
        <w:t>结直肠癌</w:t>
      </w:r>
      <w:r>
        <w:rPr>
          <w:rFonts w:hint="eastAsia" w:ascii="微软雅黑" w:hAnsi="微软雅黑" w:cs="微软雅黑"/>
          <w:sz w:val="21"/>
        </w:rPr>
        <w:t>中的具体临床意义</w:t>
      </w:r>
      <w:r>
        <w:rPr>
          <w:rFonts w:hint="eastAsia" w:ascii="微软雅黑" w:hAnsi="微软雅黑" w:cs="微软雅黑"/>
          <w:sz w:val="21"/>
          <w:lang w:val="en-US" w:eastAsia="zh-CN"/>
        </w:rPr>
        <w:t>未明</w:t>
      </w:r>
      <w:r>
        <w:rPr>
          <w:rFonts w:hint="eastAsia" w:ascii="微软雅黑" w:hAnsi="微软雅黑" w:cs="微软雅黑"/>
          <w:sz w:val="21"/>
        </w:rPr>
        <w:t xml:space="preserve">。  </w:t>
      </w:r>
    </w:p>
    <w:p w14:paraId="549E46BA">
      <w:pPr>
        <w:spacing w:before="200"/>
        <w:jc w:val="both"/>
        <w:rPr>
          <w:rFonts w:hint="eastAsia" w:ascii="微软雅黑" w:hAnsi="微软雅黑" w:cs="微软雅黑"/>
          <w:b/>
          <w:color w:val="FF0000"/>
          <w:sz w:val="24"/>
          <w:u w:val="single"/>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eastAsia="宋体" w:cs="微软雅黑"/>
          <w:b/>
          <w:color w:val="FF0000"/>
          <w:sz w:val="24"/>
          <w:u w:val="single"/>
        </w:rPr>
        <w:t>ATM</w:t>
      </w:r>
      <w:r>
        <w:rPr>
          <w:rFonts w:ascii="微软雅黑" w:hAnsi="微软雅黑" w:cs="微软雅黑"/>
          <w:b/>
          <w:color w:val="FF0000"/>
          <w:sz w:val="24"/>
          <w:u w:val="single"/>
        </w:rPr>
        <w:t>：</w:t>
      </w:r>
      <w:r>
        <w:rPr>
          <w:rFonts w:hint="eastAsia" w:ascii="微软雅黑" w:hAnsi="微软雅黑" w:cs="微软雅黑"/>
          <w:b/>
          <w:color w:val="FF0000"/>
          <w:sz w:val="24"/>
          <w:u w:val="single"/>
        </w:rPr>
        <w:t>c.6874C&gt;T，p.Q2292*；0.53%</w:t>
      </w:r>
    </w:p>
    <w:p w14:paraId="2E2EF9CF">
      <w:pPr>
        <w:spacing w:after="0"/>
      </w:pPr>
      <w:r>
        <w:rPr>
          <w:rFonts w:ascii="微软雅黑" w:hAnsi="微软雅黑" w:cs="微软雅黑"/>
          <w:b/>
        </w:rPr>
        <w:t>基因简介：</w:t>
      </w:r>
    </w:p>
    <w:p w14:paraId="7959DFC2">
      <w:pPr>
        <w:spacing w:after="0"/>
        <w:ind w:firstLine="400"/>
        <w:jc w:val="both"/>
        <w:rPr>
          <w:rFonts w:ascii="微软雅黑" w:hAnsi="微软雅黑" w:cs="微软雅黑"/>
          <w:sz w:val="21"/>
        </w:rPr>
      </w:pPr>
      <w:r>
        <w:rPr>
          <w:rFonts w:hint="eastAsia" w:ascii="微软雅黑" w:hAnsi="微软雅黑" w:cs="微软雅黑"/>
          <w:sz w:val="21"/>
        </w:rPr>
        <w:t>ATM 基因编码的蛋白属于PI3/PI4 激酶家族。ATM蛋白是重要的细胞循环检查点激酶，可调控一系列下游蛋白，包括抑癌基因蛋白P53、BRCA1，检测点激酶CHK2、RAD17 和 RAD9，以及DNA修复蛋白NBS1。ATM以及相关的蛋白激酶ATR是细胞循环调控点检测信号的主要蛋白，对于保持基因组的稳定性以及DNA 损伤修复起重要作用。ATM基因在人类恶性肿瘤发展过程中起重要作用。ATM基因是已知的肿瘤抑制基因，ATM基因的突变与共济失调毛细血管扩张（一种常染色体隐性遗传疾病）相关[7792600]。在不吸烟的肺癌患者中，ATM基因的多态性与肺癌的发生和发展密切相关[20004998]。ATM基因突变在肺癌和结直肠癌中频繁发生[25079552，22810696]。</w:t>
      </w:r>
    </w:p>
    <w:p w14:paraId="6887040A">
      <w:pPr>
        <w:spacing w:after="0"/>
      </w:pPr>
      <w:r>
        <w:rPr>
          <w:rFonts w:ascii="微软雅黑" w:hAnsi="微软雅黑" w:cs="微软雅黑"/>
          <w:b/>
        </w:rPr>
        <w:t>基因变异说明：</w:t>
      </w:r>
    </w:p>
    <w:p w14:paraId="094B12BA">
      <w:pPr>
        <w:spacing w:after="0"/>
        <w:ind w:firstLine="400"/>
        <w:jc w:val="both"/>
        <w:rPr>
          <w:rFonts w:ascii="微软雅黑" w:hAnsi="微软雅黑" w:cs="微软雅黑"/>
          <w:sz w:val="21"/>
        </w:rPr>
      </w:pPr>
      <w:r>
        <w:rPr>
          <w:rFonts w:hint="eastAsia" w:ascii="微软雅黑" w:hAnsi="微软雅黑" w:cs="微软雅黑"/>
          <w:sz w:val="21"/>
        </w:rPr>
        <w:t>该样本检出ATM基因c.6874C&gt;T，p.Q2292*无义突变，第6874位核苷酸由C突变为T，导致相应蛋白序列中第2292位氨基酸由谷氨酰胺突变为终止密码子，此突变在样本中的突变丰度为0.53%。</w:t>
      </w:r>
    </w:p>
    <w:p w14:paraId="5C8E6402">
      <w:pPr>
        <w:spacing w:after="0"/>
      </w:pPr>
      <w:r>
        <w:rPr>
          <w:rFonts w:ascii="微软雅黑" w:hAnsi="微软雅黑" w:cs="微软雅黑"/>
          <w:b/>
        </w:rPr>
        <w:t xml:space="preserve">基因变异解析： </w:t>
      </w:r>
    </w:p>
    <w:p w14:paraId="1A8E21F5">
      <w:pPr>
        <w:spacing w:after="0"/>
        <w:ind w:firstLine="400"/>
        <w:jc w:val="both"/>
        <w:rPr>
          <w:rFonts w:hint="eastAsia" w:ascii="微软雅黑" w:hAnsi="微软雅黑" w:cs="微软雅黑"/>
          <w:sz w:val="21"/>
        </w:rPr>
      </w:pPr>
      <w:r>
        <w:rPr>
          <w:rFonts w:hint="eastAsia" w:ascii="微软雅黑" w:hAnsi="微软雅黑" w:cs="微软雅黑"/>
          <w:sz w:val="21"/>
        </w:rPr>
        <w:t>ATM基因编码的蛋白全长为3056个氨基酸，主要包含TAN结构域（5-166位氨基酸）以及FAT结构域（2096-2489位氨基酸）。该样本检出的p.Q2292*突变导致蛋白翻译提前终止，产生截短的蛋白，可能导致蛋白功能缺失。</w:t>
      </w:r>
    </w:p>
    <w:p w14:paraId="46713F95">
      <w:pPr>
        <w:spacing w:after="0"/>
        <w:ind w:firstLine="400"/>
        <w:jc w:val="both"/>
        <w:rPr>
          <w:rFonts w:ascii="Wingdings" w:hAnsi="Wingdings" w:eastAsia="Wingdings" w:cs="Wingdings"/>
          <w:sz w:val="24"/>
        </w:rPr>
      </w:pPr>
      <w:r>
        <w:rPr>
          <w:rFonts w:hint="eastAsia" w:ascii="微软雅黑" w:hAnsi="微软雅黑" w:cs="微软雅黑"/>
          <w:sz w:val="21"/>
        </w:rPr>
        <w:t>ATM缺陷细胞会导致DNA损伤的积累及基因组的不稳定进而引起肿瘤发生。因此，该样本检出的突变可能与疾病的发生发展相关。</w:t>
      </w:r>
    </w:p>
    <w:p w14:paraId="482D37E4">
      <w:pPr>
        <w:spacing w:after="0"/>
        <w:rPr>
          <w:rFonts w:ascii="微软雅黑" w:hAnsi="微软雅黑" w:cs="微软雅黑"/>
          <w:b/>
        </w:rPr>
      </w:pPr>
    </w:p>
    <w:p w14:paraId="7DEF321F">
      <w:pPr>
        <w:numPr>
          <w:ilvl w:val="0"/>
          <w:numId w:val="9"/>
        </w:numPr>
        <w:spacing w:after="0"/>
        <w:jc w:val="both"/>
        <w:outlineLvl w:val="0"/>
        <w:rPr>
          <w:rFonts w:ascii="微软雅黑" w:hAnsi="微软雅黑"/>
          <w:b/>
          <w:sz w:val="24"/>
          <w:szCs w:val="24"/>
        </w:rPr>
      </w:pPr>
      <w:bookmarkStart w:id="178" w:name="_Toc16898"/>
      <w:r>
        <w:rPr>
          <w:rFonts w:hint="eastAsia" w:ascii="微软雅黑" w:hAnsi="微软雅黑"/>
          <w:b/>
          <w:sz w:val="24"/>
          <w:szCs w:val="24"/>
        </w:rPr>
        <w:t>靶向</w:t>
      </w:r>
      <w:r>
        <w:rPr>
          <w:rFonts w:ascii="微软雅黑" w:hAnsi="微软雅黑"/>
          <w:b/>
          <w:sz w:val="24"/>
          <w:szCs w:val="24"/>
        </w:rPr>
        <w:t>药物</w:t>
      </w:r>
      <w:r>
        <w:rPr>
          <w:rFonts w:hint="eastAsia" w:ascii="微软雅黑" w:hAnsi="微软雅黑"/>
          <w:b/>
          <w:sz w:val="24"/>
          <w:szCs w:val="24"/>
        </w:rPr>
        <w:t>/免疫用药</w:t>
      </w:r>
      <w:r>
        <w:rPr>
          <w:rFonts w:ascii="微软雅黑" w:hAnsi="微软雅黑"/>
          <w:b/>
          <w:sz w:val="24"/>
          <w:szCs w:val="24"/>
        </w:rPr>
        <w:t>提示解析</w:t>
      </w:r>
      <w:bookmarkEnd w:id="178"/>
    </w:p>
    <w:p w14:paraId="0398D7AE">
      <w:pPr>
        <w:numPr>
          <w:ilvl w:val="1"/>
          <w:numId w:val="9"/>
        </w:numPr>
        <w:spacing w:before="200"/>
        <w:rPr>
          <w:rFonts w:ascii="微软雅黑" w:hAnsi="微软雅黑"/>
          <w:b/>
          <w:sz w:val="24"/>
          <w:szCs w:val="24"/>
        </w:rPr>
      </w:pPr>
      <w:bookmarkStart w:id="179" w:name="_Toc19439"/>
      <w:r>
        <w:rPr>
          <w:rFonts w:ascii="微软雅黑" w:hAnsi="微软雅黑"/>
          <w:b/>
          <w:sz w:val="24"/>
          <w:szCs w:val="24"/>
        </w:rPr>
        <w:t>潜在获益靶向</w:t>
      </w:r>
      <w:r>
        <w:rPr>
          <w:rFonts w:hint="eastAsia" w:ascii="微软雅黑" w:hAnsi="微软雅黑"/>
          <w:b/>
          <w:sz w:val="24"/>
          <w:szCs w:val="24"/>
        </w:rPr>
        <w:t>/免疫</w:t>
      </w:r>
      <w:r>
        <w:rPr>
          <w:rFonts w:ascii="微软雅黑" w:hAnsi="微软雅黑"/>
          <w:b/>
          <w:sz w:val="24"/>
          <w:szCs w:val="24"/>
        </w:rPr>
        <w:t>药物解析</w:t>
      </w:r>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9"/>
    </w:p>
    <w:p w14:paraId="664E8FAE">
      <w:pPr>
        <w:numPr>
          <w:ilvl w:val="0"/>
          <w:numId w:val="11"/>
        </w:numPr>
        <w:spacing w:before="200"/>
        <w:ind w:left="420" w:hanging="420"/>
        <w:jc w:val="both"/>
        <w:rPr>
          <w:rFonts w:ascii="微软雅黑" w:hAnsi="微软雅黑" w:cs="微软雅黑"/>
          <w:color w:val="FF0000"/>
          <w:kern w:val="1"/>
          <w:sz w:val="21"/>
          <w:szCs w:val="21"/>
        </w:rPr>
      </w:pPr>
      <w:r>
        <w:rPr>
          <w:rStyle w:val="21"/>
          <w:rFonts w:hint="eastAsia" w:ascii="微软雅黑" w:hAnsi="微软雅黑" w:cs="微软雅黑"/>
          <w:b/>
          <w:bCs/>
          <w:color w:val="FF0000"/>
          <w:sz w:val="24"/>
          <w:szCs w:val="24"/>
          <w:u w:val="none"/>
        </w:rPr>
        <w:t>TP53：</w:t>
      </w:r>
      <w:r>
        <w:rPr>
          <w:rFonts w:hint="eastAsia" w:ascii="微软雅黑" w:hAnsi="微软雅黑" w:cs="微软雅黑"/>
          <w:b/>
          <w:color w:val="FF0000"/>
          <w:sz w:val="24"/>
          <w:u w:val="none"/>
        </w:rPr>
        <w:t>c.844C&gt;T，p.R282W</w:t>
      </w:r>
      <w:r>
        <w:rPr>
          <w:rStyle w:val="21"/>
          <w:rFonts w:hint="eastAsia" w:ascii="微软雅黑" w:hAnsi="微软雅黑" w:cs="微软雅黑"/>
          <w:b/>
          <w:bCs/>
          <w:color w:val="FF0000"/>
          <w:sz w:val="24"/>
          <w:szCs w:val="24"/>
          <w:u w:val="none"/>
        </w:rPr>
        <w:t>突变相应靶向药物</w:t>
      </w:r>
    </w:p>
    <w:p w14:paraId="6B0CD9D9">
      <w:pPr>
        <w:numPr>
          <w:ilvl w:val="0"/>
          <w:numId w:val="12"/>
        </w:numPr>
        <w:spacing w:before="200"/>
        <w:ind w:left="420" w:hanging="420"/>
        <w:rPr>
          <w:rFonts w:ascii="微软雅黑" w:hAnsi="微软雅黑" w:cs="微软雅黑"/>
          <w:b/>
          <w:bCs/>
          <w:color w:val="0000FF"/>
          <w:sz w:val="24"/>
          <w:szCs w:val="24"/>
        </w:rPr>
      </w:pPr>
      <w:r>
        <w:fldChar w:fldCharType="begin"/>
      </w:r>
      <w:r>
        <w:instrText xml:space="preserve"> HYPERLINK \l "基因变异检测结果及相关靶向药物信息" </w:instrText>
      </w:r>
      <w:r>
        <w:fldChar w:fldCharType="separate"/>
      </w:r>
      <w:r>
        <w:rPr>
          <w:rStyle w:val="23"/>
          <w:rFonts w:hint="eastAsia" w:ascii="微软雅黑" w:hAnsi="微软雅黑" w:cs="微软雅黑"/>
          <w:b/>
          <w:bCs/>
          <w:color w:val="0000FF"/>
          <w:sz w:val="24"/>
          <w:szCs w:val="24"/>
        </w:rPr>
        <w:t>AZD1775</w:t>
      </w:r>
      <w:r>
        <w:rPr>
          <w:rStyle w:val="23"/>
          <w:rFonts w:hint="eastAsia" w:ascii="微软雅黑" w:hAnsi="微软雅黑" w:cs="微软雅黑"/>
          <w:b/>
          <w:bCs/>
          <w:color w:val="0000FF"/>
          <w:sz w:val="24"/>
          <w:szCs w:val="24"/>
        </w:rPr>
        <w:fldChar w:fldCharType="end"/>
      </w:r>
      <w:r>
        <w:rPr>
          <w:rFonts w:hint="eastAsia" w:ascii="微软雅黑" w:hAnsi="微软雅黑" w:cs="微软雅黑"/>
          <w:b/>
          <w:bCs/>
          <w:color w:val="0000FF"/>
          <w:sz w:val="24"/>
          <w:szCs w:val="24"/>
          <w:u w:val="single"/>
        </w:rPr>
        <w:t>、</w:t>
      </w:r>
      <w:r>
        <w:fldChar w:fldCharType="begin"/>
      </w:r>
      <w:r>
        <w:instrText xml:space="preserve"> HYPERLINK \l "基因变异检测结果及相关靶向药物信息" </w:instrText>
      </w:r>
      <w:r>
        <w:fldChar w:fldCharType="separate"/>
      </w:r>
      <w:r>
        <w:rPr>
          <w:rStyle w:val="23"/>
          <w:rFonts w:hint="eastAsia" w:ascii="微软雅黑" w:hAnsi="微软雅黑" w:cs="微软雅黑"/>
          <w:b/>
          <w:bCs/>
          <w:color w:val="0000FF"/>
          <w:sz w:val="24"/>
          <w:szCs w:val="24"/>
        </w:rPr>
        <w:t>AZD1775</w:t>
      </w:r>
      <w:r>
        <w:rPr>
          <w:rStyle w:val="23"/>
          <w:rFonts w:hint="eastAsia" w:ascii="微软雅黑" w:hAnsi="微软雅黑" w:cs="微软雅黑"/>
          <w:b/>
          <w:bCs/>
          <w:color w:val="0000FF"/>
          <w:sz w:val="24"/>
          <w:szCs w:val="24"/>
        </w:rPr>
        <w:fldChar w:fldCharType="end"/>
      </w:r>
      <w:r>
        <w:rPr>
          <w:rFonts w:hint="eastAsia" w:ascii="微软雅黑" w:hAnsi="微软雅黑" w:cs="微软雅黑"/>
          <w:b/>
          <w:bCs/>
          <w:color w:val="0000FF"/>
          <w:sz w:val="24"/>
          <w:szCs w:val="24"/>
          <w:u w:val="single"/>
        </w:rPr>
        <w:t>+奥拉帕利（Olaparib）</w:t>
      </w:r>
    </w:p>
    <w:p w14:paraId="6796071C">
      <w:pPr>
        <w:spacing w:after="0"/>
        <w:jc w:val="both"/>
        <w:rPr>
          <w:rFonts w:ascii="微软雅黑" w:hAnsi="微软雅黑" w:cs="Arial Unicode MS"/>
          <w:kern w:val="2"/>
          <w:sz w:val="21"/>
          <w:szCs w:val="21"/>
        </w:rPr>
      </w:pPr>
      <w:r>
        <w:rPr>
          <w:rFonts w:hint="eastAsia"/>
          <w:b/>
          <w:bCs/>
          <w:kern w:val="2"/>
        </w:rPr>
        <w:t>基因变异与药物关联分析：</w:t>
      </w:r>
    </w:p>
    <w:p w14:paraId="559722A6">
      <w:pPr>
        <w:spacing w:after="0"/>
        <w:ind w:firstLine="420" w:firstLineChars="200"/>
        <w:jc w:val="both"/>
        <w:rPr>
          <w:rFonts w:hint="eastAsia"/>
          <w:b/>
          <w:bCs/>
          <w:kern w:val="2"/>
        </w:rPr>
      </w:pPr>
      <w:r>
        <w:rPr>
          <w:rFonts w:hint="eastAsia" w:ascii="微软雅黑" w:hAnsi="微软雅黑" w:cs="Arial Unicode MS"/>
          <w:kern w:val="2"/>
          <w:sz w:val="21"/>
          <w:szCs w:val="21"/>
        </w:rPr>
        <w:t>该样本检出TP53基因c.844C&gt;T，p.R282W</w:t>
      </w:r>
      <w:r>
        <w:rPr>
          <w:rFonts w:hint="eastAsia" w:ascii="微软雅黑" w:hAnsi="微软雅黑" w:cs="Arial Unicode MS"/>
          <w:kern w:val="2"/>
          <w:sz w:val="21"/>
          <w:szCs w:val="21"/>
          <w:lang w:val="en-US" w:eastAsia="zh-CN"/>
        </w:rPr>
        <w:t>错义</w:t>
      </w:r>
      <w:r>
        <w:rPr>
          <w:rFonts w:hint="eastAsia" w:ascii="微软雅黑" w:hAnsi="微软雅黑" w:cs="微软雅黑"/>
          <w:sz w:val="21"/>
        </w:rPr>
        <w:t>突变</w:t>
      </w:r>
      <w:r>
        <w:rPr>
          <w:rFonts w:hint="eastAsia" w:ascii="微软雅黑" w:hAnsi="微软雅黑" w:cs="Arial Unicode MS"/>
          <w:kern w:val="2"/>
          <w:sz w:val="21"/>
          <w:szCs w:val="21"/>
          <w:lang w:eastAsia="zh-CN"/>
        </w:rPr>
        <w:t>，</w:t>
      </w:r>
      <w:r>
        <w:rPr>
          <w:rFonts w:hint="eastAsia" w:ascii="微软雅黑" w:hAnsi="微软雅黑" w:cs="微软雅黑"/>
          <w:sz w:val="21"/>
        </w:rPr>
        <w:t>研究表明，该突变抑制 AMPK 信号传导，导致细胞侵袭性生长，促进小鼠模型中的肿瘤发展[24857548]。</w:t>
      </w:r>
      <w:r>
        <w:rPr>
          <w:rFonts w:hint="eastAsia" w:ascii="微软雅黑" w:hAnsi="微软雅黑" w:cs="Arial Unicode MS"/>
          <w:kern w:val="2"/>
          <w:sz w:val="21"/>
          <w:szCs w:val="21"/>
          <w:lang w:eastAsia="zh-CN"/>
        </w:rPr>
        <w:t>AZD1775是一种WEE1激酶抑制剂，可以控制细胞分裂周期的G2检验点，TP53缺失的肿</w:t>
      </w:r>
      <w:r>
        <w:rPr>
          <w:rFonts w:hint="eastAsia" w:ascii="微软雅黑" w:hAnsi="微软雅黑" w:cs="Arial Unicode MS"/>
          <w:kern w:val="2"/>
          <w:sz w:val="21"/>
          <w:szCs w:val="21"/>
        </w:rPr>
        <w:t>瘤细胞对其敏感[28978051]。目前该药正处于临床期。FDA批准</w:t>
      </w:r>
      <w:r>
        <w:rPr>
          <w:rFonts w:hint="eastAsia" w:ascii="微软雅黑" w:hAnsi="微软雅黑" w:cs="Arial Unicode MS"/>
          <w:kern w:val="2"/>
          <w:sz w:val="21"/>
          <w:szCs w:val="21"/>
          <w:lang w:eastAsia="zh-CN"/>
        </w:rPr>
        <w:t>奥拉帕利</w:t>
      </w:r>
      <w:r>
        <w:rPr>
          <w:rFonts w:hint="eastAsia" w:ascii="微软雅黑" w:hAnsi="微软雅黑" w:cs="Arial Unicode MS"/>
          <w:kern w:val="2"/>
          <w:sz w:val="21"/>
          <w:szCs w:val="21"/>
        </w:rPr>
        <w:t>用于上皮性卵巢癌、输卵管癌</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rPr>
        <w:t>原发性腹膜癌患者</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lang w:val="en-US" w:eastAsia="zh-CN"/>
        </w:rPr>
        <w:t>胰腺癌、</w:t>
      </w:r>
      <w:r>
        <w:rPr>
          <w:rFonts w:hint="eastAsia" w:ascii="微软雅黑" w:hAnsi="微软雅黑" w:cs="微软雅黑"/>
          <w:b w:val="0"/>
          <w:bCs w:val="0"/>
          <w:kern w:val="2"/>
          <w:sz w:val="21"/>
          <w:szCs w:val="24"/>
          <w:vertAlign w:val="baseline"/>
          <w:lang w:val="en-US" w:eastAsia="zh-CN"/>
        </w:rPr>
        <w:t>乳腺癌，以及前列腺癌；NMPA批准奥拉帕利用于卵巢癌以及前列腺癌。</w:t>
      </w:r>
    </w:p>
    <w:p w14:paraId="3EA22DF3">
      <w:pPr>
        <w:spacing w:after="0"/>
        <w:jc w:val="both"/>
        <w:rPr>
          <w:b/>
          <w:bCs/>
          <w:kern w:val="2"/>
        </w:rPr>
      </w:pPr>
      <w:r>
        <w:rPr>
          <w:rFonts w:hint="eastAsia"/>
          <w:b/>
          <w:bCs/>
          <w:kern w:val="2"/>
        </w:rPr>
        <w:t>药物疗效临床解析：</w:t>
      </w:r>
    </w:p>
    <w:p w14:paraId="3EEE2F85">
      <w:pPr>
        <w:ind w:firstLine="420" w:firstLineChars="200"/>
        <w:jc w:val="both"/>
        <w:rPr>
          <w:rFonts w:hint="eastAsia" w:ascii="微软雅黑" w:hAnsi="微软雅黑" w:cs="Arial Unicode MS"/>
          <w:kern w:val="2"/>
          <w:sz w:val="21"/>
          <w:szCs w:val="21"/>
        </w:rPr>
      </w:pPr>
      <w:r>
        <w:rPr>
          <w:rFonts w:hint="eastAsia" w:ascii="微软雅黑" w:hAnsi="微软雅黑" w:cs="Arial Unicode MS"/>
          <w:kern w:val="2"/>
          <w:sz w:val="21"/>
          <w:szCs w:val="21"/>
        </w:rPr>
        <w:t>一项临床I期研究评估了AZD1775单药治疗或联合化药治疗难治性实体瘤的安全性、耐受性、药代动力学、药效动力学。该研究分成两部分，第一部分：患者接受单次剂量AZD1775的治疗，随后观察14天；第二部分：患者接受AZD1775联合吉西他滨或顺铂或卡铂的治疗，观察患者的疾病稳定和缓解情况。该研究共招募了202名患者，第一部分包含9名患者，患者接受单次剂量AZD1775的治疗后，耐受良好，未达到最大耐受剂量。接受AZD1775联合化药治疗的患者，常见的不良反应事件包括：疲劳、恶心呕吐、腹泻和血液毒性。最终有176名患者接受了评估，94名（53%）患者疾病稳定，17名（10%）患者得到部分缓解。携带TP53突变的患者组反应率高于TP53野生型的患者组（21% vs. 12%）。该研究表明，AZD1775单药或联合化药在治疗实体瘤中的耐受良好，有潜在的抗肿瘤活性[27601554]。一项由New York University School of Medicine举办的AZD1775联合伊立替康治疗RAS突变或BRAF突变一线治疗失败的转移性结直肠癌的临床I期研究</w:t>
      </w:r>
      <w:r>
        <w:rPr>
          <w:rFonts w:hint="eastAsia" w:ascii="微软雅黑" w:hAnsi="微软雅黑" w:cs="Arial Unicode MS"/>
          <w:kern w:val="2"/>
          <w:sz w:val="21"/>
          <w:szCs w:val="21"/>
          <w:lang w:val="en-US" w:eastAsia="zh-CN"/>
        </w:rPr>
        <w:t>已完成，但数据尚未公布</w:t>
      </w:r>
      <w:r>
        <w:rPr>
          <w:rFonts w:hint="eastAsia" w:ascii="微软雅黑" w:hAnsi="微软雅黑" w:cs="Arial Unicode MS"/>
          <w:kern w:val="2"/>
          <w:sz w:val="21"/>
          <w:szCs w:val="21"/>
        </w:rPr>
        <w:t>[NCT02906059]。AZD1775联合奥拉帕利用于治疗携带KRAS突变或TP53突变的实体瘤患者或者同时携带KRAS突变和TP53突变的实体瘤患者的临床试验正在</w:t>
      </w:r>
      <w:r>
        <w:rPr>
          <w:rFonts w:hint="eastAsia" w:ascii="微软雅黑" w:hAnsi="微软雅黑" w:cs="Arial Unicode MS"/>
          <w:kern w:val="2"/>
          <w:sz w:val="21"/>
          <w:szCs w:val="21"/>
          <w:lang w:val="en-US" w:eastAsia="zh-CN"/>
        </w:rPr>
        <w:t>开展，不招募患者</w:t>
      </w:r>
      <w:r>
        <w:rPr>
          <w:rFonts w:hint="eastAsia" w:ascii="微软雅黑" w:hAnsi="微软雅黑" w:cs="Arial Unicode MS"/>
          <w:kern w:val="2"/>
          <w:sz w:val="21"/>
          <w:szCs w:val="21"/>
        </w:rPr>
        <w:t>[NCT02576444]。</w:t>
      </w:r>
    </w:p>
    <w:p w14:paraId="2B3009E2">
      <w:pPr>
        <w:numPr>
          <w:ilvl w:val="0"/>
          <w:numId w:val="13"/>
        </w:numPr>
        <w:spacing w:before="200"/>
        <w:ind w:left="420" w:hanging="420"/>
        <w:rPr>
          <w:rFonts w:ascii="微软雅黑" w:hAnsi="微软雅黑" w:cs="微软雅黑"/>
          <w:b/>
          <w:bCs/>
          <w:sz w:val="24"/>
          <w:szCs w:val="24"/>
        </w:rPr>
      </w:pPr>
      <w:r>
        <w:fldChar w:fldCharType="begin"/>
      </w:r>
      <w:r>
        <w:instrText xml:space="preserve"> HYPERLINK \l "重要基因变异及潜在靶向药物信息" </w:instrText>
      </w:r>
      <w:r>
        <w:fldChar w:fldCharType="separate"/>
      </w:r>
      <w:r>
        <w:rPr>
          <w:rStyle w:val="23"/>
          <w:rFonts w:hint="eastAsia" w:ascii="微软雅黑" w:hAnsi="微软雅黑" w:cs="微软雅黑"/>
          <w:b/>
          <w:bCs/>
          <w:color w:val="0000FF"/>
          <w:sz w:val="24"/>
          <w:szCs w:val="24"/>
        </w:rPr>
        <w:t>Alisertib</w:t>
      </w:r>
      <w:r>
        <w:rPr>
          <w:rStyle w:val="23"/>
          <w:rFonts w:hint="eastAsia" w:ascii="微软雅黑" w:hAnsi="微软雅黑" w:cs="微软雅黑"/>
          <w:b/>
          <w:bCs/>
          <w:color w:val="0000FF"/>
          <w:sz w:val="24"/>
          <w:szCs w:val="24"/>
        </w:rPr>
        <w:fldChar w:fldCharType="end"/>
      </w:r>
      <w:r>
        <w:rPr>
          <w:rStyle w:val="21"/>
          <w:rFonts w:hint="eastAsia" w:ascii="微软雅黑" w:hAnsi="微软雅黑" w:cs="微软雅黑"/>
          <w:b/>
          <w:bCs/>
          <w:color w:val="0000FF"/>
          <w:sz w:val="24"/>
          <w:szCs w:val="24"/>
        </w:rPr>
        <w:t>、</w:t>
      </w:r>
      <w:r>
        <w:fldChar w:fldCharType="begin"/>
      </w:r>
      <w:r>
        <w:instrText xml:space="preserve"> HYPERLINK \l "重要基因变异及潜在靶向药物信息" </w:instrText>
      </w:r>
      <w:r>
        <w:fldChar w:fldCharType="separate"/>
      </w:r>
      <w:r>
        <w:rPr>
          <w:rStyle w:val="23"/>
          <w:rFonts w:hint="eastAsia" w:ascii="微软雅黑" w:hAnsi="微软雅黑" w:cs="微软雅黑"/>
          <w:b/>
          <w:bCs/>
          <w:color w:val="0000FF"/>
          <w:sz w:val="24"/>
          <w:szCs w:val="24"/>
        </w:rPr>
        <w:t>Alisertib</w:t>
      </w:r>
      <w:r>
        <w:rPr>
          <w:rStyle w:val="23"/>
          <w:rFonts w:hint="eastAsia" w:ascii="微软雅黑" w:hAnsi="微软雅黑" w:cs="微软雅黑"/>
          <w:b/>
          <w:bCs/>
          <w:color w:val="0000FF"/>
          <w:sz w:val="24"/>
          <w:szCs w:val="24"/>
        </w:rPr>
        <w:fldChar w:fldCharType="end"/>
      </w:r>
      <w:r>
        <w:rPr>
          <w:rStyle w:val="21"/>
          <w:rFonts w:hint="eastAsia" w:ascii="微软雅黑" w:hAnsi="微软雅黑" w:cs="微软雅黑"/>
          <w:b/>
          <w:bCs/>
          <w:color w:val="0000FF"/>
          <w:sz w:val="24"/>
          <w:szCs w:val="24"/>
        </w:rPr>
        <w:t>+AZD1775</w:t>
      </w:r>
    </w:p>
    <w:p w14:paraId="58D35E07">
      <w:pPr>
        <w:spacing w:after="0"/>
        <w:jc w:val="both"/>
        <w:rPr>
          <w:rFonts w:ascii="微软雅黑" w:hAnsi="微软雅黑" w:cs="Arial Unicode MS"/>
          <w:kern w:val="2"/>
          <w:sz w:val="21"/>
          <w:szCs w:val="21"/>
        </w:rPr>
      </w:pPr>
      <w:r>
        <w:rPr>
          <w:rFonts w:hint="eastAsia"/>
          <w:b/>
          <w:bCs/>
          <w:kern w:val="2"/>
        </w:rPr>
        <w:t>基因变异与药物关联分析：</w:t>
      </w:r>
    </w:p>
    <w:p w14:paraId="6CF240B6">
      <w:pPr>
        <w:spacing w:after="0"/>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rPr>
        <w:t>该样本检出TP53基因c.844C&gt;T，p.R282W</w:t>
      </w:r>
      <w:r>
        <w:rPr>
          <w:rFonts w:hint="eastAsia" w:ascii="微软雅黑" w:hAnsi="微软雅黑" w:cs="Arial Unicode MS"/>
          <w:kern w:val="2"/>
          <w:sz w:val="21"/>
          <w:szCs w:val="21"/>
          <w:lang w:val="en-US" w:eastAsia="zh-CN"/>
        </w:rPr>
        <w:t>错义</w:t>
      </w:r>
      <w:r>
        <w:rPr>
          <w:rFonts w:hint="eastAsia" w:ascii="微软雅黑" w:hAnsi="微软雅黑" w:cs="微软雅黑"/>
          <w:sz w:val="21"/>
        </w:rPr>
        <w:t>突变</w:t>
      </w:r>
      <w:r>
        <w:rPr>
          <w:rFonts w:hint="eastAsia" w:ascii="微软雅黑" w:hAnsi="微软雅黑" w:cs="Arial Unicode MS"/>
          <w:kern w:val="2"/>
          <w:sz w:val="21"/>
          <w:szCs w:val="21"/>
          <w:lang w:eastAsia="zh-CN"/>
        </w:rPr>
        <w:t>，</w:t>
      </w:r>
      <w:r>
        <w:rPr>
          <w:rFonts w:hint="eastAsia" w:ascii="微软雅黑" w:hAnsi="微软雅黑" w:cs="微软雅黑"/>
          <w:sz w:val="21"/>
        </w:rPr>
        <w:t>研究表明，该突变抑制 AMPK 信号传导，导致细胞侵袭性生长，促进小鼠模型中的肿瘤发展[24857548]。</w:t>
      </w:r>
      <w:r>
        <w:rPr>
          <w:rFonts w:hint="eastAsia" w:ascii="微软雅黑" w:hAnsi="微软雅黑" w:cs="Arial Unicode MS"/>
          <w:kern w:val="2"/>
          <w:sz w:val="21"/>
          <w:szCs w:val="21"/>
          <w:highlight w:val="none"/>
        </w:rPr>
        <w:t>Alisertib是一种ATP竞争性的极光激酶A（AURKA）抑制剂，通过与AURKA激酶的T288结合而抑制AURKA</w:t>
      </w:r>
      <w:r>
        <w:rPr>
          <w:rFonts w:hint="eastAsia" w:ascii="微软雅黑" w:hAnsi="微软雅黑" w:cs="Arial Unicode MS"/>
          <w:kern w:val="2"/>
          <w:sz w:val="21"/>
          <w:szCs w:val="21"/>
        </w:rPr>
        <w:t>的磷酸化及活化。临床前研究表明，Alisertib可以诱导细胞停滞在G2/M期，引起胃肠道上部肿瘤细胞的凋亡。同时，Alisertib可以下调肿瘤细胞内的多个致癌信号通路，例如NF-κB、AKT、STAT3。多项研究表明，Alisertib可以使p53和p73活化[25987188]。目前该药正处于临床期。AZD1775是一种WEE1激酶抑制剂，可以控制细胞分裂周期的G2检验点，TP53缺失的肿瘤细胞对其敏感[28978051]。目前该药正处于临床期。</w:t>
      </w:r>
    </w:p>
    <w:p w14:paraId="37770A6E">
      <w:pPr>
        <w:spacing w:after="0"/>
        <w:jc w:val="both"/>
        <w:rPr>
          <w:rFonts w:hint="eastAsia"/>
          <w:b/>
          <w:bCs/>
          <w:kern w:val="2"/>
        </w:rPr>
      </w:pPr>
      <w:r>
        <w:rPr>
          <w:rFonts w:hint="eastAsia"/>
          <w:b/>
          <w:bCs/>
          <w:kern w:val="2"/>
        </w:rPr>
        <w:t>药物疗效临床解析：</w:t>
      </w:r>
    </w:p>
    <w:p w14:paraId="3AA0EC12">
      <w:pPr>
        <w:numPr>
          <w:ilvl w:val="-1"/>
          <w:numId w:val="0"/>
        </w:numPr>
        <w:spacing w:before="0" w:after="0"/>
        <w:ind w:left="0" w:firstLine="420" w:firstLineChars="200"/>
        <w:jc w:val="both"/>
        <w:rPr>
          <w:rFonts w:hint="eastAsia" w:ascii="微软雅黑" w:hAnsi="微软雅黑" w:cs="Arial Unicode MS"/>
          <w:kern w:val="2"/>
          <w:sz w:val="21"/>
          <w:szCs w:val="21"/>
        </w:rPr>
      </w:pPr>
      <w:r>
        <w:rPr>
          <w:rFonts w:hint="eastAsia" w:ascii="微软雅黑" w:hAnsi="微软雅黑" w:cs="Arial Unicode MS"/>
          <w:kern w:val="2"/>
          <w:sz w:val="21"/>
          <w:szCs w:val="21"/>
        </w:rPr>
        <w:t>一项Alisertib单药治疗实体瘤患者的临床 I 期研究中，Alisertib显示出初步的抗肿瘤活性，37%的患者疾病稳定，而且在某些实体瘤患者中（结直肠癌、软骨肉瘤、平滑肌肉瘤、脂肪肉瘤）疾病稳定超过6个月，同时治疗相关的不良反应控制的很好[22753585]。体内和体外研究显示，Alisertib单药能够抑制TP53突变的头颈部鳞状细胞癌（HNSCC）细胞系的有丝分裂，导致细胞生长停滞，并且Alisertib联合AZD1775能够产生协同抗肿瘤作用，延长总生存期，是TP53突变的癌症的潜在的治疗方法[30755439]。</w:t>
      </w:r>
    </w:p>
    <w:p w14:paraId="1D5A6276">
      <w:pPr>
        <w:numPr>
          <w:ilvl w:val="0"/>
          <w:numId w:val="13"/>
        </w:numPr>
        <w:spacing w:before="200"/>
        <w:ind w:left="420" w:hanging="420"/>
        <w:rPr>
          <w:rFonts w:ascii="微软雅黑" w:hAnsi="微软雅黑" w:cs="微软雅黑"/>
          <w:b/>
          <w:bCs/>
          <w:sz w:val="24"/>
          <w:szCs w:val="24"/>
        </w:rPr>
      </w:pPr>
      <w:r>
        <w:fldChar w:fldCharType="begin"/>
      </w:r>
      <w:r>
        <w:instrText xml:space="preserve"> HYPERLINK \l "重要基因变异及潜在靶向药物信息" </w:instrText>
      </w:r>
      <w:r>
        <w:fldChar w:fldCharType="separate"/>
      </w:r>
      <w:r>
        <w:rPr>
          <w:rStyle w:val="23"/>
          <w:rFonts w:hint="eastAsia" w:ascii="微软雅黑" w:hAnsi="微软雅黑" w:cs="微软雅黑"/>
          <w:b/>
          <w:bCs/>
          <w:color w:val="0000FF"/>
          <w:sz w:val="24"/>
          <w:szCs w:val="24"/>
          <w:lang w:eastAsia="zh-CN"/>
        </w:rPr>
        <w:t>Eprenetapopt</w:t>
      </w:r>
      <w:r>
        <w:rPr>
          <w:rStyle w:val="23"/>
          <w:rFonts w:hint="eastAsia" w:ascii="微软雅黑" w:hAnsi="微软雅黑" w:cs="微软雅黑"/>
          <w:b/>
          <w:bCs/>
          <w:color w:val="0000FF"/>
          <w:sz w:val="24"/>
          <w:szCs w:val="24"/>
        </w:rPr>
        <w:fldChar w:fldCharType="end"/>
      </w:r>
    </w:p>
    <w:p w14:paraId="4A16E274">
      <w:pPr>
        <w:spacing w:beforeLines="50" w:after="0"/>
        <w:jc w:val="both"/>
        <w:rPr>
          <w:b/>
          <w:bCs/>
          <w:kern w:val="2"/>
        </w:rPr>
      </w:pPr>
      <w:r>
        <w:rPr>
          <w:rFonts w:hint="eastAsia"/>
          <w:b/>
          <w:bCs/>
          <w:kern w:val="2"/>
        </w:rPr>
        <w:t>基因变异与药物关联分析：</w:t>
      </w:r>
    </w:p>
    <w:p w14:paraId="7831E2FB">
      <w:pPr>
        <w:spacing w:after="0"/>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rPr>
        <w:t>该样本检出TP53基因c.844C&gt;T，p.R282W</w:t>
      </w:r>
      <w:r>
        <w:rPr>
          <w:rFonts w:hint="eastAsia" w:ascii="微软雅黑" w:hAnsi="微软雅黑" w:cs="Arial Unicode MS"/>
          <w:kern w:val="2"/>
          <w:sz w:val="21"/>
          <w:szCs w:val="21"/>
          <w:lang w:val="en-US" w:eastAsia="zh-CN"/>
        </w:rPr>
        <w:t>错义</w:t>
      </w:r>
      <w:r>
        <w:rPr>
          <w:rFonts w:hint="eastAsia" w:ascii="微软雅黑" w:hAnsi="微软雅黑" w:cs="微软雅黑"/>
          <w:sz w:val="21"/>
        </w:rPr>
        <w:t>突变</w:t>
      </w:r>
      <w:r>
        <w:rPr>
          <w:rFonts w:hint="eastAsia" w:ascii="微软雅黑" w:hAnsi="微软雅黑" w:cs="Arial Unicode MS"/>
          <w:kern w:val="2"/>
          <w:sz w:val="21"/>
          <w:szCs w:val="21"/>
          <w:lang w:eastAsia="zh-CN"/>
        </w:rPr>
        <w:t>，</w:t>
      </w:r>
      <w:r>
        <w:rPr>
          <w:rFonts w:hint="eastAsia" w:ascii="微软雅黑" w:hAnsi="微软雅黑" w:cs="微软雅黑"/>
          <w:sz w:val="21"/>
        </w:rPr>
        <w:t>研究表明，该突变抑制 AMPK 信号传导，导致细胞侵袭性生长，促进小鼠模型中的肿瘤发展[24857548]。</w:t>
      </w:r>
      <w:r>
        <w:rPr>
          <w:rFonts w:hint="eastAsia" w:ascii="微软雅黑" w:hAnsi="微软雅黑" w:cs="微软雅黑"/>
          <w:sz w:val="21"/>
          <w:lang w:val="en-US" w:eastAsia="zh-CN"/>
        </w:rPr>
        <w:t>E</w:t>
      </w:r>
      <w:r>
        <w:rPr>
          <w:rFonts w:hint="eastAsia" w:ascii="微软雅黑" w:hAnsi="微软雅黑" w:cs="Arial Unicode MS"/>
          <w:kern w:val="2"/>
          <w:sz w:val="21"/>
          <w:szCs w:val="21"/>
          <w:lang w:eastAsia="zh-CN"/>
        </w:rPr>
        <w:t>prenetapopt（APR-246）</w:t>
      </w:r>
      <w:r>
        <w:rPr>
          <w:rFonts w:hint="eastAsia" w:ascii="微软雅黑" w:hAnsi="微软雅黑" w:cs="Arial Unicode MS"/>
          <w:kern w:val="2"/>
          <w:sz w:val="21"/>
          <w:szCs w:val="21"/>
        </w:rPr>
        <w:t>又名PRIMA-1MET，是第一个处于临床阶段的p53突变体激活剂，并能诱导细胞凋亡[26086967]。</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 xml:space="preserve">是一种前体药物，被转变为Michael acceptor methylene quinuclidinone （MQ）后与p53 蛋白的丝氨酸结合，重折叠后恢复野生p53蛋白的活性，另外MQ通过抑制 TrxR1 酶的活性和消耗谷胱甘肽来维持胞内的氧化还原平衡，具有双重作用机制。从而 </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 xml:space="preserve"> 能有效的诱导肿瘤细胞死亡，还能克服对其他抗肿瘤药物的耐药性，对p53失活或突变的患者有效[26870698]。目前该药正处于临床期。</w:t>
      </w:r>
    </w:p>
    <w:p w14:paraId="79A89B19">
      <w:pPr>
        <w:spacing w:after="0"/>
        <w:jc w:val="both"/>
        <w:rPr>
          <w:b/>
          <w:bCs/>
          <w:kern w:val="2"/>
        </w:rPr>
      </w:pPr>
      <w:r>
        <w:rPr>
          <w:rFonts w:hint="eastAsia"/>
          <w:b/>
          <w:bCs/>
          <w:kern w:val="2"/>
        </w:rPr>
        <w:t>药物疗效临床解析：</w:t>
      </w:r>
    </w:p>
    <w:p w14:paraId="1E878C79">
      <w:pPr>
        <w:keepNext w:val="0"/>
        <w:keepLines w:val="0"/>
        <w:pageBreakBefore w:val="0"/>
        <w:numPr>
          <w:ilvl w:val="-1"/>
          <w:numId w:val="0"/>
        </w:numPr>
        <w:kinsoku/>
        <w:wordWrap/>
        <w:overflowPunct/>
        <w:topLinePunct w:val="0"/>
        <w:autoSpaceDE/>
        <w:autoSpaceDN/>
        <w:bidi w:val="0"/>
        <w:spacing w:before="0" w:beforeLines="0" w:beforeAutospacing="0" w:after="0" w:afterLines="0"/>
        <w:ind w:left="0" w:firstLine="495"/>
        <w:jc w:val="both"/>
        <w:outlineLvl w:val="9"/>
        <w:rPr>
          <w:rFonts w:hint="eastAsia" w:ascii="微软雅黑" w:hAnsi="微软雅黑" w:cs="Arial Unicode MS"/>
          <w:kern w:val="2"/>
          <w:sz w:val="21"/>
          <w:szCs w:val="21"/>
          <w:lang w:val="en-US" w:eastAsia="zh-CN"/>
        </w:rPr>
      </w:pPr>
      <w:r>
        <w:rPr>
          <w:rFonts w:hint="eastAsia" w:ascii="微软雅黑" w:hAnsi="微软雅黑" w:cs="Arial Unicode MS"/>
          <w:kern w:val="2"/>
          <w:sz w:val="21"/>
          <w:szCs w:val="21"/>
        </w:rPr>
        <w:t>体外研究显示，</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能抑制肿瘤细胞生长。在体内不同的肿瘤类型和模型中，</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能以p53依赖的方式诱导细胞凋亡。</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用于治疗恶性血液肿瘤和前列腺癌患者的研究显示，</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可有效的增强肿瘤细胞的凋亡，细胞周期停滞及上调TP53基因[NCT02098343，22965953]。研究显示，在p53突变的胰腺癌细胞系中，</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可通过重激活p53诱导细胞凋亡，在联合治疗中</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可增加多种化疗药物对胰腺癌细胞系的抗肿瘤活性[24838627]。有研究表明，</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能够在具有突变型p53的结直肠癌细胞中强烈诱导细胞凋亡。在人类异种移植肿瘤模型中，</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能有效抑制结直肠癌肿瘤的生长[26452133]。</w:t>
      </w:r>
      <w:r>
        <w:rPr>
          <w:rFonts w:hint="eastAsia" w:ascii="微软雅黑" w:hAnsi="微软雅黑" w:cs="Arial Unicode MS"/>
          <w:kern w:val="2"/>
          <w:sz w:val="21"/>
          <w:szCs w:val="21"/>
          <w:lang w:val="en-US" w:eastAsia="zh-CN"/>
        </w:rPr>
        <w:t>一项Ib/II期试验显示，Eprenetapopt联合阿扎胞苷（azacitidine）治疗TP53突变型骨髓增生异常综合征（MDS）和少突细胞急性髓细胞白血病（AML）患者时，耐受性良好，并产生了高临床缓解率和分子缓解率[NCT03072043]。</w:t>
      </w:r>
    </w:p>
    <w:p w14:paraId="49C18600">
      <w:pPr>
        <w:keepNext w:val="0"/>
        <w:keepLines w:val="0"/>
        <w:pageBreakBefore w:val="0"/>
        <w:widowControl/>
        <w:numPr>
          <w:ilvl w:val="0"/>
          <w:numId w:val="11"/>
        </w:numPr>
        <w:kinsoku/>
        <w:wordWrap/>
        <w:overflowPunct/>
        <w:topLinePunct w:val="0"/>
        <w:autoSpaceDE/>
        <w:autoSpaceDN/>
        <w:bidi w:val="0"/>
        <w:adjustRightInd w:val="0"/>
        <w:snapToGrid w:val="0"/>
        <w:spacing w:before="200" w:after="200" w:line="240" w:lineRule="auto"/>
        <w:ind w:left="420" w:leftChars="0" w:right="0" w:rightChars="0" w:hanging="420" w:firstLineChars="0"/>
        <w:jc w:val="left"/>
        <w:textAlignment w:val="auto"/>
        <w:outlineLvl w:val="9"/>
        <w:rPr>
          <w:rStyle w:val="21"/>
          <w:rFonts w:hint="eastAsia" w:ascii="微软雅黑" w:hAnsi="微软雅黑" w:cs="微软雅黑"/>
          <w:b/>
          <w:bCs/>
          <w:color w:val="FF0000"/>
          <w:kern w:val="0"/>
          <w:sz w:val="24"/>
          <w:szCs w:val="24"/>
          <w:highlight w:val="none"/>
          <w:u w:val="none"/>
          <w:lang w:val="en-US" w:eastAsia="zh-CN"/>
        </w:rPr>
      </w:pPr>
      <w:r>
        <w:rPr>
          <w:rStyle w:val="21"/>
          <w:rFonts w:hint="eastAsia" w:ascii="微软雅黑" w:hAnsi="微软雅黑" w:cs="微软雅黑"/>
          <w:b/>
          <w:bCs/>
          <w:color w:val="FF0000"/>
          <w:kern w:val="0"/>
          <w:sz w:val="24"/>
          <w:szCs w:val="24"/>
          <w:highlight w:val="none"/>
          <w:u w:val="none"/>
          <w:lang w:val="en-US" w:eastAsia="zh-CN"/>
        </w:rPr>
        <w:t>KRAS：c.34G&gt;A，p.G12S突变相应靶向药物</w:t>
      </w:r>
    </w:p>
    <w:p w14:paraId="548AAB05">
      <w:pPr>
        <w:keepNext w:val="0"/>
        <w:keepLines w:val="0"/>
        <w:pageBreakBefore w:val="0"/>
        <w:widowControl/>
        <w:numPr>
          <w:ilvl w:val="0"/>
          <w:numId w:val="13"/>
        </w:numPr>
        <w:kinsoku/>
        <w:wordWrap/>
        <w:overflowPunct/>
        <w:topLinePunct w:val="0"/>
        <w:autoSpaceDE/>
        <w:autoSpaceDN/>
        <w:bidi w:val="0"/>
        <w:adjustRightInd w:val="0"/>
        <w:snapToGrid w:val="0"/>
        <w:spacing w:before="200"/>
        <w:ind w:left="420" w:leftChars="0" w:hanging="420" w:firstLineChars="0"/>
        <w:jc w:val="both"/>
        <w:textAlignment w:val="auto"/>
        <w:rPr>
          <w:rFonts w:hint="eastAsia" w:ascii="微软雅黑" w:hAnsi="微软雅黑" w:eastAsia="微软雅黑" w:cs="微软雅黑"/>
          <w:b/>
          <w:bCs/>
          <w:sz w:val="24"/>
          <w:szCs w:val="24"/>
          <w:highlight w:val="none"/>
          <w:lang w:val="en-US" w:eastAsia="zh-CN"/>
        </w:rPr>
      </w:pPr>
      <w:r>
        <w:rPr>
          <w:rFonts w:hint="eastAsia" w:ascii="微软雅黑" w:hAnsi="微软雅黑" w:cs="微软雅黑"/>
          <w:b/>
          <w:bCs/>
          <w:color w:val="0000FF"/>
          <w:kern w:val="0"/>
          <w:sz w:val="24"/>
          <w:szCs w:val="24"/>
          <w:highlight w:val="none"/>
          <w:u w:val="single"/>
          <w:lang w:eastAsia="zh-CN"/>
        </w:rPr>
        <w:t>曲美替尼</w:t>
      </w:r>
      <w:r>
        <w:rPr>
          <w:rFonts w:hint="eastAsia" w:ascii="微软雅黑" w:hAnsi="微软雅黑" w:cs="微软雅黑"/>
          <w:b/>
          <w:bCs/>
          <w:color w:val="0000FF"/>
          <w:kern w:val="0"/>
          <w:sz w:val="24"/>
          <w:szCs w:val="24"/>
          <w:highlight w:val="none"/>
          <w:u w:val="single"/>
          <w:lang w:val="en-US" w:eastAsia="zh-CN"/>
        </w:rPr>
        <w:t>（</w:t>
      </w:r>
      <w:r>
        <w:rPr>
          <w:rStyle w:val="21"/>
          <w:rFonts w:hint="eastAsia" w:ascii="微软雅黑" w:hAnsi="微软雅黑" w:cs="微软雅黑"/>
          <w:b/>
          <w:bCs/>
          <w:color w:val="0000FF"/>
          <w:kern w:val="0"/>
          <w:sz w:val="24"/>
          <w:szCs w:val="24"/>
          <w:highlight w:val="none"/>
          <w:u w:val="single"/>
          <w:lang w:eastAsia="zh-CN"/>
        </w:rPr>
        <w:t>Trametinib</w:t>
      </w:r>
      <w:r>
        <w:rPr>
          <w:rFonts w:hint="eastAsia" w:ascii="微软雅黑" w:hAnsi="微软雅黑" w:cs="微软雅黑"/>
          <w:b/>
          <w:bCs/>
          <w:color w:val="0000FF"/>
          <w:kern w:val="0"/>
          <w:sz w:val="24"/>
          <w:szCs w:val="24"/>
          <w:highlight w:val="none"/>
          <w:u w:val="single"/>
          <w:lang w:val="en-US" w:eastAsia="zh-CN"/>
        </w:rPr>
        <w:t>）+Navitoclax、帕尼单抗+曲美替尼（Panitumumab+</w:t>
      </w:r>
      <w:r>
        <w:rPr>
          <w:rStyle w:val="21"/>
          <w:rFonts w:hint="eastAsia" w:ascii="微软雅黑" w:hAnsi="微软雅黑" w:cs="微软雅黑"/>
          <w:b/>
          <w:bCs/>
          <w:color w:val="0000FF"/>
          <w:kern w:val="0"/>
          <w:sz w:val="24"/>
          <w:szCs w:val="24"/>
          <w:highlight w:val="none"/>
          <w:u w:val="single"/>
          <w:lang w:eastAsia="zh-CN"/>
        </w:rPr>
        <w:t>Trametinib</w:t>
      </w:r>
      <w:r>
        <w:rPr>
          <w:rFonts w:hint="eastAsia" w:ascii="微软雅黑" w:hAnsi="微软雅黑" w:cs="微软雅黑"/>
          <w:b/>
          <w:bCs/>
          <w:color w:val="0000FF"/>
          <w:kern w:val="0"/>
          <w:sz w:val="24"/>
          <w:szCs w:val="24"/>
          <w:highlight w:val="none"/>
          <w:u w:val="single"/>
          <w:lang w:val="en-US" w:eastAsia="zh-CN"/>
        </w:rPr>
        <w:t>）、</w:t>
      </w:r>
      <w:r>
        <w:rPr>
          <w:rStyle w:val="21"/>
          <w:rFonts w:hint="eastAsia" w:ascii="微软雅黑" w:hAnsi="微软雅黑" w:cs="微软雅黑"/>
          <w:b/>
          <w:bCs/>
          <w:color w:val="0000FF"/>
          <w:kern w:val="0"/>
          <w:sz w:val="24"/>
          <w:szCs w:val="24"/>
          <w:highlight w:val="none"/>
          <w:u w:val="single"/>
          <w:lang w:val="en-US" w:eastAsia="zh-CN"/>
        </w:rPr>
        <w:t>贝美替尼+哌柏西利</w:t>
      </w:r>
      <w:r>
        <w:rPr>
          <w:rStyle w:val="21"/>
          <w:rFonts w:hint="eastAsia" w:ascii="微软雅黑" w:hAnsi="微软雅黑" w:cs="微软雅黑"/>
          <w:b/>
          <w:bCs/>
          <w:color w:val="0000FF"/>
          <w:kern w:val="0"/>
          <w:sz w:val="24"/>
          <w:szCs w:val="24"/>
          <w:highlight w:val="none"/>
          <w:u w:val="single"/>
          <w:lang w:eastAsia="zh-CN"/>
        </w:rPr>
        <w:t>（Binimetinib</w:t>
      </w:r>
      <w:r>
        <w:rPr>
          <w:rStyle w:val="21"/>
          <w:rFonts w:hint="eastAsia" w:ascii="微软雅黑" w:hAnsi="微软雅黑" w:cs="微软雅黑"/>
          <w:b/>
          <w:bCs/>
          <w:color w:val="0000FF"/>
          <w:kern w:val="0"/>
          <w:sz w:val="24"/>
          <w:szCs w:val="24"/>
          <w:highlight w:val="none"/>
          <w:u w:val="single"/>
          <w:lang w:val="en-US" w:eastAsia="zh-CN"/>
        </w:rPr>
        <w:t>+Palbociclib</w:t>
      </w:r>
      <w:r>
        <w:rPr>
          <w:rStyle w:val="21"/>
          <w:rFonts w:hint="eastAsia" w:ascii="微软雅黑" w:hAnsi="微软雅黑" w:cs="微软雅黑"/>
          <w:b/>
          <w:bCs/>
          <w:color w:val="0000FF"/>
          <w:kern w:val="0"/>
          <w:sz w:val="24"/>
          <w:szCs w:val="24"/>
          <w:highlight w:val="none"/>
          <w:u w:val="single"/>
          <w:lang w:eastAsia="zh-CN"/>
        </w:rPr>
        <w:t>）、BI 1701963、BI 1701963</w:t>
      </w:r>
      <w:r>
        <w:rPr>
          <w:rStyle w:val="21"/>
          <w:rFonts w:hint="eastAsia" w:ascii="微软雅黑" w:hAnsi="微软雅黑" w:cs="微软雅黑"/>
          <w:b/>
          <w:bCs/>
          <w:color w:val="0000FF"/>
          <w:kern w:val="0"/>
          <w:sz w:val="24"/>
          <w:szCs w:val="24"/>
          <w:highlight w:val="none"/>
          <w:u w:val="single"/>
          <w:lang w:val="en-US" w:eastAsia="zh-CN"/>
        </w:rPr>
        <w:t>+</w:t>
      </w:r>
      <w:r>
        <w:rPr>
          <w:rFonts w:hint="eastAsia" w:ascii="微软雅黑" w:hAnsi="微软雅黑" w:cs="微软雅黑"/>
          <w:b/>
          <w:bCs/>
          <w:color w:val="0000FF"/>
          <w:kern w:val="0"/>
          <w:sz w:val="24"/>
          <w:szCs w:val="24"/>
          <w:highlight w:val="none"/>
          <w:u w:val="single"/>
          <w:lang w:eastAsia="zh-CN"/>
        </w:rPr>
        <w:t>曲美替尼</w:t>
      </w:r>
      <w:r>
        <w:rPr>
          <w:rFonts w:hint="eastAsia" w:ascii="微软雅黑" w:hAnsi="微软雅黑" w:cs="微软雅黑"/>
          <w:b/>
          <w:bCs/>
          <w:color w:val="0000FF"/>
          <w:kern w:val="0"/>
          <w:sz w:val="24"/>
          <w:szCs w:val="24"/>
          <w:highlight w:val="none"/>
          <w:u w:val="single"/>
          <w:lang w:val="en-US" w:eastAsia="zh-CN"/>
        </w:rPr>
        <w:t>（</w:t>
      </w:r>
      <w:r>
        <w:rPr>
          <w:rStyle w:val="21"/>
          <w:rFonts w:hint="eastAsia" w:ascii="微软雅黑" w:hAnsi="微软雅黑" w:cs="微软雅黑"/>
          <w:b/>
          <w:bCs/>
          <w:color w:val="0000FF"/>
          <w:kern w:val="0"/>
          <w:sz w:val="24"/>
          <w:szCs w:val="24"/>
          <w:highlight w:val="none"/>
          <w:u w:val="single"/>
          <w:lang w:eastAsia="zh-CN"/>
        </w:rPr>
        <w:t>Trametinib</w:t>
      </w:r>
      <w:r>
        <w:rPr>
          <w:rFonts w:hint="eastAsia" w:ascii="微软雅黑" w:hAnsi="微软雅黑" w:cs="微软雅黑"/>
          <w:b/>
          <w:bCs/>
          <w:color w:val="0000FF"/>
          <w:kern w:val="0"/>
          <w:sz w:val="24"/>
          <w:szCs w:val="24"/>
          <w:highlight w:val="none"/>
          <w:u w:val="single"/>
          <w:lang w:val="en-US" w:eastAsia="zh-CN"/>
        </w:rPr>
        <w:t>）、奈拉替尼+曲美替尼（Neratinib+Trametinib）、福巴替尼+贝美替尼</w:t>
      </w:r>
      <w:r>
        <w:rPr>
          <w:rStyle w:val="21"/>
          <w:rFonts w:hint="eastAsia" w:ascii="微软雅黑" w:hAnsi="微软雅黑" w:cs="微软雅黑"/>
          <w:b/>
          <w:bCs/>
          <w:color w:val="0000FF"/>
          <w:kern w:val="0"/>
          <w:sz w:val="24"/>
          <w:szCs w:val="24"/>
          <w:highlight w:val="none"/>
          <w:u w:val="single"/>
          <w:lang w:eastAsia="zh-CN"/>
        </w:rPr>
        <w:t>（</w:t>
      </w:r>
      <w:r>
        <w:rPr>
          <w:rFonts w:hint="eastAsia" w:ascii="微软雅黑" w:hAnsi="微软雅黑" w:cs="微软雅黑"/>
          <w:b/>
          <w:bCs/>
          <w:color w:val="0000FF"/>
          <w:kern w:val="0"/>
          <w:sz w:val="24"/>
          <w:szCs w:val="24"/>
          <w:highlight w:val="none"/>
          <w:u w:val="single"/>
          <w:lang w:val="en-US" w:eastAsia="zh-CN"/>
        </w:rPr>
        <w:t>Futibatinib</w:t>
      </w:r>
      <w:r>
        <w:rPr>
          <w:rStyle w:val="21"/>
          <w:rFonts w:hint="eastAsia" w:ascii="微软雅黑" w:hAnsi="微软雅黑" w:cs="微软雅黑"/>
          <w:b/>
          <w:bCs/>
          <w:color w:val="0000FF"/>
          <w:kern w:val="0"/>
          <w:sz w:val="24"/>
          <w:szCs w:val="24"/>
          <w:highlight w:val="none"/>
          <w:u w:val="single"/>
          <w:lang w:val="en-US" w:eastAsia="zh-CN"/>
        </w:rPr>
        <w:t>+</w:t>
      </w:r>
      <w:r>
        <w:rPr>
          <w:rStyle w:val="21"/>
          <w:rFonts w:hint="eastAsia" w:ascii="微软雅黑" w:hAnsi="微软雅黑" w:cs="微软雅黑"/>
          <w:b/>
          <w:bCs/>
          <w:color w:val="0000FF"/>
          <w:kern w:val="0"/>
          <w:sz w:val="24"/>
          <w:szCs w:val="24"/>
          <w:highlight w:val="none"/>
          <w:u w:val="single"/>
          <w:lang w:eastAsia="zh-CN"/>
        </w:rPr>
        <w:t>Binimetinib）</w:t>
      </w:r>
    </w:p>
    <w:p w14:paraId="3FB7CC16">
      <w:pPr>
        <w:numPr>
          <w:ilvl w:val="-1"/>
          <w:numId w:val="0"/>
        </w:numPr>
        <w:spacing w:before="200" w:after="0"/>
        <w:ind w:left="0" w:firstLine="0"/>
        <w:jc w:val="both"/>
        <w:rPr>
          <w:rFonts w:hint="eastAsia"/>
          <w:b/>
          <w:bCs/>
          <w:kern w:val="2"/>
          <w:highlight w:val="none"/>
          <w:lang w:eastAsia="zh-CN"/>
        </w:rPr>
      </w:pPr>
      <w:r>
        <w:rPr>
          <w:rFonts w:hint="eastAsia"/>
          <w:b/>
          <w:bCs/>
          <w:kern w:val="2"/>
          <w:highlight w:val="none"/>
          <w:lang w:eastAsia="zh-CN"/>
        </w:rPr>
        <w:t>基因变异与药物关联分析：</w:t>
      </w:r>
    </w:p>
    <w:p w14:paraId="34710309">
      <w:pPr>
        <w:keepNext w:val="0"/>
        <w:keepLines w:val="0"/>
        <w:pageBreakBefore w:val="0"/>
        <w:widowControl/>
        <w:kinsoku/>
        <w:wordWrap/>
        <w:overflowPunct/>
        <w:topLinePunct w:val="0"/>
        <w:autoSpaceDE/>
        <w:autoSpaceDN/>
        <w:bidi w:val="0"/>
        <w:adjustRightInd w:val="0"/>
        <w:snapToGrid w:val="0"/>
        <w:spacing w:beforeLines="0" w:after="0" w:afterLines="0" w:line="240" w:lineRule="auto"/>
        <w:ind w:left="0" w:leftChars="0" w:right="0" w:rightChars="0" w:firstLine="420" w:firstLineChars="200"/>
        <w:jc w:val="both"/>
        <w:textAlignment w:val="auto"/>
        <w:outlineLvl w:val="9"/>
        <w:rPr>
          <w:rFonts w:hint="eastAsia" w:ascii="微软雅黑" w:hAnsi="微软雅黑"/>
          <w:color w:val="auto"/>
          <w:kern w:val="1"/>
          <w:sz w:val="21"/>
          <w:szCs w:val="21"/>
          <w:highlight w:val="none"/>
          <w:lang w:val="en-US" w:eastAsia="zh-CN"/>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微软雅黑"/>
          <w:sz w:val="21"/>
          <w:lang w:eastAsia="zh-CN"/>
        </w:rPr>
        <w:t>c.34G&gt;A</w:t>
      </w:r>
      <w:r>
        <w:rPr>
          <w:rFonts w:hint="eastAsia" w:ascii="微软雅黑" w:hAnsi="微软雅黑" w:cs="微软雅黑"/>
          <w:sz w:val="21"/>
        </w:rPr>
        <w:t>，</w:t>
      </w:r>
      <w:r>
        <w:rPr>
          <w:rFonts w:hint="eastAsia" w:ascii="微软雅黑" w:hAnsi="微软雅黑" w:cs="微软雅黑"/>
          <w:sz w:val="21"/>
          <w:lang w:eastAsia="zh-CN"/>
        </w:rPr>
        <w:t>p.G12S</w:t>
      </w:r>
      <w:r>
        <w:rPr>
          <w:rFonts w:hint="eastAsia" w:ascii="微软雅黑" w:hAnsi="微软雅黑" w:eastAsia="微软雅黑" w:cs="Arial Unicode MS"/>
          <w:color w:val="auto"/>
          <w:kern w:val="2"/>
          <w:sz w:val="21"/>
          <w:szCs w:val="21"/>
          <w:highlight w:val="none"/>
          <w:lang w:val="en-US" w:eastAsia="zh-CN"/>
        </w:rPr>
        <w:t>错义突变，为已知激活突变，对蛋白功能有重要影响。</w:t>
      </w:r>
      <w:r>
        <w:rPr>
          <w:rFonts w:hint="eastAsia" w:ascii="微软雅黑" w:hAnsi="微软雅黑" w:cs="Arial Unicode MS"/>
          <w:b w:val="0"/>
          <w:bCs/>
          <w:color w:val="auto"/>
          <w:kern w:val="2"/>
          <w:sz w:val="21"/>
          <w:szCs w:val="21"/>
          <w:highlight w:val="none"/>
          <w:lang w:eastAsia="zh-CN"/>
        </w:rPr>
        <w:t>携带该突变的肿瘤患者可能从RAS/RAF</w:t>
      </w:r>
      <w:r>
        <w:rPr>
          <w:rFonts w:hint="eastAsia" w:ascii="微软雅黑" w:hAnsi="微软雅黑"/>
          <w:color w:val="auto"/>
          <w:kern w:val="1"/>
          <w:sz w:val="21"/>
          <w:szCs w:val="21"/>
          <w:highlight w:val="none"/>
        </w:rPr>
        <w:t>/MEK/ERK信号通路</w:t>
      </w:r>
      <w:r>
        <w:rPr>
          <w:rFonts w:hint="eastAsia" w:ascii="微软雅黑" w:hAnsi="微软雅黑"/>
          <w:color w:val="auto"/>
          <w:kern w:val="1"/>
          <w:sz w:val="21"/>
          <w:szCs w:val="21"/>
          <w:highlight w:val="none"/>
          <w:lang w:eastAsia="zh-CN"/>
        </w:rPr>
        <w:t>的</w:t>
      </w:r>
      <w:r>
        <w:rPr>
          <w:rFonts w:hint="eastAsia" w:ascii="微软雅黑" w:hAnsi="微软雅黑"/>
          <w:color w:val="auto"/>
          <w:kern w:val="1"/>
          <w:sz w:val="21"/>
          <w:szCs w:val="21"/>
          <w:highlight w:val="none"/>
        </w:rPr>
        <w:t>下游MEK1/2激酶</w:t>
      </w:r>
      <w:r>
        <w:rPr>
          <w:rFonts w:hint="eastAsia" w:ascii="微软雅黑" w:hAnsi="微软雅黑"/>
          <w:color w:val="auto"/>
          <w:kern w:val="1"/>
          <w:sz w:val="21"/>
          <w:szCs w:val="21"/>
          <w:highlight w:val="none"/>
          <w:lang w:eastAsia="zh-CN"/>
        </w:rPr>
        <w:t>抑制剂获益。</w:t>
      </w:r>
      <w:r>
        <w:rPr>
          <w:rFonts w:hint="eastAsia" w:ascii="微软雅黑" w:hAnsi="微软雅黑" w:eastAsia="微软雅黑" w:cs="Arial Unicode MS"/>
          <w:b w:val="0"/>
          <w:bCs/>
          <w:color w:val="auto"/>
          <w:kern w:val="2"/>
          <w:sz w:val="21"/>
          <w:szCs w:val="21"/>
          <w:highlight w:val="none"/>
        </w:rPr>
        <w:t>曲美替尼是MEK1</w:t>
      </w:r>
      <w:r>
        <w:rPr>
          <w:rFonts w:hint="eastAsia" w:ascii="微软雅黑" w:hAnsi="微软雅黑" w:cs="Arial Unicode MS"/>
          <w:b w:val="0"/>
          <w:bCs/>
          <w:color w:val="auto"/>
          <w:kern w:val="2"/>
          <w:sz w:val="21"/>
          <w:szCs w:val="21"/>
          <w:highlight w:val="none"/>
          <w:lang w:val="en-US" w:eastAsia="zh-CN"/>
        </w:rPr>
        <w:t>/</w:t>
      </w:r>
      <w:r>
        <w:rPr>
          <w:rFonts w:hint="eastAsia" w:ascii="微软雅黑" w:hAnsi="微软雅黑" w:eastAsia="微软雅黑" w:cs="Arial Unicode MS"/>
          <w:b w:val="0"/>
          <w:bCs/>
          <w:color w:val="auto"/>
          <w:kern w:val="2"/>
          <w:sz w:val="21"/>
          <w:szCs w:val="21"/>
          <w:highlight w:val="none"/>
        </w:rPr>
        <w:t>2激酶抑制剂</w:t>
      </w:r>
      <w:r>
        <w:rPr>
          <w:rFonts w:hint="eastAsia" w:ascii="微软雅黑" w:hAnsi="微软雅黑" w:cs="Arial Unicode MS"/>
          <w:b w:val="0"/>
          <w:bCs/>
          <w:color w:val="auto"/>
          <w:kern w:val="2"/>
          <w:sz w:val="21"/>
          <w:szCs w:val="21"/>
          <w:highlight w:val="none"/>
          <w:lang w:eastAsia="zh-CN"/>
        </w:rPr>
        <w:t>，能够靶向抑制RAS/RAF/MEK/ERK信号通路。</w:t>
      </w:r>
      <w:r>
        <w:rPr>
          <w:rFonts w:hint="eastAsia" w:ascii="微软雅黑" w:hAnsi="微软雅黑" w:cs="Arial Unicode MS"/>
          <w:b w:val="0"/>
          <w:bCs/>
          <w:color w:val="auto"/>
          <w:kern w:val="2"/>
          <w:sz w:val="21"/>
          <w:szCs w:val="21"/>
          <w:highlight w:val="none"/>
          <w:lang w:val="en-US" w:eastAsia="zh-CN"/>
        </w:rPr>
        <w:t>FDA批准</w:t>
      </w:r>
      <w:r>
        <w:rPr>
          <w:rFonts w:hint="eastAsia" w:ascii="微软雅黑" w:hAnsi="微软雅黑" w:cs="Arial Unicode MS"/>
          <w:b w:val="0"/>
          <w:bCs/>
          <w:color w:val="auto"/>
          <w:kern w:val="2"/>
          <w:sz w:val="21"/>
          <w:szCs w:val="21"/>
          <w:highlight w:val="none"/>
          <w:lang w:eastAsia="zh-CN"/>
        </w:rPr>
        <w:t>曲美替尼</w:t>
      </w:r>
      <w:r>
        <w:rPr>
          <w:rFonts w:hint="eastAsia" w:ascii="微软雅黑" w:hAnsi="微软雅黑" w:cs="Arial Unicode MS"/>
          <w:b w:val="0"/>
          <w:bCs/>
          <w:color w:val="auto"/>
          <w:kern w:val="2"/>
          <w:sz w:val="21"/>
          <w:szCs w:val="21"/>
          <w:highlight w:val="none"/>
          <w:lang w:val="en-US" w:eastAsia="zh-CN"/>
        </w:rPr>
        <w:t>单药用于治疗黑色素瘤，还批准曲美替尼与达拉非尼联合用于治疗黑色素瘤、非小细胞肺癌和</w:t>
      </w:r>
      <w:r>
        <w:rPr>
          <w:rFonts w:hint="eastAsia"/>
          <w:sz w:val="21"/>
          <w:szCs w:val="21"/>
          <w:highlight w:val="none"/>
          <w:shd w:val="clear"/>
          <w:lang w:val="en-US" w:eastAsia="zh-CN"/>
        </w:rPr>
        <w:t>间变性甲状腺癌</w:t>
      </w:r>
      <w:r>
        <w:rPr>
          <w:rFonts w:hint="eastAsia" w:ascii="微软雅黑" w:hAnsi="微软雅黑" w:cs="Arial Unicode MS"/>
          <w:b w:val="0"/>
          <w:bCs/>
          <w:color w:val="auto"/>
          <w:kern w:val="2"/>
          <w:sz w:val="21"/>
          <w:szCs w:val="21"/>
          <w:highlight w:val="none"/>
          <w:lang w:val="en-US" w:eastAsia="zh-CN"/>
        </w:rPr>
        <w:t>；NMPA批准曲美替尼与达拉非尼联合用于治疗黑色素瘤。</w:t>
      </w:r>
      <w:r>
        <w:rPr>
          <w:rFonts w:hint="eastAsia" w:ascii="微软雅黑" w:hAnsi="微软雅黑" w:cstheme="minorBidi"/>
          <w:b w:val="0"/>
          <w:bCs w:val="0"/>
          <w:color w:val="auto"/>
          <w:kern w:val="1"/>
          <w:sz w:val="21"/>
          <w:szCs w:val="21"/>
          <w:highlight w:val="none"/>
          <w:u w:val="none"/>
          <w:lang w:eastAsia="zh-CN"/>
        </w:rPr>
        <w:t>贝美替尼（</w:t>
      </w:r>
      <w:r>
        <w:rPr>
          <w:rFonts w:hint="eastAsia" w:ascii="微软雅黑" w:hAnsi="微软雅黑"/>
          <w:color w:val="auto"/>
          <w:kern w:val="1"/>
          <w:sz w:val="21"/>
          <w:szCs w:val="21"/>
          <w:highlight w:val="none"/>
        </w:rPr>
        <w:t>MEK162</w:t>
      </w:r>
      <w:r>
        <w:rPr>
          <w:rFonts w:hint="eastAsia" w:ascii="微软雅黑" w:hAnsi="微软雅黑" w:cstheme="minorBidi"/>
          <w:b w:val="0"/>
          <w:bCs w:val="0"/>
          <w:color w:val="auto"/>
          <w:kern w:val="1"/>
          <w:sz w:val="21"/>
          <w:szCs w:val="21"/>
          <w:highlight w:val="none"/>
          <w:u w:val="none"/>
          <w:lang w:eastAsia="zh-CN"/>
        </w:rPr>
        <w:t>）</w:t>
      </w:r>
      <w:r>
        <w:rPr>
          <w:rFonts w:hint="eastAsia" w:ascii="微软雅黑" w:hAnsi="微软雅黑"/>
          <w:color w:val="auto"/>
          <w:kern w:val="1"/>
          <w:sz w:val="21"/>
          <w:szCs w:val="21"/>
          <w:highlight w:val="none"/>
        </w:rPr>
        <w:t>是MEK1/2的抑制剂，</w:t>
      </w:r>
      <w:r>
        <w:rPr>
          <w:rFonts w:hint="eastAsia" w:ascii="微软雅黑" w:hAnsi="微软雅黑"/>
          <w:color w:val="auto"/>
          <w:kern w:val="1"/>
          <w:sz w:val="21"/>
          <w:szCs w:val="21"/>
          <w:highlight w:val="none"/>
          <w:lang w:val="en-US" w:eastAsia="zh-CN"/>
        </w:rPr>
        <w:t>FDA批准</w:t>
      </w:r>
      <w:r>
        <w:rPr>
          <w:rFonts w:hint="eastAsia" w:ascii="微软雅黑" w:hAnsi="微软雅黑" w:cs="微软雅黑"/>
          <w:b w:val="0"/>
          <w:bCs w:val="0"/>
          <w:kern w:val="2"/>
          <w:sz w:val="21"/>
          <w:szCs w:val="24"/>
          <w:highlight w:val="none"/>
          <w:lang w:eastAsia="zh-CN"/>
        </w:rPr>
        <w:t>贝美替尼</w:t>
      </w:r>
      <w:r>
        <w:rPr>
          <w:rFonts w:hint="eastAsia" w:ascii="微软雅黑" w:hAnsi="微软雅黑" w:cs="微软雅黑"/>
          <w:kern w:val="2"/>
          <w:sz w:val="21"/>
          <w:szCs w:val="24"/>
          <w:highlight w:val="none"/>
        </w:rPr>
        <w:t>与</w:t>
      </w:r>
      <w:r>
        <w:rPr>
          <w:rFonts w:hint="eastAsia" w:ascii="微软雅黑" w:hAnsi="微软雅黑" w:cs="微软雅黑"/>
          <w:kern w:val="2"/>
          <w:sz w:val="21"/>
          <w:szCs w:val="24"/>
          <w:highlight w:val="none"/>
          <w:lang w:eastAsia="zh-CN"/>
        </w:rPr>
        <w:t>康奈非尼</w:t>
      </w:r>
      <w:r>
        <w:rPr>
          <w:rFonts w:hint="eastAsia" w:ascii="微软雅黑" w:hAnsi="微软雅黑" w:cs="微软雅黑"/>
          <w:kern w:val="2"/>
          <w:sz w:val="21"/>
          <w:szCs w:val="24"/>
          <w:highlight w:val="none"/>
        </w:rPr>
        <w:t>联合用于治疗BRAF V600E或V600K突变的不可切除或转移性黑色素瘤患者</w:t>
      </w:r>
      <w:r>
        <w:rPr>
          <w:rFonts w:hint="eastAsia" w:ascii="微软雅黑" w:hAnsi="微软雅黑"/>
          <w:color w:val="auto"/>
          <w:kern w:val="1"/>
          <w:sz w:val="21"/>
          <w:szCs w:val="21"/>
          <w:highlight w:val="none"/>
        </w:rPr>
        <w:t>。</w:t>
      </w:r>
      <w:r>
        <w:rPr>
          <w:rFonts w:hint="eastAsia" w:ascii="微软雅黑" w:hAnsi="微软雅黑"/>
          <w:color w:val="auto"/>
          <w:kern w:val="1"/>
          <w:sz w:val="21"/>
          <w:szCs w:val="21"/>
          <w:highlight w:val="none"/>
          <w:lang w:eastAsia="zh-CN"/>
        </w:rPr>
        <w:t>哌柏西利是一种</w:t>
      </w:r>
      <w:r>
        <w:rPr>
          <w:rFonts w:hint="eastAsia" w:ascii="微软雅黑" w:hAnsi="微软雅黑"/>
          <w:color w:val="auto"/>
          <w:kern w:val="1"/>
          <w:sz w:val="21"/>
          <w:szCs w:val="21"/>
          <w:highlight w:val="none"/>
          <w:lang w:val="en-US" w:eastAsia="zh-CN"/>
        </w:rPr>
        <w:t>CDK4/6抑制剂，已获FDA和NMPA批准用于治疗乳腺癌。帕尼单抗是一种靶向结合EGFR胞外结构域的单抗药物，已获FDA批准用于治疗结直肠癌。奈拉替尼是一种细胞内激酶抑制剂，已获FDA和NMPA批准用于治疗乳腺癌。Navitoclax是一种BCL-XL/BCL-2抑制剂，目前正在开展临床试验。BI 1701963是一种泛KRAS抑制剂，目前正在开展临床试验。福巴替尼是一种口服的FGFR抑制剂，已获FDA批准用于治疗携带FGFR2基因融合或其他重排的肝内胆管癌成年患者。</w:t>
      </w:r>
    </w:p>
    <w:p w14:paraId="2D88D237">
      <w:pPr>
        <w:spacing w:beforeLines="0" w:after="0" w:afterLines="0"/>
        <w:ind w:firstLine="0" w:firstLineChars="0"/>
        <w:jc w:val="both"/>
        <w:outlineLvl w:val="9"/>
        <w:rPr>
          <w:rFonts w:hint="eastAsia"/>
          <w:b/>
          <w:bCs/>
          <w:kern w:val="2"/>
          <w:highlight w:val="none"/>
          <w:lang w:eastAsia="zh-CN"/>
        </w:rPr>
      </w:pPr>
      <w:r>
        <w:rPr>
          <w:rFonts w:hint="eastAsia"/>
          <w:b/>
          <w:bCs/>
          <w:kern w:val="2"/>
          <w:highlight w:val="none"/>
          <w:lang w:eastAsia="zh-CN"/>
        </w:rPr>
        <w:t>药物疗效临床解析：</w:t>
      </w:r>
    </w:p>
    <w:p w14:paraId="18030D27">
      <w:pPr>
        <w:keepNext w:val="0"/>
        <w:keepLines w:val="0"/>
        <w:pageBreakBefore w:val="0"/>
        <w:widowControl/>
        <w:numPr>
          <w:ilvl w:val="0"/>
          <w:numId w:val="0"/>
        </w:numPr>
        <w:kinsoku/>
        <w:wordWrap/>
        <w:overflowPunct/>
        <w:topLinePunct w:val="0"/>
        <w:autoSpaceDE/>
        <w:autoSpaceDN/>
        <w:bidi w:val="0"/>
        <w:adjustRightInd w:val="0"/>
        <w:snapToGrid w:val="0"/>
        <w:spacing w:after="0" w:line="240" w:lineRule="auto"/>
        <w:ind w:right="0" w:rightChars="0" w:firstLine="420" w:firstLineChars="200"/>
        <w:jc w:val="both"/>
        <w:textAlignment w:val="auto"/>
        <w:outlineLvl w:val="9"/>
        <w:rPr>
          <w:rFonts w:hint="eastAsia" w:ascii="微软雅黑" w:hAnsi="微软雅黑"/>
          <w:color w:val="auto"/>
          <w:kern w:val="1"/>
          <w:sz w:val="21"/>
          <w:szCs w:val="21"/>
          <w:highlight w:val="none"/>
          <w:lang w:val="en-US" w:eastAsia="zh-CN"/>
        </w:rPr>
      </w:pPr>
      <w:r>
        <w:rPr>
          <w:rFonts w:hint="eastAsia" w:ascii="微软雅黑" w:hAnsi="微软雅黑"/>
          <w:b w:val="0"/>
          <w:bCs w:val="0"/>
          <w:color w:val="auto"/>
          <w:kern w:val="2"/>
          <w:sz w:val="21"/>
          <w:szCs w:val="21"/>
          <w:highlight w:val="none"/>
          <w:lang w:val="en-US" w:eastAsia="zh-CN"/>
        </w:rPr>
        <w:t>一项</w:t>
      </w:r>
      <w:r>
        <w:rPr>
          <w:rFonts w:hint="eastAsia" w:ascii="微软雅黑" w:hAnsi="微软雅黑"/>
          <w:b w:val="0"/>
          <w:bCs w:val="0"/>
          <w:color w:val="auto"/>
          <w:kern w:val="2"/>
          <w:sz w:val="21"/>
          <w:szCs w:val="21"/>
          <w:highlight w:val="none"/>
          <w:lang w:eastAsia="zh-CN"/>
        </w:rPr>
        <w:t>由美国国家癌症研究所主办的临床Ⅰ</w:t>
      </w:r>
      <w:r>
        <w:rPr>
          <w:rFonts w:hint="eastAsia" w:ascii="微软雅黑" w:hAnsi="微软雅黑"/>
          <w:b w:val="0"/>
          <w:bCs w:val="0"/>
          <w:color w:val="auto"/>
          <w:kern w:val="2"/>
          <w:sz w:val="21"/>
          <w:szCs w:val="21"/>
          <w:highlight w:val="none"/>
          <w:lang w:val="en-US" w:eastAsia="zh-CN"/>
        </w:rPr>
        <w:t>b/</w:t>
      </w:r>
      <w:r>
        <w:rPr>
          <w:rFonts w:hint="eastAsia" w:ascii="微软雅黑" w:hAnsi="微软雅黑"/>
          <w:b w:val="0"/>
          <w:bCs w:val="0"/>
          <w:color w:val="auto"/>
          <w:kern w:val="2"/>
          <w:sz w:val="21"/>
          <w:szCs w:val="21"/>
          <w:highlight w:val="none"/>
          <w:lang w:eastAsia="zh-CN"/>
        </w:rPr>
        <w:t>Ⅱ期试验，旨在研究曲美替尼和</w:t>
      </w:r>
      <w:r>
        <w:rPr>
          <w:rFonts w:hint="eastAsia" w:ascii="微软雅黑" w:hAnsi="微软雅黑"/>
          <w:b w:val="0"/>
          <w:bCs w:val="0"/>
          <w:color w:val="auto"/>
          <w:kern w:val="2"/>
          <w:sz w:val="21"/>
          <w:szCs w:val="21"/>
          <w:highlight w:val="none"/>
          <w:lang w:val="en-US" w:eastAsia="zh-CN"/>
        </w:rPr>
        <w:t>N</w:t>
      </w:r>
      <w:r>
        <w:rPr>
          <w:rFonts w:hint="eastAsia" w:ascii="微软雅黑" w:hAnsi="微软雅黑"/>
          <w:b w:val="0"/>
          <w:bCs w:val="0"/>
          <w:color w:val="auto"/>
          <w:kern w:val="2"/>
          <w:sz w:val="21"/>
          <w:szCs w:val="21"/>
          <w:highlight w:val="none"/>
          <w:lang w:eastAsia="zh-CN"/>
        </w:rPr>
        <w:t>avitoclax用于治疗具有</w:t>
      </w:r>
      <w:r>
        <w:rPr>
          <w:rFonts w:hint="eastAsia" w:ascii="微软雅黑" w:hAnsi="微软雅黑"/>
          <w:b w:val="0"/>
          <w:bCs w:val="0"/>
          <w:color w:val="auto"/>
          <w:kern w:val="2"/>
          <w:sz w:val="21"/>
          <w:szCs w:val="21"/>
          <w:highlight w:val="none"/>
          <w:lang w:val="en-US" w:eastAsia="zh-CN"/>
        </w:rPr>
        <w:t>KRAS或NRAS突变的</w:t>
      </w:r>
      <w:r>
        <w:rPr>
          <w:rFonts w:hint="eastAsia" w:ascii="微软雅黑" w:hAnsi="微软雅黑"/>
          <w:b w:val="0"/>
          <w:bCs w:val="0"/>
          <w:color w:val="auto"/>
          <w:kern w:val="2"/>
          <w:sz w:val="21"/>
          <w:szCs w:val="21"/>
          <w:highlight w:val="none"/>
          <w:lang w:eastAsia="zh-CN"/>
        </w:rPr>
        <w:t>晚期或转移性实体瘤患者，产生的副作用以及最佳剂量。目前该试验正在招募患者</w:t>
      </w:r>
      <w:r>
        <w:rPr>
          <w:rFonts w:hint="eastAsia" w:ascii="微软雅黑" w:hAnsi="微软雅黑"/>
          <w:b w:val="0"/>
          <w:bCs w:val="0"/>
          <w:color w:val="auto"/>
          <w:kern w:val="2"/>
          <w:sz w:val="21"/>
          <w:szCs w:val="21"/>
          <w:highlight w:val="none"/>
          <w:lang w:val="en-US" w:eastAsia="zh-CN"/>
        </w:rPr>
        <w:t>[NCT02079740]</w:t>
      </w:r>
      <w:r>
        <w:rPr>
          <w:rFonts w:hint="eastAsia" w:ascii="微软雅黑" w:hAnsi="微软雅黑"/>
          <w:b w:val="0"/>
          <w:bCs w:val="0"/>
          <w:color w:val="auto"/>
          <w:kern w:val="2"/>
          <w:sz w:val="21"/>
          <w:szCs w:val="21"/>
          <w:highlight w:val="none"/>
          <w:lang w:eastAsia="zh-CN"/>
        </w:rPr>
        <w:t>。</w:t>
      </w:r>
      <w:r>
        <w:rPr>
          <w:rFonts w:hint="eastAsia" w:ascii="微软雅黑" w:hAnsi="微软雅黑"/>
          <w:b w:val="0"/>
          <w:bCs w:val="0"/>
          <w:color w:val="auto"/>
          <w:kern w:val="2"/>
          <w:sz w:val="21"/>
          <w:szCs w:val="21"/>
          <w:highlight w:val="none"/>
          <w:lang w:val="en-US" w:eastAsia="zh-CN"/>
        </w:rPr>
        <w:t>帕尼单抗联合曲美替尼用于</w:t>
      </w:r>
      <w:r>
        <w:rPr>
          <w:rFonts w:hint="eastAsia" w:ascii="微软雅黑" w:hAnsi="微软雅黑"/>
          <w:b w:val="0"/>
          <w:bCs w:val="0"/>
          <w:color w:val="auto"/>
          <w:kern w:val="2"/>
          <w:sz w:val="21"/>
          <w:szCs w:val="21"/>
          <w:highlight w:val="none"/>
          <w:lang w:eastAsia="zh-CN"/>
        </w:rPr>
        <w:t>治疗</w:t>
      </w:r>
      <w:r>
        <w:rPr>
          <w:rFonts w:hint="eastAsia" w:ascii="微软雅黑" w:hAnsi="微软雅黑"/>
          <w:b w:val="0"/>
          <w:bCs w:val="0"/>
          <w:color w:val="auto"/>
          <w:kern w:val="2"/>
          <w:sz w:val="21"/>
          <w:szCs w:val="21"/>
          <w:highlight w:val="none"/>
          <w:lang w:val="en-US" w:eastAsia="zh-CN"/>
        </w:rPr>
        <w:t>具有KRAS/NRAS/BRAF突变的</w:t>
      </w:r>
      <w:r>
        <w:rPr>
          <w:rFonts w:hint="eastAsia" w:ascii="微软雅黑" w:hAnsi="微软雅黑"/>
          <w:b w:val="0"/>
          <w:bCs w:val="0"/>
          <w:color w:val="auto"/>
          <w:kern w:val="2"/>
          <w:sz w:val="21"/>
          <w:szCs w:val="21"/>
          <w:highlight w:val="none"/>
          <w:lang w:eastAsia="zh-CN"/>
        </w:rPr>
        <w:t>IV期结直肠癌患者</w:t>
      </w:r>
      <w:r>
        <w:rPr>
          <w:rFonts w:hint="eastAsia" w:ascii="微软雅黑" w:hAnsi="微软雅黑"/>
          <w:b w:val="0"/>
          <w:bCs w:val="0"/>
          <w:color w:val="auto"/>
          <w:kern w:val="2"/>
          <w:sz w:val="21"/>
          <w:szCs w:val="21"/>
          <w:highlight w:val="none"/>
          <w:lang w:val="en-US" w:eastAsia="zh-CN"/>
        </w:rPr>
        <w:t>的II期临床试验，目前该临床试验状态未知[NCT03087071]。</w:t>
      </w:r>
      <w:r>
        <w:rPr>
          <w:rFonts w:hint="eastAsia" w:ascii="微软雅黑" w:hAnsi="微软雅黑"/>
          <w:b w:val="0"/>
          <w:bCs w:val="0"/>
          <w:color w:val="auto"/>
          <w:kern w:val="2"/>
          <w:sz w:val="21"/>
          <w:szCs w:val="21"/>
          <w:highlight w:val="none"/>
          <w:lang w:eastAsia="zh-CN"/>
        </w:rPr>
        <w:t>体内和体外研究显示，与</w:t>
      </w:r>
      <w:r>
        <w:rPr>
          <w:rFonts w:hint="eastAsia" w:ascii="微软雅黑" w:hAnsi="微软雅黑"/>
          <w:color w:val="auto"/>
          <w:kern w:val="2"/>
          <w:sz w:val="21"/>
          <w:szCs w:val="21"/>
          <w:highlight w:val="none"/>
          <w:lang w:eastAsia="zh-CN"/>
        </w:rPr>
        <w:t>贝美替尼</w:t>
      </w:r>
      <w:r>
        <w:rPr>
          <w:rFonts w:hint="eastAsia" w:ascii="微软雅黑" w:hAnsi="微软雅黑"/>
          <w:b w:val="0"/>
          <w:bCs w:val="0"/>
          <w:color w:val="auto"/>
          <w:kern w:val="2"/>
          <w:sz w:val="21"/>
          <w:szCs w:val="21"/>
          <w:highlight w:val="none"/>
          <w:lang w:eastAsia="zh-CN"/>
        </w:rPr>
        <w:t>或哌柏西利单一疗法相比，</w:t>
      </w:r>
      <w:r>
        <w:rPr>
          <w:rFonts w:hint="eastAsia" w:ascii="微软雅黑" w:hAnsi="微软雅黑"/>
          <w:color w:val="auto"/>
          <w:kern w:val="2"/>
          <w:sz w:val="21"/>
          <w:szCs w:val="21"/>
          <w:highlight w:val="none"/>
          <w:lang w:eastAsia="zh-CN"/>
        </w:rPr>
        <w:t>贝美替尼</w:t>
      </w:r>
      <w:r>
        <w:rPr>
          <w:rFonts w:hint="eastAsia" w:ascii="微软雅黑" w:hAnsi="微软雅黑"/>
          <w:b w:val="0"/>
          <w:bCs w:val="0"/>
          <w:color w:val="auto"/>
          <w:kern w:val="2"/>
          <w:sz w:val="21"/>
          <w:szCs w:val="21"/>
          <w:highlight w:val="none"/>
          <w:lang w:eastAsia="zh-CN"/>
        </w:rPr>
        <w:t>联合哌柏西利对具有</w:t>
      </w:r>
      <w:r>
        <w:rPr>
          <w:rFonts w:hint="eastAsia" w:ascii="微软雅黑" w:hAnsi="微软雅黑"/>
          <w:b w:val="0"/>
          <w:bCs w:val="0"/>
          <w:color w:val="auto"/>
          <w:kern w:val="2"/>
          <w:sz w:val="21"/>
          <w:szCs w:val="21"/>
          <w:highlight w:val="none"/>
          <w:lang w:val="en-US" w:eastAsia="zh-CN"/>
        </w:rPr>
        <w:t>KRAS突变的结直肠癌细胞系和异种移植模型具有显著的疗效[27167191]。</w:t>
      </w:r>
      <w:r>
        <w:rPr>
          <w:rFonts w:hint="eastAsia" w:ascii="微软雅黑" w:hAnsi="微软雅黑"/>
          <w:color w:val="auto"/>
          <w:kern w:val="1"/>
          <w:sz w:val="21"/>
          <w:szCs w:val="21"/>
          <w:highlight w:val="none"/>
          <w:lang w:eastAsia="zh-CN"/>
        </w:rPr>
        <w:t>一项临床Ⅰ期试验，旨在评估</w:t>
      </w:r>
      <w:r>
        <w:rPr>
          <w:rFonts w:hint="eastAsia" w:ascii="微软雅黑" w:hAnsi="微软雅黑" w:cs="微软雅黑"/>
          <w:b w:val="0"/>
          <w:bCs w:val="0"/>
          <w:kern w:val="2"/>
          <w:sz w:val="21"/>
          <w:szCs w:val="24"/>
          <w:highlight w:val="none"/>
          <w:lang w:eastAsia="zh-CN"/>
        </w:rPr>
        <w:t>贝美替尼联合mFOLFIRI</w:t>
      </w:r>
      <w:r>
        <w:rPr>
          <w:rFonts w:hint="eastAsia" w:ascii="微软雅黑" w:hAnsi="微软雅黑"/>
          <w:color w:val="auto"/>
          <w:kern w:val="1"/>
          <w:sz w:val="21"/>
          <w:szCs w:val="21"/>
          <w:highlight w:val="none"/>
        </w:rPr>
        <w:t>用于</w:t>
      </w:r>
      <w:r>
        <w:rPr>
          <w:rFonts w:hint="eastAsia" w:ascii="微软雅黑" w:hAnsi="微软雅黑"/>
          <w:color w:val="auto"/>
          <w:kern w:val="1"/>
          <w:sz w:val="21"/>
          <w:szCs w:val="21"/>
          <w:highlight w:val="none"/>
          <w:lang w:eastAsia="zh-CN"/>
        </w:rPr>
        <w:t>治疗</w:t>
      </w:r>
      <w:r>
        <w:rPr>
          <w:rFonts w:hint="eastAsia" w:ascii="微软雅黑" w:hAnsi="微软雅黑"/>
          <w:color w:val="auto"/>
          <w:kern w:val="1"/>
          <w:sz w:val="21"/>
          <w:szCs w:val="21"/>
          <w:highlight w:val="none"/>
        </w:rPr>
        <w:t>KRAS突变</w:t>
      </w:r>
      <w:r>
        <w:rPr>
          <w:rFonts w:hint="eastAsia" w:ascii="微软雅黑" w:hAnsi="微软雅黑"/>
          <w:color w:val="auto"/>
          <w:kern w:val="1"/>
          <w:sz w:val="21"/>
          <w:szCs w:val="21"/>
          <w:highlight w:val="none"/>
          <w:lang w:eastAsia="zh-CN"/>
        </w:rPr>
        <w:t>阳性</w:t>
      </w:r>
      <w:r>
        <w:rPr>
          <w:rFonts w:hint="eastAsia" w:ascii="微软雅黑" w:hAnsi="微软雅黑"/>
          <w:color w:val="auto"/>
          <w:kern w:val="1"/>
          <w:sz w:val="21"/>
          <w:szCs w:val="21"/>
          <w:highlight w:val="none"/>
        </w:rPr>
        <w:t>的结直肠癌的</w:t>
      </w:r>
      <w:r>
        <w:rPr>
          <w:rFonts w:hint="eastAsia" w:ascii="微软雅黑" w:hAnsi="微软雅黑"/>
          <w:color w:val="auto"/>
          <w:kern w:val="1"/>
          <w:sz w:val="21"/>
          <w:szCs w:val="21"/>
          <w:highlight w:val="none"/>
          <w:lang w:eastAsia="zh-CN"/>
        </w:rPr>
        <w:t>最大耐受剂量、反应率、临床获益率以及安全性，目前该</w:t>
      </w:r>
      <w:r>
        <w:rPr>
          <w:rFonts w:hint="eastAsia" w:ascii="微软雅黑" w:hAnsi="微软雅黑"/>
          <w:color w:val="auto"/>
          <w:kern w:val="1"/>
          <w:sz w:val="21"/>
          <w:szCs w:val="21"/>
          <w:highlight w:val="none"/>
        </w:rPr>
        <w:t>试验正在</w:t>
      </w:r>
      <w:r>
        <w:rPr>
          <w:rFonts w:hint="eastAsia" w:ascii="微软雅黑" w:hAnsi="微软雅黑"/>
          <w:color w:val="auto"/>
          <w:kern w:val="1"/>
          <w:sz w:val="21"/>
          <w:szCs w:val="21"/>
          <w:highlight w:val="none"/>
          <w:lang w:eastAsia="zh-CN"/>
        </w:rPr>
        <w:t>招募患者</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rPr>
        <w:t>NCT02613650</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rPr>
        <w:t>。</w:t>
      </w:r>
      <w:r>
        <w:rPr>
          <w:rFonts w:hint="eastAsia" w:ascii="微软雅黑" w:hAnsi="微软雅黑"/>
          <w:color w:val="auto"/>
          <w:kern w:val="1"/>
          <w:sz w:val="21"/>
          <w:szCs w:val="21"/>
          <w:highlight w:val="none"/>
          <w:lang w:val="en-US" w:eastAsia="zh-CN"/>
        </w:rPr>
        <w:t>一项II期临床试验，旨在评估</w:t>
      </w:r>
      <w:r>
        <w:rPr>
          <w:rFonts w:hint="eastAsia" w:ascii="微软雅黑" w:hAnsi="微软雅黑"/>
          <w:color w:val="auto"/>
          <w:kern w:val="2"/>
          <w:sz w:val="21"/>
          <w:szCs w:val="21"/>
          <w:highlight w:val="none"/>
          <w:lang w:eastAsia="zh-CN"/>
        </w:rPr>
        <w:t>贝美替尼</w:t>
      </w:r>
      <w:r>
        <w:rPr>
          <w:rFonts w:hint="eastAsia" w:ascii="微软雅黑" w:hAnsi="微软雅黑"/>
          <w:b w:val="0"/>
          <w:bCs w:val="0"/>
          <w:color w:val="auto"/>
          <w:kern w:val="2"/>
          <w:sz w:val="21"/>
          <w:szCs w:val="21"/>
          <w:highlight w:val="none"/>
          <w:lang w:eastAsia="zh-CN"/>
        </w:rPr>
        <w:t>联合哌柏西利</w:t>
      </w:r>
      <w:r>
        <w:rPr>
          <w:rFonts w:hint="eastAsia" w:ascii="微软雅黑" w:hAnsi="微软雅黑"/>
          <w:b w:val="0"/>
          <w:bCs w:val="0"/>
          <w:color w:val="auto"/>
          <w:kern w:val="2"/>
          <w:sz w:val="21"/>
          <w:szCs w:val="21"/>
          <w:highlight w:val="none"/>
          <w:lang w:val="en-US" w:eastAsia="zh-CN"/>
        </w:rPr>
        <w:t>用于治疗携带KRAS/NRAS突变的结直肠癌患者有效性，该试验正在开展，不招募患者[NCT03981614]。</w:t>
      </w:r>
      <w:r>
        <w:rPr>
          <w:rFonts w:hint="eastAsia" w:ascii="微软雅黑" w:hAnsi="微软雅黑"/>
          <w:color w:val="auto"/>
          <w:kern w:val="1"/>
          <w:sz w:val="21"/>
          <w:szCs w:val="21"/>
          <w:highlight w:val="none"/>
          <w:lang w:eastAsia="zh-CN"/>
        </w:rPr>
        <w:t>BI 1701963单药以及BI 1701963与曲美替尼联合用于治疗具有</w:t>
      </w:r>
      <w:r>
        <w:rPr>
          <w:rFonts w:hint="eastAsia" w:ascii="微软雅黑" w:hAnsi="微软雅黑"/>
          <w:color w:val="auto"/>
          <w:kern w:val="1"/>
          <w:sz w:val="21"/>
          <w:szCs w:val="21"/>
          <w:highlight w:val="none"/>
          <w:lang w:val="en-US" w:eastAsia="zh-CN"/>
        </w:rPr>
        <w:t>KRAS突变的不同类型的晚期实体瘤的</w:t>
      </w:r>
      <w:r>
        <w:rPr>
          <w:rFonts w:hint="eastAsia" w:ascii="微软雅黑" w:hAnsi="微软雅黑"/>
          <w:color w:val="auto"/>
          <w:kern w:val="1"/>
          <w:sz w:val="21"/>
          <w:szCs w:val="21"/>
          <w:highlight w:val="none"/>
          <w:lang w:eastAsia="zh-CN"/>
        </w:rPr>
        <w:t>临床Ⅰ期试验</w:t>
      </w:r>
      <w:r>
        <w:rPr>
          <w:rFonts w:hint="eastAsia" w:ascii="微软雅黑" w:hAnsi="微软雅黑"/>
          <w:b w:val="0"/>
          <w:bCs w:val="0"/>
          <w:color w:val="auto"/>
          <w:kern w:val="2"/>
          <w:sz w:val="21"/>
          <w:szCs w:val="21"/>
          <w:highlight w:val="none"/>
          <w:lang w:val="en-US" w:eastAsia="zh-CN"/>
        </w:rPr>
        <w:t>正在开展，不招募患者</w:t>
      </w:r>
      <w:r>
        <w:rPr>
          <w:rFonts w:hint="eastAsia" w:ascii="微软雅黑" w:hAnsi="微软雅黑"/>
          <w:color w:val="auto"/>
          <w:kern w:val="1"/>
          <w:sz w:val="21"/>
          <w:szCs w:val="21"/>
          <w:highlight w:val="none"/>
          <w:lang w:val="en-US" w:eastAsia="zh-CN"/>
        </w:rPr>
        <w:t>[NCT04111458]</w:t>
      </w:r>
      <w:r>
        <w:rPr>
          <w:rFonts w:hint="eastAsia" w:ascii="微软雅黑" w:hAnsi="微软雅黑"/>
          <w:color w:val="auto"/>
          <w:kern w:val="1"/>
          <w:sz w:val="21"/>
          <w:szCs w:val="21"/>
          <w:highlight w:val="none"/>
          <w:lang w:eastAsia="zh-CN"/>
        </w:rPr>
        <w:t>。奈拉替尼联合曲美替尼用于治疗携带KRAS突变的晚期或转移性实体瘤患者的疗效、安全性和耐受性的Ⅰ</w:t>
      </w:r>
      <w:r>
        <w:rPr>
          <w:rFonts w:hint="eastAsia" w:ascii="微软雅黑" w:hAnsi="微软雅黑"/>
          <w:b w:val="0"/>
          <w:bCs w:val="0"/>
          <w:color w:val="auto"/>
          <w:kern w:val="2"/>
          <w:sz w:val="21"/>
          <w:szCs w:val="21"/>
          <w:highlight w:val="none"/>
          <w:lang w:eastAsia="zh-CN"/>
        </w:rPr>
        <w:t>期试验</w:t>
      </w:r>
      <w:r>
        <w:rPr>
          <w:rFonts w:hint="eastAsia" w:ascii="微软雅黑" w:hAnsi="微软雅黑"/>
          <w:color w:val="auto"/>
          <w:kern w:val="1"/>
          <w:sz w:val="21"/>
          <w:szCs w:val="21"/>
          <w:highlight w:val="none"/>
          <w:lang w:eastAsia="zh-CN"/>
        </w:rPr>
        <w:t>正在招募中</w:t>
      </w:r>
      <w:r>
        <w:rPr>
          <w:rFonts w:hint="eastAsia" w:ascii="微软雅黑" w:hAnsi="微软雅黑"/>
          <w:color w:val="auto"/>
          <w:kern w:val="1"/>
          <w:sz w:val="21"/>
          <w:szCs w:val="21"/>
          <w:highlight w:val="none"/>
          <w:lang w:val="en-US" w:eastAsia="zh-CN"/>
        </w:rPr>
        <w:t>[NCT03065387]。</w:t>
      </w:r>
      <w:r>
        <w:rPr>
          <w:rFonts w:hint="eastAsia" w:ascii="微软雅黑" w:hAnsi="微软雅黑"/>
          <w:color w:val="auto"/>
          <w:kern w:val="1"/>
          <w:sz w:val="21"/>
          <w:szCs w:val="21"/>
          <w:highlight w:val="none"/>
          <w:lang w:eastAsia="zh-CN"/>
        </w:rPr>
        <w:t>福巴替尼联合贝美替尼用于治疗携带KRAS突变的晚期肿瘤患者疗效的Ⅰb/Ⅱ</w:t>
      </w:r>
      <w:r>
        <w:rPr>
          <w:rFonts w:hint="eastAsia" w:ascii="微软雅黑" w:hAnsi="微软雅黑"/>
          <w:b w:val="0"/>
          <w:bCs w:val="0"/>
          <w:color w:val="auto"/>
          <w:kern w:val="2"/>
          <w:sz w:val="21"/>
          <w:szCs w:val="21"/>
          <w:highlight w:val="none"/>
          <w:lang w:eastAsia="zh-CN"/>
        </w:rPr>
        <w:t>期试验</w:t>
      </w:r>
      <w:r>
        <w:rPr>
          <w:rFonts w:hint="eastAsia" w:ascii="微软雅黑" w:hAnsi="微软雅黑"/>
          <w:color w:val="auto"/>
          <w:kern w:val="1"/>
          <w:sz w:val="21"/>
          <w:szCs w:val="21"/>
          <w:highlight w:val="none"/>
          <w:lang w:eastAsia="zh-CN"/>
        </w:rPr>
        <w:t>正在招募中</w:t>
      </w:r>
      <w:r>
        <w:rPr>
          <w:rFonts w:hint="eastAsia" w:ascii="微软雅黑" w:hAnsi="微软雅黑"/>
          <w:color w:val="auto"/>
          <w:kern w:val="1"/>
          <w:sz w:val="21"/>
          <w:szCs w:val="21"/>
          <w:highlight w:val="none"/>
          <w:lang w:val="en-US" w:eastAsia="zh-CN"/>
        </w:rPr>
        <w:t>[NCT04965818]</w:t>
      </w:r>
      <w:r>
        <w:rPr>
          <w:rFonts w:hint="eastAsia" w:ascii="微软雅黑" w:hAnsi="微软雅黑"/>
          <w:color w:val="auto"/>
          <w:kern w:val="1"/>
          <w:sz w:val="21"/>
          <w:szCs w:val="21"/>
          <w:highlight w:val="none"/>
          <w:lang w:eastAsia="zh-CN"/>
        </w:rPr>
        <w:t>。</w:t>
      </w:r>
    </w:p>
    <w:p w14:paraId="22D875B9">
      <w:pPr>
        <w:numPr>
          <w:ilvl w:val="0"/>
          <w:numId w:val="13"/>
        </w:numPr>
        <w:spacing w:before="200" w:beforeLines="0" w:afterLines="0"/>
        <w:ind w:left="420" w:leftChars="0" w:hanging="420" w:firstLineChars="0"/>
        <w:jc w:val="both"/>
        <w:rPr>
          <w:rFonts w:hint="eastAsia" w:ascii="微软雅黑" w:hAnsi="微软雅黑" w:eastAsia="微软雅黑" w:cs="微软雅黑"/>
          <w:b/>
          <w:bCs/>
          <w:color w:val="auto"/>
          <w:sz w:val="24"/>
          <w:szCs w:val="24"/>
          <w:highlight w:val="none"/>
          <w:u w:val="none"/>
          <w:lang w:val="en-US" w:eastAsia="zh-CN"/>
        </w:rPr>
      </w:pPr>
      <w:r>
        <w:rPr>
          <w:rFonts w:hint="eastAsia" w:ascii="微软雅黑" w:hAnsi="微软雅黑" w:cs="微软雅黑"/>
          <w:b/>
          <w:bCs/>
          <w:color w:val="0000FF"/>
          <w:kern w:val="0"/>
          <w:sz w:val="24"/>
          <w:szCs w:val="24"/>
          <w:highlight w:val="none"/>
          <w:u w:val="single"/>
          <w:lang w:eastAsia="zh-CN"/>
        </w:rPr>
        <w:fldChar w:fldCharType="begin"/>
      </w:r>
      <w:r>
        <w:rPr>
          <w:rFonts w:hint="eastAsia" w:ascii="微软雅黑" w:hAnsi="微软雅黑" w:cs="微软雅黑"/>
          <w:b/>
          <w:bCs/>
          <w:color w:val="0000FF"/>
          <w:kern w:val="0"/>
          <w:sz w:val="24"/>
          <w:szCs w:val="24"/>
          <w:highlight w:val="none"/>
          <w:u w:val="single"/>
          <w:lang w:eastAsia="zh-CN"/>
        </w:rPr>
        <w:instrText xml:space="preserve"> HYPERLINK \l "重要基因变异及潜在靶向药物信息" </w:instrText>
      </w:r>
      <w:r>
        <w:rPr>
          <w:rFonts w:hint="eastAsia" w:ascii="微软雅黑" w:hAnsi="微软雅黑" w:cs="微软雅黑"/>
          <w:b/>
          <w:bCs/>
          <w:color w:val="0000FF"/>
          <w:kern w:val="0"/>
          <w:sz w:val="24"/>
          <w:szCs w:val="24"/>
          <w:highlight w:val="none"/>
          <w:u w:val="single"/>
          <w:lang w:eastAsia="zh-CN"/>
        </w:rPr>
        <w:fldChar w:fldCharType="separate"/>
      </w:r>
      <w:r>
        <w:rPr>
          <w:rStyle w:val="21"/>
          <w:rFonts w:hint="eastAsia" w:ascii="微软雅黑" w:hAnsi="微软雅黑" w:cs="微软雅黑"/>
          <w:b/>
          <w:bCs/>
          <w:color w:val="0000FF"/>
          <w:kern w:val="0"/>
          <w:sz w:val="24"/>
          <w:szCs w:val="24"/>
          <w:highlight w:val="none"/>
          <w:u w:val="single"/>
          <w:lang w:eastAsia="zh-CN"/>
        </w:rPr>
        <w:t>司美替尼（Selumetinib）、PD0325901</w:t>
      </w:r>
      <w:r>
        <w:rPr>
          <w:rFonts w:hint="eastAsia" w:ascii="微软雅黑" w:hAnsi="微软雅黑" w:cs="微软雅黑"/>
          <w:b/>
          <w:bCs/>
          <w:color w:val="0000FF"/>
          <w:kern w:val="0"/>
          <w:sz w:val="24"/>
          <w:szCs w:val="24"/>
          <w:highlight w:val="none"/>
          <w:u w:val="single"/>
          <w:lang w:eastAsia="zh-CN"/>
        </w:rPr>
        <w:fldChar w:fldCharType="end"/>
      </w:r>
      <w:r>
        <w:rPr>
          <w:rFonts w:hint="eastAsia" w:ascii="微软雅黑" w:hAnsi="微软雅黑" w:cs="微软雅黑"/>
          <w:b/>
          <w:bCs/>
          <w:color w:val="0000FF"/>
          <w:kern w:val="0"/>
          <w:sz w:val="24"/>
          <w:szCs w:val="24"/>
          <w:highlight w:val="none"/>
          <w:u w:val="single"/>
          <w:lang w:eastAsia="zh-CN"/>
        </w:rPr>
        <w:t>、</w:t>
      </w:r>
      <w:r>
        <w:rPr>
          <w:rStyle w:val="21"/>
          <w:rFonts w:hint="eastAsia" w:ascii="微软雅黑" w:hAnsi="微软雅黑" w:cs="微软雅黑"/>
          <w:b/>
          <w:bCs/>
          <w:color w:val="0000FF"/>
          <w:kern w:val="0"/>
          <w:sz w:val="24"/>
          <w:szCs w:val="24"/>
          <w:highlight w:val="none"/>
          <w:u w:val="single"/>
          <w:lang w:eastAsia="zh-CN"/>
        </w:rPr>
        <w:t>PD0325901</w:t>
      </w:r>
      <w:r>
        <w:rPr>
          <w:rStyle w:val="21"/>
          <w:rFonts w:hint="eastAsia" w:ascii="微软雅黑" w:hAnsi="微软雅黑" w:cs="微软雅黑"/>
          <w:b/>
          <w:bCs/>
          <w:color w:val="0000FF"/>
          <w:kern w:val="0"/>
          <w:sz w:val="24"/>
          <w:szCs w:val="24"/>
          <w:highlight w:val="none"/>
          <w:u w:val="single"/>
          <w:lang w:val="en-US" w:eastAsia="zh-CN"/>
        </w:rPr>
        <w:t>+哌柏西利</w:t>
      </w:r>
      <w:r>
        <w:rPr>
          <w:rStyle w:val="21"/>
          <w:rFonts w:hint="eastAsia" w:ascii="微软雅黑" w:hAnsi="微软雅黑" w:cs="微软雅黑"/>
          <w:b/>
          <w:bCs/>
          <w:color w:val="0000FF"/>
          <w:kern w:val="0"/>
          <w:sz w:val="24"/>
          <w:szCs w:val="24"/>
          <w:highlight w:val="none"/>
          <w:u w:val="single"/>
          <w:lang w:eastAsia="zh-CN"/>
        </w:rPr>
        <w:t>（</w:t>
      </w:r>
      <w:r>
        <w:rPr>
          <w:rStyle w:val="21"/>
          <w:rFonts w:hint="eastAsia" w:ascii="微软雅黑" w:hAnsi="微软雅黑" w:cs="微软雅黑"/>
          <w:b/>
          <w:bCs/>
          <w:color w:val="0000FF"/>
          <w:kern w:val="0"/>
          <w:sz w:val="24"/>
          <w:szCs w:val="24"/>
          <w:highlight w:val="none"/>
          <w:u w:val="single"/>
          <w:lang w:val="en-US" w:eastAsia="zh-CN"/>
        </w:rPr>
        <w:t>Palbociclib</w:t>
      </w:r>
      <w:r>
        <w:rPr>
          <w:rStyle w:val="21"/>
          <w:rFonts w:hint="eastAsia" w:ascii="微软雅黑" w:hAnsi="微软雅黑" w:cs="微软雅黑"/>
          <w:b/>
          <w:bCs/>
          <w:color w:val="0000FF"/>
          <w:kern w:val="0"/>
          <w:sz w:val="24"/>
          <w:szCs w:val="24"/>
          <w:highlight w:val="none"/>
          <w:u w:val="single"/>
          <w:lang w:eastAsia="zh-CN"/>
        </w:rPr>
        <w:t>）</w:t>
      </w:r>
    </w:p>
    <w:p w14:paraId="5674B73E">
      <w:pPr>
        <w:spacing w:after="0"/>
        <w:jc w:val="both"/>
        <w:rPr>
          <w:rFonts w:hint="eastAsia"/>
          <w:b/>
          <w:bCs/>
          <w:kern w:val="2"/>
          <w:highlight w:val="none"/>
          <w:lang w:eastAsia="zh-CN"/>
        </w:rPr>
      </w:pPr>
      <w:r>
        <w:rPr>
          <w:rFonts w:hint="eastAsia"/>
          <w:b/>
          <w:bCs/>
          <w:kern w:val="2"/>
          <w:highlight w:val="none"/>
          <w:lang w:eastAsia="zh-CN"/>
        </w:rPr>
        <w:t>基因变异与药物关联分析：</w:t>
      </w:r>
    </w:p>
    <w:p w14:paraId="489EA61D">
      <w:pPr>
        <w:spacing w:after="0"/>
        <w:ind w:firstLine="420" w:firstLineChars="200"/>
        <w:jc w:val="both"/>
        <w:outlineLvl w:val="9"/>
        <w:rPr>
          <w:rFonts w:hint="eastAsia" w:ascii="微软雅黑" w:hAnsi="微软雅黑"/>
          <w:color w:val="auto"/>
          <w:kern w:val="1"/>
          <w:sz w:val="21"/>
          <w:szCs w:val="21"/>
          <w:highlight w:val="none"/>
          <w:lang w:eastAsia="zh-CN"/>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微软雅黑"/>
          <w:sz w:val="21"/>
          <w:lang w:eastAsia="zh-CN"/>
        </w:rPr>
        <w:t>c.34G&gt;A</w:t>
      </w:r>
      <w:r>
        <w:rPr>
          <w:rFonts w:hint="eastAsia" w:ascii="微软雅黑" w:hAnsi="微软雅黑" w:cs="微软雅黑"/>
          <w:sz w:val="21"/>
        </w:rPr>
        <w:t>，</w:t>
      </w:r>
      <w:r>
        <w:rPr>
          <w:rFonts w:hint="eastAsia" w:ascii="微软雅黑" w:hAnsi="微软雅黑" w:cs="微软雅黑"/>
          <w:sz w:val="21"/>
          <w:lang w:eastAsia="zh-CN"/>
        </w:rPr>
        <w:t>p.G12S</w:t>
      </w:r>
      <w:r>
        <w:rPr>
          <w:rFonts w:hint="eastAsia" w:ascii="微软雅黑" w:hAnsi="微软雅黑" w:eastAsia="微软雅黑" w:cs="Arial Unicode MS"/>
          <w:color w:val="auto"/>
          <w:kern w:val="2"/>
          <w:sz w:val="21"/>
          <w:szCs w:val="21"/>
          <w:highlight w:val="none"/>
          <w:lang w:val="en-US" w:eastAsia="zh-CN"/>
        </w:rPr>
        <w:t>错义突变，为已知激活突变，对蛋白功能有重要影响。</w:t>
      </w:r>
      <w:r>
        <w:rPr>
          <w:rFonts w:hint="eastAsia" w:ascii="微软雅黑" w:hAnsi="微软雅黑" w:cs="Arial Unicode MS"/>
          <w:b w:val="0"/>
          <w:bCs/>
          <w:color w:val="auto"/>
          <w:kern w:val="2"/>
          <w:sz w:val="21"/>
          <w:szCs w:val="21"/>
          <w:highlight w:val="none"/>
          <w:lang w:eastAsia="zh-CN"/>
        </w:rPr>
        <w:t>携带该突变的肿瘤患者可能从RAS/RAF</w:t>
      </w:r>
      <w:r>
        <w:rPr>
          <w:rFonts w:hint="eastAsia" w:ascii="微软雅黑" w:hAnsi="微软雅黑"/>
          <w:color w:val="auto"/>
          <w:kern w:val="1"/>
          <w:sz w:val="21"/>
          <w:szCs w:val="21"/>
          <w:highlight w:val="none"/>
        </w:rPr>
        <w:t>/MEK/ERK信号通路</w:t>
      </w:r>
      <w:r>
        <w:rPr>
          <w:rFonts w:hint="eastAsia" w:ascii="微软雅黑" w:hAnsi="微软雅黑"/>
          <w:color w:val="auto"/>
          <w:kern w:val="1"/>
          <w:sz w:val="21"/>
          <w:szCs w:val="21"/>
          <w:highlight w:val="none"/>
          <w:lang w:eastAsia="zh-CN"/>
        </w:rPr>
        <w:t>的</w:t>
      </w:r>
      <w:r>
        <w:rPr>
          <w:rFonts w:hint="eastAsia" w:ascii="微软雅黑" w:hAnsi="微软雅黑"/>
          <w:color w:val="auto"/>
          <w:kern w:val="1"/>
          <w:sz w:val="21"/>
          <w:szCs w:val="21"/>
          <w:highlight w:val="none"/>
        </w:rPr>
        <w:t>下游MEK1/2激酶</w:t>
      </w:r>
      <w:r>
        <w:rPr>
          <w:rFonts w:hint="eastAsia" w:ascii="微软雅黑" w:hAnsi="微软雅黑"/>
          <w:color w:val="auto"/>
          <w:kern w:val="1"/>
          <w:sz w:val="21"/>
          <w:szCs w:val="21"/>
          <w:highlight w:val="none"/>
          <w:lang w:eastAsia="zh-CN"/>
        </w:rPr>
        <w:t>抑制剂获益。</w:t>
      </w:r>
      <w:r>
        <w:rPr>
          <w:rFonts w:hint="eastAsia" w:ascii="微软雅黑" w:hAnsi="微软雅黑"/>
          <w:color w:val="auto"/>
          <w:kern w:val="1"/>
          <w:sz w:val="21"/>
          <w:szCs w:val="21"/>
          <w:highlight w:val="none"/>
        </w:rPr>
        <w:t>司美替尼是一种小分子抑制剂，可抑制</w:t>
      </w:r>
      <w:r>
        <w:rPr>
          <w:rFonts w:hint="eastAsia" w:ascii="微软雅黑" w:hAnsi="微软雅黑"/>
          <w:color w:val="auto"/>
          <w:kern w:val="1"/>
          <w:sz w:val="21"/>
          <w:szCs w:val="21"/>
          <w:highlight w:val="none"/>
          <w:lang w:val="en-US" w:eastAsia="zh-CN"/>
        </w:rPr>
        <w:t>KRAS/NRAS/BRAF</w:t>
      </w:r>
      <w:r>
        <w:rPr>
          <w:rFonts w:hint="eastAsia" w:ascii="微软雅黑" w:hAnsi="微软雅黑"/>
          <w:color w:val="auto"/>
          <w:kern w:val="1"/>
          <w:sz w:val="21"/>
          <w:szCs w:val="21"/>
          <w:highlight w:val="none"/>
        </w:rPr>
        <w:t>信号通路下游MEK1/2的激酶活性，对携带</w:t>
      </w:r>
      <w:r>
        <w:rPr>
          <w:rFonts w:hint="eastAsia" w:ascii="微软雅黑" w:hAnsi="微软雅黑"/>
          <w:color w:val="auto"/>
          <w:kern w:val="1"/>
          <w:sz w:val="21"/>
          <w:szCs w:val="21"/>
          <w:highlight w:val="none"/>
          <w:lang w:val="en-US" w:eastAsia="zh-CN"/>
        </w:rPr>
        <w:t>KRAS/NRAS/BRAF</w:t>
      </w:r>
      <w:r>
        <w:rPr>
          <w:rFonts w:hint="eastAsia" w:ascii="微软雅黑" w:hAnsi="微软雅黑"/>
          <w:color w:val="auto"/>
          <w:kern w:val="1"/>
          <w:sz w:val="21"/>
          <w:szCs w:val="21"/>
          <w:highlight w:val="none"/>
        </w:rPr>
        <w:t>信号通路异常激活的肿瘤特别有效。</w:t>
      </w:r>
      <w:r>
        <w:rPr>
          <w:rFonts w:hint="eastAsia" w:ascii="微软雅黑" w:hAnsi="微软雅黑"/>
          <w:color w:val="auto"/>
          <w:kern w:val="1"/>
          <w:sz w:val="21"/>
          <w:szCs w:val="21"/>
          <w:highlight w:val="none"/>
          <w:lang w:val="en-US" w:eastAsia="zh-CN"/>
        </w:rPr>
        <w:t>FDA和NMPA批准司美替尼用于治疗1型神经纤维瘤。</w:t>
      </w:r>
      <w:r>
        <w:rPr>
          <w:rFonts w:hint="eastAsia" w:ascii="微软雅黑" w:hAnsi="微软雅黑"/>
          <w:color w:val="auto"/>
          <w:kern w:val="1"/>
          <w:sz w:val="21"/>
          <w:szCs w:val="21"/>
          <w:highlight w:val="none"/>
          <w:lang w:eastAsia="zh-CN"/>
        </w:rPr>
        <w:t>哌柏西利是一种</w:t>
      </w:r>
      <w:r>
        <w:rPr>
          <w:rFonts w:hint="eastAsia" w:ascii="微软雅黑" w:hAnsi="微软雅黑"/>
          <w:color w:val="auto"/>
          <w:kern w:val="1"/>
          <w:sz w:val="21"/>
          <w:szCs w:val="21"/>
          <w:highlight w:val="none"/>
          <w:lang w:val="en-US" w:eastAsia="zh-CN"/>
        </w:rPr>
        <w:t>CDK4/6抑制剂，已获FDA和NMPA批准用于治疗乳腺癌。</w:t>
      </w:r>
      <w:r>
        <w:rPr>
          <w:rFonts w:hint="eastAsia" w:ascii="微软雅黑" w:hAnsi="微软雅黑"/>
          <w:color w:val="auto"/>
          <w:kern w:val="1"/>
          <w:sz w:val="21"/>
          <w:szCs w:val="21"/>
          <w:highlight w:val="none"/>
        </w:rPr>
        <w:t>PD0325901是MEK1/2的抑制剂，正在开展临床试验。</w:t>
      </w:r>
    </w:p>
    <w:p w14:paraId="0643E36C">
      <w:pPr>
        <w:spacing w:after="0"/>
        <w:ind w:firstLine="0" w:firstLineChars="0"/>
        <w:jc w:val="both"/>
        <w:outlineLvl w:val="9"/>
        <w:rPr>
          <w:rFonts w:hint="eastAsia" w:ascii="微软雅黑" w:hAnsi="微软雅黑"/>
          <w:color w:val="auto"/>
          <w:kern w:val="1"/>
          <w:sz w:val="21"/>
          <w:szCs w:val="21"/>
          <w:highlight w:val="none"/>
        </w:rPr>
      </w:pPr>
      <w:r>
        <w:rPr>
          <w:rFonts w:hint="eastAsia"/>
          <w:b/>
          <w:bCs/>
          <w:kern w:val="2"/>
          <w:highlight w:val="none"/>
          <w:lang w:eastAsia="zh-CN"/>
        </w:rPr>
        <w:t>药物疗效临床解析：</w:t>
      </w:r>
    </w:p>
    <w:p w14:paraId="43E636DA">
      <w:pPr>
        <w:keepNext w:val="0"/>
        <w:keepLines w:val="0"/>
        <w:pageBreakBefore w:val="0"/>
        <w:widowControl/>
        <w:numPr>
          <w:ilvl w:val="0"/>
          <w:numId w:val="0"/>
        </w:numPr>
        <w:kinsoku/>
        <w:wordWrap/>
        <w:overflowPunct/>
        <w:topLinePunct w:val="0"/>
        <w:autoSpaceDE/>
        <w:autoSpaceDN/>
        <w:bidi w:val="0"/>
        <w:adjustRightInd w:val="0"/>
        <w:snapToGrid w:val="0"/>
        <w:spacing w:before="0" w:after="0" w:line="240" w:lineRule="auto"/>
        <w:ind w:left="0" w:leftChars="0" w:right="0" w:rightChars="0" w:firstLine="420" w:firstLineChars="200"/>
        <w:jc w:val="both"/>
        <w:textAlignment w:val="auto"/>
        <w:outlineLvl w:val="9"/>
        <w:rPr>
          <w:rFonts w:hint="eastAsia" w:ascii="微软雅黑" w:hAnsi="微软雅黑"/>
          <w:color w:val="auto"/>
          <w:kern w:val="1"/>
          <w:sz w:val="21"/>
          <w:szCs w:val="21"/>
          <w:highlight w:val="none"/>
          <w:lang w:eastAsia="zh-CN"/>
        </w:rPr>
      </w:pPr>
      <w:r>
        <w:rPr>
          <w:rFonts w:hint="eastAsia" w:ascii="微软雅黑" w:hAnsi="微软雅黑"/>
          <w:color w:val="auto"/>
          <w:kern w:val="1"/>
          <w:sz w:val="21"/>
          <w:szCs w:val="21"/>
          <w:highlight w:val="none"/>
          <w:lang w:eastAsia="zh-CN"/>
        </w:rPr>
        <w:t>有实验研究表明，司美替尼对于KRAS突变阳性的直肠癌细胞系生长有明显的抑制作用，而对于KARS野生型的直肠癌细胞系生长无明显的抑制作用</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24170544</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。在KRAS突变的</w:t>
      </w:r>
      <w:r>
        <w:rPr>
          <w:rFonts w:hint="eastAsia" w:ascii="微软雅黑" w:hAnsi="微软雅黑"/>
          <w:color w:val="auto"/>
          <w:kern w:val="1"/>
          <w:sz w:val="21"/>
          <w:szCs w:val="21"/>
          <w:highlight w:val="none"/>
          <w:lang w:val="en-US" w:eastAsia="zh-CN"/>
        </w:rPr>
        <w:t>结直肠癌</w:t>
      </w:r>
      <w:r>
        <w:rPr>
          <w:rFonts w:hint="eastAsia" w:ascii="微软雅黑" w:hAnsi="微软雅黑"/>
          <w:color w:val="auto"/>
          <w:kern w:val="1"/>
          <w:sz w:val="21"/>
          <w:szCs w:val="21"/>
          <w:highlight w:val="none"/>
          <w:lang w:eastAsia="zh-CN"/>
        </w:rPr>
        <w:t>剂量扩增队列的I期</w:t>
      </w:r>
      <w:r>
        <w:rPr>
          <w:rFonts w:hint="eastAsia" w:ascii="微软雅黑" w:hAnsi="微软雅黑"/>
          <w:color w:val="auto"/>
          <w:kern w:val="1"/>
          <w:sz w:val="21"/>
          <w:szCs w:val="21"/>
          <w:highlight w:val="none"/>
          <w:lang w:val="en-US" w:eastAsia="zh-CN"/>
        </w:rPr>
        <w:t>临床试验</w:t>
      </w:r>
      <w:r>
        <w:rPr>
          <w:rFonts w:hint="eastAsia" w:ascii="微软雅黑" w:hAnsi="微软雅黑"/>
          <w:color w:val="auto"/>
          <w:kern w:val="1"/>
          <w:sz w:val="21"/>
          <w:szCs w:val="21"/>
          <w:highlight w:val="none"/>
          <w:lang w:eastAsia="zh-CN"/>
        </w:rPr>
        <w:t>中，司美替尼最大耐受剂量为75mg p.o.BID联合每周西妥昔单抗250mg/m2，后期400mg/m2 剂量。14 例患者响应，5例患者SD，9例疾病进展[26666244]。一项临床</w:t>
      </w:r>
      <w:r>
        <w:rPr>
          <w:rFonts w:hint="eastAsia" w:ascii="微软雅黑" w:hAnsi="微软雅黑"/>
          <w:color w:val="auto"/>
          <w:kern w:val="1"/>
          <w:sz w:val="21"/>
          <w:szCs w:val="21"/>
          <w:highlight w:val="none"/>
          <w:lang w:val="en-US" w:eastAsia="zh-CN"/>
        </w:rPr>
        <w:t>I/II</w:t>
      </w:r>
      <w:r>
        <w:rPr>
          <w:rFonts w:hint="eastAsia" w:ascii="微软雅黑" w:hAnsi="微软雅黑"/>
          <w:color w:val="auto"/>
          <w:kern w:val="1"/>
          <w:sz w:val="21"/>
          <w:szCs w:val="21"/>
          <w:highlight w:val="none"/>
          <w:lang w:eastAsia="zh-CN"/>
        </w:rPr>
        <w:t>期试验，32位携带KRAS突变的结直肠癌患者接受奥沙利铂和贝伐珠单抗的治疗后接受司美替尼和伊立替康的联合治疗。在临床I期试验中，确定了最佳剂量。有</w:t>
      </w:r>
      <w:r>
        <w:rPr>
          <w:rFonts w:hint="eastAsia" w:ascii="微软雅黑" w:hAnsi="微软雅黑"/>
          <w:color w:val="auto"/>
          <w:kern w:val="1"/>
          <w:sz w:val="21"/>
          <w:szCs w:val="21"/>
          <w:highlight w:val="none"/>
          <w:lang w:val="en-US" w:eastAsia="zh-CN"/>
        </w:rPr>
        <w:t>3</w:t>
      </w:r>
      <w:r>
        <w:rPr>
          <w:rFonts w:hint="eastAsia" w:ascii="微软雅黑" w:hAnsi="微软雅黑"/>
          <w:color w:val="auto"/>
          <w:kern w:val="1"/>
          <w:sz w:val="21"/>
          <w:szCs w:val="21"/>
          <w:highlight w:val="none"/>
          <w:lang w:eastAsia="zh-CN"/>
        </w:rPr>
        <w:t>位患者（9.7%）具有部分应答，16位患者（51.6%）疾病稳定时间≥4周，其中3位超过一年。该临床试验提前终止，即便如此，试验结果中的中位无进展生存期和响应率良好，表明MEK抑制剂与其它靶向药物或细胞毒性药物的联合应用能提高对转移性结直肠癌患者治疗的临床意义</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25322874</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w:t>
      </w:r>
    </w:p>
    <w:p w14:paraId="717DC756">
      <w:pPr>
        <w:keepNext w:val="0"/>
        <w:keepLines w:val="0"/>
        <w:pageBreakBefore w:val="0"/>
        <w:widowControl/>
        <w:kinsoku/>
        <w:wordWrap/>
        <w:overflowPunct/>
        <w:topLinePunct w:val="0"/>
        <w:autoSpaceDE/>
        <w:autoSpaceDN/>
        <w:bidi w:val="0"/>
        <w:adjustRightInd w:val="0"/>
        <w:snapToGrid w:val="0"/>
        <w:spacing w:before="0" w:beforeLines="-2147483648" w:after="0" w:afterLines="-2147483648"/>
        <w:ind w:firstLine="420" w:firstLineChars="200"/>
        <w:jc w:val="both"/>
        <w:textAlignment w:val="auto"/>
        <w:outlineLvl w:val="9"/>
        <w:rPr>
          <w:rFonts w:hint="eastAsia" w:ascii="微软雅黑" w:hAnsi="微软雅黑" w:eastAsia="微软雅黑" w:cs="Arial Unicode MS"/>
          <w:kern w:val="2"/>
          <w:sz w:val="21"/>
          <w:szCs w:val="21"/>
          <w:highlight w:val="none"/>
          <w:lang w:val="en-US" w:eastAsia="zh-CN"/>
        </w:rPr>
      </w:pPr>
      <w:r>
        <w:rPr>
          <w:rFonts w:hint="eastAsia" w:ascii="微软雅黑" w:hAnsi="微软雅黑"/>
          <w:color w:val="auto"/>
          <w:kern w:val="1"/>
          <w:sz w:val="21"/>
          <w:szCs w:val="21"/>
          <w:highlight w:val="none"/>
          <w:lang w:eastAsia="zh-CN"/>
        </w:rPr>
        <w:t>体外研究显示，具有KRAS突变的细胞系对PD0325901敏感</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19401449</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21451123</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。另有结直肠癌小鼠模型研究显示，NVP-BKM120联合PD-0325901可诱导PIK3CA野生型KRAS突变的肿瘤退缩</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24576621</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。PD0325901用于实体瘤患者临床Ⅰ期研究显示，在58名可评估的患者中，3名黑色素瘤患者局部缓解，23名患者疾病稳定，包括21名黑色素瘤、2名肺癌</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20215549</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w:t>
      </w:r>
      <w:r>
        <w:rPr>
          <w:rFonts w:hint="eastAsia" w:ascii="微软雅黑" w:hAnsi="微软雅黑"/>
          <w:color w:val="auto"/>
          <w:kern w:val="1"/>
          <w:sz w:val="21"/>
          <w:szCs w:val="21"/>
          <w:highlight w:val="none"/>
          <w:lang w:val="en-US" w:eastAsia="zh-CN"/>
        </w:rPr>
        <w:t>一项I/II期临床试验，旨在评估</w:t>
      </w:r>
      <w:r>
        <w:rPr>
          <w:rFonts w:hint="eastAsia" w:ascii="微软雅黑" w:hAnsi="微软雅黑"/>
          <w:color w:val="auto"/>
          <w:kern w:val="1"/>
          <w:sz w:val="21"/>
          <w:szCs w:val="21"/>
          <w:highlight w:val="none"/>
          <w:lang w:eastAsia="zh-CN"/>
        </w:rPr>
        <w:t>PD0325901</w:t>
      </w:r>
      <w:r>
        <w:rPr>
          <w:rFonts w:hint="eastAsia" w:ascii="微软雅黑" w:hAnsi="微软雅黑"/>
          <w:color w:val="auto"/>
          <w:kern w:val="1"/>
          <w:sz w:val="21"/>
          <w:szCs w:val="21"/>
          <w:highlight w:val="none"/>
          <w:lang w:val="en-US" w:eastAsia="zh-CN"/>
        </w:rPr>
        <w:t>联合哌柏西利用于治疗携带KRAS突变的实体瘤的安全性和有效性，该试验正在进行中，不招募患者[</w:t>
      </w:r>
      <w:r>
        <w:rPr>
          <w:rFonts w:hint="eastAsia" w:ascii="微软雅黑" w:hAnsi="微软雅黑"/>
          <w:color w:val="auto"/>
          <w:kern w:val="1"/>
          <w:sz w:val="21"/>
          <w:szCs w:val="21"/>
          <w:highlight w:val="none"/>
          <w:lang w:eastAsia="zh-CN"/>
        </w:rPr>
        <w:t>NCT02022982</w:t>
      </w:r>
      <w:r>
        <w:rPr>
          <w:rFonts w:hint="eastAsia" w:ascii="微软雅黑" w:hAnsi="微软雅黑"/>
          <w:color w:val="auto"/>
          <w:kern w:val="1"/>
          <w:sz w:val="21"/>
          <w:szCs w:val="21"/>
          <w:highlight w:val="none"/>
          <w:lang w:val="en-US" w:eastAsia="zh-CN"/>
        </w:rPr>
        <w:t>]。</w:t>
      </w:r>
    </w:p>
    <w:p w14:paraId="118D290B">
      <w:pPr>
        <w:keepNext w:val="0"/>
        <w:keepLines w:val="0"/>
        <w:pageBreakBefore w:val="0"/>
        <w:widowControl/>
        <w:numPr>
          <w:ilvl w:val="0"/>
          <w:numId w:val="13"/>
        </w:numPr>
        <w:kinsoku/>
        <w:wordWrap/>
        <w:overflowPunct/>
        <w:topLinePunct w:val="0"/>
        <w:autoSpaceDE/>
        <w:autoSpaceDN/>
        <w:bidi w:val="0"/>
        <w:adjustRightInd w:val="0"/>
        <w:snapToGrid w:val="0"/>
        <w:spacing w:before="200" w:after="200" w:line="240" w:lineRule="auto"/>
        <w:ind w:left="420" w:leftChars="0" w:right="0" w:rightChars="0" w:hanging="420" w:firstLineChars="0"/>
        <w:jc w:val="both"/>
        <w:textAlignment w:val="auto"/>
        <w:outlineLvl w:val="9"/>
        <w:rPr>
          <w:rFonts w:hint="eastAsia" w:ascii="微软雅黑" w:hAnsi="微软雅黑" w:eastAsia="微软雅黑" w:cs="微软雅黑"/>
          <w:b/>
          <w:bCs/>
          <w:color w:val="auto"/>
          <w:sz w:val="24"/>
          <w:szCs w:val="24"/>
          <w:highlight w:val="none"/>
          <w:u w:val="none"/>
          <w:lang w:val="en-US" w:eastAsia="zh-CN"/>
        </w:rPr>
      </w:pPr>
      <w:r>
        <w:rPr>
          <w:rFonts w:hint="eastAsia" w:ascii="微软雅黑" w:hAnsi="微软雅黑" w:eastAsia="微软雅黑" w:cs="微软雅黑"/>
          <w:b/>
          <w:bCs/>
          <w:color w:val="0000FF"/>
          <w:kern w:val="0"/>
          <w:sz w:val="24"/>
          <w:szCs w:val="24"/>
          <w:highlight w:val="none"/>
          <w:u w:val="single"/>
        </w:rPr>
        <w:fldChar w:fldCharType="begin"/>
      </w:r>
      <w:r>
        <w:rPr>
          <w:rFonts w:hint="eastAsia" w:ascii="微软雅黑" w:hAnsi="微软雅黑" w:eastAsia="微软雅黑" w:cs="微软雅黑"/>
          <w:b/>
          <w:bCs/>
          <w:color w:val="0000FF"/>
          <w:kern w:val="0"/>
          <w:sz w:val="24"/>
          <w:szCs w:val="24"/>
          <w:highlight w:val="none"/>
          <w:u w:val="single"/>
        </w:rPr>
        <w:instrText xml:space="preserve"> HYPERLINK \l "重要基因变异及潜在靶向药物信息" </w:instrText>
      </w:r>
      <w:r>
        <w:rPr>
          <w:rFonts w:hint="eastAsia" w:ascii="微软雅黑" w:hAnsi="微软雅黑" w:eastAsia="微软雅黑" w:cs="微软雅黑"/>
          <w:b/>
          <w:bCs/>
          <w:color w:val="0000FF"/>
          <w:kern w:val="0"/>
          <w:sz w:val="24"/>
          <w:szCs w:val="24"/>
          <w:highlight w:val="none"/>
          <w:u w:val="single"/>
        </w:rPr>
        <w:fldChar w:fldCharType="separate"/>
      </w:r>
      <w:r>
        <w:rPr>
          <w:rFonts w:hint="eastAsia" w:ascii="微软雅黑" w:hAnsi="微软雅黑" w:cs="微软雅黑"/>
          <w:b/>
          <w:bCs/>
          <w:color w:val="0000FF"/>
          <w:sz w:val="24"/>
          <w:szCs w:val="24"/>
          <w:highlight w:val="none"/>
          <w:u w:val="single"/>
          <w:lang w:eastAsia="zh-CN"/>
        </w:rPr>
        <w:t>Defactinib+Avutometinib、依维莫司（Everolimus）</w:t>
      </w:r>
      <w:r>
        <w:rPr>
          <w:rFonts w:hint="eastAsia" w:ascii="微软雅黑" w:hAnsi="微软雅黑" w:cs="微软雅黑"/>
          <w:b/>
          <w:bCs/>
          <w:color w:val="0000FF"/>
          <w:sz w:val="24"/>
          <w:szCs w:val="24"/>
          <w:highlight w:val="none"/>
          <w:u w:val="single"/>
          <w:lang w:val="en-US" w:eastAsia="zh-CN"/>
        </w:rPr>
        <w:t>+</w:t>
      </w:r>
      <w:r>
        <w:rPr>
          <w:rFonts w:hint="eastAsia" w:ascii="微软雅黑" w:hAnsi="微软雅黑" w:cs="微软雅黑"/>
          <w:b/>
          <w:bCs/>
          <w:color w:val="0000FF"/>
          <w:sz w:val="24"/>
          <w:szCs w:val="24"/>
          <w:highlight w:val="none"/>
          <w:u w:val="single"/>
          <w:lang w:eastAsia="zh-CN"/>
        </w:rPr>
        <w:t>Avutometinib</w:t>
      </w:r>
      <w:r>
        <w:rPr>
          <w:rFonts w:hint="eastAsia" w:ascii="微软雅黑" w:hAnsi="微软雅黑" w:eastAsia="微软雅黑" w:cs="微软雅黑"/>
          <w:b/>
          <w:bCs/>
          <w:color w:val="0000FF"/>
          <w:kern w:val="0"/>
          <w:sz w:val="24"/>
          <w:szCs w:val="24"/>
          <w:highlight w:val="none"/>
          <w:u w:val="single"/>
        </w:rPr>
        <w:fldChar w:fldCharType="end"/>
      </w:r>
      <w:r>
        <w:rPr>
          <w:rFonts w:hint="eastAsia" w:ascii="微软雅黑" w:hAnsi="微软雅黑" w:cs="微软雅黑"/>
          <w:b/>
          <w:bCs/>
          <w:color w:val="0000FF"/>
          <w:kern w:val="0"/>
          <w:sz w:val="24"/>
          <w:szCs w:val="24"/>
          <w:highlight w:val="none"/>
          <w:u w:val="single"/>
          <w:lang w:eastAsia="zh-CN"/>
        </w:rPr>
        <w:t>、RMC-6236</w:t>
      </w:r>
    </w:p>
    <w:p w14:paraId="4DF2F53F">
      <w:pPr>
        <w:spacing w:beforeLines="0" w:after="0" w:afterLines="0"/>
        <w:jc w:val="both"/>
        <w:outlineLvl w:val="9"/>
        <w:rPr>
          <w:rFonts w:hint="eastAsia"/>
          <w:b/>
          <w:bCs/>
          <w:kern w:val="2"/>
          <w:highlight w:val="none"/>
          <w:lang w:eastAsia="zh-CN"/>
        </w:rPr>
      </w:pPr>
      <w:r>
        <w:rPr>
          <w:rFonts w:hint="eastAsia"/>
          <w:b/>
          <w:bCs/>
          <w:kern w:val="2"/>
          <w:highlight w:val="none"/>
          <w:lang w:eastAsia="zh-CN"/>
        </w:rPr>
        <w:t>基因变异与药物关联分析：</w:t>
      </w:r>
    </w:p>
    <w:p w14:paraId="204CA7FE">
      <w:pPr>
        <w:spacing w:beforeLines="0" w:after="0" w:afterLines="0"/>
        <w:ind w:firstLine="420" w:firstLineChars="200"/>
        <w:jc w:val="both"/>
        <w:outlineLvl w:val="9"/>
        <w:rPr>
          <w:rFonts w:hint="default" w:ascii="微软雅黑" w:hAnsi="微软雅黑"/>
          <w:color w:val="auto"/>
          <w:kern w:val="1"/>
          <w:sz w:val="21"/>
          <w:szCs w:val="21"/>
          <w:highlight w:val="none"/>
          <w:lang w:val="en-US"/>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微软雅黑"/>
          <w:sz w:val="21"/>
          <w:lang w:eastAsia="zh-CN"/>
        </w:rPr>
        <w:t>c.34G&gt;A</w:t>
      </w:r>
      <w:r>
        <w:rPr>
          <w:rFonts w:hint="eastAsia" w:ascii="微软雅黑" w:hAnsi="微软雅黑" w:cs="微软雅黑"/>
          <w:sz w:val="21"/>
        </w:rPr>
        <w:t>，</w:t>
      </w:r>
      <w:r>
        <w:rPr>
          <w:rFonts w:hint="eastAsia" w:ascii="微软雅黑" w:hAnsi="微软雅黑" w:cs="微软雅黑"/>
          <w:sz w:val="21"/>
          <w:lang w:eastAsia="zh-CN"/>
        </w:rPr>
        <w:t>p.G12S</w:t>
      </w:r>
      <w:r>
        <w:rPr>
          <w:rFonts w:hint="eastAsia" w:ascii="微软雅黑" w:hAnsi="微软雅黑" w:eastAsia="微软雅黑" w:cs="Arial Unicode MS"/>
          <w:color w:val="auto"/>
          <w:kern w:val="2"/>
          <w:sz w:val="21"/>
          <w:szCs w:val="21"/>
          <w:highlight w:val="none"/>
          <w:lang w:val="en-US" w:eastAsia="zh-CN"/>
        </w:rPr>
        <w:t>错义突变，为已知激活突变，对蛋白功能有重要影响。</w:t>
      </w:r>
      <w:r>
        <w:rPr>
          <w:rFonts w:hint="eastAsia" w:ascii="微软雅黑" w:hAnsi="微软雅黑" w:cs="Arial Unicode MS"/>
          <w:b w:val="0"/>
          <w:bCs/>
          <w:color w:val="auto"/>
          <w:kern w:val="2"/>
          <w:sz w:val="21"/>
          <w:szCs w:val="21"/>
          <w:highlight w:val="none"/>
          <w:lang w:eastAsia="zh-CN"/>
        </w:rPr>
        <w:t>携带该突变的肿瘤患者可能从RAS/RAF</w:t>
      </w:r>
      <w:r>
        <w:rPr>
          <w:rFonts w:hint="eastAsia" w:ascii="微软雅黑" w:hAnsi="微软雅黑"/>
          <w:color w:val="auto"/>
          <w:kern w:val="1"/>
          <w:sz w:val="21"/>
          <w:szCs w:val="21"/>
          <w:highlight w:val="none"/>
        </w:rPr>
        <w:t>/MEK/ERK信号通路</w:t>
      </w:r>
      <w:r>
        <w:rPr>
          <w:rFonts w:hint="eastAsia" w:ascii="微软雅黑" w:hAnsi="微软雅黑"/>
          <w:color w:val="auto"/>
          <w:kern w:val="1"/>
          <w:sz w:val="21"/>
          <w:szCs w:val="21"/>
          <w:highlight w:val="none"/>
          <w:lang w:eastAsia="zh-CN"/>
        </w:rPr>
        <w:t>的</w:t>
      </w:r>
      <w:r>
        <w:rPr>
          <w:rFonts w:hint="eastAsia" w:ascii="微软雅黑" w:hAnsi="微软雅黑"/>
          <w:color w:val="auto"/>
          <w:kern w:val="1"/>
          <w:sz w:val="21"/>
          <w:szCs w:val="21"/>
          <w:highlight w:val="none"/>
        </w:rPr>
        <w:t>下游MEK1/2激酶</w:t>
      </w:r>
      <w:r>
        <w:rPr>
          <w:rFonts w:hint="eastAsia" w:ascii="微软雅黑" w:hAnsi="微软雅黑"/>
          <w:color w:val="auto"/>
          <w:kern w:val="1"/>
          <w:sz w:val="21"/>
          <w:szCs w:val="21"/>
          <w:highlight w:val="none"/>
          <w:lang w:eastAsia="zh-CN"/>
        </w:rPr>
        <w:t>抑制剂获益。</w:t>
      </w:r>
      <w:r>
        <w:rPr>
          <w:rFonts w:hint="eastAsia" w:ascii="微软雅黑" w:hAnsi="微软雅黑" w:cs="Arial Unicode MS"/>
          <w:color w:val="000000" w:themeColor="text1"/>
          <w:kern w:val="2"/>
          <w:sz w:val="21"/>
          <w:szCs w:val="21"/>
          <w14:textFill>
            <w14:solidFill>
              <w14:schemeClr w14:val="tx1"/>
            </w14:solidFill>
          </w14:textFill>
        </w:rPr>
        <w:t>Defactinib是一种FAK抑制剂</w:t>
      </w:r>
      <w:r>
        <w:rPr>
          <w:rFonts w:hint="eastAsia" w:ascii="微软雅黑" w:hAnsi="微软雅黑" w:cs="Arial Unicode MS"/>
          <w:color w:val="000000" w:themeColor="text1"/>
          <w:kern w:val="2"/>
          <w:sz w:val="21"/>
          <w:szCs w:val="21"/>
          <w:lang w:eastAsia="zh-CN"/>
          <w14:textFill>
            <w14:solidFill>
              <w14:schemeClr w14:val="tx1"/>
            </w14:solidFill>
          </w14:textFill>
        </w:rPr>
        <w:t>，Avutometinib</w:t>
      </w:r>
      <w:r>
        <w:rPr>
          <w:rFonts w:hint="eastAsia" w:ascii="微软雅黑" w:hAnsi="微软雅黑" w:cs="Arial Unicode MS"/>
          <w:color w:val="000000" w:themeColor="text1"/>
          <w:kern w:val="2"/>
          <w:sz w:val="21"/>
          <w:szCs w:val="21"/>
          <w14:textFill>
            <w14:solidFill>
              <w14:schemeClr w14:val="tx1"/>
            </w14:solidFill>
          </w14:textFill>
        </w:rPr>
        <w:t>又称RO5126766，是一种新型MEK-pan-RAF抑制剂，</w:t>
      </w:r>
      <w:r>
        <w:rPr>
          <w:rFonts w:hint="eastAsia" w:ascii="微软雅黑" w:hAnsi="微软雅黑" w:cs="Times New Roman"/>
          <w:b w:val="0"/>
          <w:bCs w:val="0"/>
          <w:color w:val="auto"/>
          <w:kern w:val="2"/>
          <w:sz w:val="21"/>
          <w:szCs w:val="21"/>
          <w:highlight w:val="none"/>
          <w:lang w:val="en-US" w:eastAsia="zh-CN"/>
        </w:rPr>
        <w:t>FDA加速批准了Avutometinib联合Defactinib用于治疗既往接受过系统治疗的KRAS突变的复发性低级别浆液性卵巢癌（LGSOC）成人患者。</w:t>
      </w:r>
      <w:r>
        <w:rPr>
          <w:rFonts w:hint="eastAsia" w:ascii="微软雅黑" w:hAnsi="微软雅黑" w:cs="微软雅黑"/>
          <w:sz w:val="21"/>
          <w:szCs w:val="21"/>
          <w:highlight w:val="none"/>
          <w:lang w:val="en-US" w:eastAsia="zh-CN"/>
        </w:rPr>
        <w:t>FDA已批准依维莫司用于治疗肾细胞癌、乳腺癌等，同时NMPA批准用于治疗肾细胞癌、室管膜下巨细胞型星形细胞瘤。</w:t>
      </w:r>
      <w:r>
        <w:rPr>
          <w:rFonts w:hint="eastAsia" w:ascii="微软雅黑" w:hAnsi="微软雅黑" w:cs="Times New Roman"/>
          <w:b w:val="0"/>
          <w:bCs w:val="0"/>
          <w:color w:val="auto"/>
          <w:kern w:val="2"/>
          <w:sz w:val="21"/>
          <w:szCs w:val="21"/>
          <w:highlight w:val="none"/>
          <w:lang w:val="en-US" w:eastAsia="zh-CN"/>
        </w:rPr>
        <w:t>RMC-6236是一种泛KRAS抑制剂，目前处于临床期。</w:t>
      </w:r>
    </w:p>
    <w:p w14:paraId="742B958F">
      <w:pPr>
        <w:spacing w:after="0"/>
        <w:jc w:val="both"/>
        <w:outlineLvl w:val="9"/>
        <w:rPr>
          <w:rFonts w:hint="eastAsia"/>
          <w:b/>
          <w:bCs/>
          <w:kern w:val="2"/>
          <w:highlight w:val="none"/>
          <w:lang w:eastAsia="zh-CN"/>
        </w:rPr>
      </w:pPr>
      <w:r>
        <w:rPr>
          <w:rFonts w:hint="eastAsia"/>
          <w:b/>
          <w:bCs/>
          <w:kern w:val="2"/>
          <w:highlight w:val="none"/>
          <w:lang w:eastAsia="zh-CN"/>
        </w:rPr>
        <w:t>药物疗效临床解析：</w:t>
      </w:r>
    </w:p>
    <w:p w14:paraId="41317366">
      <w:pPr>
        <w:numPr>
          <w:ilvl w:val="-1"/>
          <w:numId w:val="0"/>
        </w:numPr>
        <w:pBdr>
          <w:top w:val="none" w:color="auto" w:sz="0" w:space="0"/>
          <w:left w:val="none" w:color="auto" w:sz="0" w:space="0"/>
          <w:bottom w:val="none" w:color="auto" w:sz="0" w:space="0"/>
          <w:right w:val="none" w:color="auto" w:sz="0" w:space="0"/>
        </w:pBdr>
        <w:shd w:val="clear"/>
        <w:adjustRightInd/>
        <w:snapToGrid/>
        <w:spacing w:before="0" w:beforeLines="0" w:after="0" w:afterLines="0" w:line="240" w:lineRule="auto"/>
        <w:ind w:firstLine="420" w:firstLineChars="200"/>
        <w:jc w:val="both"/>
        <w:outlineLvl w:val="9"/>
        <w:rPr>
          <w:rFonts w:ascii="微软雅黑" w:hAnsi="微软雅黑" w:cs="微软雅黑"/>
          <w:color w:val="FF0000"/>
          <w:kern w:val="1"/>
          <w:sz w:val="21"/>
          <w:szCs w:val="21"/>
        </w:rPr>
      </w:pPr>
      <w:r>
        <w:rPr>
          <w:rFonts w:hint="eastAsia" w:ascii="微软雅黑" w:hAnsi="微软雅黑" w:cs="Times New Roman"/>
          <w:bCs/>
          <w:color w:val="auto"/>
          <w:kern w:val="2"/>
          <w:sz w:val="21"/>
          <w:szCs w:val="21"/>
          <w:lang w:val="en-US" w:eastAsia="zh-CN"/>
        </w:rPr>
        <w:t>一项Defactinib联合Avutometinib用于治疗携带KRAS基因突变在晚期实体瘤患者中疗效的I期临床试验正在招募中[NCT03875820]。</w:t>
      </w:r>
      <w:r>
        <w:rPr>
          <w:rFonts w:hint="eastAsia" w:ascii="微软雅黑" w:hAnsi="微软雅黑" w:cs="Times New Roman"/>
          <w:bCs/>
          <w:color w:val="auto"/>
          <w:kern w:val="2"/>
          <w:sz w:val="21"/>
          <w:szCs w:val="21"/>
          <w:highlight w:val="none"/>
          <w:lang w:val="en-US" w:eastAsia="zh-CN"/>
        </w:rPr>
        <w:t>一项Avutometinib（VS-6766）联合Defactinib用于治疗KRAS突变复发性低级别浆液性卵巢癌（LGSOC）成人患者的II期临床试验正在进行中[NCT04625270]。</w:t>
      </w:r>
      <w:r>
        <w:rPr>
          <w:rFonts w:hint="eastAsia" w:ascii="微软雅黑" w:hAnsi="微软雅黑" w:cs="Times New Roman"/>
          <w:bCs/>
          <w:color w:val="auto"/>
          <w:kern w:val="2"/>
          <w:sz w:val="21"/>
          <w:szCs w:val="21"/>
          <w:lang w:val="en-US" w:eastAsia="zh-CN"/>
        </w:rPr>
        <w:t>一项依维莫司联合Avutometinib用于治疗携带KRAS基因突变的在实体瘤或多发性骨髓瘤患者的I期临床试验正在招募患者[NCT02407509]。</w:t>
      </w:r>
      <w:r>
        <w:rPr>
          <w:rFonts w:hint="eastAsia" w:ascii="微软雅黑" w:hAnsi="微软雅黑" w:cs="Times New Roman"/>
          <w:bCs/>
          <w:color w:val="auto"/>
          <w:kern w:val="2"/>
          <w:sz w:val="21"/>
          <w:szCs w:val="21"/>
          <w:highlight w:val="none"/>
          <w:lang w:val="en-US" w:eastAsia="zh-CN"/>
        </w:rPr>
        <w:t>一项RMC-6236用于治疗携带RAS突变（KRAS、NRAS或HRAS在G12、G13或Q61处的任何非同义突变）的晚期实体瘤的多中心、开放标签、I/Ib期临床试验正在招募患者[NCT05379985]。</w:t>
      </w:r>
    </w:p>
    <w:p w14:paraId="3E32152A">
      <w:pPr>
        <w:numPr>
          <w:ilvl w:val="0"/>
          <w:numId w:val="14"/>
        </w:numPr>
        <w:spacing w:before="200"/>
        <w:ind w:left="420" w:hanging="420"/>
        <w:jc w:val="both"/>
        <w:rPr>
          <w:rFonts w:ascii="微软雅黑" w:hAnsi="微软雅黑" w:cs="微软雅黑"/>
          <w:color w:val="FF0000"/>
          <w:kern w:val="1"/>
          <w:sz w:val="21"/>
          <w:szCs w:val="21"/>
        </w:rPr>
      </w:pPr>
      <w:r>
        <w:rPr>
          <w:rStyle w:val="21"/>
          <w:rFonts w:hint="eastAsia" w:ascii="微软雅黑" w:hAnsi="微软雅黑" w:cs="微软雅黑"/>
          <w:b/>
          <w:bCs/>
          <w:color w:val="FF0000"/>
          <w:sz w:val="24"/>
          <w:szCs w:val="24"/>
          <w:u w:val="none"/>
        </w:rPr>
        <w:t>SETD2：c.4930G&gt;T，p.G1644*</w:t>
      </w:r>
      <w:r>
        <w:rPr>
          <w:rStyle w:val="21"/>
          <w:rFonts w:hint="eastAsia" w:ascii="微软雅黑" w:hAnsi="微软雅黑" w:cs="微软雅黑"/>
          <w:b/>
          <w:bCs/>
          <w:color w:val="FF0000"/>
          <w:sz w:val="24"/>
          <w:szCs w:val="24"/>
          <w:u w:val="none"/>
          <w:lang w:val="en-US" w:eastAsia="zh-CN"/>
        </w:rPr>
        <w:t>突变</w:t>
      </w:r>
      <w:r>
        <w:rPr>
          <w:rStyle w:val="21"/>
          <w:rFonts w:hint="eastAsia" w:ascii="微软雅黑" w:hAnsi="微软雅黑" w:cs="微软雅黑"/>
          <w:b/>
          <w:bCs/>
          <w:color w:val="FF0000"/>
          <w:sz w:val="24"/>
          <w:szCs w:val="24"/>
          <w:u w:val="none"/>
        </w:rPr>
        <w:t>相应靶向药物</w:t>
      </w:r>
    </w:p>
    <w:p w14:paraId="7AE381FA">
      <w:pPr>
        <w:numPr>
          <w:ilvl w:val="0"/>
          <w:numId w:val="12"/>
        </w:numPr>
        <w:adjustRightInd/>
        <w:snapToGrid/>
        <w:spacing w:before="200"/>
        <w:rPr>
          <w:rFonts w:ascii="微软雅黑" w:hAnsi="微软雅黑" w:cs="微软雅黑"/>
          <w:b/>
          <w:bCs/>
          <w:color w:val="0000FF"/>
        </w:rPr>
      </w:pPr>
      <w:r>
        <w:fldChar w:fldCharType="begin"/>
      </w:r>
      <w:r>
        <w:instrText xml:space="preserve"> HYPERLINK \l "基因变异检测结果及相关靶向药物信息" </w:instrText>
      </w:r>
      <w:r>
        <w:fldChar w:fldCharType="separate"/>
      </w:r>
      <w:r>
        <w:rPr>
          <w:rStyle w:val="23"/>
          <w:rFonts w:hint="eastAsia" w:ascii="微软雅黑" w:hAnsi="微软雅黑" w:cs="微软雅黑"/>
          <w:b/>
          <w:bCs/>
          <w:color w:val="0000FF"/>
          <w:sz w:val="24"/>
          <w:szCs w:val="24"/>
        </w:rPr>
        <w:t>AZD1775</w:t>
      </w:r>
      <w:r>
        <w:rPr>
          <w:rStyle w:val="23"/>
          <w:rFonts w:hint="eastAsia" w:ascii="微软雅黑" w:hAnsi="微软雅黑" w:cs="微软雅黑"/>
          <w:b/>
          <w:bCs/>
          <w:color w:val="0000FF"/>
          <w:sz w:val="24"/>
          <w:szCs w:val="24"/>
        </w:rPr>
        <w:fldChar w:fldCharType="end"/>
      </w:r>
    </w:p>
    <w:p w14:paraId="1999EA9B">
      <w:pPr>
        <w:spacing w:after="0"/>
        <w:jc w:val="both"/>
        <w:rPr>
          <w:b/>
          <w:bCs/>
          <w:kern w:val="2"/>
        </w:rPr>
      </w:pPr>
      <w:r>
        <w:rPr>
          <w:rFonts w:hint="eastAsia"/>
          <w:b/>
          <w:bCs/>
          <w:kern w:val="2"/>
        </w:rPr>
        <w:t>基因变异与药物关联分析：</w:t>
      </w:r>
    </w:p>
    <w:p w14:paraId="5AAE0313">
      <w:pPr>
        <w:spacing w:after="0"/>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lang w:val="en-US" w:eastAsia="zh-CN"/>
        </w:rPr>
        <w:t>该样本检出SETD2基因c.4930G&gt;T，p.G1644*无义突变，该突变导致蛋白翻译提前终止，产生截短的蛋白，可能导致蛋白功能缺失。有研究表明，SETD2缺失与WEE1抑制剂具有“合成致死”作用[29955114]。因此，可能从WEE1抑制剂的治疗中获益。</w:t>
      </w:r>
      <w:r>
        <w:rPr>
          <w:rFonts w:ascii="微软雅黑" w:hAnsi="微软雅黑" w:cs="Arial Unicode MS"/>
          <w:kern w:val="2"/>
          <w:sz w:val="21"/>
          <w:szCs w:val="21"/>
        </w:rPr>
        <w:t>AZD1775是一种WEE1激酶抑制剂，可以控制细胞分裂周期的G2检验点</w:t>
      </w:r>
      <w:r>
        <w:rPr>
          <w:rFonts w:hint="eastAsia" w:ascii="微软雅黑" w:hAnsi="微软雅黑" w:cs="Arial Unicode MS"/>
          <w:kern w:val="2"/>
          <w:sz w:val="21"/>
          <w:szCs w:val="21"/>
          <w:lang w:eastAsia="zh-CN"/>
        </w:rPr>
        <w:t>，</w:t>
      </w:r>
      <w:r>
        <w:rPr>
          <w:rFonts w:ascii="微软雅黑" w:hAnsi="微软雅黑" w:cs="Arial Unicode MS"/>
          <w:kern w:val="2"/>
          <w:sz w:val="21"/>
          <w:szCs w:val="21"/>
        </w:rPr>
        <w:t>目前该药正处于临床期。</w:t>
      </w:r>
    </w:p>
    <w:p w14:paraId="67B4F192">
      <w:pPr>
        <w:spacing w:after="0"/>
        <w:jc w:val="both"/>
        <w:rPr>
          <w:b/>
          <w:bCs/>
          <w:kern w:val="2"/>
        </w:rPr>
      </w:pPr>
      <w:r>
        <w:rPr>
          <w:rFonts w:hint="eastAsia"/>
          <w:b/>
          <w:bCs/>
          <w:kern w:val="2"/>
        </w:rPr>
        <w:t>药物疗效临床解析：</w:t>
      </w:r>
    </w:p>
    <w:p w14:paraId="461A3A82">
      <w:pPr>
        <w:keepNext w:val="0"/>
        <w:keepLines w:val="0"/>
        <w:pageBreakBefore w:val="0"/>
        <w:widowControl/>
        <w:kinsoku/>
        <w:wordWrap/>
        <w:overflowPunct/>
        <w:topLinePunct w:val="0"/>
        <w:autoSpaceDE/>
        <w:autoSpaceDN/>
        <w:bidi w:val="0"/>
        <w:adjustRightInd w:val="0"/>
        <w:snapToGrid w:val="0"/>
        <w:spacing w:after="0"/>
        <w:ind w:firstLine="420" w:firstLineChars="200"/>
        <w:jc w:val="both"/>
        <w:textAlignment w:val="auto"/>
        <w:rPr>
          <w:rFonts w:hint="eastAsia" w:ascii="微软雅黑" w:hAnsi="微软雅黑" w:cs="Times New Roman"/>
          <w:bCs/>
          <w:color w:val="auto"/>
          <w:kern w:val="2"/>
          <w:sz w:val="21"/>
          <w:szCs w:val="21"/>
          <w:lang w:val="en-US" w:eastAsia="zh-CN"/>
        </w:rPr>
      </w:pPr>
      <w:r>
        <w:rPr>
          <w:rFonts w:hint="eastAsia" w:ascii="微软雅黑" w:hAnsi="微软雅黑" w:cs="Arial Unicode MS"/>
          <w:kern w:val="2"/>
          <w:sz w:val="21"/>
          <w:szCs w:val="21"/>
          <w:lang w:val="en-US" w:eastAsia="zh-CN"/>
        </w:rPr>
        <w:t>一项</w:t>
      </w:r>
      <w:r>
        <w:rPr>
          <w:rFonts w:hint="eastAsia" w:ascii="微软雅黑" w:hAnsi="微软雅黑" w:cs="Arial Unicode MS"/>
          <w:kern w:val="2"/>
          <w:sz w:val="21"/>
          <w:szCs w:val="21"/>
        </w:rPr>
        <w:t>II期临床试验</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lang w:val="en-US" w:eastAsia="zh-CN"/>
        </w:rPr>
        <w:t>旨在评估</w:t>
      </w:r>
      <w:r>
        <w:rPr>
          <w:rFonts w:ascii="微软雅黑" w:hAnsi="微软雅黑" w:cs="Arial Unicode MS"/>
          <w:kern w:val="2"/>
          <w:sz w:val="21"/>
          <w:szCs w:val="21"/>
        </w:rPr>
        <w:t>AZD1775</w:t>
      </w:r>
      <w:r>
        <w:rPr>
          <w:rFonts w:hint="eastAsia" w:ascii="微软雅黑" w:hAnsi="微软雅黑" w:cs="Arial Unicode MS"/>
          <w:kern w:val="2"/>
          <w:sz w:val="21"/>
          <w:szCs w:val="21"/>
        </w:rPr>
        <w:t>治疗SETD2缺陷实体瘤（已扩散到身体其</w:t>
      </w:r>
      <w:r>
        <w:rPr>
          <w:rFonts w:hint="eastAsia" w:ascii="微软雅黑" w:hAnsi="微软雅黑" w:cs="Arial Unicode MS"/>
          <w:kern w:val="2"/>
          <w:sz w:val="21"/>
          <w:szCs w:val="21"/>
          <w:lang w:val="en-US" w:eastAsia="zh-CN"/>
        </w:rPr>
        <w:t>它</w:t>
      </w:r>
      <w:r>
        <w:rPr>
          <w:rFonts w:hint="eastAsia" w:ascii="微软雅黑" w:hAnsi="微软雅黑" w:cs="Arial Unicode MS"/>
          <w:kern w:val="2"/>
          <w:sz w:val="21"/>
          <w:szCs w:val="21"/>
        </w:rPr>
        <w:t>部位）患者的</w:t>
      </w:r>
      <w:r>
        <w:rPr>
          <w:rFonts w:hint="eastAsia" w:ascii="微软雅黑" w:hAnsi="微软雅黑" w:cs="Arial Unicode MS"/>
          <w:kern w:val="2"/>
          <w:sz w:val="21"/>
          <w:szCs w:val="21"/>
          <w:lang w:val="en-US" w:eastAsia="zh-CN"/>
        </w:rPr>
        <w:t>有效性</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lang w:val="en-US" w:eastAsia="zh-CN"/>
        </w:rPr>
        <w:t>目前正在开展，不招募患者[</w:t>
      </w:r>
      <w:bookmarkStart w:id="180" w:name="OLE_LINK14"/>
      <w:r>
        <w:rPr>
          <w:rFonts w:hint="eastAsia" w:ascii="微软雅黑" w:hAnsi="微软雅黑" w:cs="Arial Unicode MS"/>
          <w:kern w:val="2"/>
          <w:sz w:val="21"/>
          <w:szCs w:val="21"/>
          <w:lang w:val="en-US" w:eastAsia="zh-CN"/>
        </w:rPr>
        <w:t>NCT03284385</w:t>
      </w:r>
      <w:bookmarkEnd w:id="180"/>
      <w:r>
        <w:rPr>
          <w:rFonts w:hint="eastAsia" w:ascii="微软雅黑" w:hAnsi="微软雅黑" w:cs="Arial Unicode MS"/>
          <w:kern w:val="2"/>
          <w:sz w:val="21"/>
          <w:szCs w:val="21"/>
          <w:lang w:val="en-US" w:eastAsia="zh-CN"/>
        </w:rPr>
        <w:t>]</w:t>
      </w:r>
      <w:r>
        <w:rPr>
          <w:rFonts w:hint="eastAsia" w:ascii="微软雅黑" w:hAnsi="微软雅黑" w:cs="Arial Unicode MS"/>
          <w:kern w:val="2"/>
          <w:sz w:val="21"/>
          <w:szCs w:val="21"/>
        </w:rPr>
        <w:t>。</w:t>
      </w:r>
    </w:p>
    <w:p w14:paraId="0AA811E7">
      <w:pPr>
        <w:numPr>
          <w:ilvl w:val="0"/>
          <w:numId w:val="11"/>
        </w:numPr>
        <w:spacing w:before="200"/>
        <w:jc w:val="both"/>
        <w:rPr>
          <w:rFonts w:ascii="微软雅黑" w:hAnsi="微软雅黑" w:cs="微软雅黑"/>
          <w:color w:val="FF0000"/>
          <w:kern w:val="1"/>
          <w:sz w:val="21"/>
          <w:szCs w:val="21"/>
        </w:rPr>
      </w:pPr>
      <w:r>
        <w:rPr>
          <w:rFonts w:hint="eastAsia" w:ascii="微软雅黑" w:hAnsi="微软雅黑" w:cs="微软雅黑"/>
          <w:b/>
          <w:color w:val="FF0000"/>
          <w:sz w:val="24"/>
        </w:rPr>
        <w:t>ATM</w:t>
      </w:r>
      <w:r>
        <w:rPr>
          <w:rFonts w:ascii="微软雅黑" w:hAnsi="微软雅黑" w:cs="微软雅黑"/>
          <w:b/>
          <w:color w:val="FF0000"/>
          <w:sz w:val="24"/>
        </w:rPr>
        <w:t>：</w:t>
      </w:r>
      <w:r>
        <w:rPr>
          <w:rFonts w:hint="eastAsia" w:ascii="微软雅黑" w:hAnsi="微软雅黑" w:cs="微软雅黑"/>
          <w:b/>
          <w:color w:val="FF0000"/>
          <w:sz w:val="24"/>
        </w:rPr>
        <w:t>c.6874C&gt;T，p.Q2292*</w:t>
      </w:r>
      <w:r>
        <w:rPr>
          <w:rStyle w:val="21"/>
          <w:rFonts w:hint="eastAsia" w:ascii="微软雅黑" w:hAnsi="微软雅黑" w:cs="微软雅黑"/>
          <w:b/>
          <w:bCs/>
          <w:color w:val="FF0000"/>
          <w:sz w:val="24"/>
          <w:szCs w:val="24"/>
          <w:u w:val="none"/>
        </w:rPr>
        <w:t>突变相应靶向</w:t>
      </w:r>
      <w:r>
        <w:rPr>
          <w:rStyle w:val="21"/>
          <w:rFonts w:hint="eastAsia" w:ascii="微软雅黑" w:hAnsi="微软雅黑" w:cs="微软雅黑"/>
          <w:b/>
          <w:bCs/>
          <w:color w:val="FF0000"/>
          <w:sz w:val="24"/>
          <w:szCs w:val="24"/>
          <w:u w:val="none"/>
          <w:lang w:val="en-US" w:eastAsia="zh-CN"/>
        </w:rPr>
        <w:t>/免疫</w:t>
      </w:r>
      <w:r>
        <w:rPr>
          <w:rStyle w:val="21"/>
          <w:rFonts w:hint="eastAsia" w:ascii="微软雅黑" w:hAnsi="微软雅黑" w:cs="微软雅黑"/>
          <w:b/>
          <w:bCs/>
          <w:color w:val="FF0000"/>
          <w:sz w:val="24"/>
          <w:szCs w:val="24"/>
          <w:u w:val="none"/>
        </w:rPr>
        <w:t>药物</w:t>
      </w:r>
    </w:p>
    <w:p w14:paraId="39EC2229">
      <w:pPr>
        <w:numPr>
          <w:ilvl w:val="0"/>
          <w:numId w:val="13"/>
        </w:numPr>
        <w:spacing w:before="240" w:beforeLines="100" w:after="240" w:afterLines="100"/>
        <w:jc w:val="both"/>
        <w:rPr>
          <w:rFonts w:ascii="微软雅黑" w:hAnsi="微软雅黑" w:cs="微软雅黑"/>
          <w:b/>
          <w:bCs/>
          <w:sz w:val="24"/>
          <w:szCs w:val="24"/>
        </w:rPr>
      </w:pPr>
      <w:r>
        <w:rPr>
          <w:rFonts w:hint="eastAsia" w:ascii="微软雅黑" w:hAnsi="微软雅黑" w:cs="微软雅黑"/>
          <w:b/>
          <w:bCs/>
          <w:color w:val="0000FF"/>
          <w:sz w:val="24"/>
          <w:szCs w:val="24"/>
          <w:u w:val="single"/>
        </w:rPr>
        <w:t>奥拉帕利（Olaparib）、芦卡帕利（Rucaparib）、尼拉帕利（Niraparib）、盐酸可泮利塞+奥拉帕利+度伐利尤单抗（Copanlisib+Olaparib+Durvalumab）、帕米帕利+替雷利珠单抗（Pamiparib+Tislelizumab）、芦卡帕利+阿替利珠单抗（Rucaparib+Atezolizumab）、他拉唑帕利+阿替利珠单抗（Talazoparib+Atezolizumab）、他拉唑帕利（Talazoparib）、AZD6738+奥拉帕利（Olaparib）、阿维鲁单抗+他拉唑帕利（Avelumab+Talazoparib）、LY2606368、奥拉帕利+帕博利珠单抗（Olaparib+Pembrolizumab）</w:t>
      </w:r>
    </w:p>
    <w:p w14:paraId="5CBBE8C1">
      <w:pPr>
        <w:spacing w:after="0"/>
        <w:jc w:val="both"/>
        <w:rPr>
          <w:rFonts w:hint="eastAsia"/>
          <w:b/>
          <w:bCs/>
          <w:kern w:val="2"/>
        </w:rPr>
      </w:pPr>
      <w:r>
        <w:rPr>
          <w:rFonts w:hint="eastAsia"/>
          <w:b/>
          <w:bCs/>
          <w:kern w:val="2"/>
        </w:rPr>
        <w:t>基因变异与药物关联分析：</w:t>
      </w:r>
    </w:p>
    <w:p w14:paraId="02A991C6">
      <w:pPr>
        <w:spacing w:after="0"/>
        <w:ind w:firstLine="400"/>
        <w:jc w:val="both"/>
        <w:rPr>
          <w:rFonts w:ascii="微软雅黑" w:hAnsi="微软雅黑" w:cs="Arial Unicode MS"/>
          <w:kern w:val="2"/>
          <w:sz w:val="21"/>
          <w:szCs w:val="21"/>
        </w:rPr>
      </w:pPr>
      <w:r>
        <w:rPr>
          <w:rFonts w:hint="eastAsia" w:ascii="微软雅黑" w:hAnsi="微软雅黑" w:cs="微软雅黑"/>
          <w:sz w:val="21"/>
        </w:rPr>
        <w:t>该样本检出ATM基因c.6874C&gt;T，p.Q2292*无义突变，</w:t>
      </w:r>
      <w:r>
        <w:rPr>
          <w:rFonts w:hint="eastAsia" w:ascii="微软雅黑" w:hAnsi="微软雅黑" w:cs="Arial Unicode MS"/>
          <w:kern w:val="2"/>
          <w:sz w:val="21"/>
          <w:szCs w:val="21"/>
          <w:lang w:val="en-US" w:eastAsia="zh-CN"/>
        </w:rPr>
        <w:t>该突变导致蛋白翻译提前终止，产生截短的蛋白，可能导致蛋白功能缺失。</w:t>
      </w:r>
      <w:r>
        <w:rPr>
          <w:rFonts w:hint="eastAsia" w:ascii="微软雅黑" w:hAnsi="微软雅黑" w:cs="Arial Unicode MS"/>
          <w:color w:val="000000" w:themeColor="text1"/>
          <w:kern w:val="2"/>
          <w:sz w:val="21"/>
          <w:szCs w:val="21"/>
          <w14:textFill>
            <w14:solidFill>
              <w14:schemeClr w14:val="tx1"/>
            </w14:solidFill>
          </w14:textFill>
        </w:rPr>
        <w:t>ATM是一个抑癌基因，编码PI3K/PI4K家族的一个蛋白激酶。ATM缺陷细胞会导致DNA损伤的积累及基因组的不稳定，进而引起肿瘤发生。临床研究发现，ATM缺陷型的前列腺癌或胃癌等肿瘤对PARP抑制剂敏感[26282658，26510020]。因此，该患者可能从PARP抑制剂及相关抑制剂的治疗中获益。</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目前，FDA和/或NMPA批准的PARP抑制剂有奥拉帕利、芦卡帕利、尼拉帕利、他拉唑帕利、帕米帕利。FDA批准奥拉帕利用于卵巢癌、输卵管癌或原发性腹膜癌、胰腺癌、乳腺癌以及前列腺癌患者的治疗；NMPA批准奥拉帕利用于卵巢癌和前列腺癌的治疗。FDA批准芦卡帕利用于治疗卵巢癌、输卵管癌或原发性腹膜癌以及前列腺癌患者。FDA批准尼拉帕利用于上皮性卵巢癌、输卵管癌或原发性腹膜癌患者的维持治疗；中国（香港）批准尼拉帕利用于治疗高级别浆液性上皮性卵巢癌患者；中国大陆批准尼拉帕利用于复发性卵巢癌的维持治疗。FDA批准他拉唑帕利用于治疗前列腺癌和乳腺癌成年患者。NMPA批准他拉唑帕利用于治疗前列腺癌患者。NMPA批准帕米帕利用于治疗存在已知致病或疑似致病的胚系BRCA突变的既往接受过两线或两线以上化疗的晚期卵巢癌、输卵管癌或原发性腹膜癌患者。</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相关抑制剂包括阿维鲁单抗、LY2606368、盐酸可泮利塞、度伐利尤单抗、帕博利珠单抗、替雷利珠单抗、阿替利珠单抗、AZD6738。阿维鲁单抗是PD-L1抑制剂，已获FDA批准用于治疗默克细胞癌、尿路上皮癌患者。LY2606368是一种ATP竞争性CHK1抑制剂，目前正处于临床期。盐酸可泮利塞是一种PI3K抑制剂，已获FDA和NMPA批准用于治疗滤泡性淋巴瘤。度伐利尤单抗是一种PD-L1抑制剂，已获FDA和NMPA批准用于治疗非小细胞肺癌和小细胞肺癌患者。帕博利珠单抗已获FDA批准用于治疗黑色素瘤、转移性非小细胞肺癌、头颈部鳞状细胞癌、对卡介苗无反应的非肌层浸润性膀胱癌、微卫星不稳定性高（MSI-H）或错配修复缺陷的实体瘤（包括结直肠癌）等多种癌症，NMPA批准帕博利珠单抗用于治疗黑色素瘤、非小细胞肺癌患者等。替雷利珠单抗已获NMPA批准用于治疗经典型霍奇金淋巴瘤、尿路上皮癌、非小细胞肺癌、肝细胞癌患者。阿替利珠单抗已获FDA批准用于治疗尿路上皮癌、非小细胞癌、小细胞肺癌、肝细胞癌、黑色素瘤患者，已获NMPA批准用于治疗小细胞肺癌、肝细胞癌、非小细胞肺癌患者。AZD6738是一种新型的口服ATR抑制剂，目前正处于临床期。</w:t>
      </w:r>
    </w:p>
    <w:p w14:paraId="1B20A2B3">
      <w:pPr>
        <w:spacing w:after="0"/>
        <w:jc w:val="both"/>
        <w:rPr>
          <w:rFonts w:hint="eastAsia"/>
          <w:b/>
          <w:bCs/>
          <w:kern w:val="2"/>
        </w:rPr>
      </w:pPr>
      <w:r>
        <w:rPr>
          <w:rFonts w:hint="eastAsia"/>
          <w:b/>
          <w:bCs/>
          <w:kern w:val="2"/>
        </w:rPr>
        <w:t>药物疗效临床解析：</w:t>
      </w:r>
    </w:p>
    <w:p w14:paraId="3065661D">
      <w:pPr>
        <w:spacing w:after="0"/>
        <w:ind w:firstLine="400"/>
        <w:jc w:val="both"/>
        <w:rPr>
          <w:rFonts w:ascii="微软雅黑" w:hAnsi="微软雅黑" w:cs="Arial Unicode MS"/>
          <w:color w:val="000000" w:themeColor="text1"/>
          <w:kern w:val="2"/>
          <w:sz w:val="21"/>
          <w:szCs w:val="21"/>
          <w14:textFill>
            <w14:solidFill>
              <w14:schemeClr w14:val="tx1"/>
            </w14:solidFill>
          </w14:textFill>
        </w:rPr>
      </w:pPr>
      <w:r>
        <w:rPr>
          <w:rFonts w:hint="eastAsia" w:ascii="微软雅黑" w:hAnsi="微软雅黑" w:cs="Arial Unicode MS"/>
          <w:color w:val="000000" w:themeColor="text1"/>
          <w:kern w:val="2"/>
          <w:sz w:val="21"/>
          <w:szCs w:val="21"/>
          <w14:textFill>
            <w14:solidFill>
              <w14:schemeClr w14:val="tx1"/>
            </w14:solidFill>
          </w14:textFill>
        </w:rPr>
        <w:t>有研究显示，奥拉帕利用于治疗携带DDR致病性突变（包括BRCA1、BRCA2、PALB2、ATM、CDK12、ATRX、CHEK1、CHEK2、FANCA、FANCF、FANCG、FANCI、FANCM、RAD50、WRN基因突变）的转移性去势抵抗性前列腺癌具有一定的抗肿瘤活性，目前该试验状态未知[2019 JCO Abstract 5005，NCT01682772]。一项II期临床试验，旨在评估奥拉帕利单药或奥拉帕利联合AZD6738用于治疗具有同源DNA修复基因突变（包括ATM、CHK2、MRN（MRE11/NBS1/RAD50）、CDKN2A/B 和 APOBEC）的肿瘤患者的有效性和安全性，目前该试验正在进行，不招募患者[NCT02576444]。</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一项由美国国家癌症研究所举办的临床I期试验，旨在评估盐酸可泮利塞、奥拉帕利联合度伐利尤单抗用于治疗具有ARID1A、ATM、ATRX、BARD1、BRCA1、BRCA2、BRIP1、CDK12、CHEK1、CHEK2、MSH2等基因突变的转移性或无法手术切术的实体瘤患者的毒副作用和最佳剂量，目前该试验正在招募中[NCT03842228]。一项II期临床试验，旨在评估奥拉帕利联合帕博利珠单抗治疗携带HR突变相关基因（ARID1A/B、ARID2、ATM、ATR、BARD1、BRCA1/2、BAP1、BRIP1、CHEK2、FANCA、FANCD2、MRN11A、PALB2、RAD50、RAD51、RAD54B）的黑色素瘤患者疗效，目前正在招募中[NCT04633902]。</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芦卡帕利用于治疗携带一个或多个同源重组DNA修复基因突变（包括BRCA1、BRCA2、ATM、CHEK2、NBN、RAD50、RAD51C、RAD51D、PALB2、MRE11、FANCA、FANCB、FANCC、FANCD2、FANCE、FANCF、FANCG、FANCI、FANCM）的前列腺癌患者的II期临床试验，正在招募中[NCT03413995]。芦卡帕利联合阿替利珠单抗用于治疗具有ATM、BARD1、BRCA1、BRCA2、BRIP1、CDK12、CHEK2、PALB2、RAD51C、RAD51D、FANCA、NBN、RAD51、RAD54L突变和/或缺失的实体瘤患者的II期临床试验正在招募患者[NCT04276376]。</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尼拉帕利用于治疗具有BAP1突变或其他DNA损伤修复缺陷（ARID1A、ATM、ATR、BACH1（BRIP1）、BAP1、BARD1、BLM、CHEK1、CHEK2、CDK2、CDK4、ERCC、FAM175A、FEN1、IDH1、IDH2、MRE11A（MRE11）、NBN（NBS1）、PALB2、POLD1、PRKDC（DNA-PK）、PTEN、RAD50、RAD51、RAD52、RAD54、RPA1、SLX4、WRN、XRCC）肿瘤患者的II期临床试验正在开展，暂不招募患者[NCT03207347]。</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阿维鲁单抗联合他拉唑帕利 用于治疗具有BRCA或ATM 突变的实体瘤患者的II期临床试验正在进行，暂不招募患者[NCT03565991]。他拉唑帕利用于治疗具有ATM、BRCA1、BRCA2、PALB2、ATR基因突变的晚期恶性肿瘤患者的II期临床试验正在进行，暂不招募患者[NCT02286687]。他拉唑帕利联合阿替利珠单抗用于治疗具有BRCA1/2、PALB2、ATM、ATR、CHEK2、FANCA、RAD51C、NBN、MLH1、MRE11A、CDK12体细胞或胚系突变的实体瘤患者的II期临床试验正在招募患者[NCT02693535]。</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帕米帕利联合替雷利珠单抗用于治疗具有BRCA1/2突变或其他HR相关基因（ATM、CDK12、PALB2、ARID1A、ATRX、BLM、BARD1、BRIP1、CHEK1、CHEK2、FANCA、FANCF、FANCG、FANCI、FANCL、FANCM、MSH2、NBN、RAD50、RAD51C、RAD51D、WRN）肿瘤患者的II期临床试验正在招募患者[NCT04985721]。</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LY2606368用于治疗具有同源重组修复缺陷（包括BRCA1、BRCA2、PALB2、RAD51C、RAD51D、ATR、ATM、CHK2或Fanconi贫血途径基因突变）的肿瘤患者的II期临床试验，4个月无进展生存率为25%[NCT02873975]。</w:t>
      </w:r>
    </w:p>
    <w:p w14:paraId="769172EB">
      <w:pPr>
        <w:rPr>
          <w:rFonts w:ascii="微软雅黑" w:hAnsi="微软雅黑"/>
          <w:b/>
          <w:sz w:val="24"/>
          <w:szCs w:val="24"/>
        </w:rPr>
      </w:pPr>
    </w:p>
    <w:p w14:paraId="585386C0">
      <w:pPr>
        <w:numPr>
          <w:ilvl w:val="1"/>
          <w:numId w:val="9"/>
        </w:numPr>
        <w:spacing w:before="200"/>
        <w:jc w:val="both"/>
        <w:rPr>
          <w:rFonts w:ascii="微软雅黑" w:hAnsi="微软雅黑"/>
          <w:b/>
          <w:sz w:val="24"/>
          <w:szCs w:val="24"/>
        </w:rPr>
      </w:pPr>
      <w:r>
        <w:rPr>
          <w:rFonts w:ascii="微软雅黑" w:hAnsi="微软雅黑"/>
          <w:b/>
          <w:sz w:val="24"/>
          <w:szCs w:val="24"/>
        </w:rPr>
        <w:t>潜在</w:t>
      </w:r>
      <w:r>
        <w:rPr>
          <w:rFonts w:hint="eastAsia" w:ascii="微软雅黑" w:hAnsi="微软雅黑"/>
          <w:b/>
          <w:sz w:val="24"/>
          <w:szCs w:val="24"/>
        </w:rPr>
        <w:t>负相关</w:t>
      </w:r>
      <w:r>
        <w:rPr>
          <w:rFonts w:ascii="微软雅黑" w:hAnsi="微软雅黑"/>
          <w:b/>
          <w:sz w:val="24"/>
          <w:szCs w:val="24"/>
        </w:rPr>
        <w:t>靶向</w:t>
      </w:r>
      <w:r>
        <w:rPr>
          <w:rFonts w:hint="eastAsia" w:ascii="微软雅黑" w:hAnsi="微软雅黑"/>
          <w:b/>
          <w:sz w:val="24"/>
          <w:szCs w:val="24"/>
        </w:rPr>
        <w:t>/免疫</w:t>
      </w:r>
      <w:r>
        <w:rPr>
          <w:rFonts w:ascii="微软雅黑" w:hAnsi="微软雅黑"/>
          <w:b/>
          <w:sz w:val="24"/>
          <w:szCs w:val="24"/>
        </w:rPr>
        <w:t>药物解析</w:t>
      </w:r>
    </w:p>
    <w:p w14:paraId="1A383744">
      <w:pPr>
        <w:numPr>
          <w:ilvl w:val="0"/>
          <w:numId w:val="15"/>
        </w:numPr>
        <w:spacing w:before="200"/>
        <w:ind w:left="420" w:leftChars="0" w:hanging="420" w:firstLineChars="0"/>
        <w:outlineLvl w:val="9"/>
        <w:rPr>
          <w:rStyle w:val="21"/>
          <w:rFonts w:hint="eastAsia" w:ascii="微软雅黑" w:hAnsi="微软雅黑" w:cs="微软雅黑"/>
          <w:b/>
          <w:bCs/>
          <w:color w:val="FF0000"/>
          <w:kern w:val="0"/>
          <w:sz w:val="24"/>
          <w:szCs w:val="24"/>
          <w:highlight w:val="none"/>
          <w:lang w:val="en-US" w:eastAsia="zh-CN"/>
        </w:rPr>
      </w:pPr>
      <w:r>
        <w:rPr>
          <w:rStyle w:val="21"/>
          <w:rFonts w:hint="eastAsia" w:ascii="微软雅黑" w:hAnsi="微软雅黑" w:eastAsia="微软雅黑" w:cs="微软雅黑"/>
          <w:b/>
          <w:bCs/>
          <w:color w:val="FF0000"/>
          <w:kern w:val="0"/>
          <w:sz w:val="24"/>
          <w:szCs w:val="24"/>
          <w:highlight w:val="none"/>
          <w:u w:val="none"/>
          <w:lang w:val="en-US" w:eastAsia="zh-CN"/>
        </w:rPr>
        <w:t>KRAS</w:t>
      </w:r>
      <w:r>
        <w:rPr>
          <w:rStyle w:val="21"/>
          <w:rFonts w:hint="eastAsia" w:ascii="微软雅黑" w:hAnsi="微软雅黑" w:cs="微软雅黑"/>
          <w:b/>
          <w:bCs/>
          <w:color w:val="FF0000"/>
          <w:kern w:val="0"/>
          <w:sz w:val="24"/>
          <w:szCs w:val="24"/>
          <w:highlight w:val="none"/>
          <w:u w:val="none"/>
          <w:lang w:val="en-US" w:eastAsia="zh-CN"/>
        </w:rPr>
        <w:t>：c.34G&gt;A，p.G12S</w:t>
      </w:r>
      <w:r>
        <w:rPr>
          <w:rStyle w:val="21"/>
          <w:rFonts w:hint="eastAsia" w:ascii="微软雅黑" w:hAnsi="微软雅黑" w:eastAsia="微软雅黑" w:cs="微软雅黑"/>
          <w:b/>
          <w:bCs/>
          <w:color w:val="FF0000"/>
          <w:kern w:val="0"/>
          <w:sz w:val="24"/>
          <w:szCs w:val="24"/>
          <w:highlight w:val="none"/>
          <w:u w:val="none"/>
          <w:lang w:val="en-US" w:eastAsia="zh-CN"/>
        </w:rPr>
        <w:t>突变</w:t>
      </w:r>
      <w:r>
        <w:rPr>
          <w:rStyle w:val="21"/>
          <w:rFonts w:hint="eastAsia" w:ascii="微软雅黑" w:hAnsi="微软雅黑" w:eastAsia="微软雅黑" w:cs="微软雅黑"/>
          <w:b/>
          <w:bCs/>
          <w:color w:val="FF0000"/>
          <w:kern w:val="0"/>
          <w:sz w:val="24"/>
          <w:szCs w:val="24"/>
          <w:highlight w:val="none"/>
          <w:u w:val="none"/>
          <w:lang w:eastAsia="zh-CN"/>
        </w:rPr>
        <w:t>相</w:t>
      </w:r>
      <w:r>
        <w:rPr>
          <w:rStyle w:val="21"/>
          <w:rFonts w:hint="eastAsia" w:ascii="微软雅黑" w:hAnsi="微软雅黑" w:cs="微软雅黑"/>
          <w:b/>
          <w:bCs/>
          <w:color w:val="FF0000"/>
          <w:kern w:val="0"/>
          <w:sz w:val="24"/>
          <w:szCs w:val="24"/>
          <w:highlight w:val="none"/>
          <w:u w:val="none"/>
          <w:lang w:eastAsia="zh-CN"/>
        </w:rPr>
        <w:t>应负相关</w:t>
      </w:r>
      <w:r>
        <w:rPr>
          <w:rStyle w:val="21"/>
          <w:rFonts w:hint="eastAsia" w:ascii="微软雅黑" w:hAnsi="微软雅黑" w:eastAsia="微软雅黑" w:cs="微软雅黑"/>
          <w:b/>
          <w:bCs/>
          <w:color w:val="FF0000"/>
          <w:kern w:val="0"/>
          <w:sz w:val="24"/>
          <w:szCs w:val="24"/>
          <w:highlight w:val="none"/>
          <w:u w:val="none"/>
          <w:lang w:eastAsia="zh-CN"/>
        </w:rPr>
        <w:t>靶向药物</w:t>
      </w:r>
    </w:p>
    <w:p w14:paraId="77AECB33">
      <w:pPr>
        <w:numPr>
          <w:ilvl w:val="0"/>
          <w:numId w:val="16"/>
        </w:numPr>
        <w:ind w:left="420" w:leftChars="0" w:hanging="420" w:firstLineChars="0"/>
        <w:outlineLvl w:val="9"/>
        <w:rPr>
          <w:rStyle w:val="21"/>
          <w:rFonts w:hint="eastAsia" w:ascii="微软雅黑" w:hAnsi="微软雅黑" w:cs="微软雅黑"/>
          <w:b/>
          <w:bCs/>
          <w:color w:val="0000FF"/>
          <w:kern w:val="0"/>
          <w:sz w:val="24"/>
          <w:szCs w:val="24"/>
          <w:highlight w:val="none"/>
          <w:lang w:val="en-US" w:eastAsia="zh-CN"/>
        </w:rPr>
      </w:pPr>
      <w:r>
        <w:rPr>
          <w:rFonts w:hint="eastAsia" w:ascii="微软雅黑" w:hAnsi="微软雅黑" w:cs="微软雅黑"/>
          <w:b/>
          <w:bCs/>
          <w:color w:val="0000FF"/>
          <w:kern w:val="0"/>
          <w:sz w:val="24"/>
          <w:szCs w:val="24"/>
          <w:highlight w:val="none"/>
          <w:u w:val="single"/>
          <w:lang w:eastAsia="zh-CN"/>
        </w:rPr>
        <w:fldChar w:fldCharType="begin"/>
      </w:r>
      <w:r>
        <w:rPr>
          <w:rFonts w:hint="eastAsia" w:ascii="微软雅黑" w:hAnsi="微软雅黑" w:cs="微软雅黑"/>
          <w:b/>
          <w:bCs/>
          <w:color w:val="0000FF"/>
          <w:kern w:val="0"/>
          <w:sz w:val="24"/>
          <w:szCs w:val="24"/>
          <w:highlight w:val="none"/>
          <w:u w:val="single"/>
          <w:lang w:eastAsia="zh-CN"/>
        </w:rPr>
        <w:instrText xml:space="preserve"> HYPERLINK \l "重要基因变异及潜在靶向药物信息" </w:instrText>
      </w:r>
      <w:r>
        <w:rPr>
          <w:rFonts w:hint="eastAsia" w:ascii="微软雅黑" w:hAnsi="微软雅黑" w:cs="微软雅黑"/>
          <w:b/>
          <w:bCs/>
          <w:color w:val="0000FF"/>
          <w:kern w:val="0"/>
          <w:sz w:val="24"/>
          <w:szCs w:val="24"/>
          <w:highlight w:val="none"/>
          <w:u w:val="single"/>
          <w:lang w:eastAsia="zh-CN"/>
        </w:rPr>
        <w:fldChar w:fldCharType="separate"/>
      </w:r>
      <w:r>
        <w:rPr>
          <w:rStyle w:val="21"/>
          <w:rFonts w:hint="eastAsia" w:ascii="微软雅黑" w:hAnsi="微软雅黑" w:cs="微软雅黑"/>
          <w:b/>
          <w:bCs/>
          <w:color w:val="0000FF"/>
          <w:kern w:val="0"/>
          <w:sz w:val="24"/>
          <w:szCs w:val="24"/>
          <w:highlight w:val="none"/>
          <w:lang w:eastAsia="zh-CN"/>
        </w:rPr>
        <w:t>西妥昔单抗（Cetuximab）、帕尼单抗（Panitumumab）</w:t>
      </w:r>
      <w:r>
        <w:rPr>
          <w:rFonts w:hint="eastAsia" w:ascii="微软雅黑" w:hAnsi="微软雅黑" w:cs="微软雅黑"/>
          <w:b/>
          <w:bCs/>
          <w:color w:val="0000FF"/>
          <w:kern w:val="0"/>
          <w:sz w:val="24"/>
          <w:szCs w:val="24"/>
          <w:highlight w:val="none"/>
          <w:u w:val="single"/>
          <w:lang w:eastAsia="zh-CN"/>
        </w:rPr>
        <w:fldChar w:fldCharType="end"/>
      </w:r>
    </w:p>
    <w:p w14:paraId="440C4DFE">
      <w:pPr>
        <w:spacing w:after="0"/>
        <w:jc w:val="both"/>
        <w:outlineLvl w:val="9"/>
        <w:rPr>
          <w:rFonts w:hint="eastAsia"/>
          <w:b/>
          <w:bCs/>
          <w:kern w:val="2"/>
          <w:highlight w:val="none"/>
          <w:lang w:eastAsia="zh-CN"/>
        </w:rPr>
      </w:pPr>
      <w:r>
        <w:rPr>
          <w:rFonts w:hint="eastAsia"/>
          <w:b/>
          <w:bCs/>
          <w:kern w:val="2"/>
          <w:highlight w:val="none"/>
          <w:lang w:eastAsia="zh-CN"/>
        </w:rPr>
        <w:t>基因变异与药物关联分析：</w:t>
      </w:r>
    </w:p>
    <w:p w14:paraId="02D0E55D">
      <w:pPr>
        <w:spacing w:after="0"/>
        <w:ind w:firstLine="420" w:firstLineChars="200"/>
        <w:jc w:val="both"/>
        <w:outlineLvl w:val="9"/>
        <w:rPr>
          <w:rFonts w:hint="eastAsia" w:ascii="微软雅黑" w:hAnsi="微软雅黑"/>
          <w:color w:val="auto"/>
          <w:kern w:val="2"/>
          <w:sz w:val="21"/>
          <w:szCs w:val="21"/>
          <w:highlight w:val="none"/>
          <w:lang w:val="en-US" w:eastAsia="zh-CN"/>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Arial Unicode MS"/>
          <w:color w:val="auto"/>
          <w:kern w:val="2"/>
          <w:sz w:val="21"/>
          <w:szCs w:val="21"/>
          <w:highlight w:val="none"/>
          <w:lang w:val="en-US" w:eastAsia="zh-CN"/>
        </w:rPr>
        <w:t>c.34G&gt;A</w:t>
      </w:r>
      <w:r>
        <w:rPr>
          <w:rFonts w:hint="eastAsia" w:ascii="微软雅黑" w:hAnsi="微软雅黑" w:eastAsia="微软雅黑" w:cs="Arial Unicode MS"/>
          <w:color w:val="auto"/>
          <w:kern w:val="2"/>
          <w:sz w:val="21"/>
          <w:szCs w:val="21"/>
          <w:highlight w:val="none"/>
          <w:lang w:val="en-US" w:eastAsia="zh-CN"/>
        </w:rPr>
        <w:t>，</w:t>
      </w:r>
      <w:r>
        <w:rPr>
          <w:rFonts w:hint="eastAsia" w:ascii="微软雅黑" w:hAnsi="微软雅黑" w:cs="Arial Unicode MS"/>
          <w:color w:val="auto"/>
          <w:kern w:val="2"/>
          <w:sz w:val="21"/>
          <w:szCs w:val="21"/>
          <w:highlight w:val="none"/>
          <w:lang w:val="en-US" w:eastAsia="zh-CN"/>
        </w:rPr>
        <w:t>p.G12S</w:t>
      </w:r>
      <w:r>
        <w:rPr>
          <w:rFonts w:hint="eastAsia" w:ascii="微软雅黑" w:hAnsi="微软雅黑" w:eastAsia="微软雅黑" w:cs="Arial Unicode MS"/>
          <w:color w:val="auto"/>
          <w:kern w:val="2"/>
          <w:sz w:val="21"/>
          <w:szCs w:val="21"/>
          <w:highlight w:val="none"/>
          <w:lang w:val="en-US" w:eastAsia="zh-CN"/>
        </w:rPr>
        <w:t>错义突变，为已知激活突变，对蛋白功能有重要影响。</w:t>
      </w:r>
      <w:r>
        <w:rPr>
          <w:rFonts w:hint="eastAsia" w:ascii="微软雅黑" w:hAnsi="微软雅黑"/>
          <w:color w:val="auto"/>
          <w:kern w:val="2"/>
          <w:sz w:val="21"/>
          <w:szCs w:val="21"/>
          <w:highlight w:val="none"/>
          <w:lang w:val="en-US" w:eastAsia="zh-CN"/>
        </w:rPr>
        <w:t>已被证实</w:t>
      </w:r>
      <w:r>
        <w:rPr>
          <w:rFonts w:hint="eastAsia" w:ascii="微软雅黑" w:hAnsi="微软雅黑" w:eastAsia="微软雅黑" w:cs="Arial Unicode MS"/>
          <w:color w:val="auto"/>
          <w:kern w:val="2"/>
          <w:sz w:val="21"/>
          <w:szCs w:val="21"/>
          <w:highlight w:val="none"/>
          <w:lang w:val="en-US" w:eastAsia="zh-CN"/>
        </w:rPr>
        <w:t>KRAS基因</w:t>
      </w:r>
      <w:r>
        <w:rPr>
          <w:rFonts w:hint="eastAsia" w:ascii="微软雅黑" w:hAnsi="微软雅黑" w:cs="Arial Unicode MS"/>
          <w:color w:val="auto"/>
          <w:kern w:val="2"/>
          <w:sz w:val="21"/>
          <w:szCs w:val="21"/>
          <w:highlight w:val="none"/>
          <w:lang w:val="en-US" w:eastAsia="zh-CN"/>
        </w:rPr>
        <w:t>激活突变</w:t>
      </w:r>
      <w:r>
        <w:rPr>
          <w:rFonts w:hint="eastAsia" w:ascii="微软雅黑" w:hAnsi="微软雅黑"/>
          <w:color w:val="auto"/>
          <w:kern w:val="2"/>
          <w:sz w:val="21"/>
          <w:szCs w:val="21"/>
          <w:highlight w:val="none"/>
          <w:lang w:val="en-US" w:eastAsia="zh-CN"/>
        </w:rPr>
        <w:t>是anti-EGFR抗体药物（如西妥昔单抗、帕尼单抗）耐药的标志[20100961]。因此预测患者可能无法从anti-EGFR抗体药物治疗中获益。</w:t>
      </w:r>
    </w:p>
    <w:p w14:paraId="6E48A892">
      <w:pPr>
        <w:spacing w:after="0"/>
        <w:ind w:firstLine="420" w:firstLineChars="200"/>
        <w:jc w:val="both"/>
        <w:outlineLvl w:val="9"/>
        <w:rPr>
          <w:rFonts w:hint="eastAsia"/>
          <w:color w:val="auto"/>
          <w:kern w:val="2"/>
          <w:highlight w:val="none"/>
        </w:rPr>
      </w:pPr>
      <w:r>
        <w:rPr>
          <w:rFonts w:hint="eastAsia" w:ascii="微软雅黑" w:hAnsi="微软雅黑" w:cs="Arial Unicode MS"/>
          <w:color w:val="auto"/>
          <w:kern w:val="2"/>
          <w:sz w:val="21"/>
          <w:szCs w:val="21"/>
          <w:highlight w:val="none"/>
          <w:lang w:val="en-US" w:eastAsia="zh-CN"/>
        </w:rPr>
        <w:t>2022年</w:t>
      </w:r>
      <w:r>
        <w:rPr>
          <w:rFonts w:hint="eastAsia" w:ascii="微软雅黑" w:hAnsi="微软雅黑" w:cs="微软雅黑"/>
          <w:i w:val="0"/>
          <w:color w:val="auto"/>
          <w:kern w:val="2"/>
          <w:sz w:val="21"/>
          <w:szCs w:val="21"/>
          <w:highlight w:val="none"/>
          <w:lang w:val="en-US" w:eastAsia="zh-CN"/>
        </w:rPr>
        <w:t>结肠癌和直肠癌NCCN指南中指出，转移性结直肠癌如需使用西妥昔单抗或帕尼单抗治疗，需检测肿瘤</w:t>
      </w:r>
      <w:r>
        <w:rPr>
          <w:rFonts w:hint="eastAsia" w:ascii="微软雅黑" w:hAnsi="微软雅黑"/>
          <w:color w:val="auto"/>
          <w:kern w:val="1"/>
          <w:sz w:val="21"/>
          <w:szCs w:val="21"/>
          <w:highlight w:val="none"/>
          <w:lang w:val="en-US" w:eastAsia="zh-CN"/>
        </w:rPr>
        <w:t>KRAS/NRAS/BRAF</w:t>
      </w:r>
      <w:r>
        <w:rPr>
          <w:rFonts w:hint="eastAsia" w:ascii="微软雅黑" w:hAnsi="微软雅黑" w:cs="微软雅黑"/>
          <w:i w:val="0"/>
          <w:color w:val="auto"/>
          <w:kern w:val="2"/>
          <w:sz w:val="21"/>
          <w:szCs w:val="21"/>
          <w:highlight w:val="none"/>
          <w:lang w:val="en-US" w:eastAsia="zh-CN"/>
        </w:rPr>
        <w:t>基因的状态，仅限</w:t>
      </w:r>
      <w:r>
        <w:rPr>
          <w:rFonts w:hint="eastAsia" w:ascii="微软雅黑" w:hAnsi="微软雅黑"/>
          <w:color w:val="auto"/>
          <w:kern w:val="1"/>
          <w:sz w:val="21"/>
          <w:szCs w:val="21"/>
          <w:highlight w:val="none"/>
          <w:lang w:val="en-US" w:eastAsia="zh-CN"/>
        </w:rPr>
        <w:t>KRAS/NRAS/BRAF</w:t>
      </w:r>
      <w:r>
        <w:rPr>
          <w:rFonts w:hint="eastAsia" w:ascii="微软雅黑" w:hAnsi="微软雅黑" w:cs="微软雅黑"/>
          <w:i w:val="0"/>
          <w:color w:val="auto"/>
          <w:kern w:val="2"/>
          <w:sz w:val="21"/>
          <w:szCs w:val="21"/>
          <w:highlight w:val="none"/>
          <w:lang w:val="en-US" w:eastAsia="zh-CN"/>
        </w:rPr>
        <w:t>基因野生型患者使用，突变型患者基本无效。</w:t>
      </w:r>
      <w:r>
        <w:rPr>
          <w:rFonts w:hint="eastAsia" w:ascii="微软雅黑" w:hAnsi="微软雅黑"/>
          <w:color w:val="auto"/>
          <w:kern w:val="2"/>
          <w:sz w:val="21"/>
          <w:szCs w:val="21"/>
          <w:highlight w:val="none"/>
          <w:lang w:val="en-US" w:eastAsia="zh-CN"/>
        </w:rPr>
        <w:t>本次样本检测到KRAS重要突变，可能会对西妥昔单抗或帕尼单抗用药疗效呈负相关性。</w:t>
      </w:r>
      <w:r>
        <w:rPr>
          <w:rFonts w:hint="eastAsia" w:ascii="微软雅黑" w:hAnsi="微软雅黑"/>
          <w:color w:val="auto"/>
          <w:kern w:val="1"/>
          <w:sz w:val="21"/>
          <w:szCs w:val="21"/>
          <w:highlight w:val="none"/>
          <w:lang w:val="en-US" w:eastAsia="zh-CN"/>
        </w:rPr>
        <w:t>FDA和NMPA批准西妥昔单抗用于治疗结直肠癌和头颈部鳞状细胞癌</w:t>
      </w:r>
      <w:r>
        <w:rPr>
          <w:rFonts w:hint="eastAsia" w:ascii="微软雅黑" w:hAnsi="微软雅黑"/>
          <w:color w:val="auto"/>
          <w:kern w:val="1"/>
          <w:sz w:val="21"/>
          <w:szCs w:val="21"/>
          <w:highlight w:val="none"/>
        </w:rPr>
        <w:t>。</w:t>
      </w:r>
      <w:r>
        <w:rPr>
          <w:rFonts w:hint="eastAsia" w:ascii="微软雅黑" w:hAnsi="微软雅黑" w:eastAsia="微软雅黑"/>
          <w:b w:val="0"/>
          <w:bCs w:val="0"/>
          <w:color w:val="auto"/>
          <w:kern w:val="2"/>
          <w:sz w:val="21"/>
          <w:szCs w:val="21"/>
          <w:highlight w:val="none"/>
        </w:rPr>
        <w:t>FDA批准帕尼单抗用于治疗转移性结直肠癌。</w:t>
      </w:r>
    </w:p>
    <w:p w14:paraId="1735227F">
      <w:pPr>
        <w:spacing w:after="0"/>
        <w:jc w:val="both"/>
        <w:outlineLvl w:val="9"/>
        <w:rPr>
          <w:rFonts w:hint="eastAsia"/>
          <w:b/>
          <w:bCs/>
          <w:kern w:val="2"/>
          <w:highlight w:val="none"/>
          <w:lang w:eastAsia="zh-CN"/>
        </w:rPr>
      </w:pPr>
      <w:r>
        <w:rPr>
          <w:rFonts w:hint="eastAsia"/>
          <w:b/>
          <w:bCs/>
          <w:kern w:val="2"/>
          <w:highlight w:val="none"/>
          <w:lang w:eastAsia="zh-CN"/>
        </w:rPr>
        <w:t>药物疗效临床解析：</w:t>
      </w:r>
    </w:p>
    <w:p w14:paraId="220F9744">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color w:val="auto"/>
          <w:kern w:val="2"/>
          <w:sz w:val="21"/>
          <w:szCs w:val="21"/>
          <w:highlight w:val="none"/>
          <w:lang w:val="en-US" w:eastAsia="zh-CN"/>
        </w:rPr>
      </w:pPr>
      <w:r>
        <w:rPr>
          <w:rFonts w:hint="eastAsia" w:ascii="微软雅黑" w:hAnsi="微软雅黑"/>
          <w:color w:val="auto"/>
          <w:kern w:val="2"/>
          <w:sz w:val="21"/>
          <w:szCs w:val="21"/>
          <w:highlight w:val="none"/>
          <w:lang w:val="en-US" w:eastAsia="zh-CN"/>
        </w:rPr>
        <w:t>西妥昔单抗：在包含30名结直肠癌患者的一项临床试验中，19名患者对西妥昔单抗不敏感，其中13名患者携带KRAS基因突变，而在11名对西妥昔单抗敏感的患者中没有检测到KRAS突变。KRAS基因突变与患者缺乏对西妥昔单抗的响应密切相关。即使将3名接受过西妥昔单抗联合FOLFIRI作为一线治疗的患者排除在外，差异依然显著。在余下的27名患者中，KRAS基因野生型患者的总生存期显著高于携带KRAS基因突变的患者。在这项试验中，KRAS基因野生型患者的中位总生存期高于携带KRAS突变的患者（16.3个月vs.6.9个月）。该试验表明KRAS基因野生型的结直肠癌患者更容易对西妥昔单抗敏感并获得更长的生存期。KRAS基因突变是患者对西妥昔单抗耐药的标志，并且与较差的预后相关[16618717]。在另一项试验中，100名患有转移性结直肠癌的患者参与西妥昔单抗单药治疗。试验结果显示，KRAS基因野生型患者的疾病控制率显著高于携带 KRAS基因突变的患者，该试验同样表明KRAS基因野生型的患者更能从西妥昔单抗的治疗中获益[17664471]。</w:t>
      </w:r>
      <w:r>
        <w:rPr>
          <w:rFonts w:hint="eastAsia" w:ascii="微软雅黑" w:hAnsi="微软雅黑"/>
          <w:color w:val="auto"/>
          <w:kern w:val="2"/>
          <w:sz w:val="21"/>
          <w:szCs w:val="21"/>
          <w:highlight w:val="none"/>
          <w:lang w:eastAsia="zh-CN"/>
        </w:rPr>
        <w:t>一项纳入了</w:t>
      </w:r>
      <w:r>
        <w:rPr>
          <w:rFonts w:hint="eastAsia" w:ascii="微软雅黑" w:hAnsi="微软雅黑"/>
          <w:color w:val="auto"/>
          <w:kern w:val="2"/>
          <w:sz w:val="21"/>
          <w:szCs w:val="21"/>
          <w:highlight w:val="none"/>
          <w:lang w:val="en-US" w:eastAsia="zh-CN"/>
        </w:rPr>
        <w:t>59例难治性转移性结直肠癌患者的</w:t>
      </w:r>
      <w:r>
        <w:rPr>
          <w:rFonts w:hint="eastAsia" w:ascii="微软雅黑" w:hAnsi="微软雅黑"/>
          <w:color w:val="auto"/>
          <w:kern w:val="2"/>
          <w:sz w:val="21"/>
          <w:szCs w:val="21"/>
          <w:highlight w:val="none"/>
          <w:lang w:eastAsia="zh-CN"/>
        </w:rPr>
        <w:t>研究</w:t>
      </w:r>
      <w:r>
        <w:rPr>
          <w:rFonts w:hint="eastAsia" w:ascii="微软雅黑" w:hAnsi="微软雅黑"/>
          <w:color w:val="auto"/>
          <w:kern w:val="2"/>
          <w:sz w:val="21"/>
          <w:szCs w:val="21"/>
          <w:highlight w:val="none"/>
          <w:lang w:val="en-US" w:eastAsia="zh-CN"/>
        </w:rPr>
        <w:t>，旨在评估西妥昔单抗加化疗的治疗效果。研究证实具有KRAS突变的患者对治疗无反应[17375050]。</w:t>
      </w:r>
    </w:p>
    <w:p w14:paraId="31CDCF0A">
      <w:pPr>
        <w:adjustRightInd w:val="0"/>
        <w:snapToGrid w:val="0"/>
        <w:spacing w:after="0"/>
        <w:ind w:firstLine="420" w:firstLineChars="200"/>
        <w:jc w:val="both"/>
        <w:outlineLvl w:val="9"/>
        <w:rPr>
          <w:rFonts w:hint="eastAsia" w:ascii="微软雅黑" w:hAnsi="微软雅黑" w:cs="Arial Unicode MS"/>
          <w:kern w:val="2"/>
          <w:sz w:val="21"/>
          <w:szCs w:val="21"/>
          <w:highlight w:val="none"/>
          <w:lang w:eastAsia="zh-CN"/>
        </w:rPr>
      </w:pPr>
      <w:r>
        <w:rPr>
          <w:rFonts w:hint="eastAsia" w:ascii="微软雅黑" w:hAnsi="微软雅黑"/>
          <w:color w:val="auto"/>
          <w:kern w:val="2"/>
          <w:sz w:val="21"/>
          <w:szCs w:val="21"/>
          <w:highlight w:val="none"/>
          <w:lang w:val="en-US" w:eastAsia="zh-CN"/>
        </w:rPr>
        <w:t>帕尼单抗：一项试验旨在评估含KRAS、BRAF或PIK3CA基因突变的患者对帕尼单抗单药治疗的耐受性。从3个评估帕尼单抗治疗转移性结直肠癌疗效的临床Ⅱ期试验中挑选出62名患者进行评估，通过测序确定患者DNA中基因突变情况。结果显示，62名患者中，有24名（38.7%）携带KRAS基因突变。在KRAS野生型患者中，11%的患者对帕尼单抗具有部分响应（PR），53%的患者在治疗后病情稳定（SD），37%的患者疾病进展（PD）。在KRAS基因突变患者中，有21%的患者病情稳定，79%的患者疾病进展，没有患者对帕尼单抗产生响应。由此看出，KRAS基因突变与患者对帕尼单抗治疗后响应的缺失密切相关（PR vs. SD vs. PD; P=0.0028）。野生型KRAS患者与携带KRAS 基因突变患者的无进展生存期风险比为0.4（95% CI, 0.2-0.7），总体生存期的风险比为0.5（95% CI, 0.3-0.9）。这些数据表明，携带KRAS激活突变的转移性结直肠癌患者不太可能对帕尼单抗单药治疗产生响应[18621636]。在另一项结直肠癌患者的Ⅲ期临床试验中，KRAS基因野生型的患者和携带KRAS基因突变的患者对帕尼单抗的响应率分别为17%和0%[23066310]。三项随机Ⅲ期试验研究的回顾性分析，评估了KRAS密码子12和13突变型对转移性结直肠癌患者使用帕尼单抗的影响，结果显示具有KRAS密码子12和13突变型的患者不能受益于帕尼单抗治疗[23182985]。</w:t>
      </w:r>
    </w:p>
    <w:p w14:paraId="72E2E25E">
      <w:pPr>
        <w:keepNext w:val="0"/>
        <w:keepLines w:val="0"/>
        <w:pageBreakBefore w:val="0"/>
        <w:widowControl/>
        <w:numPr>
          <w:ilvl w:val="0"/>
          <w:numId w:val="13"/>
        </w:numPr>
        <w:kinsoku/>
        <w:wordWrap/>
        <w:overflowPunct/>
        <w:topLinePunct w:val="0"/>
        <w:autoSpaceDE/>
        <w:autoSpaceDN/>
        <w:bidi w:val="0"/>
        <w:adjustRightInd w:val="0"/>
        <w:snapToGrid w:val="0"/>
        <w:spacing w:before="200" w:afterLines="0"/>
        <w:ind w:left="420" w:hanging="420"/>
        <w:jc w:val="both"/>
        <w:textAlignment w:val="auto"/>
        <w:rPr>
          <w:rFonts w:ascii="微软雅黑" w:hAnsi="微软雅黑" w:cs="微软雅黑"/>
          <w:b/>
          <w:bCs/>
          <w:sz w:val="24"/>
          <w:szCs w:val="24"/>
          <w:highlight w:val="none"/>
        </w:rPr>
      </w:pPr>
      <w:r>
        <w:rPr>
          <w:rFonts w:hint="eastAsia" w:ascii="微软雅黑" w:hAnsi="微软雅黑" w:cs="微软雅黑"/>
          <w:b/>
          <w:bCs/>
          <w:color w:val="0000FF"/>
          <w:sz w:val="24"/>
          <w:szCs w:val="24"/>
          <w:highlight w:val="none"/>
          <w:u w:val="single"/>
          <w:lang w:eastAsia="zh-CN"/>
        </w:rPr>
        <w:fldChar w:fldCharType="begin"/>
      </w:r>
      <w:r>
        <w:rPr>
          <w:rFonts w:hint="eastAsia" w:ascii="微软雅黑" w:hAnsi="微软雅黑" w:cs="微软雅黑"/>
          <w:b/>
          <w:bCs/>
          <w:color w:val="0000FF"/>
          <w:sz w:val="24"/>
          <w:szCs w:val="24"/>
          <w:highlight w:val="none"/>
          <w:u w:val="single"/>
          <w:lang w:eastAsia="zh-CN"/>
        </w:rPr>
        <w:instrText xml:space="preserve"> HYPERLINK \l "重要基因变异及潜在靶向药物信息" </w:instrText>
      </w:r>
      <w:r>
        <w:rPr>
          <w:rFonts w:hint="eastAsia" w:ascii="微软雅黑" w:hAnsi="微软雅黑" w:cs="微软雅黑"/>
          <w:b/>
          <w:bCs/>
          <w:color w:val="0000FF"/>
          <w:sz w:val="24"/>
          <w:szCs w:val="24"/>
          <w:highlight w:val="none"/>
          <w:u w:val="single"/>
          <w:lang w:eastAsia="zh-CN"/>
        </w:rPr>
        <w:fldChar w:fldCharType="separate"/>
      </w:r>
      <w:r>
        <w:rPr>
          <w:rStyle w:val="21"/>
          <w:rFonts w:hint="eastAsia" w:ascii="微软雅黑" w:hAnsi="微软雅黑" w:cs="微软雅黑"/>
          <w:b/>
          <w:bCs/>
          <w:color w:val="0000FF"/>
          <w:sz w:val="24"/>
          <w:szCs w:val="24"/>
          <w:highlight w:val="none"/>
          <w:lang w:eastAsia="zh-CN"/>
        </w:rPr>
        <w:t>依维莫司（Everolimus）</w:t>
      </w:r>
      <w:r>
        <w:rPr>
          <w:rFonts w:hint="eastAsia" w:ascii="微软雅黑" w:hAnsi="微软雅黑" w:cs="微软雅黑"/>
          <w:b/>
          <w:bCs/>
          <w:color w:val="0000FF"/>
          <w:sz w:val="24"/>
          <w:szCs w:val="24"/>
          <w:highlight w:val="none"/>
          <w:u w:val="single"/>
          <w:lang w:eastAsia="zh-CN"/>
        </w:rPr>
        <w:fldChar w:fldCharType="end"/>
      </w:r>
    </w:p>
    <w:p w14:paraId="0C399CE6">
      <w:pPr>
        <w:spacing w:after="0"/>
        <w:jc w:val="both"/>
        <w:rPr>
          <w:b/>
          <w:bCs/>
          <w:kern w:val="2"/>
          <w:highlight w:val="none"/>
        </w:rPr>
      </w:pPr>
      <w:r>
        <w:rPr>
          <w:rFonts w:hint="eastAsia"/>
          <w:b/>
          <w:bCs/>
          <w:kern w:val="2"/>
          <w:highlight w:val="none"/>
        </w:rPr>
        <w:t>基因变异与药物关联分析：</w:t>
      </w:r>
    </w:p>
    <w:p w14:paraId="3590D854">
      <w:pPr>
        <w:spacing w:after="0"/>
        <w:ind w:firstLine="420" w:firstLineChars="200"/>
        <w:jc w:val="both"/>
        <w:rPr>
          <w:rFonts w:ascii="微软雅黑" w:hAnsi="微软雅黑" w:cs="Arial Unicode MS"/>
          <w:kern w:val="2"/>
          <w:sz w:val="21"/>
          <w:szCs w:val="21"/>
          <w:highlight w:val="none"/>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微软雅黑"/>
          <w:sz w:val="21"/>
          <w:lang w:eastAsia="zh-CN"/>
        </w:rPr>
        <w:t>c.34G&gt;A</w:t>
      </w:r>
      <w:r>
        <w:rPr>
          <w:rFonts w:hint="eastAsia" w:ascii="微软雅黑" w:hAnsi="微软雅黑" w:cs="微软雅黑"/>
          <w:sz w:val="21"/>
        </w:rPr>
        <w:t>，</w:t>
      </w:r>
      <w:r>
        <w:rPr>
          <w:rFonts w:hint="eastAsia" w:ascii="微软雅黑" w:hAnsi="微软雅黑" w:cs="微软雅黑"/>
          <w:sz w:val="21"/>
          <w:lang w:eastAsia="zh-CN"/>
        </w:rPr>
        <w:t>p.G12S</w:t>
      </w:r>
      <w:r>
        <w:rPr>
          <w:rFonts w:hint="eastAsia" w:ascii="微软雅黑" w:hAnsi="微软雅黑" w:cs="微软雅黑"/>
          <w:sz w:val="21"/>
        </w:rPr>
        <w:t>错义突变</w:t>
      </w:r>
      <w:r>
        <w:rPr>
          <w:rFonts w:hint="eastAsia" w:ascii="微软雅黑" w:hAnsi="微软雅黑" w:eastAsia="微软雅黑" w:cs="Arial Unicode MS"/>
          <w:color w:val="auto"/>
          <w:kern w:val="2"/>
          <w:sz w:val="21"/>
          <w:szCs w:val="21"/>
          <w:highlight w:val="none"/>
          <w:lang w:val="en-US" w:eastAsia="zh-CN"/>
        </w:rPr>
        <w:t>，为已知激活突变，对蛋白功能有重要影响。</w:t>
      </w:r>
      <w:r>
        <w:rPr>
          <w:rFonts w:hint="eastAsia" w:ascii="微软雅黑" w:hAnsi="微软雅黑" w:cs="Arial Unicode MS"/>
          <w:color w:val="auto"/>
          <w:kern w:val="2"/>
          <w:sz w:val="21"/>
          <w:szCs w:val="21"/>
          <w:highlight w:val="none"/>
          <w:lang w:val="en-US" w:eastAsia="zh-CN"/>
        </w:rPr>
        <w:t>临床前研究表明，含有KRAS突变的结肠癌细胞系对依维莫司不敏感[</w:t>
      </w:r>
      <w:r>
        <w:rPr>
          <w:rFonts w:hint="eastAsia" w:ascii="微软雅黑" w:hAnsi="微软雅黑" w:cs="Arial Unicode MS"/>
          <w:color w:val="auto"/>
          <w:kern w:val="2"/>
          <w:sz w:val="21"/>
          <w:szCs w:val="21"/>
          <w:highlight w:val="none"/>
          <w:lang w:val="en-US" w:eastAsia="zh-CN"/>
        </w:rPr>
        <w:fldChar w:fldCharType="begin"/>
      </w:r>
      <w:r>
        <w:rPr>
          <w:rFonts w:hint="eastAsia" w:ascii="微软雅黑" w:hAnsi="微软雅黑" w:cs="Arial Unicode MS"/>
          <w:color w:val="auto"/>
          <w:kern w:val="2"/>
          <w:sz w:val="21"/>
          <w:szCs w:val="21"/>
          <w:highlight w:val="none"/>
          <w:lang w:val="en-US" w:eastAsia="zh-CN"/>
        </w:rPr>
        <w:instrText xml:space="preserve"> HYPERLINK "https://www.ncbi.nlm.nih.gov/pubmed/29285035" </w:instrText>
      </w:r>
      <w:r>
        <w:rPr>
          <w:rFonts w:hint="eastAsia" w:ascii="微软雅黑" w:hAnsi="微软雅黑" w:cs="Arial Unicode MS"/>
          <w:color w:val="auto"/>
          <w:kern w:val="2"/>
          <w:sz w:val="21"/>
          <w:szCs w:val="21"/>
          <w:highlight w:val="none"/>
          <w:lang w:val="en-US" w:eastAsia="zh-CN"/>
        </w:rPr>
        <w:fldChar w:fldCharType="separate"/>
      </w:r>
      <w:r>
        <w:rPr>
          <w:rFonts w:hint="eastAsia" w:ascii="微软雅黑" w:hAnsi="微软雅黑" w:cs="Arial Unicode MS"/>
          <w:color w:val="auto"/>
          <w:kern w:val="2"/>
          <w:sz w:val="21"/>
          <w:szCs w:val="21"/>
          <w:highlight w:val="none"/>
          <w:lang w:val="en-US" w:eastAsia="zh-CN"/>
        </w:rPr>
        <w:t>29285035</w:t>
      </w:r>
      <w:r>
        <w:rPr>
          <w:rFonts w:hint="eastAsia" w:ascii="微软雅黑" w:hAnsi="微软雅黑" w:cs="Arial Unicode MS"/>
          <w:color w:val="auto"/>
          <w:kern w:val="2"/>
          <w:sz w:val="21"/>
          <w:szCs w:val="21"/>
          <w:highlight w:val="none"/>
          <w:lang w:val="en-US" w:eastAsia="zh-CN"/>
        </w:rPr>
        <w:fldChar w:fldCharType="end"/>
      </w:r>
      <w:r>
        <w:rPr>
          <w:rFonts w:hint="eastAsia" w:ascii="微软雅黑" w:hAnsi="微软雅黑" w:cs="Arial Unicode MS"/>
          <w:color w:val="auto"/>
          <w:kern w:val="2"/>
          <w:sz w:val="21"/>
          <w:szCs w:val="21"/>
          <w:highlight w:val="none"/>
          <w:lang w:val="en-US" w:eastAsia="zh-CN"/>
        </w:rPr>
        <w:t>，28544747]。</w:t>
      </w:r>
      <w:r>
        <w:rPr>
          <w:rFonts w:hint="eastAsia" w:ascii="微软雅黑" w:hAnsi="微软雅黑" w:cs="Arial Unicode MS"/>
          <w:kern w:val="2"/>
          <w:sz w:val="21"/>
          <w:szCs w:val="21"/>
          <w:highlight w:val="none"/>
          <w:lang w:val="en-US" w:eastAsia="zh-CN"/>
        </w:rPr>
        <w:t>因此，该患者</w:t>
      </w:r>
      <w:r>
        <w:rPr>
          <w:rFonts w:hint="eastAsia" w:ascii="微软雅黑" w:hAnsi="微软雅黑" w:cs="Arial Unicode MS"/>
          <w:kern w:val="2"/>
          <w:sz w:val="21"/>
          <w:szCs w:val="21"/>
          <w:highlight w:val="none"/>
        </w:rPr>
        <w:t>可能</w:t>
      </w:r>
      <w:r>
        <w:rPr>
          <w:rFonts w:hint="eastAsia" w:ascii="微软雅黑" w:hAnsi="微软雅黑" w:cs="Arial Unicode MS"/>
          <w:kern w:val="2"/>
          <w:sz w:val="21"/>
          <w:szCs w:val="21"/>
          <w:highlight w:val="none"/>
          <w:lang w:val="en-US" w:eastAsia="zh-CN"/>
        </w:rPr>
        <w:t>对依维莫司</w:t>
      </w:r>
      <w:r>
        <w:rPr>
          <w:rFonts w:hint="eastAsia" w:ascii="微软雅黑" w:hAnsi="微软雅黑" w:cs="Arial Unicode MS"/>
          <w:kern w:val="2"/>
          <w:sz w:val="21"/>
          <w:szCs w:val="21"/>
          <w:highlight w:val="none"/>
        </w:rPr>
        <w:t>的治疗</w:t>
      </w:r>
      <w:r>
        <w:rPr>
          <w:rFonts w:hint="eastAsia" w:ascii="微软雅黑" w:hAnsi="微软雅黑" w:cs="Arial Unicode MS"/>
          <w:kern w:val="2"/>
          <w:sz w:val="21"/>
          <w:szCs w:val="21"/>
          <w:highlight w:val="none"/>
          <w:lang w:eastAsia="zh-CN"/>
        </w:rPr>
        <w:t>负相关</w:t>
      </w:r>
      <w:r>
        <w:rPr>
          <w:rFonts w:hint="eastAsia" w:ascii="微软雅黑" w:hAnsi="微软雅黑" w:cs="Arial Unicode MS"/>
          <w:kern w:val="2"/>
          <w:sz w:val="21"/>
          <w:szCs w:val="21"/>
          <w:highlight w:val="none"/>
        </w:rPr>
        <w:t>。</w:t>
      </w:r>
      <w:r>
        <w:rPr>
          <w:rFonts w:hint="eastAsia" w:ascii="微软雅黑" w:hAnsi="微软雅黑" w:cs="微软雅黑"/>
          <w:color w:val="auto"/>
          <w:sz w:val="21"/>
          <w:szCs w:val="21"/>
          <w:highlight w:val="none"/>
          <w:lang w:val="en-US" w:eastAsia="zh-CN"/>
        </w:rPr>
        <w:t>依维莫司已获FDA批准，用于治疗乳腺癌、神经内分泌瘤、肾癌等疾病，并已获NMPA批准，用于治疗肾癌、室管膜下巨细胞型星形细胞瘤。</w:t>
      </w:r>
    </w:p>
    <w:p w14:paraId="39EE1902">
      <w:pPr>
        <w:spacing w:after="0"/>
        <w:jc w:val="both"/>
        <w:rPr>
          <w:b/>
          <w:bCs/>
          <w:kern w:val="2"/>
          <w:highlight w:val="none"/>
        </w:rPr>
      </w:pPr>
      <w:r>
        <w:rPr>
          <w:rFonts w:hint="eastAsia"/>
          <w:b/>
          <w:bCs/>
          <w:kern w:val="2"/>
          <w:highlight w:val="none"/>
        </w:rPr>
        <w:t>药物疗效临床解析：</w:t>
      </w:r>
    </w:p>
    <w:p w14:paraId="3E3C5B8D">
      <w:pPr>
        <w:keepNext w:val="0"/>
        <w:keepLines w:val="0"/>
        <w:pageBreakBefore w:val="0"/>
        <w:widowControl/>
        <w:numPr>
          <w:ilvl w:val="0"/>
          <w:numId w:val="0"/>
        </w:numPr>
        <w:kinsoku/>
        <w:wordWrap/>
        <w:overflowPunct/>
        <w:topLinePunct w:val="0"/>
        <w:autoSpaceDE/>
        <w:autoSpaceDN/>
        <w:bidi w:val="0"/>
        <w:adjustRightInd/>
        <w:snapToGrid/>
        <w:spacing w:before="0" w:beforeLines="-2147483648" w:after="0" w:afterLines="-2147483648" w:afterAutospacing="0"/>
        <w:ind w:firstLine="420" w:firstLineChars="200"/>
        <w:jc w:val="both"/>
        <w:textAlignment w:val="auto"/>
        <w:outlineLvl w:val="2"/>
        <w:rPr>
          <w:rFonts w:hint="eastAsia" w:ascii="微软雅黑" w:hAnsi="微软雅黑" w:eastAsia="微软雅黑" w:cs="Arial Unicode MS"/>
          <w:color w:val="auto"/>
          <w:kern w:val="2"/>
          <w:sz w:val="21"/>
          <w:szCs w:val="21"/>
          <w:highlight w:val="none"/>
          <w:lang w:val="en-US" w:eastAsia="zh-CN"/>
        </w:rPr>
      </w:pPr>
      <w:r>
        <w:rPr>
          <w:rFonts w:hint="eastAsia" w:ascii="微软雅黑" w:hAnsi="微软雅黑" w:eastAsia="微软雅黑" w:cs="Arial Unicode MS"/>
          <w:color w:val="auto"/>
          <w:kern w:val="2"/>
          <w:sz w:val="21"/>
          <w:szCs w:val="21"/>
          <w:highlight w:val="none"/>
          <w:lang w:val="en-US" w:eastAsia="zh-CN"/>
        </w:rPr>
        <w:t>临床前研究表明，含有KRAS突变的结肠癌细胞系对依维莫司不敏感[</w:t>
      </w:r>
      <w:r>
        <w:rPr>
          <w:rFonts w:hint="eastAsia" w:ascii="微软雅黑" w:hAnsi="微软雅黑" w:eastAsia="微软雅黑" w:cs="Arial Unicode MS"/>
          <w:color w:val="auto"/>
          <w:kern w:val="2"/>
          <w:sz w:val="21"/>
          <w:szCs w:val="21"/>
          <w:highlight w:val="none"/>
          <w:lang w:val="en-US" w:eastAsia="zh-CN"/>
        </w:rPr>
        <w:fldChar w:fldCharType="begin"/>
      </w:r>
      <w:r>
        <w:rPr>
          <w:rFonts w:hint="eastAsia" w:ascii="微软雅黑" w:hAnsi="微软雅黑" w:eastAsia="微软雅黑" w:cs="Arial Unicode MS"/>
          <w:color w:val="auto"/>
          <w:kern w:val="2"/>
          <w:sz w:val="21"/>
          <w:szCs w:val="21"/>
          <w:highlight w:val="none"/>
          <w:lang w:val="en-US" w:eastAsia="zh-CN"/>
        </w:rPr>
        <w:instrText xml:space="preserve"> HYPERLINK "https://www.ncbi.nlm.nih.gov/pubmed/29285035" </w:instrText>
      </w:r>
      <w:r>
        <w:rPr>
          <w:rFonts w:hint="eastAsia" w:ascii="微软雅黑" w:hAnsi="微软雅黑" w:eastAsia="微软雅黑" w:cs="Arial Unicode MS"/>
          <w:color w:val="auto"/>
          <w:kern w:val="2"/>
          <w:sz w:val="21"/>
          <w:szCs w:val="21"/>
          <w:highlight w:val="none"/>
          <w:lang w:val="en-US" w:eastAsia="zh-CN"/>
        </w:rPr>
        <w:fldChar w:fldCharType="separate"/>
      </w:r>
      <w:r>
        <w:rPr>
          <w:rFonts w:hint="eastAsia" w:ascii="微软雅黑" w:hAnsi="微软雅黑" w:eastAsia="微软雅黑" w:cs="Arial Unicode MS"/>
          <w:color w:val="auto"/>
          <w:kern w:val="2"/>
          <w:sz w:val="21"/>
          <w:szCs w:val="21"/>
          <w:highlight w:val="none"/>
          <w:lang w:val="en-US" w:eastAsia="zh-CN"/>
        </w:rPr>
        <w:t>29285035</w:t>
      </w:r>
      <w:r>
        <w:rPr>
          <w:rFonts w:hint="eastAsia" w:ascii="微软雅黑" w:hAnsi="微软雅黑" w:eastAsia="微软雅黑" w:cs="Arial Unicode MS"/>
          <w:color w:val="auto"/>
          <w:kern w:val="2"/>
          <w:sz w:val="21"/>
          <w:szCs w:val="21"/>
          <w:highlight w:val="none"/>
          <w:lang w:val="en-US" w:eastAsia="zh-CN"/>
        </w:rPr>
        <w:fldChar w:fldCharType="end"/>
      </w:r>
      <w:r>
        <w:rPr>
          <w:rFonts w:hint="eastAsia" w:ascii="微软雅黑" w:hAnsi="微软雅黑" w:eastAsia="微软雅黑" w:cs="Arial Unicode MS"/>
          <w:color w:val="auto"/>
          <w:kern w:val="2"/>
          <w:sz w:val="21"/>
          <w:szCs w:val="21"/>
          <w:highlight w:val="none"/>
          <w:lang w:val="en-US" w:eastAsia="zh-CN"/>
        </w:rPr>
        <w:t>，28544747]。在转移性癌症患者中，携带KRAS突变的患者接受依维莫司治疗后对依维莫司缺乏疗效，12例具有KRAS突变的肿瘤患者中11例均出现疾病进展，而31例KRAS野生型患者中仅16例患者未从依维莫司治疗中获益[20664172]。</w:t>
      </w:r>
    </w:p>
    <w:p w14:paraId="72A4F619">
      <w:pPr>
        <w:numPr>
          <w:ilvl w:val="255"/>
          <w:numId w:val="0"/>
        </w:numPr>
        <w:adjustRightInd/>
        <w:snapToGrid/>
        <w:spacing w:after="100" w:afterAutospacing="1"/>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rPr>
        <w:br w:type="page"/>
      </w:r>
    </w:p>
    <w:p w14:paraId="062BD906">
      <w:pPr>
        <w:adjustRightInd/>
        <w:snapToGrid/>
        <w:spacing w:line="220" w:lineRule="atLeast"/>
        <w:outlineLvl w:val="0"/>
        <w:rPr>
          <w:rFonts w:ascii="微软雅黑" w:hAnsi="微软雅黑"/>
          <w:b/>
          <w:sz w:val="24"/>
          <w:szCs w:val="24"/>
        </w:rPr>
      </w:pPr>
      <w:bookmarkStart w:id="181" w:name="_Toc3535"/>
      <w:r>
        <w:rPr>
          <w:rFonts w:hint="eastAsia" w:ascii="微软雅黑" w:hAnsi="微软雅黑"/>
          <w:b/>
          <w:sz w:val="24"/>
          <w:szCs w:val="24"/>
        </w:rPr>
        <w:t>3. 阅读说明</w:t>
      </w:r>
      <w:bookmarkEnd w:id="181"/>
    </w:p>
    <w:p w14:paraId="2871E026">
      <w:pPr>
        <w:jc w:val="both"/>
        <w:rPr>
          <w:rFonts w:ascii="微软雅黑" w:hAnsi="微软雅黑" w:cs="微软雅黑"/>
          <w:b/>
          <w:bCs/>
          <w:sz w:val="21"/>
          <w:szCs w:val="21"/>
        </w:rPr>
      </w:pPr>
      <w:r>
        <w:rPr>
          <w:rFonts w:hint="eastAsia" w:ascii="微软雅黑" w:hAnsi="微软雅黑"/>
          <w:b/>
          <w:sz w:val="24"/>
          <w:szCs w:val="24"/>
        </w:rPr>
        <w:t>3.1 文中参考文献及临床试验编号说明</w:t>
      </w:r>
    </w:p>
    <w:p w14:paraId="1EA78AC6">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14:paraId="68AC0C30">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182"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182"/>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183" w:name="OLE_LINK106"/>
      <w:r>
        <w:rPr>
          <w:rFonts w:hint="eastAsia" w:ascii="微软雅黑" w:hAnsi="微软雅黑" w:cs="微软雅黑"/>
          <w:sz w:val="21"/>
          <w:szCs w:val="21"/>
        </w:rPr>
        <w:t>ChiCTR</w:t>
      </w:r>
      <w:bookmarkEnd w:id="183"/>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184" w:name="OLE_LINK107"/>
      <w:r>
        <w:rPr>
          <w:rFonts w:hint="eastAsia" w:ascii="微软雅黑" w:hAnsi="微软雅黑" w:cs="微软雅黑"/>
          <w:sz w:val="21"/>
          <w:szCs w:val="21"/>
        </w:rPr>
        <w:t>国内临床试验网站：http://www.chinadrugtrials.org.cn</w:t>
      </w:r>
      <w:bookmarkStart w:id="185" w:name="OLE_LINK104"/>
      <w:r>
        <w:rPr>
          <w:rFonts w:hint="eastAsia" w:ascii="微软雅黑" w:hAnsi="微软雅黑" w:cs="微软雅黑"/>
          <w:sz w:val="21"/>
          <w:szCs w:val="21"/>
        </w:rPr>
        <w:t>、http://www.chictr.org.cn</w:t>
      </w:r>
      <w:bookmarkEnd w:id="184"/>
      <w:bookmarkEnd w:id="185"/>
      <w:r>
        <w:rPr>
          <w:rFonts w:hint="eastAsia" w:ascii="微软雅黑" w:hAnsi="微软雅黑" w:cs="微软雅黑"/>
          <w:sz w:val="21"/>
          <w:szCs w:val="21"/>
        </w:rPr>
        <w:t>。这三个网站的临床试验信息持续更新，患者也可以通过上述网站关注后续更多的参与临床试验机会。</w:t>
      </w:r>
    </w:p>
    <w:p w14:paraId="0631F4CA">
      <w:pPr>
        <w:spacing w:before="200"/>
        <w:jc w:val="both"/>
        <w:rPr>
          <w:rFonts w:ascii="微软雅黑" w:hAnsi="微软雅黑"/>
          <w:b/>
          <w:sz w:val="24"/>
          <w:szCs w:val="24"/>
        </w:rPr>
      </w:pPr>
      <w:r>
        <w:rPr>
          <w:rFonts w:hint="eastAsia" w:ascii="微软雅黑" w:hAnsi="微软雅黑"/>
          <w:b/>
          <w:sz w:val="24"/>
          <w:szCs w:val="24"/>
        </w:rPr>
        <w:t>3.2 文中医学及生物学常见名词说明</w:t>
      </w:r>
    </w:p>
    <w:p w14:paraId="0D933840">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32063964">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0E7BE90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2B7D77CE">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63DC42E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0B303769">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01544B3C">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0B32572C">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7F62D3A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0D1D6F88">
      <w:pPr>
        <w:pStyle w:val="14"/>
        <w:spacing w:beforeAutospacing="0" w:afterAutospacing="0" w:line="264" w:lineRule="auto"/>
        <w:ind w:firstLine="420" w:firstLineChars="200"/>
        <w:jc w:val="both"/>
        <w:rPr>
          <w:rStyle w:val="20"/>
          <w:rFonts w:ascii="微软雅黑" w:hAnsi="微软雅黑" w:cs="微软雅黑"/>
          <w:bCs/>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49199F8D">
      <w:pPr>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br w:type="page"/>
      </w:r>
    </w:p>
    <w:p w14:paraId="02D688F5">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55123F75">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78C81DD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2765E8F8">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7CE66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45564200">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1190304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51DA411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7800FA1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50BFE5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7BDDA79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1B35FB9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5FEE5690">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2569C3B">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1D0CE10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5AE6762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1109B7B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503ED3D">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20463039">
      <w:pPr>
        <w:spacing w:line="264" w:lineRule="auto"/>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14:paraId="46050C58">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09545D3A">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12AEC33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3DBE60B3">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2BECCAB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1784FDE5">
      <w:pPr>
        <w:numPr>
          <w:ilvl w:val="0"/>
          <w:numId w:val="19"/>
        </w:numPr>
        <w:adjustRightInd/>
        <w:snapToGrid/>
        <w:spacing w:after="0" w:line="264" w:lineRule="auto"/>
        <w:jc w:val="both"/>
        <w:rPr>
          <w:rFonts w:ascii="微软雅黑" w:hAnsi="微软雅黑" w:cs="Arial Unicode MS"/>
          <w:b/>
          <w:bCs/>
          <w:kern w:val="2"/>
          <w:sz w:val="21"/>
          <w:szCs w:val="21"/>
        </w:rPr>
      </w:pPr>
      <w:bookmarkStart w:id="186" w:name="OLE_LINK43"/>
      <w:r>
        <w:rPr>
          <w:rFonts w:hint="eastAsia" w:ascii="微软雅黑" w:hAnsi="微软雅黑" w:cs="Arial Unicode MS"/>
          <w:b/>
          <w:bCs/>
          <w:kern w:val="2"/>
          <w:sz w:val="21"/>
          <w:szCs w:val="21"/>
        </w:rPr>
        <w:t>生殖细胞突变</w:t>
      </w:r>
      <w:bookmarkEnd w:id="186"/>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23345C5B">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050FC25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61C1F3B7">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027D9962">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367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620B1522">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5555AF20">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A17EE">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0EF7EEC4">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3882E653">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1D47496A">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r>
      <w:tr w14:paraId="068CE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935C66A">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5608EFE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AEBBD5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9C8F62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39F9914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FC53BF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30C8C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074D9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8FAEF9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045E55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7AFBFC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0806E68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C16D0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00FE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16E6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4962E7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476F31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8FE94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14E0DC9">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2DB4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51F20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ACB0A7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7D153C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DCE5E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E8DE1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48A5F4B">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A1DBE6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04E90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9B0712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DB7957E">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7D523A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15C69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68099F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08B46C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7EAFC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72AAC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5EFEE1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ECB97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E7C5E5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B769C7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19A86D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051E2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76F124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2AA3F4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273238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B79E3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7627853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441FDB3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r>
    </w:tbl>
    <w:p w14:paraId="6575191E">
      <w:pPr>
        <w:pStyle w:val="29"/>
        <w:adjustRightInd/>
        <w:snapToGrid/>
        <w:spacing w:after="300" w:line="220" w:lineRule="atLeast"/>
        <w:ind w:firstLine="0" w:firstLineChars="0"/>
        <w:jc w:val="center"/>
        <w:rPr>
          <w:rFonts w:ascii="微软雅黑" w:hAnsi="微软雅黑"/>
          <w:b/>
          <w:sz w:val="36"/>
          <w:szCs w:val="36"/>
        </w:rPr>
      </w:pPr>
    </w:p>
    <w:p w14:paraId="5502E5D8">
      <w:pPr>
        <w:pStyle w:val="29"/>
        <w:adjustRightInd/>
        <w:snapToGrid/>
        <w:spacing w:after="300" w:line="220" w:lineRule="atLeast"/>
        <w:ind w:firstLine="0" w:firstLineChars="0"/>
        <w:jc w:val="center"/>
        <w:rPr>
          <w:rFonts w:ascii="微软雅黑" w:hAnsi="微软雅黑"/>
          <w:b/>
          <w:sz w:val="36"/>
          <w:szCs w:val="36"/>
        </w:rPr>
      </w:pPr>
    </w:p>
    <w:p w14:paraId="535752B4">
      <w:pPr>
        <w:pStyle w:val="29"/>
        <w:adjustRightInd/>
        <w:snapToGrid/>
        <w:spacing w:after="300" w:line="220" w:lineRule="atLeast"/>
        <w:ind w:firstLine="0" w:firstLineChars="0"/>
        <w:jc w:val="center"/>
        <w:outlineLvl w:val="0"/>
        <w:rPr>
          <w:rFonts w:ascii="微软雅黑" w:hAnsi="微软雅黑"/>
          <w:b/>
          <w:sz w:val="36"/>
          <w:szCs w:val="36"/>
        </w:rPr>
      </w:pPr>
      <w:bookmarkStart w:id="187" w:name="_Toc28254"/>
      <w:r>
        <w:rPr>
          <w:rFonts w:hint="eastAsia" w:ascii="微软雅黑" w:hAnsi="微软雅黑"/>
          <w:b/>
          <w:sz w:val="36"/>
          <w:szCs w:val="36"/>
        </w:rPr>
        <w:t>第四部分：附录</w:t>
      </w:r>
      <w:bookmarkEnd w:id="187"/>
    </w:p>
    <w:p w14:paraId="569DF217">
      <w:pPr>
        <w:numPr>
          <w:ilvl w:val="0"/>
          <w:numId w:val="20"/>
        </w:numPr>
        <w:spacing w:after="240" w:afterLines="100" w:line="288" w:lineRule="auto"/>
        <w:jc w:val="both"/>
        <w:outlineLvl w:val="0"/>
        <w:rPr>
          <w:rFonts w:ascii="微软雅黑" w:hAnsi="微软雅黑"/>
          <w:b/>
          <w:sz w:val="24"/>
          <w:szCs w:val="24"/>
        </w:rPr>
      </w:pPr>
      <w:bookmarkStart w:id="188" w:name="_Toc6659"/>
      <w:bookmarkStart w:id="189" w:name="_Toc11173"/>
      <w:bookmarkStart w:id="190" w:name="_Toc30037"/>
      <w:bookmarkStart w:id="191" w:name="_Toc28988"/>
      <w:bookmarkStart w:id="192" w:name="_Toc2981"/>
      <w:bookmarkStart w:id="193" w:name="_Toc8652"/>
      <w:bookmarkStart w:id="194" w:name="_Toc6795"/>
      <w:bookmarkStart w:id="195" w:name="_Toc7531"/>
      <w:bookmarkStart w:id="196" w:name="_Toc7887"/>
      <w:bookmarkStart w:id="197" w:name="_Toc4199"/>
      <w:bookmarkStart w:id="198" w:name="_Toc15057"/>
      <w:bookmarkStart w:id="199" w:name="_Toc3318"/>
      <w:r>
        <w:rPr>
          <w:rFonts w:hint="eastAsia" w:ascii="微软雅黑" w:hAnsi="微软雅黑"/>
          <w:b/>
          <w:sz w:val="24"/>
          <w:szCs w:val="24"/>
        </w:rPr>
        <w:t>常见问题解答</w:t>
      </w:r>
      <w:bookmarkEnd w:id="188"/>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67F3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2C89FE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93310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1AB2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435318D">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655B8FB6">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4261B4E6">
            <w:pPr>
              <w:keepNext w:val="0"/>
              <w:keepLines w:val="0"/>
              <w:widowControl/>
              <w:numPr>
                <w:ilvl w:val="0"/>
                <w:numId w:val="21"/>
              </w:numPr>
              <w:suppressLineNumbers w:val="0"/>
              <w:spacing w:before="0" w:beforeAutospacing="0" w:after="40" w:afterAutospacing="0" w:line="460" w:lineRule="exact"/>
              <w:ind w:left="448" w:right="0" w:hanging="164"/>
              <w:rPr>
                <w:rFonts w:hint="default" w:ascii="微软雅黑" w:hAnsi="微软雅黑" w:cs="微软雅黑"/>
                <w:kern w:val="0"/>
                <w:sz w:val="21"/>
                <w:szCs w:val="21"/>
                <w:shd w:val="clear" w:color="auto" w:fill="FFFFFF"/>
              </w:rPr>
            </w:pPr>
            <w:r>
              <w:rPr>
                <w:rFonts w:hint="default"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7B4647CB">
            <w:pPr>
              <w:keepNext w:val="0"/>
              <w:keepLines w:val="0"/>
              <w:widowControl/>
              <w:numPr>
                <w:ilvl w:val="255"/>
                <w:numId w:val="0"/>
              </w:numPr>
              <w:suppressLineNumbers w:val="0"/>
              <w:spacing w:before="0" w:beforeAutospacing="0" w:after="40" w:afterAutospacing="0" w:line="460" w:lineRule="exact"/>
              <w:ind w:left="284" w:right="0" w:firstLine="420" w:firstLineChars="200"/>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3297856B">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3892AE07">
            <w:pPr>
              <w:keepNext w:val="0"/>
              <w:keepLines w:val="0"/>
              <w:widowControl/>
              <w:suppressLineNumbers w:val="0"/>
              <w:spacing w:before="0" w:beforeAutospacing="0" w:after="40" w:afterAutospacing="0" w:line="460" w:lineRule="exact"/>
              <w:ind w:left="283" w:right="0" w:firstLine="420" w:firstLineChars="200"/>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424DFD08">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35D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0321F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8219A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什么是靶向治疗？</w:t>
            </w:r>
          </w:p>
        </w:tc>
      </w:tr>
      <w:tr w14:paraId="6A4BA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650137D">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2565408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8C6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7960E6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F8A01BC">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26BB6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C6137B9">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6562D2">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C5D9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CD4DFB5">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12E554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08F6B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C73329B">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2621032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FB1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AEFBF1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E718F6F">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04E6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3DA7053">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788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58D2C5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8B48E24">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EB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BF9A1DA">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12563FAC">
      <w:pPr>
        <w:spacing w:after="0" w:line="240" w:lineRule="atLeast"/>
        <w:jc w:val="both"/>
        <w:rPr>
          <w:rFonts w:ascii="微软雅黑" w:hAnsi="微软雅黑" w:cs="微软雅黑"/>
          <w:sz w:val="21"/>
          <w:szCs w:val="21"/>
          <w:shd w:val="clear" w:color="auto" w:fill="FFFFFF"/>
        </w:rPr>
      </w:pPr>
    </w:p>
    <w:p w14:paraId="7D1C5BAA">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D3A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B7184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89E7A80">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481B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D6284B0">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1BC1A6C5">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1051C5E9">
      <w:pPr>
        <w:spacing w:after="0" w:line="140" w:lineRule="atLeast"/>
        <w:jc w:val="both"/>
        <w:rPr>
          <w:rFonts w:ascii="微软雅黑" w:hAnsi="微软雅黑" w:cs="微软雅黑"/>
          <w:sz w:val="21"/>
          <w:szCs w:val="21"/>
          <w:shd w:val="clear" w:color="auto" w:fill="FFFFFF"/>
        </w:rPr>
      </w:pPr>
    </w:p>
    <w:p w14:paraId="061AF2F3">
      <w:pPr>
        <w:pStyle w:val="14"/>
        <w:numPr>
          <w:ilvl w:val="255"/>
          <w:numId w:val="0"/>
        </w:numPr>
        <w:shd w:val="clear" w:color="auto" w:fill="FFFFFF"/>
        <w:spacing w:before="120" w:beforeLines="50" w:beforeAutospacing="0" w:after="120" w:afterLines="50" w:afterAutospacing="0" w:line="264" w:lineRule="auto"/>
        <w:ind w:firstLine="420" w:firstLineChars="200"/>
        <w:jc w:val="both"/>
        <w:rPr>
          <w:rFonts w:ascii="微软雅黑" w:hAnsi="微软雅黑" w:cs="微软雅黑"/>
          <w:sz w:val="21"/>
          <w:szCs w:val="21"/>
          <w:shd w:val="clear" w:color="auto" w:fill="FFFFFF"/>
        </w:rPr>
      </w:pPr>
    </w:p>
    <w:p w14:paraId="391E22CC">
      <w:pPr>
        <w:spacing w:line="460" w:lineRule="exact"/>
        <w:ind w:firstLine="420" w:firstLineChars="200"/>
        <w:jc w:val="both"/>
        <w:rPr>
          <w:rFonts w:ascii="微软雅黑" w:hAnsi="微软雅黑" w:cs="微软雅黑"/>
          <w:sz w:val="21"/>
          <w:szCs w:val="21"/>
          <w:shd w:val="clear" w:color="auto" w:fill="FFFFFF"/>
        </w:rPr>
      </w:pPr>
    </w:p>
    <w:p w14:paraId="071778AE">
      <w:pPr>
        <w:spacing w:line="460" w:lineRule="exact"/>
        <w:ind w:firstLine="420" w:firstLineChars="200"/>
        <w:jc w:val="both"/>
        <w:rPr>
          <w:rFonts w:ascii="微软雅黑" w:hAnsi="微软雅黑" w:cs="微软雅黑"/>
          <w:sz w:val="21"/>
          <w:szCs w:val="21"/>
          <w:shd w:val="clear" w:color="auto" w:fill="FFFFFF"/>
        </w:rPr>
      </w:pPr>
    </w:p>
    <w:p w14:paraId="09975B55">
      <w:pPr>
        <w:rPr>
          <w:rFonts w:ascii="微软雅黑" w:hAnsi="微软雅黑"/>
          <w:b/>
          <w:sz w:val="24"/>
          <w:szCs w:val="24"/>
        </w:rPr>
      </w:pPr>
      <w:r>
        <w:rPr>
          <w:rFonts w:hint="eastAsia" w:ascii="微软雅黑" w:hAnsi="微软雅黑"/>
          <w:b/>
          <w:sz w:val="24"/>
          <w:szCs w:val="24"/>
        </w:rPr>
        <w:br w:type="page"/>
      </w:r>
    </w:p>
    <w:bookmarkEnd w:id="189"/>
    <w:p w14:paraId="39F1532C">
      <w:pPr>
        <w:spacing w:after="0" w:line="288" w:lineRule="auto"/>
        <w:jc w:val="both"/>
        <w:outlineLvl w:val="0"/>
        <w:rPr>
          <w:rFonts w:ascii="微软雅黑" w:hAnsi="微软雅黑"/>
          <w:b/>
          <w:sz w:val="24"/>
          <w:szCs w:val="24"/>
        </w:rPr>
      </w:pPr>
      <w:bookmarkStart w:id="200" w:name="_Toc9100"/>
      <w:bookmarkStart w:id="201" w:name="_Toc21727"/>
      <w:bookmarkStart w:id="202" w:name="OLE_LINK34"/>
      <w:r>
        <w:rPr>
          <w:rFonts w:hint="eastAsia" w:ascii="微软雅黑" w:hAnsi="微软雅黑"/>
          <w:b/>
          <w:sz w:val="24"/>
          <w:szCs w:val="24"/>
        </w:rPr>
        <w:t>2. 结直肠癌诊疗知识</w:t>
      </w:r>
      <w:bookmarkEnd w:id="200"/>
    </w:p>
    <w:p w14:paraId="57E445E7">
      <w:pPr>
        <w:ind w:firstLine="420" w:firstLineChars="200"/>
        <w:jc w:val="both"/>
        <w:rPr>
          <w:rFonts w:ascii="微软雅黑" w:hAnsi="微软雅黑" w:cs="微软雅黑"/>
          <w:sz w:val="18"/>
        </w:rPr>
      </w:pPr>
      <w:r>
        <w:rPr>
          <w:rFonts w:hint="eastAsia" w:ascii="微软雅黑" w:hAnsi="微软雅黑" w:cs="微软雅黑"/>
          <w:sz w:val="21"/>
          <w:szCs w:val="21"/>
        </w:rPr>
        <w:t>结直肠癌（Colorectal cancer，CRC）是胃肠道中常见的恶性肿瘤，早期症状不明显，随着肿瘤的增大而表现排便习惯改变、便血、腹泻、腹泻与便秘交替、局部腹痛等症状，晚期则表现为贫血、体重减轻等全身症状。结直肠癌约占全世界每年新增诊断癌症和癌症相关死亡的10%，在女性常见癌种中排名第二，男性常见癌种中排名第三</w:t>
      </w:r>
      <w:r>
        <w:rPr>
          <w:rFonts w:hint="eastAsia" w:ascii="微软雅黑" w:hAnsi="微软雅黑" w:cs="微软雅黑"/>
          <w:sz w:val="21"/>
          <w:szCs w:val="21"/>
          <w:vertAlign w:val="superscript"/>
        </w:rPr>
        <w:t>[1]</w:t>
      </w:r>
      <w:r>
        <w:rPr>
          <w:rFonts w:hint="eastAsia" w:ascii="微软雅黑" w:hAnsi="微软雅黑" w:cs="微软雅黑"/>
          <w:sz w:val="21"/>
          <w:szCs w:val="21"/>
        </w:rPr>
        <w:t>。结直肠癌发病率因性别、地区而异，男性的大肠癌的年龄标准化发病率（ASRi）（每十万人中20.6）高于女性（每十万人中14.3），</w:t>
      </w:r>
      <w:r>
        <w:rPr>
          <w:rFonts w:ascii="微软雅黑" w:hAnsi="微软雅黑" w:cs="微软雅黑"/>
          <w:sz w:val="21"/>
          <w:szCs w:val="21"/>
        </w:rPr>
        <w:t>较发达的地区</w:t>
      </w:r>
      <w:r>
        <w:rPr>
          <w:rFonts w:hint="eastAsia" w:ascii="微软雅黑" w:hAnsi="微软雅黑" w:cs="微软雅黑"/>
          <w:sz w:val="21"/>
          <w:szCs w:val="21"/>
        </w:rPr>
        <w:t>高于欠发达地区（图1）。发病率和死亡率在消化系统恶性肿瘤中仅次于胃癌、食管癌和原发性肝癌，2013年全球约77.1万人死于大肠癌，成为继肺癌、肝癌和胃癌之后全球第四大最常见的癌症相关死亡原因</w:t>
      </w:r>
      <w:r>
        <w:rPr>
          <w:rFonts w:hint="eastAsia" w:ascii="微软雅黑" w:hAnsi="微软雅黑" w:cs="微软雅黑"/>
          <w:sz w:val="21"/>
          <w:szCs w:val="21"/>
          <w:vertAlign w:val="superscript"/>
        </w:rPr>
        <w:t>[2]</w:t>
      </w:r>
      <w:r>
        <w:rPr>
          <w:rFonts w:hint="eastAsia" w:ascii="微软雅黑" w:hAnsi="微软雅黑" w:cs="微软雅黑"/>
          <w:sz w:val="21"/>
          <w:szCs w:val="21"/>
        </w:rPr>
        <w:t>。</w:t>
      </w:r>
    </w:p>
    <w:p w14:paraId="48956F8C">
      <w:pPr>
        <w:jc w:val="center"/>
      </w:pPr>
      <w:r>
        <w:drawing>
          <wp:inline distT="0" distB="0" distL="114300" distR="114300">
            <wp:extent cx="5220335" cy="3353435"/>
            <wp:effectExtent l="0" t="0" r="18415" b="18415"/>
            <wp:docPr id="102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图片 15"/>
                    <pic:cNvPicPr>
                      <a:picLocks noChangeAspect="1"/>
                    </pic:cNvPicPr>
                  </pic:nvPicPr>
                  <pic:blipFill>
                    <a:blip r:embed="rId28"/>
                    <a:srcRect l="988"/>
                    <a:stretch>
                      <a:fillRect/>
                    </a:stretch>
                  </pic:blipFill>
                  <pic:spPr>
                    <a:xfrm>
                      <a:off x="0" y="0"/>
                      <a:ext cx="5220335" cy="3353435"/>
                    </a:xfrm>
                    <a:prstGeom prst="rect">
                      <a:avLst/>
                    </a:prstGeom>
                    <a:noFill/>
                    <a:ln>
                      <a:noFill/>
                    </a:ln>
                  </pic:spPr>
                </pic:pic>
              </a:graphicData>
            </a:graphic>
          </wp:inline>
        </w:drawing>
      </w:r>
    </w:p>
    <w:p w14:paraId="7FCBB05F">
      <w:pPr>
        <w:jc w:val="center"/>
        <w:rPr>
          <w:sz w:val="20"/>
          <w:szCs w:val="20"/>
        </w:rPr>
      </w:pPr>
      <w:r>
        <w:rPr>
          <w:rFonts w:hint="eastAsia"/>
          <w:sz w:val="20"/>
          <w:szCs w:val="20"/>
        </w:rPr>
        <w:t>图1 各地理区域男女（每10万人）的年龄标准化发病率和死亡率</w:t>
      </w:r>
      <w:r>
        <w:rPr>
          <w:rFonts w:hint="eastAsia" w:ascii="微软雅黑" w:hAnsi="微软雅黑" w:cs="微软雅黑"/>
          <w:sz w:val="20"/>
          <w:szCs w:val="20"/>
          <w:vertAlign w:val="superscript"/>
        </w:rPr>
        <w:t>[3]</w:t>
      </w:r>
    </w:p>
    <w:p w14:paraId="09586B67">
      <w:pPr>
        <w:jc w:val="both"/>
        <w:rPr>
          <w:b/>
          <w:bCs/>
        </w:rPr>
      </w:pPr>
      <w:r>
        <w:rPr>
          <w:rFonts w:hint="eastAsia"/>
          <w:b/>
          <w:bCs/>
        </w:rPr>
        <w:t>1、高危患病因素</w:t>
      </w:r>
    </w:p>
    <w:p w14:paraId="0AF8DB60">
      <w:pPr>
        <w:ind w:firstLine="420" w:firstLineChars="200"/>
        <w:jc w:val="both"/>
        <w:rPr>
          <w:rFonts w:ascii="微软雅黑" w:hAnsi="微软雅黑" w:cs="微软雅黑"/>
          <w:sz w:val="21"/>
          <w:szCs w:val="21"/>
        </w:rPr>
      </w:pPr>
      <w:r>
        <w:rPr>
          <w:rFonts w:hint="eastAsia" w:ascii="微软雅黑" w:hAnsi="微软雅黑" w:cs="微软雅黑"/>
          <w:sz w:val="21"/>
          <w:szCs w:val="21"/>
        </w:rPr>
        <w:t>流行病学研究表明，性别和年龄增长与结直肠癌发病率密切相关。同时，遗传和环境因素对结直肠发病起着重要作用（图2）。大多数西方人群中，结直肠癌的平均终生风险在3％-5％。大多数结直肠癌是散发性的，大约10-20%的结直肠癌患者有家族史</w:t>
      </w:r>
      <w:r>
        <w:rPr>
          <w:rFonts w:hint="eastAsia" w:ascii="微软雅黑" w:hAnsi="微软雅黑" w:cs="微软雅黑"/>
          <w:sz w:val="21"/>
          <w:szCs w:val="21"/>
          <w:vertAlign w:val="superscript"/>
        </w:rPr>
        <w:t>[4]</w:t>
      </w:r>
      <w:r>
        <w:rPr>
          <w:rFonts w:hint="eastAsia" w:ascii="微软雅黑" w:hAnsi="微软雅黑" w:cs="微软雅黑"/>
          <w:sz w:val="21"/>
          <w:szCs w:val="21"/>
        </w:rPr>
        <w:t>，其患病风险取决于患病家属年龄与数量</w:t>
      </w:r>
      <w:r>
        <w:rPr>
          <w:rFonts w:hint="eastAsia" w:ascii="微软雅黑" w:hAnsi="微软雅黑" w:cs="微软雅黑"/>
          <w:sz w:val="21"/>
          <w:szCs w:val="21"/>
          <w:vertAlign w:val="superscript"/>
        </w:rPr>
        <w:t>[5]</w:t>
      </w:r>
      <w:r>
        <w:rPr>
          <w:rFonts w:hint="eastAsia" w:ascii="微软雅黑" w:hAnsi="微软雅黑" w:cs="微软雅黑"/>
          <w:sz w:val="21"/>
          <w:szCs w:val="21"/>
        </w:rPr>
        <w:t>。如直系亲属诊断时年龄小于50岁，则患病风险增加三倍。长期患有炎症性肠病和有结直肠癌或腺瘤病史的患者患结直肠癌的风险较高，需要进行适当的监测</w:t>
      </w:r>
      <w:r>
        <w:rPr>
          <w:rFonts w:hint="eastAsia" w:ascii="微软雅黑" w:hAnsi="微软雅黑" w:cs="微软雅黑"/>
          <w:sz w:val="21"/>
          <w:szCs w:val="21"/>
          <w:vertAlign w:val="superscript"/>
        </w:rPr>
        <w:t>[6，7]</w:t>
      </w:r>
      <w:r>
        <w:rPr>
          <w:rFonts w:hint="eastAsia" w:ascii="微软雅黑" w:hAnsi="微软雅黑" w:cs="微软雅黑"/>
          <w:sz w:val="21"/>
          <w:szCs w:val="21"/>
        </w:rPr>
        <w:t>。</w:t>
      </w:r>
    </w:p>
    <w:p w14:paraId="45809160">
      <w:pPr>
        <w:jc w:val="center"/>
      </w:pPr>
      <w:r>
        <w:drawing>
          <wp:inline distT="0" distB="0" distL="114300" distR="114300">
            <wp:extent cx="5175885" cy="3589020"/>
            <wp:effectExtent l="0" t="0" r="5715" b="11430"/>
            <wp:docPr id="10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图片 11"/>
                    <pic:cNvPicPr>
                      <a:picLocks noChangeAspect="1"/>
                    </pic:cNvPicPr>
                  </pic:nvPicPr>
                  <pic:blipFill>
                    <a:blip r:embed="rId29"/>
                    <a:srcRect b="2092"/>
                    <a:stretch>
                      <a:fillRect/>
                    </a:stretch>
                  </pic:blipFill>
                  <pic:spPr>
                    <a:xfrm>
                      <a:off x="0" y="0"/>
                      <a:ext cx="5175885" cy="3589020"/>
                    </a:xfrm>
                    <a:prstGeom prst="rect">
                      <a:avLst/>
                    </a:prstGeom>
                    <a:noFill/>
                    <a:ln>
                      <a:noFill/>
                    </a:ln>
                  </pic:spPr>
                </pic:pic>
              </a:graphicData>
            </a:graphic>
          </wp:inline>
        </w:drawing>
      </w:r>
    </w:p>
    <w:p w14:paraId="38B92595">
      <w:pPr>
        <w:jc w:val="center"/>
        <w:rPr>
          <w:sz w:val="20"/>
          <w:szCs w:val="20"/>
        </w:rPr>
      </w:pPr>
      <w:r>
        <w:rPr>
          <w:rFonts w:hint="eastAsia"/>
          <w:sz w:val="20"/>
          <w:szCs w:val="20"/>
        </w:rPr>
        <w:t>图2 结直肠癌发病危险因素</w:t>
      </w:r>
      <w:r>
        <w:rPr>
          <w:rFonts w:hint="eastAsia" w:ascii="微软雅黑" w:hAnsi="微软雅黑" w:cs="微软雅黑"/>
          <w:sz w:val="20"/>
          <w:szCs w:val="20"/>
          <w:vertAlign w:val="superscript"/>
        </w:rPr>
        <w:t>[1]</w:t>
      </w:r>
    </w:p>
    <w:p w14:paraId="6EE58CF2">
      <w:pPr>
        <w:ind w:firstLine="420" w:firstLineChars="200"/>
        <w:jc w:val="both"/>
        <w:rPr>
          <w:rFonts w:ascii="微软雅黑" w:hAnsi="微软雅黑" w:cs="微软雅黑"/>
          <w:sz w:val="21"/>
          <w:szCs w:val="21"/>
        </w:rPr>
      </w:pPr>
      <w:r>
        <w:rPr>
          <w:rFonts w:ascii="微软雅黑" w:hAnsi="微软雅黑" w:cs="微软雅黑"/>
          <w:sz w:val="21"/>
          <w:szCs w:val="21"/>
        </w:rPr>
        <w:t>遗传性</w:t>
      </w:r>
      <w:r>
        <w:rPr>
          <w:rFonts w:hint="eastAsia" w:ascii="微软雅黑" w:hAnsi="微软雅黑" w:cs="微软雅黑"/>
          <w:sz w:val="21"/>
          <w:szCs w:val="21"/>
        </w:rPr>
        <w:t>结直肠</w:t>
      </w:r>
      <w:r>
        <w:rPr>
          <w:rFonts w:ascii="微软雅黑" w:hAnsi="微软雅黑" w:cs="微软雅黑"/>
          <w:sz w:val="21"/>
          <w:szCs w:val="21"/>
        </w:rPr>
        <w:t>癌综合</w:t>
      </w:r>
      <w:r>
        <w:rPr>
          <w:rFonts w:hint="eastAsia" w:ascii="微软雅黑" w:hAnsi="微软雅黑" w:cs="微软雅黑"/>
          <w:sz w:val="21"/>
          <w:szCs w:val="21"/>
        </w:rPr>
        <w:t>征主要包括：</w:t>
      </w:r>
      <w:bookmarkStart w:id="203" w:name="OLE_LINK8"/>
      <w:r>
        <w:rPr>
          <w:rFonts w:ascii="微软雅黑" w:hAnsi="微软雅黑" w:cs="微软雅黑"/>
          <w:sz w:val="21"/>
          <w:szCs w:val="21"/>
        </w:rPr>
        <w:t>林奇</w:t>
      </w:r>
      <w:bookmarkEnd w:id="203"/>
      <w:r>
        <w:rPr>
          <w:rFonts w:ascii="微软雅黑" w:hAnsi="微软雅黑" w:cs="微软雅黑"/>
          <w:sz w:val="21"/>
          <w:szCs w:val="21"/>
        </w:rPr>
        <w:t>综合征</w:t>
      </w:r>
      <w:r>
        <w:rPr>
          <w:rFonts w:hint="eastAsia" w:ascii="微软雅黑" w:hAnsi="微软雅黑" w:cs="微软雅黑"/>
          <w:sz w:val="21"/>
          <w:szCs w:val="21"/>
        </w:rPr>
        <w:t>（</w:t>
      </w:r>
      <w:r>
        <w:rPr>
          <w:rFonts w:ascii="微软雅黑" w:hAnsi="微软雅黑" w:cs="微软雅黑"/>
          <w:sz w:val="21"/>
          <w:szCs w:val="21"/>
        </w:rPr>
        <w:t>Lynch</w:t>
      </w:r>
      <w:r>
        <w:rPr>
          <w:rFonts w:hint="eastAsia" w:ascii="微软雅黑" w:hAnsi="微软雅黑" w:cs="微软雅黑"/>
          <w:sz w:val="21"/>
          <w:szCs w:val="21"/>
        </w:rPr>
        <w:t xml:space="preserve"> syndrome）、</w:t>
      </w:r>
      <w:r>
        <w:rPr>
          <w:rFonts w:ascii="微软雅黑" w:hAnsi="微软雅黑" w:cs="微软雅黑"/>
          <w:sz w:val="21"/>
          <w:szCs w:val="21"/>
        </w:rPr>
        <w:t>家族性腺瘤性息肉病</w:t>
      </w:r>
      <w:r>
        <w:rPr>
          <w:rFonts w:hint="eastAsia" w:ascii="微软雅黑" w:hAnsi="微软雅黑" w:cs="微软雅黑"/>
          <w:sz w:val="21"/>
          <w:szCs w:val="21"/>
        </w:rPr>
        <w:t>、</w:t>
      </w:r>
      <w:r>
        <w:rPr>
          <w:rFonts w:ascii="微软雅黑" w:hAnsi="微软雅黑" w:cs="微软雅黑"/>
          <w:sz w:val="21"/>
          <w:szCs w:val="21"/>
        </w:rPr>
        <w:t>mutY DNA糖基化酶（MUTYH）基因突变相关的息肉病</w:t>
      </w:r>
      <w:r>
        <w:rPr>
          <w:rFonts w:hint="eastAsia" w:ascii="微软雅黑" w:hAnsi="微软雅黑" w:cs="微软雅黑"/>
          <w:sz w:val="21"/>
          <w:szCs w:val="21"/>
        </w:rPr>
        <w:t>、</w:t>
      </w:r>
      <w:r>
        <w:rPr>
          <w:rFonts w:ascii="微软雅黑" w:hAnsi="微软雅黑" w:cs="微软雅黑"/>
          <w:sz w:val="21"/>
          <w:szCs w:val="21"/>
        </w:rPr>
        <w:t>Peutz Jeghers综合征</w:t>
      </w:r>
      <w:r>
        <w:rPr>
          <w:rFonts w:hint="eastAsia" w:ascii="微软雅黑" w:hAnsi="微软雅黑" w:cs="微软雅黑"/>
          <w:sz w:val="21"/>
          <w:szCs w:val="21"/>
        </w:rPr>
        <w:t>、</w:t>
      </w:r>
      <w:r>
        <w:rPr>
          <w:rFonts w:ascii="微软雅黑" w:hAnsi="微软雅黑" w:cs="微软雅黑"/>
          <w:sz w:val="21"/>
          <w:szCs w:val="21"/>
        </w:rPr>
        <w:t>锯齿状息肉病和青少年息肉病</w:t>
      </w:r>
      <w:r>
        <w:rPr>
          <w:rFonts w:hint="eastAsia" w:ascii="微软雅黑" w:hAnsi="微软雅黑" w:cs="微软雅黑"/>
          <w:sz w:val="21"/>
          <w:szCs w:val="21"/>
        </w:rPr>
        <w:t>，其中较为常见的是</w:t>
      </w:r>
      <w:r>
        <w:rPr>
          <w:rFonts w:ascii="微软雅黑" w:hAnsi="微软雅黑" w:cs="微软雅黑"/>
          <w:sz w:val="21"/>
          <w:szCs w:val="21"/>
        </w:rPr>
        <w:t>林奇综合征</w:t>
      </w:r>
      <w:r>
        <w:rPr>
          <w:rFonts w:hint="eastAsia" w:ascii="微软雅黑" w:hAnsi="微软雅黑" w:cs="微软雅黑"/>
          <w:sz w:val="21"/>
          <w:szCs w:val="21"/>
        </w:rPr>
        <w:t>与</w:t>
      </w:r>
      <w:r>
        <w:rPr>
          <w:rFonts w:ascii="微软雅黑" w:hAnsi="微软雅黑" w:cs="微软雅黑"/>
          <w:sz w:val="21"/>
          <w:szCs w:val="21"/>
        </w:rPr>
        <w:t>家族性腺瘤性息肉病</w:t>
      </w:r>
      <w:r>
        <w:rPr>
          <w:rFonts w:hint="eastAsia" w:ascii="微软雅黑" w:hAnsi="微软雅黑" w:cs="微软雅黑"/>
          <w:sz w:val="21"/>
          <w:szCs w:val="21"/>
        </w:rPr>
        <w:t>。</w:t>
      </w:r>
    </w:p>
    <w:p w14:paraId="3C7943BD">
      <w:pPr>
        <w:ind w:firstLine="420" w:firstLineChars="200"/>
        <w:jc w:val="both"/>
        <w:rPr>
          <w:rFonts w:ascii="微软雅黑" w:hAnsi="微软雅黑" w:cs="微软雅黑"/>
          <w:sz w:val="21"/>
          <w:szCs w:val="21"/>
        </w:rPr>
      </w:pPr>
      <w:r>
        <w:rPr>
          <w:rFonts w:ascii="微软雅黑" w:hAnsi="微软雅黑" w:cs="微软雅黑"/>
          <w:sz w:val="21"/>
          <w:szCs w:val="21"/>
        </w:rPr>
        <w:t>林奇综合征是由DNA错配修复系统的功能障碍引起的，其特征是肿瘤中与健康组织相比微卫星区域的扩张或收缩，称为微卫星不稳定</w:t>
      </w:r>
      <w:r>
        <w:rPr>
          <w:rFonts w:hint="eastAsia" w:ascii="微软雅黑" w:hAnsi="微软雅黑" w:cs="微软雅黑"/>
          <w:sz w:val="21"/>
          <w:szCs w:val="21"/>
        </w:rPr>
        <w:t>（</w:t>
      </w:r>
      <w:r>
        <w:rPr>
          <w:rFonts w:ascii="微软雅黑" w:hAnsi="微软雅黑" w:cs="微软雅黑"/>
          <w:sz w:val="21"/>
          <w:szCs w:val="21"/>
        </w:rPr>
        <w:t>MSI</w:t>
      </w:r>
      <w:r>
        <w:rPr>
          <w:rFonts w:hint="eastAsia" w:ascii="微软雅黑" w:hAnsi="微软雅黑" w:cs="微软雅黑"/>
          <w:sz w:val="21"/>
          <w:szCs w:val="21"/>
        </w:rPr>
        <w:t>）</w:t>
      </w:r>
      <w:r>
        <w:rPr>
          <w:rFonts w:ascii="微软雅黑" w:hAnsi="微软雅黑" w:cs="微软雅黑"/>
          <w:sz w:val="21"/>
          <w:szCs w:val="21"/>
        </w:rPr>
        <w:t>，在免疫组织化学上显示</w:t>
      </w:r>
      <w:r>
        <w:rPr>
          <w:rFonts w:hint="eastAsia" w:ascii="微软雅黑" w:hAnsi="微软雅黑" w:cs="微软雅黑"/>
          <w:sz w:val="21"/>
          <w:szCs w:val="21"/>
        </w:rPr>
        <w:t>错配</w:t>
      </w:r>
      <w:r>
        <w:rPr>
          <w:rFonts w:ascii="微软雅黑" w:hAnsi="微软雅黑" w:cs="微软雅黑"/>
          <w:sz w:val="21"/>
          <w:szCs w:val="21"/>
        </w:rPr>
        <w:t>修复蛋白的缺</w:t>
      </w:r>
      <w:r>
        <w:rPr>
          <w:rFonts w:hint="eastAsia" w:ascii="微软雅黑" w:hAnsi="微软雅黑" w:cs="微软雅黑"/>
          <w:sz w:val="21"/>
          <w:szCs w:val="21"/>
        </w:rPr>
        <w:t>失。但</w:t>
      </w:r>
      <w:r>
        <w:rPr>
          <w:rFonts w:ascii="微软雅黑" w:hAnsi="微软雅黑" w:cs="微软雅黑"/>
          <w:sz w:val="21"/>
          <w:szCs w:val="21"/>
        </w:rPr>
        <w:t>MSI并不是Lynch综合征的</w:t>
      </w:r>
      <w:r>
        <w:rPr>
          <w:rFonts w:hint="eastAsia" w:ascii="微软雅黑" w:hAnsi="微软雅黑" w:cs="微软雅黑"/>
          <w:sz w:val="21"/>
          <w:szCs w:val="21"/>
        </w:rPr>
        <w:t>特有标志</w:t>
      </w:r>
      <w:r>
        <w:rPr>
          <w:rFonts w:ascii="微软雅黑" w:hAnsi="微软雅黑" w:cs="微软雅黑"/>
          <w:sz w:val="21"/>
          <w:szCs w:val="21"/>
        </w:rPr>
        <w:t>，大约15%的散发性结肠直肠癌</w:t>
      </w:r>
      <w:r>
        <w:rPr>
          <w:rFonts w:hint="eastAsia" w:ascii="微软雅黑" w:hAnsi="微软雅黑" w:cs="微软雅黑"/>
          <w:sz w:val="21"/>
          <w:szCs w:val="21"/>
        </w:rPr>
        <w:t>患者分子表型为</w:t>
      </w:r>
      <w:r>
        <w:rPr>
          <w:rFonts w:ascii="微软雅黑" w:hAnsi="微软雅黑" w:cs="微软雅黑"/>
          <w:sz w:val="21"/>
          <w:szCs w:val="21"/>
        </w:rPr>
        <w:t>MSI</w:t>
      </w:r>
      <w:r>
        <w:rPr>
          <w:rFonts w:hint="eastAsia" w:ascii="微软雅黑" w:hAnsi="微软雅黑" w:cs="微软雅黑"/>
          <w:sz w:val="21"/>
          <w:szCs w:val="21"/>
        </w:rPr>
        <w:t>，其病因与MLH1基因启动子区域CpG岛过度甲基化（CpG island methylator phenotypes，CIMP）导致MLH1基因表达沉默相关</w:t>
      </w:r>
      <w:r>
        <w:rPr>
          <w:rFonts w:hint="eastAsia" w:ascii="微软雅黑" w:hAnsi="微软雅黑" w:cs="微软雅黑"/>
          <w:sz w:val="21"/>
          <w:szCs w:val="21"/>
          <w:vertAlign w:val="superscript"/>
        </w:rPr>
        <w:t>[9]</w:t>
      </w:r>
      <w:r>
        <w:rPr>
          <w:rFonts w:hint="eastAsia" w:ascii="微软雅黑" w:hAnsi="微软雅黑" w:cs="微软雅黑"/>
          <w:sz w:val="21"/>
          <w:szCs w:val="21"/>
        </w:rPr>
        <w:t>。</w:t>
      </w:r>
      <w:r>
        <w:rPr>
          <w:rFonts w:ascii="微软雅黑" w:hAnsi="微软雅黑" w:cs="微软雅黑"/>
          <w:sz w:val="21"/>
          <w:szCs w:val="21"/>
        </w:rPr>
        <w:t>林奇综合征患者从20岁到25岁应经常进行结肠镜检查</w:t>
      </w:r>
      <w:r>
        <w:rPr>
          <w:rFonts w:hint="eastAsia" w:ascii="微软雅黑" w:hAnsi="微软雅黑" w:cs="微软雅黑"/>
          <w:sz w:val="21"/>
          <w:szCs w:val="21"/>
        </w:rPr>
        <w:t>，</w:t>
      </w:r>
      <w:r>
        <w:rPr>
          <w:rFonts w:ascii="微软雅黑" w:hAnsi="微软雅黑" w:cs="微软雅黑"/>
          <w:sz w:val="21"/>
          <w:szCs w:val="21"/>
        </w:rPr>
        <w:t>每年1</w:t>
      </w:r>
      <w:r>
        <w:rPr>
          <w:rFonts w:hint="eastAsia" w:ascii="微软雅黑" w:hAnsi="微软雅黑" w:cs="微软雅黑"/>
          <w:sz w:val="21"/>
          <w:szCs w:val="21"/>
        </w:rPr>
        <w:t>-</w:t>
      </w:r>
      <w:r>
        <w:rPr>
          <w:rFonts w:ascii="微软雅黑" w:hAnsi="微软雅黑" w:cs="微软雅黑"/>
          <w:sz w:val="21"/>
          <w:szCs w:val="21"/>
        </w:rPr>
        <w:t>2次</w:t>
      </w:r>
      <w:r>
        <w:rPr>
          <w:rFonts w:hint="eastAsia" w:ascii="微软雅黑" w:hAnsi="微软雅黑" w:cs="微软雅黑"/>
          <w:sz w:val="21"/>
          <w:szCs w:val="21"/>
          <w:vertAlign w:val="superscript"/>
        </w:rPr>
        <w:t>[10，11]</w:t>
      </w:r>
      <w:r>
        <w:rPr>
          <w:rFonts w:ascii="微软雅黑" w:hAnsi="微软雅黑" w:cs="微软雅黑"/>
          <w:sz w:val="21"/>
          <w:szCs w:val="21"/>
        </w:rPr>
        <w:t>。此外，林奇综合征患者患子宫内膜癌</w:t>
      </w:r>
      <w:r>
        <w:rPr>
          <w:rFonts w:hint="eastAsia" w:ascii="微软雅黑" w:hAnsi="微软雅黑" w:cs="微软雅黑"/>
          <w:sz w:val="21"/>
          <w:szCs w:val="21"/>
        </w:rPr>
        <w:t>及</w:t>
      </w:r>
      <w:r>
        <w:rPr>
          <w:rFonts w:ascii="微软雅黑" w:hAnsi="微软雅黑" w:cs="微软雅黑"/>
          <w:sz w:val="21"/>
          <w:szCs w:val="21"/>
        </w:rPr>
        <w:t>小肠、胃、卵巢、肾盂、输尿管和肝胆系统癌症</w:t>
      </w:r>
      <w:r>
        <w:rPr>
          <w:rFonts w:hint="eastAsia" w:ascii="微软雅黑" w:hAnsi="微软雅黑" w:cs="微软雅黑"/>
          <w:sz w:val="21"/>
          <w:szCs w:val="21"/>
        </w:rPr>
        <w:t>等</w:t>
      </w:r>
      <w:r>
        <w:rPr>
          <w:rFonts w:ascii="微软雅黑" w:hAnsi="微软雅黑" w:cs="微软雅黑"/>
          <w:sz w:val="21"/>
          <w:szCs w:val="21"/>
        </w:rPr>
        <w:t>其</w:t>
      </w:r>
      <w:r>
        <w:rPr>
          <w:rFonts w:hint="eastAsia" w:ascii="微软雅黑" w:hAnsi="微软雅黑" w:cs="微软雅黑"/>
          <w:sz w:val="21"/>
          <w:szCs w:val="21"/>
        </w:rPr>
        <w:t>它</w:t>
      </w:r>
      <w:r>
        <w:rPr>
          <w:rFonts w:ascii="微软雅黑" w:hAnsi="微软雅黑" w:cs="微软雅黑"/>
          <w:sz w:val="21"/>
          <w:szCs w:val="21"/>
        </w:rPr>
        <w:t>恶性肿瘤</w:t>
      </w:r>
      <w:r>
        <w:rPr>
          <w:rFonts w:hint="eastAsia" w:ascii="微软雅黑" w:hAnsi="微软雅黑" w:cs="微软雅黑"/>
          <w:sz w:val="21"/>
          <w:szCs w:val="21"/>
        </w:rPr>
        <w:t>患病</w:t>
      </w:r>
      <w:r>
        <w:rPr>
          <w:rFonts w:ascii="微软雅黑" w:hAnsi="微软雅黑" w:cs="微软雅黑"/>
          <w:sz w:val="21"/>
          <w:szCs w:val="21"/>
        </w:rPr>
        <w:t>风险增加。</w:t>
      </w:r>
    </w:p>
    <w:p w14:paraId="42918098">
      <w:pPr>
        <w:ind w:firstLine="420" w:firstLineChars="200"/>
        <w:jc w:val="both"/>
        <w:rPr>
          <w:rFonts w:ascii="微软雅黑" w:hAnsi="微软雅黑" w:cs="微软雅黑"/>
          <w:sz w:val="21"/>
          <w:szCs w:val="21"/>
        </w:rPr>
      </w:pPr>
      <w:r>
        <w:rPr>
          <w:rFonts w:hint="eastAsia" w:ascii="微软雅黑" w:hAnsi="微软雅黑" w:cs="微软雅黑"/>
          <w:sz w:val="21"/>
          <w:szCs w:val="21"/>
        </w:rPr>
        <w:t>家族性腺瘤性息肉病是由控制Wnt信号通路活性的腺瘤性息肉病大肠杆菌（APC）基因突变引起的</w:t>
      </w:r>
      <w:r>
        <w:rPr>
          <w:rFonts w:hint="eastAsia" w:ascii="微软雅黑" w:hAnsi="微软雅黑" w:cs="微软雅黑"/>
          <w:sz w:val="21"/>
          <w:szCs w:val="21"/>
          <w:vertAlign w:val="superscript"/>
        </w:rPr>
        <w:t>[12]</w:t>
      </w:r>
      <w:r>
        <w:rPr>
          <w:rFonts w:hint="eastAsia" w:ascii="微软雅黑" w:hAnsi="微软雅黑" w:cs="微软雅黑"/>
          <w:sz w:val="21"/>
          <w:szCs w:val="21"/>
        </w:rPr>
        <w:t>。大多数家族性腺瘤性息肉病患者在年轻时会发生大量结直肠腺瘤进而发展为结直肠癌。</w:t>
      </w:r>
    </w:p>
    <w:p w14:paraId="6BBAB921">
      <w:pPr>
        <w:ind w:firstLine="420" w:firstLineChars="200"/>
        <w:jc w:val="both"/>
        <w:rPr>
          <w:rFonts w:ascii="微软雅黑" w:hAnsi="微软雅黑" w:cs="微软雅黑"/>
          <w:sz w:val="21"/>
          <w:szCs w:val="21"/>
        </w:rPr>
      </w:pPr>
      <w:r>
        <w:rPr>
          <w:rFonts w:hint="eastAsia" w:ascii="微软雅黑" w:hAnsi="微软雅黑" w:cs="微软雅黑"/>
          <w:sz w:val="21"/>
          <w:szCs w:val="21"/>
        </w:rPr>
        <w:t>除遗传因素外，</w:t>
      </w:r>
      <w:r>
        <w:rPr>
          <w:rFonts w:ascii="微软雅黑" w:hAnsi="微软雅黑" w:cs="微软雅黑"/>
          <w:sz w:val="21"/>
          <w:szCs w:val="21"/>
        </w:rPr>
        <w:t>吸烟</w:t>
      </w:r>
      <w:r>
        <w:rPr>
          <w:rFonts w:hint="eastAsia" w:ascii="微软雅黑" w:hAnsi="微软雅黑" w:cs="微软雅黑"/>
          <w:sz w:val="21"/>
          <w:szCs w:val="21"/>
          <w:vertAlign w:val="superscript"/>
        </w:rPr>
        <w:t>[13]</w:t>
      </w:r>
      <w:r>
        <w:rPr>
          <w:rFonts w:hint="eastAsia" w:ascii="微软雅黑" w:hAnsi="微软雅黑" w:cs="微软雅黑"/>
          <w:sz w:val="21"/>
          <w:szCs w:val="21"/>
        </w:rPr>
        <w:t>、酗酒</w:t>
      </w:r>
      <w:r>
        <w:rPr>
          <w:rFonts w:hint="eastAsia" w:ascii="微软雅黑" w:hAnsi="微软雅黑" w:cs="微软雅黑"/>
          <w:sz w:val="21"/>
          <w:szCs w:val="21"/>
          <w:vertAlign w:val="superscript"/>
        </w:rPr>
        <w:t>[14]</w:t>
      </w:r>
      <w:r>
        <w:rPr>
          <w:rFonts w:hint="eastAsia" w:ascii="微软雅黑" w:hAnsi="微软雅黑" w:cs="微软雅黑"/>
          <w:sz w:val="21"/>
          <w:szCs w:val="21"/>
        </w:rPr>
        <w:t>、肥胖</w:t>
      </w:r>
      <w:r>
        <w:rPr>
          <w:rFonts w:hint="eastAsia" w:ascii="微软雅黑" w:hAnsi="微软雅黑" w:cs="微软雅黑"/>
          <w:sz w:val="21"/>
          <w:szCs w:val="21"/>
          <w:vertAlign w:val="superscript"/>
        </w:rPr>
        <w:t>[15]</w:t>
      </w:r>
      <w:r>
        <w:rPr>
          <w:rFonts w:hint="eastAsia" w:ascii="微软雅黑" w:hAnsi="微软雅黑" w:cs="微软雅黑"/>
          <w:sz w:val="21"/>
          <w:szCs w:val="21"/>
        </w:rPr>
        <w:t>、红肉和加工肉过量摄入</w:t>
      </w:r>
      <w:r>
        <w:rPr>
          <w:rFonts w:hint="eastAsia" w:ascii="微软雅黑" w:hAnsi="微软雅黑" w:cs="微软雅黑"/>
          <w:sz w:val="21"/>
          <w:szCs w:val="21"/>
          <w:vertAlign w:val="superscript"/>
        </w:rPr>
        <w:t>[16]</w:t>
      </w:r>
      <w:r>
        <w:rPr>
          <w:rFonts w:hint="eastAsia" w:ascii="微软雅黑" w:hAnsi="微软雅黑" w:cs="微软雅黑"/>
          <w:sz w:val="21"/>
          <w:szCs w:val="21"/>
        </w:rPr>
        <w:t>等不良</w:t>
      </w:r>
      <w:r>
        <w:rPr>
          <w:rFonts w:ascii="微软雅黑" w:hAnsi="微软雅黑" w:cs="微软雅黑"/>
          <w:sz w:val="21"/>
          <w:szCs w:val="21"/>
        </w:rPr>
        <w:t>生活方式因素</w:t>
      </w:r>
      <w:r>
        <w:rPr>
          <w:rFonts w:hint="eastAsia" w:ascii="微软雅黑" w:hAnsi="微软雅黑" w:cs="微软雅黑"/>
          <w:sz w:val="21"/>
          <w:szCs w:val="21"/>
        </w:rPr>
        <w:t>可能</w:t>
      </w:r>
      <w:r>
        <w:rPr>
          <w:rFonts w:ascii="微软雅黑" w:hAnsi="微软雅黑" w:cs="微软雅黑"/>
          <w:sz w:val="21"/>
          <w:szCs w:val="21"/>
        </w:rPr>
        <w:t>增加患结肠直肠癌的风险，</w:t>
      </w:r>
      <w:r>
        <w:rPr>
          <w:rFonts w:hint="eastAsia" w:ascii="微软雅黑" w:hAnsi="微软雅黑" w:cs="微软雅黑"/>
          <w:sz w:val="21"/>
          <w:szCs w:val="21"/>
        </w:rPr>
        <w:t>相关研究表明，Ⅱ</w:t>
      </w:r>
      <w:r>
        <w:rPr>
          <w:rFonts w:ascii="微软雅黑" w:hAnsi="微软雅黑" w:cs="微软雅黑"/>
          <w:sz w:val="21"/>
          <w:szCs w:val="21"/>
        </w:rPr>
        <w:t>型糖尿病</w:t>
      </w:r>
      <w:r>
        <w:rPr>
          <w:rFonts w:hint="eastAsia" w:ascii="微软雅黑" w:hAnsi="微软雅黑" w:cs="微软雅黑"/>
          <w:sz w:val="21"/>
          <w:szCs w:val="21"/>
        </w:rPr>
        <w:t>与</w:t>
      </w:r>
      <w:r>
        <w:rPr>
          <w:rFonts w:ascii="微软雅黑" w:hAnsi="微软雅黑" w:cs="微软雅黑"/>
          <w:sz w:val="21"/>
          <w:szCs w:val="21"/>
        </w:rPr>
        <w:t>感染核梭杆菌和脆弱拟杆菌</w:t>
      </w:r>
      <w:r>
        <w:rPr>
          <w:rFonts w:hint="eastAsia" w:ascii="微软雅黑" w:hAnsi="微软雅黑" w:cs="微软雅黑"/>
          <w:sz w:val="21"/>
          <w:szCs w:val="21"/>
        </w:rPr>
        <w:t>等</w:t>
      </w:r>
      <w:r>
        <w:rPr>
          <w:rFonts w:ascii="微软雅黑" w:hAnsi="微软雅黑" w:cs="微软雅黑"/>
          <w:sz w:val="21"/>
          <w:szCs w:val="21"/>
        </w:rPr>
        <w:t>特定细菌</w:t>
      </w:r>
      <w:r>
        <w:rPr>
          <w:rFonts w:hint="eastAsia" w:ascii="微软雅黑" w:hAnsi="微软雅黑" w:cs="微软雅黑"/>
          <w:sz w:val="21"/>
          <w:szCs w:val="21"/>
        </w:rPr>
        <w:t>的</w:t>
      </w:r>
      <w:r>
        <w:rPr>
          <w:rFonts w:ascii="微软雅黑" w:hAnsi="微软雅黑" w:cs="微软雅黑"/>
          <w:sz w:val="21"/>
          <w:szCs w:val="21"/>
        </w:rPr>
        <w:t>患者</w:t>
      </w:r>
      <w:r>
        <w:rPr>
          <w:rFonts w:hint="eastAsia" w:ascii="微软雅黑" w:hAnsi="微软雅黑" w:cs="微软雅黑"/>
          <w:sz w:val="21"/>
          <w:szCs w:val="21"/>
        </w:rPr>
        <w:t>，</w:t>
      </w:r>
      <w:r>
        <w:rPr>
          <w:rFonts w:ascii="微软雅黑" w:hAnsi="微软雅黑" w:cs="微软雅黑"/>
          <w:sz w:val="21"/>
          <w:szCs w:val="21"/>
        </w:rPr>
        <w:t>结直肠癌</w:t>
      </w:r>
      <w:r>
        <w:rPr>
          <w:rFonts w:hint="eastAsia" w:ascii="微软雅黑" w:hAnsi="微软雅黑" w:cs="微软雅黑"/>
          <w:sz w:val="21"/>
          <w:szCs w:val="21"/>
        </w:rPr>
        <w:t>患病</w:t>
      </w:r>
      <w:r>
        <w:rPr>
          <w:rFonts w:ascii="微软雅黑" w:hAnsi="微软雅黑" w:cs="微软雅黑"/>
          <w:sz w:val="21"/>
          <w:szCs w:val="21"/>
        </w:rPr>
        <w:t>风险增加</w:t>
      </w:r>
      <w:r>
        <w:rPr>
          <w:rFonts w:hint="eastAsia" w:ascii="微软雅黑" w:hAnsi="微软雅黑" w:cs="微软雅黑"/>
          <w:sz w:val="21"/>
          <w:szCs w:val="21"/>
          <w:vertAlign w:val="superscript"/>
        </w:rPr>
        <w:t>[17，18]</w:t>
      </w:r>
      <w:r>
        <w:rPr>
          <w:rFonts w:hint="eastAsia" w:ascii="微软雅黑" w:hAnsi="微软雅黑" w:cs="微软雅黑"/>
          <w:sz w:val="21"/>
          <w:szCs w:val="21"/>
        </w:rPr>
        <w:t>。相关环境因素可能导致结直肠癌肿瘤异质性，相关研究即根据环境、遗传因素以及分子之间的相关性，分析肠道微生物群和结直肠癌之间的相关性。</w:t>
      </w:r>
    </w:p>
    <w:p w14:paraId="788BB6C7">
      <w:pPr>
        <w:jc w:val="both"/>
        <w:rPr>
          <w:b/>
          <w:bCs/>
        </w:rPr>
      </w:pPr>
      <w:r>
        <w:rPr>
          <w:rFonts w:hint="eastAsia"/>
          <w:b/>
          <w:bCs/>
        </w:rPr>
        <w:t>2、致病机理</w:t>
      </w:r>
    </w:p>
    <w:p w14:paraId="29C58FD0">
      <w:pPr>
        <w:ind w:firstLine="420" w:firstLineChars="200"/>
        <w:jc w:val="both"/>
        <w:rPr>
          <w:rFonts w:ascii="微软雅黑" w:hAnsi="微软雅黑" w:cs="微软雅黑"/>
          <w:sz w:val="21"/>
          <w:szCs w:val="21"/>
        </w:rPr>
      </w:pPr>
      <w:r>
        <w:rPr>
          <w:rFonts w:ascii="微软雅黑" w:hAnsi="微软雅黑" w:cs="微软雅黑"/>
          <w:sz w:val="21"/>
          <w:szCs w:val="21"/>
        </w:rPr>
        <w:t>绝大多数癌症</w:t>
      </w:r>
      <w:r>
        <w:rPr>
          <w:rFonts w:hint="eastAsia" w:ascii="微软雅黑" w:hAnsi="微软雅黑" w:cs="微软雅黑"/>
          <w:sz w:val="21"/>
          <w:szCs w:val="21"/>
        </w:rPr>
        <w:t>是由</w:t>
      </w:r>
      <w:r>
        <w:rPr>
          <w:rFonts w:ascii="微软雅黑" w:hAnsi="微软雅黑" w:cs="微软雅黑"/>
          <w:sz w:val="21"/>
          <w:szCs w:val="21"/>
        </w:rPr>
        <w:t>息肉</w:t>
      </w:r>
      <w:r>
        <w:rPr>
          <w:rFonts w:hint="eastAsia" w:ascii="微软雅黑" w:hAnsi="微软雅黑" w:cs="微软雅黑"/>
          <w:sz w:val="21"/>
          <w:szCs w:val="21"/>
        </w:rPr>
        <w:t>引起的，在典型</w:t>
      </w:r>
      <w:r>
        <w:rPr>
          <w:rFonts w:ascii="微软雅黑" w:hAnsi="微软雅黑" w:cs="微软雅黑"/>
          <w:sz w:val="21"/>
          <w:szCs w:val="21"/>
        </w:rPr>
        <w:t>结直肠癌形成模型中，</w:t>
      </w:r>
      <w:r>
        <w:rPr>
          <w:rFonts w:hint="eastAsia" w:ascii="微软雅黑" w:hAnsi="微软雅黑" w:cs="微软雅黑"/>
          <w:sz w:val="21"/>
          <w:szCs w:val="21"/>
        </w:rPr>
        <w:t>肿瘤始于</w:t>
      </w:r>
      <w:r>
        <w:rPr>
          <w:rFonts w:ascii="微软雅黑" w:hAnsi="微软雅黑" w:cs="微软雅黑"/>
          <w:sz w:val="21"/>
          <w:szCs w:val="21"/>
        </w:rPr>
        <w:t>异常隐窝，</w:t>
      </w:r>
      <w:r>
        <w:rPr>
          <w:rFonts w:hint="eastAsia" w:ascii="微软雅黑" w:hAnsi="微软雅黑" w:cs="微软雅黑"/>
          <w:sz w:val="21"/>
          <w:szCs w:val="21"/>
        </w:rPr>
        <w:t>随后</w:t>
      </w:r>
      <w:r>
        <w:rPr>
          <w:rFonts w:ascii="微软雅黑" w:hAnsi="微软雅黑" w:cs="微软雅黑"/>
          <w:sz w:val="21"/>
          <w:szCs w:val="21"/>
        </w:rPr>
        <w:t>演变为早期腺瘤（大小&lt;1 cm，具有肾小管或微管组织学），腺瘤发展为晚期腺瘤（大小&gt; 1cm，和/或有绒毛组织学），最终</w:t>
      </w:r>
      <w:r>
        <w:rPr>
          <w:rFonts w:hint="eastAsia" w:ascii="微软雅黑" w:hAnsi="微软雅黑" w:cs="微软雅黑"/>
          <w:sz w:val="21"/>
          <w:szCs w:val="21"/>
        </w:rPr>
        <w:t>发展</w:t>
      </w:r>
      <w:r>
        <w:rPr>
          <w:rFonts w:ascii="微软雅黑" w:hAnsi="微软雅黑" w:cs="微软雅黑"/>
          <w:sz w:val="21"/>
          <w:szCs w:val="21"/>
        </w:rPr>
        <w:t>为结直肠癌。目前认为大多数结直肠癌细胞来源</w:t>
      </w:r>
      <w:r>
        <w:rPr>
          <w:rFonts w:hint="eastAsia" w:ascii="微软雅黑" w:hAnsi="微软雅黑" w:cs="微软雅黑"/>
          <w:sz w:val="21"/>
          <w:szCs w:val="21"/>
        </w:rPr>
        <w:t>于</w:t>
      </w:r>
      <w:r>
        <w:rPr>
          <w:rFonts w:ascii="微软雅黑" w:hAnsi="微软雅黑" w:cs="微软雅黑"/>
          <w:sz w:val="21"/>
          <w:szCs w:val="21"/>
        </w:rPr>
        <w:t>干细胞或类干细胞</w:t>
      </w:r>
      <w:r>
        <w:rPr>
          <w:rFonts w:hint="eastAsia" w:ascii="微软雅黑" w:hAnsi="微软雅黑" w:cs="微软雅黑"/>
          <w:sz w:val="21"/>
          <w:szCs w:val="21"/>
          <w:vertAlign w:val="superscript"/>
        </w:rPr>
        <w:t>[19，20]</w:t>
      </w:r>
      <w:r>
        <w:rPr>
          <w:rFonts w:hint="eastAsia" w:ascii="微软雅黑" w:hAnsi="微软雅黑" w:cs="微软雅黑"/>
          <w:sz w:val="21"/>
          <w:szCs w:val="21"/>
        </w:rPr>
        <w:t>，该</w:t>
      </w:r>
      <w:r>
        <w:rPr>
          <w:rFonts w:ascii="微软雅黑" w:hAnsi="微软雅黑" w:cs="微软雅黑"/>
          <w:sz w:val="21"/>
          <w:szCs w:val="21"/>
        </w:rPr>
        <w:t>过程由突变和表观遗传改变积累驱动，肿瘤</w:t>
      </w:r>
      <w:r>
        <w:rPr>
          <w:rFonts w:hint="eastAsia" w:ascii="微软雅黑" w:hAnsi="微软雅黑" w:cs="微软雅黑"/>
          <w:sz w:val="21"/>
          <w:szCs w:val="21"/>
        </w:rPr>
        <w:t>抑癌</w:t>
      </w:r>
      <w:r>
        <w:rPr>
          <w:rFonts w:ascii="微软雅黑" w:hAnsi="微软雅黑" w:cs="微软雅黑"/>
          <w:sz w:val="21"/>
          <w:szCs w:val="21"/>
        </w:rPr>
        <w:t>基因失活</w:t>
      </w:r>
      <w:r>
        <w:rPr>
          <w:rFonts w:hint="eastAsia" w:ascii="微软雅黑" w:hAnsi="微软雅黑" w:cs="微软雅黑"/>
          <w:sz w:val="21"/>
          <w:szCs w:val="21"/>
        </w:rPr>
        <w:t>、原癌基因</w:t>
      </w:r>
      <w:r>
        <w:rPr>
          <w:rFonts w:ascii="微软雅黑" w:hAnsi="微软雅黑" w:cs="微软雅黑"/>
          <w:sz w:val="21"/>
          <w:szCs w:val="21"/>
        </w:rPr>
        <w:t>激活</w:t>
      </w:r>
      <w:r>
        <w:rPr>
          <w:rFonts w:hint="eastAsia" w:ascii="微软雅黑" w:hAnsi="微软雅黑" w:cs="微软雅黑"/>
          <w:sz w:val="21"/>
          <w:szCs w:val="21"/>
        </w:rPr>
        <w:t>，历时</w:t>
      </w:r>
      <w:r>
        <w:rPr>
          <w:rFonts w:ascii="微软雅黑" w:hAnsi="微软雅黑" w:cs="微软雅黑"/>
          <w:sz w:val="21"/>
          <w:szCs w:val="21"/>
        </w:rPr>
        <w:t>10到15年</w:t>
      </w:r>
      <w:r>
        <w:rPr>
          <w:rFonts w:hint="eastAsia" w:ascii="微软雅黑" w:hAnsi="微软雅黑" w:cs="微软雅黑"/>
          <w:sz w:val="21"/>
          <w:szCs w:val="21"/>
        </w:rPr>
        <w:t>发展为恶性肿瘤。</w:t>
      </w:r>
      <w:r>
        <w:rPr>
          <w:rFonts w:ascii="微软雅黑" w:hAnsi="微软雅黑" w:cs="微软雅黑"/>
          <w:sz w:val="21"/>
          <w:szCs w:val="21"/>
        </w:rPr>
        <w:t>但是在某些情况下（如林奇综合征患者）</w:t>
      </w:r>
      <w:r>
        <w:rPr>
          <w:rFonts w:hint="eastAsia" w:ascii="微软雅黑" w:hAnsi="微软雅黑" w:cs="微软雅黑"/>
          <w:sz w:val="21"/>
          <w:szCs w:val="21"/>
        </w:rPr>
        <w:t>肿瘤发展更快</w:t>
      </w:r>
      <w:r>
        <w:rPr>
          <w:rFonts w:hint="eastAsia" w:ascii="微软雅黑" w:hAnsi="微软雅黑" w:cs="微软雅黑"/>
          <w:sz w:val="21"/>
          <w:szCs w:val="21"/>
          <w:vertAlign w:val="superscript"/>
        </w:rPr>
        <w:t>[21]</w:t>
      </w:r>
      <w:r>
        <w:rPr>
          <w:rFonts w:ascii="微软雅黑" w:hAnsi="微软雅黑" w:cs="微软雅黑"/>
          <w:sz w:val="21"/>
          <w:szCs w:val="21"/>
        </w:rPr>
        <w:t>。值得注意的是，常规管状腺瘤组织</w:t>
      </w:r>
      <w:r>
        <w:rPr>
          <w:rFonts w:hint="eastAsia" w:ascii="微软雅黑" w:hAnsi="微软雅黑" w:cs="微软雅黑"/>
          <w:sz w:val="21"/>
          <w:szCs w:val="21"/>
        </w:rPr>
        <w:t>较为</w:t>
      </w:r>
      <w:r>
        <w:rPr>
          <w:rFonts w:ascii="微软雅黑" w:hAnsi="微软雅黑" w:cs="微软雅黑"/>
          <w:sz w:val="21"/>
          <w:szCs w:val="21"/>
        </w:rPr>
        <w:t>均匀，</w:t>
      </w:r>
      <w:r>
        <w:rPr>
          <w:rFonts w:hint="eastAsia" w:ascii="微软雅黑" w:hAnsi="微软雅黑" w:cs="微软雅黑"/>
          <w:sz w:val="21"/>
          <w:szCs w:val="21"/>
        </w:rPr>
        <w:t>但</w:t>
      </w:r>
      <w:r>
        <w:rPr>
          <w:rFonts w:ascii="微软雅黑" w:hAnsi="微软雅黑" w:cs="微软雅黑"/>
          <w:sz w:val="21"/>
          <w:szCs w:val="21"/>
        </w:rPr>
        <w:t>息肉</w:t>
      </w:r>
      <w:r>
        <w:rPr>
          <w:rFonts w:hint="eastAsia" w:ascii="微软雅黑" w:hAnsi="微软雅黑" w:cs="微软雅黑"/>
          <w:sz w:val="21"/>
          <w:szCs w:val="21"/>
        </w:rPr>
        <w:t>存在</w:t>
      </w:r>
      <w:r>
        <w:rPr>
          <w:rFonts w:ascii="微软雅黑" w:hAnsi="微软雅黑" w:cs="微软雅黑"/>
          <w:sz w:val="21"/>
          <w:szCs w:val="21"/>
        </w:rPr>
        <w:t>异质</w:t>
      </w:r>
      <w:r>
        <w:rPr>
          <w:rFonts w:hint="eastAsia" w:ascii="微软雅黑" w:hAnsi="微软雅黑" w:cs="微软雅黑"/>
          <w:sz w:val="21"/>
          <w:szCs w:val="21"/>
        </w:rPr>
        <w:t>性</w:t>
      </w:r>
      <w:r>
        <w:rPr>
          <w:rFonts w:ascii="微软雅黑" w:hAnsi="微软雅黑" w:cs="微软雅黑"/>
          <w:sz w:val="21"/>
          <w:szCs w:val="21"/>
        </w:rPr>
        <w:t>，</w:t>
      </w:r>
      <w:r>
        <w:rPr>
          <w:rFonts w:hint="eastAsia" w:ascii="微软雅黑" w:hAnsi="微软雅黑" w:cs="微软雅黑"/>
          <w:sz w:val="21"/>
          <w:szCs w:val="21"/>
        </w:rPr>
        <w:t>由此</w:t>
      </w:r>
      <w:r>
        <w:rPr>
          <w:rFonts w:ascii="微软雅黑" w:hAnsi="微软雅黑" w:cs="微软雅黑"/>
          <w:sz w:val="21"/>
          <w:szCs w:val="21"/>
        </w:rPr>
        <w:t>解释</w:t>
      </w:r>
      <w:r>
        <w:rPr>
          <w:rFonts w:hint="eastAsia" w:ascii="微软雅黑" w:hAnsi="微软雅黑" w:cs="微软雅黑"/>
          <w:sz w:val="21"/>
          <w:szCs w:val="21"/>
        </w:rPr>
        <w:t>部分</w:t>
      </w:r>
      <w:r>
        <w:rPr>
          <w:rFonts w:ascii="微软雅黑" w:hAnsi="微软雅黑" w:cs="微软雅黑"/>
          <w:sz w:val="21"/>
          <w:szCs w:val="21"/>
        </w:rPr>
        <w:t>腺瘤进展为结肠直肠癌</w:t>
      </w:r>
      <w:r>
        <w:rPr>
          <w:rFonts w:hint="eastAsia" w:ascii="微软雅黑" w:hAnsi="微软雅黑" w:cs="微软雅黑"/>
          <w:sz w:val="21"/>
          <w:szCs w:val="21"/>
          <w:vertAlign w:val="superscript"/>
        </w:rPr>
        <w:t>[22，23]</w:t>
      </w:r>
      <w:r>
        <w:rPr>
          <w:rFonts w:hint="eastAsia" w:ascii="微软雅黑" w:hAnsi="微软雅黑" w:cs="微软雅黑"/>
          <w:sz w:val="21"/>
          <w:szCs w:val="21"/>
        </w:rPr>
        <w:t>。</w:t>
      </w:r>
    </w:p>
    <w:p w14:paraId="120AEF04">
      <w:pPr>
        <w:ind w:firstLine="420" w:firstLineChars="200"/>
        <w:jc w:val="both"/>
        <w:rPr>
          <w:rFonts w:ascii="微软雅黑" w:hAnsi="微软雅黑" w:cs="微软雅黑"/>
          <w:sz w:val="21"/>
          <w:szCs w:val="21"/>
        </w:rPr>
      </w:pPr>
      <w:r>
        <w:rPr>
          <w:rFonts w:hint="eastAsia" w:ascii="微软雅黑" w:hAnsi="微软雅黑" w:cs="微软雅黑"/>
          <w:sz w:val="21"/>
          <w:szCs w:val="21"/>
        </w:rPr>
        <w:t>目前，主要有2种结直肠癌前体病变途径，</w:t>
      </w:r>
      <w:r>
        <w:rPr>
          <w:rFonts w:ascii="微软雅黑" w:hAnsi="微软雅黑" w:cs="微软雅黑"/>
          <w:sz w:val="21"/>
          <w:szCs w:val="21"/>
        </w:rPr>
        <w:t>70%</w:t>
      </w:r>
      <w:r>
        <w:rPr>
          <w:rFonts w:hint="eastAsia" w:ascii="微软雅黑" w:hAnsi="微软雅黑" w:cs="微软雅黑"/>
          <w:sz w:val="21"/>
          <w:szCs w:val="21"/>
        </w:rPr>
        <w:t>-</w:t>
      </w:r>
      <w:r>
        <w:rPr>
          <w:rFonts w:ascii="微软雅黑" w:hAnsi="微软雅黑" w:cs="微软雅黑"/>
          <w:sz w:val="21"/>
          <w:szCs w:val="21"/>
        </w:rPr>
        <w:t>90%结直肠癌</w:t>
      </w:r>
      <w:r>
        <w:rPr>
          <w:rFonts w:hint="eastAsia" w:ascii="微软雅黑" w:hAnsi="微软雅黑" w:cs="微软雅黑"/>
          <w:sz w:val="21"/>
          <w:szCs w:val="21"/>
        </w:rPr>
        <w:t>由</w:t>
      </w:r>
      <w:r>
        <w:rPr>
          <w:rFonts w:ascii="微软雅黑" w:hAnsi="微软雅黑" w:cs="微软雅黑"/>
          <w:sz w:val="21"/>
          <w:szCs w:val="21"/>
        </w:rPr>
        <w:t>传统的腺瘤癌途径(也称染色体不稳定序列)</w:t>
      </w:r>
      <w:r>
        <w:rPr>
          <w:rFonts w:hint="eastAsia" w:ascii="微软雅黑" w:hAnsi="微软雅黑" w:cs="微软雅黑"/>
          <w:sz w:val="21"/>
          <w:szCs w:val="21"/>
        </w:rPr>
        <w:t>引起</w:t>
      </w:r>
      <w:r>
        <w:rPr>
          <w:rFonts w:ascii="微软雅黑" w:hAnsi="微软雅黑" w:cs="微软雅黑"/>
          <w:sz w:val="21"/>
          <w:szCs w:val="21"/>
        </w:rPr>
        <w:t>，10</w:t>
      </w:r>
      <w:r>
        <w:rPr>
          <w:rFonts w:hint="eastAsia" w:ascii="微软雅黑" w:hAnsi="微软雅黑" w:cs="微软雅黑"/>
          <w:sz w:val="21"/>
          <w:szCs w:val="21"/>
        </w:rPr>
        <w:t>-</w:t>
      </w:r>
      <w:r>
        <w:rPr>
          <w:rFonts w:ascii="微软雅黑" w:hAnsi="微软雅黑" w:cs="微软雅黑"/>
          <w:sz w:val="21"/>
          <w:szCs w:val="21"/>
        </w:rPr>
        <w:t>20%结直肠癌</w:t>
      </w:r>
      <w:r>
        <w:rPr>
          <w:rFonts w:hint="eastAsia" w:ascii="微软雅黑" w:hAnsi="微软雅黑" w:cs="微软雅黑"/>
          <w:sz w:val="21"/>
          <w:szCs w:val="21"/>
        </w:rPr>
        <w:t>由</w:t>
      </w:r>
      <w:r>
        <w:rPr>
          <w:rFonts w:ascii="微软雅黑" w:hAnsi="微软雅黑" w:cs="微软雅黑"/>
          <w:sz w:val="21"/>
          <w:szCs w:val="21"/>
        </w:rPr>
        <w:t>锯齿状瘤变途径</w:t>
      </w:r>
      <w:r>
        <w:rPr>
          <w:rFonts w:hint="eastAsia" w:ascii="微软雅黑" w:hAnsi="微软雅黑" w:cs="微软雅黑"/>
          <w:sz w:val="21"/>
          <w:szCs w:val="21"/>
        </w:rPr>
        <w:t>引起（</w:t>
      </w:r>
      <w:r>
        <w:rPr>
          <w:rFonts w:ascii="微软雅黑" w:hAnsi="微软雅黑" w:cs="微软雅黑"/>
          <w:sz w:val="21"/>
          <w:szCs w:val="21"/>
        </w:rPr>
        <w:t>图3</w:t>
      </w:r>
      <w:r>
        <w:rPr>
          <w:rFonts w:hint="eastAsia" w:ascii="微软雅黑" w:hAnsi="微软雅黑" w:cs="微软雅黑"/>
          <w:sz w:val="21"/>
          <w:szCs w:val="21"/>
        </w:rPr>
        <w:t>）</w:t>
      </w:r>
      <w:r>
        <w:rPr>
          <w:rFonts w:ascii="微软雅黑" w:hAnsi="微软雅黑" w:cs="微软雅黑"/>
          <w:sz w:val="21"/>
          <w:szCs w:val="21"/>
        </w:rPr>
        <w:t>。染色体不稳定表型通常发生在APC突变之后，随后是RAS</w:t>
      </w:r>
      <w:r>
        <w:rPr>
          <w:rFonts w:hint="eastAsia" w:ascii="微软雅黑" w:hAnsi="微软雅黑" w:cs="微软雅黑"/>
          <w:sz w:val="21"/>
          <w:szCs w:val="21"/>
        </w:rPr>
        <w:t>通路</w:t>
      </w:r>
      <w:r>
        <w:rPr>
          <w:rFonts w:ascii="微软雅黑" w:hAnsi="微软雅黑" w:cs="微软雅黑"/>
          <w:sz w:val="21"/>
          <w:szCs w:val="21"/>
        </w:rPr>
        <w:t>激活或TP53功能缺失。锯齿状瘤变</w:t>
      </w:r>
      <w:r>
        <w:rPr>
          <w:rFonts w:hint="eastAsia" w:ascii="微软雅黑" w:hAnsi="微软雅黑" w:cs="微软雅黑"/>
          <w:sz w:val="21"/>
          <w:szCs w:val="21"/>
        </w:rPr>
        <w:t>途径</w:t>
      </w:r>
      <w:r>
        <w:rPr>
          <w:rFonts w:ascii="微软雅黑" w:hAnsi="微软雅黑" w:cs="微软雅黑"/>
          <w:sz w:val="21"/>
          <w:szCs w:val="21"/>
        </w:rPr>
        <w:t>与RAS</w:t>
      </w:r>
      <w:r>
        <w:rPr>
          <w:rFonts w:hint="eastAsia" w:ascii="微软雅黑" w:hAnsi="微软雅黑" w:cs="微软雅黑"/>
          <w:sz w:val="21"/>
          <w:szCs w:val="21"/>
        </w:rPr>
        <w:t>、</w:t>
      </w:r>
      <w:r>
        <w:rPr>
          <w:rFonts w:ascii="微软雅黑" w:hAnsi="微软雅黑" w:cs="微软雅黑"/>
          <w:sz w:val="21"/>
          <w:szCs w:val="21"/>
        </w:rPr>
        <w:t>RAF突变以及以CpG岛甲基化表型为特征的表观遗传不稳定相关</w:t>
      </w:r>
      <w:r>
        <w:rPr>
          <w:rFonts w:hint="eastAsia" w:ascii="微软雅黑" w:hAnsi="微软雅黑" w:cs="微软雅黑"/>
          <w:sz w:val="21"/>
          <w:szCs w:val="21"/>
        </w:rPr>
        <w:t>。</w:t>
      </w:r>
      <w:r>
        <w:rPr>
          <w:rFonts w:ascii="微软雅黑" w:hAnsi="微软雅黑" w:cs="微软雅黑"/>
          <w:sz w:val="21"/>
          <w:szCs w:val="21"/>
        </w:rPr>
        <w:t>全基因组研究发现</w:t>
      </w:r>
      <w:r>
        <w:rPr>
          <w:rFonts w:hint="eastAsia" w:ascii="微软雅黑" w:hAnsi="微软雅黑" w:cs="微软雅黑"/>
          <w:sz w:val="21"/>
          <w:szCs w:val="21"/>
        </w:rPr>
        <w:t>，一些新的分子</w:t>
      </w:r>
      <w:r>
        <w:rPr>
          <w:rFonts w:ascii="微软雅黑" w:hAnsi="微软雅黑" w:cs="微软雅黑"/>
          <w:sz w:val="21"/>
          <w:szCs w:val="21"/>
        </w:rPr>
        <w:t>标记和亚型</w:t>
      </w:r>
      <w:r>
        <w:rPr>
          <w:rFonts w:hint="eastAsia" w:ascii="微软雅黑" w:hAnsi="微软雅黑" w:cs="微软雅黑"/>
          <w:sz w:val="21"/>
          <w:szCs w:val="21"/>
        </w:rPr>
        <w:t>（</w:t>
      </w:r>
      <w:r>
        <w:rPr>
          <w:rFonts w:ascii="微软雅黑" w:hAnsi="微软雅黑" w:cs="微软雅黑"/>
          <w:sz w:val="21"/>
          <w:szCs w:val="21"/>
        </w:rPr>
        <w:t>如</w:t>
      </w:r>
      <w:r>
        <w:rPr>
          <w:rFonts w:hint="eastAsia" w:ascii="微软雅黑" w:hAnsi="微软雅黑" w:cs="微软雅黑"/>
          <w:sz w:val="21"/>
          <w:szCs w:val="21"/>
        </w:rPr>
        <w:t>：</w:t>
      </w:r>
      <w:r>
        <w:rPr>
          <w:rFonts w:ascii="微软雅黑" w:hAnsi="微软雅黑" w:cs="微软雅黑"/>
          <w:sz w:val="21"/>
          <w:szCs w:val="21"/>
        </w:rPr>
        <w:t>聚合酶ε</w:t>
      </w:r>
      <w:r>
        <w:rPr>
          <w:rFonts w:hint="eastAsia" w:ascii="微软雅黑" w:hAnsi="微软雅黑" w:cs="微软雅黑"/>
          <w:sz w:val="21"/>
          <w:szCs w:val="21"/>
        </w:rPr>
        <w:t>、</w:t>
      </w:r>
      <w:r>
        <w:rPr>
          <w:rFonts w:ascii="微软雅黑" w:hAnsi="微软雅黑" w:cs="微软雅黑"/>
          <w:sz w:val="21"/>
          <w:szCs w:val="21"/>
        </w:rPr>
        <w:t>POLE突变</w:t>
      </w:r>
      <w:r>
        <w:rPr>
          <w:rFonts w:hint="eastAsia" w:ascii="微软雅黑" w:hAnsi="微软雅黑" w:cs="微软雅黑"/>
          <w:sz w:val="21"/>
          <w:szCs w:val="21"/>
        </w:rPr>
        <w:t>、错配</w:t>
      </w:r>
      <w:r>
        <w:rPr>
          <w:rFonts w:ascii="微软雅黑" w:hAnsi="微软雅黑" w:cs="微软雅黑"/>
          <w:sz w:val="21"/>
          <w:szCs w:val="21"/>
        </w:rPr>
        <w:t>修复缺陷[dMMR]</w:t>
      </w:r>
      <w:r>
        <w:rPr>
          <w:rFonts w:hint="eastAsia" w:ascii="微软雅黑" w:hAnsi="微软雅黑" w:cs="微软雅黑"/>
          <w:sz w:val="21"/>
          <w:szCs w:val="21"/>
        </w:rPr>
        <w:t>）可</w:t>
      </w:r>
      <w:r>
        <w:rPr>
          <w:rFonts w:ascii="微软雅黑" w:hAnsi="微软雅黑" w:cs="微软雅黑"/>
          <w:sz w:val="21"/>
          <w:szCs w:val="21"/>
        </w:rPr>
        <w:t>导致高突变表型。</w:t>
      </w:r>
    </w:p>
    <w:p w14:paraId="697A7711">
      <w:pPr>
        <w:jc w:val="center"/>
        <w:rPr>
          <w:rFonts w:ascii="微软雅黑" w:hAnsi="微软雅黑" w:cs="微软雅黑"/>
          <w:sz w:val="21"/>
          <w:szCs w:val="21"/>
        </w:rPr>
      </w:pPr>
      <w:r>
        <w:drawing>
          <wp:inline distT="0" distB="0" distL="114300" distR="114300">
            <wp:extent cx="5189855" cy="2466340"/>
            <wp:effectExtent l="0" t="0" r="10795" b="10160"/>
            <wp:docPr id="1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图片 1"/>
                    <pic:cNvPicPr>
                      <a:picLocks noChangeAspect="1"/>
                    </pic:cNvPicPr>
                  </pic:nvPicPr>
                  <pic:blipFill>
                    <a:blip r:embed="rId30"/>
                    <a:stretch>
                      <a:fillRect/>
                    </a:stretch>
                  </pic:blipFill>
                  <pic:spPr>
                    <a:xfrm>
                      <a:off x="0" y="0"/>
                      <a:ext cx="5189855" cy="2466340"/>
                    </a:xfrm>
                    <a:prstGeom prst="rect">
                      <a:avLst/>
                    </a:prstGeom>
                    <a:noFill/>
                    <a:ln>
                      <a:noFill/>
                    </a:ln>
                  </pic:spPr>
                </pic:pic>
              </a:graphicData>
            </a:graphic>
          </wp:inline>
        </w:drawing>
      </w:r>
    </w:p>
    <w:p w14:paraId="4CCF8E07">
      <w:pPr>
        <w:jc w:val="center"/>
        <w:rPr>
          <w:sz w:val="20"/>
          <w:szCs w:val="20"/>
        </w:rPr>
      </w:pPr>
      <w:r>
        <w:rPr>
          <w:rFonts w:hint="eastAsia"/>
          <w:sz w:val="20"/>
          <w:szCs w:val="20"/>
        </w:rPr>
        <w:t>图3 息肉到结直肠癌形成过程</w:t>
      </w:r>
      <w:r>
        <w:rPr>
          <w:rFonts w:hint="eastAsia" w:ascii="微软雅黑" w:hAnsi="微软雅黑" w:cs="微软雅黑"/>
          <w:sz w:val="20"/>
          <w:szCs w:val="20"/>
          <w:vertAlign w:val="superscript"/>
        </w:rPr>
        <w:t>[3]</w:t>
      </w:r>
    </w:p>
    <w:p w14:paraId="60FF3AC2">
      <w:pPr>
        <w:ind w:firstLine="420" w:firstLineChars="200"/>
        <w:jc w:val="both"/>
      </w:pPr>
      <w:r>
        <w:rPr>
          <w:rFonts w:ascii="微软雅黑" w:hAnsi="微软雅黑" w:cs="微软雅黑"/>
          <w:sz w:val="21"/>
          <w:szCs w:val="21"/>
        </w:rPr>
        <w:t>侧边性在转移灶起着关键作用，并且被认为是抗表皮生长因子受体药物反应的预测指标</w:t>
      </w:r>
      <w:r>
        <w:rPr>
          <w:rFonts w:hint="eastAsia" w:ascii="微软雅黑" w:hAnsi="微软雅黑" w:cs="微软雅黑"/>
          <w:sz w:val="21"/>
          <w:szCs w:val="21"/>
          <w:vertAlign w:val="superscript"/>
        </w:rPr>
        <w:t>[24，25]</w:t>
      </w:r>
      <w:r>
        <w:rPr>
          <w:rFonts w:hint="eastAsia" w:ascii="微软雅黑" w:hAnsi="微软雅黑" w:cs="微软雅黑"/>
          <w:sz w:val="21"/>
          <w:szCs w:val="21"/>
        </w:rPr>
        <w:t>。从病灶位置看，</w:t>
      </w:r>
      <w:r>
        <w:rPr>
          <w:rFonts w:ascii="微软雅黑" w:hAnsi="微软雅黑" w:cs="微软雅黑"/>
          <w:sz w:val="21"/>
          <w:szCs w:val="21"/>
        </w:rPr>
        <w:t>右</w:t>
      </w:r>
      <w:r>
        <w:rPr>
          <w:rFonts w:hint="eastAsia" w:ascii="微软雅黑" w:hAnsi="微软雅黑" w:cs="微软雅黑"/>
          <w:sz w:val="21"/>
          <w:szCs w:val="21"/>
        </w:rPr>
        <w:t>半（</w:t>
      </w:r>
      <w:r>
        <w:rPr>
          <w:rFonts w:ascii="微软雅黑" w:hAnsi="微软雅黑" w:cs="微软雅黑"/>
          <w:sz w:val="21"/>
          <w:szCs w:val="21"/>
        </w:rPr>
        <w:t>近端</w:t>
      </w:r>
      <w:r>
        <w:rPr>
          <w:rFonts w:hint="eastAsia" w:ascii="微软雅黑" w:hAnsi="微软雅黑" w:cs="微软雅黑"/>
          <w:sz w:val="21"/>
          <w:szCs w:val="21"/>
        </w:rPr>
        <w:t>）</w:t>
      </w:r>
      <w:r>
        <w:rPr>
          <w:rFonts w:ascii="微软雅黑" w:hAnsi="微软雅黑" w:cs="微软雅黑"/>
          <w:sz w:val="21"/>
          <w:szCs w:val="21"/>
        </w:rPr>
        <w:t>结肠癌与左</w:t>
      </w:r>
      <w:r>
        <w:rPr>
          <w:rFonts w:hint="eastAsia" w:ascii="微软雅黑" w:hAnsi="微软雅黑" w:cs="微软雅黑"/>
          <w:sz w:val="21"/>
          <w:szCs w:val="21"/>
        </w:rPr>
        <w:t>半（</w:t>
      </w:r>
      <w:r>
        <w:rPr>
          <w:rFonts w:ascii="微软雅黑" w:hAnsi="微软雅黑" w:cs="微软雅黑"/>
          <w:sz w:val="21"/>
          <w:szCs w:val="21"/>
        </w:rPr>
        <w:t>远端</w:t>
      </w:r>
      <w:r>
        <w:rPr>
          <w:rFonts w:hint="eastAsia" w:ascii="微软雅黑" w:hAnsi="微软雅黑" w:cs="微软雅黑"/>
          <w:sz w:val="21"/>
          <w:szCs w:val="21"/>
        </w:rPr>
        <w:t>）</w:t>
      </w:r>
      <w:r>
        <w:rPr>
          <w:rFonts w:ascii="微软雅黑" w:hAnsi="微软雅黑" w:cs="微软雅黑"/>
          <w:sz w:val="21"/>
          <w:szCs w:val="21"/>
        </w:rPr>
        <w:t>结肠癌和直肠癌的分子特征不同。除分子</w:t>
      </w:r>
      <w:r>
        <w:rPr>
          <w:rFonts w:hint="eastAsia" w:ascii="微软雅黑" w:hAnsi="微软雅黑" w:cs="微软雅黑"/>
          <w:sz w:val="21"/>
          <w:szCs w:val="21"/>
        </w:rPr>
        <w:t>特征</w:t>
      </w:r>
      <w:r>
        <w:rPr>
          <w:rFonts w:ascii="微软雅黑" w:hAnsi="微软雅黑" w:cs="微软雅黑"/>
          <w:sz w:val="21"/>
          <w:szCs w:val="21"/>
        </w:rPr>
        <w:t>差异外，左</w:t>
      </w:r>
      <w:r>
        <w:rPr>
          <w:rFonts w:hint="eastAsia" w:ascii="微软雅黑" w:hAnsi="微软雅黑" w:cs="微软雅黑"/>
          <w:sz w:val="21"/>
          <w:szCs w:val="21"/>
        </w:rPr>
        <w:t>半</w:t>
      </w:r>
      <w:r>
        <w:rPr>
          <w:rFonts w:ascii="微软雅黑" w:hAnsi="微软雅黑" w:cs="微软雅黑"/>
          <w:sz w:val="21"/>
          <w:szCs w:val="21"/>
        </w:rPr>
        <w:t>结肠和右</w:t>
      </w:r>
      <w:r>
        <w:rPr>
          <w:rFonts w:hint="eastAsia" w:ascii="微软雅黑" w:hAnsi="微软雅黑" w:cs="微软雅黑"/>
          <w:sz w:val="21"/>
          <w:szCs w:val="21"/>
        </w:rPr>
        <w:t>半</w:t>
      </w:r>
      <w:r>
        <w:rPr>
          <w:rFonts w:ascii="微软雅黑" w:hAnsi="微软雅黑" w:cs="微软雅黑"/>
          <w:sz w:val="21"/>
          <w:szCs w:val="21"/>
        </w:rPr>
        <w:t>结肠还在胚胎学、生物学和解剖学上</w:t>
      </w:r>
      <w:r>
        <w:rPr>
          <w:rFonts w:hint="eastAsia" w:ascii="微软雅黑" w:hAnsi="微软雅黑" w:cs="微软雅黑"/>
          <w:sz w:val="21"/>
          <w:szCs w:val="21"/>
        </w:rPr>
        <w:t>存在</w:t>
      </w:r>
      <w:r>
        <w:rPr>
          <w:rFonts w:ascii="微软雅黑" w:hAnsi="微软雅黑" w:cs="微软雅黑"/>
          <w:sz w:val="21"/>
          <w:szCs w:val="21"/>
        </w:rPr>
        <w:t>差异。</w:t>
      </w:r>
      <w:r>
        <w:rPr>
          <w:rFonts w:hint="eastAsia" w:ascii="微软雅黑" w:hAnsi="微软雅黑" w:cs="微软雅黑"/>
          <w:sz w:val="21"/>
          <w:szCs w:val="21"/>
        </w:rPr>
        <w:t>如图4所示，右半结肠（盲肠、升结肠、肝曲）与左半结肠（脾曲、降结肠、乙状结肠、直肠乙状结肠）和直肠肿瘤病因不尽相同。值得注意的是，右半结肠癌预后较差主要在于抗EGFR和抗VEGF药物对于转移灶的治疗，但右半结肠肿瘤MSI水平普遍较高，化疗耐药可能性较高且预后较差，但免疫治疗疗效较好</w:t>
      </w:r>
      <w:r>
        <w:rPr>
          <w:rFonts w:hint="eastAsia"/>
        </w:rPr>
        <w:t>。</w:t>
      </w:r>
    </w:p>
    <w:p w14:paraId="6A7B839D">
      <w:pPr>
        <w:jc w:val="center"/>
      </w:pPr>
      <w:r>
        <w:drawing>
          <wp:inline distT="0" distB="0" distL="114300" distR="114300">
            <wp:extent cx="5024755" cy="2521585"/>
            <wp:effectExtent l="0" t="0" r="4445" b="12065"/>
            <wp:docPr id="10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图片 2"/>
                    <pic:cNvPicPr>
                      <a:picLocks noChangeAspect="1"/>
                    </pic:cNvPicPr>
                  </pic:nvPicPr>
                  <pic:blipFill>
                    <a:blip r:embed="rId31"/>
                    <a:stretch>
                      <a:fillRect/>
                    </a:stretch>
                  </pic:blipFill>
                  <pic:spPr>
                    <a:xfrm>
                      <a:off x="0" y="0"/>
                      <a:ext cx="5024755" cy="2521585"/>
                    </a:xfrm>
                    <a:prstGeom prst="rect">
                      <a:avLst/>
                    </a:prstGeom>
                    <a:noFill/>
                    <a:ln>
                      <a:noFill/>
                    </a:ln>
                  </pic:spPr>
                </pic:pic>
              </a:graphicData>
            </a:graphic>
          </wp:inline>
        </w:drawing>
      </w:r>
    </w:p>
    <w:p w14:paraId="76B2F54D">
      <w:pPr>
        <w:jc w:val="center"/>
        <w:rPr>
          <w:sz w:val="20"/>
          <w:szCs w:val="20"/>
        </w:rPr>
      </w:pPr>
      <w:r>
        <w:rPr>
          <w:rFonts w:hint="eastAsia"/>
          <w:sz w:val="20"/>
          <w:szCs w:val="20"/>
        </w:rPr>
        <w:t>图4 右半结肠癌与左半结肠癌和直肠癌的区别</w:t>
      </w:r>
      <w:r>
        <w:rPr>
          <w:rFonts w:hint="eastAsia" w:ascii="微软雅黑" w:hAnsi="微软雅黑" w:cs="微软雅黑"/>
          <w:sz w:val="20"/>
          <w:szCs w:val="20"/>
          <w:vertAlign w:val="superscript"/>
        </w:rPr>
        <w:t>[1]</w:t>
      </w:r>
    </w:p>
    <w:p w14:paraId="57DA0D3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常见突变基因有：APC、CTNNB1、KRAS、BRAF、SMAD4、TGFBR2、TP53、PIK3CA、ARID1A、SOX9、FAM123B（也称AMER1）、ERBB2等，通过对相关信号通路的扰动从而促进肿瘤的发生发展。目前认为，CRC发病机制主要与DNA错配修复途径及5条细胞信号通路异常有关，分别是表皮生长因子受体（EGFR）信号通路、Wnt/β-连环蛋白（β-catenin）信号通路、P53信号通路和转化生长因子-β（TGF-β）信号通路。其中EGFR 信号通路包含丝裂原活化蛋白激酶（MAPK）信号通路及磷脂酰肌醇3激酶（PI3K）信号通路</w:t>
      </w:r>
      <w:r>
        <w:rPr>
          <w:rFonts w:hint="eastAsia" w:ascii="微软雅黑" w:hAnsi="微软雅黑" w:cs="微软雅黑"/>
          <w:sz w:val="21"/>
          <w:szCs w:val="21"/>
          <w:vertAlign w:val="superscript"/>
        </w:rPr>
        <w:t>[26]</w:t>
      </w:r>
      <w:r>
        <w:rPr>
          <w:rFonts w:hint="eastAsia" w:ascii="微软雅黑" w:hAnsi="微软雅黑" w:cs="微软雅黑"/>
          <w:sz w:val="21"/>
          <w:szCs w:val="21"/>
        </w:rPr>
        <w:t>，如图5。</w:t>
      </w:r>
    </w:p>
    <w:p w14:paraId="41D0C9E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31435" cy="3287395"/>
            <wp:effectExtent l="0" t="0" r="12065" b="8255"/>
            <wp:docPr id="10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图片 8"/>
                    <pic:cNvPicPr>
                      <a:picLocks noChangeAspect="1"/>
                    </pic:cNvPicPr>
                  </pic:nvPicPr>
                  <pic:blipFill>
                    <a:blip r:embed="rId32" cstate="print"/>
                    <a:stretch>
                      <a:fillRect/>
                    </a:stretch>
                  </pic:blipFill>
                  <pic:spPr>
                    <a:xfrm>
                      <a:off x="0" y="0"/>
                      <a:ext cx="5131435" cy="3287395"/>
                    </a:xfrm>
                    <a:prstGeom prst="rect">
                      <a:avLst/>
                    </a:prstGeom>
                    <a:noFill/>
                    <a:ln w="9525">
                      <a:noFill/>
                    </a:ln>
                  </pic:spPr>
                </pic:pic>
              </a:graphicData>
            </a:graphic>
          </wp:inline>
        </w:drawing>
      </w:r>
    </w:p>
    <w:p w14:paraId="60D64EC8">
      <w:pPr>
        <w:ind w:firstLine="400" w:firstLineChars="200"/>
        <w:jc w:val="center"/>
        <w:rPr>
          <w:rFonts w:ascii="微软雅黑" w:hAnsi="微软雅黑" w:cs="微软雅黑"/>
          <w:sz w:val="21"/>
          <w:szCs w:val="21"/>
        </w:rPr>
      </w:pPr>
      <w:bookmarkStart w:id="204" w:name="OLE_LINK10"/>
      <w:r>
        <w:rPr>
          <w:rFonts w:hint="eastAsia" w:ascii="微软雅黑" w:hAnsi="微软雅黑" w:cs="微软雅黑"/>
          <w:sz w:val="20"/>
          <w:szCs w:val="20"/>
        </w:rPr>
        <w:t>图5 结肠直肠癌发病机制相关信号通路</w:t>
      </w:r>
    </w:p>
    <w:bookmarkEnd w:id="204"/>
    <w:p w14:paraId="3ADCE051">
      <w:pPr>
        <w:ind w:firstLine="400" w:firstLineChars="200"/>
        <w:jc w:val="center"/>
        <w:rPr>
          <w:rFonts w:ascii="微软雅黑" w:hAnsi="微软雅黑" w:cs="微软雅黑"/>
          <w:sz w:val="20"/>
          <w:szCs w:val="20"/>
        </w:rPr>
      </w:pPr>
      <w:r>
        <w:rPr>
          <w:rFonts w:hint="eastAsia" w:ascii="微软雅黑" w:hAnsi="微软雅黑" w:cs="微软雅黑"/>
          <w:sz w:val="20"/>
          <w:szCs w:val="20"/>
        </w:rPr>
        <w:t>（*165位非超重和30位超重结直肠癌患者完整数据结果，基因改变包括体细胞突变、纯合子缺失、局部扩增及基因表达显著上调或下调。）</w:t>
      </w:r>
    </w:p>
    <w:p w14:paraId="124D34B1">
      <w:pPr>
        <w:ind w:firstLine="420" w:firstLineChars="200"/>
        <w:jc w:val="both"/>
        <w:rPr>
          <w:rFonts w:ascii="微软雅黑" w:hAnsi="微软雅黑" w:cs="微软雅黑"/>
          <w:sz w:val="21"/>
          <w:szCs w:val="21"/>
        </w:rPr>
      </w:pPr>
      <w:r>
        <w:rPr>
          <w:rFonts w:hint="eastAsia" w:ascii="微软雅黑" w:hAnsi="微软雅黑" w:cs="微软雅黑"/>
          <w:sz w:val="21"/>
          <w:szCs w:val="21"/>
        </w:rPr>
        <w:t>除基因突变外，表观遗传学改变也与息肉、肿瘤的形成相关，并与基因突变共同促进肿瘤的发生发展</w:t>
      </w:r>
      <w:r>
        <w:rPr>
          <w:rFonts w:hint="eastAsia" w:ascii="微软雅黑" w:hAnsi="微软雅黑" w:cs="微软雅黑"/>
          <w:sz w:val="21"/>
          <w:szCs w:val="21"/>
          <w:vertAlign w:val="superscript"/>
        </w:rPr>
        <w:t>[27,28]</w:t>
      </w:r>
      <w:r>
        <w:rPr>
          <w:rFonts w:hint="eastAsia" w:ascii="微软雅黑" w:hAnsi="微软雅黑" w:cs="微软雅黑"/>
          <w:sz w:val="21"/>
          <w:szCs w:val="21"/>
        </w:rPr>
        <w:t>。DNA甲基化影响CpG区域（CpG岛），这些区域通常位于基因的5'区域，并通过影响转录因子结合和染色质结构变化导致转录沉默</w:t>
      </w:r>
      <w:r>
        <w:rPr>
          <w:rFonts w:hint="eastAsia" w:ascii="微软雅黑" w:hAnsi="微软雅黑" w:cs="微软雅黑"/>
          <w:sz w:val="21"/>
          <w:szCs w:val="21"/>
          <w:vertAlign w:val="superscript"/>
        </w:rPr>
        <w:t>[29]</w:t>
      </w:r>
      <w:r>
        <w:rPr>
          <w:rFonts w:hint="eastAsia" w:ascii="微软雅黑" w:hAnsi="微软雅黑" w:cs="微软雅黑"/>
          <w:sz w:val="21"/>
          <w:szCs w:val="21"/>
        </w:rPr>
        <w:t>。与癌症发展相关的DNA甲基化修饰（通常）包括两类：基因启动子中CpG岛的甲基化过高导致抑癌基因沉默和重复性遗传元件甲基化过低，导致基因组不稳定或原癌基因激活</w:t>
      </w:r>
      <w:r>
        <w:rPr>
          <w:rFonts w:hint="eastAsia" w:ascii="微软雅黑" w:hAnsi="微软雅黑" w:cs="微软雅黑"/>
          <w:sz w:val="21"/>
          <w:szCs w:val="21"/>
          <w:vertAlign w:val="superscript"/>
        </w:rPr>
        <w:t>[30]</w:t>
      </w:r>
      <w:r>
        <w:rPr>
          <w:rFonts w:hint="eastAsia" w:ascii="微软雅黑" w:hAnsi="微软雅黑" w:cs="微软雅黑"/>
          <w:sz w:val="21"/>
          <w:szCs w:val="21"/>
        </w:rPr>
        <w:t>。</w:t>
      </w:r>
    </w:p>
    <w:p w14:paraId="5FA0FDEF">
      <w:pPr>
        <w:ind w:firstLine="420" w:firstLineChars="200"/>
        <w:jc w:val="both"/>
        <w:rPr>
          <w:rFonts w:ascii="微软雅黑" w:hAnsi="微软雅黑" w:cs="微软雅黑"/>
          <w:sz w:val="21"/>
          <w:szCs w:val="21"/>
        </w:rPr>
      </w:pPr>
      <w:r>
        <w:rPr>
          <w:rFonts w:hint="eastAsia" w:ascii="微软雅黑" w:hAnsi="微软雅黑" w:cs="微软雅黑"/>
          <w:sz w:val="21"/>
          <w:szCs w:val="21"/>
        </w:rPr>
        <w:t>根据息肉和肿瘤演变相关分子差异，将结直肠癌分为四个不同亚组：超突变/微卫星不稳定（Hyp-MSI）、超突变-微卫星稳定（Hyp-MSS）、微卫星稳定（MSS）或染色体不稳定（CIN）以及CIMP癌症。每个亚组驱动基因不尽相同，且各亚组间驱动突变的频率差异较大。因此，各亚组驱动突变和表观遗传变化仍有待明确。APC和SMAD家族成员4 （SMAD4）基因等突变在所有分子亚组中都较为常见，提示其在结直肠癌中起核心作用，而有些分子突变仅限于某一个亚组</w:t>
      </w:r>
      <w:r>
        <w:rPr>
          <w:rFonts w:hint="eastAsia" w:ascii="微软雅黑" w:hAnsi="微软雅黑" w:cs="微软雅黑"/>
          <w:sz w:val="21"/>
          <w:szCs w:val="21"/>
          <w:vertAlign w:val="superscript"/>
        </w:rPr>
        <w:t>[31]</w:t>
      </w:r>
      <w:r>
        <w:rPr>
          <w:rFonts w:hint="eastAsia" w:ascii="微软雅黑" w:hAnsi="微软雅黑" w:cs="微软雅黑"/>
          <w:sz w:val="21"/>
          <w:szCs w:val="21"/>
        </w:rPr>
        <w:t>。</w:t>
      </w:r>
    </w:p>
    <w:p w14:paraId="02AC1372">
      <w:pPr>
        <w:jc w:val="both"/>
        <w:rPr>
          <w:b/>
          <w:bCs/>
        </w:rPr>
      </w:pPr>
      <w:r>
        <w:rPr>
          <w:rFonts w:hint="eastAsia"/>
          <w:b/>
          <w:bCs/>
        </w:rPr>
        <w:t>3、诊断、筛查与预防</w:t>
      </w:r>
    </w:p>
    <w:p w14:paraId="207DF6E3">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患者可表现出隐蔽性或显性直肠出血、排便习惯改变、贫血或腹痛等体征和症状。对于年龄在45岁或45岁以上的新发直肠出血患者，一般应提示进行结肠镜检查。对于年轻患者，结直肠癌家族史、排便习惯改变、原因不明体重减轻，以及与粪便混合的血液，均属于考察因素。</w:t>
      </w:r>
    </w:p>
    <w:p w14:paraId="68C6B63E">
      <w:pPr>
        <w:ind w:firstLine="420" w:firstLineChars="200"/>
        <w:jc w:val="both"/>
        <w:rPr>
          <w:rFonts w:ascii="微软雅黑" w:hAnsi="微软雅黑" w:cs="微软雅黑"/>
          <w:sz w:val="21"/>
          <w:szCs w:val="21"/>
        </w:rPr>
      </w:pPr>
      <w:r>
        <w:rPr>
          <w:rFonts w:hint="eastAsia" w:ascii="微软雅黑" w:hAnsi="微软雅黑" w:cs="微软雅黑"/>
          <w:sz w:val="21"/>
          <w:szCs w:val="21"/>
        </w:rPr>
        <w:t>影像学方面，结肠镜检查是诊断大肠癌的金标准。它具有很高的诊断准确性，可以评估肿瘤的位置。重要的是，该技术可以同时进行活组织检查采样，从而可以对诊断和分子谱分析的材料进行组织学确认。胶囊内窥镜检查也可用于诊断腺瘤和大肠癌。第一代胶囊内窥镜检查能够检测大小</w:t>
      </w:r>
      <w:r>
        <w:rPr>
          <w:rFonts w:hint="eastAsia" w:ascii="宋体" w:hAnsi="宋体" w:eastAsia="宋体" w:cs="宋体"/>
          <w:sz w:val="21"/>
          <w:szCs w:val="21"/>
        </w:rPr>
        <w:t>≥</w:t>
      </w:r>
      <w:r>
        <w:rPr>
          <w:rFonts w:hint="eastAsia" w:ascii="微软雅黑" w:hAnsi="微软雅黑" w:cs="微软雅黑"/>
          <w:sz w:val="21"/>
          <w:szCs w:val="21"/>
        </w:rPr>
        <w:t>6mm的息肉，灵敏度约为60％，特异性&gt; 80％</w:t>
      </w:r>
      <w:r>
        <w:rPr>
          <w:rFonts w:hint="eastAsia" w:ascii="微软雅黑" w:hAnsi="微软雅黑" w:cs="微软雅黑"/>
          <w:sz w:val="21"/>
          <w:szCs w:val="21"/>
          <w:vertAlign w:val="superscript"/>
        </w:rPr>
        <w:t>[32]</w:t>
      </w:r>
      <w:r>
        <w:rPr>
          <w:rFonts w:hint="eastAsia" w:ascii="微软雅黑" w:hAnsi="微软雅黑" w:cs="微软雅黑"/>
          <w:sz w:val="21"/>
          <w:szCs w:val="21"/>
        </w:rPr>
        <w:t>。CT结肠造影使用低剂量CT扫描来获得结肠的内部视图，目前该技术已被广泛确立为大肠癌的诊断手段</w:t>
      </w:r>
      <w:r>
        <w:rPr>
          <w:rFonts w:hint="eastAsia" w:ascii="微软雅黑" w:hAnsi="微软雅黑" w:cs="微软雅黑"/>
          <w:sz w:val="21"/>
          <w:szCs w:val="21"/>
          <w:vertAlign w:val="superscript"/>
        </w:rPr>
        <w:t>[33]</w:t>
      </w:r>
      <w:r>
        <w:rPr>
          <w:rFonts w:hint="eastAsia" w:ascii="微软雅黑" w:hAnsi="微软雅黑" w:cs="微软雅黑"/>
          <w:sz w:val="21"/>
          <w:szCs w:val="21"/>
        </w:rPr>
        <w:t>。</w:t>
      </w:r>
    </w:p>
    <w:p w14:paraId="7EC564B2">
      <w:pPr>
        <w:ind w:firstLine="420" w:firstLineChars="200"/>
        <w:jc w:val="both"/>
        <w:rPr>
          <w:rFonts w:ascii="微软雅黑" w:hAnsi="微软雅黑" w:cs="微软雅黑"/>
          <w:sz w:val="21"/>
          <w:szCs w:val="21"/>
        </w:rPr>
      </w:pPr>
      <w:r>
        <w:rPr>
          <w:rFonts w:hint="eastAsia" w:ascii="微软雅黑" w:hAnsi="微软雅黑" w:cs="微软雅黑"/>
          <w:sz w:val="21"/>
          <w:szCs w:val="21"/>
        </w:rPr>
        <w:t>检验方面，指南建议在诊断时检测血球计数与癌胚抗原的浓度</w:t>
      </w:r>
      <w:r>
        <w:rPr>
          <w:rFonts w:hint="eastAsia" w:ascii="微软雅黑" w:hAnsi="微软雅黑" w:cs="微软雅黑"/>
          <w:sz w:val="21"/>
          <w:szCs w:val="21"/>
          <w:vertAlign w:val="superscript"/>
        </w:rPr>
        <w:t>[34]</w:t>
      </w:r>
      <w:r>
        <w:rPr>
          <w:rFonts w:hint="eastAsia" w:ascii="微软雅黑" w:hAnsi="微软雅黑" w:cs="微软雅黑"/>
          <w:sz w:val="21"/>
          <w:szCs w:val="21"/>
        </w:rPr>
        <w:t>。癌胚抗原浓度基线升高与预后较差相关，而术后阶段未恢复正常浓度表明可能残留疾病。此外，SEPT9基因启动子区域高度甲基化与大肠癌相关。SEPT9在组织水平上的甲基化异常可将大肠肿瘤与正常粘膜进行区分。研究表明，SEPT9甲基化检测对结直肠癌的敏感性为50-70％，特异性为85-90％</w:t>
      </w:r>
      <w:r>
        <w:rPr>
          <w:rFonts w:hint="eastAsia" w:ascii="微软雅黑" w:hAnsi="微软雅黑" w:cs="微软雅黑"/>
          <w:sz w:val="21"/>
          <w:szCs w:val="21"/>
          <w:vertAlign w:val="superscript"/>
        </w:rPr>
        <w:t>[35]</w:t>
      </w:r>
      <w:r>
        <w:rPr>
          <w:rFonts w:hint="eastAsia" w:ascii="微软雅黑" w:hAnsi="微软雅黑" w:cs="微软雅黑"/>
          <w:sz w:val="21"/>
          <w:szCs w:val="21"/>
        </w:rPr>
        <w:t>。</w:t>
      </w:r>
    </w:p>
    <w:p w14:paraId="675CB191">
      <w:pPr>
        <w:ind w:firstLine="420" w:firstLineChars="200"/>
        <w:jc w:val="both"/>
        <w:rPr>
          <w:rFonts w:ascii="微软雅黑" w:hAnsi="微软雅黑" w:cs="微软雅黑"/>
          <w:sz w:val="21"/>
          <w:szCs w:val="21"/>
        </w:rPr>
      </w:pPr>
      <w:r>
        <w:rPr>
          <w:rFonts w:hint="eastAsia" w:ascii="微软雅黑" w:hAnsi="微软雅黑" w:cs="微软雅黑"/>
          <w:sz w:val="21"/>
          <w:szCs w:val="21"/>
        </w:rPr>
        <w:t>病理学方面，组织学仍然是病理分期和后续治疗的基础。除了经典的TNM分期、组织学分型、分级和对淋巴、神经和静脉侵犯的组织学评估外，多种肿瘤标志物（包括错配修复检测和免疫评分）已得到认可</w:t>
      </w:r>
      <w:r>
        <w:rPr>
          <w:rFonts w:hint="eastAsia" w:ascii="微软雅黑" w:hAnsi="微软雅黑" w:cs="微软雅黑"/>
          <w:sz w:val="21"/>
          <w:szCs w:val="21"/>
          <w:vertAlign w:val="superscript"/>
        </w:rPr>
        <w:t>[36，37]</w:t>
      </w:r>
      <w:r>
        <w:rPr>
          <w:rFonts w:hint="eastAsia" w:ascii="微软雅黑" w:hAnsi="微软雅黑" w:cs="微软雅黑"/>
          <w:sz w:val="21"/>
          <w:szCs w:val="21"/>
        </w:rPr>
        <w:t>。错配修复检测不仅用于识别对林奇综合征,也可作为转移性结直肠癌患者使用氟嘧啶为基础的化疗或免疫治疗疗效的判断标准</w:t>
      </w:r>
      <w:r>
        <w:rPr>
          <w:rFonts w:hint="eastAsia" w:ascii="微软雅黑" w:hAnsi="微软雅黑" w:cs="微软雅黑"/>
          <w:sz w:val="21"/>
          <w:szCs w:val="21"/>
          <w:vertAlign w:val="superscript"/>
        </w:rPr>
        <w:t>[37]</w:t>
      </w:r>
      <w:r>
        <w:rPr>
          <w:rFonts w:hint="eastAsia" w:ascii="微软雅黑" w:hAnsi="微软雅黑" w:cs="微软雅黑"/>
          <w:sz w:val="21"/>
          <w:szCs w:val="21"/>
        </w:rPr>
        <w:t>。此外，RAS和RAF突变能够调节增殖、凋亡和血管生成，并在结直肠癌治疗中作为预后和预测标记发挥着不断发展的作用。</w:t>
      </w:r>
    </w:p>
    <w:p w14:paraId="0189C1B0">
      <w:pPr>
        <w:jc w:val="both"/>
        <w:rPr>
          <w:b/>
          <w:bCs/>
        </w:rPr>
      </w:pPr>
      <w:r>
        <w:rPr>
          <w:rFonts w:hint="eastAsia"/>
          <w:b/>
          <w:bCs/>
        </w:rPr>
        <w:t>4、治疗方法</w:t>
      </w:r>
    </w:p>
    <w:p w14:paraId="3A3EFA42">
      <w:pPr>
        <w:jc w:val="both"/>
        <w:rPr>
          <w:rFonts w:ascii="微软雅黑" w:hAnsi="微软雅黑" w:cs="微软雅黑"/>
          <w:b/>
          <w:bCs/>
          <w:sz w:val="21"/>
          <w:szCs w:val="21"/>
        </w:rPr>
      </w:pPr>
      <w:r>
        <w:rPr>
          <w:rFonts w:hint="eastAsia" w:ascii="微软雅黑" w:hAnsi="微软雅黑" w:cs="微软雅黑"/>
          <w:b/>
          <w:bCs/>
          <w:sz w:val="21"/>
          <w:szCs w:val="21"/>
        </w:rPr>
        <w:t>4.1 手术</w:t>
      </w:r>
    </w:p>
    <w:p w14:paraId="6739B7A0">
      <w:pPr>
        <w:ind w:firstLine="420" w:firstLineChars="200"/>
        <w:jc w:val="both"/>
        <w:rPr>
          <w:rFonts w:ascii="微软雅黑" w:hAnsi="微软雅黑" w:cs="微软雅黑"/>
          <w:sz w:val="21"/>
          <w:szCs w:val="21"/>
        </w:rPr>
      </w:pPr>
      <w:r>
        <w:rPr>
          <w:rFonts w:ascii="微软雅黑" w:hAnsi="微软雅黑" w:cs="微软雅黑"/>
          <w:sz w:val="21"/>
          <w:szCs w:val="21"/>
        </w:rPr>
        <w:t>在考虑对患者进行手术时，年龄</w:t>
      </w:r>
      <w:r>
        <w:rPr>
          <w:rFonts w:hint="eastAsia" w:ascii="微软雅黑" w:hAnsi="微软雅黑" w:cs="微软雅黑"/>
          <w:sz w:val="21"/>
          <w:szCs w:val="21"/>
        </w:rPr>
        <w:t>、</w:t>
      </w:r>
      <w:r>
        <w:rPr>
          <w:rFonts w:ascii="微软雅黑" w:hAnsi="微软雅黑" w:cs="微软雅黑"/>
          <w:sz w:val="21"/>
          <w:szCs w:val="21"/>
        </w:rPr>
        <w:t>健康状况</w:t>
      </w:r>
      <w:r>
        <w:rPr>
          <w:rFonts w:hint="eastAsia" w:ascii="微软雅黑" w:hAnsi="微软雅黑" w:cs="微软雅黑"/>
          <w:sz w:val="21"/>
          <w:szCs w:val="21"/>
        </w:rPr>
        <w:t>、</w:t>
      </w:r>
      <w:r>
        <w:rPr>
          <w:rFonts w:ascii="微软雅黑" w:hAnsi="微软雅黑" w:cs="微软雅黑"/>
          <w:sz w:val="21"/>
          <w:szCs w:val="21"/>
        </w:rPr>
        <w:t>围手术期管理计划</w:t>
      </w:r>
      <w:r>
        <w:rPr>
          <w:rFonts w:hint="eastAsia" w:ascii="微软雅黑" w:hAnsi="微软雅黑" w:cs="微软雅黑"/>
          <w:sz w:val="21"/>
          <w:szCs w:val="21"/>
        </w:rPr>
        <w:t>、</w:t>
      </w:r>
      <w:r>
        <w:rPr>
          <w:rFonts w:ascii="微软雅黑" w:hAnsi="微软雅黑" w:cs="微软雅黑"/>
          <w:sz w:val="21"/>
          <w:szCs w:val="21"/>
        </w:rPr>
        <w:t>肿瘤分期</w:t>
      </w:r>
      <w:r>
        <w:rPr>
          <w:rFonts w:hint="eastAsia" w:ascii="微软雅黑" w:hAnsi="微软雅黑" w:cs="微软雅黑"/>
          <w:sz w:val="21"/>
          <w:szCs w:val="21"/>
        </w:rPr>
        <w:t>、</w:t>
      </w:r>
      <w:r>
        <w:rPr>
          <w:rFonts w:ascii="微软雅黑" w:hAnsi="微软雅黑" w:cs="微软雅黑"/>
          <w:sz w:val="21"/>
          <w:szCs w:val="21"/>
        </w:rPr>
        <w:t>手术类型（包括切除平面和重建）</w:t>
      </w:r>
      <w:r>
        <w:rPr>
          <w:rFonts w:hint="eastAsia" w:ascii="微软雅黑" w:hAnsi="微软雅黑" w:cs="微软雅黑"/>
          <w:sz w:val="21"/>
          <w:szCs w:val="21"/>
        </w:rPr>
        <w:t>以及</w:t>
      </w:r>
      <w:r>
        <w:rPr>
          <w:rFonts w:ascii="微软雅黑" w:hAnsi="微软雅黑" w:cs="微软雅黑"/>
          <w:sz w:val="21"/>
          <w:szCs w:val="21"/>
        </w:rPr>
        <w:t>质量保证</w:t>
      </w:r>
      <w:r>
        <w:rPr>
          <w:rFonts w:hint="eastAsia" w:ascii="微软雅黑" w:hAnsi="微软雅黑" w:cs="微软雅黑"/>
          <w:sz w:val="21"/>
          <w:szCs w:val="21"/>
        </w:rPr>
        <w:t>十分</w:t>
      </w:r>
      <w:r>
        <w:rPr>
          <w:rFonts w:ascii="微软雅黑" w:hAnsi="微软雅黑" w:cs="微软雅黑"/>
          <w:sz w:val="21"/>
          <w:szCs w:val="21"/>
        </w:rPr>
        <w:t>重要。就年龄而言，老年结直肠癌患者的总生存率低于年轻患者</w:t>
      </w:r>
      <w:r>
        <w:rPr>
          <w:rFonts w:hint="eastAsia" w:ascii="微软雅黑" w:hAnsi="微软雅黑" w:cs="微软雅黑"/>
          <w:sz w:val="21"/>
          <w:szCs w:val="21"/>
          <w:vertAlign w:val="superscript"/>
        </w:rPr>
        <w:t>[38]</w:t>
      </w:r>
      <w:r>
        <w:rPr>
          <w:rFonts w:ascii="微软雅黑" w:hAnsi="微软雅黑" w:cs="微软雅黑"/>
          <w:sz w:val="21"/>
          <w:szCs w:val="21"/>
        </w:rPr>
        <w:t>。</w:t>
      </w:r>
      <w:r>
        <w:rPr>
          <w:rFonts w:hint="eastAsia" w:ascii="微软雅黑" w:hAnsi="微软雅黑" w:cs="微软雅黑"/>
          <w:sz w:val="21"/>
          <w:szCs w:val="21"/>
        </w:rPr>
        <w:t>目前，</w:t>
      </w:r>
      <w:r>
        <w:rPr>
          <w:rFonts w:ascii="微软雅黑" w:hAnsi="微软雅黑" w:cs="微软雅黑"/>
          <w:sz w:val="21"/>
          <w:szCs w:val="21"/>
        </w:rPr>
        <w:t>腹腔镜切除</w:t>
      </w:r>
      <w:r>
        <w:rPr>
          <w:rFonts w:hint="eastAsia" w:ascii="微软雅黑" w:hAnsi="微软雅黑" w:cs="微软雅黑"/>
          <w:sz w:val="21"/>
          <w:szCs w:val="21"/>
        </w:rPr>
        <w:t>术安全性</w:t>
      </w:r>
      <w:r>
        <w:rPr>
          <w:rFonts w:ascii="微软雅黑" w:hAnsi="微软雅黑" w:cs="微软雅黑"/>
          <w:sz w:val="21"/>
          <w:szCs w:val="21"/>
        </w:rPr>
        <w:t>已被证明与开腹手术</w:t>
      </w:r>
      <w:r>
        <w:rPr>
          <w:rFonts w:hint="eastAsia" w:ascii="微软雅黑" w:hAnsi="微软雅黑" w:cs="微软雅黑"/>
          <w:sz w:val="21"/>
          <w:szCs w:val="21"/>
        </w:rPr>
        <w:t>相同</w:t>
      </w:r>
      <w:r>
        <w:rPr>
          <w:rFonts w:hint="eastAsia" w:ascii="微软雅黑" w:hAnsi="微软雅黑" w:cs="微软雅黑"/>
          <w:sz w:val="21"/>
          <w:szCs w:val="21"/>
          <w:vertAlign w:val="superscript"/>
        </w:rPr>
        <w:t>[39，40]</w:t>
      </w:r>
      <w:r>
        <w:rPr>
          <w:rFonts w:hint="eastAsia" w:ascii="微软雅黑" w:hAnsi="微软雅黑" w:cs="微软雅黑"/>
          <w:sz w:val="21"/>
          <w:szCs w:val="21"/>
        </w:rPr>
        <w:t>。此外，</w:t>
      </w:r>
      <w:r>
        <w:rPr>
          <w:rFonts w:ascii="微软雅黑" w:hAnsi="微软雅黑" w:cs="微软雅黑"/>
          <w:sz w:val="21"/>
          <w:szCs w:val="21"/>
        </w:rPr>
        <w:t>结肠癌也可以表现为结肠癌梗阻或穿孔</w:t>
      </w:r>
      <w:r>
        <w:rPr>
          <w:rFonts w:hint="eastAsia" w:ascii="微软雅黑" w:hAnsi="微软雅黑" w:cs="微软雅黑"/>
          <w:sz w:val="21"/>
          <w:szCs w:val="21"/>
        </w:rPr>
        <w:t>，</w:t>
      </w:r>
      <w:r>
        <w:rPr>
          <w:rFonts w:ascii="微软雅黑" w:hAnsi="微软雅黑" w:cs="微软雅黑"/>
          <w:sz w:val="21"/>
          <w:szCs w:val="21"/>
        </w:rPr>
        <w:t>结肠梗阻可通过减压结肠造口或内镜下支架植入术来缓解</w:t>
      </w:r>
      <w:r>
        <w:rPr>
          <w:rFonts w:hint="eastAsia" w:ascii="微软雅黑" w:hAnsi="微软雅黑" w:cs="微软雅黑"/>
          <w:sz w:val="21"/>
          <w:szCs w:val="21"/>
        </w:rPr>
        <w:t>。</w:t>
      </w:r>
    </w:p>
    <w:p w14:paraId="7CDCC95E">
      <w:pPr>
        <w:ind w:firstLine="420" w:firstLineChars="200"/>
        <w:jc w:val="both"/>
        <w:rPr>
          <w:rFonts w:ascii="微软雅黑" w:hAnsi="微软雅黑" w:cs="微软雅黑"/>
          <w:sz w:val="21"/>
          <w:szCs w:val="21"/>
        </w:rPr>
      </w:pPr>
      <w:r>
        <w:rPr>
          <w:rFonts w:hint="eastAsia" w:ascii="微软雅黑" w:hAnsi="微软雅黑" w:cs="微软雅黑"/>
          <w:sz w:val="21"/>
          <w:szCs w:val="21"/>
        </w:rPr>
        <w:t>直肠癌的手术相对较复杂，与骨盆的可及性和解剖结构复杂相关。全直肠系膜切除（TME）是T1，T2和良性T3（淋巴结状态阴性（T3N0M0）T3，不包括低位直肠癌、T3c和T3d）直肠癌手术金标准，切除的范围取决于括约肌复合体和其它周围结构的受累，对于恶性T3期（T3c的中上部、T3d和T3b下部）的直肠肿瘤的患者，建议进行新辅助放疗（或放化疗）。对于早期直肠癌患者，可利用肛门内窥镜显微外科手术（TEM）进行微创治疗，切除高分化T1N0期局部肿瘤</w:t>
      </w:r>
      <w:r>
        <w:rPr>
          <w:rFonts w:hint="eastAsia" w:ascii="微软雅黑" w:hAnsi="微软雅黑" w:cs="微软雅黑"/>
          <w:sz w:val="21"/>
          <w:szCs w:val="21"/>
          <w:vertAlign w:val="superscript"/>
        </w:rPr>
        <w:t>[41，42]</w:t>
      </w:r>
      <w:r>
        <w:rPr>
          <w:rFonts w:hint="eastAsia" w:ascii="微软雅黑" w:hAnsi="微软雅黑" w:cs="微软雅黑"/>
          <w:sz w:val="21"/>
          <w:szCs w:val="21"/>
        </w:rPr>
        <w:t>，但不建议将TEM用于无法被完全切除的肿瘤，以及分化程度低、局部复发风险高的肿瘤。</w:t>
      </w:r>
    </w:p>
    <w:p w14:paraId="396DBD37">
      <w:pPr>
        <w:jc w:val="both"/>
        <w:rPr>
          <w:rFonts w:ascii="微软雅黑" w:hAnsi="微软雅黑" w:cs="微软雅黑"/>
          <w:b/>
          <w:bCs/>
          <w:sz w:val="21"/>
          <w:szCs w:val="21"/>
        </w:rPr>
      </w:pPr>
      <w:r>
        <w:rPr>
          <w:rFonts w:hint="eastAsia" w:ascii="微软雅黑" w:hAnsi="微软雅黑" w:cs="微软雅黑"/>
          <w:b/>
          <w:bCs/>
          <w:sz w:val="21"/>
          <w:szCs w:val="21"/>
        </w:rPr>
        <w:t>4.2 辅助治疗</w:t>
      </w:r>
    </w:p>
    <w:p w14:paraId="09D4266E">
      <w:pPr>
        <w:ind w:firstLine="420" w:firstLineChars="200"/>
        <w:jc w:val="both"/>
        <w:rPr>
          <w:rFonts w:ascii="微软雅黑" w:hAnsi="微软雅黑" w:cs="微软雅黑"/>
          <w:sz w:val="21"/>
          <w:szCs w:val="21"/>
        </w:rPr>
      </w:pPr>
      <w:r>
        <w:rPr>
          <w:rFonts w:hint="eastAsia" w:ascii="微软雅黑" w:hAnsi="微软雅黑" w:cs="微软雅黑"/>
          <w:sz w:val="21"/>
          <w:szCs w:val="21"/>
        </w:rPr>
        <w:t>新辅助治疗方面，结肠癌目前尚无公认的新辅助治疗方法，但对于中晚期直肠癌，建议使用新辅助放疗或放化疗降低局部复发率。新辅助治疗可以采用短程放疗配合手术，也可以采用5-氟尿嘧啶或卡培他滨（口服氟嘧啶）的放化疗结合手段。术前放疗在减少局部复发方面比术后更有效，但无法提高总生存率</w:t>
      </w:r>
      <w:r>
        <w:rPr>
          <w:rFonts w:hint="eastAsia" w:ascii="微软雅黑" w:hAnsi="微软雅黑" w:cs="微软雅黑"/>
          <w:sz w:val="21"/>
          <w:szCs w:val="21"/>
          <w:vertAlign w:val="superscript"/>
        </w:rPr>
        <w:t>[43，44]</w:t>
      </w:r>
      <w:r>
        <w:rPr>
          <w:rFonts w:hint="eastAsia" w:ascii="微软雅黑" w:hAnsi="微软雅黑" w:cs="微软雅黑"/>
          <w:sz w:val="21"/>
          <w:szCs w:val="21"/>
        </w:rPr>
        <w:t>。</w:t>
      </w:r>
    </w:p>
    <w:p w14:paraId="11BD1C25">
      <w:pPr>
        <w:ind w:firstLine="420" w:firstLineChars="200"/>
        <w:jc w:val="both"/>
        <w:rPr>
          <w:rFonts w:ascii="微软雅黑" w:hAnsi="微软雅黑" w:cs="微软雅黑"/>
          <w:sz w:val="21"/>
          <w:szCs w:val="21"/>
        </w:rPr>
      </w:pPr>
      <w:r>
        <w:rPr>
          <w:rFonts w:hint="eastAsia" w:ascii="微软雅黑" w:hAnsi="微软雅黑" w:cs="微软雅黑"/>
          <w:sz w:val="21"/>
          <w:szCs w:val="21"/>
        </w:rPr>
        <w:t>辅助治疗方面，由于T3、T4a、T4b和N0M0结肠癌（国际癌症控制联盟（UICC）II期）患者手术治愈率较高，只有大约5％的患者受益于辅助化疗。但对于UICC III期肿瘤（任何T，N1-2[3个或更多阳性淋巴结]，M0）辅助治疗是标准治疗方案，主要采用5-氟尿嘧啶（如XELOX口服方案，或FOLFOX4静脉注射方案）和奥沙利铂联合用药。值得注意的是，70岁以上的患者可能无法从以奥沙利铂为基础的化疗组合中受益，但可以从氟嘧啶为基础的化疗中受益，效果与年轻患者类似</w:t>
      </w:r>
      <w:r>
        <w:rPr>
          <w:rFonts w:hint="eastAsia" w:ascii="微软雅黑" w:hAnsi="微软雅黑" w:cs="微软雅黑"/>
          <w:sz w:val="21"/>
          <w:szCs w:val="21"/>
          <w:vertAlign w:val="superscript"/>
        </w:rPr>
        <w:t>[45]</w:t>
      </w:r>
      <w:r>
        <w:rPr>
          <w:rFonts w:hint="eastAsia" w:ascii="微软雅黑" w:hAnsi="微软雅黑" w:cs="微软雅黑"/>
          <w:sz w:val="21"/>
          <w:szCs w:val="21"/>
        </w:rPr>
        <w:t>。对于直肠癌，如果未进行术前治疗且存在某些危险因素，可采取术后放化疗的手段，辅助化疗通常使用氟嘧啶为基础的药物组合。</w:t>
      </w:r>
    </w:p>
    <w:p w14:paraId="6B3D598A">
      <w:pPr>
        <w:jc w:val="both"/>
        <w:rPr>
          <w:rFonts w:ascii="微软雅黑" w:hAnsi="微软雅黑" w:cs="微软雅黑"/>
          <w:b/>
          <w:bCs/>
          <w:sz w:val="21"/>
          <w:szCs w:val="21"/>
        </w:rPr>
      </w:pPr>
      <w:r>
        <w:rPr>
          <w:rFonts w:hint="eastAsia" w:ascii="微软雅黑" w:hAnsi="微软雅黑" w:cs="微软雅黑"/>
          <w:b/>
          <w:bCs/>
          <w:sz w:val="21"/>
          <w:szCs w:val="21"/>
        </w:rPr>
        <w:t>4.3 化疗</w:t>
      </w:r>
    </w:p>
    <w:p w14:paraId="2973424E">
      <w:pPr>
        <w:ind w:firstLine="420" w:firstLineChars="200"/>
        <w:jc w:val="both"/>
        <w:rPr>
          <w:rFonts w:ascii="微软雅黑" w:hAnsi="微软雅黑" w:cs="微软雅黑"/>
          <w:sz w:val="21"/>
          <w:szCs w:val="21"/>
        </w:rPr>
      </w:pPr>
      <w:r>
        <w:rPr>
          <w:rFonts w:ascii="微软雅黑" w:hAnsi="微软雅黑" w:cs="微软雅黑"/>
          <w:sz w:val="21"/>
          <w:szCs w:val="21"/>
        </w:rPr>
        <w:t>在过去的二十年中，转移性</w:t>
      </w:r>
      <w:r>
        <w:rPr>
          <w:rFonts w:hint="eastAsia" w:ascii="微软雅黑" w:hAnsi="微软雅黑" w:cs="微软雅黑"/>
          <w:sz w:val="21"/>
          <w:szCs w:val="21"/>
        </w:rPr>
        <w:t>结直肠</w:t>
      </w:r>
      <w:r>
        <w:rPr>
          <w:rFonts w:ascii="微软雅黑" w:hAnsi="微软雅黑" w:cs="微软雅黑"/>
          <w:sz w:val="21"/>
          <w:szCs w:val="21"/>
        </w:rPr>
        <w:t>患者的生存率已大大提高，临床试验平均总生存期为30个月。生存率的提高可归因于奥沙利铂和伊立替康</w:t>
      </w:r>
      <w:r>
        <w:rPr>
          <w:rFonts w:hint="eastAsia" w:ascii="微软雅黑" w:hAnsi="微软雅黑" w:cs="微软雅黑"/>
          <w:sz w:val="21"/>
          <w:szCs w:val="21"/>
        </w:rPr>
        <w:t>等化疗手段</w:t>
      </w:r>
      <w:r>
        <w:rPr>
          <w:rFonts w:ascii="微软雅黑" w:hAnsi="微软雅黑" w:cs="微软雅黑"/>
          <w:sz w:val="21"/>
          <w:szCs w:val="21"/>
        </w:rPr>
        <w:t>，</w:t>
      </w:r>
      <w:r>
        <w:rPr>
          <w:rFonts w:hint="eastAsia" w:ascii="微软雅黑" w:hAnsi="微软雅黑" w:cs="微软雅黑"/>
          <w:sz w:val="21"/>
          <w:szCs w:val="21"/>
        </w:rPr>
        <w:t>以及</w:t>
      </w:r>
      <w:r>
        <w:rPr>
          <w:rFonts w:ascii="微软雅黑" w:hAnsi="微软雅黑" w:cs="微软雅黑"/>
          <w:sz w:val="21"/>
          <w:szCs w:val="21"/>
        </w:rPr>
        <w:t>针对肿瘤微环境特定特性的靶向疗法</w:t>
      </w:r>
      <w:r>
        <w:rPr>
          <w:rFonts w:hint="eastAsia" w:ascii="微软雅黑" w:hAnsi="微软雅黑" w:cs="微软雅黑"/>
          <w:sz w:val="21"/>
          <w:szCs w:val="21"/>
        </w:rPr>
        <w:t>和</w:t>
      </w:r>
      <w:r>
        <w:rPr>
          <w:rFonts w:ascii="微软雅黑" w:hAnsi="微软雅黑" w:cs="微软雅黑"/>
          <w:sz w:val="21"/>
          <w:szCs w:val="21"/>
        </w:rPr>
        <w:t>包括外科手术切除肝转移在内的多学科方法的结合。</w:t>
      </w:r>
    </w:p>
    <w:p w14:paraId="5E5BF55D">
      <w:pPr>
        <w:ind w:firstLine="420" w:firstLineChars="200"/>
        <w:jc w:val="both"/>
        <w:rPr>
          <w:rFonts w:ascii="微软雅黑" w:hAnsi="微软雅黑" w:cs="微软雅黑"/>
          <w:sz w:val="21"/>
          <w:szCs w:val="21"/>
        </w:rPr>
      </w:pPr>
      <w:r>
        <w:rPr>
          <w:rFonts w:ascii="微软雅黑" w:hAnsi="微软雅黑" w:cs="微软雅黑"/>
          <w:sz w:val="21"/>
          <w:szCs w:val="21"/>
        </w:rPr>
        <w:t>与氟嘧啶单药</w:t>
      </w:r>
      <w:r>
        <w:rPr>
          <w:rFonts w:hint="eastAsia" w:ascii="微软雅黑" w:hAnsi="微软雅黑" w:cs="微软雅黑"/>
          <w:sz w:val="21"/>
          <w:szCs w:val="21"/>
        </w:rPr>
        <w:t>治疗</w:t>
      </w:r>
      <w:r>
        <w:rPr>
          <w:rFonts w:ascii="微软雅黑" w:hAnsi="微软雅黑" w:cs="微软雅黑"/>
          <w:sz w:val="21"/>
          <w:szCs w:val="21"/>
        </w:rPr>
        <w:t>相比，联合化疗可更好地控制肿瘤生长。转移性</w:t>
      </w:r>
      <w:r>
        <w:rPr>
          <w:rFonts w:hint="eastAsia" w:ascii="微软雅黑" w:hAnsi="微软雅黑" w:cs="微软雅黑"/>
          <w:sz w:val="21"/>
          <w:szCs w:val="21"/>
        </w:rPr>
        <w:t>结直肠癌一线化疗方案是</w:t>
      </w:r>
      <w:r>
        <w:rPr>
          <w:rFonts w:ascii="微软雅黑" w:hAnsi="微软雅黑" w:cs="微软雅黑"/>
          <w:sz w:val="21"/>
          <w:szCs w:val="21"/>
        </w:rPr>
        <w:t>5-氟尿嘧啶，亚叶酸和奥沙利铂（FOLFOX方案）或伊立替康（FOLFIRI方案）的组合</w:t>
      </w:r>
      <w:r>
        <w:rPr>
          <w:rFonts w:hint="eastAsia" w:ascii="微软雅黑" w:hAnsi="微软雅黑" w:cs="微软雅黑"/>
          <w:sz w:val="21"/>
          <w:szCs w:val="21"/>
        </w:rPr>
        <w:t>用药。</w:t>
      </w:r>
      <w:r>
        <w:rPr>
          <w:rFonts w:ascii="微软雅黑" w:hAnsi="微软雅黑" w:cs="微软雅黑"/>
          <w:sz w:val="21"/>
          <w:szCs w:val="21"/>
        </w:rPr>
        <w:t>卡培他滨</w:t>
      </w:r>
      <w:r>
        <w:rPr>
          <w:rFonts w:hint="eastAsia" w:ascii="微软雅黑" w:hAnsi="微软雅黑" w:cs="微软雅黑"/>
          <w:sz w:val="21"/>
          <w:szCs w:val="21"/>
        </w:rPr>
        <w:t>可</w:t>
      </w:r>
      <w:r>
        <w:rPr>
          <w:rFonts w:ascii="微软雅黑" w:hAnsi="微软雅黑" w:cs="微软雅黑"/>
          <w:sz w:val="21"/>
          <w:szCs w:val="21"/>
        </w:rPr>
        <w:t>代替FOLFOX方案中的5-氟尿嘧啶，但是卡培他滨与伊立替康</w:t>
      </w:r>
      <w:r>
        <w:rPr>
          <w:rFonts w:hint="eastAsia" w:ascii="微软雅黑" w:hAnsi="微软雅黑" w:cs="微软雅黑"/>
          <w:sz w:val="21"/>
          <w:szCs w:val="21"/>
        </w:rPr>
        <w:t>联合用药与</w:t>
      </w:r>
      <w:r>
        <w:rPr>
          <w:rFonts w:ascii="微软雅黑" w:hAnsi="微软雅黑" w:cs="微软雅黑"/>
          <w:sz w:val="21"/>
          <w:szCs w:val="21"/>
        </w:rPr>
        <w:t>FOLFIRI</w:t>
      </w:r>
      <w:r>
        <w:rPr>
          <w:rFonts w:hint="eastAsia" w:ascii="微软雅黑" w:hAnsi="微软雅黑" w:cs="微软雅黑"/>
          <w:sz w:val="21"/>
          <w:szCs w:val="21"/>
        </w:rPr>
        <w:t>相</w:t>
      </w:r>
      <w:r>
        <w:rPr>
          <w:rFonts w:ascii="微软雅黑" w:hAnsi="微软雅黑" w:cs="微软雅黑"/>
          <w:sz w:val="21"/>
          <w:szCs w:val="21"/>
        </w:rPr>
        <w:t>比毒性</w:t>
      </w:r>
      <w:r>
        <w:rPr>
          <w:rFonts w:hint="eastAsia" w:ascii="微软雅黑" w:hAnsi="微软雅黑" w:cs="微软雅黑"/>
          <w:sz w:val="21"/>
          <w:szCs w:val="21"/>
        </w:rPr>
        <w:t>更高</w:t>
      </w:r>
      <w:r>
        <w:rPr>
          <w:rFonts w:ascii="微软雅黑" w:hAnsi="微软雅黑" w:cs="微软雅黑"/>
          <w:sz w:val="21"/>
          <w:szCs w:val="21"/>
        </w:rPr>
        <w:t>。</w:t>
      </w:r>
      <w:r>
        <w:rPr>
          <w:rFonts w:hint="eastAsia" w:ascii="微软雅黑" w:hAnsi="微软雅黑" w:cs="微软雅黑"/>
          <w:sz w:val="21"/>
          <w:szCs w:val="21"/>
        </w:rPr>
        <w:t>目前，相应药物疗效及毒性评估标志基因及位点已经被发现，如DPD基因与氟尿嘧啶和UTG1A1基因与伊立替康</w:t>
      </w:r>
      <w:r>
        <w:rPr>
          <w:rFonts w:hint="eastAsia" w:ascii="微软雅黑" w:hAnsi="微软雅黑" w:cs="微软雅黑"/>
          <w:sz w:val="21"/>
          <w:szCs w:val="21"/>
          <w:vertAlign w:val="superscript"/>
        </w:rPr>
        <w:t>[46]</w:t>
      </w:r>
      <w:r>
        <w:rPr>
          <w:rFonts w:hint="eastAsia" w:ascii="微软雅黑" w:hAnsi="微软雅黑" w:cs="微软雅黑"/>
          <w:sz w:val="21"/>
          <w:szCs w:val="21"/>
        </w:rPr>
        <w:t>。同时，</w:t>
      </w:r>
      <w:r>
        <w:rPr>
          <w:rFonts w:ascii="微软雅黑" w:hAnsi="微软雅黑" w:cs="微软雅黑"/>
          <w:sz w:val="21"/>
          <w:szCs w:val="21"/>
        </w:rPr>
        <w:t>dMMR是II期</w:t>
      </w:r>
      <w:r>
        <w:rPr>
          <w:rFonts w:hint="eastAsia" w:ascii="微软雅黑" w:hAnsi="微软雅黑" w:cs="微软雅黑"/>
          <w:sz w:val="21"/>
          <w:szCs w:val="21"/>
        </w:rPr>
        <w:t>结直肠癌患者</w:t>
      </w:r>
      <w:r>
        <w:rPr>
          <w:rFonts w:ascii="微软雅黑" w:hAnsi="微软雅黑" w:cs="微软雅黑"/>
          <w:sz w:val="21"/>
          <w:szCs w:val="21"/>
        </w:rPr>
        <w:t>的</w:t>
      </w:r>
      <w:r>
        <w:rPr>
          <w:rFonts w:hint="eastAsia" w:ascii="微软雅黑" w:hAnsi="微软雅黑" w:cs="微软雅黑"/>
          <w:sz w:val="21"/>
          <w:szCs w:val="21"/>
        </w:rPr>
        <w:t>良好</w:t>
      </w:r>
      <w:r>
        <w:rPr>
          <w:rFonts w:ascii="微软雅黑" w:hAnsi="微软雅黑" w:cs="微软雅黑"/>
          <w:sz w:val="21"/>
          <w:szCs w:val="21"/>
        </w:rPr>
        <w:t>预后标志，dMMR患者</w:t>
      </w:r>
      <w:r>
        <w:rPr>
          <w:rFonts w:hint="eastAsia" w:ascii="微软雅黑" w:hAnsi="微软雅黑" w:cs="微软雅黑"/>
          <w:sz w:val="21"/>
          <w:szCs w:val="21"/>
        </w:rPr>
        <w:t>无法</w:t>
      </w:r>
      <w:r>
        <w:rPr>
          <w:rFonts w:ascii="微软雅黑" w:hAnsi="微软雅黑" w:cs="微软雅黑"/>
          <w:sz w:val="21"/>
          <w:szCs w:val="21"/>
        </w:rPr>
        <w:t>从辅助治疗中获益</w:t>
      </w:r>
      <w:r>
        <w:rPr>
          <w:rFonts w:hint="eastAsia" w:ascii="微软雅黑" w:hAnsi="微软雅黑" w:cs="微软雅黑"/>
          <w:sz w:val="21"/>
          <w:szCs w:val="21"/>
          <w:vertAlign w:val="superscript"/>
        </w:rPr>
        <w:t>[47，48]</w:t>
      </w:r>
      <w:r>
        <w:rPr>
          <w:rFonts w:ascii="微软雅黑" w:hAnsi="微软雅黑" w:cs="微软雅黑"/>
          <w:sz w:val="21"/>
          <w:szCs w:val="21"/>
        </w:rPr>
        <w:t>。</w:t>
      </w:r>
    </w:p>
    <w:p w14:paraId="543D5CE5">
      <w:pPr>
        <w:ind w:firstLine="420" w:firstLineChars="200"/>
        <w:rPr>
          <w:rFonts w:ascii="微软雅黑" w:hAnsi="微软雅黑" w:cs="微软雅黑"/>
          <w:sz w:val="21"/>
          <w:szCs w:val="21"/>
        </w:rPr>
      </w:pPr>
      <w:r>
        <w:rPr>
          <w:rFonts w:hint="eastAsia" w:ascii="微软雅黑" w:hAnsi="微软雅黑" w:cs="微软雅黑"/>
          <w:sz w:val="21"/>
          <w:szCs w:val="21"/>
        </w:rPr>
        <w:t>研究表明</w:t>
      </w:r>
      <w:r>
        <w:rPr>
          <w:rFonts w:ascii="微软雅黑" w:hAnsi="微软雅黑" w:cs="微软雅黑"/>
          <w:sz w:val="21"/>
          <w:szCs w:val="21"/>
        </w:rPr>
        <w:t>，5-氟尿嘧啶</w:t>
      </w:r>
      <w:r>
        <w:rPr>
          <w:rFonts w:hint="eastAsia" w:ascii="微软雅黑" w:hAnsi="微软雅黑" w:cs="微软雅黑"/>
          <w:sz w:val="21"/>
          <w:szCs w:val="21"/>
        </w:rPr>
        <w:t>、</w:t>
      </w:r>
      <w:r>
        <w:rPr>
          <w:rFonts w:ascii="微软雅黑" w:hAnsi="微软雅黑" w:cs="微软雅黑"/>
          <w:sz w:val="21"/>
          <w:szCs w:val="21"/>
        </w:rPr>
        <w:t>亚叶酸</w:t>
      </w:r>
      <w:r>
        <w:rPr>
          <w:rFonts w:hint="eastAsia" w:ascii="微软雅黑" w:hAnsi="微软雅黑" w:cs="微软雅黑"/>
          <w:sz w:val="21"/>
          <w:szCs w:val="21"/>
        </w:rPr>
        <w:t>、</w:t>
      </w:r>
      <w:r>
        <w:rPr>
          <w:rFonts w:ascii="微软雅黑" w:hAnsi="微软雅黑" w:cs="微软雅黑"/>
          <w:sz w:val="21"/>
          <w:szCs w:val="21"/>
        </w:rPr>
        <w:t>奥沙利铂</w:t>
      </w:r>
      <w:r>
        <w:rPr>
          <w:rFonts w:hint="eastAsia" w:ascii="微软雅黑" w:hAnsi="微软雅黑" w:cs="微软雅黑"/>
          <w:sz w:val="21"/>
          <w:szCs w:val="21"/>
        </w:rPr>
        <w:t>、</w:t>
      </w:r>
      <w:r>
        <w:rPr>
          <w:rFonts w:ascii="微软雅黑" w:hAnsi="微软雅黑" w:cs="微软雅黑"/>
          <w:sz w:val="21"/>
          <w:szCs w:val="21"/>
        </w:rPr>
        <w:t>伊立替康（FOLFOXIRI方案）组成的双联体（两种化学治疗剂）和三联体（三种化学治疗剂）</w:t>
      </w:r>
      <w:r>
        <w:rPr>
          <w:rFonts w:hint="eastAsia" w:ascii="微软雅黑" w:hAnsi="微软雅黑" w:cs="微软雅黑"/>
          <w:sz w:val="21"/>
          <w:szCs w:val="21"/>
        </w:rPr>
        <w:t>疗效较好</w:t>
      </w:r>
      <w:r>
        <w:rPr>
          <w:rFonts w:hint="eastAsia" w:ascii="微软雅黑" w:hAnsi="微软雅黑" w:cs="微软雅黑"/>
          <w:sz w:val="21"/>
          <w:szCs w:val="21"/>
          <w:vertAlign w:val="superscript"/>
        </w:rPr>
        <w:t>[49]</w:t>
      </w:r>
      <w:r>
        <w:rPr>
          <w:rFonts w:hint="eastAsia" w:ascii="微软雅黑" w:hAnsi="微软雅黑" w:cs="微软雅黑"/>
          <w:sz w:val="21"/>
          <w:szCs w:val="21"/>
        </w:rPr>
        <w:t>，</w:t>
      </w:r>
      <w:r>
        <w:rPr>
          <w:rFonts w:ascii="微软雅黑" w:hAnsi="微软雅黑" w:cs="微软雅黑"/>
          <w:sz w:val="21"/>
          <w:szCs w:val="21"/>
        </w:rPr>
        <w:t>与氟嘧啶单药相比，化疗</w:t>
      </w:r>
      <w:r>
        <w:rPr>
          <w:rFonts w:hint="eastAsia" w:ascii="微软雅黑" w:hAnsi="微软雅黑" w:cs="微软雅黑"/>
          <w:sz w:val="21"/>
          <w:szCs w:val="21"/>
        </w:rPr>
        <w:t>联合方案</w:t>
      </w:r>
      <w:r>
        <w:rPr>
          <w:rFonts w:ascii="微软雅黑" w:hAnsi="微软雅黑" w:cs="微软雅黑"/>
          <w:sz w:val="21"/>
          <w:szCs w:val="21"/>
        </w:rPr>
        <w:t>控制肿瘤生长</w:t>
      </w:r>
      <w:r>
        <w:rPr>
          <w:rFonts w:hint="eastAsia" w:ascii="微软雅黑" w:hAnsi="微软雅黑" w:cs="微软雅黑"/>
          <w:sz w:val="21"/>
          <w:szCs w:val="21"/>
        </w:rPr>
        <w:t>效果更好</w:t>
      </w:r>
      <w:r>
        <w:rPr>
          <w:rFonts w:ascii="微软雅黑" w:hAnsi="微软雅黑" w:cs="微软雅黑"/>
          <w:sz w:val="21"/>
          <w:szCs w:val="21"/>
        </w:rPr>
        <w:t>。但是，老年和体弱</w:t>
      </w:r>
      <w:r>
        <w:rPr>
          <w:rFonts w:hint="eastAsia" w:ascii="微软雅黑" w:hAnsi="微软雅黑" w:cs="微软雅黑"/>
          <w:sz w:val="21"/>
          <w:szCs w:val="21"/>
        </w:rPr>
        <w:t>的</w:t>
      </w:r>
      <w:r>
        <w:rPr>
          <w:rFonts w:ascii="微软雅黑" w:hAnsi="微软雅黑" w:cs="微软雅黑"/>
          <w:sz w:val="21"/>
          <w:szCs w:val="21"/>
        </w:rPr>
        <w:t>患者可能会受益于先后采用单药氟嘧啶单药化疗或氟嘧啶与VEGF-A靶向疗法联合治疗</w:t>
      </w:r>
      <w:r>
        <w:rPr>
          <w:rFonts w:hint="eastAsia" w:ascii="微软雅黑" w:hAnsi="微软雅黑" w:cs="微软雅黑"/>
          <w:sz w:val="21"/>
          <w:szCs w:val="21"/>
        </w:rPr>
        <w:t>手段（图6）。</w:t>
      </w:r>
    </w:p>
    <w:p w14:paraId="176B5001">
      <w:pPr>
        <w:ind w:firstLine="420" w:firstLineChars="200"/>
        <w:jc w:val="both"/>
        <w:rPr>
          <w:rFonts w:ascii="微软雅黑" w:hAnsi="微软雅黑" w:cs="微软雅黑"/>
          <w:sz w:val="21"/>
          <w:szCs w:val="21"/>
        </w:rPr>
      </w:pPr>
      <w:r>
        <w:rPr>
          <w:rFonts w:hint="eastAsia" w:ascii="微软雅黑" w:hAnsi="微软雅黑" w:cs="微软雅黑"/>
          <w:sz w:val="21"/>
          <w:szCs w:val="21"/>
        </w:rPr>
        <w:t>关于化疗时间，目前标准方案是辅助化疗6个月。但IDEA研究中6个随机的III期临床试验数据表明，III期低风险期结肠癌(不包括T4期或N2期)患者，辅助化疗控制在3个月可以降低毒性（例如，减少累积性神经病变），而不影响治疗效果</w:t>
      </w:r>
      <w:r>
        <w:rPr>
          <w:rFonts w:hint="eastAsia" w:ascii="微软雅黑" w:hAnsi="微软雅黑" w:cs="微软雅黑"/>
          <w:sz w:val="21"/>
          <w:szCs w:val="21"/>
          <w:vertAlign w:val="superscript"/>
        </w:rPr>
        <w:t>[50]</w:t>
      </w:r>
      <w:r>
        <w:rPr>
          <w:rFonts w:hint="eastAsia" w:ascii="微软雅黑" w:hAnsi="微软雅黑" w:cs="微软雅黑"/>
          <w:sz w:val="21"/>
          <w:szCs w:val="21"/>
        </w:rPr>
        <w:t>。</w:t>
      </w:r>
    </w:p>
    <w:p w14:paraId="04D796CE">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368165" cy="3756025"/>
            <wp:effectExtent l="0" t="0" r="13335" b="15875"/>
            <wp:docPr id="10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图片 2"/>
                    <pic:cNvPicPr>
                      <a:picLocks noChangeAspect="1"/>
                    </pic:cNvPicPr>
                  </pic:nvPicPr>
                  <pic:blipFill>
                    <a:blip r:embed="rId33"/>
                    <a:stretch>
                      <a:fillRect/>
                    </a:stretch>
                  </pic:blipFill>
                  <pic:spPr>
                    <a:xfrm>
                      <a:off x="0" y="0"/>
                      <a:ext cx="4368165" cy="3756025"/>
                    </a:xfrm>
                    <a:prstGeom prst="rect">
                      <a:avLst/>
                    </a:prstGeom>
                    <a:noFill/>
                    <a:ln>
                      <a:noFill/>
                    </a:ln>
                  </pic:spPr>
                </pic:pic>
              </a:graphicData>
            </a:graphic>
          </wp:inline>
        </w:drawing>
      </w:r>
    </w:p>
    <w:p w14:paraId="422FEB89">
      <w:pPr>
        <w:ind w:firstLine="400" w:firstLineChars="200"/>
        <w:jc w:val="center"/>
        <w:rPr>
          <w:rFonts w:ascii="微软雅黑" w:hAnsi="微软雅黑" w:cs="微软雅黑"/>
          <w:sz w:val="20"/>
          <w:szCs w:val="20"/>
        </w:rPr>
      </w:pPr>
      <w:r>
        <w:rPr>
          <w:rFonts w:hint="eastAsia" w:ascii="微软雅黑" w:hAnsi="微软雅黑" w:cs="微软雅黑"/>
          <w:sz w:val="20"/>
          <w:szCs w:val="20"/>
        </w:rPr>
        <w:t>图6 结直肠癌系统治疗药物组合</w:t>
      </w:r>
      <w:r>
        <w:rPr>
          <w:rFonts w:hint="eastAsia" w:ascii="微软雅黑" w:hAnsi="微软雅黑" w:cs="微软雅黑"/>
          <w:sz w:val="20"/>
          <w:szCs w:val="20"/>
          <w:vertAlign w:val="superscript"/>
        </w:rPr>
        <w:t>[1]</w:t>
      </w:r>
    </w:p>
    <w:p w14:paraId="1F473F55">
      <w:pPr>
        <w:jc w:val="both"/>
        <w:rPr>
          <w:rFonts w:ascii="微软雅黑" w:hAnsi="微软雅黑" w:cs="微软雅黑"/>
          <w:b/>
          <w:bCs/>
          <w:sz w:val="21"/>
          <w:szCs w:val="21"/>
        </w:rPr>
      </w:pPr>
      <w:r>
        <w:rPr>
          <w:rFonts w:hint="eastAsia" w:ascii="微软雅黑" w:hAnsi="微软雅黑" w:cs="微软雅黑"/>
          <w:b/>
          <w:bCs/>
          <w:sz w:val="21"/>
          <w:szCs w:val="21"/>
        </w:rPr>
        <w:t>4.4 靶向与免疫治疗</w:t>
      </w:r>
    </w:p>
    <w:p w14:paraId="3DAAB7D2">
      <w:pPr>
        <w:ind w:firstLine="420" w:firstLineChars="200"/>
        <w:jc w:val="both"/>
        <w:rPr>
          <w:rFonts w:ascii="微软雅黑" w:hAnsi="微软雅黑" w:cs="微软雅黑"/>
          <w:sz w:val="21"/>
          <w:szCs w:val="21"/>
        </w:rPr>
      </w:pPr>
      <w:r>
        <w:rPr>
          <w:rFonts w:hint="eastAsia" w:ascii="微软雅黑" w:hAnsi="微软雅黑" w:cs="微软雅黑"/>
          <w:sz w:val="21"/>
          <w:szCs w:val="21"/>
        </w:rPr>
        <w:t>目前结直肠癌靶向及免疫治疗主要包括四大类药物：单克隆抗体、抗血管生成抑制剂、特异性位点靶向药以及免疫检查点抑制剂。根据肿瘤突变状态的不同，治疗决策有所不同。</w:t>
      </w:r>
    </w:p>
    <w:p w14:paraId="4BA36163">
      <w:pPr>
        <w:jc w:val="both"/>
        <w:rPr>
          <w:rFonts w:ascii="微软雅黑" w:hAnsi="微软雅黑" w:cs="微软雅黑"/>
          <w:sz w:val="21"/>
          <w:szCs w:val="21"/>
        </w:rPr>
      </w:pPr>
      <w:r>
        <w:rPr>
          <w:rFonts w:hint="eastAsia" w:ascii="微软雅黑" w:hAnsi="微软雅黑" w:cs="微软雅黑"/>
          <w:sz w:val="21"/>
          <w:szCs w:val="21"/>
        </w:rPr>
        <w:t>4.4.1 EGFR单克隆抗体</w:t>
      </w:r>
    </w:p>
    <w:p w14:paraId="506C1BFC">
      <w:pPr>
        <w:ind w:firstLine="420" w:firstLineChars="200"/>
        <w:jc w:val="both"/>
        <w:rPr>
          <w:rFonts w:ascii="微软雅黑" w:hAnsi="微软雅黑" w:cs="微软雅黑"/>
          <w:sz w:val="21"/>
          <w:szCs w:val="21"/>
        </w:rPr>
      </w:pPr>
      <w:r>
        <w:rPr>
          <w:rFonts w:hint="eastAsia" w:ascii="微软雅黑" w:hAnsi="微软雅黑" w:cs="微软雅黑"/>
          <w:sz w:val="21"/>
          <w:szCs w:val="21"/>
        </w:rPr>
        <w:t>大约</w:t>
      </w:r>
      <w:r>
        <w:rPr>
          <w:rFonts w:ascii="微软雅黑" w:hAnsi="微软雅黑" w:cs="微软雅黑"/>
          <w:sz w:val="21"/>
          <w:szCs w:val="21"/>
        </w:rPr>
        <w:t>80％</w:t>
      </w:r>
      <w:r>
        <w:rPr>
          <w:rFonts w:hint="eastAsia" w:ascii="微软雅黑" w:hAnsi="微软雅黑" w:cs="微软雅黑"/>
          <w:sz w:val="21"/>
          <w:szCs w:val="21"/>
        </w:rPr>
        <w:t>左右的结直</w:t>
      </w:r>
      <w:r>
        <w:rPr>
          <w:rFonts w:ascii="微软雅黑" w:hAnsi="微软雅黑" w:cs="微软雅黑"/>
          <w:sz w:val="21"/>
          <w:szCs w:val="21"/>
        </w:rPr>
        <w:t>肠癌表达或过表达EGFR</w:t>
      </w:r>
      <w:r>
        <w:rPr>
          <w:rFonts w:hint="eastAsia" w:ascii="微软雅黑" w:hAnsi="微软雅黑" w:cs="微软雅黑"/>
          <w:sz w:val="21"/>
          <w:szCs w:val="21"/>
        </w:rPr>
        <w:t>，且</w:t>
      </w:r>
      <w:r>
        <w:rPr>
          <w:rFonts w:ascii="微软雅黑" w:hAnsi="微软雅黑" w:cs="微软雅黑"/>
          <w:sz w:val="21"/>
          <w:szCs w:val="21"/>
        </w:rPr>
        <w:t>EGFR过表达</w:t>
      </w:r>
      <w:r>
        <w:rPr>
          <w:rFonts w:hint="eastAsia" w:ascii="微软雅黑" w:hAnsi="微软雅黑" w:cs="微软雅黑"/>
          <w:sz w:val="21"/>
          <w:szCs w:val="21"/>
        </w:rPr>
        <w:t>的结直肠癌患者</w:t>
      </w:r>
      <w:r>
        <w:rPr>
          <w:rFonts w:ascii="微软雅黑" w:hAnsi="微软雅黑" w:cs="微软雅黑"/>
          <w:sz w:val="21"/>
          <w:szCs w:val="21"/>
        </w:rPr>
        <w:t>生存率降低</w:t>
      </w:r>
      <w:r>
        <w:rPr>
          <w:rFonts w:hint="eastAsia" w:ascii="微软雅黑" w:hAnsi="微软雅黑" w:cs="微软雅黑"/>
          <w:sz w:val="21"/>
          <w:szCs w:val="21"/>
        </w:rPr>
        <w:t>、</w:t>
      </w:r>
      <w:r>
        <w:rPr>
          <w:rFonts w:ascii="微软雅黑" w:hAnsi="微软雅黑" w:cs="微软雅黑"/>
          <w:sz w:val="21"/>
          <w:szCs w:val="21"/>
        </w:rPr>
        <w:t>转移</w:t>
      </w:r>
      <w:r>
        <w:rPr>
          <w:rFonts w:hint="eastAsia" w:ascii="微软雅黑" w:hAnsi="微软雅黑" w:cs="微软雅黑"/>
          <w:sz w:val="21"/>
          <w:szCs w:val="21"/>
        </w:rPr>
        <w:t>风</w:t>
      </w:r>
      <w:r>
        <w:rPr>
          <w:rFonts w:ascii="微软雅黑" w:hAnsi="微软雅黑" w:cs="微软雅黑"/>
          <w:sz w:val="21"/>
          <w:szCs w:val="21"/>
        </w:rPr>
        <w:t>险增加。</w:t>
      </w:r>
      <w:r>
        <w:rPr>
          <w:rFonts w:hint="eastAsia" w:ascii="微软雅黑" w:hAnsi="微软雅黑" w:cs="微软雅黑"/>
          <w:sz w:val="21"/>
          <w:szCs w:val="21"/>
        </w:rPr>
        <w:t>EGFR单克隆抗体通过</w:t>
      </w:r>
      <w:r>
        <w:rPr>
          <w:rFonts w:ascii="微软雅黑" w:hAnsi="微软雅黑" w:cs="微软雅黑"/>
          <w:sz w:val="21"/>
          <w:szCs w:val="21"/>
        </w:rPr>
        <w:t>诱饵受体</w:t>
      </w:r>
      <w:r>
        <w:rPr>
          <w:rFonts w:hint="eastAsia" w:ascii="微软雅黑" w:hAnsi="微软雅黑" w:cs="微软雅黑"/>
          <w:sz w:val="21"/>
          <w:szCs w:val="21"/>
        </w:rPr>
        <w:t>与</w:t>
      </w:r>
      <w:r>
        <w:rPr>
          <w:rFonts w:ascii="微软雅黑" w:hAnsi="微软雅黑" w:cs="微软雅黑"/>
          <w:sz w:val="21"/>
          <w:szCs w:val="21"/>
        </w:rPr>
        <w:t>可溶性配体结合阻断</w:t>
      </w:r>
      <w:r>
        <w:rPr>
          <w:rFonts w:hint="eastAsia" w:ascii="微软雅黑" w:hAnsi="微软雅黑" w:cs="微软雅黑"/>
          <w:sz w:val="21"/>
          <w:szCs w:val="21"/>
        </w:rPr>
        <w:t>、</w:t>
      </w:r>
      <w:r>
        <w:rPr>
          <w:rFonts w:ascii="微软雅黑" w:hAnsi="微软雅黑" w:cs="微软雅黑"/>
          <w:sz w:val="21"/>
          <w:szCs w:val="21"/>
        </w:rPr>
        <w:t>抑制受体二聚化</w:t>
      </w:r>
      <w:r>
        <w:rPr>
          <w:rFonts w:hint="eastAsia" w:ascii="微软雅黑" w:hAnsi="微软雅黑" w:cs="微软雅黑"/>
          <w:sz w:val="21"/>
          <w:szCs w:val="21"/>
        </w:rPr>
        <w:t>，或通过与酪氨酸激酶结构域ATP受体口袋结合的方式，使</w:t>
      </w:r>
      <w:r>
        <w:rPr>
          <w:rFonts w:ascii="微软雅黑" w:hAnsi="微软雅黑" w:cs="微软雅黑"/>
          <w:sz w:val="21"/>
          <w:szCs w:val="21"/>
        </w:rPr>
        <w:t>EGFR酪氨酸激酶受体胞外区域被单克隆抗体特异性阻断。</w:t>
      </w:r>
      <w:r>
        <w:rPr>
          <w:rFonts w:hint="eastAsia" w:ascii="微软雅黑" w:hAnsi="微软雅黑" w:cs="微软雅黑"/>
          <w:sz w:val="21"/>
          <w:szCs w:val="21"/>
        </w:rPr>
        <w:t>多项临床数据表明，</w:t>
      </w:r>
      <w:r>
        <w:rPr>
          <w:rFonts w:ascii="微软雅黑" w:hAnsi="微软雅黑" w:cs="微软雅黑"/>
          <w:sz w:val="21"/>
          <w:szCs w:val="21"/>
        </w:rPr>
        <w:t>西妥昔单抗（重组嵌合</w:t>
      </w:r>
      <w:r>
        <w:rPr>
          <w:rFonts w:hint="eastAsia" w:ascii="微软雅黑" w:hAnsi="微软雅黑" w:cs="微软雅黑"/>
          <w:sz w:val="21"/>
          <w:szCs w:val="21"/>
        </w:rPr>
        <w:t>型</w:t>
      </w:r>
      <w:r>
        <w:rPr>
          <w:rFonts w:ascii="微软雅黑" w:hAnsi="微软雅黑" w:cs="微软雅黑"/>
          <w:sz w:val="21"/>
          <w:szCs w:val="21"/>
        </w:rPr>
        <w:t>IgG1单克隆抗体）和帕尼单抗（</w:t>
      </w:r>
      <w:r>
        <w:rPr>
          <w:rFonts w:hint="eastAsia" w:ascii="微软雅黑" w:hAnsi="微软雅黑" w:cs="微软雅黑"/>
          <w:sz w:val="21"/>
          <w:szCs w:val="21"/>
        </w:rPr>
        <w:t>人</w:t>
      </w:r>
      <w:r>
        <w:rPr>
          <w:rFonts w:ascii="微软雅黑" w:hAnsi="微软雅黑" w:cs="微软雅黑"/>
          <w:sz w:val="21"/>
          <w:szCs w:val="21"/>
        </w:rPr>
        <w:t>EGFR特异性抗体）</w:t>
      </w:r>
      <w:r>
        <w:rPr>
          <w:rFonts w:hint="eastAsia" w:ascii="微软雅黑" w:hAnsi="微软雅黑" w:cs="微软雅黑"/>
          <w:sz w:val="21"/>
          <w:szCs w:val="21"/>
        </w:rPr>
        <w:t>能够</w:t>
      </w:r>
      <w:r>
        <w:rPr>
          <w:rFonts w:ascii="微软雅黑" w:hAnsi="微软雅黑" w:cs="微软雅黑"/>
          <w:sz w:val="21"/>
          <w:szCs w:val="21"/>
        </w:rPr>
        <w:t>提高肿瘤的总体缓解率，</w:t>
      </w:r>
      <w:r>
        <w:rPr>
          <w:rFonts w:hint="eastAsia" w:ascii="微软雅黑" w:hAnsi="微软雅黑" w:cs="微软雅黑"/>
          <w:sz w:val="21"/>
          <w:szCs w:val="21"/>
        </w:rPr>
        <w:t>对</w:t>
      </w:r>
      <w:r>
        <w:rPr>
          <w:rFonts w:ascii="微软雅黑" w:hAnsi="微软雅黑" w:cs="微软雅黑"/>
          <w:sz w:val="21"/>
          <w:szCs w:val="21"/>
        </w:rPr>
        <w:t>未接受过化疗及</w:t>
      </w:r>
      <w:r>
        <w:rPr>
          <w:rFonts w:hint="eastAsia" w:ascii="微软雅黑" w:hAnsi="微软雅黑" w:cs="微软雅黑"/>
          <w:sz w:val="21"/>
          <w:szCs w:val="21"/>
        </w:rPr>
        <w:t>化疗难治型</w:t>
      </w:r>
      <w:r>
        <w:rPr>
          <w:rFonts w:ascii="微软雅黑" w:hAnsi="微软雅黑" w:cs="微软雅黑"/>
          <w:sz w:val="21"/>
          <w:szCs w:val="21"/>
        </w:rPr>
        <w:t>患者</w:t>
      </w:r>
      <w:r>
        <w:rPr>
          <w:rFonts w:hint="eastAsia" w:ascii="微软雅黑" w:hAnsi="微软雅黑" w:cs="微软雅黑"/>
          <w:sz w:val="21"/>
          <w:szCs w:val="21"/>
        </w:rPr>
        <w:t>有效，从而</w:t>
      </w:r>
      <w:r>
        <w:rPr>
          <w:rFonts w:ascii="微软雅黑" w:hAnsi="微软雅黑" w:cs="微软雅黑"/>
          <w:sz w:val="21"/>
          <w:szCs w:val="21"/>
        </w:rPr>
        <w:t>改善转移性结直肠癌患者的无进展生存期</w:t>
      </w:r>
      <w:r>
        <w:rPr>
          <w:rFonts w:hint="eastAsia" w:ascii="微软雅黑" w:hAnsi="微软雅黑" w:cs="微软雅黑"/>
          <w:sz w:val="21"/>
          <w:szCs w:val="21"/>
        </w:rPr>
        <w:t>（PFS）</w:t>
      </w:r>
      <w:r>
        <w:rPr>
          <w:rFonts w:ascii="微软雅黑" w:hAnsi="微软雅黑" w:cs="微软雅黑"/>
          <w:sz w:val="21"/>
          <w:szCs w:val="21"/>
        </w:rPr>
        <w:t>甚至总体生存期</w:t>
      </w:r>
      <w:r>
        <w:rPr>
          <w:rFonts w:hint="eastAsia" w:ascii="微软雅黑" w:hAnsi="微软雅黑" w:cs="微软雅黑"/>
          <w:sz w:val="21"/>
          <w:szCs w:val="21"/>
        </w:rPr>
        <w:t>（OS）</w:t>
      </w:r>
      <w:r>
        <w:rPr>
          <w:rFonts w:ascii="微软雅黑" w:hAnsi="微软雅黑" w:cs="微软雅黑"/>
          <w:sz w:val="21"/>
          <w:szCs w:val="21"/>
        </w:rPr>
        <w:t>。</w:t>
      </w:r>
      <w:r>
        <w:rPr>
          <w:rFonts w:hint="eastAsia" w:ascii="微软雅黑" w:hAnsi="微软雅黑" w:cs="微软雅黑"/>
          <w:sz w:val="21"/>
          <w:szCs w:val="21"/>
        </w:rPr>
        <w:t>值得注意的是，可能由于右半结直肠癌与左半结肠肿瘤的胚胎起源不同（图4），在一线转移瘤治疗中，右半结直肠癌使用EGFR单抗治疗获益较左半结肠癌差异显著</w:t>
      </w:r>
      <w:r>
        <w:rPr>
          <w:rFonts w:hint="eastAsia" w:ascii="微软雅黑" w:hAnsi="微软雅黑" w:cs="微软雅黑"/>
          <w:sz w:val="21"/>
          <w:szCs w:val="21"/>
          <w:vertAlign w:val="superscript"/>
        </w:rPr>
        <w:t>[51]</w:t>
      </w:r>
      <w:r>
        <w:rPr>
          <w:rFonts w:hint="eastAsia" w:ascii="微软雅黑" w:hAnsi="微软雅黑" w:cs="微软雅黑"/>
          <w:sz w:val="21"/>
          <w:szCs w:val="21"/>
        </w:rPr>
        <w:t>，并在多项随机研究合并分析中得到证实</w:t>
      </w:r>
      <w:r>
        <w:rPr>
          <w:rFonts w:hint="eastAsia" w:ascii="微软雅黑" w:hAnsi="微软雅黑" w:cs="微软雅黑"/>
          <w:sz w:val="21"/>
          <w:szCs w:val="21"/>
          <w:vertAlign w:val="superscript"/>
        </w:rPr>
        <w:t>[52]</w:t>
      </w:r>
      <w:r>
        <w:rPr>
          <w:rFonts w:hint="eastAsia" w:ascii="微软雅黑" w:hAnsi="微软雅黑" w:cs="微软雅黑"/>
          <w:sz w:val="21"/>
          <w:szCs w:val="21"/>
        </w:rPr>
        <w:t>。除了侧边性，结直肠癌接受EGFR单抗治疗前，还应该进行RAS和RAF (KRAS、NRAS和BRAF)突变检测</w:t>
      </w:r>
      <w:r>
        <w:rPr>
          <w:rFonts w:hint="eastAsia" w:ascii="微软雅黑" w:hAnsi="微软雅黑" w:cs="微软雅黑"/>
          <w:sz w:val="21"/>
          <w:szCs w:val="21"/>
          <w:vertAlign w:val="superscript"/>
        </w:rPr>
        <w:t>[53,54]</w:t>
      </w:r>
      <w:r>
        <w:rPr>
          <w:rFonts w:hint="eastAsia" w:ascii="微软雅黑" w:hAnsi="微软雅黑" w:cs="微软雅黑"/>
          <w:sz w:val="21"/>
          <w:szCs w:val="21"/>
        </w:rPr>
        <w:t>，携带KRAS、NRAS、BRAF</w:t>
      </w:r>
      <w:r>
        <w:rPr>
          <w:rFonts w:ascii="微软雅黑" w:hAnsi="微软雅黑" w:cs="微软雅黑"/>
          <w:sz w:val="21"/>
          <w:szCs w:val="21"/>
        </w:rPr>
        <w:t>激活突变</w:t>
      </w:r>
      <w:r>
        <w:rPr>
          <w:rFonts w:hint="eastAsia" w:ascii="微软雅黑" w:hAnsi="微软雅黑" w:cs="微软雅黑"/>
          <w:sz w:val="21"/>
          <w:szCs w:val="21"/>
        </w:rPr>
        <w:t>的肿瘤对西妥昔单抗、帕尼单抗无效</w:t>
      </w:r>
      <w:r>
        <w:rPr>
          <w:rFonts w:hint="eastAsia" w:ascii="微软雅黑" w:hAnsi="微软雅黑" w:cs="微软雅黑"/>
          <w:sz w:val="21"/>
          <w:szCs w:val="21"/>
          <w:vertAlign w:val="superscript"/>
        </w:rPr>
        <w:t>[55,56]</w:t>
      </w:r>
      <w:r>
        <w:rPr>
          <w:rFonts w:hint="eastAsia" w:ascii="微软雅黑" w:hAnsi="微软雅黑" w:cs="微软雅黑"/>
          <w:sz w:val="21"/>
          <w:szCs w:val="21"/>
        </w:rPr>
        <w:t>。</w:t>
      </w:r>
    </w:p>
    <w:p w14:paraId="4D9A884F">
      <w:pPr>
        <w:jc w:val="both"/>
        <w:rPr>
          <w:rFonts w:ascii="微软雅黑" w:hAnsi="微软雅黑" w:cs="微软雅黑"/>
          <w:sz w:val="21"/>
          <w:szCs w:val="21"/>
        </w:rPr>
      </w:pPr>
      <w:r>
        <w:rPr>
          <w:rFonts w:hint="eastAsia" w:ascii="微软雅黑" w:hAnsi="微软雅黑" w:cs="微软雅黑"/>
          <w:sz w:val="21"/>
          <w:szCs w:val="21"/>
        </w:rPr>
        <w:t>4.4.2抗血管生成抑制剂</w:t>
      </w:r>
    </w:p>
    <w:p w14:paraId="52A242BE">
      <w:pPr>
        <w:ind w:firstLine="420" w:firstLineChars="200"/>
        <w:jc w:val="both"/>
        <w:rPr>
          <w:rFonts w:ascii="微软雅黑" w:hAnsi="微软雅黑" w:cs="微软雅黑"/>
          <w:sz w:val="21"/>
          <w:szCs w:val="21"/>
        </w:rPr>
      </w:pPr>
      <w:r>
        <w:rPr>
          <w:rFonts w:hint="eastAsia" w:ascii="微软雅黑" w:hAnsi="微软雅黑" w:cs="微软雅黑"/>
          <w:sz w:val="21"/>
          <w:szCs w:val="21"/>
        </w:rPr>
        <w:t>肿瘤达到临界尺寸</w:t>
      </w:r>
      <w:r>
        <w:rPr>
          <w:rFonts w:hint="eastAsia" w:ascii="微软雅黑" w:hAnsi="微软雅黑" w:cs="微软雅黑"/>
          <w:sz w:val="21"/>
          <w:szCs w:val="21"/>
          <w:vertAlign w:val="superscript"/>
        </w:rPr>
        <w:t>[57]</w:t>
      </w:r>
      <w:r>
        <w:rPr>
          <w:rFonts w:hint="eastAsia" w:ascii="微软雅黑" w:hAnsi="微软雅黑" w:cs="微软雅黑"/>
          <w:sz w:val="21"/>
          <w:szCs w:val="21"/>
        </w:rPr>
        <w:t>就会建立自身血管网络，肿瘤血管生成的主要有效分泌糖蛋白VEGF-A能够与VEGFR-1和VEGFR-2结合。VEGF-A由许多肿瘤和基质细胞产生，可促进内皮细胞增殖、迁移并增加血管通透性。此外，VEGF是多种肿瘤细胞的生长因子，能够特异性作用于转移性结直肠癌，但作用机制尚未完全明确。目前尚无预测抗血管生成药物的生物标志物。</w:t>
      </w:r>
    </w:p>
    <w:p w14:paraId="3E0B2363">
      <w:pPr>
        <w:ind w:firstLine="420" w:firstLineChars="200"/>
        <w:jc w:val="both"/>
        <w:rPr>
          <w:rFonts w:ascii="微软雅黑" w:hAnsi="微软雅黑" w:cs="微软雅黑"/>
          <w:sz w:val="21"/>
          <w:szCs w:val="21"/>
        </w:rPr>
      </w:pPr>
      <w:r>
        <w:rPr>
          <w:rFonts w:hint="eastAsia" w:ascii="微软雅黑" w:hAnsi="微软雅黑" w:cs="微软雅黑"/>
          <w:sz w:val="21"/>
          <w:szCs w:val="21"/>
        </w:rPr>
        <w:t>贝伐珠单抗是一种针对血管生成的VEGF单克隆抗体，首个被批准用于转移性结直肠癌的生物制剂，也是少数在疾病进展后继续治疗仍可使患者获益的药物之一。贝伐珠单抗联合5-氟尿嘧啶与伊立替康联合贝伐珠单抗在III期临床试验中，与单纯化疗相比患者的中位生存期和总生存期（OS）显著改善。接受氟嘧啶和奥沙利铂联合治疗的患者中，加入贝伐珠单抗能够显著改善PFS。同时，与单纯化疗相比，贝伐珠单抗和5-氟尿嘧啶/奥沙利铂的组合也能够使难治性转移性结直肠癌患者中位PFS和OS明显延长</w:t>
      </w:r>
      <w:r>
        <w:rPr>
          <w:rFonts w:hint="eastAsia" w:ascii="微软雅黑" w:hAnsi="微软雅黑" w:cs="微软雅黑"/>
          <w:sz w:val="21"/>
          <w:szCs w:val="21"/>
          <w:vertAlign w:val="superscript"/>
        </w:rPr>
        <w:t>[58]</w:t>
      </w:r>
      <w:r>
        <w:rPr>
          <w:rFonts w:hint="eastAsia" w:ascii="微软雅黑" w:hAnsi="微软雅黑" w:cs="微软雅黑"/>
          <w:sz w:val="21"/>
          <w:szCs w:val="21"/>
        </w:rPr>
        <w:t>。</w:t>
      </w:r>
    </w:p>
    <w:p w14:paraId="456D57F8">
      <w:pPr>
        <w:ind w:firstLine="420" w:firstLineChars="200"/>
        <w:jc w:val="both"/>
        <w:rPr>
          <w:rFonts w:ascii="微软雅黑" w:hAnsi="微软雅黑" w:cs="微软雅黑"/>
          <w:sz w:val="21"/>
          <w:szCs w:val="21"/>
        </w:rPr>
      </w:pPr>
      <w:r>
        <w:rPr>
          <w:rFonts w:hint="eastAsia" w:ascii="微软雅黑" w:hAnsi="微软雅黑" w:cs="微软雅黑"/>
          <w:sz w:val="21"/>
          <w:szCs w:val="21"/>
        </w:rPr>
        <w:t>其它批准用于转移性结直肠癌患者的抗VEGF药物包括阿柏西普、雷莫西尤单抗和瑞戈非尼，以及呋喹替尼等国产药物。阿柏西普是一种重组融合蛋白，作为血管内皮生长因子（VEGF）的可溶性诱饵受体，作用于靶点VEGF-A、VEGF-B和胎盘生长因子（PIGF），比贝伐珠单抗具有更广泛的抗血管生成活性。当与FOLFIRI组合用于转移性疾病治疗的二线治疗时，阿柏西普可改善患者PFS和OS</w:t>
      </w:r>
      <w:r>
        <w:rPr>
          <w:rFonts w:hint="eastAsia" w:ascii="微软雅黑" w:hAnsi="微软雅黑" w:cs="微软雅黑"/>
          <w:sz w:val="21"/>
          <w:szCs w:val="21"/>
          <w:vertAlign w:val="superscript"/>
        </w:rPr>
        <w:t>[59]</w:t>
      </w:r>
      <w:r>
        <w:rPr>
          <w:rFonts w:hint="eastAsia" w:ascii="微软雅黑" w:hAnsi="微软雅黑" w:cs="微软雅黑"/>
          <w:sz w:val="21"/>
          <w:szCs w:val="21"/>
        </w:rPr>
        <w:t>。</w:t>
      </w:r>
    </w:p>
    <w:p w14:paraId="0FB0CDB5">
      <w:pPr>
        <w:jc w:val="both"/>
        <w:rPr>
          <w:rFonts w:ascii="微软雅黑" w:hAnsi="微软雅黑" w:cs="微软雅黑"/>
          <w:sz w:val="21"/>
          <w:szCs w:val="21"/>
        </w:rPr>
      </w:pPr>
      <w:r>
        <w:rPr>
          <w:rFonts w:hint="eastAsia" w:ascii="微软雅黑" w:hAnsi="微软雅黑" w:cs="微软雅黑"/>
          <w:sz w:val="21"/>
          <w:szCs w:val="21"/>
        </w:rPr>
        <w:t>4.4.3 染色体不稳定（CIN）及RAS基因突变</w:t>
      </w:r>
    </w:p>
    <w:p w14:paraId="19EC1CF3">
      <w:pPr>
        <w:jc w:val="both"/>
        <w:rPr>
          <w:rFonts w:ascii="微软雅黑" w:hAnsi="微软雅黑" w:cs="微软雅黑"/>
          <w:sz w:val="21"/>
          <w:szCs w:val="21"/>
        </w:rPr>
      </w:pPr>
      <w:r>
        <w:rPr>
          <w:rFonts w:hint="eastAsia" w:ascii="微软雅黑" w:hAnsi="微软雅黑" w:cs="微软雅黑"/>
          <w:sz w:val="21"/>
          <w:szCs w:val="21"/>
        </w:rPr>
        <w:t>4.4.3.1 染色体不稳定（CIN）</w:t>
      </w:r>
    </w:p>
    <w:p w14:paraId="3D3602EC">
      <w:pPr>
        <w:ind w:firstLine="420" w:firstLineChars="200"/>
        <w:jc w:val="both"/>
        <w:rPr>
          <w:rFonts w:ascii="微软雅黑" w:hAnsi="微软雅黑" w:cs="微软雅黑"/>
          <w:sz w:val="21"/>
          <w:szCs w:val="21"/>
        </w:rPr>
      </w:pPr>
      <w:r>
        <w:rPr>
          <w:rFonts w:hint="eastAsia" w:ascii="微软雅黑" w:hAnsi="微软雅黑" w:cs="微软雅黑"/>
          <w:sz w:val="21"/>
          <w:szCs w:val="21"/>
        </w:rPr>
        <w:t>CIN 指染色体的全部或大部分不断获得的增加或丢失，包括染色体非整倍体改变，部分染色体缺失、插入、倒置和扩增，导致细胞核型变异，是结直肠癌从正常黏膜上皮-腺瘤-腺癌的组织发生过程中癌基因突变激活和抑癌基因失活渐次改变的经典分子模型</w:t>
      </w:r>
      <w:r>
        <w:rPr>
          <w:rFonts w:hint="eastAsia" w:ascii="微软雅黑" w:hAnsi="微软雅黑" w:cs="微软雅黑"/>
          <w:sz w:val="21"/>
          <w:szCs w:val="21"/>
          <w:vertAlign w:val="superscript"/>
        </w:rPr>
        <w:t>[60]</w:t>
      </w:r>
      <w:r>
        <w:rPr>
          <w:rFonts w:hint="eastAsia" w:ascii="微软雅黑" w:hAnsi="微软雅黑" w:cs="微软雅黑"/>
          <w:sz w:val="21"/>
          <w:szCs w:val="21"/>
        </w:rPr>
        <w:t>，如图 7。涉及的基因变化有原癌基因KRAS、C-SRC、C-MYC的激活，以及至少3个抑癌基因的失活：结肠腺瘤性息肉病（adenomatous polyposis coli，APC）基因、TP53、18号染色质长臂的杂合性缺失（18qLOH）</w:t>
      </w:r>
      <w:r>
        <w:rPr>
          <w:rFonts w:hint="eastAsia" w:ascii="微软雅黑" w:hAnsi="微软雅黑" w:cs="微软雅黑"/>
          <w:sz w:val="21"/>
          <w:szCs w:val="21"/>
          <w:vertAlign w:val="superscript"/>
        </w:rPr>
        <w:t>[61]</w:t>
      </w:r>
      <w:r>
        <w:rPr>
          <w:rFonts w:hint="eastAsia" w:ascii="微软雅黑" w:hAnsi="微软雅黑" w:cs="微软雅黑"/>
          <w:sz w:val="21"/>
          <w:szCs w:val="21"/>
        </w:rPr>
        <w:t>。CIN是导致染色体数量（异倍体）的失衡、亚染色体基因的扩增以及杂合性缺失的高频出现的原因之一。</w:t>
      </w:r>
    </w:p>
    <w:p w14:paraId="51A6C323">
      <w:pPr>
        <w:jc w:val="center"/>
        <w:rPr>
          <w:rFonts w:ascii="微软雅黑" w:hAnsi="微软雅黑" w:cs="微软雅黑"/>
          <w:sz w:val="21"/>
          <w:szCs w:val="21"/>
        </w:rPr>
      </w:pPr>
      <w:r>
        <w:rPr>
          <w:rFonts w:hint="eastAsia" w:ascii="微软雅黑" w:hAnsi="微软雅黑" w:cs="微软雅黑"/>
          <w:sz w:val="21"/>
          <w:szCs w:val="21"/>
        </w:rPr>
        <w:drawing>
          <wp:inline distT="0" distB="0" distL="0" distR="0">
            <wp:extent cx="5164455" cy="2489835"/>
            <wp:effectExtent l="0" t="0" r="17145" b="5715"/>
            <wp:docPr id="1033" name="图片 48" descr="../Library/Containers/com.tencent.qq/Data/Library/Application%20Support/QQ/Users/823908067/QQ/Temp.db/05C1A0B5-D29D-44D7-8AE5-B12732649BF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图片 48" descr="../Library/Containers/com.tencent.qq/Data/Library/Application%20Support/QQ/Users/823908067/QQ/Temp.db/05C1A0B5-D29D-44D7-8AE5-B12732649BFB.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5164455" cy="2489835"/>
                    </a:xfrm>
                    <a:prstGeom prst="rect">
                      <a:avLst/>
                    </a:prstGeom>
                    <a:noFill/>
                    <a:ln>
                      <a:noFill/>
                    </a:ln>
                  </pic:spPr>
                </pic:pic>
              </a:graphicData>
            </a:graphic>
          </wp:inline>
        </w:drawing>
      </w:r>
    </w:p>
    <w:p w14:paraId="2E084CD8">
      <w:pPr>
        <w:ind w:firstLine="400" w:firstLineChars="200"/>
        <w:jc w:val="center"/>
        <w:rPr>
          <w:rFonts w:ascii="微软雅黑" w:hAnsi="微软雅黑" w:cs="微软雅黑"/>
          <w:sz w:val="21"/>
          <w:szCs w:val="21"/>
        </w:rPr>
      </w:pPr>
      <w:r>
        <w:rPr>
          <w:rFonts w:hint="eastAsia" w:ascii="微软雅黑" w:hAnsi="微软雅黑" w:cs="微软雅黑"/>
          <w:sz w:val="20"/>
          <w:szCs w:val="20"/>
        </w:rPr>
        <w:t>图7 正常黏膜上皮-腺瘤-腺癌途径</w:t>
      </w:r>
    </w:p>
    <w:p w14:paraId="65B4B601">
      <w:pPr>
        <w:ind w:firstLine="420" w:firstLineChars="200"/>
        <w:jc w:val="both"/>
        <w:rPr>
          <w:rFonts w:ascii="微软雅黑" w:hAnsi="微软雅黑" w:cs="微软雅黑"/>
          <w:sz w:val="21"/>
          <w:szCs w:val="21"/>
        </w:rPr>
      </w:pPr>
      <w:r>
        <w:rPr>
          <w:rFonts w:hint="eastAsia" w:ascii="微软雅黑" w:hAnsi="微软雅黑" w:cs="微软雅黑"/>
          <w:sz w:val="21"/>
          <w:szCs w:val="21"/>
        </w:rPr>
        <w:t>散发性结直肠癌变过程最早期的事件是APC基因的缺失。早于KRAS和TP53基因突变。APC基因被称为结直肠癌发生的“门卫基因”。可通过诱导凋亡发挥其“看门”作用，也参与细胞迁移、黏附、转录激活等进程。它的失活与家族性腺瘤性息肉病密切关联。APC通过负性调控转录因子β-连环蛋白参与Wnt信号通路，而Wnt信号通路是调控细胞增殖、分化的关键通路之一，在胚胎发育及肿瘤发生发展过程中起着重要作用。研究证实，APC基因上的多个突变，包括错义突变、移码突变和无义突变等，都会使其蛋白的表达量下降、不表达或截短，产生突变表型，使其无法与β-连环蛋白结合组成三聚体复合物“GSK-3β、APC、AXIN”。磷酸化降解时，β-连环蛋白被持续激活并大量蓄积在细胞核和细胞质中，导致Wnt信号通路功能紊乱、下游的靶基因如C-Myc、细胞周期蛋白D1（cyclinD1）和Wnt通路反馈调节因子等转录持续增加，引发细胞增殖失控</w:t>
      </w:r>
      <w:r>
        <w:rPr>
          <w:rFonts w:hint="eastAsia" w:ascii="微软雅黑" w:hAnsi="微软雅黑" w:cs="微软雅黑"/>
          <w:sz w:val="21"/>
          <w:szCs w:val="21"/>
          <w:vertAlign w:val="superscript"/>
        </w:rPr>
        <w:t>[87]</w:t>
      </w:r>
      <w:r>
        <w:rPr>
          <w:rFonts w:hint="eastAsia" w:ascii="微软雅黑" w:hAnsi="微软雅黑" w:cs="微软雅黑"/>
          <w:sz w:val="21"/>
          <w:szCs w:val="21"/>
        </w:rPr>
        <w:t>，进而参与了家族性及散发性结直肠癌的发生发展。约有80%的结直肠腺瘤和腺癌中存在APC基因失活突变。</w:t>
      </w:r>
    </w:p>
    <w:p w14:paraId="360B3328">
      <w:pPr>
        <w:jc w:val="both"/>
        <w:rPr>
          <w:rFonts w:ascii="微软雅黑" w:hAnsi="微软雅黑" w:cs="微软雅黑"/>
          <w:sz w:val="21"/>
          <w:szCs w:val="21"/>
        </w:rPr>
      </w:pPr>
      <w:r>
        <w:rPr>
          <w:rFonts w:hint="eastAsia" w:ascii="微软雅黑" w:hAnsi="微软雅黑" w:cs="微软雅黑"/>
          <w:sz w:val="21"/>
          <w:szCs w:val="21"/>
        </w:rPr>
        <w:t>4.4.3.2 RAS基因突变及相关治疗策略</w:t>
      </w:r>
    </w:p>
    <w:p w14:paraId="69766F58">
      <w:pPr>
        <w:ind w:firstLine="420" w:firstLineChars="200"/>
        <w:jc w:val="both"/>
        <w:rPr>
          <w:rFonts w:ascii="微软雅黑" w:hAnsi="微软雅黑" w:cs="微软雅黑"/>
          <w:sz w:val="21"/>
          <w:szCs w:val="21"/>
        </w:rPr>
      </w:pPr>
      <w:r>
        <w:rPr>
          <w:rFonts w:hint="eastAsia" w:ascii="微软雅黑" w:hAnsi="微软雅黑" w:cs="微软雅黑"/>
          <w:sz w:val="21"/>
          <w:szCs w:val="21"/>
        </w:rPr>
        <w:t>CIN的另一重要遗传路径就是KRAS基因突变。KRAS基因属于RAS家族3个亚群（KRAS、HRAS和 NRAS）之一，是这个家族中突变率最高的基因，肠癌突变频率为30%~50%</w:t>
      </w:r>
      <w:r>
        <w:rPr>
          <w:rFonts w:hint="eastAsia" w:ascii="微软雅黑" w:hAnsi="微软雅黑" w:cs="微软雅黑"/>
          <w:sz w:val="21"/>
          <w:szCs w:val="21"/>
          <w:vertAlign w:val="superscript"/>
        </w:rPr>
        <w:t>[62]</w:t>
      </w:r>
      <w:r>
        <w:rPr>
          <w:rFonts w:hint="eastAsia" w:ascii="微软雅黑" w:hAnsi="微软雅黑" w:cs="微软雅黑"/>
          <w:sz w:val="21"/>
          <w:szCs w:val="21"/>
        </w:rPr>
        <w:t>。 RAS蛋白是酪氨酸激酶受体下游效应器，通过不同途径调控细胞众多功能，在细胞分裂、分化、凋亡中起重要作用，突变使Ras GTPase组成型激活，活跃的Ras诱导胞内致癌信号通路增加。其中最有代表性的途径就是丝裂原激活蛋白激酶（MAPK）信号转导途径（Ras-Raf-MEK-ERK）。一旦KRAS基因突变激活，与GDP结合能力降低，GTP取代GDP与Ras结合后，通过Raf激酶磷酸化MAPK激酶（MAP2K），MAP2K再激活MAPK，进而转至细胞核内直接激活转录因子（如C-Myc）促进细胞无限制分裂、增殖。因此，KRAS突变激活是人类多种肿瘤细胞恶性转化的主要原因之一。</w:t>
      </w:r>
    </w:p>
    <w:p w14:paraId="5E68042A">
      <w:pPr>
        <w:ind w:firstLine="420" w:firstLineChars="200"/>
        <w:jc w:val="both"/>
        <w:rPr>
          <w:rFonts w:ascii="微软雅黑" w:hAnsi="微软雅黑" w:cs="微软雅黑"/>
          <w:sz w:val="21"/>
          <w:szCs w:val="21"/>
        </w:rPr>
      </w:pPr>
      <w:r>
        <w:rPr>
          <w:rFonts w:hint="eastAsia" w:ascii="微软雅黑" w:hAnsi="微软雅黑" w:cs="微软雅黑"/>
          <w:sz w:val="21"/>
          <w:szCs w:val="21"/>
        </w:rPr>
        <w:t>对于非MSI型mCRC患者，目前治疗以标准化疗联合或不联合靶向治疗为主。大约50%的CRC患者携带RAS突变，以12和13号密码子突变较为常见。其中，KRAS基因61和146号密码子突变以及NRAS基因12、13和61号密码子突变影响较小</w:t>
      </w:r>
      <w:r>
        <w:rPr>
          <w:rFonts w:hint="eastAsia" w:ascii="微软雅黑" w:hAnsi="微软雅黑" w:cs="微软雅黑"/>
          <w:sz w:val="21"/>
          <w:szCs w:val="21"/>
          <w:vertAlign w:val="superscript"/>
        </w:rPr>
        <w:t>[3]</w:t>
      </w:r>
      <w:r>
        <w:rPr>
          <w:rFonts w:hint="eastAsia" w:ascii="微软雅黑" w:hAnsi="微软雅黑" w:cs="微软雅黑"/>
          <w:sz w:val="21"/>
          <w:szCs w:val="21"/>
        </w:rPr>
        <w:t>。</w:t>
      </w:r>
    </w:p>
    <w:p w14:paraId="70C6C81A">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结直肠癌NCCN指南指出，每一位患者都需进行RAS基因检测，包括KRAS外显子2、3、4及NRAS外显子2、3、4。临床试验表明，RAS野生型患者在标准化疗基础上联合西妥昔单抗或帕尼单抗可延长生存期</w:t>
      </w:r>
      <w:r>
        <w:rPr>
          <w:rFonts w:hint="eastAsia" w:ascii="微软雅黑" w:hAnsi="微软雅黑" w:cs="微软雅黑"/>
          <w:sz w:val="21"/>
          <w:szCs w:val="21"/>
          <w:vertAlign w:val="superscript"/>
        </w:rPr>
        <w:t>[63]</w:t>
      </w:r>
      <w:r>
        <w:rPr>
          <w:rFonts w:hint="eastAsia" w:ascii="微软雅黑" w:hAnsi="微软雅黑" w:cs="微软雅黑"/>
          <w:sz w:val="21"/>
          <w:szCs w:val="21"/>
        </w:rPr>
        <w:t>。因此，RAS野生型患者可采用化疗联合西妥昔单抗或帕尼单抗进行治疗。而RAS基因突变是EGFR单抗的负性疗效预测指标</w:t>
      </w:r>
      <w:r>
        <w:rPr>
          <w:rFonts w:hint="eastAsia" w:ascii="微软雅黑" w:hAnsi="微软雅黑" w:cs="微软雅黑"/>
          <w:sz w:val="21"/>
          <w:szCs w:val="21"/>
          <w:vertAlign w:val="superscript"/>
        </w:rPr>
        <w:t>[63]</w:t>
      </w:r>
      <w:r>
        <w:rPr>
          <w:rFonts w:hint="eastAsia" w:ascii="微软雅黑" w:hAnsi="微软雅黑" w:cs="微软雅黑"/>
          <w:sz w:val="21"/>
          <w:szCs w:val="21"/>
        </w:rPr>
        <w:t>，即存在RAS突变的肠癌患者不能从EGFR靶点的靶向治疗中受益，不论是EGFR的单抗西妥昔单抗、帕尼单抗，还是厄洛替尼、吉非替尼等小分子酪氨酸酶抑制剂。针对RAS基因突变，目前FDA尚未批准相应靶向治疗药物，但有临床试验新药在研，临床试验疗效较好的主要是KRAS G12C小分子抑制剂索托拉西布（AMG510）、Adagrasib（MRTX849）和VS-6766。</w:t>
      </w:r>
    </w:p>
    <w:p w14:paraId="2D8E3E51">
      <w:pPr>
        <w:ind w:firstLine="420" w:firstLineChars="200"/>
        <w:jc w:val="both"/>
        <w:rPr>
          <w:rFonts w:ascii="微软雅黑" w:hAnsi="微软雅黑" w:cs="微软雅黑"/>
          <w:sz w:val="21"/>
          <w:szCs w:val="21"/>
        </w:rPr>
      </w:pPr>
      <w:r>
        <w:rPr>
          <w:rFonts w:hint="eastAsia" w:ascii="微软雅黑" w:hAnsi="微软雅黑" w:cs="微软雅黑"/>
          <w:sz w:val="21"/>
          <w:szCs w:val="21"/>
        </w:rPr>
        <w:t>索托拉西布能够激发肿瘤微环境中的促炎症反应、提高T细胞活化程度并对肿瘤抗原进行识别，从而产生长期促进抗肿瘤T细胞反应，同时，PD-1免疫检查点抑制剂与索托拉西布抗癌机制互补。I期研究的结果显示，索托拉西布治疗KRAS突变的非小细胞肺癌（NSCLC）患者的总客观缓解率（ORR）为48%，疾病控制率（DCR）为96%，在13名接受剂量为960 mg 索托拉西布的NSCLC患者中，ORR为54%，DCR为100%，同时，AMG510在KRAS突变结直肠癌患者的DCR达到79%</w:t>
      </w:r>
      <w:r>
        <w:rPr>
          <w:rFonts w:hint="eastAsia" w:ascii="微软雅黑" w:hAnsi="微软雅黑" w:cs="微软雅黑"/>
          <w:sz w:val="21"/>
          <w:szCs w:val="21"/>
          <w:vertAlign w:val="superscript"/>
        </w:rPr>
        <w:t>[88]</w:t>
      </w:r>
      <w:r>
        <w:rPr>
          <w:rFonts w:hint="eastAsia" w:ascii="微软雅黑" w:hAnsi="微软雅黑" w:cs="微软雅黑"/>
          <w:sz w:val="21"/>
          <w:szCs w:val="21"/>
        </w:rPr>
        <w:t>。索托拉西布分别获得FDA批准治疗非小细胞肺癌（NSCLC）和结直肠癌（CRC）的孤儿药资格。今年3月9日，CDE（国家药监局）官网更新索托拉西布将在不久后开始招募国内晚期肿瘤患者（JXHL2000044）。</w:t>
      </w:r>
    </w:p>
    <w:p w14:paraId="5FDD9D4E">
      <w:pPr>
        <w:ind w:firstLine="420" w:firstLineChars="200"/>
        <w:jc w:val="both"/>
        <w:rPr>
          <w:rFonts w:ascii="微软雅黑" w:hAnsi="微软雅黑" w:cs="微软雅黑"/>
          <w:sz w:val="21"/>
          <w:szCs w:val="21"/>
        </w:rPr>
      </w:pPr>
      <w:r>
        <w:rPr>
          <w:rFonts w:hint="eastAsia" w:ascii="微软雅黑" w:hAnsi="微软雅黑" w:cs="微软雅黑"/>
          <w:sz w:val="21"/>
          <w:szCs w:val="21"/>
        </w:rPr>
        <w:t>临床前研究中，Adagrasib在阻断 KRAS 依赖性信号转导和癌细胞活力方面具有很高的效力。Adagrasib研发公司Mirati官网数据中，Ⅰ/Ⅰb期临床试验和Ⅱ期临床试验数据显示，Adagrasib单药治疗确认客观缓解率达到45%（23/51），且96%（49/51）的患者能够从Adagrasib单药治疗中获益，在确认获得缓解的患者中，70%（16/23）患者的肿瘤与基线相比缩小40%以上。</w:t>
      </w:r>
    </w:p>
    <w:p w14:paraId="73523253">
      <w:pPr>
        <w:ind w:firstLine="420" w:firstLineChars="200"/>
        <w:jc w:val="both"/>
        <w:rPr>
          <w:rFonts w:ascii="微软雅黑" w:hAnsi="微软雅黑" w:cs="微软雅黑"/>
          <w:sz w:val="21"/>
          <w:szCs w:val="21"/>
        </w:rPr>
      </w:pPr>
      <w:r>
        <w:rPr>
          <w:rFonts w:hint="eastAsia" w:ascii="微软雅黑" w:hAnsi="微软雅黑" w:cs="微软雅黑"/>
          <w:sz w:val="21"/>
          <w:szCs w:val="21"/>
        </w:rPr>
        <w:t>在临床前试验中，VS-6766和Defactinib联用可更全面地抑制RAS和RAF突变肿瘤细胞，在AACR 2020年会上公布了VS-6766和FAK抑制剂Defactinib联用治疗RAS突变的实体瘤患者的I期临床试验结果，研究中10例KRAS突变非小细胞肺癌患者中有7例患者肿瘤缩小，其中1例G12V突变患者肿瘤缩小超过30%。</w:t>
      </w:r>
    </w:p>
    <w:p w14:paraId="2AA6E1AE">
      <w:pPr>
        <w:ind w:firstLine="420" w:firstLineChars="200"/>
        <w:jc w:val="both"/>
        <w:rPr>
          <w:rFonts w:ascii="微软雅黑" w:hAnsi="微软雅黑" w:cs="微软雅黑"/>
          <w:sz w:val="21"/>
          <w:szCs w:val="21"/>
        </w:rPr>
      </w:pPr>
      <w:r>
        <w:rPr>
          <w:rFonts w:hint="eastAsia" w:ascii="微软雅黑" w:hAnsi="微软雅黑" w:cs="微软雅黑"/>
          <w:sz w:val="21"/>
          <w:szCs w:val="21"/>
        </w:rPr>
        <w:t>此外，也有相关研究发现K药单药或联合化疗、FAK抑制剂Defactinib单药、MEK抑制剂曲美替尼单药或联合化疗治疗KRAS突变有一定疗效。越来越多的KRAS抑制剂浮出水面，RAS基因突变患者病情得以缓解，期待后续报道为患者带来福音。</w:t>
      </w:r>
    </w:p>
    <w:p w14:paraId="69B28A9C">
      <w:pPr>
        <w:jc w:val="both"/>
        <w:rPr>
          <w:rFonts w:ascii="微软雅黑" w:hAnsi="微软雅黑" w:cs="微软雅黑"/>
          <w:sz w:val="21"/>
          <w:szCs w:val="21"/>
        </w:rPr>
      </w:pPr>
      <w:r>
        <w:rPr>
          <w:rFonts w:hint="eastAsia" w:ascii="微软雅黑" w:hAnsi="微软雅黑" w:cs="微软雅黑"/>
          <w:sz w:val="21"/>
          <w:szCs w:val="21"/>
        </w:rPr>
        <w:t>4.4.4 靶向药及相关基因</w:t>
      </w:r>
    </w:p>
    <w:p w14:paraId="59F89A05">
      <w:pPr>
        <w:jc w:val="both"/>
        <w:rPr>
          <w:rFonts w:ascii="微软雅黑" w:hAnsi="微软雅黑" w:cs="微软雅黑"/>
          <w:sz w:val="21"/>
          <w:szCs w:val="21"/>
        </w:rPr>
      </w:pPr>
      <w:bookmarkStart w:id="205" w:name="OLE_LINK6"/>
      <w:r>
        <w:rPr>
          <w:rFonts w:hint="eastAsia" w:ascii="微软雅黑" w:hAnsi="微软雅黑" w:cs="微软雅黑"/>
          <w:sz w:val="21"/>
          <w:szCs w:val="21"/>
        </w:rPr>
        <w:t>4.4.4</w:t>
      </w:r>
      <w:bookmarkEnd w:id="205"/>
      <w:r>
        <w:rPr>
          <w:rFonts w:hint="eastAsia" w:ascii="微软雅黑" w:hAnsi="微软雅黑" w:cs="微软雅黑"/>
          <w:sz w:val="21"/>
          <w:szCs w:val="21"/>
        </w:rPr>
        <w:t>.1 BRAF V600E突变型及相关治疗</w:t>
      </w:r>
    </w:p>
    <w:p w14:paraId="55233E82">
      <w:pPr>
        <w:ind w:firstLine="420" w:firstLineChars="200"/>
        <w:jc w:val="both"/>
        <w:rPr>
          <w:rFonts w:ascii="微软雅黑" w:hAnsi="微软雅黑" w:cs="微软雅黑"/>
          <w:sz w:val="21"/>
          <w:szCs w:val="21"/>
        </w:rPr>
      </w:pPr>
      <w:r>
        <w:rPr>
          <w:rFonts w:hint="eastAsia" w:ascii="微软雅黑" w:hAnsi="微软雅黑" w:cs="微软雅黑"/>
          <w:sz w:val="21"/>
          <w:szCs w:val="21"/>
        </w:rPr>
        <w:t>在mCRC中，BRAF突变率为5%~10%</w:t>
      </w:r>
      <w:r>
        <w:rPr>
          <w:rFonts w:hint="eastAsia" w:ascii="微软雅黑" w:hAnsi="微软雅黑" w:cs="微软雅黑"/>
          <w:sz w:val="21"/>
          <w:szCs w:val="21"/>
          <w:vertAlign w:val="superscript"/>
        </w:rPr>
        <w:t>[64]</w:t>
      </w:r>
      <w:r>
        <w:rPr>
          <w:rFonts w:hint="eastAsia" w:ascii="微软雅黑" w:hAnsi="微软雅黑" w:cs="微软雅黑"/>
          <w:sz w:val="21"/>
          <w:szCs w:val="21"/>
        </w:rPr>
        <w:t>。最常见突变位点是位于第15号外显子第1799位核苷酸上（T突变为A），导致其编码的缬氨酸被谷氨酸替代（V600E），该突变可致MAPK信号通路持续激活</w:t>
      </w:r>
      <w:r>
        <w:rPr>
          <w:rFonts w:hint="eastAsia" w:ascii="微软雅黑" w:hAnsi="微软雅黑" w:cs="微软雅黑"/>
          <w:sz w:val="21"/>
          <w:szCs w:val="21"/>
          <w:vertAlign w:val="superscript"/>
        </w:rPr>
        <w:t>[65]</w:t>
      </w:r>
      <w:r>
        <w:rPr>
          <w:rFonts w:hint="eastAsia" w:ascii="微软雅黑" w:hAnsi="微软雅黑" w:cs="微软雅黑"/>
          <w:sz w:val="21"/>
          <w:szCs w:val="21"/>
        </w:rPr>
        <w:t>。具有BRAF V600E突变的肿瘤患者往往预示着较差的预后。目前针对BRAF V600E的黑色素瘤药物已经获批，但在BRAF V600E突变型黑色素瘤患者显著获益的单药达拉非尼（Dabrafenib）或维莫非尼（Vemurafenib）却未在mCRC治疗中取得成功。《专家共识》推荐，对于BRAF V600E突变患者，如果一般状况较好，可考虑FOLFOXIRI±贝伐珠单抗的一线治疗。同时，目前很多临床试验将目光着眼于BRAF V600E抑制剂三联法，如BRAF、MEK和EGFR抑制剂的三联疗法以及BRAF、EGFR抑制剂和伊立替康的三联疗法，用以寻找治疗的新方案。目前，康奈非尼与西妥昔单抗或帕尼单抗联合方案治疗BRAF V600E突变阳性患者已写入结直肠癌NCCN指南。</w:t>
      </w:r>
    </w:p>
    <w:p w14:paraId="1626571E">
      <w:pPr>
        <w:jc w:val="both"/>
        <w:rPr>
          <w:rFonts w:ascii="微软雅黑" w:hAnsi="微软雅黑" w:cs="微软雅黑"/>
          <w:sz w:val="21"/>
          <w:szCs w:val="21"/>
        </w:rPr>
      </w:pPr>
      <w:r>
        <w:rPr>
          <w:rFonts w:hint="eastAsia" w:ascii="微软雅黑" w:hAnsi="微软雅黑" w:cs="微软雅黑"/>
          <w:sz w:val="21"/>
          <w:szCs w:val="21"/>
        </w:rPr>
        <w:t>4.4.4.2 HER2突变型及相关治疗</w:t>
      </w:r>
    </w:p>
    <w:p w14:paraId="4D0F413E">
      <w:pPr>
        <w:ind w:firstLine="420" w:firstLineChars="200"/>
        <w:jc w:val="both"/>
        <w:rPr>
          <w:rFonts w:ascii="微软雅黑" w:hAnsi="微软雅黑" w:cs="微软雅黑"/>
          <w:sz w:val="21"/>
          <w:szCs w:val="21"/>
        </w:rPr>
      </w:pPr>
      <w:r>
        <w:rPr>
          <w:rFonts w:hint="eastAsia" w:ascii="微软雅黑" w:hAnsi="微软雅黑" w:cs="微软雅黑"/>
          <w:sz w:val="21"/>
          <w:szCs w:val="21"/>
        </w:rPr>
        <w:t>约2%-11%的mCRC中存在HER2扩增，且在左半结肠癌和直肠癌中较为常见，也是EGFR单克隆抗体耐药的原因之一</w:t>
      </w:r>
      <w:r>
        <w:rPr>
          <w:rFonts w:hint="eastAsia" w:ascii="微软雅黑" w:hAnsi="微软雅黑" w:cs="微软雅黑"/>
          <w:sz w:val="21"/>
          <w:szCs w:val="21"/>
          <w:vertAlign w:val="superscript"/>
        </w:rPr>
        <w:t>[66]</w:t>
      </w:r>
      <w:r>
        <w:rPr>
          <w:rFonts w:hint="eastAsia" w:ascii="微软雅黑" w:hAnsi="微软雅黑" w:cs="微软雅黑"/>
          <w:sz w:val="21"/>
          <w:szCs w:val="21"/>
        </w:rPr>
        <w:t>。HERACLES Ⅱ期研究评估了曲妥珠单抗和拉帕替尼在27例HER2阳性/KRAS基因2号外显子野生型mCRC患者中的疗效，这些患者在包括西妥昔单抗在内的其它治疗中都取得了进展，其ORR为30%</w:t>
      </w:r>
      <w:r>
        <w:rPr>
          <w:rFonts w:hint="eastAsia" w:ascii="微软雅黑" w:hAnsi="微软雅黑" w:cs="微软雅黑"/>
          <w:sz w:val="21"/>
          <w:szCs w:val="21"/>
          <w:vertAlign w:val="superscript"/>
        </w:rPr>
        <w:t>[67]</w:t>
      </w:r>
      <w:r>
        <w:rPr>
          <w:rFonts w:hint="eastAsia" w:ascii="微软雅黑" w:hAnsi="微软雅黑" w:cs="微软雅黑"/>
          <w:sz w:val="21"/>
          <w:szCs w:val="21"/>
        </w:rPr>
        <w:t>。MyPathway Ⅱ期篮子试验结果显示，57名可评估患者中，1名患者具有完全的客观缓解，17名患者部分缓解，ORR为32％（95％CI 20-45）</w:t>
      </w:r>
      <w:r>
        <w:rPr>
          <w:rFonts w:hint="eastAsia" w:ascii="微软雅黑" w:hAnsi="微软雅黑" w:cs="微软雅黑"/>
          <w:sz w:val="21"/>
          <w:szCs w:val="21"/>
          <w:vertAlign w:val="superscript"/>
        </w:rPr>
        <w:t>[68]</w:t>
      </w:r>
      <w:r>
        <w:rPr>
          <w:rFonts w:hint="eastAsia" w:ascii="微软雅黑" w:hAnsi="微软雅黑" w:cs="微软雅黑"/>
          <w:sz w:val="21"/>
          <w:szCs w:val="21"/>
        </w:rPr>
        <w:t>。结直肠癌NCCN指南推荐HER2扩增阳性且RAS、BRAF野生型患者使用曲妥珠单抗联合帕妥珠单抗或拉帕替尼进行治疗。</w:t>
      </w:r>
    </w:p>
    <w:p w14:paraId="5BAA16BE">
      <w:pPr>
        <w:jc w:val="both"/>
        <w:rPr>
          <w:rFonts w:ascii="微软雅黑" w:hAnsi="微软雅黑" w:cs="微软雅黑"/>
          <w:sz w:val="21"/>
          <w:szCs w:val="21"/>
        </w:rPr>
      </w:pPr>
      <w:r>
        <w:rPr>
          <w:rFonts w:hint="eastAsia" w:ascii="微软雅黑" w:hAnsi="微软雅黑" w:cs="微软雅黑"/>
          <w:sz w:val="21"/>
          <w:szCs w:val="21"/>
        </w:rPr>
        <w:t>4.4.4.3 其它信号通路及相应创新药物</w:t>
      </w:r>
    </w:p>
    <w:p w14:paraId="29579E8F">
      <w:pPr>
        <w:ind w:firstLine="420" w:firstLineChars="200"/>
        <w:jc w:val="both"/>
        <w:rPr>
          <w:rFonts w:ascii="微软雅黑" w:hAnsi="微软雅黑" w:cs="微软雅黑"/>
          <w:sz w:val="21"/>
          <w:szCs w:val="21"/>
        </w:rPr>
      </w:pPr>
      <w:r>
        <w:rPr>
          <w:rFonts w:hint="eastAsia" w:ascii="微软雅黑" w:hAnsi="微软雅黑" w:cs="微软雅黑"/>
          <w:sz w:val="21"/>
          <w:szCs w:val="21"/>
        </w:rPr>
        <w:t>随着二代测序及肿瘤精准医学研究的不断深入，癌症基因组图谱和其它基因组计划在结直肠癌中发现了新的潜在分子靶标和标志物（图8），包括Wnt信号通路、转化生长因子（TGF）-β信号通路以及表皮生长因子（EGF）受体信号通路等。希望可以在未来用于指导针对不同亚组患者进行治疗。</w:t>
      </w:r>
    </w:p>
    <w:p w14:paraId="5F051743">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53660" cy="4201795"/>
            <wp:effectExtent l="0" t="0" r="8890" b="8255"/>
            <wp:docPr id="10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图片 2"/>
                    <pic:cNvPicPr>
                      <a:picLocks noChangeAspect="1"/>
                    </pic:cNvPicPr>
                  </pic:nvPicPr>
                  <pic:blipFill>
                    <a:blip r:embed="rId35"/>
                    <a:stretch>
                      <a:fillRect/>
                    </a:stretch>
                  </pic:blipFill>
                  <pic:spPr>
                    <a:xfrm>
                      <a:off x="0" y="0"/>
                      <a:ext cx="5153660" cy="4201795"/>
                    </a:xfrm>
                    <a:prstGeom prst="rect">
                      <a:avLst/>
                    </a:prstGeom>
                    <a:noFill/>
                    <a:ln>
                      <a:noFill/>
                    </a:ln>
                  </pic:spPr>
                </pic:pic>
              </a:graphicData>
            </a:graphic>
          </wp:inline>
        </w:drawing>
      </w:r>
    </w:p>
    <w:p w14:paraId="56FF8537">
      <w:pPr>
        <w:ind w:firstLine="400" w:firstLineChars="200"/>
        <w:jc w:val="center"/>
        <w:rPr>
          <w:rFonts w:ascii="微软雅黑" w:hAnsi="微软雅黑" w:cs="微软雅黑"/>
          <w:sz w:val="20"/>
          <w:szCs w:val="20"/>
        </w:rPr>
      </w:pPr>
      <w:r>
        <w:rPr>
          <w:rFonts w:hint="eastAsia" w:ascii="微软雅黑" w:hAnsi="微软雅黑" w:cs="微软雅黑"/>
          <w:sz w:val="20"/>
          <w:szCs w:val="20"/>
        </w:rPr>
        <w:t>图8 结肠直肠癌的新药靶点和候选药物</w:t>
      </w:r>
      <w:r>
        <w:rPr>
          <w:rFonts w:hint="eastAsia" w:ascii="微软雅黑" w:hAnsi="微软雅黑" w:cs="微软雅黑"/>
          <w:sz w:val="20"/>
          <w:szCs w:val="20"/>
          <w:vertAlign w:val="superscript"/>
        </w:rPr>
        <w:t>[3]</w:t>
      </w:r>
    </w:p>
    <w:p w14:paraId="02F0DEB4">
      <w:pPr>
        <w:jc w:val="both"/>
        <w:rPr>
          <w:rFonts w:ascii="微软雅黑" w:hAnsi="微软雅黑" w:cs="微软雅黑"/>
          <w:sz w:val="21"/>
          <w:szCs w:val="21"/>
        </w:rPr>
      </w:pPr>
      <w:r>
        <w:rPr>
          <w:rFonts w:hint="eastAsia" w:ascii="微软雅黑" w:hAnsi="微软雅黑" w:cs="微软雅黑"/>
          <w:sz w:val="21"/>
          <w:szCs w:val="21"/>
        </w:rPr>
        <w:t>4.4.5  免疫检查点抑制剂</w:t>
      </w:r>
    </w:p>
    <w:p w14:paraId="3512A4D5">
      <w:pPr>
        <w:jc w:val="both"/>
        <w:rPr>
          <w:rFonts w:ascii="微软雅黑" w:hAnsi="微软雅黑" w:cs="微软雅黑"/>
          <w:sz w:val="21"/>
          <w:szCs w:val="21"/>
        </w:rPr>
      </w:pPr>
      <w:r>
        <w:rPr>
          <w:rFonts w:hint="eastAsia" w:ascii="微软雅黑" w:hAnsi="微软雅黑" w:cs="微软雅黑"/>
          <w:sz w:val="21"/>
          <w:szCs w:val="21"/>
        </w:rPr>
        <w:t>4.4.5.1 DNA错配修复缺陷（dMMR）与微卫星不稳定（MSI）</w:t>
      </w:r>
    </w:p>
    <w:p w14:paraId="31AFB470">
      <w:pPr>
        <w:ind w:firstLine="420" w:firstLineChars="200"/>
        <w:jc w:val="both"/>
        <w:rPr>
          <w:rFonts w:ascii="微软雅黑" w:hAnsi="微软雅黑" w:cs="微软雅黑"/>
          <w:sz w:val="21"/>
          <w:szCs w:val="21"/>
        </w:rPr>
      </w:pPr>
      <w:r>
        <w:rPr>
          <w:rFonts w:hint="eastAsia" w:ascii="微软雅黑" w:hAnsi="微软雅黑" w:cs="微软雅黑"/>
          <w:sz w:val="21"/>
          <w:szCs w:val="21"/>
        </w:rPr>
        <w:t>错配修复基因表达缺失可以引起微卫星不稳定，dMMR或MSI约占全部肿瘤的4%。微卫星是指DNA中核苷酸的短重复序列，广泛分布于整个DNA序列中，在DNA复制过程中易发生错误。在正常细胞中，这类复制错误可由错配修复（mismatch repair，MMR）基因（MLH1、MSH2、MSH6、PMS2）编码的MMR蛋白来修复。肿瘤细胞由于MMR系统功能缺失，导致MSI的出现</w:t>
      </w:r>
      <w:r>
        <w:rPr>
          <w:rFonts w:hint="eastAsia" w:ascii="微软雅黑" w:hAnsi="微软雅黑" w:cs="微软雅黑"/>
          <w:sz w:val="21"/>
          <w:szCs w:val="21"/>
          <w:vertAlign w:val="superscript"/>
        </w:rPr>
        <w:t>[69]</w:t>
      </w:r>
      <w:r>
        <w:rPr>
          <w:rFonts w:hint="eastAsia" w:ascii="微软雅黑" w:hAnsi="微软雅黑" w:cs="微软雅黑"/>
          <w:sz w:val="21"/>
          <w:szCs w:val="21"/>
        </w:rPr>
        <w:t>。此外，微卫星不稳定可导致多种抑癌基因如转化因子β受体2（TGFBR2）和BAX的失活以及BRAF等重要原癌基因活化，从而促进结直肠癌的发生</w:t>
      </w:r>
      <w:r>
        <w:rPr>
          <w:rFonts w:hint="eastAsia" w:ascii="微软雅黑" w:hAnsi="微软雅黑" w:cs="微软雅黑"/>
          <w:sz w:val="21"/>
          <w:szCs w:val="21"/>
          <w:vertAlign w:val="superscript"/>
        </w:rPr>
        <w:t>[70]</w:t>
      </w:r>
      <w:r>
        <w:rPr>
          <w:rFonts w:hint="eastAsia" w:ascii="微软雅黑" w:hAnsi="微软雅黑" w:cs="微软雅黑"/>
          <w:sz w:val="21"/>
          <w:szCs w:val="21"/>
        </w:rPr>
        <w:t>，如图9 。</w:t>
      </w:r>
    </w:p>
    <w:p w14:paraId="57BD1449">
      <w:pPr>
        <w:jc w:val="both"/>
        <w:rPr>
          <w:rFonts w:ascii="微软雅黑" w:hAnsi="微软雅黑" w:cs="微软雅黑"/>
          <w:sz w:val="21"/>
          <w:szCs w:val="21"/>
        </w:rPr>
      </w:pPr>
      <w:r>
        <w:rPr>
          <w:rFonts w:hint="eastAsia" w:ascii="微软雅黑" w:hAnsi="微软雅黑" w:cs="微软雅黑"/>
          <w:sz w:val="21"/>
          <w:szCs w:val="21"/>
        </w:rPr>
        <w:drawing>
          <wp:inline distT="0" distB="0" distL="0" distR="0">
            <wp:extent cx="5221605" cy="2280285"/>
            <wp:effectExtent l="0" t="0" r="17145" b="5715"/>
            <wp:docPr id="1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图片 10"/>
                    <pic:cNvPicPr>
                      <a:picLocks noChangeAspect="1"/>
                    </pic:cNvPicPr>
                  </pic:nvPicPr>
                  <pic:blipFill>
                    <a:blip r:embed="rId36" cstate="print"/>
                    <a:stretch>
                      <a:fillRect/>
                    </a:stretch>
                  </pic:blipFill>
                  <pic:spPr>
                    <a:xfrm>
                      <a:off x="0" y="0"/>
                      <a:ext cx="5221605" cy="2280285"/>
                    </a:xfrm>
                    <a:prstGeom prst="rect">
                      <a:avLst/>
                    </a:prstGeom>
                  </pic:spPr>
                </pic:pic>
              </a:graphicData>
            </a:graphic>
          </wp:inline>
        </w:drawing>
      </w:r>
    </w:p>
    <w:p w14:paraId="6F9CD058">
      <w:pPr>
        <w:ind w:firstLine="400" w:firstLineChars="200"/>
        <w:jc w:val="center"/>
        <w:rPr>
          <w:rFonts w:ascii="微软雅黑" w:hAnsi="微软雅黑" w:cs="微软雅黑"/>
          <w:sz w:val="20"/>
          <w:szCs w:val="20"/>
        </w:rPr>
      </w:pPr>
      <w:r>
        <w:rPr>
          <w:rFonts w:hint="eastAsia" w:ascii="微软雅黑" w:hAnsi="微软雅黑" w:cs="微软雅黑"/>
          <w:sz w:val="20"/>
          <w:szCs w:val="20"/>
        </w:rPr>
        <w:t>图9 锯齿状息肉癌变途径</w:t>
      </w:r>
    </w:p>
    <w:p w14:paraId="2DD81B37">
      <w:pPr>
        <w:ind w:firstLine="420" w:firstLineChars="200"/>
        <w:jc w:val="both"/>
        <w:rPr>
          <w:rFonts w:ascii="微软雅黑" w:hAnsi="微软雅黑" w:cs="微软雅黑"/>
          <w:sz w:val="21"/>
          <w:szCs w:val="21"/>
        </w:rPr>
      </w:pPr>
      <w:r>
        <w:rPr>
          <w:rFonts w:hint="eastAsia" w:ascii="微软雅黑" w:hAnsi="微软雅黑" w:cs="微软雅黑"/>
          <w:sz w:val="21"/>
          <w:szCs w:val="21"/>
        </w:rPr>
        <w:t>大约90%的Lynch综合征分子表型为MSI，主要由MMR基因种系突变引起，其中 MSH1和MLH2基因突变占所有MMR基因突变的90%</w:t>
      </w:r>
      <w:r>
        <w:rPr>
          <w:rFonts w:hint="eastAsia" w:ascii="微软雅黑" w:hAnsi="微软雅黑" w:cs="微软雅黑"/>
          <w:sz w:val="21"/>
          <w:szCs w:val="21"/>
          <w:vertAlign w:val="superscript"/>
        </w:rPr>
        <w:t>[71]</w:t>
      </w:r>
      <w:r>
        <w:rPr>
          <w:rFonts w:hint="eastAsia" w:ascii="微软雅黑" w:hAnsi="微软雅黑" w:cs="微软雅黑"/>
          <w:sz w:val="21"/>
          <w:szCs w:val="21"/>
        </w:rPr>
        <w:t>，携带有MMR基因突变的个体一生中罹患结直肠癌的风险达到30%-70%。据此，《遗传性结直肠癌临床诊治和家系管理中国专家共识》推荐对于有条件的医疗单位，可对所有结直肠癌患者肿瘤组织的4个MMR蛋白进行免疫组织化学或微卫星不稳定（MSI）检测来进行初筛。且对于经免疫组织化学检测确定的dMMR患者，建议进一步检测蛋白表达缺失基因的胚系突变；对于经MSI方法确定的dMMR患者，建议行 MLH1、MSH2、MSH6、PMS2 和 EPCAM 5个基因的胚系突变检测。通过对家系先证者的基因诊断，继而找到突变携带者，并对这些高危人群进行风险管理，从而实现预防、早诊和早治。</w:t>
      </w:r>
    </w:p>
    <w:p w14:paraId="713034B5">
      <w:pPr>
        <w:ind w:firstLine="420" w:firstLineChars="200"/>
        <w:jc w:val="both"/>
        <w:rPr>
          <w:rFonts w:ascii="微软雅黑" w:hAnsi="微软雅黑" w:cs="微软雅黑"/>
          <w:sz w:val="21"/>
          <w:szCs w:val="21"/>
        </w:rPr>
      </w:pPr>
      <w:r>
        <w:rPr>
          <w:rFonts w:hint="eastAsia" w:ascii="微软雅黑" w:hAnsi="微软雅黑" w:cs="微软雅黑"/>
          <w:sz w:val="21"/>
          <w:szCs w:val="21"/>
        </w:rPr>
        <w:t>帕博利珠单抗、纳武利尤单抗等免疫检查点抑制剂可通过与T细胞PD-1/PD-L1结合，并破坏与T细胞PD-1的相互作用来促进肿瘤细胞凋亡（图10）</w:t>
      </w:r>
      <w:r>
        <w:rPr>
          <w:rFonts w:hint="eastAsia" w:ascii="微软雅黑" w:hAnsi="微软雅黑" w:cs="微软雅黑"/>
          <w:sz w:val="21"/>
          <w:szCs w:val="21"/>
          <w:vertAlign w:val="superscript"/>
        </w:rPr>
        <w:t>[72]</w:t>
      </w:r>
      <w:r>
        <w:rPr>
          <w:rFonts w:hint="eastAsia" w:ascii="微软雅黑" w:hAnsi="微软雅黑" w:cs="微软雅黑"/>
          <w:sz w:val="21"/>
          <w:szCs w:val="21"/>
        </w:rPr>
        <w:t>。早在2015年，新英格兰杂志发表的KEYNOTE-016研究，首次报道抗PD-1单抗帕博利珠单抗（Pembrolizumab）用于治疗既往失败的晚期肠癌患者的疗效，11例dMMR患者客观有效率（objective response rate，ORR）为40％，疾病控制率为90％，而pMMR患者无 1例有效</w:t>
      </w:r>
      <w:r>
        <w:rPr>
          <w:rFonts w:hint="eastAsia" w:ascii="微软雅黑" w:hAnsi="微软雅黑" w:cs="微软雅黑"/>
          <w:sz w:val="21"/>
          <w:szCs w:val="21"/>
          <w:vertAlign w:val="superscript"/>
        </w:rPr>
        <w:t>[73]</w:t>
      </w:r>
      <w:r>
        <w:rPr>
          <w:rFonts w:hint="eastAsia" w:ascii="微软雅黑" w:hAnsi="微软雅黑" w:cs="微软雅黑"/>
          <w:sz w:val="21"/>
          <w:szCs w:val="21"/>
        </w:rPr>
        <w:t>。另一项研究中，40例MSI-H或免疫组织化学dMMR的结直肠癌患者，抗PD-1单抗的ORR达52％，而在与Lynch综合征相关和无关的肿瘤中，ORR差异无统计学意义（46％vs59％，Ｐ=0.27）</w:t>
      </w:r>
      <w:r>
        <w:rPr>
          <w:rFonts w:hint="eastAsia" w:ascii="微软雅黑" w:hAnsi="微软雅黑" w:cs="微软雅黑"/>
          <w:sz w:val="21"/>
          <w:szCs w:val="21"/>
          <w:vertAlign w:val="superscript"/>
        </w:rPr>
        <w:t>[74]</w:t>
      </w:r>
      <w:r>
        <w:rPr>
          <w:rFonts w:hint="eastAsia" w:ascii="微软雅黑" w:hAnsi="微软雅黑" w:cs="微软雅黑"/>
          <w:sz w:val="21"/>
          <w:szCs w:val="21"/>
        </w:rPr>
        <w:t>。这些结果初步证实，抗PD-1单抗对dMMR 的晚期肿瘤患者有效。随后的CheckMate 142研究证实，另一个抗PD-1单抗纳武利尤单抗（Nivolumab）治疗dＭＭR/MSI-H转移性肠癌同样有效（有效率为31％，中位无进展生存时间为14.3个月）</w:t>
      </w:r>
      <w:r>
        <w:rPr>
          <w:rFonts w:hint="eastAsia" w:ascii="微软雅黑" w:hAnsi="微软雅黑" w:cs="微软雅黑"/>
          <w:sz w:val="21"/>
          <w:szCs w:val="21"/>
          <w:vertAlign w:val="superscript"/>
        </w:rPr>
        <w:t>[75]</w:t>
      </w:r>
      <w:r>
        <w:rPr>
          <w:rFonts w:hint="eastAsia" w:ascii="微软雅黑" w:hAnsi="微软雅黑" w:cs="微软雅黑"/>
          <w:sz w:val="21"/>
          <w:szCs w:val="21"/>
        </w:rPr>
        <w:t>。目前，FDA已批准帕博利珠单抗及纳武利尤单抗应用于dＭＭR/MSI-H结直肠癌患者的治疗。因此，通过免疫组化或基因检测确定为dＭＭR/MSI-H 型结直肠癌患者，可考虑免疫抑制剂帕博利珠单抗及纳武利尤单抗治疗。</w:t>
      </w:r>
    </w:p>
    <w:p w14:paraId="46B68E0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853305" cy="3787140"/>
            <wp:effectExtent l="0" t="0" r="4445" b="3810"/>
            <wp:docPr id="10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图片 1"/>
                    <pic:cNvPicPr>
                      <a:picLocks noChangeAspect="1"/>
                    </pic:cNvPicPr>
                  </pic:nvPicPr>
                  <pic:blipFill>
                    <a:blip r:embed="rId37"/>
                    <a:stretch>
                      <a:fillRect/>
                    </a:stretch>
                  </pic:blipFill>
                  <pic:spPr>
                    <a:xfrm>
                      <a:off x="0" y="0"/>
                      <a:ext cx="4853305" cy="3787140"/>
                    </a:xfrm>
                    <a:prstGeom prst="rect">
                      <a:avLst/>
                    </a:prstGeom>
                    <a:noFill/>
                    <a:ln>
                      <a:noFill/>
                    </a:ln>
                  </pic:spPr>
                </pic:pic>
              </a:graphicData>
            </a:graphic>
          </wp:inline>
        </w:drawing>
      </w:r>
    </w:p>
    <w:p w14:paraId="21B9C429">
      <w:pPr>
        <w:ind w:firstLine="400" w:firstLineChars="200"/>
        <w:jc w:val="center"/>
        <w:rPr>
          <w:rFonts w:ascii="微软雅黑" w:hAnsi="微软雅黑" w:cs="微软雅黑"/>
          <w:sz w:val="20"/>
          <w:szCs w:val="20"/>
        </w:rPr>
      </w:pPr>
      <w:r>
        <w:rPr>
          <w:rFonts w:hint="eastAsia" w:ascii="微软雅黑" w:hAnsi="微软雅黑" w:cs="微软雅黑"/>
          <w:sz w:val="20"/>
          <w:szCs w:val="20"/>
        </w:rPr>
        <w:t>图10 dMMR或MSI-H阳性肿瘤患者中免疫检查点抑制剂作用机制</w:t>
      </w:r>
      <w:r>
        <w:rPr>
          <w:rFonts w:hint="eastAsia" w:ascii="微软雅黑" w:hAnsi="微软雅黑" w:cs="微软雅黑"/>
          <w:sz w:val="20"/>
          <w:szCs w:val="20"/>
          <w:vertAlign w:val="superscript"/>
        </w:rPr>
        <w:t>[72]</w:t>
      </w:r>
    </w:p>
    <w:p w14:paraId="1B80F1F8">
      <w:pPr>
        <w:jc w:val="both"/>
        <w:rPr>
          <w:rFonts w:ascii="微软雅黑" w:hAnsi="微软雅黑" w:cs="微软雅黑"/>
          <w:sz w:val="21"/>
          <w:szCs w:val="21"/>
        </w:rPr>
      </w:pPr>
      <w:r>
        <w:rPr>
          <w:rFonts w:hint="eastAsia" w:ascii="微软雅黑" w:hAnsi="微软雅黑" w:cs="微软雅黑"/>
          <w:sz w:val="21"/>
          <w:szCs w:val="21"/>
        </w:rPr>
        <w:t>4.4.5.2  POLE基因突变</w:t>
      </w:r>
    </w:p>
    <w:p w14:paraId="44435D2C">
      <w:pPr>
        <w:ind w:firstLine="420" w:firstLineChars="200"/>
        <w:jc w:val="both"/>
        <w:rPr>
          <w:rFonts w:ascii="微软雅黑" w:hAnsi="微软雅黑" w:cs="微软雅黑"/>
          <w:sz w:val="21"/>
          <w:szCs w:val="21"/>
        </w:rPr>
      </w:pPr>
      <w:r>
        <w:rPr>
          <w:rFonts w:hint="eastAsia" w:ascii="微软雅黑" w:hAnsi="微软雅黑" w:cs="微软雅黑"/>
          <w:sz w:val="21"/>
          <w:szCs w:val="21"/>
        </w:rPr>
        <w:t>研究表明，在高突变型转移性结直肠癌（mCRC）中，75%的患者为高度微卫星不稳定</w:t>
      </w:r>
      <w:bookmarkStart w:id="206" w:name="OLE_LINK22"/>
      <w:bookmarkStart w:id="207" w:name="OLE_LINK21"/>
      <w:r>
        <w:rPr>
          <w:rFonts w:hint="eastAsia" w:ascii="微软雅黑" w:hAnsi="微软雅黑" w:cs="微软雅黑"/>
          <w:sz w:val="21"/>
          <w:szCs w:val="21"/>
        </w:rPr>
        <w:t>（microsatellite instability-high，MSI-H）</w:t>
      </w:r>
      <w:bookmarkEnd w:id="206"/>
      <w:bookmarkEnd w:id="207"/>
      <w:r>
        <w:rPr>
          <w:rFonts w:hint="eastAsia" w:ascii="微软雅黑" w:hAnsi="微软雅黑" w:cs="微软雅黑"/>
          <w:sz w:val="21"/>
          <w:szCs w:val="21"/>
        </w:rPr>
        <w:t>，其余患者的高突变负荷主要与POLE基因突变相关</w:t>
      </w:r>
      <w:r>
        <w:rPr>
          <w:rFonts w:hint="eastAsia" w:ascii="微软雅黑" w:hAnsi="微软雅黑" w:cs="微软雅黑"/>
          <w:sz w:val="21"/>
          <w:szCs w:val="21"/>
          <w:vertAlign w:val="superscript"/>
        </w:rPr>
        <w:t>[76]</w:t>
      </w:r>
      <w:r>
        <w:rPr>
          <w:rFonts w:hint="eastAsia" w:ascii="微软雅黑" w:hAnsi="微软雅黑" w:cs="微软雅黑"/>
          <w:sz w:val="21"/>
          <w:szCs w:val="21"/>
        </w:rPr>
        <w:t>。</w:t>
      </w:r>
    </w:p>
    <w:p w14:paraId="3E2F2D26">
      <w:pPr>
        <w:ind w:firstLine="420" w:firstLineChars="200"/>
        <w:jc w:val="both"/>
        <w:rPr>
          <w:rFonts w:ascii="微软雅黑" w:hAnsi="微软雅黑" w:cs="微软雅黑"/>
          <w:sz w:val="21"/>
          <w:szCs w:val="21"/>
        </w:rPr>
      </w:pPr>
      <w:r>
        <w:rPr>
          <w:rFonts w:hint="eastAsia" w:ascii="微软雅黑" w:hAnsi="微软雅黑" w:cs="微软雅黑"/>
          <w:sz w:val="21"/>
          <w:szCs w:val="21"/>
        </w:rPr>
        <w:t>POLE基因编码DNA聚合酶ε催化亚基，具有两种催化活性，一是以DNA为模板的聚合酶活性,负责DNA新链的复制延长；二是核酸外切酶区的校正活性，负责对错配碱基进行识别和修复。在mCRC中，POLE基因突变率为1%~2%。POLE基因的突变直接影响DNA 聚合酶ε的纠错功能。有研究表明，携带这类突变的肿瘤细胞会因为纠错功能的下降而导致基因突变在细胞中大量累积</w:t>
      </w:r>
      <w:r>
        <w:rPr>
          <w:rFonts w:hint="eastAsia" w:ascii="微软雅黑" w:hAnsi="微软雅黑" w:cs="微软雅黑"/>
          <w:sz w:val="21"/>
          <w:szCs w:val="21"/>
          <w:vertAlign w:val="superscript"/>
        </w:rPr>
        <w:t>[77]</w:t>
      </w:r>
      <w:r>
        <w:rPr>
          <w:rFonts w:hint="eastAsia" w:ascii="微软雅黑" w:hAnsi="微软雅黑" w:cs="微软雅黑"/>
          <w:sz w:val="21"/>
          <w:szCs w:val="21"/>
        </w:rPr>
        <w:t>。</w:t>
      </w:r>
    </w:p>
    <w:p w14:paraId="5A8AC585">
      <w:pPr>
        <w:ind w:firstLine="420" w:firstLineChars="200"/>
        <w:jc w:val="both"/>
        <w:rPr>
          <w:rFonts w:ascii="微软雅黑" w:hAnsi="微软雅黑" w:cs="微软雅黑"/>
          <w:sz w:val="21"/>
          <w:szCs w:val="21"/>
        </w:rPr>
      </w:pPr>
      <w:r>
        <w:rPr>
          <w:rFonts w:hint="eastAsia" w:ascii="微软雅黑" w:hAnsi="微软雅黑" w:cs="微软雅黑"/>
          <w:sz w:val="21"/>
          <w:szCs w:val="21"/>
        </w:rPr>
        <w:t>POLE突变的mCRC与MSI-H相比，POLE基因突变型mCRC可产生更多的新生抗原。初步的临床证据表明，在子宫内膜癌、非小细胞肺癌、结直肠癌患者中，POLE基因突变的肿瘤患者，使用PD-1抗体治疗可能更容易获益</w:t>
      </w:r>
      <w:r>
        <w:rPr>
          <w:rFonts w:hint="eastAsia" w:ascii="微软雅黑" w:hAnsi="微软雅黑" w:cs="微软雅黑"/>
          <w:sz w:val="21"/>
          <w:szCs w:val="21"/>
          <w:vertAlign w:val="superscript"/>
        </w:rPr>
        <w:t>[78-80]</w:t>
      </w:r>
      <w:r>
        <w:rPr>
          <w:rFonts w:hint="eastAsia" w:ascii="微软雅黑" w:hAnsi="微软雅黑" w:cs="微软雅黑"/>
          <w:sz w:val="21"/>
          <w:szCs w:val="21"/>
        </w:rPr>
        <w:t>（图10）。有研究报道CRC患者中对帕博利珠单抗的临床反应，其中一名患者属于MSS表型并携带POLE突变。肿瘤免疫组化结果显示，PD-1 、CD8阳性 T细胞占比较大，PD-L1表达的CD68+肿瘤相关巨噬细胞浸润明显</w:t>
      </w:r>
      <w:r>
        <w:rPr>
          <w:rFonts w:hint="eastAsia" w:ascii="微软雅黑" w:hAnsi="微软雅黑" w:cs="微软雅黑"/>
          <w:sz w:val="21"/>
          <w:szCs w:val="21"/>
          <w:vertAlign w:val="superscript"/>
        </w:rPr>
        <w:t>[81，82]</w:t>
      </w:r>
      <w:r>
        <w:rPr>
          <w:rFonts w:hint="eastAsia" w:ascii="微软雅黑" w:hAnsi="微软雅黑" w:cs="微软雅黑"/>
          <w:sz w:val="21"/>
          <w:szCs w:val="21"/>
        </w:rPr>
        <w:t>。子宫内膜癌病理研究表明，POLE突变也是免疫检查点抑制剂的预测标志物</w:t>
      </w:r>
      <w:r>
        <w:rPr>
          <w:rFonts w:hint="eastAsia" w:ascii="微软雅黑" w:hAnsi="微软雅黑" w:cs="微软雅黑"/>
          <w:sz w:val="21"/>
          <w:szCs w:val="21"/>
          <w:vertAlign w:val="superscript"/>
        </w:rPr>
        <w:t>[83-85]</w:t>
      </w:r>
      <w:r>
        <w:rPr>
          <w:rFonts w:hint="eastAsia" w:ascii="微软雅黑" w:hAnsi="微软雅黑" w:cs="微软雅黑"/>
          <w:sz w:val="21"/>
          <w:szCs w:val="21"/>
        </w:rPr>
        <w:t>。目前，三项抗PD-L1免疫检查点抑制剂在POLE突变的CRC中的临床获益相关临床试验在研（NCT03435107、NCT03150706、NCT03827044）。</w:t>
      </w:r>
    </w:p>
    <w:p w14:paraId="1CA6D3E7">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732655" cy="4027170"/>
            <wp:effectExtent l="0" t="0" r="10795" b="11430"/>
            <wp:docPr id="1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图片 1"/>
                    <pic:cNvPicPr>
                      <a:picLocks noChangeAspect="1"/>
                    </pic:cNvPicPr>
                  </pic:nvPicPr>
                  <pic:blipFill>
                    <a:blip r:embed="rId38"/>
                    <a:stretch>
                      <a:fillRect/>
                    </a:stretch>
                  </pic:blipFill>
                  <pic:spPr>
                    <a:xfrm>
                      <a:off x="0" y="0"/>
                      <a:ext cx="4732655" cy="4027170"/>
                    </a:xfrm>
                    <a:prstGeom prst="rect">
                      <a:avLst/>
                    </a:prstGeom>
                    <a:noFill/>
                    <a:ln>
                      <a:noFill/>
                    </a:ln>
                  </pic:spPr>
                </pic:pic>
              </a:graphicData>
            </a:graphic>
          </wp:inline>
        </w:drawing>
      </w:r>
    </w:p>
    <w:p w14:paraId="3CB40E48">
      <w:pPr>
        <w:ind w:firstLine="400" w:firstLineChars="200"/>
        <w:jc w:val="center"/>
        <w:rPr>
          <w:rFonts w:ascii="微软雅黑" w:hAnsi="微软雅黑" w:cs="微软雅黑"/>
          <w:sz w:val="20"/>
          <w:szCs w:val="20"/>
        </w:rPr>
      </w:pPr>
      <w:r>
        <w:rPr>
          <w:rFonts w:hint="eastAsia" w:ascii="微软雅黑" w:hAnsi="微软雅黑" w:cs="微软雅黑"/>
          <w:sz w:val="20"/>
          <w:szCs w:val="20"/>
        </w:rPr>
        <w:t>图11 免疫检查点抑制剂在不同类型结直肠癌中疗效预估</w:t>
      </w:r>
      <w:r>
        <w:rPr>
          <w:rFonts w:hint="eastAsia" w:ascii="微软雅黑" w:hAnsi="微软雅黑" w:cs="微软雅黑"/>
          <w:sz w:val="20"/>
          <w:szCs w:val="20"/>
          <w:vertAlign w:val="superscript"/>
        </w:rPr>
        <w:t>[86]</w:t>
      </w:r>
    </w:p>
    <w:p w14:paraId="396F200B">
      <w:pPr>
        <w:jc w:val="both"/>
        <w:rPr>
          <w:b/>
          <w:bCs/>
        </w:rPr>
      </w:pPr>
      <w:r>
        <w:rPr>
          <w:rFonts w:hint="eastAsia"/>
          <w:b/>
          <w:bCs/>
        </w:rPr>
        <w:t>5、结论</w:t>
      </w:r>
    </w:p>
    <w:p w14:paraId="174BB4D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的病因和发病分子机制非常复杂，可能没有任何两个患者背后的分子机制、基因表型是完全相同的。在临床实践中，需要对每一位患者进行个体分子分型，也就是进行治疗靶点的分型，通过检测PD-1、PD-L1蛋白、MMR、KRAS、NRAS、BRAF、PI3K、HER2等基因选择治疗策略。患者存在MSI-H/dMMR、PD-1、PD-L1蛋白上调者，可使用免疫治疗；若存在RAS基因突变，可使用标准化疗方案联合贝伐珠单抗；若患者属RAS、BRAF、PI3K基因全野生型，使用标准化疗联合EGFR单抗获益最大。故分子特征对于患者的人群划分至关重要，我们要根据分子分型予以不同的干预措施，最终实现个体化、精准化的治疗。</w:t>
      </w:r>
    </w:p>
    <w:p w14:paraId="62F2685B">
      <w:pPr>
        <w:autoSpaceDE w:val="0"/>
        <w:autoSpaceDN w:val="0"/>
        <w:spacing w:after="0" w:line="312" w:lineRule="auto"/>
        <w:jc w:val="both"/>
        <w:rPr>
          <w:rFonts w:ascii="微软雅黑" w:hAnsi="微软雅黑" w:cs="微软雅黑"/>
          <w:sz w:val="21"/>
          <w:szCs w:val="21"/>
        </w:rPr>
      </w:pPr>
    </w:p>
    <w:p w14:paraId="3EB251CF">
      <w:pPr>
        <w:ind w:firstLine="440" w:firstLineChars="200"/>
        <w:jc w:val="center"/>
      </w:pPr>
    </w:p>
    <w:p w14:paraId="69149281">
      <w:pPr>
        <w:ind w:firstLine="440" w:firstLineChars="200"/>
        <w:jc w:val="both"/>
      </w:pPr>
    </w:p>
    <w:p w14:paraId="4C589D99">
      <w:pPr>
        <w:jc w:val="both"/>
        <w:rPr>
          <w:rFonts w:ascii="微软雅黑" w:hAnsi="微软雅黑" w:cs="微软雅黑"/>
          <w:b/>
          <w:bCs/>
          <w:sz w:val="21"/>
          <w:szCs w:val="21"/>
        </w:rPr>
      </w:pPr>
      <w:r>
        <w:rPr>
          <w:rFonts w:hint="eastAsia" w:ascii="微软雅黑" w:hAnsi="微软雅黑" w:cs="微软雅黑"/>
          <w:b/>
          <w:bCs/>
          <w:sz w:val="21"/>
          <w:szCs w:val="21"/>
        </w:rPr>
        <w:br w:type="page"/>
      </w:r>
    </w:p>
    <w:p w14:paraId="77C0AB6A">
      <w:pPr>
        <w:jc w:val="both"/>
        <w:rPr>
          <w:rFonts w:hint="eastAsia"/>
          <w:b/>
          <w:bCs/>
        </w:rPr>
      </w:pPr>
      <w:r>
        <w:rPr>
          <w:rFonts w:hint="eastAsia"/>
          <w:b/>
          <w:bCs/>
        </w:rPr>
        <w:t>参考文献：</w:t>
      </w:r>
    </w:p>
    <w:p w14:paraId="4DFBF410">
      <w:pPr>
        <w:numPr>
          <w:ilvl w:val="0"/>
          <w:numId w:val="22"/>
        </w:numPr>
        <w:spacing w:after="0" w:line="360" w:lineRule="auto"/>
        <w:jc w:val="both"/>
        <w:rPr>
          <w:rFonts w:hAnsi="Calibri" w:cs="Calibri" w:asciiTheme="minorHAnsi"/>
          <w:sz w:val="20"/>
          <w:szCs w:val="20"/>
        </w:rPr>
      </w:pPr>
      <w:r>
        <w:rPr>
          <w:rFonts w:hint="eastAsia" w:hAnsi="Calibri" w:cs="Calibri" w:asciiTheme="minorHAnsi"/>
          <w:sz w:val="20"/>
          <w:szCs w:val="20"/>
        </w:rPr>
        <w:t>PMID: 10959075 Wnt/beta-catenin signaling.</w:t>
      </w:r>
    </w:p>
    <w:p w14:paraId="10BB99B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eastAsia" w:hAnsi="Calibri" w:cs="Calibri" w:asciiTheme="minorAscii"/>
          <w:sz w:val="20"/>
          <w:szCs w:val="20"/>
          <w:highlight w:val="none"/>
        </w:rPr>
        <w:t>GBD 2013 Mortality and Causes of Death Collaborators</w:t>
      </w:r>
      <w:r>
        <w:rPr>
          <w:rFonts w:hint="eastAsia" w:hAnsi="Calibri" w:cs="Calibri" w:asciiTheme="minorAscii"/>
          <w:sz w:val="20"/>
          <w:szCs w:val="20"/>
          <w:highlight w:val="none"/>
          <w:lang w:val="en-US" w:eastAsia="zh-CN"/>
        </w:rPr>
        <w:t>.Global, regional, and national age-sex specific all-cause and cause-specific mortality for 240 causes of death, 1990-2013: a systematic analysis for the Global Burden of Disease Study 2013.Lancet,2015 Jan 10,385(9963):117-71.</w:t>
      </w:r>
    </w:p>
    <w:p w14:paraId="1FE4984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Kuipers E J , Grady W M , Lieberman D , et al. Colorectal cancer.[J]. Nature Reviews Disease Primers, 2015, 1:15065.</w:t>
      </w:r>
    </w:p>
    <w:p w14:paraId="2C7650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Walker D P , Rogier D J . European guidelines for quality assurance in colorectal cancer screening and diagnosis: Overview and introduction to the full Supplement publication[J]. Endoscopy, 2012, 44 Suppl 3(S 03):SE131.</w:t>
      </w:r>
    </w:p>
    <w:p w14:paraId="6E4244C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Ervik, M，Soerjomataram, I，Ferlay, J</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w:t>
      </w:r>
      <w:r>
        <w:rPr>
          <w:rFonts w:hint="eastAsia" w:hAnsi="Calibri" w:cs="Calibri" w:asciiTheme="minorAscii"/>
          <w:sz w:val="20"/>
          <w:szCs w:val="20"/>
          <w:highlight w:val="none"/>
          <w:lang w:val="en-US" w:eastAsia="zh-CN"/>
        </w:rPr>
        <w:t xml:space="preserve"> et al</w:t>
      </w:r>
      <w:r>
        <w:rPr>
          <w:rFonts w:hint="eastAsia" w:hAnsi="Calibri" w:cs="Calibri" w:asciiTheme="minorAscii"/>
          <w:sz w:val="20"/>
          <w:szCs w:val="20"/>
          <w:highlight w:val="none"/>
        </w:rPr>
        <w:t>.GLOBOCAN 2012 Estimated Cancer Incidence, Mortality and Prevalence Worldwide in 2012</w:t>
      </w:r>
      <w:r>
        <w:rPr>
          <w:rFonts w:hint="eastAsia" w:hAnsi="Calibri" w:cs="Calibri" w:asciiTheme="minorAscii"/>
          <w:sz w:val="20"/>
          <w:szCs w:val="20"/>
          <w:highlight w:val="none"/>
          <w:lang w:val="en-US" w:eastAsia="zh-CN"/>
        </w:rPr>
        <w:t>.[online], http://globocan.iarc.fr/Default.aspx (2015).</w:t>
      </w:r>
    </w:p>
    <w:p w14:paraId="643969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Lier M G F V , Leenen C H M , Wagner A , et al. Yield of routine molecular analyses in colorectal cancer patients ≤70 years to detect underlying Lynch syndrome[J]. Journal of Pathology, 2012, 226(5):764-774.</w:t>
      </w:r>
    </w:p>
    <w:p w14:paraId="511265A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Rungoe C , Peyrin–Biroulet, Laurent. Risk of Colorectal Cancer in Patients With Ulcerative Colitis: A Meta-analysis of Population-Based Cohort Studies[J]. Clinical Gastroenterology &amp; Hepatology, 2012, 10(6):639-645.</w:t>
      </w:r>
    </w:p>
    <w:p w14:paraId="64CEDB1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Simonsen J , J?Rgensen K T , et al. Decreasing risk of colorectal cancer in patients with inflammatory bowel disease over 30 years.[J]. Gastroenterology, 2012, 143(2):375-381.e1.</w:t>
      </w:r>
    </w:p>
    <w:p w14:paraId="2E09188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Haraldsdottir S, Hampel H, Tomsic J, et al. Colon and endometrial cancers with mismatch repair deficiency can arise from somatic, rather than germline, mutations[J]. Gastroenterology, 2014, 147(6):1308-1316.e1.</w:t>
      </w:r>
    </w:p>
    <w:p w14:paraId="10EB5F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Perez-Carbonell L , Ruiz-Ponte C , Guarinos C , et al. Comparison between universal molecular screening for Lynch syndrome and revised Bethesda guidelines in a large population-based cohort of patients with colorectal cancer[J]. Gut, 2012, 61(6):865.</w:t>
      </w:r>
    </w:p>
    <w:p w14:paraId="7802D05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Casta?O-Milla C , Chaparro M , Gisbert J P . Systematic review with meta-analysis: the declining risk of colorectal cancer in ulcerative colitis.[J]. Aliment Pharmacol Ther, 2014, 39(7):645-659.</w:t>
      </w:r>
    </w:p>
    <w:p w14:paraId="44730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Half EE, Bresalier RS. Clinical management of hereditary colorectal cancer syndromes.[J]. Current Opinion in Gastroenterology, 2015, 20(2):88.</w:t>
      </w:r>
    </w:p>
    <w:p w14:paraId="635565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Herrinton L J , Liu L , Levin T R , et al. Incidence and Mortality of Colorectal Adenocarcinoma in Persons With Inflammatory Bowel Disease From 1998 to 2010[J]. Gastroenterology, 2012, 143(2):382-389.</w:t>
      </w:r>
    </w:p>
    <w:p w14:paraId="41494ED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World Cancer Research Fund/American Institute for Cancer Research. Continuous update project report. Food, nutrition, physical activity, and the prevention of colorectal cancer. Diet and Cancer Report [online]</w:t>
      </w:r>
    </w:p>
    <w:p w14:paraId="29A65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Guraya S Y . Association of type 2 diabetes mellitus and the risk ofcolorectal cancer: A meta-analysis and systematic review[J]. 世界胃肠病学杂志:英文版(电子版), 2015(19):6026-6031.</w:t>
      </w:r>
    </w:p>
    <w:p w14:paraId="4CE4633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 Fedirko, I Tramacere, V Bagnardi , et al.Alcohol drinking and colorectal cancer risk: an overall and dose-response meta-analysis of published studies</w:t>
      </w:r>
      <w:r>
        <w:rPr>
          <w:rFonts w:hint="eastAsia" w:hAnsi="Calibri" w:cs="Calibri" w:asciiTheme="minorAscii"/>
          <w:sz w:val="20"/>
          <w:szCs w:val="20"/>
          <w:highlight w:val="none"/>
          <w:lang w:val="en-US" w:eastAsia="zh-CN"/>
        </w:rPr>
        <w:t>.Ann Oncol. 2011 Sep;22(9):1958-1972.</w:t>
      </w:r>
    </w:p>
    <w:p w14:paraId="111EE7A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Heike U Krämer</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 Ben Schöttker, Elke Raum,</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al.Type 2 diabetes mellitus and colorectal cancer: meta-analysis on sex-specific differences</w:t>
      </w:r>
      <w:r>
        <w:rPr>
          <w:rFonts w:hint="eastAsia" w:hAnsi="Calibri" w:cs="Calibri" w:asciiTheme="minorAscii"/>
          <w:sz w:val="20"/>
          <w:szCs w:val="20"/>
          <w:highlight w:val="none"/>
          <w:lang w:val="en-US" w:eastAsia="zh-CN"/>
        </w:rPr>
        <w:t xml:space="preserve">.Eur J Cancer. 2012 Jun;48(9):1269-82. </w:t>
      </w:r>
    </w:p>
    <w:p w14:paraId="49B8444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Nakatsu G , Li X , Zhou H , et al. Gut mucosal microbiome across stages of colorectal carcinogenesis[J]. Nature Communications, 2015, 6:8727.</w:t>
      </w:r>
    </w:p>
    <w:p w14:paraId="6C91FC8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Arem H , Moore S C , Park Y , et al. Physical activity and cancer-specific mortality in the N</w:t>
      </w:r>
      <w:r>
        <w:rPr>
          <w:rFonts w:hint="eastAsia" w:hAnsi="Calibri" w:cs="Calibri" w:asciiTheme="minorAscii"/>
          <w:sz w:val="20"/>
          <w:szCs w:val="20"/>
          <w:highlight w:val="none"/>
        </w:rPr>
        <w:t>IH-AARP Diet and Health Study cohort[J]. International Journal of Cancer, 2014, 135(2):423-431.</w:t>
      </w:r>
    </w:p>
    <w:p w14:paraId="1744ABC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"https://pubmed.ncbi.nlm.nih.gov/?term=Algra+AM&amp;cauthor_id=22440112" </w:instrText>
      </w:r>
      <w:r>
        <w:rPr>
          <w:rFonts w:hint="eastAsia" w:hAnsi="Calibri" w:cs="Calibri" w:asciiTheme="minorAscii"/>
          <w:sz w:val="20"/>
          <w:szCs w:val="20"/>
          <w:highlight w:val="none"/>
        </w:rPr>
        <w:fldChar w:fldCharType="separate"/>
      </w:r>
      <w:r>
        <w:rPr>
          <w:rFonts w:hint="default" w:hAnsi="Calibri" w:cs="Calibri" w:asciiTheme="minorAscii"/>
          <w:sz w:val="20"/>
          <w:szCs w:val="20"/>
          <w:highlight w:val="none"/>
        </w:rPr>
        <w:t>Annemijn M Algra</w:t>
      </w:r>
      <w:r>
        <w:rPr>
          <w:rFonts w:hint="default" w:hAnsi="Calibri" w:cs="Calibri" w:asciiTheme="minorAscii"/>
          <w:sz w:val="20"/>
          <w:szCs w:val="20"/>
          <w:highlight w:val="none"/>
        </w:rPr>
        <w:fldChar w:fldCharType="end"/>
      </w:r>
      <w:r>
        <w:rPr>
          <w:rFonts w:hint="default" w:hAnsi="Calibri" w:cs="Calibri" w:asciiTheme="minorAscii"/>
          <w:sz w:val="20"/>
          <w:szCs w:val="20"/>
          <w:highlight w:val="none"/>
        </w:rPr>
        <w:t> , </w:t>
      </w:r>
      <w:r>
        <w:rPr>
          <w:rFonts w:hint="default" w:hAnsi="Calibri" w:cs="Calibri" w:asciiTheme="minorAscii"/>
          <w:sz w:val="20"/>
          <w:szCs w:val="20"/>
          <w:highlight w:val="none"/>
        </w:rPr>
        <w:fldChar w:fldCharType="begin"/>
      </w:r>
      <w:r>
        <w:rPr>
          <w:rFonts w:hint="default" w:hAnsi="Calibri" w:cs="Calibri" w:asciiTheme="minorAscii"/>
          <w:sz w:val="20"/>
          <w:szCs w:val="20"/>
          <w:highlight w:val="none"/>
        </w:rPr>
        <w:instrText xml:space="preserve"> HYPERLINK "https://pubmed.ncbi.nlm.nih.gov/?term=Rothwell+PM&amp;cauthor_id=22440112" </w:instrText>
      </w:r>
      <w:r>
        <w:rPr>
          <w:rFonts w:hint="default" w:hAnsi="Calibri" w:cs="Calibri" w:asciiTheme="minorAscii"/>
          <w:sz w:val="20"/>
          <w:szCs w:val="20"/>
          <w:highlight w:val="none"/>
        </w:rPr>
        <w:fldChar w:fldCharType="separate"/>
      </w:r>
      <w:r>
        <w:rPr>
          <w:rFonts w:hint="default" w:hAnsi="Calibri" w:cs="Calibri" w:asciiTheme="minorAscii"/>
          <w:sz w:val="20"/>
          <w:szCs w:val="20"/>
          <w:highlight w:val="none"/>
        </w:rPr>
        <w:t>Peter M Rothwell</w:t>
      </w:r>
      <w:r>
        <w:rPr>
          <w:rFonts w:hint="default"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.Effects of regular aspirin on long-term cancer incidence and metastasis: a systematic comparison of evidence from observational studies versus randomised trials.Lancet Oncol.2012 May;13(5):518-27. </w:t>
      </w:r>
    </w:p>
    <w:p w14:paraId="72D0E7C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1F5160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Engeland M V , Derks S , Smits K M , et al. Colorectal Cancer Epigenetics: Complex Simplicity[J]. Journal of Clinical Oncology, 2011, 29(10):1382-1391.</w:t>
      </w:r>
    </w:p>
    <w:p w14:paraId="1BCA6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Goldstein N S . Serrated Pathway and APC (Conventional)-Type Colorectal PolypsMolecular-Morphologic Correlations, Genetic Pathways, and Implications for Classification[J]. American Journal of Clinical Pathology(1):146-153.</w:t>
      </w:r>
    </w:p>
    <w:p w14:paraId="4232076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Loree J M , Pereira A A , Lam M , et al. Classifying colorectal cancer by tumor location rather than sidedness highlights a continuum in mutation profiles and Consensus Molecular Subtypes.[J]. Clinical Cancer Research, 2017:clincanres.2484.2017.</w:t>
      </w:r>
    </w:p>
    <w:p w14:paraId="41D5B13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 P , Niedzwiecki D , Innocenti F , et al. Impact of primary (1) tumor location on overall survival (OS) and progression-free survival (PFS) in patients (pts) with metastatic colorectal cancer (mCRC): Analysis of CALGB/SWOG 80405 (Alliance).[J]. Journal of Clinical Oncology, 2016, 34(15_suppl):3504-3504.</w:t>
      </w:r>
    </w:p>
    <w:p w14:paraId="7FE20D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Cancer Genome Atlas Network. Comprehensive molecular characterization of human colon and rectal cancer[J]. Nature, 2012,487(7407): 330-337.</w:t>
      </w:r>
    </w:p>
    <w:p w14:paraId="62A5930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Starr, T. K</w:t>
      </w:r>
      <w:r>
        <w:rPr>
          <w:rFonts w:hint="eastAsia" w:hAnsi="Calibri" w:cs="Calibri" w:asciiTheme="minorAscii"/>
          <w:sz w:val="20"/>
          <w:szCs w:val="20"/>
          <w:highlight w:val="none"/>
          <w:lang w:val="en-US" w:eastAsia="zh-CN"/>
        </w:rPr>
        <w:t xml:space="preserve">, Raha A, Kevin A T S, </w:t>
      </w:r>
      <w:r>
        <w:rPr>
          <w:rFonts w:hint="eastAsia" w:hAnsi="Calibri" w:cs="Calibri" w:asciiTheme="minorAscii"/>
          <w:sz w:val="20"/>
          <w:szCs w:val="20"/>
          <w:highlight w:val="none"/>
        </w:rPr>
        <w:t>et al. A transposon-based genetic screen in mice identifies genes altered in colorectal cancer. Science 323, 1747–1750 (2009).</w:t>
      </w:r>
    </w:p>
    <w:p w14:paraId="3ECBD2D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Kim, Y.-H</w:t>
      </w:r>
      <w:r>
        <w:rPr>
          <w:rFonts w:hint="eastAsia" w:hAnsi="Calibri" w:cs="Calibri" w:asciiTheme="minorAscii"/>
          <w:sz w:val="20"/>
          <w:szCs w:val="20"/>
          <w:highlight w:val="none"/>
          <w:lang w:val="en-US" w:eastAsia="zh-CN"/>
        </w:rPr>
        <w:t>, Petko Z, Dzieciatkowski S</w:t>
      </w:r>
      <w:r>
        <w:rPr>
          <w:rFonts w:hint="eastAsia" w:hAnsi="Calibri" w:cs="Calibri" w:asciiTheme="minorAscii"/>
          <w:sz w:val="20"/>
          <w:szCs w:val="20"/>
          <w:highlight w:val="none"/>
        </w:rPr>
        <w:t xml:space="preserve">. et al. CpG island methylation of genes accumulates during the adenoma progression step of the multistep pathogenesis of colorectal cancer.2006 Aug;45(8):781-9. </w:t>
      </w:r>
    </w:p>
    <w:p w14:paraId="513C3D6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Worthley D L , Whitehall V L J , Buttenshaw R L , et al. DNA methylation within the normal colorectal mucosa is associated with pathway-specific predisposition to cancer[J]. Oncogene, 2010.</w:t>
      </w:r>
    </w:p>
    <w:p w14:paraId="41E487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Yamauchi</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Morikawa</w:t>
      </w:r>
      <w:r>
        <w:rPr>
          <w:rFonts w:hint="eastAsia" w:hAnsi="Calibri" w:cs="Calibri" w:asciiTheme="minorAscii"/>
          <w:sz w:val="20"/>
          <w:szCs w:val="20"/>
          <w:highlight w:val="none"/>
          <w:lang w:val="en-US" w:eastAsia="zh-CN"/>
        </w:rPr>
        <w:t xml:space="preserve"> T</w:t>
      </w:r>
      <w:r>
        <w:rPr>
          <w:rFonts w:hint="eastAsia" w:hAnsi="Calibri" w:cs="Calibri" w:asciiTheme="minorAscii"/>
          <w:sz w:val="20"/>
          <w:szCs w:val="20"/>
          <w:highlight w:val="none"/>
        </w:rPr>
        <w:t>, Kuchiba</w:t>
      </w:r>
      <w:r>
        <w:rPr>
          <w:rFonts w:hint="eastAsia" w:hAnsi="Calibri" w:cs="Calibri" w:asciiTheme="minorAscii"/>
          <w:sz w:val="20"/>
          <w:szCs w:val="20"/>
          <w:highlight w:val="none"/>
          <w:lang w:val="en-US" w:eastAsia="zh-CN"/>
        </w:rPr>
        <w:t xml:space="preserve"> A, </w:t>
      </w:r>
      <w:r>
        <w:rPr>
          <w:rFonts w:hint="eastAsia" w:hAnsi="Calibri" w:cs="Calibri" w:asciiTheme="minorAscii"/>
          <w:sz w:val="20"/>
          <w:szCs w:val="20"/>
          <w:highlight w:val="none"/>
        </w:rPr>
        <w:t>et al. Assessment of colorectal cancer molecular features along bowel subsites challenges the conception of distinct dichotomy of proximal versus distal colorectum. Gut 61, 847–854 (2012).</w:t>
      </w:r>
    </w:p>
    <w:p w14:paraId="0079605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Chittenden T W , Howe E A , Culhane A C , et al. Functional classification analysis of somatically mutated genes in human breast and colorectal cancers[J]. Genomics, 2008, 91(6):508-511.</w:t>
      </w:r>
    </w:p>
    <w:p w14:paraId="3B4078B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Marmo R , et al. Meta-analysis Shows Colon Capsule Endoscopy Is Effective in Detecting Colorectal Polyps[J]. Clin Gastroenterol Hepatol, 2010, 8(6):516-522.e8.</w:t>
      </w:r>
    </w:p>
    <w:p w14:paraId="67A84B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Barbaro B , et al. Colon capsule versus CT colonography in patients with incomplete colonoscopy: a prospective, comparative trial[J]. Gut, 2015, 64(2):272-81.</w:t>
      </w:r>
    </w:p>
    <w:p w14:paraId="75CBB52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Kenneth, W, Kinzler,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Lessons from Hereditary Colorectal Cancer[J]. Cell, 1996.</w:t>
      </w:r>
    </w:p>
    <w:p w14:paraId="343D268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Ahlquist, D. A</w:t>
      </w:r>
      <w:r>
        <w:rPr>
          <w:rFonts w:hint="eastAsia" w:hAnsi="Calibri" w:cs="Calibri" w:asciiTheme="minorAscii"/>
          <w:sz w:val="20"/>
          <w:szCs w:val="20"/>
          <w:highlight w:val="none"/>
          <w:lang w:val="en-US" w:eastAsia="zh-CN"/>
        </w:rPr>
        <w:t>, Sargent D J , Loprinzi C L,</w:t>
      </w:r>
      <w:r>
        <w:rPr>
          <w:rFonts w:hint="eastAsia" w:hAnsi="Calibri" w:cs="Calibri" w:asciiTheme="minorAscii"/>
          <w:sz w:val="20"/>
          <w:szCs w:val="20"/>
          <w:highlight w:val="none"/>
        </w:rPr>
        <w:t xml:space="preserve"> et al. Stool DNA and occult blood testing for screen detection of colorectal neoplasia. Ann. Intern. Med. 149, 441–450 (2008).</w:t>
      </w:r>
    </w:p>
    <w:p w14:paraId="0CB95F4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(London, England).</w:t>
      </w:r>
    </w:p>
    <w:p w14:paraId="4BA0A8F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62FD741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Quirke P , West N P , Nagtegaal I D . EURECCA consensus conference highlights about colorectal cancer clinical management: the pathologists expert review[J]. Virchows Archiv, 2014, 464(2):129-134.</w:t>
      </w:r>
    </w:p>
    <w:p w14:paraId="0081FCB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Fiori E , Lamazza A , Schillaci A , et al. Palliative management for patients with subacute obstruction and stage IV unresectable rectosigmoid cancer: colostomy versus endoscopic stenting: final results of a prospective randomized trial[J]. American Journal of Surgery, 2012, 204(3):321-326.</w:t>
      </w:r>
    </w:p>
    <w:p w14:paraId="5F613DC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Graaf E J R D , Doornebosch P G , Tollenaar R A E M , et al. Transanal endoscopic microsurgery versus total mesorectal excision of T1 rectal adenocarcinomas with curative intention[J]. European Journal of Surgical Oncology, 2009, 35(12):1280-1285.</w:t>
      </w:r>
    </w:p>
    <w:p w14:paraId="07F35BF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Phil Quirke and Robert Steele and John Monson and Robert Grieve and Subhash Khanna and Jean Couture and Chris O'Callaghan and Arthur Sun Myint and Eric Bessell and Lindsay C Thompson and Mahesh Parmar and Richard J Stephens and David Sebag-Montefiore. Effect of the plane of surgery achieved on local recurrence in patients with operable rectal cancer: a prospective study using data from the MRC CR07 and NCIC-CTG CO16 randomised clinical trial[J]. The Lancet, 2009.</w:t>
      </w:r>
    </w:p>
    <w:p w14:paraId="5059E5C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Karim, M, Ramji, et al. Comparison of clinical and economic outcomes between robotic, laparoscopic, and open rectal cancer surgery: early experience at a tertiary care center[J]. Surgical Endoscopy, 2016.</w:t>
      </w:r>
    </w:p>
    <w:p w14:paraId="7740F48D">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Habr-Gama A , Perez R O , Juli?O G P S , et al. Nonoperative Approaches to Rectal Cancer: A Critical Evaluation[J]. Seminars in Radiation Oncology, 2011, 21(3):234-239.</w:t>
      </w:r>
    </w:p>
    <w:p w14:paraId="5BD5E38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Amado R G , Wolf M , Peeters M , et al. Wild-Type KRAS Is Required for Panitumumab Efficacy in Patients With Metastatic Colorectal Cancer[J]. Journal of Clinical Oncology, 2008, 26(10):1626-1634.</w:t>
      </w:r>
    </w:p>
    <w:p w14:paraId="63DC605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Willett, C. G</w:t>
      </w:r>
      <w:r>
        <w:rPr>
          <w:rFonts w:hint="eastAsia" w:hAnsi="Calibri" w:cs="Calibri" w:asciiTheme="minorAscii"/>
          <w:sz w:val="20"/>
          <w:szCs w:val="20"/>
          <w:highlight w:val="none"/>
          <w:lang w:eastAsia="zh-CN"/>
        </w:rPr>
        <w:t>，</w:t>
      </w:r>
      <w:r>
        <w:rPr>
          <w:rFonts w:hint="eastAsia" w:hAnsi="Calibri" w:cs="Calibri" w:asciiTheme="minorAscii"/>
          <w:sz w:val="20"/>
          <w:szCs w:val="20"/>
          <w:highlight w:val="none"/>
        </w:rPr>
        <w:t>Boucher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Y, Tomaso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Direct evidence that the VEGF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specific antibody bevacizumab has antivascular effects in human rectal cancer. Nat. Med. 10, 145–147 (2004).</w:t>
      </w:r>
    </w:p>
    <w:p w14:paraId="65F8886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Henricks LM, Lunenburg CATC, de Man FM, et al. DPYD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genotype-guided dose individualisation of fluoropyrimidine therapy in patients with cancer: a prospective safety analysis. Lancet Oncol</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2018; 19: 1459–67</w:t>
      </w:r>
    </w:p>
    <w:p w14:paraId="24E6357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Roth A D , Tejpar S , Delorenzi M , et al. Prognostic Role of KRAS and BRAF in Stage II and III Resected Colon Cancer: Results of the Translational Study on the PETACC-3, EORTC 40993, SAKK 60-00 Trial[J]. Journal of Clinical Oncology Official Journal of the American Society of Clinical Oncology, 2010, 28(3):466-74.</w:t>
      </w:r>
    </w:p>
    <w:p w14:paraId="6DC2B2A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2018 May 26;391(10135):2128-2139.</w:t>
      </w:r>
    </w:p>
    <w:p w14:paraId="0909BE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Giantonio B J , Catalano P J , Meropol N J , et al. Bevacizumab in Combination With Oxaliplatin, Fluorouracil, and Leucovorin (FOLFOX4) for Previously Treated Metastatic Colorectal Cancer: Results From the Eastern Cooperative Oncology Group Study E3200[J]. Journal of Clinical Oncology, 2007, 20(12):1539-1544.</w:t>
      </w:r>
    </w:p>
    <w:p w14:paraId="6BA9CA3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Grothey A , Sobrero A F , Shields A F , et al. Duration of adjuvant chemotherapy for stage III colon cancer[J]. N Engl J Med, 2018, PP(13):1177-1188.</w:t>
      </w:r>
    </w:p>
    <w:p w14:paraId="19674EE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AP, Niedzwiecki D, Innocenti F, at al. Impact of primary (1º) tumor location on overall survival (OS) and progression-free survival (PFS) in patients (pts) with metastatic colorectal cancer (mCRC): analysis of CALGB/SWOG 80405 (Alliance). J Clin Oncol 2016; 34 (suppl 15): 3504 (abstr)</w:t>
      </w:r>
    </w:p>
    <w:p w14:paraId="206DC41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Arnold D, Lueza B, Douillard JY, et al. Prognostic and predictive value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of primary tumour side in patients with RAS wild-type metastatic colorectal cancer treated with chemotherapy and EGFR directed antibodies in six randomized trials. Ann Oncol 2017; 28: 1713–29.</w:t>
      </w:r>
    </w:p>
    <w:p w14:paraId="7871C8D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Bokemeyer C, Bondarenko I, Makhson A, et al. Fluorouracil,leucovorin, and oxaliplatin with and without cetuximab in the first-line treatment of metastatic colorectal cancer. J Clin Oncol 2009; 27: 663–71.</w:t>
      </w:r>
    </w:p>
    <w:p w14:paraId="0B8C567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Pietrantonio F, Petrelli F, Coinu A, et al. Predictive role of BRAF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mutations in patients with advanced colorectal cancer receiving cetuximab and panitumumab: a meta-analysis. Eur J Cancer 2015; 51: 587–94</w:t>
      </w:r>
    </w:p>
    <w:p w14:paraId="471BDA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Bevacizumab plus chemotherapy continued beyond first progression in patients with metastatic colorectal cancer previously treated with bevacizumab plus chemotherapy: ML18147 study KRAS subgroup findings[J]. Annals of Oncology Official Journal of the European Society for Medical Oncology, 2013, 24(9):2342-2349.</w:t>
      </w:r>
    </w:p>
    <w:p w14:paraId="3D0A722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Van Cutsem,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"https://xueshu.baidu.com/s?wd=author:(Tabernero, J.)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Tabernero, J.</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"https://xueshu.baidu.com/s?wd=author:(Lakomy, R.)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Lakomy, R.</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Addition of aflibercept to fluorouracil, leucovorin, and irinotecan improves survival in a Phase III randomized trial in patients with metastatic colorectal cancer previously treated with an oxaliplatin-based regimen. J. Clin. Oncol. 30, 3499–3506 (2012).</w:t>
      </w:r>
    </w:p>
    <w:p w14:paraId="0CE2E79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Tomlinson J S , Jarnagin W R , Dematteo R P , et al. Actual 10-year survival after resection of colorectal liver metastases defines cure.[J]. Journal of Clinical Oncology, 2007, 25(29):4575-4580.</w:t>
      </w:r>
    </w:p>
    <w:p w14:paraId="4A9C6F4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lang w:val="en-US" w:eastAsia="zh-CN"/>
        </w:rPr>
        <w:t>A</w:t>
      </w:r>
      <w:r>
        <w:rPr>
          <w:rFonts w:hint="eastAsia" w:hAnsi="Calibri" w:cs="Calibri" w:asciiTheme="minorAscii"/>
          <w:sz w:val="20"/>
          <w:szCs w:val="20"/>
          <w:highlight w:val="none"/>
        </w:rPr>
        <w:t>yez</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N</w:t>
      </w:r>
      <w:r>
        <w:rPr>
          <w:rFonts w:hint="eastAsia" w:hAnsi="Calibri" w:cs="Calibri" w:asciiTheme="minorAscii"/>
          <w:sz w:val="20"/>
          <w:szCs w:val="20"/>
          <w:highlight w:val="none"/>
          <w:lang w:val="en-US" w:eastAsia="zh-CN"/>
        </w:rPr>
        <w:t xml:space="preserve">,Lalmahomed Z S，Eggermont A M M , </w:t>
      </w:r>
      <w:r>
        <w:rPr>
          <w:rFonts w:hint="eastAsia" w:hAnsi="Calibri" w:cs="Calibri" w:asciiTheme="minorAscii"/>
          <w:sz w:val="20"/>
          <w:szCs w:val="20"/>
          <w:highlight w:val="none"/>
        </w:rPr>
        <w:t>et al. Outcome of microscopic incomplete resection (R1) of colorectal liver metastases in the era of neoadjuvant chemotherapy. Ann. Surg. Oncol. 19, 1618–1627 (2012).</w:t>
      </w:r>
    </w:p>
    <w:p w14:paraId="0243C6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Heinemann, V</w:t>
      </w:r>
      <w:r>
        <w:rPr>
          <w:rFonts w:hint="eastAsia" w:hAnsi="Calibri" w:cs="Calibri" w:asciiTheme="minorAscii"/>
          <w:sz w:val="20"/>
          <w:szCs w:val="20"/>
          <w:highlight w:val="none"/>
          <w:lang w:val="en-US" w:eastAsia="zh-CN"/>
        </w:rPr>
        <w:t>,von Weikersthal LF, Decker T,</w:t>
      </w:r>
      <w:r>
        <w:rPr>
          <w:rFonts w:hint="eastAsia" w:hAnsi="Calibri" w:cs="Calibri" w:asciiTheme="minorAscii"/>
          <w:sz w:val="20"/>
          <w:szCs w:val="20"/>
          <w:highlight w:val="none"/>
        </w:rPr>
        <w:t xml:space="preserve"> et al. FOLFIRI plus cetuximab versus FOLFIRI plus bevacizumab as first-line treatment for patients with metastatic colorectal cancer (FIRE-3): a randomised, open-label, phase 3 trial. Lancet Oncol. 15, 1065–1075 (2014).</w:t>
      </w:r>
    </w:p>
    <w:p w14:paraId="5A3FF42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40A26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Kanthan R, Senger J L, Kanthan S C. Molecular Events in Primary and Metastatic Colorectal Carcinoma: A Review[J]. Pathology Research International,2012,(2012-5-9), 2012, 2012:597497.</w:t>
      </w:r>
    </w:p>
    <w:p w14:paraId="578CAF0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Tan C, Du X. KRAS mutation testing in metastatic colorectal cancer[J]. World Journal of Gastroenterology, 2012, 18(37):5171-5180.</w:t>
      </w:r>
    </w:p>
    <w:p w14:paraId="5734D33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Heinemann V, von Weikersthal L F, Decker T, et al. FOLFIRI plus cetuximab versus FOLFIRI plus bevacizumab as first-line treatment for patients with metastatic colorectal cancer (FIRE-3): a randomised, open-label, phase 3 trial[J]. Lancet Oncology, 2014, 15(10):1065-1075.</w:t>
      </w:r>
    </w:p>
    <w:p w14:paraId="46A5FD0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Ma B B, Mo F, Tong J H, et al. Elucidating the prognostic significance of KRAS, NRAS, BRAF and PIK3CA mutations in Chinese patients with metastatic colorectal cancer[J]. Asia Pac J Clin Oncol, 2015, 11(2):160-169.</w:t>
      </w:r>
    </w:p>
    <w:p w14:paraId="67CB80F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Tsuneo I, Yohko H, Fumihiko K,</w:t>
      </w:r>
      <w:r>
        <w:rPr>
          <w:rFonts w:hAnsi="Calibri" w:cs="Calibri" w:asciiTheme="minorAscii"/>
          <w:sz w:val="20"/>
          <w:szCs w:val="20"/>
          <w:highlight w:val="none"/>
        </w:rPr>
        <w:t xml:space="preserve"> et al.</w:t>
      </w:r>
      <w:r>
        <w:rPr>
          <w:rFonts w:hint="eastAsia" w:hAnsi="Calibri" w:cs="Calibri" w:asciiTheme="minorAscii"/>
          <w:sz w:val="20"/>
          <w:szCs w:val="20"/>
          <w:highlight w:val="none"/>
        </w:rPr>
        <w:t>Different effects of point mutations within the B-Raf glycine-rich loop in colorectal tumors on mitogen-activated protein/extracellular signal-regulated kinase kinase/extracellular signal-regulated kinase and nuclear factor kappaB pathway and cellular transformation</w:t>
      </w:r>
      <w:r>
        <w:rPr>
          <w:rFonts w:hint="eastAsia" w:hAnsi="Calibri" w:cs="Calibri" w:asciiTheme="minorAscii"/>
          <w:sz w:val="20"/>
          <w:szCs w:val="20"/>
          <w:highlight w:val="none"/>
          <w:lang w:val="en-US" w:eastAsia="zh-CN"/>
        </w:rPr>
        <w:t>.Cancer Res. 2004 May 15;64(10):3428-35.</w:t>
      </w:r>
    </w:p>
    <w:p w14:paraId="3F6BC90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Siena S, Sartore-Bianchi A, Marsoni S, et al. Targeting the human epidermal growth factor receptor 2 in colorectal cancer. Ann Oncol. 2018;29:1108-1119.</w:t>
      </w:r>
    </w:p>
    <w:p w14:paraId="14B9189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Sartore-Bianchi A, Trusolino L, Martino C, et al. Dual-targeted therapy with trastuzumab and lapatinib in treatment-refractory, KRAS codon 12/13 wild-type, HER2-positive metastatic colorectal cancer (HERACLES): a proof-of-concept, multicentre, open-label, phase 2 trial. Lancet Oncol. 2016;17:738-746.</w:t>
      </w:r>
    </w:p>
    <w:p w14:paraId="5C8AD93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Pertuzumab plus trastuzumab for HER2-amplified metastatic colorectal cancer (MyPathway): an updated report from a multicentre, open-label, phase 2a, multiple basket study.[J]. The Lancet. Oncology, 2019.</w:t>
      </w:r>
    </w:p>
    <w:p w14:paraId="0AC850D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Peltomäki P. Deficient DNA mismatch repair: a common etiologic factor for colon cancer.[J]. Human Molecular Genetics, 2001, 10(7):735-740.</w:t>
      </w:r>
    </w:p>
    <w:p w14:paraId="3FF10E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07F5889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Palomaki G E, Mcclain M R, Melillo S, et al. EGAPP supplementary evidence review: DNA testing strategies aimed at reducing morbidity and mortality from Lynch syndrome[J]. Genetics in Medicine, 2009, 11(1):42-65.</w:t>
      </w:r>
    </w:p>
    <w:p w14:paraId="0FB7630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Boyiadzis M M , Kirkwood J M , Marshall J L , et al. Significance and implications of FDA approval of pembrolizumab for biomarker-defined disease[J]. Journal for ImmunoTherapy of Cancer, 2018, 6(1):35.</w:t>
      </w:r>
    </w:p>
    <w:p w14:paraId="122246E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Aparicio T. PD-1 blockade in tumors with mismatch-repair deficiency[J]. New England Journal of Medicine, 2015, 373(20):2509-2520.</w:t>
      </w:r>
    </w:p>
    <w:p w14:paraId="3ED0D45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Le D T, Durham J N, Smith K N, et al. Mismatch-repair deficiency predicts response of solid tumors to PD-1 blockade.[J]. Science, 2017, 357(6349):409.</w:t>
      </w:r>
    </w:p>
    <w:p w14:paraId="654737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Overman M J, Mcdermott R, Leach J L, et al. Nivolumab in patients with metastatic DNA mismatch repair-deficient or microsatellite instability-high colorectal cancer (CheckMate 142): an open-label, multicentre, phase 2 study.[J]. Lancet Oncology, 2017, 18(9):1182.</w:t>
      </w:r>
    </w:p>
    <w:p w14:paraId="502A11A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Link J T, Overman M J. Immunotherapy Progress in Mismatch Repair-Deficient Colorectal Cancer and Future Therapeutic Challenges[J]. Cancer Journal, 2016, 22(3):190.</w:t>
      </w:r>
    </w:p>
    <w:p w14:paraId="2CBC73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Giannakis M, Shukla S, Mu JX, et al. Comprehensive molecular characterization of colorectal cancer reveals genomic predictors of immune cell infiltrates[J]. Bioorgan Med Chem, 2015, 17(2): 569-575.</w:t>
      </w:r>
    </w:p>
    <w:p w14:paraId="1D4E208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Mehnert J M, Panda A, Hua Z, et al. Immune activation and response to pembrolizumab in POLE-mutant endometrial cancer[J]. Journal of Clinical Investigation, 2016, 126(6):2334.</w:t>
      </w:r>
    </w:p>
    <w:p w14:paraId="263B79D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NA Rizvi, MD Hellmann, A Snyder, et al. Cancer immunology. Mutational landscape determines sensitivity to PD-1 blockade in non-small cell lung cancer.[J]. Science, 2015, 348(6230):124-128.</w:t>
      </w:r>
    </w:p>
    <w:p w14:paraId="12CDE45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Domingo E, Freeman-Mills L, Rayner E, et al. Somatic POLE, proofreading domain mutation, immune response, and prognosis in colorectal cancer: a retrospective, pooled biomarker study[J]. Lancet Gastroenterology &amp; Hepatology, 2016, 1(3):207-216.</w:t>
      </w:r>
    </w:p>
    <w:p w14:paraId="7D70A91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Jun G, Chongkai W, Peter PL,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Response to PD-1 blockade in microsatellite stable metastatic colorectal cancer harboring a POLE mutation.</w:t>
      </w:r>
    </w:p>
    <w:p w14:paraId="6CABFCF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Wang C, Gong J, Tu TY,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Immune profiling of microsatellite instability-high and polymerase ε (POLE)-mutated metastatic colorectal tumors identifies predictors of response to anti-PD-1 therapy. J Gastrointest Oncol. (2018) 9:404–15. 10.21037/jgo.2018.01.09</w:t>
      </w:r>
      <w:r>
        <w:rPr>
          <w:rFonts w:hint="eastAsia" w:hAnsi="Calibri" w:cs="Calibri" w:asciiTheme="minorAscii"/>
          <w:sz w:val="20"/>
          <w:szCs w:val="20"/>
          <w:highlight w:val="none"/>
          <w:lang w:val="en-US" w:eastAsia="zh-CN"/>
        </w:rPr>
        <w:t>.</w:t>
      </w:r>
    </w:p>
    <w:p w14:paraId="3A876E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微软雅黑" w:cs="微软雅黑" w:asciiTheme="minorAscii"/>
          <w:sz w:val="20"/>
          <w:szCs w:val="20"/>
          <w:highlight w:val="none"/>
          <w:lang w:val="en-US" w:eastAsia="zh-CN"/>
        </w:rPr>
        <w:t>M</w:t>
      </w:r>
      <w:r>
        <w:rPr>
          <w:rFonts w:hint="default" w:hAnsi="Calibri" w:cs="Calibri" w:asciiTheme="minorAscii"/>
          <w:sz w:val="20"/>
          <w:szCs w:val="20"/>
          <w:highlight w:val="none"/>
          <w:lang w:val="en-US" w:eastAsia="zh-CN"/>
        </w:rPr>
        <w:t>ehnert JM, Panda A, Zhong H, Hirshfield K, Damare S, Lane K, et al. Immune activation and response to pembrolizumab in POLE-mutant endometrial cancer. J Clin Invest. (2016) 126:2334–40.</w:t>
      </w:r>
      <w:r>
        <w:rPr>
          <w:rFonts w:hint="eastAsia" w:hAnsi="Calibri" w:cs="Calibri" w:asciiTheme="minorAscii"/>
          <w:sz w:val="20"/>
          <w:szCs w:val="20"/>
          <w:highlight w:val="none"/>
          <w:lang w:val="en-US" w:eastAsia="zh-CN"/>
        </w:rPr>
        <w:t xml:space="preserve"> </w:t>
      </w:r>
    </w:p>
    <w:p w14:paraId="3A1029A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Santin AD, Bellone S, Buza N, Choi J, Schwartz PE, Schlessinger J, et al. Regression of chemotherapy-resistant polymerase ε (POLE) ultra-mutated and MSH6 hyper-mutated endometrial tumors with nivolumab. Clin Cancer Res. (2016) 22:5682–7. 10.1158/1078-0432.CCR-16-1031</w:t>
      </w:r>
      <w:r>
        <w:rPr>
          <w:rFonts w:hint="eastAsia" w:hAnsi="Calibri" w:cs="Calibri" w:asciiTheme="minorAscii"/>
          <w:sz w:val="20"/>
          <w:szCs w:val="20"/>
          <w:highlight w:val="none"/>
          <w:lang w:val="en-US" w:eastAsia="zh-CN"/>
        </w:rPr>
        <w:t xml:space="preserve"> 100</w:t>
      </w:r>
      <w:r>
        <w:rPr>
          <w:rFonts w:hint="default" w:hAnsi="Calibri" w:cs="Calibri" w:asciiTheme="minorAscii"/>
          <w:sz w:val="20"/>
          <w:szCs w:val="20"/>
          <w:highlight w:val="none"/>
          <w:lang w:val="en-US" w:eastAsia="zh-CN"/>
        </w:rPr>
        <w:t>.</w:t>
      </w:r>
    </w:p>
    <w:p w14:paraId="4DC5DC3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Howitt BE, Shukla SA, Sholl LM, Ritterhouse LL, Watkins JC, Rodig S, et al. Association of polymerase e–mutated and microsatellite-instable endometrial cancers with neoantigen load, number of tumor-infiltrating lymphocytes, and expression of PD-1 and PD-L1polymerase e–mutated and microsatellite-instable endometrial cancerpolymerase e–mutated and microsatellite-instable endometrial cancer. JAMA Oncology. (2015) 1:1319–23. 10.1001/jamaoncol.2015.2151</w:t>
      </w:r>
    </w:p>
    <w:p w14:paraId="665A483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 xml:space="preserve">Picard E , Verschoor C P , Ma G W , et al. Relationships Between Immune Landscapes, Genetic Subtypes and Responses to Immunotherapy in Colorectal Cancer[J]. Frontiers in Immunology, 2020, </w:t>
      </w:r>
    </w:p>
    <w:p w14:paraId="7D9177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Booth R A. Minimally invasive biomarkers for detection and staging of colorectal cancer[J]. Cancer Letters, 2007, 249(1):87-96.</w:t>
      </w:r>
    </w:p>
    <w:p w14:paraId="1543A84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eastAsia" w:hAnsi="Calibri" w:cs="Calibri" w:asciiTheme="minorAscii"/>
          <w:sz w:val="20"/>
          <w:szCs w:val="20"/>
          <w:highlight w:val="none"/>
          <w:lang w:val="en-US" w:eastAsia="zh-CN"/>
        </w:rPr>
        <w:t>Hong D S , Fakih M G , Strickler J H , et al. KRASG12C Inhibition with Sotorasib in Advanced Solid Tumors[J]. New England Journal of Medicine, 2020.</w:t>
      </w:r>
    </w:p>
    <w:p w14:paraId="456CB8BB">
      <w:pPr>
        <w:adjustRightInd/>
        <w:snapToGrid/>
        <w:jc w:val="both"/>
        <w:rPr>
          <w:rFonts w:hAnsi="微软雅黑" w:cs="微软雅黑" w:asciiTheme="minorHAnsi"/>
          <w:color w:val="222222"/>
          <w:sz w:val="18"/>
          <w:szCs w:val="18"/>
          <w:shd w:val="clear" w:color="auto" w:fill="FFFFFF"/>
        </w:rPr>
      </w:pPr>
    </w:p>
    <w:p w14:paraId="0EE948EE">
      <w:pPr>
        <w:spacing w:line="312" w:lineRule="auto"/>
        <w:jc w:val="both"/>
        <w:rPr>
          <w:rFonts w:ascii="微软雅黑" w:hAnsi="微软雅黑"/>
          <w:b/>
          <w:sz w:val="28"/>
          <w:szCs w:val="28"/>
        </w:rPr>
      </w:pPr>
      <w:r>
        <w:rPr>
          <w:rFonts w:hint="eastAsia" w:ascii="微软雅黑" w:hAnsi="微软雅黑"/>
          <w:b/>
          <w:sz w:val="28"/>
          <w:szCs w:val="28"/>
        </w:rPr>
        <w:br w:type="page"/>
      </w:r>
    </w:p>
    <w:p w14:paraId="6D992E7F">
      <w:pPr>
        <w:spacing w:line="312" w:lineRule="auto"/>
        <w:jc w:val="both"/>
        <w:outlineLvl w:val="0"/>
        <w:rPr>
          <w:rFonts w:ascii="微软雅黑" w:hAnsi="微软雅黑"/>
          <w:b/>
          <w:sz w:val="24"/>
          <w:szCs w:val="24"/>
        </w:rPr>
      </w:pPr>
      <w:bookmarkStart w:id="208" w:name="_Toc17460"/>
      <w:bookmarkStart w:id="209" w:name="_Toc12428"/>
      <w:r>
        <w:rPr>
          <w:rFonts w:hint="eastAsia" w:ascii="微软雅黑" w:hAnsi="微软雅黑"/>
          <w:b/>
          <w:sz w:val="24"/>
          <w:szCs w:val="24"/>
        </w:rPr>
        <w:t>3. 癌症相关信号通路</w:t>
      </w:r>
      <w:bookmarkEnd w:id="190"/>
      <w:bookmarkEnd w:id="191"/>
      <w:bookmarkEnd w:id="192"/>
      <w:bookmarkEnd w:id="193"/>
      <w:bookmarkEnd w:id="194"/>
      <w:bookmarkEnd w:id="195"/>
      <w:bookmarkEnd w:id="196"/>
      <w:bookmarkEnd w:id="197"/>
      <w:bookmarkEnd w:id="198"/>
      <w:bookmarkEnd w:id="199"/>
      <w:bookmarkEnd w:id="201"/>
      <w:bookmarkEnd w:id="208"/>
      <w:bookmarkEnd w:id="209"/>
    </w:p>
    <w:bookmarkEnd w:id="20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1226F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FD1643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68CDD0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PI3K-Akt-mTOR signaling pathway</w:t>
            </w:r>
          </w:p>
        </w:tc>
      </w:tr>
      <w:tr w14:paraId="4DE0F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F14505">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D0B5683">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hint="default"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hint="default"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14:paraId="7B528F3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hint="default" w:ascii="微软雅黑" w:hAnsi="微软雅黑" w:cs="微软雅黑"/>
                <w:kern w:val="2"/>
                <w:sz w:val="18"/>
                <w:szCs w:val="18"/>
              </w:rPr>
              <w:t>（</w:t>
            </w:r>
            <w:r>
              <w:rPr>
                <w:rFonts w:hint="eastAsia" w:ascii="微软雅黑" w:hAnsi="微软雅黑" w:cs="微软雅黑"/>
                <w:kern w:val="2"/>
                <w:sz w:val="18"/>
                <w:szCs w:val="18"/>
              </w:rPr>
              <w:t>如EGF、HGF</w:t>
            </w:r>
            <w:r>
              <w:rPr>
                <w:rFonts w:hint="default" w:ascii="微软雅黑" w:hAnsi="微软雅黑" w:cs="微软雅黑"/>
                <w:kern w:val="2"/>
                <w:sz w:val="18"/>
                <w:szCs w:val="18"/>
              </w:rPr>
              <w:t>）</w:t>
            </w:r>
            <w:r>
              <w:rPr>
                <w:rFonts w:hint="eastAsia" w:ascii="微软雅黑" w:hAnsi="微软雅黑" w:cs="微软雅黑"/>
                <w:kern w:val="2"/>
                <w:sz w:val="18"/>
                <w:szCs w:val="18"/>
              </w:rPr>
              <w:t>与受体酪氨酸激酶</w:t>
            </w:r>
            <w:r>
              <w:rPr>
                <w:rFonts w:hint="default" w:ascii="微软雅黑" w:hAnsi="微软雅黑" w:cs="微软雅黑"/>
                <w:kern w:val="2"/>
                <w:sz w:val="18"/>
                <w:szCs w:val="18"/>
              </w:rPr>
              <w:t>（</w:t>
            </w:r>
            <w:r>
              <w:rPr>
                <w:rFonts w:hint="eastAsia" w:ascii="微软雅黑" w:hAnsi="微软雅黑" w:cs="微软雅黑"/>
                <w:kern w:val="2"/>
                <w:sz w:val="18"/>
                <w:szCs w:val="18"/>
              </w:rPr>
              <w:t>RTK</w:t>
            </w:r>
            <w:r>
              <w:rPr>
                <w:rFonts w:hint="default"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hint="default" w:ascii="微软雅黑" w:hAnsi="微软雅黑" w:cs="微软雅黑"/>
                <w:kern w:val="2"/>
                <w:sz w:val="18"/>
                <w:szCs w:val="18"/>
              </w:rPr>
              <w:t>（</w:t>
            </w:r>
            <w:r>
              <w:rPr>
                <w:rFonts w:hint="eastAsia" w:ascii="微软雅黑" w:hAnsi="微软雅黑" w:cs="微软雅黑"/>
                <w:kern w:val="2"/>
                <w:sz w:val="18"/>
                <w:szCs w:val="18"/>
              </w:rPr>
              <w:t>IRS-1</w:t>
            </w:r>
            <w:r>
              <w:rPr>
                <w:rFonts w:hint="default"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hint="default" w:ascii="微软雅黑" w:hAnsi="微软雅黑" w:cs="微软雅黑"/>
                <w:kern w:val="2"/>
                <w:sz w:val="18"/>
                <w:szCs w:val="18"/>
              </w:rPr>
              <w:t>-</w:t>
            </w:r>
            <w:r>
              <w:rPr>
                <w:rFonts w:hint="eastAsia" w:ascii="微软雅黑" w:hAnsi="微软雅黑" w:cs="微软雅黑"/>
                <w:kern w:val="2"/>
                <w:sz w:val="18"/>
                <w:szCs w:val="18"/>
              </w:rPr>
              <w:t>激酶</w:t>
            </w:r>
            <w:r>
              <w:rPr>
                <w:rFonts w:hint="default" w:ascii="微软雅黑" w:hAnsi="微软雅黑" w:cs="微软雅黑"/>
                <w:kern w:val="2"/>
                <w:sz w:val="18"/>
                <w:szCs w:val="18"/>
              </w:rPr>
              <w:t>（</w:t>
            </w:r>
            <w:r>
              <w:rPr>
                <w:rFonts w:hint="eastAsia" w:ascii="微软雅黑" w:hAnsi="微软雅黑" w:cs="微软雅黑"/>
                <w:kern w:val="2"/>
                <w:sz w:val="18"/>
                <w:szCs w:val="18"/>
              </w:rPr>
              <w:t>PI3K</w:t>
            </w:r>
            <w:r>
              <w:rPr>
                <w:rFonts w:hint="default"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hint="default" w:ascii="微软雅黑" w:hAnsi="微软雅黑" w:cs="微软雅黑"/>
                <w:kern w:val="2"/>
                <w:sz w:val="18"/>
                <w:szCs w:val="18"/>
              </w:rPr>
              <w:t>（</w:t>
            </w:r>
            <w:r>
              <w:rPr>
                <w:rFonts w:hint="eastAsia" w:ascii="微软雅黑" w:hAnsi="微软雅黑" w:cs="微软雅黑"/>
                <w:kern w:val="2"/>
                <w:sz w:val="18"/>
                <w:szCs w:val="18"/>
              </w:rPr>
              <w:t>PIP2</w:t>
            </w:r>
            <w:r>
              <w:rPr>
                <w:rFonts w:hint="default"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14:paraId="3B174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7DE70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79E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76CADB5">
            <w:pPr>
              <w:keepNext w:val="0"/>
              <w:keepLines w:val="0"/>
              <w:widowControl/>
              <w:suppressLineNumbers w:val="0"/>
              <w:spacing w:before="0" w:beforeAutospacing="0" w:after="0" w:afterAutospacing="0" w:line="220" w:lineRule="atLeast"/>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45C76B37">
      <w:pPr>
        <w:adjustRightInd/>
        <w:snapToGrid/>
        <w:spacing w:after="0" w:line="240" w:lineRule="atLeast"/>
        <w:rPr>
          <w:rFonts w:ascii="微软雅黑" w:hAnsi="微软雅黑"/>
          <w:bCs/>
          <w:sz w:val="21"/>
          <w:szCs w:val="21"/>
        </w:rPr>
      </w:pPr>
    </w:p>
    <w:p w14:paraId="5C988CE8">
      <w:pPr>
        <w:adjustRightInd/>
        <w:snapToGrid/>
        <w:spacing w:line="220" w:lineRule="atLeast"/>
        <w:jc w:val="center"/>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1038"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图片 32" descr="pik"/>
                    <pic:cNvPicPr>
                      <a:picLocks noChangeAspect="1"/>
                    </pic:cNvPicPr>
                  </pic:nvPicPr>
                  <pic:blipFill>
                    <a:blip r:embed="rId39" cstate="print"/>
                    <a:stretch>
                      <a:fillRect/>
                    </a:stretch>
                  </pic:blipFill>
                  <pic:spPr>
                    <a:xfrm>
                      <a:off x="0" y="0"/>
                      <a:ext cx="2753360" cy="2493645"/>
                    </a:xfrm>
                    <a:prstGeom prst="rect">
                      <a:avLst/>
                    </a:prstGeom>
                  </pic:spPr>
                </pic:pic>
              </a:graphicData>
            </a:graphic>
          </wp:inline>
        </w:drawing>
      </w:r>
    </w:p>
    <w:p w14:paraId="74334A20">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14:paraId="65478851">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E9ABE4">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14:paraId="050B1547">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14:paraId="42EC9651">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14:paraId="269723D2">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14:paraId="5240F99E">
      <w:pPr>
        <w:adjustRightInd/>
        <w:snapToGrid/>
        <w:spacing w:line="220" w:lineRule="atLeast"/>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1331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5AA8F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8BD15A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MAPK/ERK Signaling Pathway</w:t>
            </w:r>
          </w:p>
        </w:tc>
      </w:tr>
      <w:tr w14:paraId="1638B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A4C7C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1488FD5">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14:paraId="3CD5CA3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rPr>
              <w:t>。</w:t>
            </w:r>
          </w:p>
        </w:tc>
      </w:tr>
      <w:tr w14:paraId="7BE39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FB1E716">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2D292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91F78FB">
            <w:pPr>
              <w:keepNext w:val="0"/>
              <w:keepLines w:val="0"/>
              <w:widowControl w:val="0"/>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FG</w:t>
            </w:r>
            <w:r>
              <w:rPr>
                <w:rFonts w:hint="default" w:ascii="微软雅黑" w:hAnsi="微软雅黑" w:cs="微软雅黑"/>
                <w:color w:val="000000" w:themeColor="text1"/>
                <w:kern w:val="2"/>
                <w:sz w:val="18"/>
                <w:szCs w:val="18"/>
                <w14:textFill>
                  <w14:solidFill>
                    <w14:schemeClr w14:val="tx1"/>
                  </w14:solidFill>
                </w14:textFill>
              </w:rPr>
              <w:t>FR4 KRAS RET A</w:t>
            </w:r>
            <w:r>
              <w:rPr>
                <w:rFonts w:hint="default"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DD6B7E3">
      <w:pPr>
        <w:adjustRightInd/>
        <w:snapToGrid/>
        <w:spacing w:after="0"/>
        <w:rPr>
          <w:rFonts w:ascii="微软雅黑" w:hAnsi="微软雅黑"/>
          <w:b/>
          <w:sz w:val="24"/>
          <w:szCs w:val="24"/>
        </w:rPr>
      </w:pPr>
    </w:p>
    <w:p w14:paraId="3906F106">
      <w:pPr>
        <w:adjustRightInd/>
        <w:snapToGrid/>
        <w:spacing w:line="220" w:lineRule="atLeast"/>
        <w:jc w:val="center"/>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1039"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图片 33" descr="mapk"/>
                    <pic:cNvPicPr>
                      <a:picLocks noChangeAspect="1"/>
                    </pic:cNvPicPr>
                  </pic:nvPicPr>
                  <pic:blipFill>
                    <a:blip r:embed="rId40" cstate="print"/>
                    <a:stretch>
                      <a:fillRect/>
                    </a:stretch>
                  </pic:blipFill>
                  <pic:spPr>
                    <a:xfrm>
                      <a:off x="0" y="0"/>
                      <a:ext cx="3298825" cy="3857625"/>
                    </a:xfrm>
                    <a:prstGeom prst="rect">
                      <a:avLst/>
                    </a:prstGeom>
                  </pic:spPr>
                </pic:pic>
              </a:graphicData>
            </a:graphic>
          </wp:inline>
        </w:drawing>
      </w:r>
    </w:p>
    <w:p w14:paraId="77F245A7">
      <w:pPr>
        <w:adjustRightInd/>
        <w:snapToGrid/>
        <w:spacing w:line="220" w:lineRule="atLeast"/>
        <w:jc w:val="center"/>
        <w:rPr>
          <w:rFonts w:ascii="微软雅黑" w:hAnsi="微软雅黑"/>
          <w:b/>
          <w:sz w:val="24"/>
          <w:szCs w:val="24"/>
        </w:rPr>
      </w:pPr>
      <w:r>
        <w:rPr>
          <w:rFonts w:hint="eastAsia" w:ascii="微软雅黑" w:hAnsi="微软雅黑" w:cs="微软雅黑"/>
          <w:sz w:val="18"/>
          <w:szCs w:val="18"/>
        </w:rPr>
        <w:t>MAPK/ERK Signaling Pathway</w:t>
      </w:r>
    </w:p>
    <w:p w14:paraId="384875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31E6005">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14:paraId="3AB6515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14:paraId="5DA2D36A">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14:paraId="0E27ABDB">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C92E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9DCB6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3D1663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Wnt Signaling Pathway</w:t>
            </w:r>
          </w:p>
        </w:tc>
      </w:tr>
      <w:tr w14:paraId="19E5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DFA08BD">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0D7664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5122E888">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88D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36F78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9B8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D159D5B">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hint="default" w:ascii="微软雅黑" w:hAnsi="微软雅黑" w:cs="微软雅黑"/>
                <w:color w:val="000000" w:themeColor="text1"/>
                <w:kern w:val="2"/>
                <w:sz w:val="18"/>
                <w:szCs w:val="18"/>
                <w14:textFill>
                  <w14:solidFill>
                    <w14:schemeClr w14:val="tx1"/>
                  </w14:solidFill>
                </w14:textFill>
              </w:rPr>
              <w:t xml:space="preserve">RUNX2 </w:t>
            </w:r>
            <w:r>
              <w:rPr>
                <w:rFonts w:hint="default" w:ascii="微软雅黑" w:hAnsi="微软雅黑" w:cs="微软雅黑"/>
                <w:kern w:val="2"/>
                <w:sz w:val="18"/>
                <w:szCs w:val="18"/>
              </w:rPr>
              <w:t xml:space="preserve">SMAD2 SMAD3 SMAD4 SMARCA4 SOX17 SOX9 SRC TCF7L2 TERT WT1 XPO1 YES1 PHOX2B </w:t>
            </w:r>
          </w:p>
        </w:tc>
      </w:tr>
    </w:tbl>
    <w:p w14:paraId="3BED5E11">
      <w:pPr>
        <w:adjustRightInd/>
        <w:snapToGrid/>
        <w:spacing w:line="220" w:lineRule="atLeast"/>
        <w:jc w:val="center"/>
      </w:pPr>
    </w:p>
    <w:p w14:paraId="00608879">
      <w:pPr>
        <w:adjustRightInd/>
        <w:snapToGrid/>
        <w:spacing w:line="220" w:lineRule="atLeast"/>
        <w:jc w:val="center"/>
        <w:rPr>
          <w:rFonts w:ascii="微软雅黑" w:hAnsi="微软雅黑"/>
          <w:b/>
          <w:sz w:val="24"/>
          <w:szCs w:val="24"/>
        </w:rPr>
      </w:pPr>
      <w:r>
        <w:drawing>
          <wp:inline distT="0" distB="0" distL="114300" distR="114300">
            <wp:extent cx="4990465" cy="2981325"/>
            <wp:effectExtent l="0" t="0" r="635" b="9525"/>
            <wp:docPr id="10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图片 2"/>
                    <pic:cNvPicPr>
                      <a:picLocks noChangeAspect="1"/>
                    </pic:cNvPicPr>
                  </pic:nvPicPr>
                  <pic:blipFill>
                    <a:blip r:embed="rId41" cstate="print"/>
                    <a:stretch>
                      <a:fillRect/>
                    </a:stretch>
                  </pic:blipFill>
                  <pic:spPr>
                    <a:xfrm>
                      <a:off x="0" y="0"/>
                      <a:ext cx="4990465" cy="2981325"/>
                    </a:xfrm>
                    <a:prstGeom prst="rect">
                      <a:avLst/>
                    </a:prstGeom>
                    <a:noFill/>
                    <a:ln>
                      <a:noFill/>
                    </a:ln>
                  </pic:spPr>
                </pic:pic>
              </a:graphicData>
            </a:graphic>
          </wp:inline>
        </w:drawing>
      </w:r>
    </w:p>
    <w:p w14:paraId="05B7313F">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2E23BC32">
      <w:pPr>
        <w:adjustRightInd/>
        <w:snapToGrid/>
        <w:spacing w:after="40"/>
        <w:jc w:val="both"/>
        <w:rPr>
          <w:rFonts w:ascii="微软雅黑" w:hAnsi="微软雅黑" w:cs="微软雅黑"/>
          <w:b/>
          <w:bCs/>
          <w:sz w:val="18"/>
          <w:szCs w:val="18"/>
        </w:rPr>
      </w:pPr>
    </w:p>
    <w:p w14:paraId="4C4A78D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65F8A94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7AD6E841">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6D75BF0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2BC669F7">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4F63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D271C0">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085A88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JAK/STAT Signaling Pathway</w:t>
            </w:r>
          </w:p>
        </w:tc>
      </w:tr>
      <w:tr w14:paraId="6BDD5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A216613">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CE097EA">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157CAF2E">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73EC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EC2F07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BA81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EE5224C">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IL7R JAK1 JAK2 JAK3 MPL MTOR MYC PIK3CA PIK3CB PIK3CG PIK3R1 PIK3R2 PTPN11 SOCS1 SRC STAT3 STAT4 </w:t>
            </w:r>
          </w:p>
        </w:tc>
      </w:tr>
    </w:tbl>
    <w:p w14:paraId="33789CCF">
      <w:pPr>
        <w:adjustRightInd/>
        <w:snapToGrid/>
        <w:spacing w:line="220" w:lineRule="atLeast"/>
        <w:rPr>
          <w:rFonts w:ascii="微软雅黑" w:hAnsi="微软雅黑"/>
          <w:b/>
          <w:sz w:val="24"/>
          <w:szCs w:val="24"/>
        </w:rPr>
      </w:pPr>
    </w:p>
    <w:p w14:paraId="0F956405">
      <w:pPr>
        <w:jc w:val="center"/>
      </w:pPr>
      <w:r>
        <w:rPr>
          <w:rFonts w:ascii="宋体" w:hAnsi="宋体" w:eastAsia="宋体" w:cs="宋体"/>
          <w:sz w:val="24"/>
          <w:szCs w:val="24"/>
        </w:rPr>
        <w:drawing>
          <wp:inline distT="0" distB="0" distL="114300" distR="114300">
            <wp:extent cx="3504565" cy="3209925"/>
            <wp:effectExtent l="0" t="0" r="635" b="9525"/>
            <wp:docPr id="104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图片 1" descr="IMG_256"/>
                    <pic:cNvPicPr>
                      <a:picLocks noChangeAspect="1"/>
                    </pic:cNvPicPr>
                  </pic:nvPicPr>
                  <pic:blipFill>
                    <a:blip r:embed="rId42" cstate="print"/>
                    <a:stretch>
                      <a:fillRect/>
                    </a:stretch>
                  </pic:blipFill>
                  <pic:spPr>
                    <a:xfrm>
                      <a:off x="0" y="0"/>
                      <a:ext cx="3504565" cy="3209925"/>
                    </a:xfrm>
                    <a:prstGeom prst="rect">
                      <a:avLst/>
                    </a:prstGeom>
                    <a:noFill/>
                    <a:ln w="9525">
                      <a:noFill/>
                    </a:ln>
                  </pic:spPr>
                </pic:pic>
              </a:graphicData>
            </a:graphic>
          </wp:inline>
        </w:drawing>
      </w:r>
    </w:p>
    <w:p w14:paraId="7288B829">
      <w:pPr>
        <w:adjustRightInd/>
        <w:snapToGrid/>
        <w:spacing w:line="220" w:lineRule="atLeast"/>
        <w:jc w:val="center"/>
        <w:rPr>
          <w:rFonts w:ascii="微软雅黑" w:hAnsi="微软雅黑"/>
          <w:b/>
          <w:sz w:val="24"/>
          <w:szCs w:val="24"/>
        </w:rPr>
      </w:pPr>
      <w:r>
        <w:rPr>
          <w:rFonts w:hint="eastAsia" w:ascii="微软雅黑" w:hAnsi="微软雅黑" w:cs="微软雅黑"/>
          <w:kern w:val="2"/>
          <w:sz w:val="18"/>
          <w:szCs w:val="18"/>
        </w:rPr>
        <w:t>JAK/STAT Signaling Pathway</w:t>
      </w:r>
    </w:p>
    <w:p w14:paraId="32E4627F">
      <w:pPr>
        <w:adjustRightInd/>
        <w:snapToGrid/>
        <w:spacing w:after="40"/>
        <w:jc w:val="both"/>
        <w:rPr>
          <w:rFonts w:ascii="微软雅黑" w:hAnsi="微软雅黑" w:cs="微软雅黑"/>
          <w:b/>
          <w:bCs/>
          <w:sz w:val="18"/>
          <w:szCs w:val="18"/>
        </w:rPr>
      </w:pPr>
    </w:p>
    <w:p w14:paraId="07F55CDE">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4C5BC6B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21DC0A8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0A45CAFA">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6A925151">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E90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49230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C35AC1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Notch Signaling Pathway</w:t>
            </w:r>
          </w:p>
        </w:tc>
      </w:tr>
      <w:tr w14:paraId="04FEA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71CC7C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A15F977">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0FE4E3B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A542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E37C482">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17D9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EFEB21">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PTCH1 REL </w:t>
            </w:r>
            <w:r>
              <w:rPr>
                <w:rFonts w:hint="default" w:ascii="微软雅黑" w:hAnsi="微软雅黑" w:cs="微软雅黑"/>
                <w:color w:val="000000" w:themeColor="text1"/>
                <w:kern w:val="2"/>
                <w:sz w:val="18"/>
                <w:szCs w:val="18"/>
                <w14:textFill>
                  <w14:solidFill>
                    <w14:schemeClr w14:val="tx1"/>
                  </w14:solidFill>
                </w14:textFill>
              </w:rPr>
              <w:t xml:space="preserve">RUNX21 </w:t>
            </w:r>
            <w:r>
              <w:rPr>
                <w:rFonts w:hint="default" w:ascii="微软雅黑" w:hAnsi="微软雅黑" w:cs="微软雅黑"/>
                <w:kern w:val="2"/>
                <w:sz w:val="18"/>
                <w:szCs w:val="18"/>
              </w:rPr>
              <w:t xml:space="preserve">SPEN </w:t>
            </w:r>
          </w:p>
        </w:tc>
      </w:tr>
    </w:tbl>
    <w:p w14:paraId="213CAD96">
      <w:pPr>
        <w:adjustRightInd/>
        <w:snapToGrid/>
        <w:spacing w:after="0" w:line="220" w:lineRule="atLeast"/>
        <w:jc w:val="center"/>
      </w:pPr>
    </w:p>
    <w:p w14:paraId="17CF55AF">
      <w:pPr>
        <w:adjustRightInd/>
        <w:snapToGrid/>
        <w:spacing w:line="220" w:lineRule="atLeast"/>
        <w:jc w:val="center"/>
        <w:rPr>
          <w:rFonts w:ascii="微软雅黑" w:hAnsi="微软雅黑"/>
          <w:b/>
          <w:sz w:val="24"/>
          <w:szCs w:val="24"/>
        </w:rPr>
      </w:pPr>
      <w:r>
        <w:drawing>
          <wp:inline distT="0" distB="0" distL="114300" distR="114300">
            <wp:extent cx="2727325" cy="3348355"/>
            <wp:effectExtent l="0" t="0" r="15875" b="4445"/>
            <wp:docPr id="1042"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图片 37"/>
                    <pic:cNvPicPr>
                      <a:picLocks noChangeAspect="1"/>
                    </pic:cNvPicPr>
                  </pic:nvPicPr>
                  <pic:blipFill>
                    <a:blip r:embed="rId43" cstate="print"/>
                    <a:stretch>
                      <a:fillRect/>
                    </a:stretch>
                  </pic:blipFill>
                  <pic:spPr>
                    <a:xfrm>
                      <a:off x="0" y="0"/>
                      <a:ext cx="2727325" cy="3348355"/>
                    </a:xfrm>
                    <a:prstGeom prst="rect">
                      <a:avLst/>
                    </a:prstGeom>
                    <a:noFill/>
                    <a:ln>
                      <a:noFill/>
                    </a:ln>
                  </pic:spPr>
                </pic:pic>
              </a:graphicData>
            </a:graphic>
          </wp:inline>
        </w:drawing>
      </w:r>
    </w:p>
    <w:p w14:paraId="1AE23C62">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71438260">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B35B83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7BA4BB1D">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3BA525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1DA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212F4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BBBE4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Hedgehog Signaling Pathway</w:t>
            </w:r>
          </w:p>
        </w:tc>
      </w:tr>
      <w:tr w14:paraId="5842C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8B462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9DFD2A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2BF3E5CD">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2FD4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32BCA25">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00AF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C61A4D">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GNA11 GNA13 GNAQ GNAS GSK3B PTCH1 PTCH2 </w:t>
            </w:r>
            <w:r>
              <w:rPr>
                <w:rFonts w:hint="default" w:ascii="微软雅黑" w:hAnsi="微软雅黑" w:cs="微软雅黑"/>
                <w:color w:val="000000" w:themeColor="text1"/>
                <w:kern w:val="2"/>
                <w:sz w:val="18"/>
                <w:szCs w:val="18"/>
                <w14:textFill>
                  <w14:solidFill>
                    <w14:schemeClr w14:val="tx1"/>
                  </w14:solidFill>
                </w14:textFill>
              </w:rPr>
              <w:t>RUNX2</w:t>
            </w:r>
            <w:r>
              <w:rPr>
                <w:rFonts w:hint="default" w:ascii="微软雅黑" w:hAnsi="微软雅黑" w:cs="微软雅黑"/>
                <w:kern w:val="2"/>
                <w:sz w:val="18"/>
                <w:szCs w:val="18"/>
              </w:rPr>
              <w:t xml:space="preserve"> SHH SMO SPOP SUFU XPO1</w:t>
            </w:r>
          </w:p>
        </w:tc>
      </w:tr>
    </w:tbl>
    <w:p w14:paraId="023EA5AA">
      <w:pPr>
        <w:adjustRightInd/>
        <w:snapToGrid/>
        <w:spacing w:line="220" w:lineRule="atLeast"/>
        <w:jc w:val="center"/>
      </w:pPr>
    </w:p>
    <w:p w14:paraId="15A8497D">
      <w:pPr>
        <w:adjustRightInd/>
        <w:snapToGrid/>
        <w:spacing w:line="220" w:lineRule="atLeast"/>
        <w:jc w:val="center"/>
        <w:rPr>
          <w:rFonts w:ascii="微软雅黑" w:hAnsi="微软雅黑"/>
          <w:b/>
          <w:sz w:val="24"/>
          <w:szCs w:val="24"/>
        </w:rPr>
      </w:pPr>
      <w:r>
        <w:drawing>
          <wp:inline distT="0" distB="0" distL="114300" distR="114300">
            <wp:extent cx="5267325" cy="2696845"/>
            <wp:effectExtent l="0" t="0" r="9525" b="8255"/>
            <wp:docPr id="1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图片 1"/>
                    <pic:cNvPicPr>
                      <a:picLocks noChangeAspect="1"/>
                    </pic:cNvPicPr>
                  </pic:nvPicPr>
                  <pic:blipFill>
                    <a:blip r:embed="rId44" cstate="print"/>
                    <a:stretch>
                      <a:fillRect/>
                    </a:stretch>
                  </pic:blipFill>
                  <pic:spPr>
                    <a:xfrm>
                      <a:off x="0" y="0"/>
                      <a:ext cx="5267325" cy="2696845"/>
                    </a:xfrm>
                    <a:prstGeom prst="rect">
                      <a:avLst/>
                    </a:prstGeom>
                    <a:noFill/>
                    <a:ln>
                      <a:noFill/>
                    </a:ln>
                  </pic:spPr>
                </pic:pic>
              </a:graphicData>
            </a:graphic>
          </wp:inline>
        </w:drawing>
      </w:r>
    </w:p>
    <w:p w14:paraId="3AC07856">
      <w:pPr>
        <w:adjustRightInd/>
        <w:snapToGrid/>
        <w:spacing w:line="220" w:lineRule="atLeast"/>
        <w:jc w:val="center"/>
        <w:rPr>
          <w:rFonts w:ascii="微软雅黑" w:hAnsi="微软雅黑" w:cs="微软雅黑"/>
          <w:sz w:val="18"/>
          <w:szCs w:val="18"/>
        </w:rPr>
      </w:pPr>
      <w:r>
        <w:rPr>
          <w:rFonts w:hint="eastAsia" w:ascii="微软雅黑" w:hAnsi="微软雅黑" w:cs="微软雅黑"/>
          <w:sz w:val="18"/>
          <w:szCs w:val="18"/>
        </w:rPr>
        <w:t>Hedgehog Signaling Pathway</w:t>
      </w:r>
    </w:p>
    <w:p w14:paraId="5F474F62">
      <w:pPr>
        <w:adjustRightInd/>
        <w:snapToGrid/>
        <w:spacing w:before="40"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5D49D55">
      <w:pPr>
        <w:adjustRightInd/>
        <w:snapToGrid/>
        <w:spacing w:before="40" w:after="40"/>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37CDE1EE">
      <w:pPr>
        <w:adjustRightInd/>
        <w:snapToGrid/>
        <w:spacing w:before="40" w:after="40"/>
        <w:rPr>
          <w:rFonts w:ascii="微软雅黑" w:hAnsi="微软雅黑" w:cs="微软雅黑"/>
          <w:sz w:val="18"/>
          <w:szCs w:val="18"/>
        </w:rPr>
      </w:pPr>
      <w:r>
        <w:rPr>
          <w:rFonts w:hint="eastAsia" w:ascii="微软雅黑" w:hAnsi="微软雅黑" w:cs="微软雅黑"/>
          <w:sz w:val="18"/>
          <w:szCs w:val="18"/>
        </w:rPr>
        <w:t>BMC Dev Biol. 2002 Mar 19;2:4.</w:t>
      </w:r>
    </w:p>
    <w:p w14:paraId="2DA6926C">
      <w:pPr>
        <w:adjustRightInd/>
        <w:snapToGrid/>
        <w:spacing w:before="40" w:after="40"/>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4D2D0DB1">
      <w:pPr>
        <w:adjustRightInd/>
        <w:snapToGrid/>
        <w:spacing w:before="40" w:after="40"/>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C21A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042898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3ED6A8">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0" w:name="OLE_LINK33"/>
            <w:r>
              <w:rPr>
                <w:rFonts w:hint="default" w:ascii="微软雅黑" w:hAnsi="微软雅黑" w:cs="Times New Roman"/>
                <w:b/>
                <w:color w:val="F9FBFA"/>
                <w:kern w:val="2"/>
                <w:sz w:val="20"/>
                <w:szCs w:val="20"/>
              </w:rPr>
              <w:t>Cell cycle signaling pathway</w:t>
            </w:r>
            <w:bookmarkEnd w:id="210"/>
          </w:p>
        </w:tc>
      </w:tr>
      <w:tr w14:paraId="27E6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8711F1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BCCB25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hint="default"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RB1/E2F</w:t>
            </w:r>
            <w:r>
              <w:rPr>
                <w:rFonts w:hint="eastAsia" w:ascii="微软雅黑" w:hAnsi="微软雅黑" w:cs="微软雅黑"/>
                <w:kern w:val="2"/>
                <w:sz w:val="18"/>
                <w:szCs w:val="18"/>
              </w:rPr>
              <w:t>、</w:t>
            </w:r>
            <w:r>
              <w:rPr>
                <w:rFonts w:hint="default" w:ascii="微软雅黑" w:hAnsi="微软雅黑" w:cs="微软雅黑"/>
                <w:kern w:val="2"/>
                <w:sz w:val="18"/>
                <w:szCs w:val="18"/>
              </w:rPr>
              <w:t>CDK2+cyclin E</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hint="default"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CDK1+cyclin B</w:t>
            </w:r>
            <w:r>
              <w:rPr>
                <w:rFonts w:hint="eastAsia" w:ascii="微软雅黑" w:hAnsi="微软雅黑" w:cs="微软雅黑"/>
                <w:kern w:val="2"/>
                <w:sz w:val="18"/>
                <w:szCs w:val="18"/>
              </w:rPr>
              <w:t>。</w:t>
            </w:r>
          </w:p>
        </w:tc>
      </w:tr>
      <w:tr w14:paraId="1A779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0E59A27">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50C1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9DEA443">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1E44E220">
      <w:pPr>
        <w:adjustRightInd/>
        <w:snapToGrid/>
        <w:spacing w:after="0"/>
        <w:rPr>
          <w:rFonts w:ascii="微软雅黑" w:hAnsi="微软雅黑"/>
          <w:b/>
          <w:sz w:val="24"/>
          <w:szCs w:val="24"/>
        </w:rPr>
      </w:pPr>
    </w:p>
    <w:p w14:paraId="40ED48F1">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1044"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图片 39" descr="图片2"/>
                    <pic:cNvPicPr>
                      <a:picLocks noChangeAspect="1"/>
                    </pic:cNvPicPr>
                  </pic:nvPicPr>
                  <pic:blipFill>
                    <a:blip r:embed="rId45" cstate="print"/>
                    <a:stretch>
                      <a:fillRect/>
                    </a:stretch>
                  </pic:blipFill>
                  <pic:spPr>
                    <a:xfrm>
                      <a:off x="0" y="0"/>
                      <a:ext cx="4167505" cy="3260725"/>
                    </a:xfrm>
                    <a:prstGeom prst="rect">
                      <a:avLst/>
                    </a:prstGeom>
                  </pic:spPr>
                </pic:pic>
              </a:graphicData>
            </a:graphic>
          </wp:inline>
        </w:drawing>
      </w:r>
    </w:p>
    <w:p w14:paraId="3AE7C45A">
      <w:pPr>
        <w:adjustRightInd/>
        <w:snapToGrid/>
        <w:spacing w:line="220" w:lineRule="atLeast"/>
        <w:jc w:val="center"/>
        <w:rPr>
          <w:rFonts w:ascii="微软雅黑" w:hAnsi="微软雅黑"/>
          <w:b/>
          <w:sz w:val="24"/>
          <w:szCs w:val="24"/>
        </w:rPr>
      </w:pPr>
    </w:p>
    <w:p w14:paraId="1A079BAD">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1D0AF934">
      <w:pPr>
        <w:adjustRightInd/>
        <w:snapToGrid/>
        <w:spacing w:after="40"/>
        <w:jc w:val="both"/>
        <w:rPr>
          <w:rFonts w:ascii="微软雅黑" w:hAnsi="微软雅黑" w:cs="微软雅黑"/>
          <w:b/>
          <w:bCs/>
          <w:sz w:val="18"/>
          <w:szCs w:val="18"/>
        </w:rPr>
      </w:pPr>
    </w:p>
    <w:p w14:paraId="3F452A14">
      <w:pPr>
        <w:adjustRightInd/>
        <w:snapToGrid/>
        <w:spacing w:after="40"/>
        <w:jc w:val="both"/>
        <w:rPr>
          <w:rFonts w:ascii="微软雅黑" w:hAnsi="微软雅黑" w:cs="微软雅黑"/>
          <w:b/>
          <w:bCs/>
          <w:sz w:val="18"/>
          <w:szCs w:val="18"/>
        </w:rPr>
      </w:pPr>
    </w:p>
    <w:p w14:paraId="6E6743EB">
      <w:pPr>
        <w:adjustRightInd/>
        <w:snapToGrid/>
        <w:spacing w:after="40"/>
        <w:jc w:val="both"/>
        <w:rPr>
          <w:rFonts w:ascii="微软雅黑" w:hAnsi="微软雅黑" w:cs="微软雅黑"/>
          <w:b/>
          <w:bCs/>
          <w:sz w:val="18"/>
          <w:szCs w:val="18"/>
        </w:rPr>
      </w:pPr>
    </w:p>
    <w:p w14:paraId="41051307">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71A725FC">
      <w:pPr>
        <w:adjustRightInd/>
        <w:snapToGrid/>
        <w:spacing w:after="40" w:line="220" w:lineRule="atLeas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5DE33F59">
      <w:pPr>
        <w:adjustRightInd/>
        <w:snapToGrid/>
        <w:spacing w:after="40" w:line="220" w:lineRule="atLeast"/>
        <w:rPr>
          <w:rFonts w:ascii="微软雅黑" w:hAnsi="微软雅黑" w:cs="微软雅黑"/>
          <w:sz w:val="18"/>
          <w:szCs w:val="18"/>
        </w:rPr>
      </w:pPr>
    </w:p>
    <w:p w14:paraId="686C8F6C">
      <w:pPr>
        <w:adjustRightInd/>
        <w:snapToGrid/>
        <w:spacing w:after="40" w:line="220" w:lineRule="atLeast"/>
        <w:rPr>
          <w:rFonts w:ascii="微软雅黑" w:hAnsi="微软雅黑" w:cs="微软雅黑"/>
          <w:sz w:val="18"/>
          <w:szCs w:val="18"/>
        </w:rPr>
      </w:pPr>
    </w:p>
    <w:p w14:paraId="6353D28B">
      <w:pPr>
        <w:adjustRightInd/>
        <w:snapToGrid/>
        <w:spacing w:after="40" w:line="220" w:lineRule="atLeast"/>
        <w:rPr>
          <w:rFonts w:ascii="微软雅黑" w:hAnsi="微软雅黑" w:cs="微软雅黑"/>
          <w:sz w:val="18"/>
          <w:szCs w:val="18"/>
        </w:rPr>
      </w:pPr>
    </w:p>
    <w:p w14:paraId="62D33B3D">
      <w:pPr>
        <w:adjustRightInd/>
        <w:snapToGrid/>
        <w:spacing w:after="40" w:line="220" w:lineRule="atLeast"/>
        <w:rPr>
          <w:rFonts w:ascii="微软雅黑" w:hAnsi="微软雅黑" w:cs="微软雅黑"/>
          <w:sz w:val="18"/>
          <w:szCs w:val="18"/>
        </w:rPr>
      </w:pPr>
    </w:p>
    <w:p w14:paraId="6F103729">
      <w:pPr>
        <w:adjustRightInd/>
        <w:snapToGrid/>
        <w:spacing w:after="40" w:line="220" w:lineRule="atLeast"/>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606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2ADE7B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4B55E23B">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Apoptosis signaling pathway</w:t>
            </w:r>
          </w:p>
        </w:tc>
      </w:tr>
      <w:tr w14:paraId="3C84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0B923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0695391">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hint="default" w:ascii="微软雅黑" w:hAnsi="微软雅黑" w:cs="微软雅黑"/>
                <w:kern w:val="2"/>
                <w:sz w:val="18"/>
                <w:szCs w:val="18"/>
              </w:rPr>
              <w:t>和</w:t>
            </w:r>
            <w:r>
              <w:rPr>
                <w:rFonts w:hint="eastAsia" w:ascii="微软雅黑" w:hAnsi="微软雅黑" w:cs="微软雅黑"/>
                <w:kern w:val="2"/>
                <w:sz w:val="18"/>
                <w:szCs w:val="18"/>
              </w:rPr>
              <w:t>内源性通路</w:t>
            </w:r>
            <w:r>
              <w:rPr>
                <w:rFonts w:hint="default" w:ascii="微软雅黑" w:hAnsi="微软雅黑" w:cs="微软雅黑"/>
                <w:kern w:val="2"/>
                <w:sz w:val="18"/>
                <w:szCs w:val="18"/>
              </w:rPr>
              <w:t>。</w:t>
            </w:r>
            <w:r>
              <w:rPr>
                <w:rFonts w:hint="eastAsia" w:ascii="微软雅黑" w:hAnsi="微软雅黑" w:cs="微软雅黑"/>
                <w:kern w:val="2"/>
                <w:sz w:val="18"/>
                <w:szCs w:val="18"/>
              </w:rPr>
              <w:t>外源性</w:t>
            </w:r>
            <w:r>
              <w:rPr>
                <w:rFonts w:hint="default"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hint="default"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hint="default"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hint="default" w:ascii="微软雅黑" w:hAnsi="微软雅黑" w:cs="微软雅黑"/>
                <w:kern w:val="2"/>
                <w:sz w:val="18"/>
                <w:szCs w:val="18"/>
              </w:rPr>
              <w:t>。</w:t>
            </w:r>
            <w:r>
              <w:rPr>
                <w:rFonts w:hint="eastAsia" w:ascii="微软雅黑" w:hAnsi="微软雅黑" w:cs="微软雅黑"/>
                <w:kern w:val="2"/>
                <w:sz w:val="18"/>
                <w:szCs w:val="18"/>
              </w:rPr>
              <w:t>细胞内事件包括</w:t>
            </w:r>
            <w:r>
              <w:rPr>
                <w:rFonts w:hint="default" w:ascii="微软雅黑" w:hAnsi="微软雅黑" w:cs="微软雅黑"/>
                <w:kern w:val="2"/>
                <w:sz w:val="18"/>
                <w:szCs w:val="18"/>
              </w:rPr>
              <w:t>细胞内毒素、病毒感染、自由基、辐射或DNA损伤引起的细胞内应激。</w:t>
            </w:r>
          </w:p>
        </w:tc>
      </w:tr>
      <w:tr w14:paraId="16BB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C0EB9B">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6DC2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4C345F5">
            <w:pPr>
              <w:keepNext w:val="0"/>
              <w:keepLines w:val="0"/>
              <w:widowControl/>
              <w:suppressLineNumbers w:val="0"/>
              <w:spacing w:before="0" w:beforeAutospacing="0" w:after="0" w:afterAutospacing="0"/>
              <w:ind w:left="0" w:right="0"/>
              <w:rPr>
                <w:rFonts w:hint="default"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513B7A87">
      <w:pPr>
        <w:adjustRightInd/>
        <w:snapToGrid/>
        <w:spacing w:after="0"/>
        <w:rPr>
          <w:rFonts w:ascii="微软雅黑" w:hAnsi="微软雅黑"/>
          <w:b/>
          <w:sz w:val="24"/>
          <w:szCs w:val="24"/>
        </w:rPr>
      </w:pPr>
    </w:p>
    <w:p w14:paraId="282A55EE">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1045"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图片 40" descr="图片1"/>
                    <pic:cNvPicPr>
                      <a:picLocks noChangeAspect="1"/>
                    </pic:cNvPicPr>
                  </pic:nvPicPr>
                  <pic:blipFill>
                    <a:blip r:embed="rId46" cstate="print"/>
                    <a:stretch>
                      <a:fillRect/>
                    </a:stretch>
                  </pic:blipFill>
                  <pic:spPr>
                    <a:xfrm>
                      <a:off x="0" y="0"/>
                      <a:ext cx="4766310" cy="3221355"/>
                    </a:xfrm>
                    <a:prstGeom prst="rect">
                      <a:avLst/>
                    </a:prstGeom>
                  </pic:spPr>
                </pic:pic>
              </a:graphicData>
            </a:graphic>
          </wp:inline>
        </w:drawing>
      </w:r>
    </w:p>
    <w:p w14:paraId="5532A1BE">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94BFA3D">
      <w:pPr>
        <w:adjustRightInd/>
        <w:snapToGrid/>
        <w:spacing w:after="40"/>
        <w:jc w:val="both"/>
        <w:rPr>
          <w:rFonts w:ascii="微软雅黑" w:hAnsi="微软雅黑" w:cs="微软雅黑"/>
          <w:b/>
          <w:bCs/>
          <w:sz w:val="18"/>
          <w:szCs w:val="18"/>
        </w:rPr>
      </w:pPr>
    </w:p>
    <w:p w14:paraId="0675EFDF">
      <w:pPr>
        <w:adjustRightInd/>
        <w:snapToGrid/>
        <w:spacing w:after="40"/>
        <w:jc w:val="both"/>
        <w:rPr>
          <w:rFonts w:ascii="微软雅黑" w:hAnsi="微软雅黑" w:cs="微软雅黑"/>
          <w:b/>
          <w:bCs/>
          <w:sz w:val="18"/>
          <w:szCs w:val="18"/>
        </w:rPr>
      </w:pPr>
    </w:p>
    <w:p w14:paraId="3C09A6A2">
      <w:pPr>
        <w:adjustRightInd/>
        <w:snapToGrid/>
        <w:spacing w:after="40"/>
        <w:jc w:val="both"/>
        <w:rPr>
          <w:rFonts w:ascii="微软雅黑" w:hAnsi="微软雅黑" w:cs="微软雅黑"/>
          <w:b/>
          <w:bCs/>
          <w:sz w:val="18"/>
          <w:szCs w:val="18"/>
        </w:rPr>
      </w:pPr>
    </w:p>
    <w:p w14:paraId="1A170EA8">
      <w:pPr>
        <w:adjustRightInd/>
        <w:snapToGrid/>
        <w:spacing w:after="40"/>
        <w:jc w:val="both"/>
        <w:rPr>
          <w:rFonts w:ascii="微软雅黑" w:hAnsi="微软雅黑" w:cs="微软雅黑"/>
          <w:b/>
          <w:bCs/>
          <w:sz w:val="18"/>
          <w:szCs w:val="18"/>
        </w:rPr>
      </w:pPr>
    </w:p>
    <w:p w14:paraId="0E7D17C6">
      <w:pPr>
        <w:adjustRightInd/>
        <w:snapToGrid/>
        <w:spacing w:after="40"/>
        <w:jc w:val="both"/>
        <w:rPr>
          <w:rFonts w:ascii="微软雅黑" w:hAnsi="微软雅黑" w:cs="微软雅黑"/>
          <w:b/>
          <w:bCs/>
          <w:sz w:val="18"/>
          <w:szCs w:val="18"/>
        </w:rPr>
      </w:pPr>
    </w:p>
    <w:p w14:paraId="3960C7C3">
      <w:pPr>
        <w:adjustRightInd/>
        <w:snapToGrid/>
        <w:spacing w:after="40"/>
        <w:jc w:val="both"/>
        <w:rPr>
          <w:rFonts w:ascii="微软雅黑" w:hAnsi="微软雅黑" w:cs="微软雅黑"/>
          <w:b/>
          <w:bCs/>
          <w:sz w:val="18"/>
          <w:szCs w:val="18"/>
        </w:rPr>
      </w:pPr>
    </w:p>
    <w:p w14:paraId="24FEEBDB">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F24224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79DACB08">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7EEE8683">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91AB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46DD37A">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bookmarkStart w:id="211" w:name="OLE_LINK49" w:colFirst="0" w:colLast="0"/>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8CAA736">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2" w:name="OLE_LINK48"/>
            <w:r>
              <w:rPr>
                <w:rFonts w:hint="default" w:ascii="微软雅黑" w:hAnsi="微软雅黑" w:cs="Times New Roman"/>
                <w:b/>
                <w:color w:val="F9FBFA"/>
                <w:kern w:val="2"/>
                <w:sz w:val="20"/>
                <w:szCs w:val="20"/>
              </w:rPr>
              <w:t>DNA damage/repair signaling pathway</w:t>
            </w:r>
            <w:bookmarkEnd w:id="212"/>
          </w:p>
        </w:tc>
      </w:tr>
      <w:tr w14:paraId="7444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296337">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87BB5C7">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 xml:space="preserve">。如果DNA损伤无法修复，细胞将经历细胞周期停滞、衰老或程序性细胞死亡。   </w:t>
            </w:r>
          </w:p>
        </w:tc>
      </w:tr>
      <w:tr w14:paraId="44A1D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A196C0E">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A888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4266608">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ATR</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BARD1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BCL6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BLM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BRIP1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CDK5</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CDKN2A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EZH2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FANCG</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FAS</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KDM5C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KDM6A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KMT2C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MLH1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MRE11A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MUTYH</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NPM1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NSD1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PALB2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PARP1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POLD1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RAD50</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RANBP2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RRM1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RUNX1T1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SMARCA4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SOD2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STAG2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SF3B1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TMPRSS2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WRN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RECQL4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BUB1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DDB2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FANCB</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FANCI</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11"/>
    </w:tbl>
    <w:p w14:paraId="46D58D8E">
      <w:pPr>
        <w:adjustRightInd/>
        <w:snapToGrid/>
        <w:spacing w:after="40" w:line="220" w:lineRule="atLeast"/>
        <w:rPr>
          <w:rFonts w:ascii="微软雅黑" w:hAnsi="微软雅黑"/>
          <w:b/>
          <w:sz w:val="24"/>
          <w:szCs w:val="24"/>
        </w:rPr>
      </w:pPr>
    </w:p>
    <w:p w14:paraId="45D135D9">
      <w:pPr>
        <w:adjustRightInd/>
        <w:snapToGrid/>
        <w:spacing w:after="40" w:line="220" w:lineRule="atLeast"/>
        <w:rPr>
          <w:rFonts w:ascii="微软雅黑" w:hAnsi="微软雅黑"/>
          <w:b/>
          <w:sz w:val="24"/>
          <w:szCs w:val="24"/>
        </w:rPr>
      </w:pPr>
      <w:r>
        <w:t xml:space="preserve">       </w:t>
      </w:r>
      <w:r>
        <w:drawing>
          <wp:inline distT="0" distB="0" distL="114300" distR="114300">
            <wp:extent cx="4323080" cy="3528060"/>
            <wp:effectExtent l="0" t="0" r="1270" b="15240"/>
            <wp:docPr id="1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图片 1"/>
                    <pic:cNvPicPr>
                      <a:picLocks noChangeAspect="1"/>
                    </pic:cNvPicPr>
                  </pic:nvPicPr>
                  <pic:blipFill>
                    <a:blip r:embed="rId47" cstate="print"/>
                    <a:stretch>
                      <a:fillRect/>
                    </a:stretch>
                  </pic:blipFill>
                  <pic:spPr>
                    <a:xfrm>
                      <a:off x="0" y="0"/>
                      <a:ext cx="4323080" cy="3528060"/>
                    </a:xfrm>
                    <a:prstGeom prst="rect">
                      <a:avLst/>
                    </a:prstGeom>
                    <a:noFill/>
                    <a:ln>
                      <a:noFill/>
                    </a:ln>
                  </pic:spPr>
                </pic:pic>
              </a:graphicData>
            </a:graphic>
          </wp:inline>
        </w:drawing>
      </w:r>
    </w:p>
    <w:p w14:paraId="0ADEEFF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7982596F">
      <w:pPr>
        <w:adjustRightInd/>
        <w:snapToGrid/>
        <w:spacing w:after="40"/>
        <w:jc w:val="both"/>
        <w:rPr>
          <w:rFonts w:ascii="微软雅黑" w:hAnsi="微软雅黑" w:cs="微软雅黑"/>
          <w:b/>
          <w:bCs/>
          <w:sz w:val="18"/>
          <w:szCs w:val="18"/>
        </w:rPr>
      </w:pPr>
    </w:p>
    <w:p w14:paraId="1508F7B0">
      <w:pPr>
        <w:adjustRightInd/>
        <w:snapToGrid/>
        <w:spacing w:after="40"/>
        <w:jc w:val="both"/>
        <w:rPr>
          <w:rFonts w:ascii="微软雅黑" w:hAnsi="微软雅黑" w:cs="微软雅黑"/>
          <w:b/>
          <w:bCs/>
          <w:sz w:val="18"/>
          <w:szCs w:val="18"/>
        </w:rPr>
      </w:pPr>
    </w:p>
    <w:p w14:paraId="0B96A529">
      <w:pPr>
        <w:adjustRightInd/>
        <w:snapToGrid/>
        <w:spacing w:after="40"/>
        <w:jc w:val="both"/>
        <w:rPr>
          <w:rFonts w:ascii="微软雅黑" w:hAnsi="微软雅黑" w:cs="微软雅黑"/>
          <w:b/>
          <w:bCs/>
          <w:sz w:val="18"/>
          <w:szCs w:val="18"/>
        </w:rPr>
      </w:pPr>
    </w:p>
    <w:p w14:paraId="5D9FA62C">
      <w:pPr>
        <w:adjustRightInd/>
        <w:snapToGrid/>
        <w:spacing w:after="40"/>
        <w:jc w:val="both"/>
        <w:rPr>
          <w:rFonts w:ascii="微软雅黑" w:hAnsi="微软雅黑" w:cs="微软雅黑"/>
          <w:b/>
          <w:bCs/>
          <w:sz w:val="18"/>
          <w:szCs w:val="18"/>
        </w:rPr>
      </w:pPr>
      <w:bookmarkStart w:id="213" w:name="OLE_LINK52"/>
      <w:r>
        <w:rPr>
          <w:rFonts w:hint="eastAsia" w:ascii="微软雅黑" w:hAnsi="微软雅黑" w:cs="微软雅黑"/>
          <w:b/>
          <w:bCs/>
          <w:sz w:val="18"/>
          <w:szCs w:val="18"/>
        </w:rPr>
        <w:t>参考文献：</w:t>
      </w:r>
    </w:p>
    <w:p w14:paraId="11DE5483">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13"/>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A5E2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28D43E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4BDA01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Chromatin remodeling/DNA methylation</w:t>
            </w:r>
          </w:p>
        </w:tc>
      </w:tr>
      <w:tr w14:paraId="47D93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1DD84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DD7FD2">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目前</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B82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1FB000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BCF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2C2826A">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762D7634">
      <w:pPr>
        <w:jc w:val="center"/>
      </w:pPr>
      <w:r>
        <w:drawing>
          <wp:anchor distT="0" distB="0" distL="114300" distR="114300" simplePos="0" relativeHeight="251692032" behindDoc="1" locked="0" layoutInCell="1" allowOverlap="1">
            <wp:simplePos x="0" y="0"/>
            <wp:positionH relativeFrom="column">
              <wp:posOffset>12065</wp:posOffset>
            </wp:positionH>
            <wp:positionV relativeFrom="paragraph">
              <wp:posOffset>180975</wp:posOffset>
            </wp:positionV>
            <wp:extent cx="5187315" cy="2586990"/>
            <wp:effectExtent l="0" t="0" r="0" b="3810"/>
            <wp:wrapTight wrapText="bothSides">
              <wp:wrapPolygon>
                <wp:start x="0" y="0"/>
                <wp:lineTo x="0" y="21473"/>
                <wp:lineTo x="21497" y="21473"/>
                <wp:lineTo x="21497" y="0"/>
                <wp:lineTo x="0" y="0"/>
              </wp:wrapPolygon>
            </wp:wrapTight>
            <wp:docPr id="10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图片 3"/>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87315" cy="2586990"/>
                    </a:xfrm>
                    <a:prstGeom prst="rect">
                      <a:avLst/>
                    </a:prstGeom>
                    <a:noFill/>
                    <a:ln>
                      <a:noFill/>
                    </a:ln>
                  </pic:spPr>
                </pic:pic>
              </a:graphicData>
            </a:graphic>
          </wp:anchor>
        </w:drawing>
      </w:r>
    </w:p>
    <w:p w14:paraId="028349E1">
      <w:pPr>
        <w:adjustRightInd/>
        <w:snapToGrid/>
        <w:spacing w:after="40"/>
        <w:jc w:val="center"/>
        <w:rPr>
          <w:rFonts w:ascii="微软雅黑" w:hAnsi="微软雅黑" w:cs="Times New Roman"/>
          <w:bCs/>
          <w:kern w:val="2"/>
          <w:sz w:val="20"/>
          <w:szCs w:val="20"/>
        </w:rPr>
      </w:pPr>
      <w:bookmarkStart w:id="214" w:name="OLE_LINK53"/>
      <w:r>
        <w:rPr>
          <w:rFonts w:ascii="微软雅黑" w:hAnsi="微软雅黑" w:cs="Times New Roman"/>
          <w:bCs/>
          <w:kern w:val="2"/>
          <w:sz w:val="20"/>
          <w:szCs w:val="20"/>
        </w:rPr>
        <w:t>Chromatin remodeling/DNA methylation</w:t>
      </w:r>
      <w:bookmarkEnd w:id="214"/>
    </w:p>
    <w:p w14:paraId="42A51485">
      <w:pPr>
        <w:rPr>
          <w:rFonts w:ascii="微软雅黑" w:hAnsi="微软雅黑"/>
          <w:b/>
          <w:sz w:val="24"/>
          <w:szCs w:val="24"/>
        </w:rPr>
      </w:pPr>
    </w:p>
    <w:p w14:paraId="6DD18B69">
      <w:pPr>
        <w:adjustRightInd/>
        <w:snapToGrid/>
        <w:spacing w:after="40"/>
        <w:jc w:val="both"/>
        <w:rPr>
          <w:rFonts w:ascii="微软雅黑" w:hAnsi="微软雅黑" w:cs="微软雅黑"/>
          <w:b/>
          <w:bCs/>
          <w:sz w:val="18"/>
          <w:szCs w:val="18"/>
        </w:rPr>
      </w:pPr>
    </w:p>
    <w:p w14:paraId="266F353C">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63D2F6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38FE5C5F">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E16D01D">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7C4468E">
      <w:pPr>
        <w:spacing w:after="0" w:line="312" w:lineRule="auto"/>
        <w:jc w:val="both"/>
        <w:rPr>
          <w:rFonts w:ascii="微软雅黑" w:hAnsi="微软雅黑"/>
          <w:b/>
          <w:sz w:val="28"/>
          <w:szCs w:val="28"/>
        </w:rPr>
      </w:pPr>
    </w:p>
    <w:p w14:paraId="39346719">
      <w:pPr>
        <w:spacing w:after="0" w:line="288" w:lineRule="auto"/>
        <w:jc w:val="both"/>
        <w:outlineLvl w:val="0"/>
        <w:rPr>
          <w:rFonts w:ascii="微软雅黑" w:hAnsi="微软雅黑"/>
          <w:b/>
          <w:sz w:val="24"/>
          <w:szCs w:val="24"/>
        </w:rPr>
      </w:pPr>
      <w:r>
        <w:rPr>
          <w:rFonts w:hint="eastAsia" w:ascii="微软雅黑" w:hAnsi="微软雅黑"/>
          <w:b/>
          <w:sz w:val="24"/>
          <w:szCs w:val="24"/>
        </w:rPr>
        <w:br w:type="page"/>
      </w:r>
      <w:bookmarkStart w:id="215" w:name="_Toc16989"/>
      <w:r>
        <w:rPr>
          <w:rFonts w:hint="eastAsia" w:ascii="微软雅黑" w:hAnsi="微软雅黑"/>
          <w:b/>
          <w:sz w:val="24"/>
          <w:szCs w:val="24"/>
        </w:rPr>
        <w:t>4. 基因检测列表</w:t>
      </w:r>
      <w:bookmarkEnd w:id="215"/>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311A2D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14:paraId="6791E29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default" w:ascii="Calibri" w:hAnsi="Calibri" w:cs="Calibri"/>
                <w:b w:val="0"/>
                <w:bCs w:val="0"/>
                <w:sz w:val="21"/>
                <w:szCs w:val="21"/>
                <w:highlight w:val="none"/>
              </w:rPr>
            </w:pPr>
            <w:bookmarkStart w:id="216" w:name="_Toc8753"/>
            <w:r>
              <w:rPr>
                <w:rFonts w:hint="eastAsia" w:ascii="微软雅黑" w:hAnsi="微软雅黑"/>
                <w:b/>
                <w:sz w:val="28"/>
                <w:szCs w:val="28"/>
                <w:lang w:val="en-US" w:eastAsia="zh-CN"/>
              </w:rPr>
              <w:br w:type="page"/>
            </w:r>
            <w:r>
              <w:rPr>
                <w:rFonts w:hint="default"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358</w:t>
            </w:r>
            <w:r>
              <w:rPr>
                <w:rFonts w:hint="default" w:ascii="Calibri" w:hAnsi="Calibri" w:cs="Calibri"/>
                <w:b/>
                <w:bCs w:val="0"/>
                <w:sz w:val="28"/>
                <w:szCs w:val="28"/>
                <w:highlight w:val="none"/>
              </w:rPr>
              <w:t>)</w:t>
            </w:r>
          </w:p>
        </w:tc>
      </w:tr>
      <w:tr w14:paraId="3C6F71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F99CCE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3DE1E98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045B25A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ACVR1B</w:t>
            </w:r>
          </w:p>
        </w:tc>
        <w:tc>
          <w:tcPr>
            <w:tcW w:w="1283" w:type="dxa"/>
            <w:shd w:val="clear" w:color="auto" w:fill="auto"/>
            <w:vAlign w:val="center"/>
          </w:tcPr>
          <w:p w14:paraId="024556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ACVR2A</w:t>
            </w:r>
          </w:p>
        </w:tc>
        <w:tc>
          <w:tcPr>
            <w:tcW w:w="1283" w:type="dxa"/>
            <w:shd w:val="clear" w:color="auto" w:fill="auto"/>
            <w:vAlign w:val="center"/>
          </w:tcPr>
          <w:p w14:paraId="169D89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AKT1</w:t>
            </w:r>
          </w:p>
        </w:tc>
        <w:tc>
          <w:tcPr>
            <w:tcW w:w="1283" w:type="dxa"/>
            <w:shd w:val="clear" w:color="auto" w:fill="auto"/>
            <w:vAlign w:val="center"/>
          </w:tcPr>
          <w:p w14:paraId="642D86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AKT3</w:t>
            </w:r>
          </w:p>
        </w:tc>
        <w:tc>
          <w:tcPr>
            <w:tcW w:w="1287" w:type="dxa"/>
            <w:shd w:val="clear" w:color="auto" w:fill="auto"/>
            <w:vAlign w:val="center"/>
          </w:tcPr>
          <w:p w14:paraId="3AD99B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ALK</w:t>
            </w:r>
          </w:p>
        </w:tc>
      </w:tr>
      <w:tr w14:paraId="43090D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6476484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AMER1</w:t>
            </w:r>
          </w:p>
        </w:tc>
        <w:tc>
          <w:tcPr>
            <w:tcW w:w="1283" w:type="dxa"/>
            <w:shd w:val="clear" w:color="auto" w:fill="F2F2F2"/>
            <w:vAlign w:val="center"/>
          </w:tcPr>
          <w:p w14:paraId="3C4FFBD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APC</w:t>
            </w:r>
          </w:p>
        </w:tc>
        <w:tc>
          <w:tcPr>
            <w:tcW w:w="1283" w:type="dxa"/>
            <w:shd w:val="clear" w:color="auto" w:fill="F2F2F2"/>
            <w:vAlign w:val="center"/>
          </w:tcPr>
          <w:p w14:paraId="11F895C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w:t>
            </w:r>
          </w:p>
        </w:tc>
        <w:tc>
          <w:tcPr>
            <w:tcW w:w="1283" w:type="dxa"/>
            <w:shd w:val="clear" w:color="auto" w:fill="F2F2F2"/>
            <w:vAlign w:val="center"/>
          </w:tcPr>
          <w:p w14:paraId="016CF1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ARAF</w:t>
            </w:r>
          </w:p>
        </w:tc>
        <w:tc>
          <w:tcPr>
            <w:tcW w:w="1283" w:type="dxa"/>
            <w:shd w:val="clear" w:color="auto" w:fill="F2F2F2"/>
            <w:vAlign w:val="center"/>
          </w:tcPr>
          <w:p w14:paraId="17251CE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ARID1A</w:t>
            </w:r>
          </w:p>
        </w:tc>
        <w:tc>
          <w:tcPr>
            <w:tcW w:w="1283" w:type="dxa"/>
            <w:shd w:val="clear" w:color="auto" w:fill="F2F2F2"/>
            <w:vAlign w:val="center"/>
          </w:tcPr>
          <w:p w14:paraId="742E4A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ARID1B</w:t>
            </w:r>
          </w:p>
        </w:tc>
        <w:tc>
          <w:tcPr>
            <w:tcW w:w="1287" w:type="dxa"/>
            <w:shd w:val="clear" w:color="auto" w:fill="F2F2F2"/>
            <w:vAlign w:val="center"/>
          </w:tcPr>
          <w:p w14:paraId="485D6B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ARID2</w:t>
            </w:r>
          </w:p>
        </w:tc>
      </w:tr>
      <w:tr w14:paraId="3A5CA93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39F16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ARID4A</w:t>
            </w:r>
          </w:p>
        </w:tc>
        <w:tc>
          <w:tcPr>
            <w:tcW w:w="1283" w:type="dxa"/>
            <w:shd w:val="clear" w:color="auto" w:fill="auto"/>
            <w:vAlign w:val="center"/>
          </w:tcPr>
          <w:p w14:paraId="5CD47E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ASXL1</w:t>
            </w:r>
          </w:p>
        </w:tc>
        <w:tc>
          <w:tcPr>
            <w:tcW w:w="1283" w:type="dxa"/>
            <w:shd w:val="clear" w:color="auto" w:fill="auto"/>
            <w:vAlign w:val="center"/>
          </w:tcPr>
          <w:p w14:paraId="2B981DA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ASXL2</w:t>
            </w:r>
          </w:p>
        </w:tc>
        <w:tc>
          <w:tcPr>
            <w:tcW w:w="1283" w:type="dxa"/>
            <w:shd w:val="clear" w:color="auto" w:fill="auto"/>
            <w:vAlign w:val="center"/>
          </w:tcPr>
          <w:p w14:paraId="66DB2E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ATM</w:t>
            </w:r>
          </w:p>
        </w:tc>
        <w:tc>
          <w:tcPr>
            <w:tcW w:w="1283" w:type="dxa"/>
            <w:shd w:val="clear" w:color="auto" w:fill="auto"/>
            <w:vAlign w:val="center"/>
          </w:tcPr>
          <w:p w14:paraId="355BE1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w:t>
            </w:r>
          </w:p>
        </w:tc>
        <w:tc>
          <w:tcPr>
            <w:tcW w:w="1283" w:type="dxa"/>
            <w:shd w:val="clear" w:color="auto" w:fill="auto"/>
            <w:vAlign w:val="center"/>
          </w:tcPr>
          <w:p w14:paraId="0AC9D1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ATRX</w:t>
            </w:r>
          </w:p>
        </w:tc>
        <w:tc>
          <w:tcPr>
            <w:tcW w:w="1287" w:type="dxa"/>
            <w:shd w:val="clear" w:color="auto" w:fill="auto"/>
            <w:vAlign w:val="center"/>
          </w:tcPr>
          <w:p w14:paraId="5E2336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ATXN2</w:t>
            </w:r>
          </w:p>
        </w:tc>
      </w:tr>
      <w:tr w14:paraId="06F3B2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1D512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AXIN1</w:t>
            </w:r>
          </w:p>
        </w:tc>
        <w:tc>
          <w:tcPr>
            <w:tcW w:w="1283" w:type="dxa"/>
            <w:shd w:val="clear" w:color="auto" w:fill="F2F2F2"/>
            <w:vAlign w:val="center"/>
          </w:tcPr>
          <w:p w14:paraId="3D503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AXL</w:t>
            </w:r>
          </w:p>
        </w:tc>
        <w:tc>
          <w:tcPr>
            <w:tcW w:w="1283" w:type="dxa"/>
            <w:shd w:val="clear" w:color="auto" w:fill="F2F2F2"/>
            <w:vAlign w:val="center"/>
          </w:tcPr>
          <w:p w14:paraId="564CEE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B2M</w:t>
            </w:r>
          </w:p>
        </w:tc>
        <w:tc>
          <w:tcPr>
            <w:tcW w:w="1283" w:type="dxa"/>
            <w:shd w:val="clear" w:color="auto" w:fill="F2F2F2"/>
            <w:vAlign w:val="center"/>
          </w:tcPr>
          <w:p w14:paraId="77886C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BACH2</w:t>
            </w:r>
          </w:p>
        </w:tc>
        <w:tc>
          <w:tcPr>
            <w:tcW w:w="1283" w:type="dxa"/>
            <w:shd w:val="clear" w:color="auto" w:fill="F2F2F2"/>
            <w:vAlign w:val="center"/>
          </w:tcPr>
          <w:p w14:paraId="6FFB89E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BAP1</w:t>
            </w:r>
          </w:p>
        </w:tc>
        <w:tc>
          <w:tcPr>
            <w:tcW w:w="1283" w:type="dxa"/>
            <w:shd w:val="clear" w:color="auto" w:fill="F2F2F2"/>
            <w:vAlign w:val="center"/>
          </w:tcPr>
          <w:p w14:paraId="2C8B2B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BARD1</w:t>
            </w:r>
          </w:p>
        </w:tc>
        <w:tc>
          <w:tcPr>
            <w:tcW w:w="1287" w:type="dxa"/>
            <w:shd w:val="clear" w:color="auto" w:fill="F2F2F2"/>
            <w:vAlign w:val="center"/>
          </w:tcPr>
          <w:p w14:paraId="66990D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BCL11A</w:t>
            </w:r>
          </w:p>
        </w:tc>
      </w:tr>
      <w:tr w14:paraId="54CC64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68E2D05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w:t>
            </w:r>
          </w:p>
        </w:tc>
        <w:tc>
          <w:tcPr>
            <w:tcW w:w="1283" w:type="dxa"/>
            <w:shd w:val="clear" w:color="auto" w:fill="auto"/>
            <w:vAlign w:val="center"/>
          </w:tcPr>
          <w:p w14:paraId="3E911E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BCL2L11</w:t>
            </w:r>
          </w:p>
        </w:tc>
        <w:tc>
          <w:tcPr>
            <w:tcW w:w="1283" w:type="dxa"/>
            <w:shd w:val="clear" w:color="auto" w:fill="auto"/>
            <w:vAlign w:val="center"/>
          </w:tcPr>
          <w:p w14:paraId="0EF831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w:t>
            </w:r>
          </w:p>
        </w:tc>
        <w:tc>
          <w:tcPr>
            <w:tcW w:w="1283" w:type="dxa"/>
            <w:shd w:val="clear" w:color="auto" w:fill="auto"/>
            <w:vAlign w:val="center"/>
          </w:tcPr>
          <w:p w14:paraId="227950D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BCORL1</w:t>
            </w:r>
          </w:p>
        </w:tc>
        <w:tc>
          <w:tcPr>
            <w:tcW w:w="1283" w:type="dxa"/>
            <w:shd w:val="clear" w:color="auto" w:fill="auto"/>
            <w:vAlign w:val="center"/>
          </w:tcPr>
          <w:p w14:paraId="40CC8F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513C8D5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BMPR1A</w:t>
            </w:r>
          </w:p>
        </w:tc>
        <w:tc>
          <w:tcPr>
            <w:tcW w:w="1287" w:type="dxa"/>
            <w:shd w:val="clear" w:color="auto" w:fill="auto"/>
            <w:vAlign w:val="center"/>
          </w:tcPr>
          <w:p w14:paraId="0A3235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BRAF</w:t>
            </w:r>
          </w:p>
        </w:tc>
      </w:tr>
      <w:tr w14:paraId="21DAEA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67945F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BRCA1</w:t>
            </w:r>
          </w:p>
        </w:tc>
        <w:tc>
          <w:tcPr>
            <w:tcW w:w="1283" w:type="dxa"/>
            <w:shd w:val="clear" w:color="auto" w:fill="F2F2F2"/>
            <w:vAlign w:val="center"/>
          </w:tcPr>
          <w:p w14:paraId="257235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BRCA2</w:t>
            </w:r>
          </w:p>
        </w:tc>
        <w:tc>
          <w:tcPr>
            <w:tcW w:w="1283" w:type="dxa"/>
            <w:shd w:val="clear" w:color="auto" w:fill="F2F2F2"/>
            <w:vAlign w:val="center"/>
          </w:tcPr>
          <w:p w14:paraId="433551E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BRD4</w:t>
            </w:r>
          </w:p>
        </w:tc>
        <w:tc>
          <w:tcPr>
            <w:tcW w:w="1283" w:type="dxa"/>
            <w:shd w:val="clear" w:color="auto" w:fill="F2F2F2"/>
            <w:vAlign w:val="center"/>
          </w:tcPr>
          <w:p w14:paraId="2778A9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661793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623AD3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CARD11</w:t>
            </w:r>
          </w:p>
        </w:tc>
        <w:tc>
          <w:tcPr>
            <w:tcW w:w="1287" w:type="dxa"/>
            <w:shd w:val="clear" w:color="auto" w:fill="F2F2F2"/>
            <w:vAlign w:val="center"/>
          </w:tcPr>
          <w:p w14:paraId="5FF4B5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CBL</w:t>
            </w:r>
          </w:p>
        </w:tc>
      </w:tr>
      <w:tr w14:paraId="7BC7BC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6C0A7C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13CE51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63A2F2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CCNE1</w:t>
            </w:r>
          </w:p>
        </w:tc>
        <w:tc>
          <w:tcPr>
            <w:tcW w:w="1283" w:type="dxa"/>
            <w:shd w:val="clear" w:color="auto" w:fill="auto"/>
            <w:vAlign w:val="center"/>
          </w:tcPr>
          <w:p w14:paraId="35DE69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CD274</w:t>
            </w:r>
          </w:p>
        </w:tc>
        <w:tc>
          <w:tcPr>
            <w:tcW w:w="1283" w:type="dxa"/>
            <w:shd w:val="clear" w:color="auto" w:fill="auto"/>
            <w:vAlign w:val="center"/>
          </w:tcPr>
          <w:p w14:paraId="055614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5D6215C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w:t>
            </w:r>
          </w:p>
        </w:tc>
        <w:tc>
          <w:tcPr>
            <w:tcW w:w="1287" w:type="dxa"/>
            <w:shd w:val="clear" w:color="auto" w:fill="auto"/>
            <w:vAlign w:val="center"/>
          </w:tcPr>
          <w:p w14:paraId="63C32E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CDH11</w:t>
            </w:r>
          </w:p>
        </w:tc>
      </w:tr>
      <w:tr w14:paraId="554791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5A90C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398B246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CDK4</w:t>
            </w:r>
          </w:p>
        </w:tc>
        <w:tc>
          <w:tcPr>
            <w:tcW w:w="1283" w:type="dxa"/>
            <w:shd w:val="clear" w:color="auto" w:fill="F2F2F2"/>
            <w:vAlign w:val="center"/>
          </w:tcPr>
          <w:p w14:paraId="54FB86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CDK6</w:t>
            </w:r>
          </w:p>
        </w:tc>
        <w:tc>
          <w:tcPr>
            <w:tcW w:w="1283" w:type="dxa"/>
            <w:shd w:val="clear" w:color="auto" w:fill="F2F2F2"/>
            <w:vAlign w:val="center"/>
          </w:tcPr>
          <w:p w14:paraId="013EFF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CDKN2A</w:t>
            </w:r>
          </w:p>
        </w:tc>
        <w:tc>
          <w:tcPr>
            <w:tcW w:w="1283" w:type="dxa"/>
            <w:shd w:val="clear" w:color="auto" w:fill="F2F2F2"/>
            <w:vAlign w:val="center"/>
          </w:tcPr>
          <w:p w14:paraId="6DC402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17201E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CHD4</w:t>
            </w:r>
          </w:p>
        </w:tc>
        <w:tc>
          <w:tcPr>
            <w:tcW w:w="1287" w:type="dxa"/>
            <w:shd w:val="clear" w:color="auto" w:fill="F2F2F2"/>
            <w:vAlign w:val="center"/>
          </w:tcPr>
          <w:p w14:paraId="00019F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CHEK1</w:t>
            </w:r>
          </w:p>
        </w:tc>
      </w:tr>
      <w:tr w14:paraId="0ABC9C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7E7989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CHEK2</w:t>
            </w:r>
          </w:p>
        </w:tc>
        <w:tc>
          <w:tcPr>
            <w:tcW w:w="1283" w:type="dxa"/>
            <w:shd w:val="clear" w:color="auto" w:fill="auto"/>
            <w:vAlign w:val="center"/>
          </w:tcPr>
          <w:p w14:paraId="4EBCBA3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CIC</w:t>
            </w:r>
          </w:p>
        </w:tc>
        <w:tc>
          <w:tcPr>
            <w:tcW w:w="1283" w:type="dxa"/>
            <w:shd w:val="clear" w:color="auto" w:fill="auto"/>
            <w:vAlign w:val="center"/>
          </w:tcPr>
          <w:p w14:paraId="376463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CLTCL1</w:t>
            </w:r>
          </w:p>
        </w:tc>
        <w:tc>
          <w:tcPr>
            <w:tcW w:w="1283" w:type="dxa"/>
            <w:shd w:val="clear" w:color="auto" w:fill="auto"/>
            <w:vAlign w:val="center"/>
          </w:tcPr>
          <w:p w14:paraId="48CF211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05701A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53F566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CSF1R</w:t>
            </w:r>
          </w:p>
        </w:tc>
        <w:tc>
          <w:tcPr>
            <w:tcW w:w="1287" w:type="dxa"/>
            <w:shd w:val="clear" w:color="auto" w:fill="auto"/>
            <w:vAlign w:val="center"/>
          </w:tcPr>
          <w:p w14:paraId="18BCB7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CSF3R</w:t>
            </w:r>
          </w:p>
        </w:tc>
      </w:tr>
      <w:tr w14:paraId="4C71DA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917AA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4F1738B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35BB94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DDR1</w:t>
            </w:r>
          </w:p>
        </w:tc>
        <w:tc>
          <w:tcPr>
            <w:tcW w:w="1283" w:type="dxa"/>
            <w:shd w:val="clear" w:color="auto" w:fill="F2F2F2"/>
            <w:vAlign w:val="center"/>
          </w:tcPr>
          <w:p w14:paraId="5D995B6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DDR2</w:t>
            </w:r>
          </w:p>
        </w:tc>
        <w:tc>
          <w:tcPr>
            <w:tcW w:w="1283" w:type="dxa"/>
            <w:shd w:val="clear" w:color="auto" w:fill="F2F2F2"/>
            <w:vAlign w:val="center"/>
          </w:tcPr>
          <w:p w14:paraId="19B2DE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DEK</w:t>
            </w:r>
          </w:p>
        </w:tc>
        <w:tc>
          <w:tcPr>
            <w:tcW w:w="1283" w:type="dxa"/>
            <w:shd w:val="clear" w:color="auto" w:fill="F2F2F2"/>
            <w:vAlign w:val="center"/>
          </w:tcPr>
          <w:p w14:paraId="16E9D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DNM2</w:t>
            </w:r>
          </w:p>
        </w:tc>
        <w:tc>
          <w:tcPr>
            <w:tcW w:w="1287" w:type="dxa"/>
            <w:shd w:val="clear" w:color="auto" w:fill="F2F2F2"/>
            <w:vAlign w:val="center"/>
          </w:tcPr>
          <w:p w14:paraId="1E0E5F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DNMT1</w:t>
            </w:r>
          </w:p>
        </w:tc>
      </w:tr>
      <w:tr w14:paraId="2B3090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1D7DF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DNMT3A</w:t>
            </w:r>
          </w:p>
        </w:tc>
        <w:tc>
          <w:tcPr>
            <w:tcW w:w="1283" w:type="dxa"/>
            <w:shd w:val="clear" w:color="auto" w:fill="auto"/>
            <w:vAlign w:val="center"/>
          </w:tcPr>
          <w:p w14:paraId="40EF18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DNMT3B</w:t>
            </w:r>
          </w:p>
        </w:tc>
        <w:tc>
          <w:tcPr>
            <w:tcW w:w="1283" w:type="dxa"/>
            <w:shd w:val="clear" w:color="auto" w:fill="auto"/>
            <w:vAlign w:val="center"/>
          </w:tcPr>
          <w:p w14:paraId="117BFA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3B4C6A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3F293A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60EDE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EPAS1</w:t>
            </w:r>
          </w:p>
        </w:tc>
        <w:tc>
          <w:tcPr>
            <w:tcW w:w="1287" w:type="dxa"/>
            <w:shd w:val="clear" w:color="auto" w:fill="auto"/>
            <w:vAlign w:val="center"/>
          </w:tcPr>
          <w:p w14:paraId="1CF0A80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EPCAM</w:t>
            </w:r>
          </w:p>
        </w:tc>
      </w:tr>
      <w:tr w14:paraId="3D061E2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942E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EPHA2</w:t>
            </w:r>
          </w:p>
        </w:tc>
        <w:tc>
          <w:tcPr>
            <w:tcW w:w="1283" w:type="dxa"/>
            <w:shd w:val="clear" w:color="auto" w:fill="F2F2F2"/>
            <w:vAlign w:val="center"/>
          </w:tcPr>
          <w:p w14:paraId="0E5F5B6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C6BE9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55B96C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ERBB2</w:t>
            </w:r>
          </w:p>
        </w:tc>
        <w:tc>
          <w:tcPr>
            <w:tcW w:w="1283" w:type="dxa"/>
            <w:shd w:val="clear" w:color="auto" w:fill="F2F2F2"/>
            <w:vAlign w:val="center"/>
          </w:tcPr>
          <w:p w14:paraId="23B310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ERBB3</w:t>
            </w:r>
          </w:p>
        </w:tc>
        <w:tc>
          <w:tcPr>
            <w:tcW w:w="1283" w:type="dxa"/>
            <w:shd w:val="clear" w:color="auto" w:fill="F2F2F2"/>
            <w:vAlign w:val="center"/>
          </w:tcPr>
          <w:p w14:paraId="61AEDC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ERBB4</w:t>
            </w:r>
          </w:p>
        </w:tc>
        <w:tc>
          <w:tcPr>
            <w:tcW w:w="1287" w:type="dxa"/>
            <w:shd w:val="clear" w:color="auto" w:fill="F2F2F2"/>
            <w:vAlign w:val="center"/>
          </w:tcPr>
          <w:p w14:paraId="3CA8087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ERRFI1</w:t>
            </w:r>
          </w:p>
        </w:tc>
      </w:tr>
      <w:tr w14:paraId="48111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B1F79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ETV1</w:t>
            </w:r>
          </w:p>
        </w:tc>
        <w:tc>
          <w:tcPr>
            <w:tcW w:w="1283" w:type="dxa"/>
            <w:shd w:val="clear" w:color="auto" w:fill="auto"/>
            <w:vAlign w:val="center"/>
          </w:tcPr>
          <w:p w14:paraId="1FCBDB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3DC578E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098876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FANCA</w:t>
            </w:r>
          </w:p>
        </w:tc>
        <w:tc>
          <w:tcPr>
            <w:tcW w:w="1283" w:type="dxa"/>
            <w:shd w:val="clear" w:color="auto" w:fill="auto"/>
            <w:vAlign w:val="center"/>
          </w:tcPr>
          <w:p w14:paraId="7B8B51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FANCC</w:t>
            </w:r>
          </w:p>
        </w:tc>
        <w:tc>
          <w:tcPr>
            <w:tcW w:w="1283" w:type="dxa"/>
            <w:shd w:val="clear" w:color="auto" w:fill="auto"/>
            <w:vAlign w:val="center"/>
          </w:tcPr>
          <w:p w14:paraId="5442C5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FANCD2</w:t>
            </w:r>
          </w:p>
        </w:tc>
        <w:tc>
          <w:tcPr>
            <w:tcW w:w="1287" w:type="dxa"/>
            <w:shd w:val="clear" w:color="auto" w:fill="auto"/>
            <w:vAlign w:val="center"/>
          </w:tcPr>
          <w:p w14:paraId="1AD319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FANCE</w:t>
            </w:r>
          </w:p>
        </w:tc>
      </w:tr>
      <w:tr w14:paraId="0EA13C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36B904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61DF1A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18E481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5BD63F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FANCL</w:t>
            </w:r>
          </w:p>
        </w:tc>
        <w:tc>
          <w:tcPr>
            <w:tcW w:w="1283" w:type="dxa"/>
            <w:shd w:val="clear" w:color="auto" w:fill="F2F2F2"/>
            <w:vAlign w:val="center"/>
          </w:tcPr>
          <w:p w14:paraId="302AC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FANCM</w:t>
            </w:r>
          </w:p>
        </w:tc>
        <w:tc>
          <w:tcPr>
            <w:tcW w:w="1283" w:type="dxa"/>
            <w:shd w:val="clear" w:color="auto" w:fill="F2F2F2"/>
            <w:vAlign w:val="center"/>
          </w:tcPr>
          <w:p w14:paraId="49EF3C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FAT1</w:t>
            </w:r>
          </w:p>
        </w:tc>
        <w:tc>
          <w:tcPr>
            <w:tcW w:w="1287" w:type="dxa"/>
            <w:shd w:val="clear" w:color="auto" w:fill="F2F2F2"/>
            <w:vAlign w:val="center"/>
          </w:tcPr>
          <w:p w14:paraId="3F8AB54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FAT3</w:t>
            </w:r>
          </w:p>
        </w:tc>
      </w:tr>
      <w:tr w14:paraId="658052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B4C88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09E840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22FCA5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FGF19</w:t>
            </w:r>
          </w:p>
        </w:tc>
        <w:tc>
          <w:tcPr>
            <w:tcW w:w="1283" w:type="dxa"/>
            <w:shd w:val="clear" w:color="auto" w:fill="auto"/>
            <w:vAlign w:val="center"/>
          </w:tcPr>
          <w:p w14:paraId="712094D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FGF3</w:t>
            </w:r>
          </w:p>
        </w:tc>
        <w:tc>
          <w:tcPr>
            <w:tcW w:w="1283" w:type="dxa"/>
            <w:shd w:val="clear" w:color="auto" w:fill="auto"/>
            <w:vAlign w:val="center"/>
          </w:tcPr>
          <w:p w14:paraId="76FC136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FGF4</w:t>
            </w:r>
          </w:p>
        </w:tc>
        <w:tc>
          <w:tcPr>
            <w:tcW w:w="1283" w:type="dxa"/>
            <w:shd w:val="clear" w:color="auto" w:fill="auto"/>
            <w:vAlign w:val="center"/>
          </w:tcPr>
          <w:p w14:paraId="69672C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FGFR1</w:t>
            </w:r>
          </w:p>
        </w:tc>
        <w:tc>
          <w:tcPr>
            <w:tcW w:w="1287" w:type="dxa"/>
            <w:shd w:val="clear" w:color="auto" w:fill="auto"/>
            <w:vAlign w:val="center"/>
          </w:tcPr>
          <w:p w14:paraId="0F05DC6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FGFR2</w:t>
            </w:r>
          </w:p>
        </w:tc>
      </w:tr>
      <w:tr w14:paraId="1E7226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4C3B50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FGFR3</w:t>
            </w:r>
          </w:p>
        </w:tc>
        <w:tc>
          <w:tcPr>
            <w:tcW w:w="1283" w:type="dxa"/>
            <w:shd w:val="clear" w:color="auto" w:fill="F2F2F2"/>
            <w:vAlign w:val="center"/>
          </w:tcPr>
          <w:p w14:paraId="352D09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470CBC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1ECE0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106CA8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FLT1</w:t>
            </w:r>
          </w:p>
        </w:tc>
        <w:tc>
          <w:tcPr>
            <w:tcW w:w="1283" w:type="dxa"/>
            <w:shd w:val="clear" w:color="auto" w:fill="F2F2F2"/>
            <w:vAlign w:val="center"/>
          </w:tcPr>
          <w:p w14:paraId="0A02C5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FLT3</w:t>
            </w:r>
          </w:p>
        </w:tc>
        <w:tc>
          <w:tcPr>
            <w:tcW w:w="1287" w:type="dxa"/>
            <w:shd w:val="clear" w:color="auto" w:fill="F2F2F2"/>
            <w:vAlign w:val="center"/>
          </w:tcPr>
          <w:p w14:paraId="08E2CF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FLT4</w:t>
            </w:r>
          </w:p>
        </w:tc>
      </w:tr>
      <w:tr w14:paraId="63CA29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BC43F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47BBAB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FOXP1</w:t>
            </w:r>
          </w:p>
        </w:tc>
        <w:tc>
          <w:tcPr>
            <w:tcW w:w="1283" w:type="dxa"/>
            <w:shd w:val="clear" w:color="auto" w:fill="auto"/>
            <w:vAlign w:val="center"/>
          </w:tcPr>
          <w:p w14:paraId="39B74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FUBP1</w:t>
            </w:r>
          </w:p>
        </w:tc>
        <w:tc>
          <w:tcPr>
            <w:tcW w:w="1283" w:type="dxa"/>
            <w:shd w:val="clear" w:color="auto" w:fill="auto"/>
            <w:vAlign w:val="center"/>
          </w:tcPr>
          <w:p w14:paraId="0747E0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GALNT12</w:t>
            </w:r>
          </w:p>
        </w:tc>
        <w:tc>
          <w:tcPr>
            <w:tcW w:w="1283" w:type="dxa"/>
            <w:shd w:val="clear" w:color="auto" w:fill="auto"/>
            <w:vAlign w:val="center"/>
          </w:tcPr>
          <w:p w14:paraId="04F8F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497B5E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GNAQ</w:t>
            </w:r>
          </w:p>
        </w:tc>
        <w:tc>
          <w:tcPr>
            <w:tcW w:w="1287" w:type="dxa"/>
            <w:shd w:val="clear" w:color="auto" w:fill="auto"/>
            <w:vAlign w:val="center"/>
          </w:tcPr>
          <w:p w14:paraId="03EC23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GNAS</w:t>
            </w:r>
          </w:p>
        </w:tc>
      </w:tr>
      <w:tr w14:paraId="091537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A869B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5E58AB2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HDAC4</w:t>
            </w:r>
          </w:p>
        </w:tc>
        <w:tc>
          <w:tcPr>
            <w:tcW w:w="1283" w:type="dxa"/>
            <w:shd w:val="clear" w:color="auto" w:fill="F2F2F2"/>
            <w:vAlign w:val="center"/>
          </w:tcPr>
          <w:p w14:paraId="6A119AE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HDAC7</w:t>
            </w:r>
          </w:p>
        </w:tc>
        <w:tc>
          <w:tcPr>
            <w:tcW w:w="1283" w:type="dxa"/>
            <w:shd w:val="clear" w:color="auto" w:fill="F2F2F2"/>
            <w:vAlign w:val="center"/>
          </w:tcPr>
          <w:p w14:paraId="0AB6FDE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HDAC9</w:t>
            </w:r>
          </w:p>
        </w:tc>
        <w:tc>
          <w:tcPr>
            <w:tcW w:w="1283" w:type="dxa"/>
            <w:shd w:val="clear" w:color="auto" w:fill="F2F2F2"/>
            <w:vAlign w:val="center"/>
          </w:tcPr>
          <w:p w14:paraId="7065B6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HIF1A</w:t>
            </w:r>
          </w:p>
        </w:tc>
        <w:tc>
          <w:tcPr>
            <w:tcW w:w="1283" w:type="dxa"/>
            <w:shd w:val="clear" w:color="auto" w:fill="F2F2F2"/>
            <w:vAlign w:val="center"/>
          </w:tcPr>
          <w:p w14:paraId="578D45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HIRA</w:t>
            </w:r>
          </w:p>
        </w:tc>
        <w:tc>
          <w:tcPr>
            <w:tcW w:w="1287" w:type="dxa"/>
            <w:shd w:val="clear" w:color="auto" w:fill="F2F2F2"/>
            <w:vAlign w:val="center"/>
          </w:tcPr>
          <w:p w14:paraId="0D654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HIST1H1B</w:t>
            </w:r>
          </w:p>
        </w:tc>
      </w:tr>
      <w:tr w14:paraId="4588EE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8D737C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HIST1H1C</w:t>
            </w:r>
          </w:p>
        </w:tc>
        <w:tc>
          <w:tcPr>
            <w:tcW w:w="1283" w:type="dxa"/>
            <w:shd w:val="clear" w:color="auto" w:fill="auto"/>
            <w:vAlign w:val="center"/>
          </w:tcPr>
          <w:p w14:paraId="6A067D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HIST1H1D</w:t>
            </w:r>
          </w:p>
        </w:tc>
        <w:tc>
          <w:tcPr>
            <w:tcW w:w="1283" w:type="dxa"/>
            <w:shd w:val="clear" w:color="auto" w:fill="auto"/>
            <w:vAlign w:val="center"/>
          </w:tcPr>
          <w:p w14:paraId="48FB93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HIST1H1E</w:t>
            </w:r>
          </w:p>
        </w:tc>
        <w:tc>
          <w:tcPr>
            <w:tcW w:w="1283" w:type="dxa"/>
            <w:shd w:val="clear" w:color="auto" w:fill="auto"/>
            <w:vAlign w:val="center"/>
          </w:tcPr>
          <w:p w14:paraId="3FC096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HIST1H2AL</w:t>
            </w:r>
          </w:p>
        </w:tc>
        <w:tc>
          <w:tcPr>
            <w:tcW w:w="1283" w:type="dxa"/>
            <w:shd w:val="clear" w:color="auto" w:fill="auto"/>
            <w:vAlign w:val="center"/>
          </w:tcPr>
          <w:p w14:paraId="0B9FEC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HIST1H2AM</w:t>
            </w:r>
          </w:p>
        </w:tc>
        <w:tc>
          <w:tcPr>
            <w:tcW w:w="1283" w:type="dxa"/>
            <w:shd w:val="clear" w:color="auto" w:fill="auto"/>
            <w:vAlign w:val="center"/>
          </w:tcPr>
          <w:p w14:paraId="54C4D9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HIST1H2BC</w:t>
            </w:r>
          </w:p>
        </w:tc>
        <w:tc>
          <w:tcPr>
            <w:tcW w:w="1287" w:type="dxa"/>
            <w:shd w:val="clear" w:color="auto" w:fill="auto"/>
            <w:vAlign w:val="center"/>
          </w:tcPr>
          <w:p w14:paraId="0157B0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HIST1H2BD</w:t>
            </w:r>
          </w:p>
        </w:tc>
      </w:tr>
      <w:tr w14:paraId="14C29D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C2715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HIST1H2BG</w:t>
            </w:r>
          </w:p>
        </w:tc>
        <w:tc>
          <w:tcPr>
            <w:tcW w:w="1283" w:type="dxa"/>
            <w:shd w:val="clear" w:color="auto" w:fill="F2F2F2"/>
            <w:vAlign w:val="center"/>
          </w:tcPr>
          <w:p w14:paraId="4CE2829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HIST1H2BJ</w:t>
            </w:r>
          </w:p>
        </w:tc>
        <w:tc>
          <w:tcPr>
            <w:tcW w:w="1283" w:type="dxa"/>
            <w:shd w:val="clear" w:color="auto" w:fill="F2F2F2"/>
            <w:vAlign w:val="center"/>
          </w:tcPr>
          <w:p w14:paraId="2BFC6C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HIST1H2BK</w:t>
            </w:r>
          </w:p>
        </w:tc>
        <w:tc>
          <w:tcPr>
            <w:tcW w:w="1283" w:type="dxa"/>
            <w:shd w:val="clear" w:color="auto" w:fill="F2F2F2"/>
            <w:vAlign w:val="center"/>
          </w:tcPr>
          <w:p w14:paraId="0340808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HIST1H2BO</w:t>
            </w:r>
          </w:p>
        </w:tc>
        <w:tc>
          <w:tcPr>
            <w:tcW w:w="1283" w:type="dxa"/>
            <w:shd w:val="clear" w:color="auto" w:fill="F2F2F2"/>
            <w:vAlign w:val="center"/>
          </w:tcPr>
          <w:p w14:paraId="28DD78A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HIST1H3A</w:t>
            </w:r>
          </w:p>
        </w:tc>
        <w:tc>
          <w:tcPr>
            <w:tcW w:w="1283" w:type="dxa"/>
            <w:shd w:val="clear" w:color="auto" w:fill="F2F2F2"/>
            <w:vAlign w:val="center"/>
          </w:tcPr>
          <w:p w14:paraId="5ADC91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HIST1H3B</w:t>
            </w:r>
          </w:p>
        </w:tc>
        <w:tc>
          <w:tcPr>
            <w:tcW w:w="1287" w:type="dxa"/>
            <w:shd w:val="clear" w:color="auto" w:fill="F2F2F2"/>
            <w:vAlign w:val="center"/>
          </w:tcPr>
          <w:p w14:paraId="4600C60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HIST1H3C</w:t>
            </w:r>
          </w:p>
        </w:tc>
      </w:tr>
      <w:tr w14:paraId="2912B4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DE518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HIST1H3D</w:t>
            </w:r>
          </w:p>
        </w:tc>
        <w:tc>
          <w:tcPr>
            <w:tcW w:w="1283" w:type="dxa"/>
            <w:shd w:val="clear" w:color="auto" w:fill="auto"/>
            <w:vAlign w:val="center"/>
          </w:tcPr>
          <w:p w14:paraId="1510572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HIST1H3E</w:t>
            </w:r>
          </w:p>
        </w:tc>
        <w:tc>
          <w:tcPr>
            <w:tcW w:w="1283" w:type="dxa"/>
            <w:shd w:val="clear" w:color="auto" w:fill="auto"/>
            <w:vAlign w:val="center"/>
          </w:tcPr>
          <w:p w14:paraId="5D51EC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HIST1H3F</w:t>
            </w:r>
          </w:p>
        </w:tc>
        <w:tc>
          <w:tcPr>
            <w:tcW w:w="1283" w:type="dxa"/>
            <w:shd w:val="clear" w:color="auto" w:fill="auto"/>
            <w:vAlign w:val="center"/>
          </w:tcPr>
          <w:p w14:paraId="1B4CE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HIST1H3G</w:t>
            </w:r>
          </w:p>
        </w:tc>
        <w:tc>
          <w:tcPr>
            <w:tcW w:w="1283" w:type="dxa"/>
            <w:shd w:val="clear" w:color="auto" w:fill="auto"/>
            <w:vAlign w:val="center"/>
          </w:tcPr>
          <w:p w14:paraId="1ECAE4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HIST1H3H</w:t>
            </w:r>
          </w:p>
        </w:tc>
        <w:tc>
          <w:tcPr>
            <w:tcW w:w="1283" w:type="dxa"/>
            <w:shd w:val="clear" w:color="auto" w:fill="auto"/>
            <w:vAlign w:val="center"/>
          </w:tcPr>
          <w:p w14:paraId="29A0CC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HIST1H3I</w:t>
            </w:r>
          </w:p>
        </w:tc>
        <w:tc>
          <w:tcPr>
            <w:tcW w:w="1287" w:type="dxa"/>
            <w:shd w:val="clear" w:color="auto" w:fill="auto"/>
            <w:vAlign w:val="center"/>
          </w:tcPr>
          <w:p w14:paraId="01E8D5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HIST1H3J</w:t>
            </w:r>
          </w:p>
        </w:tc>
      </w:tr>
      <w:tr w14:paraId="00C503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5B44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HIST1H4I</w:t>
            </w:r>
          </w:p>
        </w:tc>
        <w:tc>
          <w:tcPr>
            <w:tcW w:w="1283" w:type="dxa"/>
            <w:shd w:val="clear" w:color="auto" w:fill="F2F2F2"/>
            <w:vAlign w:val="center"/>
          </w:tcPr>
          <w:p w14:paraId="1C4DD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HIST3H3</w:t>
            </w:r>
          </w:p>
        </w:tc>
        <w:tc>
          <w:tcPr>
            <w:tcW w:w="1283" w:type="dxa"/>
            <w:shd w:val="clear" w:color="auto" w:fill="F2F2F2"/>
            <w:vAlign w:val="center"/>
          </w:tcPr>
          <w:p w14:paraId="448248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HLA-A</w:t>
            </w:r>
          </w:p>
        </w:tc>
        <w:tc>
          <w:tcPr>
            <w:tcW w:w="1283" w:type="dxa"/>
            <w:shd w:val="clear" w:color="auto" w:fill="F2F2F2"/>
            <w:vAlign w:val="center"/>
          </w:tcPr>
          <w:p w14:paraId="53A2BA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519C86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93812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HLA-DPA1</w:t>
            </w:r>
          </w:p>
        </w:tc>
        <w:tc>
          <w:tcPr>
            <w:tcW w:w="1287" w:type="dxa"/>
            <w:shd w:val="clear" w:color="auto" w:fill="F2F2F2"/>
            <w:vAlign w:val="center"/>
          </w:tcPr>
          <w:p w14:paraId="1AE6CAA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HLA-DPB1</w:t>
            </w:r>
          </w:p>
        </w:tc>
      </w:tr>
      <w:tr w14:paraId="1FD284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4FD4B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HLA-DQA1</w:t>
            </w:r>
          </w:p>
        </w:tc>
        <w:tc>
          <w:tcPr>
            <w:tcW w:w="1283" w:type="dxa"/>
            <w:shd w:val="clear" w:color="auto" w:fill="auto"/>
            <w:vAlign w:val="center"/>
          </w:tcPr>
          <w:p w14:paraId="2366A8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HLA-DQB1</w:t>
            </w:r>
          </w:p>
        </w:tc>
        <w:tc>
          <w:tcPr>
            <w:tcW w:w="1283" w:type="dxa"/>
            <w:shd w:val="clear" w:color="auto" w:fill="auto"/>
            <w:vAlign w:val="center"/>
          </w:tcPr>
          <w:p w14:paraId="00E94D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HLA-DRB1</w:t>
            </w:r>
          </w:p>
        </w:tc>
        <w:tc>
          <w:tcPr>
            <w:tcW w:w="1283" w:type="dxa"/>
            <w:shd w:val="clear" w:color="auto" w:fill="auto"/>
            <w:vAlign w:val="center"/>
          </w:tcPr>
          <w:p w14:paraId="708428A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6D6653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07E6BC8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HNF1A</w:t>
            </w:r>
          </w:p>
        </w:tc>
        <w:tc>
          <w:tcPr>
            <w:tcW w:w="1287" w:type="dxa"/>
            <w:shd w:val="clear" w:color="auto" w:fill="auto"/>
            <w:vAlign w:val="center"/>
          </w:tcPr>
          <w:p w14:paraId="79D76B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HOXB13</w:t>
            </w:r>
          </w:p>
        </w:tc>
      </w:tr>
      <w:tr w14:paraId="3E8472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DD08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HRAS</w:t>
            </w:r>
          </w:p>
        </w:tc>
        <w:tc>
          <w:tcPr>
            <w:tcW w:w="1283" w:type="dxa"/>
            <w:shd w:val="clear" w:color="auto" w:fill="F2F2F2"/>
            <w:vAlign w:val="center"/>
          </w:tcPr>
          <w:p w14:paraId="453873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DA4ECB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1AB5F8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IFNGR1</w:t>
            </w:r>
          </w:p>
        </w:tc>
        <w:tc>
          <w:tcPr>
            <w:tcW w:w="1283" w:type="dxa"/>
            <w:shd w:val="clear" w:color="auto" w:fill="F2F2F2"/>
            <w:vAlign w:val="center"/>
          </w:tcPr>
          <w:p w14:paraId="7F95F2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IFNGR2</w:t>
            </w:r>
          </w:p>
        </w:tc>
        <w:tc>
          <w:tcPr>
            <w:tcW w:w="1283" w:type="dxa"/>
            <w:shd w:val="clear" w:color="auto" w:fill="F2F2F2"/>
            <w:vAlign w:val="center"/>
          </w:tcPr>
          <w:p w14:paraId="3A84F33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IGF1R</w:t>
            </w:r>
          </w:p>
        </w:tc>
        <w:tc>
          <w:tcPr>
            <w:tcW w:w="1287" w:type="dxa"/>
            <w:shd w:val="clear" w:color="auto" w:fill="F2F2F2"/>
            <w:vAlign w:val="center"/>
          </w:tcPr>
          <w:p w14:paraId="343BC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INPP4A</w:t>
            </w:r>
          </w:p>
        </w:tc>
      </w:tr>
      <w:tr w14:paraId="7076E3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5E4B6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255B62F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INSR</w:t>
            </w:r>
          </w:p>
        </w:tc>
        <w:tc>
          <w:tcPr>
            <w:tcW w:w="1283" w:type="dxa"/>
            <w:shd w:val="clear" w:color="auto" w:fill="auto"/>
            <w:vAlign w:val="center"/>
          </w:tcPr>
          <w:p w14:paraId="0FC4B5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IRS1</w:t>
            </w:r>
          </w:p>
        </w:tc>
        <w:tc>
          <w:tcPr>
            <w:tcW w:w="1283" w:type="dxa"/>
            <w:shd w:val="clear" w:color="auto" w:fill="auto"/>
            <w:vAlign w:val="center"/>
          </w:tcPr>
          <w:p w14:paraId="5F75A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JAK1</w:t>
            </w:r>
          </w:p>
        </w:tc>
        <w:tc>
          <w:tcPr>
            <w:tcW w:w="1283" w:type="dxa"/>
            <w:shd w:val="clear" w:color="auto" w:fill="auto"/>
            <w:vAlign w:val="center"/>
          </w:tcPr>
          <w:p w14:paraId="3D6101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74358DB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JAK3</w:t>
            </w:r>
          </w:p>
        </w:tc>
        <w:tc>
          <w:tcPr>
            <w:tcW w:w="1287" w:type="dxa"/>
            <w:shd w:val="clear" w:color="auto" w:fill="auto"/>
            <w:vAlign w:val="center"/>
          </w:tcPr>
          <w:p w14:paraId="2C48C7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JUN</w:t>
            </w:r>
          </w:p>
        </w:tc>
      </w:tr>
      <w:tr w14:paraId="730DDC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A2631C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KAT6A</w:t>
            </w:r>
          </w:p>
        </w:tc>
        <w:tc>
          <w:tcPr>
            <w:tcW w:w="1283" w:type="dxa"/>
            <w:shd w:val="clear" w:color="auto" w:fill="F2F2F2"/>
            <w:vAlign w:val="center"/>
          </w:tcPr>
          <w:p w14:paraId="1BD4FA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KDM2B</w:t>
            </w:r>
          </w:p>
        </w:tc>
        <w:tc>
          <w:tcPr>
            <w:tcW w:w="1283" w:type="dxa"/>
            <w:shd w:val="clear" w:color="auto" w:fill="F2F2F2"/>
            <w:vAlign w:val="center"/>
          </w:tcPr>
          <w:p w14:paraId="5241FD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KDM4C</w:t>
            </w:r>
          </w:p>
        </w:tc>
        <w:tc>
          <w:tcPr>
            <w:tcW w:w="1283" w:type="dxa"/>
            <w:shd w:val="clear" w:color="auto" w:fill="F2F2F2"/>
            <w:vAlign w:val="center"/>
          </w:tcPr>
          <w:p w14:paraId="355972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5ADFE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78B869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KDR</w:t>
            </w:r>
          </w:p>
        </w:tc>
        <w:tc>
          <w:tcPr>
            <w:tcW w:w="1287" w:type="dxa"/>
            <w:shd w:val="clear" w:color="auto" w:fill="F2F2F2"/>
            <w:vAlign w:val="center"/>
          </w:tcPr>
          <w:p w14:paraId="5C9021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KEAP1</w:t>
            </w:r>
          </w:p>
        </w:tc>
      </w:tr>
      <w:tr w14:paraId="544D73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C0D4D2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KEL</w:t>
            </w:r>
          </w:p>
        </w:tc>
        <w:tc>
          <w:tcPr>
            <w:tcW w:w="1283" w:type="dxa"/>
            <w:shd w:val="clear" w:color="auto" w:fill="auto"/>
            <w:vAlign w:val="center"/>
          </w:tcPr>
          <w:p w14:paraId="24070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1B2283D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47FBC0B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2374B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74E0F7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KMT2D</w:t>
            </w:r>
          </w:p>
        </w:tc>
        <w:tc>
          <w:tcPr>
            <w:tcW w:w="1287" w:type="dxa"/>
            <w:shd w:val="clear" w:color="auto" w:fill="auto"/>
            <w:vAlign w:val="center"/>
          </w:tcPr>
          <w:p w14:paraId="3B014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KRAS</w:t>
            </w:r>
          </w:p>
        </w:tc>
      </w:tr>
      <w:tr w14:paraId="69B9E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39C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LATS1</w:t>
            </w:r>
          </w:p>
        </w:tc>
        <w:tc>
          <w:tcPr>
            <w:tcW w:w="1283" w:type="dxa"/>
            <w:shd w:val="clear" w:color="auto" w:fill="F2F2F2"/>
            <w:vAlign w:val="center"/>
          </w:tcPr>
          <w:p w14:paraId="103D26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LATS2</w:t>
            </w:r>
          </w:p>
        </w:tc>
        <w:tc>
          <w:tcPr>
            <w:tcW w:w="1283" w:type="dxa"/>
            <w:shd w:val="clear" w:color="auto" w:fill="F2F2F2"/>
            <w:vAlign w:val="center"/>
          </w:tcPr>
          <w:p w14:paraId="43B931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0DC9B5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LRP1B</w:t>
            </w:r>
          </w:p>
        </w:tc>
        <w:tc>
          <w:tcPr>
            <w:tcW w:w="1283" w:type="dxa"/>
            <w:shd w:val="clear" w:color="auto" w:fill="F2F2F2"/>
            <w:vAlign w:val="center"/>
          </w:tcPr>
          <w:p w14:paraId="52C667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MAGI2</w:t>
            </w:r>
          </w:p>
        </w:tc>
        <w:tc>
          <w:tcPr>
            <w:tcW w:w="1283" w:type="dxa"/>
            <w:shd w:val="clear" w:color="auto" w:fill="F2F2F2"/>
            <w:vAlign w:val="center"/>
          </w:tcPr>
          <w:p w14:paraId="383DDC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MAP2K1</w:t>
            </w:r>
          </w:p>
        </w:tc>
        <w:tc>
          <w:tcPr>
            <w:tcW w:w="1287" w:type="dxa"/>
            <w:shd w:val="clear" w:color="auto" w:fill="F2F2F2"/>
            <w:vAlign w:val="center"/>
          </w:tcPr>
          <w:p w14:paraId="7AA0B6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MAP2K2</w:t>
            </w:r>
          </w:p>
        </w:tc>
      </w:tr>
      <w:tr w14:paraId="71C6AC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D414D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MAP2K7</w:t>
            </w:r>
          </w:p>
        </w:tc>
        <w:tc>
          <w:tcPr>
            <w:tcW w:w="1283" w:type="dxa"/>
            <w:shd w:val="clear" w:color="auto" w:fill="auto"/>
            <w:vAlign w:val="center"/>
          </w:tcPr>
          <w:p w14:paraId="07E2B3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MAP3K13</w:t>
            </w:r>
          </w:p>
        </w:tc>
        <w:tc>
          <w:tcPr>
            <w:tcW w:w="1283" w:type="dxa"/>
            <w:shd w:val="clear" w:color="auto" w:fill="auto"/>
            <w:vAlign w:val="center"/>
          </w:tcPr>
          <w:p w14:paraId="12D18D8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MAP3K4</w:t>
            </w:r>
          </w:p>
        </w:tc>
        <w:tc>
          <w:tcPr>
            <w:tcW w:w="1283" w:type="dxa"/>
            <w:shd w:val="clear" w:color="auto" w:fill="auto"/>
            <w:vAlign w:val="center"/>
          </w:tcPr>
          <w:p w14:paraId="05BAC3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MAP3K6</w:t>
            </w:r>
          </w:p>
        </w:tc>
        <w:tc>
          <w:tcPr>
            <w:tcW w:w="1283" w:type="dxa"/>
            <w:shd w:val="clear" w:color="auto" w:fill="auto"/>
            <w:vAlign w:val="center"/>
          </w:tcPr>
          <w:p w14:paraId="065504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MAPK1</w:t>
            </w:r>
          </w:p>
        </w:tc>
        <w:tc>
          <w:tcPr>
            <w:tcW w:w="1283" w:type="dxa"/>
            <w:shd w:val="clear" w:color="auto" w:fill="auto"/>
            <w:vAlign w:val="center"/>
          </w:tcPr>
          <w:p w14:paraId="6BA24E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MAPK3</w:t>
            </w:r>
          </w:p>
        </w:tc>
        <w:tc>
          <w:tcPr>
            <w:tcW w:w="1287" w:type="dxa"/>
            <w:shd w:val="clear" w:color="auto" w:fill="auto"/>
            <w:vAlign w:val="center"/>
          </w:tcPr>
          <w:p w14:paraId="6D3B6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MAX</w:t>
            </w:r>
          </w:p>
        </w:tc>
      </w:tr>
      <w:tr w14:paraId="070EF17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8C1F5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MDM2</w:t>
            </w:r>
          </w:p>
        </w:tc>
        <w:tc>
          <w:tcPr>
            <w:tcW w:w="1283" w:type="dxa"/>
            <w:shd w:val="clear" w:color="auto" w:fill="F2F2F2"/>
            <w:vAlign w:val="center"/>
          </w:tcPr>
          <w:p w14:paraId="426A0B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MDM4</w:t>
            </w:r>
          </w:p>
        </w:tc>
        <w:tc>
          <w:tcPr>
            <w:tcW w:w="1283" w:type="dxa"/>
            <w:shd w:val="clear" w:color="auto" w:fill="F2F2F2"/>
            <w:vAlign w:val="center"/>
          </w:tcPr>
          <w:p w14:paraId="30CE51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MED12</w:t>
            </w:r>
          </w:p>
        </w:tc>
        <w:tc>
          <w:tcPr>
            <w:tcW w:w="1283" w:type="dxa"/>
            <w:shd w:val="clear" w:color="auto" w:fill="F2F2F2"/>
            <w:vAlign w:val="center"/>
          </w:tcPr>
          <w:p w14:paraId="100AAF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MET</w:t>
            </w:r>
          </w:p>
        </w:tc>
        <w:tc>
          <w:tcPr>
            <w:tcW w:w="1283" w:type="dxa"/>
            <w:shd w:val="clear" w:color="auto" w:fill="F2F2F2"/>
            <w:vAlign w:val="center"/>
          </w:tcPr>
          <w:p w14:paraId="550C7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405400D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MGAM</w:t>
            </w:r>
          </w:p>
        </w:tc>
        <w:tc>
          <w:tcPr>
            <w:tcW w:w="1287" w:type="dxa"/>
            <w:shd w:val="clear" w:color="auto" w:fill="F2F2F2"/>
            <w:vAlign w:val="center"/>
          </w:tcPr>
          <w:p w14:paraId="245C66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MLH1</w:t>
            </w:r>
          </w:p>
        </w:tc>
      </w:tr>
      <w:tr w14:paraId="253F04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6EF848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MLH3</w:t>
            </w:r>
          </w:p>
        </w:tc>
        <w:tc>
          <w:tcPr>
            <w:tcW w:w="1283" w:type="dxa"/>
            <w:shd w:val="clear" w:color="auto" w:fill="auto"/>
            <w:vAlign w:val="center"/>
          </w:tcPr>
          <w:p w14:paraId="1B38A8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MPL</w:t>
            </w:r>
          </w:p>
        </w:tc>
        <w:tc>
          <w:tcPr>
            <w:tcW w:w="1283" w:type="dxa"/>
            <w:shd w:val="clear" w:color="auto" w:fill="auto"/>
            <w:vAlign w:val="center"/>
          </w:tcPr>
          <w:p w14:paraId="16CB89D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MRE11A</w:t>
            </w:r>
          </w:p>
        </w:tc>
        <w:tc>
          <w:tcPr>
            <w:tcW w:w="1283" w:type="dxa"/>
            <w:shd w:val="clear" w:color="auto" w:fill="auto"/>
            <w:vAlign w:val="center"/>
          </w:tcPr>
          <w:p w14:paraId="33AADB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494585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35E578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MSH6</w:t>
            </w:r>
          </w:p>
        </w:tc>
        <w:tc>
          <w:tcPr>
            <w:tcW w:w="1287" w:type="dxa"/>
            <w:shd w:val="clear" w:color="auto" w:fill="auto"/>
            <w:vAlign w:val="center"/>
          </w:tcPr>
          <w:p w14:paraId="45E257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MTOR</w:t>
            </w:r>
          </w:p>
        </w:tc>
      </w:tr>
      <w:tr w14:paraId="13E1B4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0380F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MUC1</w:t>
            </w:r>
          </w:p>
        </w:tc>
        <w:tc>
          <w:tcPr>
            <w:tcW w:w="1283" w:type="dxa"/>
            <w:shd w:val="clear" w:color="auto" w:fill="F2F2F2"/>
            <w:vAlign w:val="center"/>
          </w:tcPr>
          <w:p w14:paraId="78024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MUTYH</w:t>
            </w:r>
          </w:p>
        </w:tc>
        <w:tc>
          <w:tcPr>
            <w:tcW w:w="1283" w:type="dxa"/>
            <w:shd w:val="clear" w:color="auto" w:fill="F2F2F2"/>
            <w:vAlign w:val="center"/>
          </w:tcPr>
          <w:p w14:paraId="20192E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1F44E4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42CBC4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756411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7DE3A9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MYH11</w:t>
            </w:r>
          </w:p>
        </w:tc>
      </w:tr>
      <w:tr w14:paraId="46634C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597976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101A2DB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NCOA4</w:t>
            </w:r>
          </w:p>
        </w:tc>
        <w:tc>
          <w:tcPr>
            <w:tcW w:w="1283" w:type="dxa"/>
            <w:shd w:val="clear" w:color="auto" w:fill="auto"/>
            <w:vAlign w:val="center"/>
          </w:tcPr>
          <w:p w14:paraId="5501D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NCOR1</w:t>
            </w:r>
          </w:p>
        </w:tc>
        <w:tc>
          <w:tcPr>
            <w:tcW w:w="1283" w:type="dxa"/>
            <w:shd w:val="clear" w:color="auto" w:fill="auto"/>
            <w:vAlign w:val="center"/>
          </w:tcPr>
          <w:p w14:paraId="60FA53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NCOR2</w:t>
            </w:r>
          </w:p>
        </w:tc>
        <w:tc>
          <w:tcPr>
            <w:tcW w:w="1283" w:type="dxa"/>
            <w:shd w:val="clear" w:color="auto" w:fill="auto"/>
            <w:vAlign w:val="center"/>
          </w:tcPr>
          <w:p w14:paraId="375BD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NF1</w:t>
            </w:r>
          </w:p>
        </w:tc>
        <w:tc>
          <w:tcPr>
            <w:tcW w:w="1283" w:type="dxa"/>
            <w:shd w:val="clear" w:color="auto" w:fill="auto"/>
            <w:vAlign w:val="center"/>
          </w:tcPr>
          <w:p w14:paraId="628B924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NF2</w:t>
            </w:r>
          </w:p>
        </w:tc>
        <w:tc>
          <w:tcPr>
            <w:tcW w:w="1287" w:type="dxa"/>
            <w:shd w:val="clear" w:color="auto" w:fill="auto"/>
            <w:vAlign w:val="center"/>
          </w:tcPr>
          <w:p w14:paraId="7453DE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NOTCH1</w:t>
            </w:r>
          </w:p>
        </w:tc>
      </w:tr>
      <w:tr w14:paraId="113D7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2552BDB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NOTCH2</w:t>
            </w:r>
          </w:p>
        </w:tc>
        <w:tc>
          <w:tcPr>
            <w:tcW w:w="1283" w:type="dxa"/>
            <w:shd w:val="clear" w:color="auto" w:fill="F2F2F2"/>
            <w:vAlign w:val="center"/>
          </w:tcPr>
          <w:p w14:paraId="294B5B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NPM1</w:t>
            </w:r>
          </w:p>
        </w:tc>
        <w:tc>
          <w:tcPr>
            <w:tcW w:w="1283" w:type="dxa"/>
            <w:shd w:val="clear" w:color="auto" w:fill="F2F2F2"/>
            <w:vAlign w:val="center"/>
          </w:tcPr>
          <w:p w14:paraId="25009F6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NRAS</w:t>
            </w:r>
          </w:p>
        </w:tc>
        <w:tc>
          <w:tcPr>
            <w:tcW w:w="1283" w:type="dxa"/>
            <w:shd w:val="clear" w:color="auto" w:fill="F2F2F2"/>
            <w:vAlign w:val="center"/>
          </w:tcPr>
          <w:p w14:paraId="7B48CB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NRG1</w:t>
            </w:r>
          </w:p>
        </w:tc>
        <w:tc>
          <w:tcPr>
            <w:tcW w:w="1283" w:type="dxa"/>
            <w:shd w:val="clear" w:color="auto" w:fill="F2F2F2"/>
            <w:vAlign w:val="center"/>
          </w:tcPr>
          <w:p w14:paraId="3D8636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NSD1</w:t>
            </w:r>
          </w:p>
        </w:tc>
        <w:tc>
          <w:tcPr>
            <w:tcW w:w="1283" w:type="dxa"/>
            <w:shd w:val="clear" w:color="auto" w:fill="F2F2F2"/>
            <w:vAlign w:val="center"/>
          </w:tcPr>
          <w:p w14:paraId="5537173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NSD2</w:t>
            </w:r>
          </w:p>
        </w:tc>
        <w:tc>
          <w:tcPr>
            <w:tcW w:w="1287" w:type="dxa"/>
            <w:shd w:val="clear" w:color="auto" w:fill="F2F2F2"/>
            <w:vAlign w:val="center"/>
          </w:tcPr>
          <w:p w14:paraId="516522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NTRK1</w:t>
            </w:r>
          </w:p>
        </w:tc>
      </w:tr>
      <w:tr w14:paraId="7EC7DE0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F9727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NTRK2</w:t>
            </w:r>
          </w:p>
        </w:tc>
        <w:tc>
          <w:tcPr>
            <w:tcW w:w="1283" w:type="dxa"/>
            <w:shd w:val="clear" w:color="auto" w:fill="auto"/>
            <w:vAlign w:val="center"/>
          </w:tcPr>
          <w:p w14:paraId="1FB5DD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NTRK3</w:t>
            </w:r>
          </w:p>
        </w:tc>
        <w:tc>
          <w:tcPr>
            <w:tcW w:w="1283" w:type="dxa"/>
            <w:shd w:val="clear" w:color="auto" w:fill="auto"/>
            <w:vAlign w:val="center"/>
          </w:tcPr>
          <w:p w14:paraId="1810A2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PALB2</w:t>
            </w:r>
          </w:p>
        </w:tc>
        <w:tc>
          <w:tcPr>
            <w:tcW w:w="1283" w:type="dxa"/>
            <w:shd w:val="clear" w:color="auto" w:fill="auto"/>
            <w:vAlign w:val="center"/>
          </w:tcPr>
          <w:p w14:paraId="3E88D1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PASK</w:t>
            </w:r>
          </w:p>
        </w:tc>
        <w:tc>
          <w:tcPr>
            <w:tcW w:w="1283" w:type="dxa"/>
            <w:shd w:val="clear" w:color="auto" w:fill="auto"/>
            <w:vAlign w:val="center"/>
          </w:tcPr>
          <w:p w14:paraId="690AB2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PAX5</w:t>
            </w:r>
          </w:p>
        </w:tc>
        <w:tc>
          <w:tcPr>
            <w:tcW w:w="1283" w:type="dxa"/>
            <w:shd w:val="clear" w:color="auto" w:fill="auto"/>
            <w:vAlign w:val="center"/>
          </w:tcPr>
          <w:p w14:paraId="605DC8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PBRM1</w:t>
            </w:r>
          </w:p>
        </w:tc>
        <w:tc>
          <w:tcPr>
            <w:tcW w:w="1287" w:type="dxa"/>
            <w:shd w:val="clear" w:color="auto" w:fill="auto"/>
            <w:vAlign w:val="center"/>
          </w:tcPr>
          <w:p w14:paraId="009A0E7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PCLO</w:t>
            </w:r>
          </w:p>
        </w:tc>
      </w:tr>
      <w:tr w14:paraId="0D1907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526C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77069C8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07A62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1A166B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07586F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F2217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PIK3C2G</w:t>
            </w:r>
          </w:p>
        </w:tc>
        <w:tc>
          <w:tcPr>
            <w:tcW w:w="1287" w:type="dxa"/>
            <w:shd w:val="clear" w:color="auto" w:fill="F2F2F2"/>
            <w:vAlign w:val="center"/>
          </w:tcPr>
          <w:p w14:paraId="57B4022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PIK3CA</w:t>
            </w:r>
          </w:p>
        </w:tc>
      </w:tr>
      <w:tr w14:paraId="78F8AA5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4B88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61D78FF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PIK3CG</w:t>
            </w:r>
          </w:p>
        </w:tc>
        <w:tc>
          <w:tcPr>
            <w:tcW w:w="1283" w:type="dxa"/>
            <w:shd w:val="clear" w:color="auto" w:fill="auto"/>
            <w:vAlign w:val="center"/>
          </w:tcPr>
          <w:p w14:paraId="302C14F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PIK3R1</w:t>
            </w:r>
          </w:p>
        </w:tc>
        <w:tc>
          <w:tcPr>
            <w:tcW w:w="1283" w:type="dxa"/>
            <w:shd w:val="clear" w:color="auto" w:fill="auto"/>
            <w:vAlign w:val="center"/>
          </w:tcPr>
          <w:p w14:paraId="62E9D7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PIM1</w:t>
            </w:r>
          </w:p>
        </w:tc>
        <w:tc>
          <w:tcPr>
            <w:tcW w:w="1283" w:type="dxa"/>
            <w:shd w:val="clear" w:color="auto" w:fill="auto"/>
            <w:vAlign w:val="center"/>
          </w:tcPr>
          <w:p w14:paraId="4C92DD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24D9BD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PMS2</w:t>
            </w:r>
          </w:p>
        </w:tc>
        <w:tc>
          <w:tcPr>
            <w:tcW w:w="1287" w:type="dxa"/>
            <w:shd w:val="clear" w:color="auto" w:fill="auto"/>
            <w:vAlign w:val="center"/>
          </w:tcPr>
          <w:p w14:paraId="5D299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POLD1</w:t>
            </w:r>
          </w:p>
        </w:tc>
      </w:tr>
      <w:tr w14:paraId="059D1D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38E6A3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POLE</w:t>
            </w:r>
          </w:p>
        </w:tc>
        <w:tc>
          <w:tcPr>
            <w:tcW w:w="1283" w:type="dxa"/>
            <w:shd w:val="clear" w:color="auto" w:fill="F2F2F2"/>
            <w:vAlign w:val="center"/>
          </w:tcPr>
          <w:p w14:paraId="0EB6EF7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PPP2R2A</w:t>
            </w:r>
          </w:p>
        </w:tc>
        <w:tc>
          <w:tcPr>
            <w:tcW w:w="1283" w:type="dxa"/>
            <w:shd w:val="clear" w:color="auto" w:fill="F2F2F2"/>
            <w:vAlign w:val="center"/>
          </w:tcPr>
          <w:p w14:paraId="02E3F1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PREX2</w:t>
            </w:r>
          </w:p>
        </w:tc>
        <w:tc>
          <w:tcPr>
            <w:tcW w:w="1283" w:type="dxa"/>
            <w:shd w:val="clear" w:color="auto" w:fill="F2F2F2"/>
            <w:vAlign w:val="center"/>
          </w:tcPr>
          <w:p w14:paraId="4834DA5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5BF607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5746B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PTCH2</w:t>
            </w:r>
          </w:p>
        </w:tc>
        <w:tc>
          <w:tcPr>
            <w:tcW w:w="1287" w:type="dxa"/>
            <w:shd w:val="clear" w:color="auto" w:fill="F2F2F2"/>
            <w:vAlign w:val="center"/>
          </w:tcPr>
          <w:p w14:paraId="178477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PTEN</w:t>
            </w:r>
          </w:p>
        </w:tc>
      </w:tr>
      <w:tr w14:paraId="0AF9B5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F311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PTPN11</w:t>
            </w:r>
          </w:p>
        </w:tc>
        <w:tc>
          <w:tcPr>
            <w:tcW w:w="1283" w:type="dxa"/>
            <w:shd w:val="clear" w:color="auto" w:fill="auto"/>
            <w:vAlign w:val="center"/>
          </w:tcPr>
          <w:p w14:paraId="58E7A0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134B24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24FD79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6FF73D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07E5953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6F091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PTPRT</w:t>
            </w:r>
          </w:p>
        </w:tc>
      </w:tr>
      <w:tr w14:paraId="288597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43CBB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71580A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580FF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11216C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221DC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37A09CA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6623D8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RAD52</w:t>
            </w:r>
          </w:p>
        </w:tc>
      </w:tr>
      <w:tr w14:paraId="1574AF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E5B5D6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1A00C6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69816B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6DFC95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9DE17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18C1F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0C746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RECQL4</w:t>
            </w:r>
          </w:p>
        </w:tc>
      </w:tr>
      <w:tr w14:paraId="2ADC1EC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A68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39C5B7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RICTOR</w:t>
            </w:r>
          </w:p>
        </w:tc>
        <w:tc>
          <w:tcPr>
            <w:tcW w:w="1283" w:type="dxa"/>
            <w:shd w:val="clear" w:color="auto" w:fill="F2F2F2"/>
            <w:vAlign w:val="center"/>
          </w:tcPr>
          <w:p w14:paraId="394FBFF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RNF43</w:t>
            </w:r>
          </w:p>
        </w:tc>
        <w:tc>
          <w:tcPr>
            <w:tcW w:w="1283" w:type="dxa"/>
            <w:shd w:val="clear" w:color="auto" w:fill="F2F2F2"/>
            <w:vAlign w:val="center"/>
          </w:tcPr>
          <w:p w14:paraId="25BEFA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ROS1</w:t>
            </w:r>
          </w:p>
        </w:tc>
        <w:tc>
          <w:tcPr>
            <w:tcW w:w="1283" w:type="dxa"/>
            <w:shd w:val="clear" w:color="auto" w:fill="F2F2F2"/>
            <w:vAlign w:val="center"/>
          </w:tcPr>
          <w:p w14:paraId="4491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RPTOR</w:t>
            </w:r>
          </w:p>
        </w:tc>
        <w:tc>
          <w:tcPr>
            <w:tcW w:w="1283" w:type="dxa"/>
            <w:shd w:val="clear" w:color="auto" w:fill="F2F2F2"/>
            <w:vAlign w:val="center"/>
          </w:tcPr>
          <w:p w14:paraId="52E18C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w:t>
            </w:r>
          </w:p>
        </w:tc>
        <w:tc>
          <w:tcPr>
            <w:tcW w:w="1287" w:type="dxa"/>
            <w:shd w:val="clear" w:color="auto" w:fill="F2F2F2"/>
            <w:vAlign w:val="center"/>
          </w:tcPr>
          <w:p w14:paraId="41D145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RUNX1T1</w:t>
            </w:r>
          </w:p>
        </w:tc>
      </w:tr>
      <w:tr w14:paraId="0AE044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2BAE25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RUNX2</w:t>
            </w:r>
          </w:p>
        </w:tc>
        <w:tc>
          <w:tcPr>
            <w:tcW w:w="1283" w:type="dxa"/>
            <w:shd w:val="clear" w:color="auto" w:fill="auto"/>
            <w:vAlign w:val="center"/>
          </w:tcPr>
          <w:p w14:paraId="326FFF6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SDHB</w:t>
            </w:r>
          </w:p>
        </w:tc>
        <w:tc>
          <w:tcPr>
            <w:tcW w:w="1283" w:type="dxa"/>
            <w:shd w:val="clear" w:color="auto" w:fill="auto"/>
            <w:vAlign w:val="center"/>
          </w:tcPr>
          <w:p w14:paraId="0C8E5A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SDHC</w:t>
            </w:r>
          </w:p>
        </w:tc>
        <w:tc>
          <w:tcPr>
            <w:tcW w:w="1283" w:type="dxa"/>
            <w:shd w:val="clear" w:color="auto" w:fill="auto"/>
            <w:vAlign w:val="center"/>
          </w:tcPr>
          <w:p w14:paraId="25373B0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SERPINB3</w:t>
            </w:r>
          </w:p>
        </w:tc>
        <w:tc>
          <w:tcPr>
            <w:tcW w:w="1283" w:type="dxa"/>
            <w:shd w:val="clear" w:color="auto" w:fill="auto"/>
            <w:vAlign w:val="center"/>
          </w:tcPr>
          <w:p w14:paraId="461C73A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SERPINB4</w:t>
            </w:r>
          </w:p>
        </w:tc>
        <w:tc>
          <w:tcPr>
            <w:tcW w:w="1283" w:type="dxa"/>
            <w:shd w:val="clear" w:color="auto" w:fill="auto"/>
            <w:vAlign w:val="center"/>
          </w:tcPr>
          <w:p w14:paraId="316F3EA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SETD2</w:t>
            </w:r>
          </w:p>
        </w:tc>
        <w:tc>
          <w:tcPr>
            <w:tcW w:w="1287" w:type="dxa"/>
            <w:shd w:val="clear" w:color="auto" w:fill="auto"/>
            <w:vAlign w:val="center"/>
          </w:tcPr>
          <w:p w14:paraId="1C6D50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SETD5</w:t>
            </w:r>
          </w:p>
        </w:tc>
      </w:tr>
      <w:tr w14:paraId="0CEAE7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818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1035CD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30D5C6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SLIT2</w:t>
            </w:r>
          </w:p>
        </w:tc>
        <w:tc>
          <w:tcPr>
            <w:tcW w:w="1283" w:type="dxa"/>
            <w:shd w:val="clear" w:color="auto" w:fill="F2F2F2"/>
            <w:vAlign w:val="center"/>
          </w:tcPr>
          <w:p w14:paraId="20A356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SMAD3</w:t>
            </w:r>
          </w:p>
        </w:tc>
        <w:tc>
          <w:tcPr>
            <w:tcW w:w="1283" w:type="dxa"/>
            <w:shd w:val="clear" w:color="auto" w:fill="F2F2F2"/>
            <w:vAlign w:val="center"/>
          </w:tcPr>
          <w:p w14:paraId="0067855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SMAD4</w:t>
            </w:r>
          </w:p>
        </w:tc>
        <w:tc>
          <w:tcPr>
            <w:tcW w:w="1283" w:type="dxa"/>
            <w:shd w:val="clear" w:color="auto" w:fill="F2F2F2"/>
            <w:vAlign w:val="center"/>
          </w:tcPr>
          <w:p w14:paraId="0C52F2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SMARCA1</w:t>
            </w:r>
          </w:p>
        </w:tc>
        <w:tc>
          <w:tcPr>
            <w:tcW w:w="1287" w:type="dxa"/>
            <w:shd w:val="clear" w:color="auto" w:fill="F2F2F2"/>
            <w:vAlign w:val="center"/>
          </w:tcPr>
          <w:p w14:paraId="1E719E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SMARCA2</w:t>
            </w:r>
          </w:p>
        </w:tc>
      </w:tr>
      <w:tr w14:paraId="1BC946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460173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SMARCA4</w:t>
            </w:r>
          </w:p>
        </w:tc>
        <w:tc>
          <w:tcPr>
            <w:tcW w:w="1283" w:type="dxa"/>
            <w:shd w:val="clear" w:color="auto" w:fill="auto"/>
            <w:vAlign w:val="center"/>
          </w:tcPr>
          <w:p w14:paraId="461CEC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SMARCB1</w:t>
            </w:r>
          </w:p>
        </w:tc>
        <w:tc>
          <w:tcPr>
            <w:tcW w:w="1283" w:type="dxa"/>
            <w:shd w:val="clear" w:color="auto" w:fill="auto"/>
            <w:vAlign w:val="center"/>
          </w:tcPr>
          <w:p w14:paraId="207BE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SMO</w:t>
            </w:r>
          </w:p>
        </w:tc>
        <w:tc>
          <w:tcPr>
            <w:tcW w:w="1283" w:type="dxa"/>
            <w:shd w:val="clear" w:color="auto" w:fill="auto"/>
            <w:vAlign w:val="center"/>
          </w:tcPr>
          <w:p w14:paraId="5A6C91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SOS1</w:t>
            </w:r>
          </w:p>
        </w:tc>
        <w:tc>
          <w:tcPr>
            <w:tcW w:w="1283" w:type="dxa"/>
            <w:shd w:val="clear" w:color="auto" w:fill="auto"/>
            <w:vAlign w:val="center"/>
          </w:tcPr>
          <w:p w14:paraId="11670A9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SOX9</w:t>
            </w:r>
          </w:p>
        </w:tc>
        <w:tc>
          <w:tcPr>
            <w:tcW w:w="1283" w:type="dxa"/>
            <w:shd w:val="clear" w:color="auto" w:fill="auto"/>
            <w:vAlign w:val="center"/>
          </w:tcPr>
          <w:p w14:paraId="23D463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SRC</w:t>
            </w:r>
          </w:p>
        </w:tc>
        <w:tc>
          <w:tcPr>
            <w:tcW w:w="1287" w:type="dxa"/>
            <w:shd w:val="clear" w:color="auto" w:fill="auto"/>
            <w:vAlign w:val="center"/>
          </w:tcPr>
          <w:p w14:paraId="11D9D5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STAG1</w:t>
            </w:r>
          </w:p>
        </w:tc>
      </w:tr>
      <w:tr w14:paraId="56A89E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B7FA5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STAG2</w:t>
            </w:r>
          </w:p>
        </w:tc>
        <w:tc>
          <w:tcPr>
            <w:tcW w:w="1283" w:type="dxa"/>
            <w:shd w:val="clear" w:color="auto" w:fill="F2F2F2"/>
            <w:vAlign w:val="center"/>
          </w:tcPr>
          <w:p w14:paraId="50DE5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13E810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396ABA9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TCF12</w:t>
            </w:r>
          </w:p>
        </w:tc>
        <w:tc>
          <w:tcPr>
            <w:tcW w:w="1283" w:type="dxa"/>
            <w:shd w:val="clear" w:color="auto" w:fill="F2F2F2"/>
            <w:vAlign w:val="center"/>
          </w:tcPr>
          <w:p w14:paraId="5FE2A81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TCF3</w:t>
            </w:r>
          </w:p>
        </w:tc>
        <w:tc>
          <w:tcPr>
            <w:tcW w:w="1283" w:type="dxa"/>
            <w:shd w:val="clear" w:color="auto" w:fill="F2F2F2"/>
            <w:vAlign w:val="center"/>
          </w:tcPr>
          <w:p w14:paraId="3E3B09E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TCF4</w:t>
            </w:r>
          </w:p>
        </w:tc>
        <w:tc>
          <w:tcPr>
            <w:tcW w:w="1287" w:type="dxa"/>
            <w:shd w:val="clear" w:color="auto" w:fill="F2F2F2"/>
            <w:vAlign w:val="center"/>
          </w:tcPr>
          <w:p w14:paraId="023472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TCF7L2</w:t>
            </w:r>
          </w:p>
        </w:tc>
      </w:tr>
      <w:tr w14:paraId="7C7F0F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7F393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TEK</w:t>
            </w:r>
          </w:p>
        </w:tc>
        <w:tc>
          <w:tcPr>
            <w:tcW w:w="1283" w:type="dxa"/>
            <w:shd w:val="clear" w:color="auto" w:fill="auto"/>
            <w:vAlign w:val="center"/>
          </w:tcPr>
          <w:p w14:paraId="205BC3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3A0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036620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A79E3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1C7EFB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TGFBR1</w:t>
            </w:r>
          </w:p>
        </w:tc>
        <w:tc>
          <w:tcPr>
            <w:tcW w:w="1287" w:type="dxa"/>
            <w:shd w:val="clear" w:color="auto" w:fill="auto"/>
            <w:vAlign w:val="center"/>
          </w:tcPr>
          <w:p w14:paraId="06CA60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TLE3</w:t>
            </w:r>
          </w:p>
        </w:tc>
      </w:tr>
      <w:tr w14:paraId="7D81D8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4F503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TLE4</w:t>
            </w:r>
          </w:p>
        </w:tc>
        <w:tc>
          <w:tcPr>
            <w:tcW w:w="1283" w:type="dxa"/>
            <w:shd w:val="clear" w:color="auto" w:fill="F2F2F2"/>
            <w:vAlign w:val="center"/>
          </w:tcPr>
          <w:p w14:paraId="6D7D170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72199F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6B043B7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43F76C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4961BA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6849451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TP63</w:t>
            </w:r>
          </w:p>
        </w:tc>
      </w:tr>
      <w:tr w14:paraId="0FA055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41A652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TRRAP</w:t>
            </w:r>
          </w:p>
        </w:tc>
        <w:tc>
          <w:tcPr>
            <w:tcW w:w="1283" w:type="dxa"/>
            <w:shd w:val="clear" w:color="auto" w:fill="auto"/>
            <w:vAlign w:val="center"/>
          </w:tcPr>
          <w:p w14:paraId="2B10811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TSC1</w:t>
            </w:r>
          </w:p>
        </w:tc>
        <w:tc>
          <w:tcPr>
            <w:tcW w:w="1283" w:type="dxa"/>
            <w:shd w:val="clear" w:color="auto" w:fill="auto"/>
            <w:vAlign w:val="center"/>
          </w:tcPr>
          <w:p w14:paraId="0A36E8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06921D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329B9E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7C4EC5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VAV1</w:t>
            </w:r>
          </w:p>
        </w:tc>
        <w:tc>
          <w:tcPr>
            <w:tcW w:w="1287" w:type="dxa"/>
            <w:shd w:val="clear" w:color="auto" w:fill="auto"/>
            <w:vAlign w:val="center"/>
          </w:tcPr>
          <w:p w14:paraId="4B2153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VAV2</w:t>
            </w:r>
          </w:p>
        </w:tc>
      </w:tr>
      <w:tr w14:paraId="052217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FDB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VEGFA</w:t>
            </w:r>
          </w:p>
        </w:tc>
        <w:tc>
          <w:tcPr>
            <w:tcW w:w="1283" w:type="dxa"/>
            <w:shd w:val="clear" w:color="auto" w:fill="F2F2F2"/>
            <w:vAlign w:val="center"/>
          </w:tcPr>
          <w:p w14:paraId="607409E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VHL</w:t>
            </w:r>
          </w:p>
        </w:tc>
        <w:tc>
          <w:tcPr>
            <w:tcW w:w="1283" w:type="dxa"/>
            <w:shd w:val="clear" w:color="auto" w:fill="F2F2F2"/>
            <w:vAlign w:val="center"/>
          </w:tcPr>
          <w:p w14:paraId="0B981C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WDR90</w:t>
            </w:r>
          </w:p>
        </w:tc>
        <w:tc>
          <w:tcPr>
            <w:tcW w:w="1283" w:type="dxa"/>
            <w:shd w:val="clear" w:color="auto" w:fill="F2F2F2"/>
            <w:vAlign w:val="center"/>
          </w:tcPr>
          <w:p w14:paraId="711EC1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3097C8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5ADCC9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WRN</w:t>
            </w:r>
          </w:p>
        </w:tc>
        <w:tc>
          <w:tcPr>
            <w:tcW w:w="1287" w:type="dxa"/>
            <w:shd w:val="clear" w:color="auto" w:fill="F2F2F2"/>
            <w:vAlign w:val="center"/>
          </w:tcPr>
          <w:p w14:paraId="31DECF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XRCC2</w:t>
            </w:r>
          </w:p>
        </w:tc>
      </w:tr>
      <w:tr w14:paraId="7A7251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093FF3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7E09C8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YES1</w:t>
            </w:r>
          </w:p>
        </w:tc>
        <w:tc>
          <w:tcPr>
            <w:tcW w:w="1283" w:type="dxa"/>
            <w:shd w:val="clear" w:color="auto" w:fill="auto"/>
            <w:vAlign w:val="center"/>
          </w:tcPr>
          <w:p w14:paraId="586D48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ZFHX3</w:t>
            </w:r>
          </w:p>
        </w:tc>
        <w:tc>
          <w:tcPr>
            <w:tcW w:w="1283" w:type="dxa"/>
            <w:shd w:val="clear" w:color="auto" w:fill="auto"/>
            <w:vAlign w:val="center"/>
          </w:tcPr>
          <w:p w14:paraId="56D24B5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ZNF217</w:t>
            </w:r>
          </w:p>
        </w:tc>
        <w:tc>
          <w:tcPr>
            <w:tcW w:w="1283" w:type="dxa"/>
            <w:shd w:val="clear" w:color="auto" w:fill="auto"/>
            <w:vAlign w:val="center"/>
          </w:tcPr>
          <w:p w14:paraId="5B177B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ZNF278</w:t>
            </w:r>
          </w:p>
        </w:tc>
        <w:tc>
          <w:tcPr>
            <w:tcW w:w="1283" w:type="dxa"/>
            <w:shd w:val="clear" w:color="auto" w:fill="auto"/>
            <w:vAlign w:val="center"/>
          </w:tcPr>
          <w:p w14:paraId="693C30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ZNF521</w:t>
            </w:r>
          </w:p>
        </w:tc>
        <w:tc>
          <w:tcPr>
            <w:tcW w:w="1287" w:type="dxa"/>
            <w:shd w:val="clear" w:color="auto" w:fill="auto"/>
            <w:vAlign w:val="center"/>
          </w:tcPr>
          <w:p w14:paraId="38E156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ZNF703</w:t>
            </w:r>
          </w:p>
        </w:tc>
      </w:tr>
      <w:tr w14:paraId="4E4E1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0A1355F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ZRSR2</w:t>
            </w:r>
          </w:p>
        </w:tc>
        <w:tc>
          <w:tcPr>
            <w:tcW w:w="1283" w:type="dxa"/>
            <w:shd w:val="clear" w:color="auto" w:fill="F2F2F2"/>
            <w:vAlign w:val="center"/>
          </w:tcPr>
          <w:p w14:paraId="4088FE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19317F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5FC2603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399DBF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4503E1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7" w:type="dxa"/>
            <w:shd w:val="clear" w:color="auto" w:fill="F2F2F2"/>
            <w:vAlign w:val="center"/>
          </w:tcPr>
          <w:p w14:paraId="06FEBA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r>
    </w:tbl>
    <w:p w14:paraId="349AB3CA">
      <w:pPr>
        <w:rPr>
          <w:rFonts w:ascii="微软雅黑" w:hAnsi="微软雅黑"/>
          <w:b/>
          <w:sz w:val="24"/>
          <w:szCs w:val="24"/>
        </w:rPr>
      </w:pPr>
      <w:r>
        <w:rPr>
          <w:rFonts w:hint="eastAsia" w:ascii="微软雅黑" w:hAnsi="微软雅黑"/>
          <w:b/>
          <w:sz w:val="24"/>
          <w:szCs w:val="24"/>
        </w:rPr>
        <w:br w:type="page"/>
      </w:r>
    </w:p>
    <w:p w14:paraId="581013E4">
      <w:pPr>
        <w:numPr>
          <w:ilvl w:val="255"/>
          <w:numId w:val="0"/>
        </w:numPr>
        <w:outlineLvl w:val="0"/>
        <w:rPr>
          <w:rFonts w:ascii="Calibri" w:hAnsi="Calibri" w:cs="Calibri"/>
          <w:color w:val="000000" w:themeColor="text1"/>
          <w:sz w:val="21"/>
          <w:szCs w:val="21"/>
          <w14:textFill>
            <w14:solidFill>
              <w14:schemeClr w14:val="tx1"/>
            </w14:solidFill>
          </w14:textFill>
        </w:rPr>
      </w:pPr>
      <w:bookmarkStart w:id="217" w:name="_Toc8115"/>
      <w:r>
        <w:rPr>
          <w:rFonts w:hint="eastAsia" w:ascii="微软雅黑" w:hAnsi="微软雅黑"/>
          <w:b/>
          <w:color w:val="000000" w:themeColor="text1"/>
          <w:sz w:val="24"/>
          <w:szCs w:val="24"/>
          <w14:textFill>
            <w14:solidFill>
              <w14:schemeClr w14:val="tx1"/>
            </w14:solidFill>
          </w14:textFill>
        </w:rPr>
        <w:t>5. 参考文献</w:t>
      </w:r>
      <w:bookmarkEnd w:id="216"/>
      <w:bookmarkEnd w:id="217"/>
    </w:p>
    <w:p w14:paraId="12307E7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PMID:1338691 Somatic mutation of the APC gene in gastric</w:t>
      </w:r>
      <w:bookmarkStart w:id="219" w:name="_GoBack"/>
      <w:bookmarkEnd w:id="219"/>
      <w:r>
        <w:rPr>
          <w:rFonts w:hint="eastAsia" w:ascii="Calibri" w:hAnsi="Calibri" w:eastAsia="宋体" w:cs="Calibri"/>
          <w:sz w:val="21"/>
          <w:szCs w:val="21"/>
        </w:rPr>
        <w:t xml:space="preserve"> cancer: frequent mutations in very well differentiated adenocarcinoma and signet-ring cell carcinoma.</w:t>
      </w:r>
    </w:p>
    <w:p w14:paraId="56C92F7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PMID:1423316 Frequent somatic mutations of the APC gene in human pancreatic cancer.</w:t>
      </w:r>
    </w:p>
    <w:p w14:paraId="2A7E6538">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PMID:7792600 A single ataxia telangiectasia gene with a product similar to PI-3 kinase.</w:t>
      </w:r>
    </w:p>
    <w:p w14:paraId="48811FA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PMID:8033082 Wild-type but not mutant APC associates with the microtubule cytoskeleton.</w:t>
      </w:r>
    </w:p>
    <w:p w14:paraId="6DD6F02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PMID:8698812 The adenomatous polyposis coli tumor suppressor protein localizes to plasma membrane sites involved in active cell migration.</w:t>
      </w:r>
    </w:p>
    <w:p w14:paraId="5A713A9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PMID:9700202 Huntingtin interacts with a family of WW domain proteins.</w:t>
      </w:r>
    </w:p>
    <w:p w14:paraId="1CC5A21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PMID:10612830 p53 website and analysis of p53 gene mutations in human cancer: forging a link between epidemiology and carcinogenesis.</w:t>
      </w:r>
    </w:p>
    <w:p w14:paraId="466CE2CA">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PMID:10656683 The APC-hDLG complex negatively regulates cell cycle progression from the G0/G1 to S phase.</w:t>
      </w:r>
    </w:p>
    <w:p w14:paraId="7D3062D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PMID:10959075 Wnt/beta-catenin signaling.</w:t>
      </w:r>
    </w:p>
    <w:p w14:paraId="76D38F19">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PMID:12378616 Mutation analysis of APC gene in gastric cancer with microsatellite instability.</w:t>
      </w:r>
    </w:p>
    <w:p w14:paraId="0B7D5A79">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PMID:12619105 Significance of TP53 mutations in human cancer: a critical analysis of mutations at CpG dinucleotides.</w:t>
      </w:r>
    </w:p>
    <w:p w14:paraId="62EFA2A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PMID:12730288 An epigenetic road map for histone lysine methylation.</w:t>
      </w:r>
    </w:p>
    <w:p w14:paraId="630CE6D4">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PMID:16118227 Identification and characterization of a novel human histone H3 lysine 36-specific methyltransferase.</w:t>
      </w:r>
    </w:p>
    <w:p w14:paraId="6EC2AAA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PMID:16618717 KRAS mutation status is predictive of response to cetuximab therapy in colorectal cancer.</w:t>
      </w:r>
    </w:p>
    <w:p w14:paraId="0B6A49F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PMID:17154180 EphA2 overexpression is associated with angiogenesis in ovarian cancer.</w:t>
      </w:r>
    </w:p>
    <w:p w14:paraId="4C6879C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PMID:17375050 Clinical relevance of KRAS mutation detection in metastatic colorectal cancer treated by Cetuximab plus chemotherapy.</w:t>
      </w:r>
    </w:p>
    <w:p w14:paraId="1A33305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PMID:17664471 Expression of epiregulin and amphiregulin and K-ras mutation status predict disease control in metastatic colorectal cancer patients treated with cetuximab.</w:t>
      </w:r>
    </w:p>
    <w:p w14:paraId="5CC0A40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PMID:18157086 Dynamic histone H3 methylation during gene induction: HYPB/Setd2 mediates all H3K36 trimethylation.</w:t>
      </w:r>
    </w:p>
    <w:p w14:paraId="64D56EA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PMID:18593890 C-Myc is a critical mediator of the phenotypes of Apc loss in the intestine.</w:t>
      </w:r>
    </w:p>
    <w:p w14:paraId="032EA03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PMID:18621636 Association of K-ras mutational status and clinical outcomes in patients with metastatic colorectal cancer receiving panitumumab alone.</w:t>
      </w:r>
    </w:p>
    <w:p w14:paraId="738D0EB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PMID:19336573 High incidence of protein-truncating TP53 mutations in BRCA1-related breast cancer.</w:t>
      </w:r>
    </w:p>
    <w:p w14:paraId="4B277050">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PMID:19401449 PI3K pathway activation mediates resistance to MEK inhibitors in KRAS mutant cancers.</w:t>
      </w:r>
    </w:p>
    <w:p w14:paraId="478F24B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PMID:19407794 Cytoplasmic functions of the tumour suppressor p53.</w:t>
      </w:r>
    </w:p>
    <w:p w14:paraId="274A2B7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PMID:19531623 Expression of the receptor tyrosine kinase EphA2 is increased in smokers and predicts poor survival in non-small cell lung cancer</w:t>
      </w:r>
    </w:p>
    <w:p w14:paraId="79C188E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PMID:19810096 Combination of p53 codon 72 polymorphism and inactive p53 mutation predicts chemosensitivity to 5-fluorouracil in colorectal cancer.</w:t>
      </w:r>
    </w:p>
    <w:p w14:paraId="1BDE8AD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PMID:20004998 ATM polymorphisms and risk of lung cancer among never smokers.</w:t>
      </w:r>
    </w:p>
    <w:p w14:paraId="1C5B3AE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PMID:20100961 Molecular mechanisms of resistance to cetuximab and panitumumab in colorectal cancer.</w:t>
      </w:r>
    </w:p>
    <w:p w14:paraId="226EC60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PMID:20215549 Phase I pharmacokinetic and pharmacodynamic study of the oral MAPK/ERK kinase inhibitor PD-0325901 in patients with advanced cancers.</w:t>
      </w:r>
    </w:p>
    <w:p w14:paraId="51D0FC6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PMID:20501857 Histone methyltransferase gene SETD2 is a novel tumor suppressor gene in clear cell renal cell carcinoma.</w:t>
      </w:r>
    </w:p>
    <w:p w14:paraId="0417577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PMID:20664172 Deregulation of the PI3K and KRAS signaling pathways in human cancer cells determines their response to everolimus.</w:t>
      </w:r>
    </w:p>
    <w:p w14:paraId="6749A8C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PMID:20944102 Evidence for a tumour suppressor function of SETD2 in human breast cancer: a new hypothesis.</w:t>
      </w:r>
    </w:p>
    <w:p w14:paraId="71CA533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PMID:21451123 A MEK inhibitor abrogates myeloproliferative disease in Kras mutant mice.</w:t>
      </w:r>
    </w:p>
    <w:p w14:paraId="1225B63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PMID:21728981 Anti-cancer peptides from ras-p21 and p53 proteins.</w:t>
      </w:r>
    </w:p>
    <w:p w14:paraId="2C31C5D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PMID:22753585 Phase I pharmacokinetic/pharmacodynamic study of MLN8237, an investigational, oral, selective aurora a kinase inhibitor, in patients with advanced solid tumors.</w:t>
      </w:r>
    </w:p>
    <w:p w14:paraId="2B46220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PMID:22810696 Comprehensive molecular characterization of human colon and rectal cancer.</w:t>
      </w:r>
    </w:p>
    <w:p w14:paraId="3CAF63B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PMID:22872685 Combination treatment in vitro with Nutlin, a small-molecule antagonist of MDM2, and pegylated interferon-α 2a specifically targets JAK2V617F-positive polycythemia vera cells.</w:t>
      </w:r>
    </w:p>
    <w:p w14:paraId="0117435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PMID:22965953 Targeting p53 in vivo: a first-in-human study with p53-targeting compound APR-246 in refractory hematologic malignancies and prostate cancer.</w:t>
      </w:r>
    </w:p>
    <w:p w14:paraId="618D131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PMID:23066310 KRAS mutation testing in metastatic colorectal cancer.</w:t>
      </w:r>
    </w:p>
    <w:p w14:paraId="23380B7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PMID:23182985 Mutant KRAS codon 12 and 13 alleles in patients with metastatic colorectal cancer: assessment as prognostic and predictive biomarkers of response to panitumumab.</w:t>
      </w:r>
    </w:p>
    <w:p w14:paraId="0824BD4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PMID:24170544 Modeling RAS phenotype in colorectal cancer uncovers novel molecular traits of RAS dependency and improves prediction of response to targeted agents in patients.</w:t>
      </w:r>
    </w:p>
    <w:p w14:paraId="2D55122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PMID:24200292 Exploiting APC function as a novel cancer therapy.</w:t>
      </w:r>
    </w:p>
    <w:p w14:paraId="7C70108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PMID:24509477 Identification of functional cooperative mutations of SETD2 in human acute leukemia.</w:t>
      </w:r>
    </w:p>
    <w:p w14:paraId="3D19691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PMID:24576621 Combination PI3K/MEK inhibition promotes tumor apoptosis and regression in PIK3CA wild-type, KRAS mutant colorectal cancer.</w:t>
      </w:r>
    </w:p>
    <w:p w14:paraId="71B5712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PMID:24838627 PRIMA-1, a mutant p53 reactivator, induces apoptosis and enhances chemotherapeutic cytotoxicity in pancreatic cancer cell lines.</w:t>
      </w:r>
    </w:p>
    <w:p w14:paraId="70B5F02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PMID:24857548 Gain-of-function mutant p53 promotes cell growth and cancer cell metabolism via inhibition of AMPK activation.</w:t>
      </w:r>
    </w:p>
    <w:p w14:paraId="21EBD47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PMID:25079552 Comprehensive molecular profiling of lung adenocarcinoma.</w:t>
      </w:r>
    </w:p>
    <w:p w14:paraId="58626D7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PMID:25322874 Phase II study of selumetinib (AZD6244, ARRY-142886) plus irinotecan as second-line therapy in patients with K-RAS mutated colorectal cancer.</w:t>
      </w:r>
    </w:p>
    <w:p w14:paraId="0D01CBA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PMID:25987188 Aurora kinase A in gastrointestinal cancers: time to target.</w:t>
      </w:r>
    </w:p>
    <w:p w14:paraId="1EC065D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PMID:26086967 APR-246 overcomes resistance to cisplatin and doxorubicin in ovarian cancer cells.</w:t>
      </w:r>
    </w:p>
    <w:p w14:paraId="4EAA582A">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PMID:26282658 Randomized, Double-Blind Phase II Trial With Prospective Classification by ATM Protein Level to Evaluate the Efficacy and Tolerability of Olaparib Plus Paclitaxel in Patients With Recurrent or Metastatic Gastric Cancer.</w:t>
      </w:r>
    </w:p>
    <w:p w14:paraId="3BE81FC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PMID:26425688 TP53 Mutational Status and Prediction of Benefit from Adjuvant 5-Fluorouracil in Stage III Colon Cancer Patients.</w:t>
      </w:r>
    </w:p>
    <w:p w14:paraId="2504940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PMID:26452133 PRIMA-1met (APR-246) inhibits growth of colorectal cancer cells with different p53 status through distinct mechanisms.</w:t>
      </w:r>
    </w:p>
    <w:p w14:paraId="5717D9A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PMID:26510020 DNA-Repair Defects and Olaparib in Metastatic Prostate Cancer.</w:t>
      </w:r>
    </w:p>
    <w:p w14:paraId="408EC04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PMID:26666244 A phase I study of selumetinib (AZD6244/ARRY-142866), a MEK1/2 inhibitor, in combination with cetuximab in refractory solid tumors and KRAS mutant colorectal cancer.</w:t>
      </w:r>
    </w:p>
    <w:p w14:paraId="28EC2CE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PMID:26870698 Targeting of Mutant p53 and the Cellular Redox Balance by APR-246 as a Strategy for Efficient Cancer Therapy.</w:t>
      </w:r>
    </w:p>
    <w:p w14:paraId="6D639BE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PMID:27022037 Clinical Application of Poly(ADP-Ribose) Polymerase Inhibitors in High-Grade Serous Ovarian Cancer.</w:t>
      </w:r>
    </w:p>
    <w:p w14:paraId="0CD2D644">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PMID:27097374 FANCI is a negative regulator of Akt activation.</w:t>
      </w:r>
    </w:p>
    <w:p w14:paraId="228CD56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PMID:27167191 Efficacy of the combination of MEK and CDK4/6 inhibitors in vitro and in vivo in KRAS mutant colorectal cancer models.</w:t>
      </w:r>
    </w:p>
    <w:p w14:paraId="213B0E1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PMID:27601554 Phase I Study Evaluating WEE1 Inhibitor AZD1775 As Monotherapy and in Combination With Gemcitabine, Cisplatin, or Carboplatin in Patients With Advanced Solid Tumors.</w:t>
      </w:r>
    </w:p>
    <w:p w14:paraId="7593E34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PMID:28165374 Evaluation of EphA2 and EphB4 as Targets for Image-Guided Colorectal Cancer Surgery.</w:t>
      </w:r>
    </w:p>
    <w:p w14:paraId="7CBA020A">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PMID:28544747 K-Ras mutation and amplification status is predictive of resistance and high basal pAKT is predictive of sensitivity to everolimus in biliary tract cancer cell lines.</w:t>
      </w:r>
    </w:p>
    <w:p w14:paraId="7CE97B5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PMID:28966234 Emerging and Diverse Functions of the EphA2 Noncanonical Pathway in Cancer Progression</w:t>
      </w:r>
    </w:p>
    <w:p w14:paraId="40C862F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PMID:28978051 Mutational status of TP53 defines the efficacy of Wee1 inhibitor AZD1775 in KRAS-mutant non-small cell lung cancer.</w:t>
      </w:r>
    </w:p>
    <w:p w14:paraId="4FF6686E">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PMID:29285035 Biomarkers of Everolimus Sensitivity in Hormone Receptor-Positive Breast Cancer.</w:t>
      </w:r>
    </w:p>
    <w:p w14:paraId="7CF45B6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PMID:29955114 Synthetic lethal therapies for cancer: what's next after PARP inhibitors?</w:t>
      </w:r>
    </w:p>
    <w:p w14:paraId="620B5D0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PMID:30262796 Comprehensive Analysis of Germline Variants in Mexican Patients with Hereditary Breast and Ovarian Cancer Susceptibility.</w:t>
      </w:r>
    </w:p>
    <w:p w14:paraId="2F864E40">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PMID:30755439 Combined Aurora Kinase A (AURKA) and WEE1 Inhibition Demonstrates Synergistic Antitumor Effect in Squamous Cell Carcinoma of the Head and Neck.</w:t>
      </w:r>
    </w:p>
    <w:p w14:paraId="71B35C60">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PMID:31658756 Landscape of Germline Mutations in DNA Repair Genes for Breast Cancer in Latin America: Opportunities for PARP-Like Inhibitors and Immunotherapy.</w:t>
      </w:r>
    </w:p>
    <w:p w14:paraId="6C377EE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2019 JCO Abstract 5005 TOPARP-B: A phase II randomized trial of the poly(ADP)-ribose polymerase (PARP) inhibitor olaparib for metastatic castration resistant prostate cancers (mCRPC).</w:t>
      </w:r>
    </w:p>
    <w:p w14:paraId="582E9F4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NCT01682772 https://clinicaltrials.gov.</w:t>
      </w:r>
    </w:p>
    <w:p w14:paraId="319E1C9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NCT02022982 https://clinicaltrials.gov.</w:t>
      </w:r>
    </w:p>
    <w:p w14:paraId="14DCFB4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NCT02079740 https://clinicaltrials.gov.</w:t>
      </w:r>
    </w:p>
    <w:p w14:paraId="54C2EBA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NCT02098343 https://clinicaltrials.gov.</w:t>
      </w:r>
    </w:p>
    <w:p w14:paraId="4589C70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NCT02286687 https://clinicaltrials.gov.</w:t>
      </w:r>
    </w:p>
    <w:p w14:paraId="5890C69E">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NCT02407509 https://clinicaltrials.gov.</w:t>
      </w:r>
    </w:p>
    <w:p w14:paraId="191E177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NCT02576444 https://clinicaltrials.gov.</w:t>
      </w:r>
    </w:p>
    <w:p w14:paraId="51EB537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NCT02613650 https://clinicaltrials.gov.</w:t>
      </w:r>
    </w:p>
    <w:p w14:paraId="327EADF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NCT02693535 https://clinicaltrials.gov.</w:t>
      </w:r>
    </w:p>
    <w:p w14:paraId="33C45574">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NCT02873975 https://clinicaltrials.gov.</w:t>
      </w:r>
    </w:p>
    <w:p w14:paraId="1CFA36C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NCT02906059 https://clinicaltrials.gov.</w:t>
      </w:r>
    </w:p>
    <w:p w14:paraId="252B6D6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NCT03065387 https://clinicaltrials.gov.</w:t>
      </w:r>
    </w:p>
    <w:p w14:paraId="227D6C5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NCT03072043 https://clinicaltrials.gov.</w:t>
      </w:r>
    </w:p>
    <w:p w14:paraId="75A33A8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NCT03087071 https://clinicaltrials.gov.</w:t>
      </w:r>
    </w:p>
    <w:p w14:paraId="02CAE48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NCT03207347 https://clinicaltrials.gov.</w:t>
      </w:r>
    </w:p>
    <w:p w14:paraId="39C6B2C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NCT03284385 https://clinicaltrials.gov.</w:t>
      </w:r>
    </w:p>
    <w:p w14:paraId="461C1D7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NCT03413995 https://clinicaltrials.gov.</w:t>
      </w:r>
    </w:p>
    <w:p w14:paraId="6E7CE82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NCT03565991 https://clinicaltrials.gov.</w:t>
      </w:r>
    </w:p>
    <w:p w14:paraId="072EB89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NCT03842228 https://clinicaltrials.gov.</w:t>
      </w:r>
    </w:p>
    <w:p w14:paraId="1664175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NCT03875820 https://clinicaltrials.gov.</w:t>
      </w:r>
    </w:p>
    <w:p w14:paraId="5494DE4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NCT03981614 https://clinicaltrials.gov.</w:t>
      </w:r>
    </w:p>
    <w:p w14:paraId="714153E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NCT04111458 https://clinicaltrials.gov.</w:t>
      </w:r>
    </w:p>
    <w:p w14:paraId="1179775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NCT04276376 https://clinicaltrials.gov.</w:t>
      </w:r>
    </w:p>
    <w:p w14:paraId="1AE4497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NCT04625270 https://clinicaltrials.gov.</w:t>
      </w:r>
    </w:p>
    <w:p w14:paraId="41610ED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NCT04633902 https://clinicaltrials.gov.</w:t>
      </w:r>
    </w:p>
    <w:p w14:paraId="76D2A7C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NCT04965818 https://clinicaltrials.gov.</w:t>
      </w:r>
    </w:p>
    <w:p w14:paraId="416A83C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NCT04985721 https://clinicaltrials.gov.</w:t>
      </w:r>
    </w:p>
    <w:p w14:paraId="7C69A44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NCT05379985 https://clinicaltrials.gov.</w:t>
      </w:r>
    </w:p>
    <w:p w14:paraId="1A2F2752">
      <w:pPr>
        <w:rPr>
          <w:rFonts w:hint="eastAsia" w:ascii="微软雅黑" w:hAnsi="微软雅黑"/>
          <w:b/>
          <w:color w:val="00C4D8"/>
          <w:sz w:val="28"/>
          <w:szCs w:val="28"/>
        </w:rPr>
      </w:pPr>
      <w:r>
        <w:rPr>
          <w:rFonts w:hint="eastAsia" w:ascii="微软雅黑" w:hAnsi="微软雅黑"/>
          <w:b/>
          <w:color w:val="00C4D8"/>
          <w:sz w:val="28"/>
          <w:szCs w:val="28"/>
        </w:rPr>
        <w:br w:type="page"/>
      </w:r>
    </w:p>
    <w:p w14:paraId="5E529784">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67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3DC9DEDC">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458AEC98">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质控结果</w:t>
            </w:r>
          </w:p>
        </w:tc>
      </w:tr>
      <w:tr w14:paraId="378F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A6B78C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30599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F0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194D2627">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F9AA28E">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1D43F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FC4B39C">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65F74EB9">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04F9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6A32E683">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20249EAA">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4B113556">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5D8164DD">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25C665DA">
      <w:pPr>
        <w:pStyle w:val="14"/>
        <w:adjustRightInd/>
        <w:snapToGrid/>
        <w:spacing w:beforeAutospacing="0" w:afterAutospacing="0" w:line="288" w:lineRule="auto"/>
        <w:jc w:val="both"/>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14:paraId="607EA361">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65B6D914">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27F8FD7C">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18" w:name="OLE_LINK45"/>
      <w:r>
        <w:rPr>
          <w:rFonts w:hint="eastAsia" w:ascii="微软雅黑" w:hAnsi="微软雅黑" w:cs="微软雅黑"/>
          <w:sz w:val="21"/>
          <w:szCs w:val="21"/>
        </w:rPr>
        <w:t>血浆中循环肿瘤DNA</w:t>
      </w:r>
      <w:bookmarkEnd w:id="218"/>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231E3BE9">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32E221EE">
      <w:pPr>
        <w:adjustRightInd/>
        <w:snapToGrid/>
        <w:spacing w:after="0" w:line="300"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71BB6E4F">
      <w:pPr>
        <w:adjustRightInd/>
        <w:snapToGrid/>
        <w:spacing w:after="0" w:line="300"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655AF3BB">
      <w:pPr>
        <w:pStyle w:val="44"/>
        <w:spacing w:line="300" w:lineRule="auto"/>
        <w:ind w:firstLine="0" w:firstLineChars="0"/>
        <w:rPr>
          <w:b/>
          <w:sz w:val="28"/>
          <w:szCs w:val="28"/>
        </w:rPr>
      </w:pPr>
    </w:p>
    <w:p w14:paraId="2239844C">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737C9F02">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1B15E9D3">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6A44D11D">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60754AD9">
      <w:pPr>
        <w:spacing w:line="300" w:lineRule="auto"/>
        <w:ind w:firstLine="420" w:firstLineChars="200"/>
        <w:jc w:val="both"/>
        <w:rPr>
          <w:sz w:val="21"/>
          <w:szCs w:val="21"/>
        </w:rPr>
      </w:pPr>
    </w:p>
    <w:p w14:paraId="518F6E57">
      <w:pPr>
        <w:spacing w:line="300" w:lineRule="auto"/>
        <w:ind w:firstLine="420" w:firstLineChars="200"/>
        <w:jc w:val="both"/>
        <w:rPr>
          <w:sz w:val="21"/>
          <w:szCs w:val="21"/>
        </w:rPr>
      </w:pPr>
    </w:p>
    <w:p w14:paraId="4CBD88B1">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04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图片 1" descr="IMG_256"/>
                    <pic:cNvPicPr>
                      <a:picLocks noChangeAspect="1"/>
                    </pic:cNvPicPr>
                  </pic:nvPicPr>
                  <pic:blipFill>
                    <a:blip r:embed="rId49"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58DB6AD4">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0DB51C51">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6BC1D133">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1E24AFF3">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62B67DE">
      <w:pPr>
        <w:spacing w:line="300" w:lineRule="auto"/>
        <w:ind w:firstLine="420" w:firstLineChars="200"/>
        <w:jc w:val="both"/>
        <w:rPr>
          <w:sz w:val="21"/>
          <w:szCs w:val="21"/>
        </w:rPr>
      </w:pPr>
    </w:p>
    <w:p w14:paraId="18B36913">
      <w:pPr>
        <w:spacing w:line="300" w:lineRule="auto"/>
        <w:ind w:firstLine="440" w:firstLineChars="200"/>
        <w:jc w:val="both"/>
        <w:rPr>
          <w:sz w:val="21"/>
          <w:szCs w:val="21"/>
        </w:rPr>
      </w:pPr>
      <w:r>
        <w:rPr>
          <w:rFonts w:hint="eastAsia"/>
        </w:rPr>
        <w:t xml:space="preserve">  </w:t>
      </w:r>
    </w:p>
    <w:p w14:paraId="21E9B78E">
      <w:pPr>
        <w:spacing w:line="300" w:lineRule="auto"/>
        <w:rPr>
          <w:sz w:val="21"/>
          <w:szCs w:val="21"/>
        </w:rPr>
        <w:sectPr>
          <w:headerReference r:id="rId11" w:type="default"/>
          <w:footerReference r:id="rId12" w:type="default"/>
          <w:pgSz w:w="11906" w:h="16838"/>
          <w:pgMar w:top="1440" w:right="1800" w:bottom="1440" w:left="1800" w:header="709" w:footer="708" w:gutter="0"/>
          <w:cols w:space="708" w:num="1"/>
          <w:docGrid w:linePitch="360" w:charSpace="0"/>
        </w:sectPr>
      </w:pPr>
    </w:p>
    <w:bookmarkEnd w:id="14"/>
    <w:bookmarkEnd w:id="15"/>
    <w:p w14:paraId="77177A48">
      <w:pPr>
        <w:spacing w:after="0"/>
        <w:jc w:val="center"/>
      </w:pPr>
      <w:r>
        <w:rPr>
          <w:rFonts w:hint="eastAsia" w:ascii="微软雅黑" w:hAnsi="微软雅黑" w:cs="微软雅黑"/>
          <w:b/>
          <w:sz w:val="21"/>
          <w:szCs w:val="21"/>
        </w:rPr>
        <w:drawing>
          <wp:anchor distT="0" distB="0" distL="114300" distR="114300" simplePos="0" relativeHeight="251689984"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10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图片 49" descr="报告末页"/>
                    <pic:cNvPicPr>
                      <a:picLocks noChangeAspect="1"/>
                    </pic:cNvPicPr>
                  </pic:nvPicPr>
                  <pic:blipFill>
                    <a:blip r:embed="rId50"/>
                    <a:stretch>
                      <a:fillRect/>
                    </a:stretch>
                  </pic:blipFill>
                  <pic:spPr>
                    <a:xfrm>
                      <a:off x="0" y="0"/>
                      <a:ext cx="7547610" cy="10774680"/>
                    </a:xfrm>
                    <a:prstGeom prst="rect">
                      <a:avLst/>
                    </a:prstGeom>
                  </pic:spPr>
                </pic:pic>
              </a:graphicData>
            </a:graphic>
          </wp:anchor>
        </w:drawing>
      </w:r>
    </w:p>
    <w:p w14:paraId="0C013770"/>
    <w:sectPr>
      <w:headerReference r:id="rId15" w:type="first"/>
      <w:headerReference r:id="rId13" w:type="default"/>
      <w:footerReference r:id="rId16" w:type="default"/>
      <w:headerReference r:id="rId14"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56BA6">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09AA7">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C4ECB">
    <w:pPr>
      <w:pStyle w:val="8"/>
      <w:pBdr>
        <w:top w:val="single" w:color="auto" w:sz="4" w:space="0"/>
      </w:pBdr>
      <w:jc w:val="center"/>
      <w:rPr>
        <w:sz w:val="21"/>
        <w:szCs w:val="21"/>
      </w:rPr>
    </w:pPr>
    <w:r>
      <w:rPr>
        <w:sz w:val="21"/>
      </w:rPr>
      <mc:AlternateContent>
        <mc:Choice Requires="wps">
          <w:drawing>
            <wp:anchor distT="0" distB="0" distL="114300" distR="114300" simplePos="0" relativeHeight="2516858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858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CUh1e10gEAAKUDAAAOAAAAAAAAAAEAIAAAAB4BAABk&#10;cnMvZTJvRG9jLnhtbFBLBQYAAAAABgAGAFkBAABiBQAAAAA=&#10;">
              <v:fill on="f" focussize="0,0"/>
              <v:stroke on="f"/>
              <v:imagedata o:title=""/>
              <o:lock v:ext="edit" aspectratio="f"/>
              <v:textbox inset="0mm,0mm,0mm,0mm" style="mso-fit-shape-to-text:t;">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v:textbox>
            </v:shape>
          </w:pict>
        </mc:Fallback>
      </mc:AlternateContent>
    </w:r>
  </w:p>
  <w:p w14:paraId="0F1C7660">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42489D">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14:paraId="0186F737">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9F26A">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14:paraId="5BD0DC04">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CBD37">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920F">
    <w:pPr>
      <w:pStyle w:val="9"/>
      <w:tabs>
        <w:tab w:val="left" w:pos="6558"/>
        <w:tab w:val="clear" w:pos="4153"/>
        <w:tab w:val="clear" w:pos="8306"/>
      </w:tabs>
      <w:spacing w:after="0"/>
      <w:jc w:val="left"/>
      <w:rPr>
        <w:rFonts w:ascii="幼圆" w:hAnsi="幼圆" w:eastAsia="幼圆" w:cs="幼圆"/>
        <w:sz w:val="21"/>
        <w:szCs w:val="21"/>
      </w:rPr>
    </w:pPr>
    <w:r>
      <w:drawing>
        <wp:anchor distT="0" distB="0" distL="114300" distR="114300" simplePos="0" relativeHeight="251687936" behindDoc="0" locked="0" layoutInCell="1" allowOverlap="1">
          <wp:simplePos x="0" y="0"/>
          <wp:positionH relativeFrom="page">
            <wp:posOffset>1158240</wp:posOffset>
          </wp:positionH>
          <wp:positionV relativeFrom="page">
            <wp:posOffset>523240</wp:posOffset>
          </wp:positionV>
          <wp:extent cx="1040130" cy="280035"/>
          <wp:effectExtent l="0" t="0" r="7620" b="5715"/>
          <wp:wrapTopAndBottom/>
          <wp:docPr id="1428163793" name="图片 1428163793"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63793" name="图片 1428163793"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r>
      <w:rPr>
        <w:rFonts w:hint="eastAsia" w:ascii="幼圆" w:hAnsi="幼圆" w:eastAsia="幼圆" w:cs="幼圆"/>
        <w:sz w:val="21"/>
        <w:szCs w:val="21"/>
      </w:rPr>
      <w:t xml:space="preserve"> </w:t>
    </w:r>
    <w:r>
      <w:drawing>
        <wp:anchor distT="0" distB="0" distL="114300" distR="114300" simplePos="0" relativeHeight="251688960" behindDoc="0" locked="0" layoutInCell="1" allowOverlap="1">
          <wp:simplePos x="0" y="0"/>
          <wp:positionH relativeFrom="column">
            <wp:posOffset>15240</wp:posOffset>
          </wp:positionH>
          <wp:positionV relativeFrom="paragraph">
            <wp:posOffset>83820</wp:posOffset>
          </wp:positionV>
          <wp:extent cx="1040130" cy="280035"/>
          <wp:effectExtent l="0" t="0" r="7620" b="5715"/>
          <wp:wrapTopAndBottom/>
          <wp:docPr id="61517925" name="图片 6151792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7925" name="图片 61517925"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42DAE758">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drawing>
        <wp:anchor distT="0" distB="0" distL="114300" distR="114300" simplePos="0" relativeHeight="251686912" behindDoc="0" locked="0" layoutInCell="1" allowOverlap="1">
          <wp:simplePos x="0" y="0"/>
          <wp:positionH relativeFrom="margin">
            <wp:posOffset>988695</wp:posOffset>
          </wp:positionH>
          <wp:positionV relativeFrom="margin">
            <wp:posOffset>2148840</wp:posOffset>
          </wp:positionV>
          <wp:extent cx="3599815" cy="3599815"/>
          <wp:effectExtent l="0" t="0" r="0" b="0"/>
          <wp:wrapNone/>
          <wp:docPr id="122701945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945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姓名：</w:t>
    </w:r>
    <w:r>
      <w:rPr>
        <w:rFonts w:hint="eastAsia" w:ascii="幼圆" w:hAnsi="幼圆" w:eastAsia="幼圆" w:cs="幼圆"/>
        <w:sz w:val="21"/>
        <w:szCs w:val="21"/>
        <w:lang w:eastAsia="zh-CN"/>
      </w:rPr>
      <w:t>{{ patient_name }}</w:t>
    </w:r>
    <w:r>
      <w:rPr>
        <w:rFonts w:hint="eastAsia" w:ascii="幼圆" w:hAnsi="幼圆" w:eastAsia="幼圆" w:cs="幼圆"/>
        <w:sz w:val="21"/>
        <w:szCs w:val="21"/>
      </w:rPr>
      <w:t xml:space="preserve">              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2744F">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1534663380" name="图片 1534663380"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63380" name="图片 1534663380"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394883B0">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eastAsia="zh-CN"/>
      </w:rPr>
      <w:t>{{ patient_name }}</w:t>
    </w:r>
    <w:r>
      <w:rPr>
        <w:rFonts w:hint="eastAsia" w:ascii="幼圆" w:hAnsi="幼圆" w:eastAsia="幼圆" w:cs="幼圆"/>
        <w:sz w:val="21"/>
        <w:szCs w:val="21"/>
      </w:rPr>
      <w:t xml:space="preserv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522175556"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5556"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A414">
    <w:pPr>
      <w:pStyle w:val="9"/>
      <w:pBdr>
        <w:bottom w:val="none" w:color="auto" w:sz="0" w:space="0"/>
      </w:pBdr>
      <w:tabs>
        <w:tab w:val="left" w:pos="1773"/>
        <w:tab w:val="clear" w:pos="4153"/>
        <w:tab w:val="clear" w:pos="8306"/>
      </w:tabs>
      <w:jc w:val="left"/>
    </w:pPr>
  </w:p>
  <w:p w14:paraId="115D8346">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B974E">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8603C">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20FA1379"/>
    <w:multiLevelType w:val="singleLevel"/>
    <w:tmpl w:val="20FA1379"/>
    <w:lvl w:ilvl="0" w:tentative="0">
      <w:start w:val="1"/>
      <w:numFmt w:val="decimal"/>
      <w:suff w:val="space"/>
      <w:lvlText w:val="%1."/>
      <w:lvlJc w:val="left"/>
    </w:lvl>
  </w:abstractNum>
  <w:abstractNum w:abstractNumId="5">
    <w:nsid w:val="2280F4A5"/>
    <w:multiLevelType w:val="singleLevel"/>
    <w:tmpl w:val="2280F4A5"/>
    <w:lvl w:ilvl="0" w:tentative="0">
      <w:start w:val="1"/>
      <w:numFmt w:val="bullet"/>
      <w:lvlText w:val=""/>
      <w:lvlJc w:val="left"/>
      <w:pPr>
        <w:ind w:left="420" w:hanging="420"/>
      </w:pPr>
      <w:rPr>
        <w:rFonts w:hint="default" w:ascii="Wingdings" w:hAnsi="Wingdings"/>
      </w:rPr>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951CAF1"/>
    <w:multiLevelType w:val="singleLevel"/>
    <w:tmpl w:val="4951CAF1"/>
    <w:lvl w:ilvl="0" w:tentative="0">
      <w:start w:val="1"/>
      <w:numFmt w:val="decimal"/>
      <w:suff w:val="space"/>
      <w:lvlText w:val="[%1]"/>
      <w:lvlJc w:val="left"/>
    </w:lvl>
  </w:abstractNum>
  <w:abstractNum w:abstractNumId="8">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9">
    <w:nsid w:val="596585E1"/>
    <w:multiLevelType w:val="multilevel"/>
    <w:tmpl w:val="596585E1"/>
    <w:lvl w:ilvl="0" w:tentative="0">
      <w:start w:val="1"/>
      <w:numFmt w:val="bullet"/>
      <w:lvlText w:val=""/>
      <w:lvlJc w:val="left"/>
      <w:pPr>
        <w:ind w:left="420" w:hanging="420"/>
      </w:pPr>
      <w:rPr>
        <w:rFonts w:hint="default" w:ascii="Wingdings" w:hAnsi="Wingdings"/>
        <w:color w:val="auto"/>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0">
    <w:nsid w:val="5979611E"/>
    <w:multiLevelType w:val="singleLevel"/>
    <w:tmpl w:val="5979611E"/>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1">
    <w:nsid w:val="598D22D3"/>
    <w:multiLevelType w:val="singleLevel"/>
    <w:tmpl w:val="598D22D3"/>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2">
    <w:nsid w:val="59ED5FBC"/>
    <w:multiLevelType w:val="singleLevel"/>
    <w:tmpl w:val="59ED5FBC"/>
    <w:lvl w:ilvl="0" w:tentative="0">
      <w:start w:val="1"/>
      <w:numFmt w:val="bullet"/>
      <w:lvlText w:val=""/>
      <w:lvlJc w:val="left"/>
      <w:pPr>
        <w:ind w:left="420" w:hanging="420"/>
      </w:pPr>
      <w:rPr>
        <w:rFonts w:hint="default" w:ascii="Wingdings" w:hAnsi="Wingdings"/>
      </w:rPr>
    </w:lvl>
  </w:abstractNum>
  <w:abstractNum w:abstractNumId="13">
    <w:nsid w:val="5B10DDC0"/>
    <w:multiLevelType w:val="singleLevel"/>
    <w:tmpl w:val="5B10DDC0"/>
    <w:lvl w:ilvl="0" w:tentative="0">
      <w:start w:val="1"/>
      <w:numFmt w:val="decimal"/>
      <w:suff w:val="space"/>
      <w:lvlText w:val="[%1]"/>
      <w:lvlJc w:val="left"/>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73A48B0C"/>
    <w:multiLevelType w:val="singleLevel"/>
    <w:tmpl w:val="73A48B0C"/>
    <w:lvl w:ilvl="0" w:tentative="0">
      <w:start w:val="1"/>
      <w:numFmt w:val="decimal"/>
      <w:suff w:val="space"/>
      <w:lvlText w:val="[%1]"/>
      <w:lvlJc w:val="left"/>
    </w:lvl>
  </w:abstractNum>
  <w:abstractNum w:abstractNumId="18">
    <w:nsid w:val="7515515F"/>
    <w:multiLevelType w:val="singleLevel"/>
    <w:tmpl w:val="7515515F"/>
    <w:lvl w:ilvl="0" w:tentative="0">
      <w:start w:val="1"/>
      <w:numFmt w:val="decimal"/>
      <w:suff w:val="space"/>
      <w:lvlText w:val="%1."/>
      <w:lvlJc w:val="left"/>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multilevel"/>
    <w:tmpl w:val="78AFFE8A"/>
    <w:lvl w:ilvl="0" w:tentative="0">
      <w:start w:val="1"/>
      <w:numFmt w:val="bullet"/>
      <w:lvlText w:val=""/>
      <w:lvlJc w:val="left"/>
      <w:pPr>
        <w:ind w:left="420" w:hanging="420"/>
      </w:pPr>
      <w:rPr>
        <w:rFonts w:hint="default" w:ascii="Wingdings" w:hAnsi="Wingdings"/>
        <w:color w:val="FF0000"/>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18"/>
  </w:num>
  <w:num w:numId="2">
    <w:abstractNumId w:val="3"/>
  </w:num>
  <w:num w:numId="3">
    <w:abstractNumId w:val="22"/>
  </w:num>
  <w:num w:numId="4">
    <w:abstractNumId w:val="17"/>
  </w:num>
  <w:num w:numId="5">
    <w:abstractNumId w:val="12"/>
  </w:num>
  <w:num w:numId="6">
    <w:abstractNumId w:val="15"/>
  </w:num>
  <w:num w:numId="7">
    <w:abstractNumId w:val="7"/>
  </w:num>
  <w:num w:numId="8">
    <w:abstractNumId w:val="16"/>
  </w:num>
  <w:num w:numId="9">
    <w:abstractNumId w:val="6"/>
  </w:num>
  <w:num w:numId="10">
    <w:abstractNumId w:val="8"/>
  </w:num>
  <w:num w:numId="11">
    <w:abstractNumId w:val="21"/>
  </w:num>
  <w:num w:numId="12">
    <w:abstractNumId w:val="10"/>
  </w:num>
  <w:num w:numId="13">
    <w:abstractNumId w:val="9"/>
  </w:num>
  <w:num w:numId="14">
    <w:abstractNumId w:val="5"/>
  </w:num>
  <w:num w:numId="15">
    <w:abstractNumId w:val="1"/>
  </w:num>
  <w:num w:numId="16">
    <w:abstractNumId w:val="11"/>
  </w:num>
  <w:num w:numId="17">
    <w:abstractNumId w:val="19"/>
  </w:num>
  <w:num w:numId="18">
    <w:abstractNumId w:val="2"/>
  </w:num>
  <w:num w:numId="19">
    <w:abstractNumId w:val="20"/>
  </w:num>
  <w:num w:numId="20">
    <w:abstractNumId w:val="0"/>
  </w:num>
  <w:num w:numId="21">
    <w:abstractNumId w:val="14"/>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U4YWNjN2M0YWIwZThlNjNlMjViYzAyZGY5NjMwZDk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16"/>
    <w:rsid w:val="000164C7"/>
    <w:rsid w:val="00017281"/>
    <w:rsid w:val="00017FDA"/>
    <w:rsid w:val="0002180A"/>
    <w:rsid w:val="00021BC6"/>
    <w:rsid w:val="00021EB4"/>
    <w:rsid w:val="0002255E"/>
    <w:rsid w:val="00022FF6"/>
    <w:rsid w:val="000233B0"/>
    <w:rsid w:val="0002343E"/>
    <w:rsid w:val="0002355E"/>
    <w:rsid w:val="00025126"/>
    <w:rsid w:val="000267F5"/>
    <w:rsid w:val="0002753C"/>
    <w:rsid w:val="00027934"/>
    <w:rsid w:val="00030054"/>
    <w:rsid w:val="00033691"/>
    <w:rsid w:val="00033EFE"/>
    <w:rsid w:val="00034934"/>
    <w:rsid w:val="000349D5"/>
    <w:rsid w:val="00035026"/>
    <w:rsid w:val="000353FC"/>
    <w:rsid w:val="00036CCB"/>
    <w:rsid w:val="00037C01"/>
    <w:rsid w:val="00041C6F"/>
    <w:rsid w:val="00042783"/>
    <w:rsid w:val="000446AA"/>
    <w:rsid w:val="00044A1E"/>
    <w:rsid w:val="000459B2"/>
    <w:rsid w:val="000459B7"/>
    <w:rsid w:val="000505BB"/>
    <w:rsid w:val="000515CC"/>
    <w:rsid w:val="00051681"/>
    <w:rsid w:val="000566EA"/>
    <w:rsid w:val="00057A52"/>
    <w:rsid w:val="00057FA4"/>
    <w:rsid w:val="000605F5"/>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34C7"/>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131D"/>
    <w:rsid w:val="000D2CB5"/>
    <w:rsid w:val="000D4C20"/>
    <w:rsid w:val="000D4D42"/>
    <w:rsid w:val="000E032D"/>
    <w:rsid w:val="000E036E"/>
    <w:rsid w:val="000E18AD"/>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8F3"/>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4BBA"/>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0255"/>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9723E"/>
    <w:rsid w:val="002A0335"/>
    <w:rsid w:val="002A13BE"/>
    <w:rsid w:val="002A15A5"/>
    <w:rsid w:val="002A187F"/>
    <w:rsid w:val="002A35A0"/>
    <w:rsid w:val="002A44F3"/>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34D"/>
    <w:rsid w:val="0033559D"/>
    <w:rsid w:val="00336876"/>
    <w:rsid w:val="0033782E"/>
    <w:rsid w:val="00337971"/>
    <w:rsid w:val="00341FEA"/>
    <w:rsid w:val="00343E7D"/>
    <w:rsid w:val="00344329"/>
    <w:rsid w:val="00344575"/>
    <w:rsid w:val="00346412"/>
    <w:rsid w:val="00347F01"/>
    <w:rsid w:val="00350D34"/>
    <w:rsid w:val="003512B5"/>
    <w:rsid w:val="00351488"/>
    <w:rsid w:val="00354399"/>
    <w:rsid w:val="003544D8"/>
    <w:rsid w:val="00355B55"/>
    <w:rsid w:val="00356B88"/>
    <w:rsid w:val="0036168F"/>
    <w:rsid w:val="00361C52"/>
    <w:rsid w:val="0036349B"/>
    <w:rsid w:val="00364B58"/>
    <w:rsid w:val="00365043"/>
    <w:rsid w:val="00365136"/>
    <w:rsid w:val="00371662"/>
    <w:rsid w:val="00371ED9"/>
    <w:rsid w:val="00372B08"/>
    <w:rsid w:val="00372C7F"/>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346"/>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851"/>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7AA"/>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668"/>
    <w:rsid w:val="00502763"/>
    <w:rsid w:val="00503801"/>
    <w:rsid w:val="00503AC1"/>
    <w:rsid w:val="005047EC"/>
    <w:rsid w:val="005049F4"/>
    <w:rsid w:val="005055A6"/>
    <w:rsid w:val="0050603D"/>
    <w:rsid w:val="00507297"/>
    <w:rsid w:val="00510FAF"/>
    <w:rsid w:val="005111A0"/>
    <w:rsid w:val="00511601"/>
    <w:rsid w:val="00511786"/>
    <w:rsid w:val="005137AA"/>
    <w:rsid w:val="0051391E"/>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5412"/>
    <w:rsid w:val="00546A19"/>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67AE"/>
    <w:rsid w:val="00567BF3"/>
    <w:rsid w:val="00567F37"/>
    <w:rsid w:val="005703BB"/>
    <w:rsid w:val="005714A0"/>
    <w:rsid w:val="00572583"/>
    <w:rsid w:val="00573614"/>
    <w:rsid w:val="005749E6"/>
    <w:rsid w:val="00574A63"/>
    <w:rsid w:val="00574F54"/>
    <w:rsid w:val="0057698D"/>
    <w:rsid w:val="00576B3F"/>
    <w:rsid w:val="00577DA8"/>
    <w:rsid w:val="00581533"/>
    <w:rsid w:val="00581AFD"/>
    <w:rsid w:val="005824D1"/>
    <w:rsid w:val="00585B97"/>
    <w:rsid w:val="005901B0"/>
    <w:rsid w:val="00590735"/>
    <w:rsid w:val="00591622"/>
    <w:rsid w:val="00591FBB"/>
    <w:rsid w:val="00595F2B"/>
    <w:rsid w:val="00596E16"/>
    <w:rsid w:val="00597969"/>
    <w:rsid w:val="005A1A84"/>
    <w:rsid w:val="005A21E7"/>
    <w:rsid w:val="005A287B"/>
    <w:rsid w:val="005A3AE5"/>
    <w:rsid w:val="005A4589"/>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64B"/>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A8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1684"/>
    <w:rsid w:val="0062269F"/>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35A1E"/>
    <w:rsid w:val="0064087F"/>
    <w:rsid w:val="00640C22"/>
    <w:rsid w:val="00640E46"/>
    <w:rsid w:val="00641BCC"/>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D75"/>
    <w:rsid w:val="00692F91"/>
    <w:rsid w:val="00693D18"/>
    <w:rsid w:val="00693ECB"/>
    <w:rsid w:val="00695205"/>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6ED1"/>
    <w:rsid w:val="00707706"/>
    <w:rsid w:val="007104AD"/>
    <w:rsid w:val="00710843"/>
    <w:rsid w:val="0071094D"/>
    <w:rsid w:val="00710B6A"/>
    <w:rsid w:val="00710EB1"/>
    <w:rsid w:val="007115F3"/>
    <w:rsid w:val="00711A1F"/>
    <w:rsid w:val="00711DF7"/>
    <w:rsid w:val="0071367D"/>
    <w:rsid w:val="00717F28"/>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0E9A"/>
    <w:rsid w:val="007714BC"/>
    <w:rsid w:val="0077415F"/>
    <w:rsid w:val="00775405"/>
    <w:rsid w:val="00777321"/>
    <w:rsid w:val="00777BC7"/>
    <w:rsid w:val="007802EE"/>
    <w:rsid w:val="00781165"/>
    <w:rsid w:val="007818D9"/>
    <w:rsid w:val="007844C1"/>
    <w:rsid w:val="00784B33"/>
    <w:rsid w:val="00784F91"/>
    <w:rsid w:val="0078503D"/>
    <w:rsid w:val="00785851"/>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0E6"/>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6880"/>
    <w:rsid w:val="007E115B"/>
    <w:rsid w:val="007E18DB"/>
    <w:rsid w:val="007E288F"/>
    <w:rsid w:val="007E49EE"/>
    <w:rsid w:val="007E5DAD"/>
    <w:rsid w:val="007E6F07"/>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6ED2"/>
    <w:rsid w:val="008A7F2E"/>
    <w:rsid w:val="008B11F4"/>
    <w:rsid w:val="008B1AA8"/>
    <w:rsid w:val="008B1E5A"/>
    <w:rsid w:val="008B2904"/>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06E00"/>
    <w:rsid w:val="00910DAE"/>
    <w:rsid w:val="0091186A"/>
    <w:rsid w:val="00911C5A"/>
    <w:rsid w:val="00911D94"/>
    <w:rsid w:val="0091205A"/>
    <w:rsid w:val="00912FA0"/>
    <w:rsid w:val="00914F22"/>
    <w:rsid w:val="009150E9"/>
    <w:rsid w:val="00915111"/>
    <w:rsid w:val="00916AF8"/>
    <w:rsid w:val="00920E38"/>
    <w:rsid w:val="00922D04"/>
    <w:rsid w:val="00922FA9"/>
    <w:rsid w:val="00925041"/>
    <w:rsid w:val="00926543"/>
    <w:rsid w:val="009266F1"/>
    <w:rsid w:val="009274EF"/>
    <w:rsid w:val="00927E39"/>
    <w:rsid w:val="00933181"/>
    <w:rsid w:val="009349E7"/>
    <w:rsid w:val="00935A8A"/>
    <w:rsid w:val="00937545"/>
    <w:rsid w:val="00937CB5"/>
    <w:rsid w:val="00940EFB"/>
    <w:rsid w:val="0094333E"/>
    <w:rsid w:val="009433EE"/>
    <w:rsid w:val="00943F18"/>
    <w:rsid w:val="00944341"/>
    <w:rsid w:val="00944381"/>
    <w:rsid w:val="00946961"/>
    <w:rsid w:val="00946CBB"/>
    <w:rsid w:val="009473C5"/>
    <w:rsid w:val="009514D2"/>
    <w:rsid w:val="009518DB"/>
    <w:rsid w:val="00951F80"/>
    <w:rsid w:val="0095242A"/>
    <w:rsid w:val="00952807"/>
    <w:rsid w:val="00952DD3"/>
    <w:rsid w:val="00954940"/>
    <w:rsid w:val="00954DB2"/>
    <w:rsid w:val="009556F5"/>
    <w:rsid w:val="00955D2C"/>
    <w:rsid w:val="00957AAE"/>
    <w:rsid w:val="00957C6A"/>
    <w:rsid w:val="009600AC"/>
    <w:rsid w:val="00961913"/>
    <w:rsid w:val="00961D7F"/>
    <w:rsid w:val="00963945"/>
    <w:rsid w:val="0096472C"/>
    <w:rsid w:val="009647DD"/>
    <w:rsid w:val="00964E65"/>
    <w:rsid w:val="00965C2B"/>
    <w:rsid w:val="009672C6"/>
    <w:rsid w:val="0096792F"/>
    <w:rsid w:val="00967B0E"/>
    <w:rsid w:val="00970937"/>
    <w:rsid w:val="009712C1"/>
    <w:rsid w:val="00972BE9"/>
    <w:rsid w:val="00972F29"/>
    <w:rsid w:val="00973044"/>
    <w:rsid w:val="0097607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13A3"/>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0D4B"/>
    <w:rsid w:val="009F2349"/>
    <w:rsid w:val="009F2CE0"/>
    <w:rsid w:val="009F4B1D"/>
    <w:rsid w:val="009F5123"/>
    <w:rsid w:val="009F703E"/>
    <w:rsid w:val="009F7779"/>
    <w:rsid w:val="00A00A23"/>
    <w:rsid w:val="00A00F4C"/>
    <w:rsid w:val="00A01748"/>
    <w:rsid w:val="00A01C7F"/>
    <w:rsid w:val="00A03385"/>
    <w:rsid w:val="00A0360D"/>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AE1"/>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0E99"/>
    <w:rsid w:val="00A538A5"/>
    <w:rsid w:val="00A539B9"/>
    <w:rsid w:val="00A53BEB"/>
    <w:rsid w:val="00A540E1"/>
    <w:rsid w:val="00A54626"/>
    <w:rsid w:val="00A55AF5"/>
    <w:rsid w:val="00A55FAC"/>
    <w:rsid w:val="00A60522"/>
    <w:rsid w:val="00A61E4D"/>
    <w:rsid w:val="00A62C5D"/>
    <w:rsid w:val="00A63270"/>
    <w:rsid w:val="00A63AE6"/>
    <w:rsid w:val="00A64DD0"/>
    <w:rsid w:val="00A67061"/>
    <w:rsid w:val="00A6715C"/>
    <w:rsid w:val="00A67FB7"/>
    <w:rsid w:val="00A70515"/>
    <w:rsid w:val="00A709FA"/>
    <w:rsid w:val="00A70C00"/>
    <w:rsid w:val="00A71301"/>
    <w:rsid w:val="00A7168F"/>
    <w:rsid w:val="00A71EDA"/>
    <w:rsid w:val="00A73FB3"/>
    <w:rsid w:val="00A7573C"/>
    <w:rsid w:val="00A757A8"/>
    <w:rsid w:val="00A75E47"/>
    <w:rsid w:val="00A7627B"/>
    <w:rsid w:val="00A80231"/>
    <w:rsid w:val="00A811F4"/>
    <w:rsid w:val="00A82723"/>
    <w:rsid w:val="00A83AD0"/>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595A"/>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148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2AE"/>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2952"/>
    <w:rsid w:val="00D23204"/>
    <w:rsid w:val="00D238EF"/>
    <w:rsid w:val="00D24AE8"/>
    <w:rsid w:val="00D256E2"/>
    <w:rsid w:val="00D25C16"/>
    <w:rsid w:val="00D264EE"/>
    <w:rsid w:val="00D26741"/>
    <w:rsid w:val="00D26A58"/>
    <w:rsid w:val="00D27E19"/>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4A36"/>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D77B1"/>
    <w:rsid w:val="00DE0F74"/>
    <w:rsid w:val="00DE19E7"/>
    <w:rsid w:val="00DE2F57"/>
    <w:rsid w:val="00DE3C3D"/>
    <w:rsid w:val="00DE4C8C"/>
    <w:rsid w:val="00DE53FA"/>
    <w:rsid w:val="00DE5664"/>
    <w:rsid w:val="00DE5C9B"/>
    <w:rsid w:val="00DE5DDC"/>
    <w:rsid w:val="00DE6331"/>
    <w:rsid w:val="00DE7346"/>
    <w:rsid w:val="00DE7CD5"/>
    <w:rsid w:val="00DF132B"/>
    <w:rsid w:val="00DF1E42"/>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0DF1"/>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284A"/>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454C"/>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3007"/>
    <w:rsid w:val="0112725E"/>
    <w:rsid w:val="0113521D"/>
    <w:rsid w:val="01154B27"/>
    <w:rsid w:val="01154EDD"/>
    <w:rsid w:val="011851D0"/>
    <w:rsid w:val="011A5E27"/>
    <w:rsid w:val="011F4710"/>
    <w:rsid w:val="012260A7"/>
    <w:rsid w:val="01230210"/>
    <w:rsid w:val="012313A8"/>
    <w:rsid w:val="012859AA"/>
    <w:rsid w:val="012D2227"/>
    <w:rsid w:val="01343FD7"/>
    <w:rsid w:val="013479DC"/>
    <w:rsid w:val="01372DB5"/>
    <w:rsid w:val="013872F3"/>
    <w:rsid w:val="0139075A"/>
    <w:rsid w:val="013E4A0E"/>
    <w:rsid w:val="01404CDF"/>
    <w:rsid w:val="01434BFF"/>
    <w:rsid w:val="01443362"/>
    <w:rsid w:val="014E38CB"/>
    <w:rsid w:val="015C2923"/>
    <w:rsid w:val="015C4E27"/>
    <w:rsid w:val="015D2F00"/>
    <w:rsid w:val="0164732A"/>
    <w:rsid w:val="0165473F"/>
    <w:rsid w:val="01687703"/>
    <w:rsid w:val="016A6E0A"/>
    <w:rsid w:val="016A6FD7"/>
    <w:rsid w:val="016D0545"/>
    <w:rsid w:val="017427BA"/>
    <w:rsid w:val="01747DBA"/>
    <w:rsid w:val="01761CC3"/>
    <w:rsid w:val="017716F4"/>
    <w:rsid w:val="017E6BFB"/>
    <w:rsid w:val="018067FB"/>
    <w:rsid w:val="018276C2"/>
    <w:rsid w:val="01827A53"/>
    <w:rsid w:val="0184070B"/>
    <w:rsid w:val="01867F4E"/>
    <w:rsid w:val="01871CE9"/>
    <w:rsid w:val="01925274"/>
    <w:rsid w:val="01982D9C"/>
    <w:rsid w:val="019A1986"/>
    <w:rsid w:val="019D3D99"/>
    <w:rsid w:val="019E734E"/>
    <w:rsid w:val="019F3E20"/>
    <w:rsid w:val="01A144FE"/>
    <w:rsid w:val="01A22FE4"/>
    <w:rsid w:val="01A73517"/>
    <w:rsid w:val="01A75273"/>
    <w:rsid w:val="01A752C5"/>
    <w:rsid w:val="01A80888"/>
    <w:rsid w:val="01AE03C4"/>
    <w:rsid w:val="01AF6D0A"/>
    <w:rsid w:val="01B07BDF"/>
    <w:rsid w:val="01B5496B"/>
    <w:rsid w:val="01B92646"/>
    <w:rsid w:val="01BA7199"/>
    <w:rsid w:val="01BD4939"/>
    <w:rsid w:val="01C13A2B"/>
    <w:rsid w:val="01C16CED"/>
    <w:rsid w:val="01C3268C"/>
    <w:rsid w:val="01C40DDD"/>
    <w:rsid w:val="01C63F12"/>
    <w:rsid w:val="01C92BB9"/>
    <w:rsid w:val="01C95D3A"/>
    <w:rsid w:val="01CB69CF"/>
    <w:rsid w:val="01CC5178"/>
    <w:rsid w:val="01CF162F"/>
    <w:rsid w:val="01CF71D4"/>
    <w:rsid w:val="01D201D4"/>
    <w:rsid w:val="01D21A2D"/>
    <w:rsid w:val="01D24671"/>
    <w:rsid w:val="01D373A3"/>
    <w:rsid w:val="01D40D34"/>
    <w:rsid w:val="01D628BE"/>
    <w:rsid w:val="01D73066"/>
    <w:rsid w:val="01D7699C"/>
    <w:rsid w:val="01D8543F"/>
    <w:rsid w:val="01DA04FD"/>
    <w:rsid w:val="01DB05F2"/>
    <w:rsid w:val="01DF1814"/>
    <w:rsid w:val="01E55FD7"/>
    <w:rsid w:val="01E72F2E"/>
    <w:rsid w:val="01E75ED0"/>
    <w:rsid w:val="01E93A59"/>
    <w:rsid w:val="01E94C64"/>
    <w:rsid w:val="01EA7B35"/>
    <w:rsid w:val="01EB7A43"/>
    <w:rsid w:val="01EF6EA8"/>
    <w:rsid w:val="01F26BA1"/>
    <w:rsid w:val="01F36FCC"/>
    <w:rsid w:val="01F61FCC"/>
    <w:rsid w:val="01F73C28"/>
    <w:rsid w:val="01FA184C"/>
    <w:rsid w:val="01FB7D73"/>
    <w:rsid w:val="01FC36D0"/>
    <w:rsid w:val="02022957"/>
    <w:rsid w:val="020335D5"/>
    <w:rsid w:val="0204267E"/>
    <w:rsid w:val="02055DA7"/>
    <w:rsid w:val="02056D00"/>
    <w:rsid w:val="02065212"/>
    <w:rsid w:val="020C19AB"/>
    <w:rsid w:val="021073D7"/>
    <w:rsid w:val="021400E3"/>
    <w:rsid w:val="02142012"/>
    <w:rsid w:val="02153AAC"/>
    <w:rsid w:val="02154A28"/>
    <w:rsid w:val="02193033"/>
    <w:rsid w:val="02194838"/>
    <w:rsid w:val="0219740D"/>
    <w:rsid w:val="021F011B"/>
    <w:rsid w:val="0223548A"/>
    <w:rsid w:val="02272F70"/>
    <w:rsid w:val="02281201"/>
    <w:rsid w:val="02312630"/>
    <w:rsid w:val="02314B51"/>
    <w:rsid w:val="02345C73"/>
    <w:rsid w:val="02352BA2"/>
    <w:rsid w:val="02353A89"/>
    <w:rsid w:val="023B6154"/>
    <w:rsid w:val="023B6A33"/>
    <w:rsid w:val="023F5572"/>
    <w:rsid w:val="02407EE7"/>
    <w:rsid w:val="02421F19"/>
    <w:rsid w:val="02423157"/>
    <w:rsid w:val="024700CA"/>
    <w:rsid w:val="02497EE1"/>
    <w:rsid w:val="024D0C77"/>
    <w:rsid w:val="02551605"/>
    <w:rsid w:val="025B1026"/>
    <w:rsid w:val="025B123E"/>
    <w:rsid w:val="025E3D01"/>
    <w:rsid w:val="02635F39"/>
    <w:rsid w:val="026702B8"/>
    <w:rsid w:val="026A05F0"/>
    <w:rsid w:val="027011E5"/>
    <w:rsid w:val="02717754"/>
    <w:rsid w:val="027236B1"/>
    <w:rsid w:val="02797D57"/>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6EA5"/>
    <w:rsid w:val="02B87CC3"/>
    <w:rsid w:val="02BD359F"/>
    <w:rsid w:val="02C0300B"/>
    <w:rsid w:val="02C032E1"/>
    <w:rsid w:val="02C57F6F"/>
    <w:rsid w:val="02C629BB"/>
    <w:rsid w:val="02CD6378"/>
    <w:rsid w:val="02CE044B"/>
    <w:rsid w:val="02CF787D"/>
    <w:rsid w:val="02D408A7"/>
    <w:rsid w:val="02D46D47"/>
    <w:rsid w:val="02D574D2"/>
    <w:rsid w:val="02D64F89"/>
    <w:rsid w:val="02D77C6A"/>
    <w:rsid w:val="02DD6628"/>
    <w:rsid w:val="02DD7E7F"/>
    <w:rsid w:val="02DE354D"/>
    <w:rsid w:val="02DF57A3"/>
    <w:rsid w:val="02E07668"/>
    <w:rsid w:val="02E16EAC"/>
    <w:rsid w:val="02E24D98"/>
    <w:rsid w:val="02E90F80"/>
    <w:rsid w:val="02E9467C"/>
    <w:rsid w:val="02EE06DE"/>
    <w:rsid w:val="02F254D6"/>
    <w:rsid w:val="02F64BD6"/>
    <w:rsid w:val="02F730DE"/>
    <w:rsid w:val="02F855D7"/>
    <w:rsid w:val="02FB2C10"/>
    <w:rsid w:val="02FD67C2"/>
    <w:rsid w:val="0302152D"/>
    <w:rsid w:val="03032BFE"/>
    <w:rsid w:val="03047C8B"/>
    <w:rsid w:val="0305345B"/>
    <w:rsid w:val="03060BB5"/>
    <w:rsid w:val="03062063"/>
    <w:rsid w:val="0306465C"/>
    <w:rsid w:val="0309241C"/>
    <w:rsid w:val="0309352B"/>
    <w:rsid w:val="030D30AF"/>
    <w:rsid w:val="030F0C8E"/>
    <w:rsid w:val="0310337A"/>
    <w:rsid w:val="0311419B"/>
    <w:rsid w:val="03125094"/>
    <w:rsid w:val="03130CD1"/>
    <w:rsid w:val="0316724E"/>
    <w:rsid w:val="031C25B0"/>
    <w:rsid w:val="031D186F"/>
    <w:rsid w:val="03201DB8"/>
    <w:rsid w:val="03230427"/>
    <w:rsid w:val="03247659"/>
    <w:rsid w:val="032C4E8C"/>
    <w:rsid w:val="032D5E42"/>
    <w:rsid w:val="032E32CC"/>
    <w:rsid w:val="032F44CD"/>
    <w:rsid w:val="033170D1"/>
    <w:rsid w:val="033501DF"/>
    <w:rsid w:val="03386CE5"/>
    <w:rsid w:val="033D0ABA"/>
    <w:rsid w:val="0343084F"/>
    <w:rsid w:val="0344576D"/>
    <w:rsid w:val="03450AE2"/>
    <w:rsid w:val="034560AA"/>
    <w:rsid w:val="03467813"/>
    <w:rsid w:val="034B5CC7"/>
    <w:rsid w:val="034D0AF8"/>
    <w:rsid w:val="034E6D61"/>
    <w:rsid w:val="03523E3F"/>
    <w:rsid w:val="03527BEA"/>
    <w:rsid w:val="03550168"/>
    <w:rsid w:val="035512D9"/>
    <w:rsid w:val="03552770"/>
    <w:rsid w:val="035C0ECC"/>
    <w:rsid w:val="035D4A4F"/>
    <w:rsid w:val="035D55A1"/>
    <w:rsid w:val="035D747B"/>
    <w:rsid w:val="035F4967"/>
    <w:rsid w:val="036068E4"/>
    <w:rsid w:val="03651600"/>
    <w:rsid w:val="03685054"/>
    <w:rsid w:val="03685608"/>
    <w:rsid w:val="037079FA"/>
    <w:rsid w:val="037203C5"/>
    <w:rsid w:val="0372496D"/>
    <w:rsid w:val="037357E5"/>
    <w:rsid w:val="037426D5"/>
    <w:rsid w:val="03751ED0"/>
    <w:rsid w:val="03757B8F"/>
    <w:rsid w:val="037720BA"/>
    <w:rsid w:val="037759DB"/>
    <w:rsid w:val="03795A4B"/>
    <w:rsid w:val="037B5E26"/>
    <w:rsid w:val="037E2A9C"/>
    <w:rsid w:val="03800D34"/>
    <w:rsid w:val="038275CB"/>
    <w:rsid w:val="03847131"/>
    <w:rsid w:val="03874C94"/>
    <w:rsid w:val="038D51FF"/>
    <w:rsid w:val="0394201A"/>
    <w:rsid w:val="03943B4E"/>
    <w:rsid w:val="03985FF1"/>
    <w:rsid w:val="03991DC8"/>
    <w:rsid w:val="039B0BE5"/>
    <w:rsid w:val="039D367E"/>
    <w:rsid w:val="03A12899"/>
    <w:rsid w:val="03A13EF0"/>
    <w:rsid w:val="03A14307"/>
    <w:rsid w:val="03A43C80"/>
    <w:rsid w:val="03AB1570"/>
    <w:rsid w:val="03AB3DD7"/>
    <w:rsid w:val="03AC4128"/>
    <w:rsid w:val="03B0486E"/>
    <w:rsid w:val="03B30A60"/>
    <w:rsid w:val="03B87EBB"/>
    <w:rsid w:val="03BD58C5"/>
    <w:rsid w:val="03BF0C92"/>
    <w:rsid w:val="03BF3EB1"/>
    <w:rsid w:val="03C0718C"/>
    <w:rsid w:val="03C2481F"/>
    <w:rsid w:val="03C47310"/>
    <w:rsid w:val="03C70AA2"/>
    <w:rsid w:val="03C80901"/>
    <w:rsid w:val="03CF5817"/>
    <w:rsid w:val="03D1698B"/>
    <w:rsid w:val="03D23E90"/>
    <w:rsid w:val="03D24147"/>
    <w:rsid w:val="03D97A0A"/>
    <w:rsid w:val="03DA00C6"/>
    <w:rsid w:val="03DA2433"/>
    <w:rsid w:val="03DF73FE"/>
    <w:rsid w:val="03E57EE0"/>
    <w:rsid w:val="03E63FFC"/>
    <w:rsid w:val="03E9196A"/>
    <w:rsid w:val="03EB1A6A"/>
    <w:rsid w:val="03EC20CD"/>
    <w:rsid w:val="03EE40AA"/>
    <w:rsid w:val="03F07BDB"/>
    <w:rsid w:val="03F14C9D"/>
    <w:rsid w:val="03F952F3"/>
    <w:rsid w:val="03FB4B7A"/>
    <w:rsid w:val="03FC38AD"/>
    <w:rsid w:val="040220C2"/>
    <w:rsid w:val="04022B57"/>
    <w:rsid w:val="04061A45"/>
    <w:rsid w:val="04073203"/>
    <w:rsid w:val="040D378E"/>
    <w:rsid w:val="040E25E8"/>
    <w:rsid w:val="040F25A9"/>
    <w:rsid w:val="04114F88"/>
    <w:rsid w:val="0418143E"/>
    <w:rsid w:val="041B1C11"/>
    <w:rsid w:val="04205B83"/>
    <w:rsid w:val="042065E0"/>
    <w:rsid w:val="042142A4"/>
    <w:rsid w:val="04217385"/>
    <w:rsid w:val="042675FD"/>
    <w:rsid w:val="042B62EC"/>
    <w:rsid w:val="043438CC"/>
    <w:rsid w:val="04354954"/>
    <w:rsid w:val="043553B6"/>
    <w:rsid w:val="04367663"/>
    <w:rsid w:val="043B030F"/>
    <w:rsid w:val="044B68CB"/>
    <w:rsid w:val="04504672"/>
    <w:rsid w:val="0450601A"/>
    <w:rsid w:val="045277AA"/>
    <w:rsid w:val="045571C7"/>
    <w:rsid w:val="04576011"/>
    <w:rsid w:val="0459756B"/>
    <w:rsid w:val="04597A92"/>
    <w:rsid w:val="04610B65"/>
    <w:rsid w:val="04611F50"/>
    <w:rsid w:val="04660ADA"/>
    <w:rsid w:val="046C30B6"/>
    <w:rsid w:val="046E09E1"/>
    <w:rsid w:val="046F0C24"/>
    <w:rsid w:val="04700AEC"/>
    <w:rsid w:val="04703CC5"/>
    <w:rsid w:val="04707F1C"/>
    <w:rsid w:val="047137BF"/>
    <w:rsid w:val="04723E86"/>
    <w:rsid w:val="04752CE0"/>
    <w:rsid w:val="0476424D"/>
    <w:rsid w:val="04777C1A"/>
    <w:rsid w:val="047B268D"/>
    <w:rsid w:val="047C1514"/>
    <w:rsid w:val="048165D9"/>
    <w:rsid w:val="048731A9"/>
    <w:rsid w:val="04874D0E"/>
    <w:rsid w:val="04897138"/>
    <w:rsid w:val="048B79F9"/>
    <w:rsid w:val="04935ACB"/>
    <w:rsid w:val="049B7CCC"/>
    <w:rsid w:val="049C320B"/>
    <w:rsid w:val="049C35EC"/>
    <w:rsid w:val="049D51F1"/>
    <w:rsid w:val="04A4292B"/>
    <w:rsid w:val="04A43272"/>
    <w:rsid w:val="04A714B7"/>
    <w:rsid w:val="04A967EA"/>
    <w:rsid w:val="04AA413B"/>
    <w:rsid w:val="04AC6382"/>
    <w:rsid w:val="04B163A8"/>
    <w:rsid w:val="04B53BF6"/>
    <w:rsid w:val="04B715F8"/>
    <w:rsid w:val="04B94CDB"/>
    <w:rsid w:val="04BA2023"/>
    <w:rsid w:val="04BC0811"/>
    <w:rsid w:val="04BC2BE2"/>
    <w:rsid w:val="04BD00C8"/>
    <w:rsid w:val="04BD773C"/>
    <w:rsid w:val="04BE77A4"/>
    <w:rsid w:val="04BF6C4F"/>
    <w:rsid w:val="04C44C50"/>
    <w:rsid w:val="04C81604"/>
    <w:rsid w:val="04CA202F"/>
    <w:rsid w:val="04CA21BE"/>
    <w:rsid w:val="04CC1030"/>
    <w:rsid w:val="04CE4D83"/>
    <w:rsid w:val="04CE5ACF"/>
    <w:rsid w:val="04D11FAD"/>
    <w:rsid w:val="04D27492"/>
    <w:rsid w:val="04D30585"/>
    <w:rsid w:val="04D433C6"/>
    <w:rsid w:val="04D50DA1"/>
    <w:rsid w:val="04D529B1"/>
    <w:rsid w:val="04D61EBF"/>
    <w:rsid w:val="04D81727"/>
    <w:rsid w:val="04DA2547"/>
    <w:rsid w:val="04DB199F"/>
    <w:rsid w:val="04DB3607"/>
    <w:rsid w:val="04DC042D"/>
    <w:rsid w:val="04E10477"/>
    <w:rsid w:val="04E139A8"/>
    <w:rsid w:val="04E22BDC"/>
    <w:rsid w:val="04E23328"/>
    <w:rsid w:val="04E33A5F"/>
    <w:rsid w:val="04E84DFA"/>
    <w:rsid w:val="04F04546"/>
    <w:rsid w:val="04F206EB"/>
    <w:rsid w:val="04F22572"/>
    <w:rsid w:val="04F30789"/>
    <w:rsid w:val="04F47578"/>
    <w:rsid w:val="04FA0C37"/>
    <w:rsid w:val="04FD1735"/>
    <w:rsid w:val="04FD3BD7"/>
    <w:rsid w:val="04FE40B1"/>
    <w:rsid w:val="05005595"/>
    <w:rsid w:val="05063A70"/>
    <w:rsid w:val="05087D42"/>
    <w:rsid w:val="0512089E"/>
    <w:rsid w:val="05142E1B"/>
    <w:rsid w:val="05147879"/>
    <w:rsid w:val="05186906"/>
    <w:rsid w:val="052122D1"/>
    <w:rsid w:val="0523406D"/>
    <w:rsid w:val="05262AD4"/>
    <w:rsid w:val="05272931"/>
    <w:rsid w:val="05277FCB"/>
    <w:rsid w:val="05290F52"/>
    <w:rsid w:val="052A25C0"/>
    <w:rsid w:val="052D695C"/>
    <w:rsid w:val="0530259F"/>
    <w:rsid w:val="05330089"/>
    <w:rsid w:val="053437F5"/>
    <w:rsid w:val="0535064C"/>
    <w:rsid w:val="053718C6"/>
    <w:rsid w:val="053C11E9"/>
    <w:rsid w:val="05422541"/>
    <w:rsid w:val="05511770"/>
    <w:rsid w:val="05572FE0"/>
    <w:rsid w:val="05585A93"/>
    <w:rsid w:val="05595264"/>
    <w:rsid w:val="055B1E21"/>
    <w:rsid w:val="055E5AE8"/>
    <w:rsid w:val="05621A71"/>
    <w:rsid w:val="05626133"/>
    <w:rsid w:val="05652A24"/>
    <w:rsid w:val="05697EC3"/>
    <w:rsid w:val="056B1DA5"/>
    <w:rsid w:val="056D55F6"/>
    <w:rsid w:val="056E37F3"/>
    <w:rsid w:val="05702DF9"/>
    <w:rsid w:val="0573545C"/>
    <w:rsid w:val="0575654D"/>
    <w:rsid w:val="0576263D"/>
    <w:rsid w:val="05776718"/>
    <w:rsid w:val="05815B43"/>
    <w:rsid w:val="05835374"/>
    <w:rsid w:val="05844893"/>
    <w:rsid w:val="05856CAD"/>
    <w:rsid w:val="05857708"/>
    <w:rsid w:val="05877B47"/>
    <w:rsid w:val="058831AE"/>
    <w:rsid w:val="059211F2"/>
    <w:rsid w:val="05966579"/>
    <w:rsid w:val="059B1FE1"/>
    <w:rsid w:val="059C2EBD"/>
    <w:rsid w:val="05A0242D"/>
    <w:rsid w:val="05A27C21"/>
    <w:rsid w:val="05A37A8F"/>
    <w:rsid w:val="05A43BF5"/>
    <w:rsid w:val="05B20635"/>
    <w:rsid w:val="05B253F0"/>
    <w:rsid w:val="05B6224D"/>
    <w:rsid w:val="05B86847"/>
    <w:rsid w:val="05B9407D"/>
    <w:rsid w:val="05BD1C6F"/>
    <w:rsid w:val="05C173E2"/>
    <w:rsid w:val="05C262D4"/>
    <w:rsid w:val="05C26988"/>
    <w:rsid w:val="05C362A1"/>
    <w:rsid w:val="05C606AE"/>
    <w:rsid w:val="05C70A61"/>
    <w:rsid w:val="05CE608C"/>
    <w:rsid w:val="05D074FD"/>
    <w:rsid w:val="05D2173E"/>
    <w:rsid w:val="05D2339D"/>
    <w:rsid w:val="05D33011"/>
    <w:rsid w:val="05D5117C"/>
    <w:rsid w:val="05D96B97"/>
    <w:rsid w:val="05DE00A5"/>
    <w:rsid w:val="05DF120E"/>
    <w:rsid w:val="05E01012"/>
    <w:rsid w:val="05E24DDB"/>
    <w:rsid w:val="05EB4596"/>
    <w:rsid w:val="05EF4A89"/>
    <w:rsid w:val="05EF7940"/>
    <w:rsid w:val="05F3071E"/>
    <w:rsid w:val="05F46A48"/>
    <w:rsid w:val="05F52C00"/>
    <w:rsid w:val="05FA453C"/>
    <w:rsid w:val="05FA72A2"/>
    <w:rsid w:val="05FE0D6C"/>
    <w:rsid w:val="06083ED4"/>
    <w:rsid w:val="060D2125"/>
    <w:rsid w:val="060D695F"/>
    <w:rsid w:val="060F0376"/>
    <w:rsid w:val="0617369F"/>
    <w:rsid w:val="061961E9"/>
    <w:rsid w:val="06197C64"/>
    <w:rsid w:val="061D1DC5"/>
    <w:rsid w:val="061E65E2"/>
    <w:rsid w:val="06261C8E"/>
    <w:rsid w:val="06330CC8"/>
    <w:rsid w:val="06381F48"/>
    <w:rsid w:val="063B2327"/>
    <w:rsid w:val="063C6A97"/>
    <w:rsid w:val="063D1289"/>
    <w:rsid w:val="0640016E"/>
    <w:rsid w:val="064057D4"/>
    <w:rsid w:val="06464783"/>
    <w:rsid w:val="06474246"/>
    <w:rsid w:val="064A2156"/>
    <w:rsid w:val="064A777B"/>
    <w:rsid w:val="064D0EF3"/>
    <w:rsid w:val="06555530"/>
    <w:rsid w:val="06581E1C"/>
    <w:rsid w:val="065902A4"/>
    <w:rsid w:val="06593DA0"/>
    <w:rsid w:val="065A602E"/>
    <w:rsid w:val="065C6BD2"/>
    <w:rsid w:val="065E6DDB"/>
    <w:rsid w:val="06660F96"/>
    <w:rsid w:val="06681752"/>
    <w:rsid w:val="066C380F"/>
    <w:rsid w:val="066D775C"/>
    <w:rsid w:val="066E7569"/>
    <w:rsid w:val="067036A2"/>
    <w:rsid w:val="06712612"/>
    <w:rsid w:val="067404C7"/>
    <w:rsid w:val="06764AB0"/>
    <w:rsid w:val="06782477"/>
    <w:rsid w:val="067A4D1F"/>
    <w:rsid w:val="067A543D"/>
    <w:rsid w:val="067B6092"/>
    <w:rsid w:val="067D04ED"/>
    <w:rsid w:val="067E03E5"/>
    <w:rsid w:val="067E0CBB"/>
    <w:rsid w:val="067E4E21"/>
    <w:rsid w:val="0688297B"/>
    <w:rsid w:val="06883100"/>
    <w:rsid w:val="068846CE"/>
    <w:rsid w:val="068A69E7"/>
    <w:rsid w:val="068B54B4"/>
    <w:rsid w:val="068E5516"/>
    <w:rsid w:val="068E7973"/>
    <w:rsid w:val="069279CE"/>
    <w:rsid w:val="06967C9E"/>
    <w:rsid w:val="06995C46"/>
    <w:rsid w:val="069B432A"/>
    <w:rsid w:val="069D7C6B"/>
    <w:rsid w:val="06A134EF"/>
    <w:rsid w:val="06A338B0"/>
    <w:rsid w:val="06A36EB2"/>
    <w:rsid w:val="06A541CF"/>
    <w:rsid w:val="06A6288D"/>
    <w:rsid w:val="06A72333"/>
    <w:rsid w:val="06A91FA6"/>
    <w:rsid w:val="06AD2E46"/>
    <w:rsid w:val="06B14B55"/>
    <w:rsid w:val="06B348C7"/>
    <w:rsid w:val="06B52241"/>
    <w:rsid w:val="06B56214"/>
    <w:rsid w:val="06BB6163"/>
    <w:rsid w:val="06BE62B4"/>
    <w:rsid w:val="06BF3FC7"/>
    <w:rsid w:val="06C16B99"/>
    <w:rsid w:val="06C54678"/>
    <w:rsid w:val="06C55C23"/>
    <w:rsid w:val="06CA769B"/>
    <w:rsid w:val="06CA7D3C"/>
    <w:rsid w:val="06CD6DFA"/>
    <w:rsid w:val="06D225BC"/>
    <w:rsid w:val="06D43393"/>
    <w:rsid w:val="06D5043A"/>
    <w:rsid w:val="06D953F7"/>
    <w:rsid w:val="06DE6BCF"/>
    <w:rsid w:val="06DF42B9"/>
    <w:rsid w:val="06E15FE8"/>
    <w:rsid w:val="06E46812"/>
    <w:rsid w:val="06E55736"/>
    <w:rsid w:val="06E62D1C"/>
    <w:rsid w:val="06E7626B"/>
    <w:rsid w:val="06EC496D"/>
    <w:rsid w:val="06EC76E0"/>
    <w:rsid w:val="06EE1260"/>
    <w:rsid w:val="06EE2609"/>
    <w:rsid w:val="06F2252E"/>
    <w:rsid w:val="06F2774D"/>
    <w:rsid w:val="06F85E0E"/>
    <w:rsid w:val="06F87546"/>
    <w:rsid w:val="06FD0A9F"/>
    <w:rsid w:val="06FD475D"/>
    <w:rsid w:val="07006AD9"/>
    <w:rsid w:val="070256E2"/>
    <w:rsid w:val="07090446"/>
    <w:rsid w:val="070A32AF"/>
    <w:rsid w:val="070B511E"/>
    <w:rsid w:val="070E4FA2"/>
    <w:rsid w:val="07141736"/>
    <w:rsid w:val="071F2612"/>
    <w:rsid w:val="072016CA"/>
    <w:rsid w:val="0720506B"/>
    <w:rsid w:val="072333AB"/>
    <w:rsid w:val="072516A1"/>
    <w:rsid w:val="07274D15"/>
    <w:rsid w:val="07275776"/>
    <w:rsid w:val="072A2646"/>
    <w:rsid w:val="072D18BC"/>
    <w:rsid w:val="072F6E4E"/>
    <w:rsid w:val="07315318"/>
    <w:rsid w:val="0734480A"/>
    <w:rsid w:val="0736592E"/>
    <w:rsid w:val="0737768B"/>
    <w:rsid w:val="073A60B8"/>
    <w:rsid w:val="073D01DE"/>
    <w:rsid w:val="074369EC"/>
    <w:rsid w:val="07476BD9"/>
    <w:rsid w:val="074873AA"/>
    <w:rsid w:val="074A3FBA"/>
    <w:rsid w:val="074E4138"/>
    <w:rsid w:val="07502EB3"/>
    <w:rsid w:val="0750348A"/>
    <w:rsid w:val="075217C9"/>
    <w:rsid w:val="075370D0"/>
    <w:rsid w:val="075C60B3"/>
    <w:rsid w:val="075C73C2"/>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21375"/>
    <w:rsid w:val="078335F9"/>
    <w:rsid w:val="07846868"/>
    <w:rsid w:val="078674DB"/>
    <w:rsid w:val="07897CED"/>
    <w:rsid w:val="078E196E"/>
    <w:rsid w:val="078F390F"/>
    <w:rsid w:val="07941018"/>
    <w:rsid w:val="07964E66"/>
    <w:rsid w:val="07973888"/>
    <w:rsid w:val="07977CFA"/>
    <w:rsid w:val="079901FF"/>
    <w:rsid w:val="079A482A"/>
    <w:rsid w:val="079F28C5"/>
    <w:rsid w:val="07A75A6E"/>
    <w:rsid w:val="07AA4314"/>
    <w:rsid w:val="07AD508F"/>
    <w:rsid w:val="07AE54E9"/>
    <w:rsid w:val="07AF74D4"/>
    <w:rsid w:val="07B0105B"/>
    <w:rsid w:val="07B03524"/>
    <w:rsid w:val="07BD0EFB"/>
    <w:rsid w:val="07C821A7"/>
    <w:rsid w:val="07D01EA4"/>
    <w:rsid w:val="07D045DD"/>
    <w:rsid w:val="07D05D10"/>
    <w:rsid w:val="07D23B28"/>
    <w:rsid w:val="07D308BC"/>
    <w:rsid w:val="07D75351"/>
    <w:rsid w:val="07D75C90"/>
    <w:rsid w:val="07DB0B22"/>
    <w:rsid w:val="07DF4AEC"/>
    <w:rsid w:val="07E7425D"/>
    <w:rsid w:val="07EA2ABD"/>
    <w:rsid w:val="07EA63D1"/>
    <w:rsid w:val="07EC1424"/>
    <w:rsid w:val="07EC2A29"/>
    <w:rsid w:val="07F57AEA"/>
    <w:rsid w:val="07F7533D"/>
    <w:rsid w:val="07F7651C"/>
    <w:rsid w:val="07FF71F1"/>
    <w:rsid w:val="0801772C"/>
    <w:rsid w:val="0807674F"/>
    <w:rsid w:val="08081633"/>
    <w:rsid w:val="08084081"/>
    <w:rsid w:val="081A5251"/>
    <w:rsid w:val="081C3F8C"/>
    <w:rsid w:val="081D5822"/>
    <w:rsid w:val="081E75B4"/>
    <w:rsid w:val="08246632"/>
    <w:rsid w:val="082C6949"/>
    <w:rsid w:val="0830035D"/>
    <w:rsid w:val="0833350E"/>
    <w:rsid w:val="08333D7C"/>
    <w:rsid w:val="08407561"/>
    <w:rsid w:val="08433EEC"/>
    <w:rsid w:val="08487CE5"/>
    <w:rsid w:val="08491DF8"/>
    <w:rsid w:val="0849203C"/>
    <w:rsid w:val="084A3AA2"/>
    <w:rsid w:val="084B76FB"/>
    <w:rsid w:val="08515373"/>
    <w:rsid w:val="08525A89"/>
    <w:rsid w:val="08555F04"/>
    <w:rsid w:val="08557E70"/>
    <w:rsid w:val="085751F0"/>
    <w:rsid w:val="08592EA9"/>
    <w:rsid w:val="085F4407"/>
    <w:rsid w:val="08630DE0"/>
    <w:rsid w:val="086341DE"/>
    <w:rsid w:val="08674160"/>
    <w:rsid w:val="0867457B"/>
    <w:rsid w:val="086A6B2C"/>
    <w:rsid w:val="08712E33"/>
    <w:rsid w:val="087817AB"/>
    <w:rsid w:val="087D2186"/>
    <w:rsid w:val="087E06F5"/>
    <w:rsid w:val="087E700F"/>
    <w:rsid w:val="087F22A8"/>
    <w:rsid w:val="08812BE2"/>
    <w:rsid w:val="088272FC"/>
    <w:rsid w:val="08835AC0"/>
    <w:rsid w:val="08844B95"/>
    <w:rsid w:val="0887630D"/>
    <w:rsid w:val="08880F22"/>
    <w:rsid w:val="088B1DB2"/>
    <w:rsid w:val="08923A7C"/>
    <w:rsid w:val="08955AD1"/>
    <w:rsid w:val="089641DE"/>
    <w:rsid w:val="089D64FB"/>
    <w:rsid w:val="08A067CF"/>
    <w:rsid w:val="08A30C8C"/>
    <w:rsid w:val="08A600B8"/>
    <w:rsid w:val="08A77AF0"/>
    <w:rsid w:val="08AB0F8D"/>
    <w:rsid w:val="08AC7AC0"/>
    <w:rsid w:val="08AF1CC7"/>
    <w:rsid w:val="08B6091A"/>
    <w:rsid w:val="08BB45BC"/>
    <w:rsid w:val="08BE532B"/>
    <w:rsid w:val="08BE7C80"/>
    <w:rsid w:val="08BF371D"/>
    <w:rsid w:val="08C07AD4"/>
    <w:rsid w:val="08C81750"/>
    <w:rsid w:val="08CA5743"/>
    <w:rsid w:val="08CC67C9"/>
    <w:rsid w:val="08CD76D7"/>
    <w:rsid w:val="08CF7DC7"/>
    <w:rsid w:val="08D102DF"/>
    <w:rsid w:val="08D31906"/>
    <w:rsid w:val="08D71636"/>
    <w:rsid w:val="08D71D8F"/>
    <w:rsid w:val="08DA7138"/>
    <w:rsid w:val="08DE3E81"/>
    <w:rsid w:val="08DF4E3D"/>
    <w:rsid w:val="08DF6F7E"/>
    <w:rsid w:val="08E05FDB"/>
    <w:rsid w:val="08E25413"/>
    <w:rsid w:val="08E27D9B"/>
    <w:rsid w:val="08E65E7D"/>
    <w:rsid w:val="08E7248B"/>
    <w:rsid w:val="08E86C18"/>
    <w:rsid w:val="08EE6D30"/>
    <w:rsid w:val="08F25EE3"/>
    <w:rsid w:val="08F743CF"/>
    <w:rsid w:val="08F91AB3"/>
    <w:rsid w:val="08FC5947"/>
    <w:rsid w:val="08FF54D2"/>
    <w:rsid w:val="090331E8"/>
    <w:rsid w:val="09167768"/>
    <w:rsid w:val="0916780C"/>
    <w:rsid w:val="091709C3"/>
    <w:rsid w:val="091738A8"/>
    <w:rsid w:val="091A5D5A"/>
    <w:rsid w:val="091B21A8"/>
    <w:rsid w:val="091E4A6C"/>
    <w:rsid w:val="091E505F"/>
    <w:rsid w:val="091E738F"/>
    <w:rsid w:val="091F1C84"/>
    <w:rsid w:val="09216B15"/>
    <w:rsid w:val="09225861"/>
    <w:rsid w:val="0922603A"/>
    <w:rsid w:val="09244154"/>
    <w:rsid w:val="092A1BCA"/>
    <w:rsid w:val="092C7BA4"/>
    <w:rsid w:val="092E4A26"/>
    <w:rsid w:val="092F29BE"/>
    <w:rsid w:val="09330FF9"/>
    <w:rsid w:val="093566E7"/>
    <w:rsid w:val="093A260D"/>
    <w:rsid w:val="093B0A11"/>
    <w:rsid w:val="093B54D5"/>
    <w:rsid w:val="093E0EF9"/>
    <w:rsid w:val="093E246B"/>
    <w:rsid w:val="093E7495"/>
    <w:rsid w:val="094108C9"/>
    <w:rsid w:val="09425B3E"/>
    <w:rsid w:val="094966CD"/>
    <w:rsid w:val="094A3893"/>
    <w:rsid w:val="094E6366"/>
    <w:rsid w:val="094F366F"/>
    <w:rsid w:val="09503A46"/>
    <w:rsid w:val="09526223"/>
    <w:rsid w:val="09544483"/>
    <w:rsid w:val="09547097"/>
    <w:rsid w:val="095D4A5B"/>
    <w:rsid w:val="0961286F"/>
    <w:rsid w:val="09630C45"/>
    <w:rsid w:val="09634350"/>
    <w:rsid w:val="096412DC"/>
    <w:rsid w:val="096A705A"/>
    <w:rsid w:val="096B4B00"/>
    <w:rsid w:val="097257A1"/>
    <w:rsid w:val="09743821"/>
    <w:rsid w:val="097C0598"/>
    <w:rsid w:val="097E0986"/>
    <w:rsid w:val="09813405"/>
    <w:rsid w:val="098339A1"/>
    <w:rsid w:val="098506DE"/>
    <w:rsid w:val="098720DC"/>
    <w:rsid w:val="0988545C"/>
    <w:rsid w:val="09906EF8"/>
    <w:rsid w:val="09915DBE"/>
    <w:rsid w:val="099323C1"/>
    <w:rsid w:val="099D53DD"/>
    <w:rsid w:val="099D7DAE"/>
    <w:rsid w:val="09A127E2"/>
    <w:rsid w:val="09A25340"/>
    <w:rsid w:val="09A45050"/>
    <w:rsid w:val="09A65E69"/>
    <w:rsid w:val="09A76FEA"/>
    <w:rsid w:val="09A84ADB"/>
    <w:rsid w:val="09A84B40"/>
    <w:rsid w:val="09A969B5"/>
    <w:rsid w:val="09AB7B5C"/>
    <w:rsid w:val="09AC0966"/>
    <w:rsid w:val="09AC25D1"/>
    <w:rsid w:val="09AE3BD1"/>
    <w:rsid w:val="09AF2690"/>
    <w:rsid w:val="09B31EA5"/>
    <w:rsid w:val="09B36A2D"/>
    <w:rsid w:val="09B374A6"/>
    <w:rsid w:val="09B54E75"/>
    <w:rsid w:val="09B5744E"/>
    <w:rsid w:val="09B66B36"/>
    <w:rsid w:val="09B835E3"/>
    <w:rsid w:val="09C0660B"/>
    <w:rsid w:val="09C20666"/>
    <w:rsid w:val="09C34736"/>
    <w:rsid w:val="09C41CDB"/>
    <w:rsid w:val="09C77F9B"/>
    <w:rsid w:val="09C80320"/>
    <w:rsid w:val="09C83EC3"/>
    <w:rsid w:val="09CA2D09"/>
    <w:rsid w:val="09CB4329"/>
    <w:rsid w:val="09D12279"/>
    <w:rsid w:val="09D81A7D"/>
    <w:rsid w:val="09D84825"/>
    <w:rsid w:val="09DD126B"/>
    <w:rsid w:val="09DD3DA2"/>
    <w:rsid w:val="09E16878"/>
    <w:rsid w:val="09E340D9"/>
    <w:rsid w:val="09E50062"/>
    <w:rsid w:val="09E53166"/>
    <w:rsid w:val="09E772A6"/>
    <w:rsid w:val="09F0213D"/>
    <w:rsid w:val="09F047BF"/>
    <w:rsid w:val="09F25BE4"/>
    <w:rsid w:val="09F45BBF"/>
    <w:rsid w:val="09F47173"/>
    <w:rsid w:val="09F53B08"/>
    <w:rsid w:val="09F64E6B"/>
    <w:rsid w:val="09F74DBC"/>
    <w:rsid w:val="09F75895"/>
    <w:rsid w:val="09FA0FF5"/>
    <w:rsid w:val="09FF5D63"/>
    <w:rsid w:val="0A0055A3"/>
    <w:rsid w:val="0A03356F"/>
    <w:rsid w:val="0A0642D1"/>
    <w:rsid w:val="0A0C7052"/>
    <w:rsid w:val="0A0E2AA4"/>
    <w:rsid w:val="0A106179"/>
    <w:rsid w:val="0A13672B"/>
    <w:rsid w:val="0A182626"/>
    <w:rsid w:val="0A184B4C"/>
    <w:rsid w:val="0A186EBD"/>
    <w:rsid w:val="0A192461"/>
    <w:rsid w:val="0A194B69"/>
    <w:rsid w:val="0A1D3C7D"/>
    <w:rsid w:val="0A1D6E00"/>
    <w:rsid w:val="0A1F0101"/>
    <w:rsid w:val="0A267A65"/>
    <w:rsid w:val="0A2B10CA"/>
    <w:rsid w:val="0A2B783A"/>
    <w:rsid w:val="0A2C57AA"/>
    <w:rsid w:val="0A2D3D2D"/>
    <w:rsid w:val="0A33675E"/>
    <w:rsid w:val="0A3665BB"/>
    <w:rsid w:val="0A3B55B1"/>
    <w:rsid w:val="0A3D5C6E"/>
    <w:rsid w:val="0A3E3F41"/>
    <w:rsid w:val="0A3E4117"/>
    <w:rsid w:val="0A3F0320"/>
    <w:rsid w:val="0A3F4106"/>
    <w:rsid w:val="0A416929"/>
    <w:rsid w:val="0A4349A2"/>
    <w:rsid w:val="0A4446FF"/>
    <w:rsid w:val="0A4627D8"/>
    <w:rsid w:val="0A482B74"/>
    <w:rsid w:val="0A49321C"/>
    <w:rsid w:val="0A4B7F14"/>
    <w:rsid w:val="0A4C6CBF"/>
    <w:rsid w:val="0A4D69DD"/>
    <w:rsid w:val="0A510807"/>
    <w:rsid w:val="0A525860"/>
    <w:rsid w:val="0A554FC7"/>
    <w:rsid w:val="0A573B81"/>
    <w:rsid w:val="0A596B2B"/>
    <w:rsid w:val="0A5C1C27"/>
    <w:rsid w:val="0A5C1C5E"/>
    <w:rsid w:val="0A5C7A96"/>
    <w:rsid w:val="0A5F61F4"/>
    <w:rsid w:val="0A604C0E"/>
    <w:rsid w:val="0A624EE4"/>
    <w:rsid w:val="0A6511BC"/>
    <w:rsid w:val="0A6C7945"/>
    <w:rsid w:val="0A7619D8"/>
    <w:rsid w:val="0A77245B"/>
    <w:rsid w:val="0A7A38CD"/>
    <w:rsid w:val="0A802A4C"/>
    <w:rsid w:val="0A8353B3"/>
    <w:rsid w:val="0A855E52"/>
    <w:rsid w:val="0A884069"/>
    <w:rsid w:val="0A895614"/>
    <w:rsid w:val="0A8B7E6C"/>
    <w:rsid w:val="0A944746"/>
    <w:rsid w:val="0A975063"/>
    <w:rsid w:val="0A9763CB"/>
    <w:rsid w:val="0A993FFD"/>
    <w:rsid w:val="0A9A2A54"/>
    <w:rsid w:val="0A9C3C2B"/>
    <w:rsid w:val="0A9E5FDC"/>
    <w:rsid w:val="0A9F4A0F"/>
    <w:rsid w:val="0AA238AC"/>
    <w:rsid w:val="0AA408F6"/>
    <w:rsid w:val="0AA4505E"/>
    <w:rsid w:val="0AA60167"/>
    <w:rsid w:val="0AA71CE8"/>
    <w:rsid w:val="0AA76F49"/>
    <w:rsid w:val="0AA86904"/>
    <w:rsid w:val="0AAA5618"/>
    <w:rsid w:val="0AB10DE5"/>
    <w:rsid w:val="0AB154B4"/>
    <w:rsid w:val="0AB419D2"/>
    <w:rsid w:val="0AB85910"/>
    <w:rsid w:val="0AC047C8"/>
    <w:rsid w:val="0AC568B2"/>
    <w:rsid w:val="0AC823D3"/>
    <w:rsid w:val="0AC90476"/>
    <w:rsid w:val="0ACA3253"/>
    <w:rsid w:val="0ACB7EE0"/>
    <w:rsid w:val="0ACC0D88"/>
    <w:rsid w:val="0ACC14AF"/>
    <w:rsid w:val="0ACE060A"/>
    <w:rsid w:val="0AD1453D"/>
    <w:rsid w:val="0AD1527D"/>
    <w:rsid w:val="0AD4197E"/>
    <w:rsid w:val="0AD8634B"/>
    <w:rsid w:val="0ADD6AE9"/>
    <w:rsid w:val="0ADE0470"/>
    <w:rsid w:val="0ADE1EB6"/>
    <w:rsid w:val="0AE06A9F"/>
    <w:rsid w:val="0AE06DB4"/>
    <w:rsid w:val="0AE37473"/>
    <w:rsid w:val="0AE37862"/>
    <w:rsid w:val="0AE447F4"/>
    <w:rsid w:val="0AE57BFB"/>
    <w:rsid w:val="0AE66F26"/>
    <w:rsid w:val="0AE7766A"/>
    <w:rsid w:val="0AE94A2B"/>
    <w:rsid w:val="0AEA179D"/>
    <w:rsid w:val="0AEA5DC3"/>
    <w:rsid w:val="0AED2A2E"/>
    <w:rsid w:val="0AF0679F"/>
    <w:rsid w:val="0AF5772E"/>
    <w:rsid w:val="0AF6476E"/>
    <w:rsid w:val="0AF64C83"/>
    <w:rsid w:val="0AF74EBA"/>
    <w:rsid w:val="0AFA0084"/>
    <w:rsid w:val="0AFC15E8"/>
    <w:rsid w:val="0AFD0E86"/>
    <w:rsid w:val="0AFD0EBC"/>
    <w:rsid w:val="0AFD5923"/>
    <w:rsid w:val="0AFF2194"/>
    <w:rsid w:val="0B021291"/>
    <w:rsid w:val="0B042635"/>
    <w:rsid w:val="0B052264"/>
    <w:rsid w:val="0B073FC6"/>
    <w:rsid w:val="0B0862D7"/>
    <w:rsid w:val="0B0A725B"/>
    <w:rsid w:val="0B0B3C2E"/>
    <w:rsid w:val="0B113070"/>
    <w:rsid w:val="0B113614"/>
    <w:rsid w:val="0B16594F"/>
    <w:rsid w:val="0B180DE0"/>
    <w:rsid w:val="0B222B74"/>
    <w:rsid w:val="0B244435"/>
    <w:rsid w:val="0B2724F4"/>
    <w:rsid w:val="0B276735"/>
    <w:rsid w:val="0B293A5F"/>
    <w:rsid w:val="0B2B3E11"/>
    <w:rsid w:val="0B2F146B"/>
    <w:rsid w:val="0B3226E4"/>
    <w:rsid w:val="0B334E96"/>
    <w:rsid w:val="0B347187"/>
    <w:rsid w:val="0B363435"/>
    <w:rsid w:val="0B390FD1"/>
    <w:rsid w:val="0B3A2B45"/>
    <w:rsid w:val="0B3E2CD4"/>
    <w:rsid w:val="0B42190E"/>
    <w:rsid w:val="0B453E55"/>
    <w:rsid w:val="0B456771"/>
    <w:rsid w:val="0B493381"/>
    <w:rsid w:val="0B4B60CB"/>
    <w:rsid w:val="0B4D2FAD"/>
    <w:rsid w:val="0B5144D9"/>
    <w:rsid w:val="0B5331D2"/>
    <w:rsid w:val="0B5460D3"/>
    <w:rsid w:val="0B596620"/>
    <w:rsid w:val="0B5B3488"/>
    <w:rsid w:val="0B61144B"/>
    <w:rsid w:val="0B63212D"/>
    <w:rsid w:val="0B6872D2"/>
    <w:rsid w:val="0B6B1B52"/>
    <w:rsid w:val="0B704D16"/>
    <w:rsid w:val="0B70650F"/>
    <w:rsid w:val="0B745E20"/>
    <w:rsid w:val="0B752591"/>
    <w:rsid w:val="0B773B21"/>
    <w:rsid w:val="0B785985"/>
    <w:rsid w:val="0B7D6F7F"/>
    <w:rsid w:val="0B7E1CEA"/>
    <w:rsid w:val="0B847420"/>
    <w:rsid w:val="0B860D26"/>
    <w:rsid w:val="0B880F85"/>
    <w:rsid w:val="0B8A6586"/>
    <w:rsid w:val="0B8D1BD9"/>
    <w:rsid w:val="0B9270E1"/>
    <w:rsid w:val="0B9918D6"/>
    <w:rsid w:val="0B9F4790"/>
    <w:rsid w:val="0BA02F9C"/>
    <w:rsid w:val="0BA5707B"/>
    <w:rsid w:val="0BA71F41"/>
    <w:rsid w:val="0BA9414E"/>
    <w:rsid w:val="0BAF42EC"/>
    <w:rsid w:val="0BB27EF8"/>
    <w:rsid w:val="0BBD11F7"/>
    <w:rsid w:val="0BBF5294"/>
    <w:rsid w:val="0BCA3A2C"/>
    <w:rsid w:val="0BCB3D8E"/>
    <w:rsid w:val="0BCB3E77"/>
    <w:rsid w:val="0BCD3A99"/>
    <w:rsid w:val="0BD073AF"/>
    <w:rsid w:val="0BD20F5E"/>
    <w:rsid w:val="0BD51E39"/>
    <w:rsid w:val="0BD64266"/>
    <w:rsid w:val="0BDA792C"/>
    <w:rsid w:val="0BDB0AFA"/>
    <w:rsid w:val="0BDB5E63"/>
    <w:rsid w:val="0BDE6F3F"/>
    <w:rsid w:val="0BE55FD0"/>
    <w:rsid w:val="0BE96744"/>
    <w:rsid w:val="0BEF007D"/>
    <w:rsid w:val="0BF13B6C"/>
    <w:rsid w:val="0BF549A2"/>
    <w:rsid w:val="0BF6746D"/>
    <w:rsid w:val="0BF93E28"/>
    <w:rsid w:val="0BFB11E2"/>
    <w:rsid w:val="0BFE1180"/>
    <w:rsid w:val="0C001CE2"/>
    <w:rsid w:val="0C04403E"/>
    <w:rsid w:val="0C071FA0"/>
    <w:rsid w:val="0C0914BB"/>
    <w:rsid w:val="0C104C02"/>
    <w:rsid w:val="0C13425C"/>
    <w:rsid w:val="0C191024"/>
    <w:rsid w:val="0C1B78EB"/>
    <w:rsid w:val="0C1F3D70"/>
    <w:rsid w:val="0C220706"/>
    <w:rsid w:val="0C2D4747"/>
    <w:rsid w:val="0C2D757F"/>
    <w:rsid w:val="0C2F32F7"/>
    <w:rsid w:val="0C324F43"/>
    <w:rsid w:val="0C34090D"/>
    <w:rsid w:val="0C352B5E"/>
    <w:rsid w:val="0C353F67"/>
    <w:rsid w:val="0C355B66"/>
    <w:rsid w:val="0C366352"/>
    <w:rsid w:val="0C367BC9"/>
    <w:rsid w:val="0C3A58B1"/>
    <w:rsid w:val="0C3B34BE"/>
    <w:rsid w:val="0C3D21D5"/>
    <w:rsid w:val="0C3E1134"/>
    <w:rsid w:val="0C3F42BF"/>
    <w:rsid w:val="0C4312F6"/>
    <w:rsid w:val="0C482C87"/>
    <w:rsid w:val="0C4F0F58"/>
    <w:rsid w:val="0C5058CA"/>
    <w:rsid w:val="0C5325BC"/>
    <w:rsid w:val="0C56530B"/>
    <w:rsid w:val="0C5725F9"/>
    <w:rsid w:val="0C582CA9"/>
    <w:rsid w:val="0C597A1C"/>
    <w:rsid w:val="0C5E2A32"/>
    <w:rsid w:val="0C6048CD"/>
    <w:rsid w:val="0C613435"/>
    <w:rsid w:val="0C6172CA"/>
    <w:rsid w:val="0C617DBB"/>
    <w:rsid w:val="0C6246F1"/>
    <w:rsid w:val="0C6252D3"/>
    <w:rsid w:val="0C641ABA"/>
    <w:rsid w:val="0C652BAE"/>
    <w:rsid w:val="0C697AF9"/>
    <w:rsid w:val="0C710474"/>
    <w:rsid w:val="0C730FE8"/>
    <w:rsid w:val="0C7474E6"/>
    <w:rsid w:val="0C7F1B0D"/>
    <w:rsid w:val="0C855043"/>
    <w:rsid w:val="0C8C0368"/>
    <w:rsid w:val="0C8C269F"/>
    <w:rsid w:val="0C8E6F0A"/>
    <w:rsid w:val="0C911274"/>
    <w:rsid w:val="0C924F76"/>
    <w:rsid w:val="0C98752C"/>
    <w:rsid w:val="0C9C7780"/>
    <w:rsid w:val="0C9E7FE6"/>
    <w:rsid w:val="0C9F524D"/>
    <w:rsid w:val="0CA045B9"/>
    <w:rsid w:val="0CA24058"/>
    <w:rsid w:val="0CA36703"/>
    <w:rsid w:val="0CA3720F"/>
    <w:rsid w:val="0CA414BD"/>
    <w:rsid w:val="0CA815B5"/>
    <w:rsid w:val="0CA86C27"/>
    <w:rsid w:val="0CAD237C"/>
    <w:rsid w:val="0CAD76BD"/>
    <w:rsid w:val="0CAF268A"/>
    <w:rsid w:val="0CB02FBC"/>
    <w:rsid w:val="0CB45E28"/>
    <w:rsid w:val="0CB61D0F"/>
    <w:rsid w:val="0CB840A3"/>
    <w:rsid w:val="0CB840C1"/>
    <w:rsid w:val="0CBC084D"/>
    <w:rsid w:val="0CBD628D"/>
    <w:rsid w:val="0CBE3597"/>
    <w:rsid w:val="0CBF46F8"/>
    <w:rsid w:val="0CC13BA7"/>
    <w:rsid w:val="0CC165B1"/>
    <w:rsid w:val="0CC32118"/>
    <w:rsid w:val="0CC876EA"/>
    <w:rsid w:val="0CC92FBD"/>
    <w:rsid w:val="0CC97183"/>
    <w:rsid w:val="0CD345CA"/>
    <w:rsid w:val="0CD977A1"/>
    <w:rsid w:val="0CE264EF"/>
    <w:rsid w:val="0CE433E1"/>
    <w:rsid w:val="0CE53290"/>
    <w:rsid w:val="0CE57925"/>
    <w:rsid w:val="0CEA5836"/>
    <w:rsid w:val="0CEB697B"/>
    <w:rsid w:val="0CEE3C27"/>
    <w:rsid w:val="0CEE43CA"/>
    <w:rsid w:val="0CEF7C95"/>
    <w:rsid w:val="0CF21A1A"/>
    <w:rsid w:val="0CF54541"/>
    <w:rsid w:val="0CF72B6F"/>
    <w:rsid w:val="0CFF743F"/>
    <w:rsid w:val="0D0502D2"/>
    <w:rsid w:val="0D070638"/>
    <w:rsid w:val="0D0B6ABF"/>
    <w:rsid w:val="0D0E6FFD"/>
    <w:rsid w:val="0D0F1529"/>
    <w:rsid w:val="0D0F6666"/>
    <w:rsid w:val="0D112290"/>
    <w:rsid w:val="0D1152A5"/>
    <w:rsid w:val="0D133DCE"/>
    <w:rsid w:val="0D1418BD"/>
    <w:rsid w:val="0D197B03"/>
    <w:rsid w:val="0D1A266E"/>
    <w:rsid w:val="0D1A4843"/>
    <w:rsid w:val="0D1A56B1"/>
    <w:rsid w:val="0D1A7A48"/>
    <w:rsid w:val="0D266A5F"/>
    <w:rsid w:val="0D272D6F"/>
    <w:rsid w:val="0D2B35D9"/>
    <w:rsid w:val="0D2B65E4"/>
    <w:rsid w:val="0D2C6016"/>
    <w:rsid w:val="0D2E17CA"/>
    <w:rsid w:val="0D311F15"/>
    <w:rsid w:val="0D3247FD"/>
    <w:rsid w:val="0D341C43"/>
    <w:rsid w:val="0D3A450F"/>
    <w:rsid w:val="0D3C78C4"/>
    <w:rsid w:val="0D3E3D60"/>
    <w:rsid w:val="0D42051C"/>
    <w:rsid w:val="0D427413"/>
    <w:rsid w:val="0D4B08D3"/>
    <w:rsid w:val="0D4E7887"/>
    <w:rsid w:val="0D4F1B39"/>
    <w:rsid w:val="0D4F7269"/>
    <w:rsid w:val="0D52428D"/>
    <w:rsid w:val="0D526440"/>
    <w:rsid w:val="0D5947FB"/>
    <w:rsid w:val="0D5E2B8D"/>
    <w:rsid w:val="0D616DFC"/>
    <w:rsid w:val="0D646FD0"/>
    <w:rsid w:val="0D674771"/>
    <w:rsid w:val="0D6A50E3"/>
    <w:rsid w:val="0D6B5955"/>
    <w:rsid w:val="0D6D467B"/>
    <w:rsid w:val="0D703CE2"/>
    <w:rsid w:val="0D7840A1"/>
    <w:rsid w:val="0D7860B5"/>
    <w:rsid w:val="0D804059"/>
    <w:rsid w:val="0D837C87"/>
    <w:rsid w:val="0D8525B7"/>
    <w:rsid w:val="0D853FDD"/>
    <w:rsid w:val="0D880C95"/>
    <w:rsid w:val="0D881039"/>
    <w:rsid w:val="0D885D2E"/>
    <w:rsid w:val="0D8B4C3D"/>
    <w:rsid w:val="0D935B07"/>
    <w:rsid w:val="0D9C6D34"/>
    <w:rsid w:val="0D9F2066"/>
    <w:rsid w:val="0D9F26FE"/>
    <w:rsid w:val="0DA442E1"/>
    <w:rsid w:val="0DAB0D20"/>
    <w:rsid w:val="0DAD7B36"/>
    <w:rsid w:val="0DAE151C"/>
    <w:rsid w:val="0DAE5774"/>
    <w:rsid w:val="0DAF7371"/>
    <w:rsid w:val="0DB05C0C"/>
    <w:rsid w:val="0DBB3F21"/>
    <w:rsid w:val="0DBE5B77"/>
    <w:rsid w:val="0DC01675"/>
    <w:rsid w:val="0DC109A5"/>
    <w:rsid w:val="0DC24AA8"/>
    <w:rsid w:val="0DC52D99"/>
    <w:rsid w:val="0DC75DDC"/>
    <w:rsid w:val="0DCA3C59"/>
    <w:rsid w:val="0DCC0A78"/>
    <w:rsid w:val="0DCC755F"/>
    <w:rsid w:val="0DD34C14"/>
    <w:rsid w:val="0DD45041"/>
    <w:rsid w:val="0DD813FE"/>
    <w:rsid w:val="0DE13D73"/>
    <w:rsid w:val="0DE23598"/>
    <w:rsid w:val="0DE262D9"/>
    <w:rsid w:val="0DE70B64"/>
    <w:rsid w:val="0DE86186"/>
    <w:rsid w:val="0DE90425"/>
    <w:rsid w:val="0DEA0AC9"/>
    <w:rsid w:val="0DEB184B"/>
    <w:rsid w:val="0DF30354"/>
    <w:rsid w:val="0DF64C01"/>
    <w:rsid w:val="0DF80A24"/>
    <w:rsid w:val="0DF92A22"/>
    <w:rsid w:val="0DF93BD3"/>
    <w:rsid w:val="0DFB1642"/>
    <w:rsid w:val="0DFD7425"/>
    <w:rsid w:val="0DFE4B24"/>
    <w:rsid w:val="0DFF45C6"/>
    <w:rsid w:val="0E06783A"/>
    <w:rsid w:val="0E090471"/>
    <w:rsid w:val="0E09349C"/>
    <w:rsid w:val="0E0969C2"/>
    <w:rsid w:val="0E0A22D2"/>
    <w:rsid w:val="0E0B1EBB"/>
    <w:rsid w:val="0E0C595B"/>
    <w:rsid w:val="0E0E4100"/>
    <w:rsid w:val="0E166453"/>
    <w:rsid w:val="0E170445"/>
    <w:rsid w:val="0E1B158D"/>
    <w:rsid w:val="0E1D2E39"/>
    <w:rsid w:val="0E201B4B"/>
    <w:rsid w:val="0E210EEB"/>
    <w:rsid w:val="0E230461"/>
    <w:rsid w:val="0E2326F6"/>
    <w:rsid w:val="0E253D79"/>
    <w:rsid w:val="0E260997"/>
    <w:rsid w:val="0E2906CD"/>
    <w:rsid w:val="0E2B1FF7"/>
    <w:rsid w:val="0E2E0176"/>
    <w:rsid w:val="0E2E5AE8"/>
    <w:rsid w:val="0E303E9A"/>
    <w:rsid w:val="0E316ACA"/>
    <w:rsid w:val="0E340B36"/>
    <w:rsid w:val="0E3A0FCA"/>
    <w:rsid w:val="0E3A56BB"/>
    <w:rsid w:val="0E3F30B1"/>
    <w:rsid w:val="0E4052D8"/>
    <w:rsid w:val="0E4211DF"/>
    <w:rsid w:val="0E430BBB"/>
    <w:rsid w:val="0E48359F"/>
    <w:rsid w:val="0E4B7A0D"/>
    <w:rsid w:val="0E4F5FD6"/>
    <w:rsid w:val="0E5004F1"/>
    <w:rsid w:val="0E5209AC"/>
    <w:rsid w:val="0E524421"/>
    <w:rsid w:val="0E551048"/>
    <w:rsid w:val="0E55390F"/>
    <w:rsid w:val="0E576DC1"/>
    <w:rsid w:val="0E5A3966"/>
    <w:rsid w:val="0E5D7EF6"/>
    <w:rsid w:val="0E6567FC"/>
    <w:rsid w:val="0E66768C"/>
    <w:rsid w:val="0E672D1E"/>
    <w:rsid w:val="0E6F41D1"/>
    <w:rsid w:val="0E722825"/>
    <w:rsid w:val="0E7411AD"/>
    <w:rsid w:val="0E7A141D"/>
    <w:rsid w:val="0E7B0A75"/>
    <w:rsid w:val="0E8268D9"/>
    <w:rsid w:val="0E8807AB"/>
    <w:rsid w:val="0E89074D"/>
    <w:rsid w:val="0E8E64BB"/>
    <w:rsid w:val="0E8F19A8"/>
    <w:rsid w:val="0E91017B"/>
    <w:rsid w:val="0E9366C7"/>
    <w:rsid w:val="0E993E06"/>
    <w:rsid w:val="0E9D4241"/>
    <w:rsid w:val="0E9D46AA"/>
    <w:rsid w:val="0EA45BB1"/>
    <w:rsid w:val="0EA55AF2"/>
    <w:rsid w:val="0EAC24F8"/>
    <w:rsid w:val="0EAC3CBA"/>
    <w:rsid w:val="0EAD2BF9"/>
    <w:rsid w:val="0EB05467"/>
    <w:rsid w:val="0EB12885"/>
    <w:rsid w:val="0EBB0AF5"/>
    <w:rsid w:val="0EBF271A"/>
    <w:rsid w:val="0EC511EB"/>
    <w:rsid w:val="0EC90709"/>
    <w:rsid w:val="0ECA37AB"/>
    <w:rsid w:val="0ECB5C77"/>
    <w:rsid w:val="0ECC5050"/>
    <w:rsid w:val="0ED1675C"/>
    <w:rsid w:val="0ED30604"/>
    <w:rsid w:val="0ED7001D"/>
    <w:rsid w:val="0ED75053"/>
    <w:rsid w:val="0ED803F2"/>
    <w:rsid w:val="0EDB2ED3"/>
    <w:rsid w:val="0EDB66E1"/>
    <w:rsid w:val="0EDD359D"/>
    <w:rsid w:val="0EE515B1"/>
    <w:rsid w:val="0EED0D51"/>
    <w:rsid w:val="0EEF3055"/>
    <w:rsid w:val="0EFD199E"/>
    <w:rsid w:val="0F016DD8"/>
    <w:rsid w:val="0F0733DE"/>
    <w:rsid w:val="0F0821D4"/>
    <w:rsid w:val="0F083500"/>
    <w:rsid w:val="0F0C3D29"/>
    <w:rsid w:val="0F0D56D8"/>
    <w:rsid w:val="0F131D50"/>
    <w:rsid w:val="0F144DA6"/>
    <w:rsid w:val="0F14552D"/>
    <w:rsid w:val="0F150361"/>
    <w:rsid w:val="0F164A30"/>
    <w:rsid w:val="0F1829AB"/>
    <w:rsid w:val="0F197AFE"/>
    <w:rsid w:val="0F1A7BDE"/>
    <w:rsid w:val="0F1B7B63"/>
    <w:rsid w:val="0F1C09E0"/>
    <w:rsid w:val="0F1F287A"/>
    <w:rsid w:val="0F1F6607"/>
    <w:rsid w:val="0F20786F"/>
    <w:rsid w:val="0F2703DF"/>
    <w:rsid w:val="0F27150D"/>
    <w:rsid w:val="0F296C83"/>
    <w:rsid w:val="0F2A070A"/>
    <w:rsid w:val="0F2A42B1"/>
    <w:rsid w:val="0F2A6255"/>
    <w:rsid w:val="0F2F2EC8"/>
    <w:rsid w:val="0F2F581E"/>
    <w:rsid w:val="0F315312"/>
    <w:rsid w:val="0F330E63"/>
    <w:rsid w:val="0F331A75"/>
    <w:rsid w:val="0F375B94"/>
    <w:rsid w:val="0F381C1E"/>
    <w:rsid w:val="0F3A32D1"/>
    <w:rsid w:val="0F3B634D"/>
    <w:rsid w:val="0F3C36DB"/>
    <w:rsid w:val="0F3C74CA"/>
    <w:rsid w:val="0F4148DB"/>
    <w:rsid w:val="0F426631"/>
    <w:rsid w:val="0F435FFE"/>
    <w:rsid w:val="0F47692B"/>
    <w:rsid w:val="0F491DA8"/>
    <w:rsid w:val="0F4D70AC"/>
    <w:rsid w:val="0F4F2EF5"/>
    <w:rsid w:val="0F56697E"/>
    <w:rsid w:val="0F58737D"/>
    <w:rsid w:val="0F594A81"/>
    <w:rsid w:val="0F5A67CC"/>
    <w:rsid w:val="0F5B3083"/>
    <w:rsid w:val="0F5F50D5"/>
    <w:rsid w:val="0F5F5DCC"/>
    <w:rsid w:val="0F60110D"/>
    <w:rsid w:val="0F603B6A"/>
    <w:rsid w:val="0F625791"/>
    <w:rsid w:val="0F63756F"/>
    <w:rsid w:val="0F6A2D2A"/>
    <w:rsid w:val="0F6C1D02"/>
    <w:rsid w:val="0F6F718A"/>
    <w:rsid w:val="0F7046F1"/>
    <w:rsid w:val="0F745074"/>
    <w:rsid w:val="0F777EF4"/>
    <w:rsid w:val="0F79262D"/>
    <w:rsid w:val="0F8262D7"/>
    <w:rsid w:val="0F832005"/>
    <w:rsid w:val="0F8324D3"/>
    <w:rsid w:val="0F87169C"/>
    <w:rsid w:val="0F890791"/>
    <w:rsid w:val="0F8A3038"/>
    <w:rsid w:val="0F8A5104"/>
    <w:rsid w:val="0F930A76"/>
    <w:rsid w:val="0F9747AB"/>
    <w:rsid w:val="0F983EE4"/>
    <w:rsid w:val="0F9D7B53"/>
    <w:rsid w:val="0F9F0794"/>
    <w:rsid w:val="0FA22BC7"/>
    <w:rsid w:val="0FA5389B"/>
    <w:rsid w:val="0FA73EFD"/>
    <w:rsid w:val="0FAB0269"/>
    <w:rsid w:val="0FB12C35"/>
    <w:rsid w:val="0FB433FC"/>
    <w:rsid w:val="0FB820C5"/>
    <w:rsid w:val="0FBA7FD3"/>
    <w:rsid w:val="0FBB6FD9"/>
    <w:rsid w:val="0FBF1DDE"/>
    <w:rsid w:val="0FC007BB"/>
    <w:rsid w:val="0FC8294D"/>
    <w:rsid w:val="0FC90C06"/>
    <w:rsid w:val="0FCB7E39"/>
    <w:rsid w:val="0FD00F89"/>
    <w:rsid w:val="0FD30027"/>
    <w:rsid w:val="0FD8695E"/>
    <w:rsid w:val="0FDC0FB6"/>
    <w:rsid w:val="0FDD52AD"/>
    <w:rsid w:val="0FE9411C"/>
    <w:rsid w:val="0FEB30D8"/>
    <w:rsid w:val="0FEE3D42"/>
    <w:rsid w:val="0FF03D12"/>
    <w:rsid w:val="0FF26B15"/>
    <w:rsid w:val="0FF70DDE"/>
    <w:rsid w:val="0FFF5053"/>
    <w:rsid w:val="10066694"/>
    <w:rsid w:val="10092076"/>
    <w:rsid w:val="100D704E"/>
    <w:rsid w:val="100E0439"/>
    <w:rsid w:val="10191EBC"/>
    <w:rsid w:val="101A3BE9"/>
    <w:rsid w:val="101B059E"/>
    <w:rsid w:val="101C0E48"/>
    <w:rsid w:val="101C2B8B"/>
    <w:rsid w:val="101D7D07"/>
    <w:rsid w:val="101E3DAE"/>
    <w:rsid w:val="10203DCD"/>
    <w:rsid w:val="102176D5"/>
    <w:rsid w:val="10232F27"/>
    <w:rsid w:val="10241056"/>
    <w:rsid w:val="102424FB"/>
    <w:rsid w:val="1027759E"/>
    <w:rsid w:val="102A5DB3"/>
    <w:rsid w:val="102B1B16"/>
    <w:rsid w:val="102B5C1A"/>
    <w:rsid w:val="102D2193"/>
    <w:rsid w:val="102E1B18"/>
    <w:rsid w:val="10300884"/>
    <w:rsid w:val="10397B3B"/>
    <w:rsid w:val="103E6491"/>
    <w:rsid w:val="104372BC"/>
    <w:rsid w:val="10476460"/>
    <w:rsid w:val="1048472F"/>
    <w:rsid w:val="104C0B2D"/>
    <w:rsid w:val="104F7D32"/>
    <w:rsid w:val="10554633"/>
    <w:rsid w:val="10583AC4"/>
    <w:rsid w:val="10590C7F"/>
    <w:rsid w:val="105D286E"/>
    <w:rsid w:val="105D4915"/>
    <w:rsid w:val="106175F9"/>
    <w:rsid w:val="10624387"/>
    <w:rsid w:val="1064310E"/>
    <w:rsid w:val="106663EC"/>
    <w:rsid w:val="1068160F"/>
    <w:rsid w:val="1069677C"/>
    <w:rsid w:val="106A0DA2"/>
    <w:rsid w:val="106E43B7"/>
    <w:rsid w:val="106F63B8"/>
    <w:rsid w:val="1076275A"/>
    <w:rsid w:val="1076673E"/>
    <w:rsid w:val="10771E6A"/>
    <w:rsid w:val="107832ED"/>
    <w:rsid w:val="107C65EA"/>
    <w:rsid w:val="10816276"/>
    <w:rsid w:val="108177EF"/>
    <w:rsid w:val="10835115"/>
    <w:rsid w:val="10836BF5"/>
    <w:rsid w:val="108517A9"/>
    <w:rsid w:val="108A1981"/>
    <w:rsid w:val="108B5EF8"/>
    <w:rsid w:val="108C1B65"/>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15801"/>
    <w:rsid w:val="10B6494E"/>
    <w:rsid w:val="10B64CF0"/>
    <w:rsid w:val="10B822BF"/>
    <w:rsid w:val="10C358AD"/>
    <w:rsid w:val="10CA4802"/>
    <w:rsid w:val="10CB2E6B"/>
    <w:rsid w:val="10D25F76"/>
    <w:rsid w:val="10D3115B"/>
    <w:rsid w:val="10D50142"/>
    <w:rsid w:val="10D63177"/>
    <w:rsid w:val="10D84401"/>
    <w:rsid w:val="10DB60FA"/>
    <w:rsid w:val="10E15560"/>
    <w:rsid w:val="10E1634A"/>
    <w:rsid w:val="10E35AD2"/>
    <w:rsid w:val="10E36AC3"/>
    <w:rsid w:val="10E473F4"/>
    <w:rsid w:val="10E611F7"/>
    <w:rsid w:val="10EB2551"/>
    <w:rsid w:val="10EB5128"/>
    <w:rsid w:val="10ED4667"/>
    <w:rsid w:val="10EE0050"/>
    <w:rsid w:val="10EE1597"/>
    <w:rsid w:val="10F10A25"/>
    <w:rsid w:val="10F377B1"/>
    <w:rsid w:val="10F5208B"/>
    <w:rsid w:val="10FA38CF"/>
    <w:rsid w:val="10FD4EE8"/>
    <w:rsid w:val="11015128"/>
    <w:rsid w:val="110157F9"/>
    <w:rsid w:val="110312E4"/>
    <w:rsid w:val="110944DE"/>
    <w:rsid w:val="110969EB"/>
    <w:rsid w:val="110E686D"/>
    <w:rsid w:val="1112264B"/>
    <w:rsid w:val="111355CE"/>
    <w:rsid w:val="11150096"/>
    <w:rsid w:val="111610E7"/>
    <w:rsid w:val="11190AF5"/>
    <w:rsid w:val="11192775"/>
    <w:rsid w:val="111A58D5"/>
    <w:rsid w:val="111C2FCB"/>
    <w:rsid w:val="112202D3"/>
    <w:rsid w:val="11265692"/>
    <w:rsid w:val="1127048C"/>
    <w:rsid w:val="112752A5"/>
    <w:rsid w:val="112A2A64"/>
    <w:rsid w:val="112A3DDD"/>
    <w:rsid w:val="112B3233"/>
    <w:rsid w:val="112C24FB"/>
    <w:rsid w:val="112F4EBC"/>
    <w:rsid w:val="112F7C7E"/>
    <w:rsid w:val="11324EC4"/>
    <w:rsid w:val="11335080"/>
    <w:rsid w:val="11336E03"/>
    <w:rsid w:val="1135023B"/>
    <w:rsid w:val="113B0990"/>
    <w:rsid w:val="113C3BA0"/>
    <w:rsid w:val="113F5EE3"/>
    <w:rsid w:val="11433A22"/>
    <w:rsid w:val="1144045E"/>
    <w:rsid w:val="11467947"/>
    <w:rsid w:val="11473B0D"/>
    <w:rsid w:val="11474C44"/>
    <w:rsid w:val="11496AC4"/>
    <w:rsid w:val="114B1036"/>
    <w:rsid w:val="114C54EF"/>
    <w:rsid w:val="114C5B25"/>
    <w:rsid w:val="114F11FD"/>
    <w:rsid w:val="11514471"/>
    <w:rsid w:val="115357B4"/>
    <w:rsid w:val="11536AF7"/>
    <w:rsid w:val="11551A52"/>
    <w:rsid w:val="11555B10"/>
    <w:rsid w:val="115854B1"/>
    <w:rsid w:val="1159469D"/>
    <w:rsid w:val="115A500F"/>
    <w:rsid w:val="115B1247"/>
    <w:rsid w:val="115B1E9A"/>
    <w:rsid w:val="115B5ADE"/>
    <w:rsid w:val="115F0910"/>
    <w:rsid w:val="115F1E81"/>
    <w:rsid w:val="115F51E8"/>
    <w:rsid w:val="1160292B"/>
    <w:rsid w:val="1164219C"/>
    <w:rsid w:val="116513EC"/>
    <w:rsid w:val="11653B97"/>
    <w:rsid w:val="11662EB4"/>
    <w:rsid w:val="116B6BB2"/>
    <w:rsid w:val="116C044A"/>
    <w:rsid w:val="116C06A4"/>
    <w:rsid w:val="116C34F0"/>
    <w:rsid w:val="116E3FD1"/>
    <w:rsid w:val="116E5CDD"/>
    <w:rsid w:val="116F3C27"/>
    <w:rsid w:val="11723ED3"/>
    <w:rsid w:val="117F087D"/>
    <w:rsid w:val="118206CB"/>
    <w:rsid w:val="118245D3"/>
    <w:rsid w:val="1189727B"/>
    <w:rsid w:val="118A0CE6"/>
    <w:rsid w:val="118C60F4"/>
    <w:rsid w:val="11915CF7"/>
    <w:rsid w:val="11987977"/>
    <w:rsid w:val="119A05F9"/>
    <w:rsid w:val="119A1153"/>
    <w:rsid w:val="119B36EB"/>
    <w:rsid w:val="119E4D16"/>
    <w:rsid w:val="11A0196C"/>
    <w:rsid w:val="11A45485"/>
    <w:rsid w:val="11A52FB3"/>
    <w:rsid w:val="11A83883"/>
    <w:rsid w:val="11AA5460"/>
    <w:rsid w:val="11AD1538"/>
    <w:rsid w:val="11AF7D40"/>
    <w:rsid w:val="11B130D5"/>
    <w:rsid w:val="11B24375"/>
    <w:rsid w:val="11B42DD1"/>
    <w:rsid w:val="11B47664"/>
    <w:rsid w:val="11B50549"/>
    <w:rsid w:val="11B5721B"/>
    <w:rsid w:val="11B70FC9"/>
    <w:rsid w:val="11B823B9"/>
    <w:rsid w:val="11B82541"/>
    <w:rsid w:val="11B87A85"/>
    <w:rsid w:val="11B9674D"/>
    <w:rsid w:val="11BA1DD9"/>
    <w:rsid w:val="11C0723F"/>
    <w:rsid w:val="11C513C6"/>
    <w:rsid w:val="11C82925"/>
    <w:rsid w:val="11CC4692"/>
    <w:rsid w:val="11CD7AC2"/>
    <w:rsid w:val="11CE02E2"/>
    <w:rsid w:val="11D16C2B"/>
    <w:rsid w:val="11D2123E"/>
    <w:rsid w:val="11D30BC8"/>
    <w:rsid w:val="11D31F2B"/>
    <w:rsid w:val="11D40A8A"/>
    <w:rsid w:val="11D603FE"/>
    <w:rsid w:val="11D65080"/>
    <w:rsid w:val="11DB0C82"/>
    <w:rsid w:val="11DC4BE1"/>
    <w:rsid w:val="11DE3E25"/>
    <w:rsid w:val="11DF5960"/>
    <w:rsid w:val="11E17F46"/>
    <w:rsid w:val="11E55F6E"/>
    <w:rsid w:val="11ED04A1"/>
    <w:rsid w:val="11F2705C"/>
    <w:rsid w:val="11F76665"/>
    <w:rsid w:val="11F937D9"/>
    <w:rsid w:val="11FC4EF3"/>
    <w:rsid w:val="12005BE6"/>
    <w:rsid w:val="12040D82"/>
    <w:rsid w:val="12062EBE"/>
    <w:rsid w:val="120732A2"/>
    <w:rsid w:val="120832E7"/>
    <w:rsid w:val="120C0209"/>
    <w:rsid w:val="121079B0"/>
    <w:rsid w:val="121A6B4C"/>
    <w:rsid w:val="121D7177"/>
    <w:rsid w:val="121E178D"/>
    <w:rsid w:val="121E6185"/>
    <w:rsid w:val="121F1955"/>
    <w:rsid w:val="121F3E0E"/>
    <w:rsid w:val="1221036F"/>
    <w:rsid w:val="1223126C"/>
    <w:rsid w:val="12260CF8"/>
    <w:rsid w:val="122741D7"/>
    <w:rsid w:val="122B425A"/>
    <w:rsid w:val="122B4A2E"/>
    <w:rsid w:val="123358FC"/>
    <w:rsid w:val="12345201"/>
    <w:rsid w:val="12367FCB"/>
    <w:rsid w:val="12382C79"/>
    <w:rsid w:val="123A48F3"/>
    <w:rsid w:val="123B0F4E"/>
    <w:rsid w:val="123C7713"/>
    <w:rsid w:val="123D6294"/>
    <w:rsid w:val="12401626"/>
    <w:rsid w:val="12406FD7"/>
    <w:rsid w:val="124433B1"/>
    <w:rsid w:val="124558B4"/>
    <w:rsid w:val="124B7F3C"/>
    <w:rsid w:val="12500840"/>
    <w:rsid w:val="1255140E"/>
    <w:rsid w:val="125923AC"/>
    <w:rsid w:val="125C18C7"/>
    <w:rsid w:val="125C296C"/>
    <w:rsid w:val="125C7FD7"/>
    <w:rsid w:val="125E58F0"/>
    <w:rsid w:val="126129C2"/>
    <w:rsid w:val="12665098"/>
    <w:rsid w:val="12683A12"/>
    <w:rsid w:val="12686187"/>
    <w:rsid w:val="1269496B"/>
    <w:rsid w:val="126C69C0"/>
    <w:rsid w:val="126E3772"/>
    <w:rsid w:val="1270568E"/>
    <w:rsid w:val="12753927"/>
    <w:rsid w:val="12754072"/>
    <w:rsid w:val="12763742"/>
    <w:rsid w:val="12773960"/>
    <w:rsid w:val="127C557C"/>
    <w:rsid w:val="12827695"/>
    <w:rsid w:val="12851EC5"/>
    <w:rsid w:val="12852EEA"/>
    <w:rsid w:val="1286029B"/>
    <w:rsid w:val="1286242B"/>
    <w:rsid w:val="128B1AAC"/>
    <w:rsid w:val="128B4FFF"/>
    <w:rsid w:val="128F5D4B"/>
    <w:rsid w:val="128F7F8B"/>
    <w:rsid w:val="12932802"/>
    <w:rsid w:val="129A4C68"/>
    <w:rsid w:val="129A73A9"/>
    <w:rsid w:val="129E2FE7"/>
    <w:rsid w:val="129F40F1"/>
    <w:rsid w:val="12A2119D"/>
    <w:rsid w:val="12A243F9"/>
    <w:rsid w:val="12A55E02"/>
    <w:rsid w:val="12B10F0A"/>
    <w:rsid w:val="12B448BF"/>
    <w:rsid w:val="12B66906"/>
    <w:rsid w:val="12B7583E"/>
    <w:rsid w:val="12BC54AB"/>
    <w:rsid w:val="12BE22C2"/>
    <w:rsid w:val="12BE56BD"/>
    <w:rsid w:val="12BF44FB"/>
    <w:rsid w:val="12C118C2"/>
    <w:rsid w:val="12C46F99"/>
    <w:rsid w:val="12C47185"/>
    <w:rsid w:val="12C71DE9"/>
    <w:rsid w:val="12D21C25"/>
    <w:rsid w:val="12D5161F"/>
    <w:rsid w:val="12D839F7"/>
    <w:rsid w:val="12DA26B1"/>
    <w:rsid w:val="12DC1972"/>
    <w:rsid w:val="12DC2123"/>
    <w:rsid w:val="12DE5996"/>
    <w:rsid w:val="12E4282D"/>
    <w:rsid w:val="12E5006F"/>
    <w:rsid w:val="12EA0F15"/>
    <w:rsid w:val="12EC70DB"/>
    <w:rsid w:val="12EE485A"/>
    <w:rsid w:val="12F931A9"/>
    <w:rsid w:val="12FB210C"/>
    <w:rsid w:val="12FF4867"/>
    <w:rsid w:val="13010D3C"/>
    <w:rsid w:val="130152C1"/>
    <w:rsid w:val="1302674E"/>
    <w:rsid w:val="130513AD"/>
    <w:rsid w:val="130617B1"/>
    <w:rsid w:val="13062E42"/>
    <w:rsid w:val="130A6064"/>
    <w:rsid w:val="130A60A9"/>
    <w:rsid w:val="130B0A73"/>
    <w:rsid w:val="130B27E0"/>
    <w:rsid w:val="130B6250"/>
    <w:rsid w:val="130E2210"/>
    <w:rsid w:val="131000A1"/>
    <w:rsid w:val="13147075"/>
    <w:rsid w:val="13165CCB"/>
    <w:rsid w:val="13191B44"/>
    <w:rsid w:val="131A7FB2"/>
    <w:rsid w:val="132224FB"/>
    <w:rsid w:val="13226F4E"/>
    <w:rsid w:val="132339DE"/>
    <w:rsid w:val="13237D00"/>
    <w:rsid w:val="13240A0B"/>
    <w:rsid w:val="132867BA"/>
    <w:rsid w:val="133D6627"/>
    <w:rsid w:val="1341028D"/>
    <w:rsid w:val="134118AE"/>
    <w:rsid w:val="13424A2D"/>
    <w:rsid w:val="1343403F"/>
    <w:rsid w:val="13456F4C"/>
    <w:rsid w:val="1346298B"/>
    <w:rsid w:val="13487BC7"/>
    <w:rsid w:val="135414C5"/>
    <w:rsid w:val="13552D67"/>
    <w:rsid w:val="13555633"/>
    <w:rsid w:val="13563DAD"/>
    <w:rsid w:val="13567904"/>
    <w:rsid w:val="135B0551"/>
    <w:rsid w:val="135B5997"/>
    <w:rsid w:val="1360506C"/>
    <w:rsid w:val="13615AD3"/>
    <w:rsid w:val="136373F0"/>
    <w:rsid w:val="13683DAF"/>
    <w:rsid w:val="136B514F"/>
    <w:rsid w:val="136E4917"/>
    <w:rsid w:val="13710699"/>
    <w:rsid w:val="13721448"/>
    <w:rsid w:val="137723E0"/>
    <w:rsid w:val="137D465B"/>
    <w:rsid w:val="137E5A7E"/>
    <w:rsid w:val="1380639A"/>
    <w:rsid w:val="138376BF"/>
    <w:rsid w:val="13856AE5"/>
    <w:rsid w:val="13884241"/>
    <w:rsid w:val="138B3C13"/>
    <w:rsid w:val="138E4DA7"/>
    <w:rsid w:val="13937663"/>
    <w:rsid w:val="1394650B"/>
    <w:rsid w:val="139A7BF0"/>
    <w:rsid w:val="139B7CCB"/>
    <w:rsid w:val="139C6134"/>
    <w:rsid w:val="139E0208"/>
    <w:rsid w:val="139E3766"/>
    <w:rsid w:val="13A079BD"/>
    <w:rsid w:val="13A47323"/>
    <w:rsid w:val="13A715BF"/>
    <w:rsid w:val="13A9398F"/>
    <w:rsid w:val="13AE1A0E"/>
    <w:rsid w:val="13AF056F"/>
    <w:rsid w:val="13B01E32"/>
    <w:rsid w:val="13B0647F"/>
    <w:rsid w:val="13B14567"/>
    <w:rsid w:val="13B23977"/>
    <w:rsid w:val="13B30D50"/>
    <w:rsid w:val="13B6418A"/>
    <w:rsid w:val="13BD4CFD"/>
    <w:rsid w:val="13BF01F0"/>
    <w:rsid w:val="13C43CBF"/>
    <w:rsid w:val="13C44C6D"/>
    <w:rsid w:val="13C57DF3"/>
    <w:rsid w:val="13C734D6"/>
    <w:rsid w:val="13C8086B"/>
    <w:rsid w:val="13C875D6"/>
    <w:rsid w:val="13CC66E1"/>
    <w:rsid w:val="13CD0ADC"/>
    <w:rsid w:val="13CE4254"/>
    <w:rsid w:val="13CF3DBE"/>
    <w:rsid w:val="13DD5884"/>
    <w:rsid w:val="13DD698E"/>
    <w:rsid w:val="13DE609A"/>
    <w:rsid w:val="13E50C9A"/>
    <w:rsid w:val="13E83D5C"/>
    <w:rsid w:val="13E84101"/>
    <w:rsid w:val="13EF54D1"/>
    <w:rsid w:val="13F44E4F"/>
    <w:rsid w:val="13F75831"/>
    <w:rsid w:val="13F96701"/>
    <w:rsid w:val="13FA460B"/>
    <w:rsid w:val="140131F4"/>
    <w:rsid w:val="140133A1"/>
    <w:rsid w:val="14017124"/>
    <w:rsid w:val="140608C5"/>
    <w:rsid w:val="14061F25"/>
    <w:rsid w:val="14072C98"/>
    <w:rsid w:val="140A24FB"/>
    <w:rsid w:val="140A7638"/>
    <w:rsid w:val="140D23D3"/>
    <w:rsid w:val="140D321C"/>
    <w:rsid w:val="140E4B5D"/>
    <w:rsid w:val="14112315"/>
    <w:rsid w:val="1411521B"/>
    <w:rsid w:val="14127159"/>
    <w:rsid w:val="14130381"/>
    <w:rsid w:val="141472E9"/>
    <w:rsid w:val="14186DDA"/>
    <w:rsid w:val="141F5703"/>
    <w:rsid w:val="141F595F"/>
    <w:rsid w:val="14203FED"/>
    <w:rsid w:val="142340BD"/>
    <w:rsid w:val="142741A0"/>
    <w:rsid w:val="142C1EE4"/>
    <w:rsid w:val="142C3433"/>
    <w:rsid w:val="142D7D90"/>
    <w:rsid w:val="142E05E9"/>
    <w:rsid w:val="142E35E2"/>
    <w:rsid w:val="1431123A"/>
    <w:rsid w:val="143316F4"/>
    <w:rsid w:val="14345F49"/>
    <w:rsid w:val="14352AF0"/>
    <w:rsid w:val="143646A8"/>
    <w:rsid w:val="14381896"/>
    <w:rsid w:val="143D488E"/>
    <w:rsid w:val="1441169E"/>
    <w:rsid w:val="14432035"/>
    <w:rsid w:val="14433307"/>
    <w:rsid w:val="14435074"/>
    <w:rsid w:val="1444190A"/>
    <w:rsid w:val="14493AFF"/>
    <w:rsid w:val="14517B47"/>
    <w:rsid w:val="145365CE"/>
    <w:rsid w:val="14542064"/>
    <w:rsid w:val="14546740"/>
    <w:rsid w:val="145F3F63"/>
    <w:rsid w:val="14623991"/>
    <w:rsid w:val="146270F7"/>
    <w:rsid w:val="1463126A"/>
    <w:rsid w:val="14695CBF"/>
    <w:rsid w:val="14696214"/>
    <w:rsid w:val="146A0254"/>
    <w:rsid w:val="146B71CA"/>
    <w:rsid w:val="146E4624"/>
    <w:rsid w:val="14756795"/>
    <w:rsid w:val="1478525D"/>
    <w:rsid w:val="147C272B"/>
    <w:rsid w:val="147D4FFB"/>
    <w:rsid w:val="147F55F2"/>
    <w:rsid w:val="14813092"/>
    <w:rsid w:val="148649BA"/>
    <w:rsid w:val="148C11D4"/>
    <w:rsid w:val="148C2650"/>
    <w:rsid w:val="148F2A0B"/>
    <w:rsid w:val="14904E66"/>
    <w:rsid w:val="14922618"/>
    <w:rsid w:val="14926507"/>
    <w:rsid w:val="149647D7"/>
    <w:rsid w:val="14971C2E"/>
    <w:rsid w:val="149B7B55"/>
    <w:rsid w:val="149C011E"/>
    <w:rsid w:val="149E5053"/>
    <w:rsid w:val="149F179E"/>
    <w:rsid w:val="14A14F26"/>
    <w:rsid w:val="14A351A6"/>
    <w:rsid w:val="14AB1989"/>
    <w:rsid w:val="14AF2B50"/>
    <w:rsid w:val="14B15F56"/>
    <w:rsid w:val="14B32029"/>
    <w:rsid w:val="14B801EF"/>
    <w:rsid w:val="14B95C8D"/>
    <w:rsid w:val="14BA1F6B"/>
    <w:rsid w:val="14BA3269"/>
    <w:rsid w:val="14BE57FC"/>
    <w:rsid w:val="14BF5874"/>
    <w:rsid w:val="14C15A7E"/>
    <w:rsid w:val="14C35CF5"/>
    <w:rsid w:val="14C978A6"/>
    <w:rsid w:val="14CA42B2"/>
    <w:rsid w:val="14CC211D"/>
    <w:rsid w:val="14CF286D"/>
    <w:rsid w:val="14D0012C"/>
    <w:rsid w:val="14D2682F"/>
    <w:rsid w:val="14D82F83"/>
    <w:rsid w:val="14D877A5"/>
    <w:rsid w:val="14D955E8"/>
    <w:rsid w:val="14DB0312"/>
    <w:rsid w:val="14DC2454"/>
    <w:rsid w:val="14DD7F37"/>
    <w:rsid w:val="14E32BE3"/>
    <w:rsid w:val="14E51BBA"/>
    <w:rsid w:val="14E95114"/>
    <w:rsid w:val="14ED464E"/>
    <w:rsid w:val="14ED6FE9"/>
    <w:rsid w:val="14EE24DA"/>
    <w:rsid w:val="14EF6A83"/>
    <w:rsid w:val="14F17BC9"/>
    <w:rsid w:val="14F64881"/>
    <w:rsid w:val="14F70942"/>
    <w:rsid w:val="14F83400"/>
    <w:rsid w:val="14FA1E42"/>
    <w:rsid w:val="14FA4557"/>
    <w:rsid w:val="14FB2312"/>
    <w:rsid w:val="14FC4C15"/>
    <w:rsid w:val="14FD5B09"/>
    <w:rsid w:val="15010527"/>
    <w:rsid w:val="15015B41"/>
    <w:rsid w:val="150268BC"/>
    <w:rsid w:val="15051099"/>
    <w:rsid w:val="150753B8"/>
    <w:rsid w:val="150C6A0A"/>
    <w:rsid w:val="150E48C1"/>
    <w:rsid w:val="15117197"/>
    <w:rsid w:val="15135FD5"/>
    <w:rsid w:val="151A0D2B"/>
    <w:rsid w:val="151A74B4"/>
    <w:rsid w:val="151B605E"/>
    <w:rsid w:val="151F5A5E"/>
    <w:rsid w:val="15203431"/>
    <w:rsid w:val="1522756A"/>
    <w:rsid w:val="15227B98"/>
    <w:rsid w:val="152655B1"/>
    <w:rsid w:val="152715AA"/>
    <w:rsid w:val="15284AD6"/>
    <w:rsid w:val="15285E42"/>
    <w:rsid w:val="152E348C"/>
    <w:rsid w:val="15301749"/>
    <w:rsid w:val="15347AAA"/>
    <w:rsid w:val="15363948"/>
    <w:rsid w:val="15371D84"/>
    <w:rsid w:val="15374C90"/>
    <w:rsid w:val="15381FBA"/>
    <w:rsid w:val="15387E2A"/>
    <w:rsid w:val="153A20AB"/>
    <w:rsid w:val="153A7381"/>
    <w:rsid w:val="153B0C5A"/>
    <w:rsid w:val="153F068D"/>
    <w:rsid w:val="15483D48"/>
    <w:rsid w:val="15487AFB"/>
    <w:rsid w:val="154A02E0"/>
    <w:rsid w:val="1550622B"/>
    <w:rsid w:val="1552668C"/>
    <w:rsid w:val="155A2583"/>
    <w:rsid w:val="155B1875"/>
    <w:rsid w:val="155C1A56"/>
    <w:rsid w:val="155C53BA"/>
    <w:rsid w:val="155D228E"/>
    <w:rsid w:val="15621661"/>
    <w:rsid w:val="15622D23"/>
    <w:rsid w:val="15626D49"/>
    <w:rsid w:val="156372AC"/>
    <w:rsid w:val="15665E58"/>
    <w:rsid w:val="1568454B"/>
    <w:rsid w:val="156E198E"/>
    <w:rsid w:val="156F29B6"/>
    <w:rsid w:val="156F4E0F"/>
    <w:rsid w:val="15756388"/>
    <w:rsid w:val="15783F19"/>
    <w:rsid w:val="157950A9"/>
    <w:rsid w:val="157B794F"/>
    <w:rsid w:val="157C287D"/>
    <w:rsid w:val="157C2FFC"/>
    <w:rsid w:val="157E49DD"/>
    <w:rsid w:val="15820C4A"/>
    <w:rsid w:val="15842B14"/>
    <w:rsid w:val="1585010C"/>
    <w:rsid w:val="158801A5"/>
    <w:rsid w:val="15882CBC"/>
    <w:rsid w:val="158B3C70"/>
    <w:rsid w:val="158C6314"/>
    <w:rsid w:val="158D057E"/>
    <w:rsid w:val="158D422C"/>
    <w:rsid w:val="1590174A"/>
    <w:rsid w:val="15917A25"/>
    <w:rsid w:val="159242BA"/>
    <w:rsid w:val="15947001"/>
    <w:rsid w:val="15965E19"/>
    <w:rsid w:val="159927DE"/>
    <w:rsid w:val="159B0430"/>
    <w:rsid w:val="159C3748"/>
    <w:rsid w:val="15A33948"/>
    <w:rsid w:val="15A5056B"/>
    <w:rsid w:val="15A72264"/>
    <w:rsid w:val="15A925A6"/>
    <w:rsid w:val="15AB47A5"/>
    <w:rsid w:val="15AD1950"/>
    <w:rsid w:val="15AE3862"/>
    <w:rsid w:val="15B20202"/>
    <w:rsid w:val="15B31005"/>
    <w:rsid w:val="15B47DD2"/>
    <w:rsid w:val="15B63792"/>
    <w:rsid w:val="15B66606"/>
    <w:rsid w:val="15B85348"/>
    <w:rsid w:val="15B87ECF"/>
    <w:rsid w:val="15B91E83"/>
    <w:rsid w:val="15BA1C04"/>
    <w:rsid w:val="15BF29C1"/>
    <w:rsid w:val="15C00173"/>
    <w:rsid w:val="15C10F74"/>
    <w:rsid w:val="15C446D3"/>
    <w:rsid w:val="15C832A4"/>
    <w:rsid w:val="15CE612C"/>
    <w:rsid w:val="15D171CD"/>
    <w:rsid w:val="15D36E9F"/>
    <w:rsid w:val="15D557E8"/>
    <w:rsid w:val="15D67329"/>
    <w:rsid w:val="15D879FB"/>
    <w:rsid w:val="15DC08ED"/>
    <w:rsid w:val="15DD398E"/>
    <w:rsid w:val="15DE04AE"/>
    <w:rsid w:val="15E24F2A"/>
    <w:rsid w:val="15E27FB6"/>
    <w:rsid w:val="15E802A9"/>
    <w:rsid w:val="15EA042A"/>
    <w:rsid w:val="15EA3B19"/>
    <w:rsid w:val="15EB4347"/>
    <w:rsid w:val="15EB5E83"/>
    <w:rsid w:val="15F10400"/>
    <w:rsid w:val="15F2655D"/>
    <w:rsid w:val="15F2688D"/>
    <w:rsid w:val="15F37130"/>
    <w:rsid w:val="15F44895"/>
    <w:rsid w:val="15F555B1"/>
    <w:rsid w:val="15F9189B"/>
    <w:rsid w:val="15F97B2D"/>
    <w:rsid w:val="160106C9"/>
    <w:rsid w:val="16021CCF"/>
    <w:rsid w:val="16062B46"/>
    <w:rsid w:val="160B42C7"/>
    <w:rsid w:val="160F3EE0"/>
    <w:rsid w:val="160F6CB2"/>
    <w:rsid w:val="16121A8E"/>
    <w:rsid w:val="16136869"/>
    <w:rsid w:val="16175510"/>
    <w:rsid w:val="161821C4"/>
    <w:rsid w:val="1618419F"/>
    <w:rsid w:val="16184DFC"/>
    <w:rsid w:val="161A450A"/>
    <w:rsid w:val="161B725D"/>
    <w:rsid w:val="161F3B88"/>
    <w:rsid w:val="161F6226"/>
    <w:rsid w:val="162365F7"/>
    <w:rsid w:val="162572CB"/>
    <w:rsid w:val="16265E4F"/>
    <w:rsid w:val="162867DC"/>
    <w:rsid w:val="163069CD"/>
    <w:rsid w:val="16345B6B"/>
    <w:rsid w:val="1634658C"/>
    <w:rsid w:val="16372FB3"/>
    <w:rsid w:val="16396008"/>
    <w:rsid w:val="163A34AB"/>
    <w:rsid w:val="163A62F1"/>
    <w:rsid w:val="163B5300"/>
    <w:rsid w:val="163D5524"/>
    <w:rsid w:val="163E337B"/>
    <w:rsid w:val="16400FD8"/>
    <w:rsid w:val="16417B6E"/>
    <w:rsid w:val="16436B43"/>
    <w:rsid w:val="16467AFC"/>
    <w:rsid w:val="16475C2B"/>
    <w:rsid w:val="164A390D"/>
    <w:rsid w:val="165018A4"/>
    <w:rsid w:val="16505C02"/>
    <w:rsid w:val="16506BA1"/>
    <w:rsid w:val="16550E71"/>
    <w:rsid w:val="165A76B4"/>
    <w:rsid w:val="165C51B8"/>
    <w:rsid w:val="165D1327"/>
    <w:rsid w:val="165E1C4A"/>
    <w:rsid w:val="16677569"/>
    <w:rsid w:val="16692011"/>
    <w:rsid w:val="16693DDE"/>
    <w:rsid w:val="166B5873"/>
    <w:rsid w:val="166D6432"/>
    <w:rsid w:val="16717290"/>
    <w:rsid w:val="16733A9C"/>
    <w:rsid w:val="167547CA"/>
    <w:rsid w:val="16766911"/>
    <w:rsid w:val="16784FCE"/>
    <w:rsid w:val="16785B0E"/>
    <w:rsid w:val="167C0110"/>
    <w:rsid w:val="167D0261"/>
    <w:rsid w:val="168301D5"/>
    <w:rsid w:val="16846935"/>
    <w:rsid w:val="168A18CF"/>
    <w:rsid w:val="168A640C"/>
    <w:rsid w:val="168B1DF7"/>
    <w:rsid w:val="168B5F54"/>
    <w:rsid w:val="16974F25"/>
    <w:rsid w:val="169857F4"/>
    <w:rsid w:val="16997F27"/>
    <w:rsid w:val="169B62C6"/>
    <w:rsid w:val="169C3CD4"/>
    <w:rsid w:val="16A13986"/>
    <w:rsid w:val="16A60D3C"/>
    <w:rsid w:val="16A719BC"/>
    <w:rsid w:val="16A71ED1"/>
    <w:rsid w:val="16A9527E"/>
    <w:rsid w:val="16A96FB6"/>
    <w:rsid w:val="16AD1069"/>
    <w:rsid w:val="16AF730F"/>
    <w:rsid w:val="16B32970"/>
    <w:rsid w:val="16B36D4D"/>
    <w:rsid w:val="16B54D41"/>
    <w:rsid w:val="16B65F24"/>
    <w:rsid w:val="16B70A10"/>
    <w:rsid w:val="16B81497"/>
    <w:rsid w:val="16B935BD"/>
    <w:rsid w:val="16BE59E1"/>
    <w:rsid w:val="16BE5BF1"/>
    <w:rsid w:val="16C8423A"/>
    <w:rsid w:val="16CA45CE"/>
    <w:rsid w:val="16CA4821"/>
    <w:rsid w:val="16CB1E6E"/>
    <w:rsid w:val="16CB5814"/>
    <w:rsid w:val="16CC277F"/>
    <w:rsid w:val="16CC7181"/>
    <w:rsid w:val="16CD5DA0"/>
    <w:rsid w:val="16CF5685"/>
    <w:rsid w:val="16CF6A1A"/>
    <w:rsid w:val="16D04A34"/>
    <w:rsid w:val="16D125D7"/>
    <w:rsid w:val="16E1645E"/>
    <w:rsid w:val="16E41B0C"/>
    <w:rsid w:val="16E74267"/>
    <w:rsid w:val="16E75693"/>
    <w:rsid w:val="16E81915"/>
    <w:rsid w:val="16E9701D"/>
    <w:rsid w:val="16EB42CF"/>
    <w:rsid w:val="16EC7557"/>
    <w:rsid w:val="16EE68FD"/>
    <w:rsid w:val="16EF07BC"/>
    <w:rsid w:val="16F3013A"/>
    <w:rsid w:val="16F32D37"/>
    <w:rsid w:val="16F70093"/>
    <w:rsid w:val="16F73369"/>
    <w:rsid w:val="16FA5866"/>
    <w:rsid w:val="16FB43BF"/>
    <w:rsid w:val="16FC0247"/>
    <w:rsid w:val="16FE7FE2"/>
    <w:rsid w:val="16FF0B97"/>
    <w:rsid w:val="17032AB0"/>
    <w:rsid w:val="17056034"/>
    <w:rsid w:val="170B7D46"/>
    <w:rsid w:val="170C162E"/>
    <w:rsid w:val="170C6F0F"/>
    <w:rsid w:val="17111342"/>
    <w:rsid w:val="17150049"/>
    <w:rsid w:val="171814F1"/>
    <w:rsid w:val="171D7D93"/>
    <w:rsid w:val="17214F89"/>
    <w:rsid w:val="17220376"/>
    <w:rsid w:val="17224B66"/>
    <w:rsid w:val="172333C1"/>
    <w:rsid w:val="172703AA"/>
    <w:rsid w:val="172B0E12"/>
    <w:rsid w:val="17313408"/>
    <w:rsid w:val="1734702E"/>
    <w:rsid w:val="17363A4C"/>
    <w:rsid w:val="17394B45"/>
    <w:rsid w:val="173D0F28"/>
    <w:rsid w:val="174001C6"/>
    <w:rsid w:val="174247F8"/>
    <w:rsid w:val="1749627C"/>
    <w:rsid w:val="174A2979"/>
    <w:rsid w:val="175005C5"/>
    <w:rsid w:val="1752433D"/>
    <w:rsid w:val="1752743F"/>
    <w:rsid w:val="17533D49"/>
    <w:rsid w:val="175353C7"/>
    <w:rsid w:val="175463BB"/>
    <w:rsid w:val="17546A61"/>
    <w:rsid w:val="17580973"/>
    <w:rsid w:val="175B50AE"/>
    <w:rsid w:val="175C692B"/>
    <w:rsid w:val="175F17AC"/>
    <w:rsid w:val="17602EFE"/>
    <w:rsid w:val="17645EA2"/>
    <w:rsid w:val="176C2904"/>
    <w:rsid w:val="176C62D5"/>
    <w:rsid w:val="176D7C2A"/>
    <w:rsid w:val="17707BBF"/>
    <w:rsid w:val="17723C77"/>
    <w:rsid w:val="17731703"/>
    <w:rsid w:val="17746E2A"/>
    <w:rsid w:val="17787115"/>
    <w:rsid w:val="177B2BB7"/>
    <w:rsid w:val="177B3EF6"/>
    <w:rsid w:val="17834F82"/>
    <w:rsid w:val="17885646"/>
    <w:rsid w:val="178944FD"/>
    <w:rsid w:val="178F7A55"/>
    <w:rsid w:val="179304E7"/>
    <w:rsid w:val="17940276"/>
    <w:rsid w:val="17945909"/>
    <w:rsid w:val="179629E2"/>
    <w:rsid w:val="179B0E8E"/>
    <w:rsid w:val="179B5E47"/>
    <w:rsid w:val="17A07312"/>
    <w:rsid w:val="17A32A46"/>
    <w:rsid w:val="17A61DD4"/>
    <w:rsid w:val="17A750EB"/>
    <w:rsid w:val="17A80555"/>
    <w:rsid w:val="17AA3629"/>
    <w:rsid w:val="17AB707B"/>
    <w:rsid w:val="17AC413D"/>
    <w:rsid w:val="17AD2824"/>
    <w:rsid w:val="17AD57B0"/>
    <w:rsid w:val="17AE1FE1"/>
    <w:rsid w:val="17AE4F2B"/>
    <w:rsid w:val="17AF57C6"/>
    <w:rsid w:val="17AF781A"/>
    <w:rsid w:val="17AF79E2"/>
    <w:rsid w:val="17B13DCE"/>
    <w:rsid w:val="17B27026"/>
    <w:rsid w:val="17C041B0"/>
    <w:rsid w:val="17C3337D"/>
    <w:rsid w:val="17C604E5"/>
    <w:rsid w:val="17C85F3A"/>
    <w:rsid w:val="17D13499"/>
    <w:rsid w:val="17D20B5F"/>
    <w:rsid w:val="17D640E4"/>
    <w:rsid w:val="17DD553F"/>
    <w:rsid w:val="17DE5B0A"/>
    <w:rsid w:val="17E627A3"/>
    <w:rsid w:val="17E7416E"/>
    <w:rsid w:val="17EC4792"/>
    <w:rsid w:val="17F22D41"/>
    <w:rsid w:val="17F3249E"/>
    <w:rsid w:val="17F50FF9"/>
    <w:rsid w:val="17F77C53"/>
    <w:rsid w:val="17F84637"/>
    <w:rsid w:val="17FC764D"/>
    <w:rsid w:val="17FE7DB3"/>
    <w:rsid w:val="1800023D"/>
    <w:rsid w:val="18014A83"/>
    <w:rsid w:val="18050738"/>
    <w:rsid w:val="1805210D"/>
    <w:rsid w:val="1805577E"/>
    <w:rsid w:val="180E64B6"/>
    <w:rsid w:val="180F5437"/>
    <w:rsid w:val="180F5DD7"/>
    <w:rsid w:val="18113F7F"/>
    <w:rsid w:val="181451A4"/>
    <w:rsid w:val="181575FF"/>
    <w:rsid w:val="181A4155"/>
    <w:rsid w:val="18206F03"/>
    <w:rsid w:val="182232B1"/>
    <w:rsid w:val="18237F83"/>
    <w:rsid w:val="18242AC3"/>
    <w:rsid w:val="1826335F"/>
    <w:rsid w:val="182E440C"/>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40DF6"/>
    <w:rsid w:val="18572BB1"/>
    <w:rsid w:val="1859174A"/>
    <w:rsid w:val="185A1CC5"/>
    <w:rsid w:val="185A28FB"/>
    <w:rsid w:val="185C643C"/>
    <w:rsid w:val="185D5773"/>
    <w:rsid w:val="18637B91"/>
    <w:rsid w:val="186B56B7"/>
    <w:rsid w:val="186C7366"/>
    <w:rsid w:val="186F5A62"/>
    <w:rsid w:val="18700F1F"/>
    <w:rsid w:val="18730A0F"/>
    <w:rsid w:val="18731B82"/>
    <w:rsid w:val="18731FB0"/>
    <w:rsid w:val="18760463"/>
    <w:rsid w:val="187C3B59"/>
    <w:rsid w:val="187C6979"/>
    <w:rsid w:val="187F35D3"/>
    <w:rsid w:val="187F46C3"/>
    <w:rsid w:val="187F6C01"/>
    <w:rsid w:val="188268EF"/>
    <w:rsid w:val="188428B3"/>
    <w:rsid w:val="1884727F"/>
    <w:rsid w:val="188474B4"/>
    <w:rsid w:val="18887947"/>
    <w:rsid w:val="18894571"/>
    <w:rsid w:val="188C7801"/>
    <w:rsid w:val="188D2271"/>
    <w:rsid w:val="188E0BE0"/>
    <w:rsid w:val="188E1A98"/>
    <w:rsid w:val="189126C4"/>
    <w:rsid w:val="189158AE"/>
    <w:rsid w:val="1895042F"/>
    <w:rsid w:val="189704A2"/>
    <w:rsid w:val="189A5906"/>
    <w:rsid w:val="189B6BD6"/>
    <w:rsid w:val="18A216BF"/>
    <w:rsid w:val="18A37182"/>
    <w:rsid w:val="18A62C96"/>
    <w:rsid w:val="18A84204"/>
    <w:rsid w:val="18A8502F"/>
    <w:rsid w:val="18A961E5"/>
    <w:rsid w:val="18B13610"/>
    <w:rsid w:val="18B6474B"/>
    <w:rsid w:val="18B9353C"/>
    <w:rsid w:val="18BA4EFB"/>
    <w:rsid w:val="18C05425"/>
    <w:rsid w:val="18C274EA"/>
    <w:rsid w:val="18C56F2D"/>
    <w:rsid w:val="18C63A78"/>
    <w:rsid w:val="18C7447E"/>
    <w:rsid w:val="18C85B44"/>
    <w:rsid w:val="18CB5983"/>
    <w:rsid w:val="18CD06AB"/>
    <w:rsid w:val="18CD1F2C"/>
    <w:rsid w:val="18CF420F"/>
    <w:rsid w:val="18D61828"/>
    <w:rsid w:val="18D822AF"/>
    <w:rsid w:val="18DA283C"/>
    <w:rsid w:val="18DB0CDB"/>
    <w:rsid w:val="18DB100E"/>
    <w:rsid w:val="18DC4807"/>
    <w:rsid w:val="18DF425A"/>
    <w:rsid w:val="18E1542F"/>
    <w:rsid w:val="18E549FD"/>
    <w:rsid w:val="18EF0837"/>
    <w:rsid w:val="18F172BE"/>
    <w:rsid w:val="18FA6A25"/>
    <w:rsid w:val="18FB5D94"/>
    <w:rsid w:val="19036F13"/>
    <w:rsid w:val="1904279F"/>
    <w:rsid w:val="190C243E"/>
    <w:rsid w:val="190C498D"/>
    <w:rsid w:val="190F0DC7"/>
    <w:rsid w:val="19107D49"/>
    <w:rsid w:val="19182722"/>
    <w:rsid w:val="19190915"/>
    <w:rsid w:val="191D6A2C"/>
    <w:rsid w:val="191D74DE"/>
    <w:rsid w:val="192025B8"/>
    <w:rsid w:val="19227FA8"/>
    <w:rsid w:val="19280F28"/>
    <w:rsid w:val="192D22C0"/>
    <w:rsid w:val="193C3B41"/>
    <w:rsid w:val="1941261B"/>
    <w:rsid w:val="19412CBA"/>
    <w:rsid w:val="1941466A"/>
    <w:rsid w:val="19434E5F"/>
    <w:rsid w:val="19472523"/>
    <w:rsid w:val="19477B7F"/>
    <w:rsid w:val="194A2F59"/>
    <w:rsid w:val="194B4466"/>
    <w:rsid w:val="194C3497"/>
    <w:rsid w:val="194F7B99"/>
    <w:rsid w:val="195142F2"/>
    <w:rsid w:val="195D455C"/>
    <w:rsid w:val="195E6FCA"/>
    <w:rsid w:val="1960232D"/>
    <w:rsid w:val="19642AE1"/>
    <w:rsid w:val="196506A8"/>
    <w:rsid w:val="196A361C"/>
    <w:rsid w:val="196D5F07"/>
    <w:rsid w:val="19745B59"/>
    <w:rsid w:val="19782A35"/>
    <w:rsid w:val="19792055"/>
    <w:rsid w:val="197B56EC"/>
    <w:rsid w:val="197E3584"/>
    <w:rsid w:val="197F2235"/>
    <w:rsid w:val="198010E3"/>
    <w:rsid w:val="1987691A"/>
    <w:rsid w:val="198B5606"/>
    <w:rsid w:val="198B618E"/>
    <w:rsid w:val="198F4C8C"/>
    <w:rsid w:val="199209CD"/>
    <w:rsid w:val="199243FB"/>
    <w:rsid w:val="199332F0"/>
    <w:rsid w:val="19962D4F"/>
    <w:rsid w:val="199873FA"/>
    <w:rsid w:val="199B08D0"/>
    <w:rsid w:val="19A20060"/>
    <w:rsid w:val="19A85E4E"/>
    <w:rsid w:val="19AA0461"/>
    <w:rsid w:val="19AC07A4"/>
    <w:rsid w:val="19AD40D0"/>
    <w:rsid w:val="19AD4CCB"/>
    <w:rsid w:val="19B03763"/>
    <w:rsid w:val="19B13B97"/>
    <w:rsid w:val="19B1709F"/>
    <w:rsid w:val="19B260B8"/>
    <w:rsid w:val="19B87771"/>
    <w:rsid w:val="19BE68EB"/>
    <w:rsid w:val="19C257AA"/>
    <w:rsid w:val="19C32CEE"/>
    <w:rsid w:val="19C649A6"/>
    <w:rsid w:val="19C84FE9"/>
    <w:rsid w:val="19CB3E43"/>
    <w:rsid w:val="19CB5CF7"/>
    <w:rsid w:val="19CC12DD"/>
    <w:rsid w:val="19CC39F1"/>
    <w:rsid w:val="19CF1734"/>
    <w:rsid w:val="19CF31E2"/>
    <w:rsid w:val="19D92F4C"/>
    <w:rsid w:val="19D9503C"/>
    <w:rsid w:val="19DF6B35"/>
    <w:rsid w:val="19E1758C"/>
    <w:rsid w:val="19E62F6C"/>
    <w:rsid w:val="19E80F89"/>
    <w:rsid w:val="19EB6108"/>
    <w:rsid w:val="19ED27A9"/>
    <w:rsid w:val="19EE4158"/>
    <w:rsid w:val="19EF19B2"/>
    <w:rsid w:val="19F11B17"/>
    <w:rsid w:val="19F92667"/>
    <w:rsid w:val="19F95FC3"/>
    <w:rsid w:val="19FE459A"/>
    <w:rsid w:val="1A011588"/>
    <w:rsid w:val="1A03266A"/>
    <w:rsid w:val="1A08407F"/>
    <w:rsid w:val="1A085294"/>
    <w:rsid w:val="1A0A45F5"/>
    <w:rsid w:val="1A0C2ED8"/>
    <w:rsid w:val="1A0C4397"/>
    <w:rsid w:val="1A0F35D7"/>
    <w:rsid w:val="1A0F45C5"/>
    <w:rsid w:val="1A116F39"/>
    <w:rsid w:val="1A1252A8"/>
    <w:rsid w:val="1A133A77"/>
    <w:rsid w:val="1A147FD0"/>
    <w:rsid w:val="1A151B41"/>
    <w:rsid w:val="1A1617C3"/>
    <w:rsid w:val="1A1D5D8E"/>
    <w:rsid w:val="1A203FA9"/>
    <w:rsid w:val="1A2671B2"/>
    <w:rsid w:val="1A272A4E"/>
    <w:rsid w:val="1A2B3FAB"/>
    <w:rsid w:val="1A2B7629"/>
    <w:rsid w:val="1A3011B8"/>
    <w:rsid w:val="1A3159F2"/>
    <w:rsid w:val="1A345330"/>
    <w:rsid w:val="1A35241E"/>
    <w:rsid w:val="1A3640CA"/>
    <w:rsid w:val="1A365BAA"/>
    <w:rsid w:val="1A3957D2"/>
    <w:rsid w:val="1A3B5A89"/>
    <w:rsid w:val="1A3C07C3"/>
    <w:rsid w:val="1A416A1B"/>
    <w:rsid w:val="1A4227C9"/>
    <w:rsid w:val="1A4547AD"/>
    <w:rsid w:val="1A455BB5"/>
    <w:rsid w:val="1A4570E3"/>
    <w:rsid w:val="1A4872A0"/>
    <w:rsid w:val="1A494C83"/>
    <w:rsid w:val="1A4C44FB"/>
    <w:rsid w:val="1A4C7BEB"/>
    <w:rsid w:val="1A4D0A5A"/>
    <w:rsid w:val="1A51652A"/>
    <w:rsid w:val="1A521ABE"/>
    <w:rsid w:val="1A532EBE"/>
    <w:rsid w:val="1A5B6575"/>
    <w:rsid w:val="1A637C73"/>
    <w:rsid w:val="1A640790"/>
    <w:rsid w:val="1A663942"/>
    <w:rsid w:val="1A6731D9"/>
    <w:rsid w:val="1A674960"/>
    <w:rsid w:val="1A6A1D44"/>
    <w:rsid w:val="1A6E2C42"/>
    <w:rsid w:val="1A6E6AD7"/>
    <w:rsid w:val="1A702D22"/>
    <w:rsid w:val="1A706CBA"/>
    <w:rsid w:val="1A710F7F"/>
    <w:rsid w:val="1A725422"/>
    <w:rsid w:val="1A736F93"/>
    <w:rsid w:val="1A7E033F"/>
    <w:rsid w:val="1A837666"/>
    <w:rsid w:val="1A8769F4"/>
    <w:rsid w:val="1A886E97"/>
    <w:rsid w:val="1A8D3F6D"/>
    <w:rsid w:val="1A8F1F29"/>
    <w:rsid w:val="1A917094"/>
    <w:rsid w:val="1A924A27"/>
    <w:rsid w:val="1A983C93"/>
    <w:rsid w:val="1AA05082"/>
    <w:rsid w:val="1AA22B74"/>
    <w:rsid w:val="1AA75912"/>
    <w:rsid w:val="1AA87272"/>
    <w:rsid w:val="1AAA5A86"/>
    <w:rsid w:val="1AAC7502"/>
    <w:rsid w:val="1AAF7964"/>
    <w:rsid w:val="1AB1366B"/>
    <w:rsid w:val="1AB33A59"/>
    <w:rsid w:val="1AB36B46"/>
    <w:rsid w:val="1AB57EF3"/>
    <w:rsid w:val="1AB735E1"/>
    <w:rsid w:val="1AB83020"/>
    <w:rsid w:val="1AB94576"/>
    <w:rsid w:val="1AC41664"/>
    <w:rsid w:val="1AC60DAC"/>
    <w:rsid w:val="1AC6664B"/>
    <w:rsid w:val="1AC74A95"/>
    <w:rsid w:val="1ACC4055"/>
    <w:rsid w:val="1ACC7820"/>
    <w:rsid w:val="1AD07D4D"/>
    <w:rsid w:val="1AD50082"/>
    <w:rsid w:val="1AD80EAE"/>
    <w:rsid w:val="1AD876AF"/>
    <w:rsid w:val="1ADB455F"/>
    <w:rsid w:val="1AE4782A"/>
    <w:rsid w:val="1AE6272E"/>
    <w:rsid w:val="1AE7212C"/>
    <w:rsid w:val="1AEA7D53"/>
    <w:rsid w:val="1AEB2ADF"/>
    <w:rsid w:val="1AED2FF5"/>
    <w:rsid w:val="1AEE29A9"/>
    <w:rsid w:val="1AF27FC9"/>
    <w:rsid w:val="1AF53561"/>
    <w:rsid w:val="1AF542CF"/>
    <w:rsid w:val="1AFF0167"/>
    <w:rsid w:val="1B001A24"/>
    <w:rsid w:val="1B037F44"/>
    <w:rsid w:val="1B0533CE"/>
    <w:rsid w:val="1B053723"/>
    <w:rsid w:val="1B0A3460"/>
    <w:rsid w:val="1B0C1338"/>
    <w:rsid w:val="1B0D5C2A"/>
    <w:rsid w:val="1B101FB6"/>
    <w:rsid w:val="1B123E8E"/>
    <w:rsid w:val="1B124AE9"/>
    <w:rsid w:val="1B1564E5"/>
    <w:rsid w:val="1B16198A"/>
    <w:rsid w:val="1B1712B5"/>
    <w:rsid w:val="1B177C3F"/>
    <w:rsid w:val="1B2204EF"/>
    <w:rsid w:val="1B2304CB"/>
    <w:rsid w:val="1B236390"/>
    <w:rsid w:val="1B2403A8"/>
    <w:rsid w:val="1B263E19"/>
    <w:rsid w:val="1B271067"/>
    <w:rsid w:val="1B2A329C"/>
    <w:rsid w:val="1B2B3A18"/>
    <w:rsid w:val="1B2B47AB"/>
    <w:rsid w:val="1B2D1349"/>
    <w:rsid w:val="1B2D1B15"/>
    <w:rsid w:val="1B2D35DC"/>
    <w:rsid w:val="1B334078"/>
    <w:rsid w:val="1B366A93"/>
    <w:rsid w:val="1B3D67BD"/>
    <w:rsid w:val="1B3F1F7D"/>
    <w:rsid w:val="1B3F5002"/>
    <w:rsid w:val="1B3F73D4"/>
    <w:rsid w:val="1B437844"/>
    <w:rsid w:val="1B492499"/>
    <w:rsid w:val="1B49405F"/>
    <w:rsid w:val="1B4B451B"/>
    <w:rsid w:val="1B4B6808"/>
    <w:rsid w:val="1B4F2662"/>
    <w:rsid w:val="1B502212"/>
    <w:rsid w:val="1B505EA9"/>
    <w:rsid w:val="1B507C38"/>
    <w:rsid w:val="1B521BAE"/>
    <w:rsid w:val="1B522602"/>
    <w:rsid w:val="1B5B3BCE"/>
    <w:rsid w:val="1B5B644C"/>
    <w:rsid w:val="1B5D32F9"/>
    <w:rsid w:val="1B6033DC"/>
    <w:rsid w:val="1B62269C"/>
    <w:rsid w:val="1B642891"/>
    <w:rsid w:val="1B6539C9"/>
    <w:rsid w:val="1B653D27"/>
    <w:rsid w:val="1B672D3F"/>
    <w:rsid w:val="1B680D37"/>
    <w:rsid w:val="1B681C82"/>
    <w:rsid w:val="1B720CB1"/>
    <w:rsid w:val="1B7B534B"/>
    <w:rsid w:val="1B7E2030"/>
    <w:rsid w:val="1B8231D9"/>
    <w:rsid w:val="1B82756A"/>
    <w:rsid w:val="1B882A24"/>
    <w:rsid w:val="1B8A1A6C"/>
    <w:rsid w:val="1B8F4692"/>
    <w:rsid w:val="1B9000CE"/>
    <w:rsid w:val="1B905E86"/>
    <w:rsid w:val="1B9118D8"/>
    <w:rsid w:val="1B96435A"/>
    <w:rsid w:val="1B972930"/>
    <w:rsid w:val="1B9A74BB"/>
    <w:rsid w:val="1B9B2B30"/>
    <w:rsid w:val="1B9F7EF2"/>
    <w:rsid w:val="1BA12BAF"/>
    <w:rsid w:val="1BA32097"/>
    <w:rsid w:val="1BA54E27"/>
    <w:rsid w:val="1BA72B7C"/>
    <w:rsid w:val="1BAB49D5"/>
    <w:rsid w:val="1BAE2171"/>
    <w:rsid w:val="1BB40386"/>
    <w:rsid w:val="1BB70F8E"/>
    <w:rsid w:val="1BC0047A"/>
    <w:rsid w:val="1BC41784"/>
    <w:rsid w:val="1BC57206"/>
    <w:rsid w:val="1BC962C0"/>
    <w:rsid w:val="1BCB00D1"/>
    <w:rsid w:val="1BCB4452"/>
    <w:rsid w:val="1BCC7929"/>
    <w:rsid w:val="1BCD1315"/>
    <w:rsid w:val="1BCE702F"/>
    <w:rsid w:val="1BD236E5"/>
    <w:rsid w:val="1BD41DDB"/>
    <w:rsid w:val="1BD8309E"/>
    <w:rsid w:val="1BD85BD2"/>
    <w:rsid w:val="1BDA5409"/>
    <w:rsid w:val="1BDC361A"/>
    <w:rsid w:val="1BDC7DA0"/>
    <w:rsid w:val="1BDF3BCC"/>
    <w:rsid w:val="1BE0587A"/>
    <w:rsid w:val="1BE35EAC"/>
    <w:rsid w:val="1BE57162"/>
    <w:rsid w:val="1BEA2C63"/>
    <w:rsid w:val="1BEB6E4C"/>
    <w:rsid w:val="1BF41CD1"/>
    <w:rsid w:val="1BF76FA6"/>
    <w:rsid w:val="1BF875F2"/>
    <w:rsid w:val="1BFA1990"/>
    <w:rsid w:val="1BFE5FF1"/>
    <w:rsid w:val="1C061A7F"/>
    <w:rsid w:val="1C0B1D99"/>
    <w:rsid w:val="1C101718"/>
    <w:rsid w:val="1C110535"/>
    <w:rsid w:val="1C113EE3"/>
    <w:rsid w:val="1C120AE2"/>
    <w:rsid w:val="1C143B07"/>
    <w:rsid w:val="1C152963"/>
    <w:rsid w:val="1C163C51"/>
    <w:rsid w:val="1C17237A"/>
    <w:rsid w:val="1C181FD8"/>
    <w:rsid w:val="1C19661F"/>
    <w:rsid w:val="1C196BB0"/>
    <w:rsid w:val="1C202E03"/>
    <w:rsid w:val="1C204A0A"/>
    <w:rsid w:val="1C226D50"/>
    <w:rsid w:val="1C24274C"/>
    <w:rsid w:val="1C271037"/>
    <w:rsid w:val="1C2955E5"/>
    <w:rsid w:val="1C296337"/>
    <w:rsid w:val="1C2A163F"/>
    <w:rsid w:val="1C2C2524"/>
    <w:rsid w:val="1C2C4B64"/>
    <w:rsid w:val="1C2D1E74"/>
    <w:rsid w:val="1C336B90"/>
    <w:rsid w:val="1C3620B3"/>
    <w:rsid w:val="1C3636B8"/>
    <w:rsid w:val="1C391169"/>
    <w:rsid w:val="1C3B361C"/>
    <w:rsid w:val="1C3B4B90"/>
    <w:rsid w:val="1C3C78C6"/>
    <w:rsid w:val="1C3D0941"/>
    <w:rsid w:val="1C411445"/>
    <w:rsid w:val="1C447172"/>
    <w:rsid w:val="1C47468D"/>
    <w:rsid w:val="1C485582"/>
    <w:rsid w:val="1C4A7CD9"/>
    <w:rsid w:val="1C4C5B5C"/>
    <w:rsid w:val="1C4F71E1"/>
    <w:rsid w:val="1C504193"/>
    <w:rsid w:val="1C507555"/>
    <w:rsid w:val="1C5341C2"/>
    <w:rsid w:val="1C5768AF"/>
    <w:rsid w:val="1C5B33DE"/>
    <w:rsid w:val="1C5F0F84"/>
    <w:rsid w:val="1C5F7595"/>
    <w:rsid w:val="1C603587"/>
    <w:rsid w:val="1C60736F"/>
    <w:rsid w:val="1C627E8F"/>
    <w:rsid w:val="1C685072"/>
    <w:rsid w:val="1C6B3411"/>
    <w:rsid w:val="1C6C2EF7"/>
    <w:rsid w:val="1C6C4BA3"/>
    <w:rsid w:val="1C6F4E16"/>
    <w:rsid w:val="1C7163F4"/>
    <w:rsid w:val="1C7313C8"/>
    <w:rsid w:val="1C742B5F"/>
    <w:rsid w:val="1C794A0B"/>
    <w:rsid w:val="1C7B323E"/>
    <w:rsid w:val="1C7B4791"/>
    <w:rsid w:val="1C7B6CE3"/>
    <w:rsid w:val="1C7B79F4"/>
    <w:rsid w:val="1C8249A6"/>
    <w:rsid w:val="1C831C24"/>
    <w:rsid w:val="1C840A96"/>
    <w:rsid w:val="1C8808A6"/>
    <w:rsid w:val="1C882AAD"/>
    <w:rsid w:val="1C894DEE"/>
    <w:rsid w:val="1C8C521E"/>
    <w:rsid w:val="1C8C5F86"/>
    <w:rsid w:val="1C8D07CB"/>
    <w:rsid w:val="1C933922"/>
    <w:rsid w:val="1C9466ED"/>
    <w:rsid w:val="1C976AA9"/>
    <w:rsid w:val="1C986940"/>
    <w:rsid w:val="1C9B0535"/>
    <w:rsid w:val="1CA23671"/>
    <w:rsid w:val="1CA81192"/>
    <w:rsid w:val="1CA8494E"/>
    <w:rsid w:val="1CAD0834"/>
    <w:rsid w:val="1CB20175"/>
    <w:rsid w:val="1CB7684C"/>
    <w:rsid w:val="1CB83204"/>
    <w:rsid w:val="1CB93972"/>
    <w:rsid w:val="1CBE02E4"/>
    <w:rsid w:val="1CC278E2"/>
    <w:rsid w:val="1CC27E7E"/>
    <w:rsid w:val="1CC74074"/>
    <w:rsid w:val="1CC8061C"/>
    <w:rsid w:val="1CCA277A"/>
    <w:rsid w:val="1CCC278B"/>
    <w:rsid w:val="1CCD683C"/>
    <w:rsid w:val="1CD11779"/>
    <w:rsid w:val="1CD43315"/>
    <w:rsid w:val="1CD8574B"/>
    <w:rsid w:val="1CD94FE2"/>
    <w:rsid w:val="1CDB19B2"/>
    <w:rsid w:val="1CE04199"/>
    <w:rsid w:val="1CE128E5"/>
    <w:rsid w:val="1CE1469A"/>
    <w:rsid w:val="1CE15584"/>
    <w:rsid w:val="1CE26651"/>
    <w:rsid w:val="1CE64EAD"/>
    <w:rsid w:val="1CE67A02"/>
    <w:rsid w:val="1CEA6C04"/>
    <w:rsid w:val="1CEC33EB"/>
    <w:rsid w:val="1CED4849"/>
    <w:rsid w:val="1CED7D03"/>
    <w:rsid w:val="1CF04F4F"/>
    <w:rsid w:val="1CF10027"/>
    <w:rsid w:val="1CF40935"/>
    <w:rsid w:val="1CF45F98"/>
    <w:rsid w:val="1CFE42F6"/>
    <w:rsid w:val="1CFF2330"/>
    <w:rsid w:val="1D0127BE"/>
    <w:rsid w:val="1D063A40"/>
    <w:rsid w:val="1D0D4145"/>
    <w:rsid w:val="1D160DCE"/>
    <w:rsid w:val="1D167BDC"/>
    <w:rsid w:val="1D171433"/>
    <w:rsid w:val="1D192DA2"/>
    <w:rsid w:val="1D213ABB"/>
    <w:rsid w:val="1D2406F0"/>
    <w:rsid w:val="1D274522"/>
    <w:rsid w:val="1D2E6E13"/>
    <w:rsid w:val="1D2F5B2A"/>
    <w:rsid w:val="1D340AC1"/>
    <w:rsid w:val="1D3C3005"/>
    <w:rsid w:val="1D410849"/>
    <w:rsid w:val="1D450E86"/>
    <w:rsid w:val="1D486C82"/>
    <w:rsid w:val="1D4B77FF"/>
    <w:rsid w:val="1D52602C"/>
    <w:rsid w:val="1D532951"/>
    <w:rsid w:val="1D550A5B"/>
    <w:rsid w:val="1D594632"/>
    <w:rsid w:val="1D5C6560"/>
    <w:rsid w:val="1D63359F"/>
    <w:rsid w:val="1D687975"/>
    <w:rsid w:val="1D69594B"/>
    <w:rsid w:val="1D6D62A3"/>
    <w:rsid w:val="1D6F3DC4"/>
    <w:rsid w:val="1D710672"/>
    <w:rsid w:val="1D715850"/>
    <w:rsid w:val="1D7518EE"/>
    <w:rsid w:val="1D777EC7"/>
    <w:rsid w:val="1D787B4E"/>
    <w:rsid w:val="1D794905"/>
    <w:rsid w:val="1D7A639C"/>
    <w:rsid w:val="1D7C32FD"/>
    <w:rsid w:val="1D7F6677"/>
    <w:rsid w:val="1D805EA0"/>
    <w:rsid w:val="1D8463EC"/>
    <w:rsid w:val="1D853A23"/>
    <w:rsid w:val="1D8C27F4"/>
    <w:rsid w:val="1D8E188C"/>
    <w:rsid w:val="1D912F6A"/>
    <w:rsid w:val="1D954C16"/>
    <w:rsid w:val="1D96442A"/>
    <w:rsid w:val="1D9D241A"/>
    <w:rsid w:val="1DA17964"/>
    <w:rsid w:val="1DAF1EE2"/>
    <w:rsid w:val="1DB23EDF"/>
    <w:rsid w:val="1DB8221E"/>
    <w:rsid w:val="1DB91275"/>
    <w:rsid w:val="1DBF2E2F"/>
    <w:rsid w:val="1DC02F0C"/>
    <w:rsid w:val="1DC64084"/>
    <w:rsid w:val="1DC93E51"/>
    <w:rsid w:val="1DCA21A7"/>
    <w:rsid w:val="1DCA411D"/>
    <w:rsid w:val="1DCA6510"/>
    <w:rsid w:val="1DCB3A00"/>
    <w:rsid w:val="1DCD2633"/>
    <w:rsid w:val="1DD75A65"/>
    <w:rsid w:val="1DDF63E4"/>
    <w:rsid w:val="1DE0312D"/>
    <w:rsid w:val="1DE21090"/>
    <w:rsid w:val="1DE211C5"/>
    <w:rsid w:val="1DE636A6"/>
    <w:rsid w:val="1DEC6532"/>
    <w:rsid w:val="1DEE0B9D"/>
    <w:rsid w:val="1DF3687A"/>
    <w:rsid w:val="1DF71404"/>
    <w:rsid w:val="1DF82BAF"/>
    <w:rsid w:val="1DFB45A9"/>
    <w:rsid w:val="1E024614"/>
    <w:rsid w:val="1E026A6F"/>
    <w:rsid w:val="1E0311D4"/>
    <w:rsid w:val="1E0600E5"/>
    <w:rsid w:val="1E090E74"/>
    <w:rsid w:val="1E0C615F"/>
    <w:rsid w:val="1E18707C"/>
    <w:rsid w:val="1E1A6591"/>
    <w:rsid w:val="1E1C16BB"/>
    <w:rsid w:val="1E203567"/>
    <w:rsid w:val="1E227D98"/>
    <w:rsid w:val="1E252CCF"/>
    <w:rsid w:val="1E274C4D"/>
    <w:rsid w:val="1E294BD3"/>
    <w:rsid w:val="1E2B0B0E"/>
    <w:rsid w:val="1E2E214C"/>
    <w:rsid w:val="1E2E5DC4"/>
    <w:rsid w:val="1E2E61EA"/>
    <w:rsid w:val="1E2F3CC8"/>
    <w:rsid w:val="1E3418CC"/>
    <w:rsid w:val="1E353E46"/>
    <w:rsid w:val="1E360353"/>
    <w:rsid w:val="1E36109D"/>
    <w:rsid w:val="1E382A51"/>
    <w:rsid w:val="1E406F8C"/>
    <w:rsid w:val="1E4157B5"/>
    <w:rsid w:val="1E44476F"/>
    <w:rsid w:val="1E460A80"/>
    <w:rsid w:val="1E471FF9"/>
    <w:rsid w:val="1E477CAA"/>
    <w:rsid w:val="1E484DB3"/>
    <w:rsid w:val="1E4E698A"/>
    <w:rsid w:val="1E4F6DD2"/>
    <w:rsid w:val="1E506328"/>
    <w:rsid w:val="1E581979"/>
    <w:rsid w:val="1E59500F"/>
    <w:rsid w:val="1E597356"/>
    <w:rsid w:val="1E5B0338"/>
    <w:rsid w:val="1E5B4971"/>
    <w:rsid w:val="1E5F5CBE"/>
    <w:rsid w:val="1E603D6A"/>
    <w:rsid w:val="1E614799"/>
    <w:rsid w:val="1E624CF5"/>
    <w:rsid w:val="1E62559E"/>
    <w:rsid w:val="1E665AD1"/>
    <w:rsid w:val="1E6D6135"/>
    <w:rsid w:val="1E733838"/>
    <w:rsid w:val="1E772329"/>
    <w:rsid w:val="1E7748A4"/>
    <w:rsid w:val="1E777D80"/>
    <w:rsid w:val="1E7B42A7"/>
    <w:rsid w:val="1E7B54B7"/>
    <w:rsid w:val="1E7C0783"/>
    <w:rsid w:val="1E801171"/>
    <w:rsid w:val="1E8025DB"/>
    <w:rsid w:val="1E8038FE"/>
    <w:rsid w:val="1E8422E4"/>
    <w:rsid w:val="1E872889"/>
    <w:rsid w:val="1E886F14"/>
    <w:rsid w:val="1E8D172E"/>
    <w:rsid w:val="1E8D1D53"/>
    <w:rsid w:val="1E8F161F"/>
    <w:rsid w:val="1E9049CE"/>
    <w:rsid w:val="1E941459"/>
    <w:rsid w:val="1E947205"/>
    <w:rsid w:val="1E9531DC"/>
    <w:rsid w:val="1E954550"/>
    <w:rsid w:val="1E984DD1"/>
    <w:rsid w:val="1E985CD1"/>
    <w:rsid w:val="1E9A7171"/>
    <w:rsid w:val="1E9B0921"/>
    <w:rsid w:val="1E9C11A8"/>
    <w:rsid w:val="1EA16AD0"/>
    <w:rsid w:val="1EA7613A"/>
    <w:rsid w:val="1EAD1042"/>
    <w:rsid w:val="1EB34EC4"/>
    <w:rsid w:val="1EBF02A8"/>
    <w:rsid w:val="1EC44509"/>
    <w:rsid w:val="1EC605B0"/>
    <w:rsid w:val="1EC60759"/>
    <w:rsid w:val="1EC71923"/>
    <w:rsid w:val="1EC77266"/>
    <w:rsid w:val="1EC827D8"/>
    <w:rsid w:val="1ECC6FCC"/>
    <w:rsid w:val="1ECD2EE1"/>
    <w:rsid w:val="1ED31812"/>
    <w:rsid w:val="1ED369E5"/>
    <w:rsid w:val="1ED65589"/>
    <w:rsid w:val="1ED67B8C"/>
    <w:rsid w:val="1EDC0C0C"/>
    <w:rsid w:val="1EDE5C3F"/>
    <w:rsid w:val="1EE17488"/>
    <w:rsid w:val="1EE40D56"/>
    <w:rsid w:val="1EE86DC4"/>
    <w:rsid w:val="1EE97D17"/>
    <w:rsid w:val="1EEB7FBF"/>
    <w:rsid w:val="1EED18D6"/>
    <w:rsid w:val="1EF02DBA"/>
    <w:rsid w:val="1EF2469F"/>
    <w:rsid w:val="1EF25708"/>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7788"/>
    <w:rsid w:val="1F1D03B4"/>
    <w:rsid w:val="1F205837"/>
    <w:rsid w:val="1F2061AC"/>
    <w:rsid w:val="1F2254C3"/>
    <w:rsid w:val="1F234F3D"/>
    <w:rsid w:val="1F23605D"/>
    <w:rsid w:val="1F2523F9"/>
    <w:rsid w:val="1F25511F"/>
    <w:rsid w:val="1F266CA2"/>
    <w:rsid w:val="1F334115"/>
    <w:rsid w:val="1F336040"/>
    <w:rsid w:val="1F3779B2"/>
    <w:rsid w:val="1F383A46"/>
    <w:rsid w:val="1F391B5B"/>
    <w:rsid w:val="1F3A2298"/>
    <w:rsid w:val="1F3B4612"/>
    <w:rsid w:val="1F3C61BD"/>
    <w:rsid w:val="1F3E4B2E"/>
    <w:rsid w:val="1F3F128B"/>
    <w:rsid w:val="1F41119A"/>
    <w:rsid w:val="1F41501A"/>
    <w:rsid w:val="1F421E25"/>
    <w:rsid w:val="1F431931"/>
    <w:rsid w:val="1F4346F6"/>
    <w:rsid w:val="1F4426FD"/>
    <w:rsid w:val="1F476DDB"/>
    <w:rsid w:val="1F4A5CDA"/>
    <w:rsid w:val="1F4B0F63"/>
    <w:rsid w:val="1F502E7C"/>
    <w:rsid w:val="1F51439C"/>
    <w:rsid w:val="1F52523C"/>
    <w:rsid w:val="1F543F5F"/>
    <w:rsid w:val="1F547B32"/>
    <w:rsid w:val="1F550426"/>
    <w:rsid w:val="1F571E5C"/>
    <w:rsid w:val="1F5C5525"/>
    <w:rsid w:val="1F5D48FD"/>
    <w:rsid w:val="1F63204D"/>
    <w:rsid w:val="1F632E2B"/>
    <w:rsid w:val="1F642648"/>
    <w:rsid w:val="1F6527E6"/>
    <w:rsid w:val="1F68655F"/>
    <w:rsid w:val="1F6D2357"/>
    <w:rsid w:val="1F706188"/>
    <w:rsid w:val="1F717E53"/>
    <w:rsid w:val="1F760AC9"/>
    <w:rsid w:val="1F774DDD"/>
    <w:rsid w:val="1F782A88"/>
    <w:rsid w:val="1F7A275F"/>
    <w:rsid w:val="1F7E7478"/>
    <w:rsid w:val="1F7F7C58"/>
    <w:rsid w:val="1F8057AC"/>
    <w:rsid w:val="1F87193E"/>
    <w:rsid w:val="1F8808B7"/>
    <w:rsid w:val="1F884731"/>
    <w:rsid w:val="1F8852E1"/>
    <w:rsid w:val="1F8A366F"/>
    <w:rsid w:val="1F8A7B93"/>
    <w:rsid w:val="1F8C2EB3"/>
    <w:rsid w:val="1F8C3631"/>
    <w:rsid w:val="1F8E722B"/>
    <w:rsid w:val="1F9269AF"/>
    <w:rsid w:val="1F953425"/>
    <w:rsid w:val="1F9816E2"/>
    <w:rsid w:val="1F9A37C5"/>
    <w:rsid w:val="1F9A5A7E"/>
    <w:rsid w:val="1F9C6D60"/>
    <w:rsid w:val="1F9E53FC"/>
    <w:rsid w:val="1FA31893"/>
    <w:rsid w:val="1FA52D06"/>
    <w:rsid w:val="1FA73010"/>
    <w:rsid w:val="1FA8529F"/>
    <w:rsid w:val="1FA86D80"/>
    <w:rsid w:val="1FAA6E31"/>
    <w:rsid w:val="1FAE4DB1"/>
    <w:rsid w:val="1FAE6186"/>
    <w:rsid w:val="1FB05328"/>
    <w:rsid w:val="1FB1276B"/>
    <w:rsid w:val="1FB27199"/>
    <w:rsid w:val="1FBB493D"/>
    <w:rsid w:val="1FBB4E9D"/>
    <w:rsid w:val="1FBC46E8"/>
    <w:rsid w:val="1FBD451B"/>
    <w:rsid w:val="1FBD5768"/>
    <w:rsid w:val="1FC12A98"/>
    <w:rsid w:val="1FC728E7"/>
    <w:rsid w:val="1FC97A34"/>
    <w:rsid w:val="1FCC53CB"/>
    <w:rsid w:val="1FCE2229"/>
    <w:rsid w:val="1FCE42BE"/>
    <w:rsid w:val="1FD20453"/>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3774C"/>
    <w:rsid w:val="1FF647F0"/>
    <w:rsid w:val="1FF670DD"/>
    <w:rsid w:val="1FF70178"/>
    <w:rsid w:val="1FFC578E"/>
    <w:rsid w:val="1FFC753C"/>
    <w:rsid w:val="20026AC0"/>
    <w:rsid w:val="20076707"/>
    <w:rsid w:val="2009186A"/>
    <w:rsid w:val="200A3A07"/>
    <w:rsid w:val="200C1B3B"/>
    <w:rsid w:val="200D2502"/>
    <w:rsid w:val="201B6D7F"/>
    <w:rsid w:val="201B7739"/>
    <w:rsid w:val="201D3AB4"/>
    <w:rsid w:val="201E5F05"/>
    <w:rsid w:val="201F54D3"/>
    <w:rsid w:val="20202366"/>
    <w:rsid w:val="20217CD5"/>
    <w:rsid w:val="202315B6"/>
    <w:rsid w:val="2024693B"/>
    <w:rsid w:val="20274E77"/>
    <w:rsid w:val="202D46D9"/>
    <w:rsid w:val="20331B7F"/>
    <w:rsid w:val="203C515C"/>
    <w:rsid w:val="203E05EF"/>
    <w:rsid w:val="20426436"/>
    <w:rsid w:val="2043516B"/>
    <w:rsid w:val="2045214D"/>
    <w:rsid w:val="204741FE"/>
    <w:rsid w:val="204D1901"/>
    <w:rsid w:val="204D6EF3"/>
    <w:rsid w:val="204E33FE"/>
    <w:rsid w:val="20523600"/>
    <w:rsid w:val="205313F6"/>
    <w:rsid w:val="20571ED8"/>
    <w:rsid w:val="2057204D"/>
    <w:rsid w:val="205C58D0"/>
    <w:rsid w:val="20623843"/>
    <w:rsid w:val="206357DA"/>
    <w:rsid w:val="20653E0F"/>
    <w:rsid w:val="206829CA"/>
    <w:rsid w:val="20685111"/>
    <w:rsid w:val="206A31F5"/>
    <w:rsid w:val="206A52CA"/>
    <w:rsid w:val="206B3C8D"/>
    <w:rsid w:val="206C6CEF"/>
    <w:rsid w:val="206E3D25"/>
    <w:rsid w:val="206E7475"/>
    <w:rsid w:val="2071782D"/>
    <w:rsid w:val="20755510"/>
    <w:rsid w:val="207619A9"/>
    <w:rsid w:val="207661C7"/>
    <w:rsid w:val="20796DDF"/>
    <w:rsid w:val="207A2A98"/>
    <w:rsid w:val="207B090F"/>
    <w:rsid w:val="20814ED2"/>
    <w:rsid w:val="20847C5E"/>
    <w:rsid w:val="208539D6"/>
    <w:rsid w:val="208A1849"/>
    <w:rsid w:val="208A4839"/>
    <w:rsid w:val="208F0679"/>
    <w:rsid w:val="20950DE7"/>
    <w:rsid w:val="20952D14"/>
    <w:rsid w:val="20956322"/>
    <w:rsid w:val="20960BD0"/>
    <w:rsid w:val="2097336C"/>
    <w:rsid w:val="209A00DC"/>
    <w:rsid w:val="209A5155"/>
    <w:rsid w:val="209D1D04"/>
    <w:rsid w:val="20A0369F"/>
    <w:rsid w:val="20A17A40"/>
    <w:rsid w:val="20A47E58"/>
    <w:rsid w:val="20AD5E1E"/>
    <w:rsid w:val="20B05444"/>
    <w:rsid w:val="20B130A1"/>
    <w:rsid w:val="20B20B07"/>
    <w:rsid w:val="20B500C1"/>
    <w:rsid w:val="20B66063"/>
    <w:rsid w:val="20B66929"/>
    <w:rsid w:val="20B738FF"/>
    <w:rsid w:val="20B77240"/>
    <w:rsid w:val="20B9542D"/>
    <w:rsid w:val="20BB42D2"/>
    <w:rsid w:val="20BB57DA"/>
    <w:rsid w:val="20C2018C"/>
    <w:rsid w:val="20C25F02"/>
    <w:rsid w:val="20C86C49"/>
    <w:rsid w:val="20CD76A5"/>
    <w:rsid w:val="20CF4B13"/>
    <w:rsid w:val="20D1108C"/>
    <w:rsid w:val="20D414E3"/>
    <w:rsid w:val="20D74D5F"/>
    <w:rsid w:val="20D76314"/>
    <w:rsid w:val="20D82020"/>
    <w:rsid w:val="20D9646E"/>
    <w:rsid w:val="20DE0E7A"/>
    <w:rsid w:val="20DE1C9A"/>
    <w:rsid w:val="20E221E4"/>
    <w:rsid w:val="20E53376"/>
    <w:rsid w:val="20E70C38"/>
    <w:rsid w:val="20E830D5"/>
    <w:rsid w:val="20EE095C"/>
    <w:rsid w:val="20EE5EF7"/>
    <w:rsid w:val="20FB21BF"/>
    <w:rsid w:val="20FF23F1"/>
    <w:rsid w:val="21022BC0"/>
    <w:rsid w:val="21067376"/>
    <w:rsid w:val="21096B84"/>
    <w:rsid w:val="210B41CE"/>
    <w:rsid w:val="210C1A01"/>
    <w:rsid w:val="210C2E65"/>
    <w:rsid w:val="210C52C5"/>
    <w:rsid w:val="210D22FC"/>
    <w:rsid w:val="210D620E"/>
    <w:rsid w:val="210E6C52"/>
    <w:rsid w:val="211B5F81"/>
    <w:rsid w:val="211B6D66"/>
    <w:rsid w:val="21263185"/>
    <w:rsid w:val="21294D97"/>
    <w:rsid w:val="212B5C42"/>
    <w:rsid w:val="212D1E11"/>
    <w:rsid w:val="212F5B1E"/>
    <w:rsid w:val="21307C45"/>
    <w:rsid w:val="21354AB4"/>
    <w:rsid w:val="21364FFC"/>
    <w:rsid w:val="21380E30"/>
    <w:rsid w:val="21383DA2"/>
    <w:rsid w:val="213A213C"/>
    <w:rsid w:val="2140435C"/>
    <w:rsid w:val="21477155"/>
    <w:rsid w:val="215435B5"/>
    <w:rsid w:val="21553FD0"/>
    <w:rsid w:val="2155613A"/>
    <w:rsid w:val="215746CB"/>
    <w:rsid w:val="215B0293"/>
    <w:rsid w:val="21630117"/>
    <w:rsid w:val="21652718"/>
    <w:rsid w:val="216577E9"/>
    <w:rsid w:val="21660F1A"/>
    <w:rsid w:val="21671423"/>
    <w:rsid w:val="216A59FF"/>
    <w:rsid w:val="216B40B6"/>
    <w:rsid w:val="216C6E6A"/>
    <w:rsid w:val="216E3857"/>
    <w:rsid w:val="216F5CB3"/>
    <w:rsid w:val="21715339"/>
    <w:rsid w:val="21724273"/>
    <w:rsid w:val="217465D2"/>
    <w:rsid w:val="217A4226"/>
    <w:rsid w:val="217F2A3E"/>
    <w:rsid w:val="21816786"/>
    <w:rsid w:val="21816AC6"/>
    <w:rsid w:val="2186527B"/>
    <w:rsid w:val="21867F2C"/>
    <w:rsid w:val="2188056D"/>
    <w:rsid w:val="21894815"/>
    <w:rsid w:val="2189626E"/>
    <w:rsid w:val="21896825"/>
    <w:rsid w:val="218F2809"/>
    <w:rsid w:val="218F513B"/>
    <w:rsid w:val="21916094"/>
    <w:rsid w:val="219A3DCF"/>
    <w:rsid w:val="219A4DB4"/>
    <w:rsid w:val="219A58D6"/>
    <w:rsid w:val="219C6AE7"/>
    <w:rsid w:val="219E2669"/>
    <w:rsid w:val="219F3D03"/>
    <w:rsid w:val="219F5777"/>
    <w:rsid w:val="21A02DF2"/>
    <w:rsid w:val="21A23CC1"/>
    <w:rsid w:val="21A24300"/>
    <w:rsid w:val="21A25BF8"/>
    <w:rsid w:val="21A26020"/>
    <w:rsid w:val="21A44ACE"/>
    <w:rsid w:val="21A44AD3"/>
    <w:rsid w:val="21A8797C"/>
    <w:rsid w:val="21AF0627"/>
    <w:rsid w:val="21B222C0"/>
    <w:rsid w:val="21B239C6"/>
    <w:rsid w:val="21B3155B"/>
    <w:rsid w:val="21B764CD"/>
    <w:rsid w:val="21B812D8"/>
    <w:rsid w:val="21BD6196"/>
    <w:rsid w:val="21C173F3"/>
    <w:rsid w:val="21C3208B"/>
    <w:rsid w:val="21C347B6"/>
    <w:rsid w:val="21C839CE"/>
    <w:rsid w:val="21C979FE"/>
    <w:rsid w:val="21CD2655"/>
    <w:rsid w:val="21CD3378"/>
    <w:rsid w:val="21CD75D5"/>
    <w:rsid w:val="21D20555"/>
    <w:rsid w:val="21D23A45"/>
    <w:rsid w:val="21D327EF"/>
    <w:rsid w:val="21DA6174"/>
    <w:rsid w:val="21DB5C86"/>
    <w:rsid w:val="21DC6D0A"/>
    <w:rsid w:val="21DD133D"/>
    <w:rsid w:val="21E026BA"/>
    <w:rsid w:val="21E140A1"/>
    <w:rsid w:val="21E25679"/>
    <w:rsid w:val="21E42B61"/>
    <w:rsid w:val="21E524FD"/>
    <w:rsid w:val="21EB011F"/>
    <w:rsid w:val="21EB292F"/>
    <w:rsid w:val="21F220A8"/>
    <w:rsid w:val="21F957CF"/>
    <w:rsid w:val="21FA1EDF"/>
    <w:rsid w:val="21FA63AE"/>
    <w:rsid w:val="21FE01EB"/>
    <w:rsid w:val="21FE043B"/>
    <w:rsid w:val="21FF65AB"/>
    <w:rsid w:val="22063755"/>
    <w:rsid w:val="220D5A31"/>
    <w:rsid w:val="22114AF7"/>
    <w:rsid w:val="22121DA1"/>
    <w:rsid w:val="22125273"/>
    <w:rsid w:val="221340A0"/>
    <w:rsid w:val="22142ECB"/>
    <w:rsid w:val="22143478"/>
    <w:rsid w:val="22146DBF"/>
    <w:rsid w:val="22163203"/>
    <w:rsid w:val="22164847"/>
    <w:rsid w:val="221C31DD"/>
    <w:rsid w:val="221C6660"/>
    <w:rsid w:val="22202727"/>
    <w:rsid w:val="22223ED6"/>
    <w:rsid w:val="2223103F"/>
    <w:rsid w:val="22255E1B"/>
    <w:rsid w:val="22264DFE"/>
    <w:rsid w:val="22266513"/>
    <w:rsid w:val="2228687C"/>
    <w:rsid w:val="2228794E"/>
    <w:rsid w:val="22293DAC"/>
    <w:rsid w:val="222B4109"/>
    <w:rsid w:val="222D66D8"/>
    <w:rsid w:val="222F32A5"/>
    <w:rsid w:val="223215B0"/>
    <w:rsid w:val="22345C93"/>
    <w:rsid w:val="223C5396"/>
    <w:rsid w:val="224A7E32"/>
    <w:rsid w:val="224D0688"/>
    <w:rsid w:val="224D407F"/>
    <w:rsid w:val="224E1A8D"/>
    <w:rsid w:val="22536448"/>
    <w:rsid w:val="22540F67"/>
    <w:rsid w:val="2256273C"/>
    <w:rsid w:val="22570048"/>
    <w:rsid w:val="22610A32"/>
    <w:rsid w:val="22650199"/>
    <w:rsid w:val="2268071D"/>
    <w:rsid w:val="226B7204"/>
    <w:rsid w:val="226E18C3"/>
    <w:rsid w:val="22706523"/>
    <w:rsid w:val="2274388F"/>
    <w:rsid w:val="2274695C"/>
    <w:rsid w:val="22761853"/>
    <w:rsid w:val="22783D2E"/>
    <w:rsid w:val="227A10CF"/>
    <w:rsid w:val="227C3FA3"/>
    <w:rsid w:val="227F6D14"/>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554CA"/>
    <w:rsid w:val="229606CD"/>
    <w:rsid w:val="22974544"/>
    <w:rsid w:val="22995516"/>
    <w:rsid w:val="229D380F"/>
    <w:rsid w:val="229E0CF1"/>
    <w:rsid w:val="22A1482E"/>
    <w:rsid w:val="22A25C6E"/>
    <w:rsid w:val="22A540C5"/>
    <w:rsid w:val="22A65197"/>
    <w:rsid w:val="22A763F2"/>
    <w:rsid w:val="22AC3486"/>
    <w:rsid w:val="22AD2C58"/>
    <w:rsid w:val="22B42BFE"/>
    <w:rsid w:val="22BC769E"/>
    <w:rsid w:val="22BD00CB"/>
    <w:rsid w:val="22C81958"/>
    <w:rsid w:val="22CB20FD"/>
    <w:rsid w:val="22CD7867"/>
    <w:rsid w:val="22CF7C29"/>
    <w:rsid w:val="22D1341D"/>
    <w:rsid w:val="22D24FF5"/>
    <w:rsid w:val="22D94935"/>
    <w:rsid w:val="22DA5D77"/>
    <w:rsid w:val="22DC493D"/>
    <w:rsid w:val="22DF2808"/>
    <w:rsid w:val="22E356C6"/>
    <w:rsid w:val="22E5460B"/>
    <w:rsid w:val="22E64441"/>
    <w:rsid w:val="22E86431"/>
    <w:rsid w:val="22ED5DB9"/>
    <w:rsid w:val="22EE67DF"/>
    <w:rsid w:val="22F05CC6"/>
    <w:rsid w:val="22F81E58"/>
    <w:rsid w:val="22FA1939"/>
    <w:rsid w:val="22FC1021"/>
    <w:rsid w:val="22FC1804"/>
    <w:rsid w:val="23025FFD"/>
    <w:rsid w:val="23042A2B"/>
    <w:rsid w:val="230756FE"/>
    <w:rsid w:val="23096FA4"/>
    <w:rsid w:val="23097526"/>
    <w:rsid w:val="230E0777"/>
    <w:rsid w:val="230F65CF"/>
    <w:rsid w:val="231221D3"/>
    <w:rsid w:val="23185657"/>
    <w:rsid w:val="231A4A95"/>
    <w:rsid w:val="23247E68"/>
    <w:rsid w:val="2325314E"/>
    <w:rsid w:val="23256999"/>
    <w:rsid w:val="2327530F"/>
    <w:rsid w:val="23281931"/>
    <w:rsid w:val="23283A4A"/>
    <w:rsid w:val="23297221"/>
    <w:rsid w:val="232F07D6"/>
    <w:rsid w:val="2332271B"/>
    <w:rsid w:val="23372E82"/>
    <w:rsid w:val="23383351"/>
    <w:rsid w:val="23385236"/>
    <w:rsid w:val="233C27BF"/>
    <w:rsid w:val="233E6B04"/>
    <w:rsid w:val="233F4A01"/>
    <w:rsid w:val="23405B5C"/>
    <w:rsid w:val="234A41ED"/>
    <w:rsid w:val="235365DE"/>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12232"/>
    <w:rsid w:val="23870FBC"/>
    <w:rsid w:val="23875BFA"/>
    <w:rsid w:val="2387747E"/>
    <w:rsid w:val="2389175A"/>
    <w:rsid w:val="238A6E15"/>
    <w:rsid w:val="238D796B"/>
    <w:rsid w:val="238D79B9"/>
    <w:rsid w:val="239007B8"/>
    <w:rsid w:val="23907E9E"/>
    <w:rsid w:val="23947259"/>
    <w:rsid w:val="23960655"/>
    <w:rsid w:val="239620C2"/>
    <w:rsid w:val="239878A9"/>
    <w:rsid w:val="239A5433"/>
    <w:rsid w:val="23A02D44"/>
    <w:rsid w:val="23AD2651"/>
    <w:rsid w:val="23AE6016"/>
    <w:rsid w:val="23B1431C"/>
    <w:rsid w:val="23B45798"/>
    <w:rsid w:val="23B5295E"/>
    <w:rsid w:val="23B70CEE"/>
    <w:rsid w:val="23BA226E"/>
    <w:rsid w:val="23C22E2D"/>
    <w:rsid w:val="23C23AA7"/>
    <w:rsid w:val="23C607CF"/>
    <w:rsid w:val="23C66316"/>
    <w:rsid w:val="23C867EA"/>
    <w:rsid w:val="23C95ECA"/>
    <w:rsid w:val="23CB1B6E"/>
    <w:rsid w:val="23D02BFD"/>
    <w:rsid w:val="23D35E41"/>
    <w:rsid w:val="23D375EA"/>
    <w:rsid w:val="23D411E5"/>
    <w:rsid w:val="23D67A67"/>
    <w:rsid w:val="23D72988"/>
    <w:rsid w:val="23D92195"/>
    <w:rsid w:val="23DB5FAC"/>
    <w:rsid w:val="23DB7683"/>
    <w:rsid w:val="23DC64ED"/>
    <w:rsid w:val="23DD1B81"/>
    <w:rsid w:val="23DE352F"/>
    <w:rsid w:val="23E306B4"/>
    <w:rsid w:val="23E641AD"/>
    <w:rsid w:val="23F02655"/>
    <w:rsid w:val="23F152F7"/>
    <w:rsid w:val="23F4022A"/>
    <w:rsid w:val="23F5635B"/>
    <w:rsid w:val="23F73C78"/>
    <w:rsid w:val="23F779C4"/>
    <w:rsid w:val="23F90CF5"/>
    <w:rsid w:val="23F91D04"/>
    <w:rsid w:val="23FC2C2E"/>
    <w:rsid w:val="23FC7260"/>
    <w:rsid w:val="240370EB"/>
    <w:rsid w:val="24061787"/>
    <w:rsid w:val="240717E1"/>
    <w:rsid w:val="240B79E4"/>
    <w:rsid w:val="240C73E0"/>
    <w:rsid w:val="240D76AC"/>
    <w:rsid w:val="241119BA"/>
    <w:rsid w:val="2413511F"/>
    <w:rsid w:val="24144A64"/>
    <w:rsid w:val="24164F85"/>
    <w:rsid w:val="241F18CE"/>
    <w:rsid w:val="241F721E"/>
    <w:rsid w:val="24206012"/>
    <w:rsid w:val="24215AB5"/>
    <w:rsid w:val="2425120C"/>
    <w:rsid w:val="242603AF"/>
    <w:rsid w:val="242A5F8D"/>
    <w:rsid w:val="242B0080"/>
    <w:rsid w:val="243224C7"/>
    <w:rsid w:val="243276BE"/>
    <w:rsid w:val="24342528"/>
    <w:rsid w:val="24357B40"/>
    <w:rsid w:val="24392B1A"/>
    <w:rsid w:val="243A0532"/>
    <w:rsid w:val="243C60EA"/>
    <w:rsid w:val="243E45C7"/>
    <w:rsid w:val="24420D9A"/>
    <w:rsid w:val="24433F6E"/>
    <w:rsid w:val="24536A5D"/>
    <w:rsid w:val="245770D5"/>
    <w:rsid w:val="24582133"/>
    <w:rsid w:val="24584A5A"/>
    <w:rsid w:val="245F0B9B"/>
    <w:rsid w:val="2461233C"/>
    <w:rsid w:val="24635A73"/>
    <w:rsid w:val="246613C1"/>
    <w:rsid w:val="2466769D"/>
    <w:rsid w:val="24693FAA"/>
    <w:rsid w:val="246A5438"/>
    <w:rsid w:val="246D16A3"/>
    <w:rsid w:val="246E02FA"/>
    <w:rsid w:val="246E2240"/>
    <w:rsid w:val="246F2B60"/>
    <w:rsid w:val="246F396D"/>
    <w:rsid w:val="24725F25"/>
    <w:rsid w:val="247471B7"/>
    <w:rsid w:val="247A0DC8"/>
    <w:rsid w:val="247D1CDF"/>
    <w:rsid w:val="24816E5D"/>
    <w:rsid w:val="2483408C"/>
    <w:rsid w:val="248507CD"/>
    <w:rsid w:val="24857441"/>
    <w:rsid w:val="24882038"/>
    <w:rsid w:val="24885842"/>
    <w:rsid w:val="2488643B"/>
    <w:rsid w:val="248A70C1"/>
    <w:rsid w:val="248F2B66"/>
    <w:rsid w:val="24971597"/>
    <w:rsid w:val="24982A8B"/>
    <w:rsid w:val="24995226"/>
    <w:rsid w:val="24A3267C"/>
    <w:rsid w:val="24A54CE4"/>
    <w:rsid w:val="24A55543"/>
    <w:rsid w:val="24A8230B"/>
    <w:rsid w:val="24A935BB"/>
    <w:rsid w:val="24AF428E"/>
    <w:rsid w:val="24C03D5A"/>
    <w:rsid w:val="24C17942"/>
    <w:rsid w:val="24C719FC"/>
    <w:rsid w:val="24C85037"/>
    <w:rsid w:val="24CA0964"/>
    <w:rsid w:val="24CA42F2"/>
    <w:rsid w:val="24D3050C"/>
    <w:rsid w:val="24D37118"/>
    <w:rsid w:val="24D707B7"/>
    <w:rsid w:val="24DB7062"/>
    <w:rsid w:val="24DC74DF"/>
    <w:rsid w:val="24DD67A6"/>
    <w:rsid w:val="24DD6CC8"/>
    <w:rsid w:val="24DF1645"/>
    <w:rsid w:val="24DF5A46"/>
    <w:rsid w:val="24E135A4"/>
    <w:rsid w:val="24E42E49"/>
    <w:rsid w:val="24E52C95"/>
    <w:rsid w:val="24E65C5C"/>
    <w:rsid w:val="24E92EE4"/>
    <w:rsid w:val="24ED3F9A"/>
    <w:rsid w:val="24EF0F84"/>
    <w:rsid w:val="24F05E57"/>
    <w:rsid w:val="24FB7DC2"/>
    <w:rsid w:val="24FF70CD"/>
    <w:rsid w:val="25007288"/>
    <w:rsid w:val="250A7EBC"/>
    <w:rsid w:val="250D1501"/>
    <w:rsid w:val="250F4C0D"/>
    <w:rsid w:val="25114490"/>
    <w:rsid w:val="25132B03"/>
    <w:rsid w:val="251B11C5"/>
    <w:rsid w:val="251C1E43"/>
    <w:rsid w:val="251C6A1C"/>
    <w:rsid w:val="251C714D"/>
    <w:rsid w:val="251D7794"/>
    <w:rsid w:val="252209BD"/>
    <w:rsid w:val="25227EA9"/>
    <w:rsid w:val="252703E7"/>
    <w:rsid w:val="252900D9"/>
    <w:rsid w:val="252B15DA"/>
    <w:rsid w:val="252C06F0"/>
    <w:rsid w:val="252C3FEF"/>
    <w:rsid w:val="25331EF1"/>
    <w:rsid w:val="253A08E9"/>
    <w:rsid w:val="253A76BF"/>
    <w:rsid w:val="253B15D5"/>
    <w:rsid w:val="253B665B"/>
    <w:rsid w:val="253B6FC9"/>
    <w:rsid w:val="253F0F0B"/>
    <w:rsid w:val="254039F6"/>
    <w:rsid w:val="25424970"/>
    <w:rsid w:val="25465F6E"/>
    <w:rsid w:val="25472416"/>
    <w:rsid w:val="254C0545"/>
    <w:rsid w:val="25517794"/>
    <w:rsid w:val="25602848"/>
    <w:rsid w:val="2560482B"/>
    <w:rsid w:val="25652585"/>
    <w:rsid w:val="25665CF3"/>
    <w:rsid w:val="256707D3"/>
    <w:rsid w:val="256965A5"/>
    <w:rsid w:val="25697422"/>
    <w:rsid w:val="256A71A4"/>
    <w:rsid w:val="256B60AC"/>
    <w:rsid w:val="256C4188"/>
    <w:rsid w:val="256E7C33"/>
    <w:rsid w:val="257134D3"/>
    <w:rsid w:val="25717C07"/>
    <w:rsid w:val="25730CDC"/>
    <w:rsid w:val="2578235D"/>
    <w:rsid w:val="25784649"/>
    <w:rsid w:val="257B7B3C"/>
    <w:rsid w:val="257C200B"/>
    <w:rsid w:val="257C5563"/>
    <w:rsid w:val="257D01AB"/>
    <w:rsid w:val="257F0BD9"/>
    <w:rsid w:val="258502B6"/>
    <w:rsid w:val="25892239"/>
    <w:rsid w:val="258A4D70"/>
    <w:rsid w:val="258C1362"/>
    <w:rsid w:val="258C637B"/>
    <w:rsid w:val="258D09EA"/>
    <w:rsid w:val="258D1D03"/>
    <w:rsid w:val="258F0D12"/>
    <w:rsid w:val="259A2722"/>
    <w:rsid w:val="259A502E"/>
    <w:rsid w:val="259B2A55"/>
    <w:rsid w:val="259B3762"/>
    <w:rsid w:val="259B3CAF"/>
    <w:rsid w:val="259C3F00"/>
    <w:rsid w:val="259D2036"/>
    <w:rsid w:val="259D4DEC"/>
    <w:rsid w:val="259F0D13"/>
    <w:rsid w:val="25A133A1"/>
    <w:rsid w:val="25A62424"/>
    <w:rsid w:val="25A6663A"/>
    <w:rsid w:val="25AE268E"/>
    <w:rsid w:val="25AE5E0D"/>
    <w:rsid w:val="25AE72ED"/>
    <w:rsid w:val="25AF5C7C"/>
    <w:rsid w:val="25B57586"/>
    <w:rsid w:val="25B773F6"/>
    <w:rsid w:val="25B84F0F"/>
    <w:rsid w:val="25B86CE5"/>
    <w:rsid w:val="25BE3B1F"/>
    <w:rsid w:val="25BF0648"/>
    <w:rsid w:val="25C51333"/>
    <w:rsid w:val="25C64956"/>
    <w:rsid w:val="25C91C6F"/>
    <w:rsid w:val="25CA0F76"/>
    <w:rsid w:val="25CA71F3"/>
    <w:rsid w:val="25CB0FBC"/>
    <w:rsid w:val="25CB3C39"/>
    <w:rsid w:val="25CC13E1"/>
    <w:rsid w:val="25D3227B"/>
    <w:rsid w:val="25D954DE"/>
    <w:rsid w:val="25DA1D28"/>
    <w:rsid w:val="25DC3ED9"/>
    <w:rsid w:val="25DD339D"/>
    <w:rsid w:val="25E02821"/>
    <w:rsid w:val="25E11F8B"/>
    <w:rsid w:val="25E24086"/>
    <w:rsid w:val="25E311FD"/>
    <w:rsid w:val="25E36393"/>
    <w:rsid w:val="25E46AA9"/>
    <w:rsid w:val="25E473EA"/>
    <w:rsid w:val="25E53520"/>
    <w:rsid w:val="25E567A7"/>
    <w:rsid w:val="25E622E5"/>
    <w:rsid w:val="25E63280"/>
    <w:rsid w:val="25EB1AA8"/>
    <w:rsid w:val="25EC1BA3"/>
    <w:rsid w:val="25ED4701"/>
    <w:rsid w:val="25EE1902"/>
    <w:rsid w:val="25F013FE"/>
    <w:rsid w:val="25F548EE"/>
    <w:rsid w:val="25F63DA7"/>
    <w:rsid w:val="25F7527E"/>
    <w:rsid w:val="25F95FB0"/>
    <w:rsid w:val="25FF40B1"/>
    <w:rsid w:val="26064D94"/>
    <w:rsid w:val="260B04D9"/>
    <w:rsid w:val="260D2889"/>
    <w:rsid w:val="260F1E15"/>
    <w:rsid w:val="26102BBC"/>
    <w:rsid w:val="26144122"/>
    <w:rsid w:val="26144D7B"/>
    <w:rsid w:val="26157A02"/>
    <w:rsid w:val="26172E44"/>
    <w:rsid w:val="26175527"/>
    <w:rsid w:val="26193FCA"/>
    <w:rsid w:val="261C01E2"/>
    <w:rsid w:val="261C2C48"/>
    <w:rsid w:val="261D0B5A"/>
    <w:rsid w:val="261D53AC"/>
    <w:rsid w:val="262125D9"/>
    <w:rsid w:val="26215F4F"/>
    <w:rsid w:val="26236EB1"/>
    <w:rsid w:val="26245A7B"/>
    <w:rsid w:val="262616B4"/>
    <w:rsid w:val="262E41C8"/>
    <w:rsid w:val="26324570"/>
    <w:rsid w:val="26327CB5"/>
    <w:rsid w:val="2634044F"/>
    <w:rsid w:val="2639077B"/>
    <w:rsid w:val="263D4A60"/>
    <w:rsid w:val="264345C4"/>
    <w:rsid w:val="264D70EC"/>
    <w:rsid w:val="26533519"/>
    <w:rsid w:val="26545489"/>
    <w:rsid w:val="26677D23"/>
    <w:rsid w:val="266B1DF6"/>
    <w:rsid w:val="266B2A8F"/>
    <w:rsid w:val="266B45F8"/>
    <w:rsid w:val="266D11DC"/>
    <w:rsid w:val="267354ED"/>
    <w:rsid w:val="26754D6E"/>
    <w:rsid w:val="267F67D1"/>
    <w:rsid w:val="268158F0"/>
    <w:rsid w:val="26817F04"/>
    <w:rsid w:val="26831EC9"/>
    <w:rsid w:val="26853881"/>
    <w:rsid w:val="268735D3"/>
    <w:rsid w:val="26882D64"/>
    <w:rsid w:val="268907C4"/>
    <w:rsid w:val="268A7DD4"/>
    <w:rsid w:val="268D1F28"/>
    <w:rsid w:val="268E7C6E"/>
    <w:rsid w:val="269364D1"/>
    <w:rsid w:val="26942BE6"/>
    <w:rsid w:val="269448A2"/>
    <w:rsid w:val="26990243"/>
    <w:rsid w:val="269909FA"/>
    <w:rsid w:val="269C2D19"/>
    <w:rsid w:val="269C36EB"/>
    <w:rsid w:val="269F3F2E"/>
    <w:rsid w:val="26A01AA9"/>
    <w:rsid w:val="26A54056"/>
    <w:rsid w:val="26A64B87"/>
    <w:rsid w:val="26A76647"/>
    <w:rsid w:val="26A772A6"/>
    <w:rsid w:val="26AD333E"/>
    <w:rsid w:val="26B30D64"/>
    <w:rsid w:val="26B92159"/>
    <w:rsid w:val="26B970BC"/>
    <w:rsid w:val="26BF3756"/>
    <w:rsid w:val="26BF43FE"/>
    <w:rsid w:val="26C674FF"/>
    <w:rsid w:val="26C8746F"/>
    <w:rsid w:val="26CA18F9"/>
    <w:rsid w:val="26CA662E"/>
    <w:rsid w:val="26CF40B4"/>
    <w:rsid w:val="26D02203"/>
    <w:rsid w:val="26D14C9B"/>
    <w:rsid w:val="26D16018"/>
    <w:rsid w:val="26D670A7"/>
    <w:rsid w:val="26D752DB"/>
    <w:rsid w:val="26D76CA2"/>
    <w:rsid w:val="26DC736A"/>
    <w:rsid w:val="26DE7745"/>
    <w:rsid w:val="26DF027A"/>
    <w:rsid w:val="26E03714"/>
    <w:rsid w:val="26E20CC5"/>
    <w:rsid w:val="26E55866"/>
    <w:rsid w:val="26E61A05"/>
    <w:rsid w:val="26E66498"/>
    <w:rsid w:val="26E745B0"/>
    <w:rsid w:val="26E767F2"/>
    <w:rsid w:val="26E80D87"/>
    <w:rsid w:val="26E91006"/>
    <w:rsid w:val="26EB2F69"/>
    <w:rsid w:val="26ED069B"/>
    <w:rsid w:val="26F34B68"/>
    <w:rsid w:val="26F50EE9"/>
    <w:rsid w:val="26F73F63"/>
    <w:rsid w:val="26F75D51"/>
    <w:rsid w:val="26F87FD5"/>
    <w:rsid w:val="26F96584"/>
    <w:rsid w:val="26FC4A2E"/>
    <w:rsid w:val="26FE4A65"/>
    <w:rsid w:val="26FE55FB"/>
    <w:rsid w:val="270C6DF9"/>
    <w:rsid w:val="270D07B4"/>
    <w:rsid w:val="270F58C6"/>
    <w:rsid w:val="27127447"/>
    <w:rsid w:val="27145CEA"/>
    <w:rsid w:val="271A7A51"/>
    <w:rsid w:val="27227B59"/>
    <w:rsid w:val="272635C1"/>
    <w:rsid w:val="27277840"/>
    <w:rsid w:val="2728682D"/>
    <w:rsid w:val="272878EB"/>
    <w:rsid w:val="2729149F"/>
    <w:rsid w:val="272B5AA5"/>
    <w:rsid w:val="272D7C1F"/>
    <w:rsid w:val="27316F9A"/>
    <w:rsid w:val="27366784"/>
    <w:rsid w:val="2737500C"/>
    <w:rsid w:val="273E1FB6"/>
    <w:rsid w:val="273F0DF2"/>
    <w:rsid w:val="2741013D"/>
    <w:rsid w:val="27413943"/>
    <w:rsid w:val="274271D5"/>
    <w:rsid w:val="27473793"/>
    <w:rsid w:val="27482FF7"/>
    <w:rsid w:val="274A55D2"/>
    <w:rsid w:val="274B414B"/>
    <w:rsid w:val="274B47F5"/>
    <w:rsid w:val="274C7F09"/>
    <w:rsid w:val="274E6AD8"/>
    <w:rsid w:val="274E7845"/>
    <w:rsid w:val="275167D8"/>
    <w:rsid w:val="275206D3"/>
    <w:rsid w:val="275C53E0"/>
    <w:rsid w:val="275C6E3E"/>
    <w:rsid w:val="2761210A"/>
    <w:rsid w:val="27694E23"/>
    <w:rsid w:val="27696B90"/>
    <w:rsid w:val="276A20FB"/>
    <w:rsid w:val="277108C7"/>
    <w:rsid w:val="27717826"/>
    <w:rsid w:val="277215A9"/>
    <w:rsid w:val="27762E98"/>
    <w:rsid w:val="27787249"/>
    <w:rsid w:val="277924A6"/>
    <w:rsid w:val="2779659D"/>
    <w:rsid w:val="277A64AD"/>
    <w:rsid w:val="277A7C04"/>
    <w:rsid w:val="277C751D"/>
    <w:rsid w:val="277E26FE"/>
    <w:rsid w:val="277F2258"/>
    <w:rsid w:val="2780287F"/>
    <w:rsid w:val="27817380"/>
    <w:rsid w:val="278443E2"/>
    <w:rsid w:val="278454A2"/>
    <w:rsid w:val="27857FDA"/>
    <w:rsid w:val="27861942"/>
    <w:rsid w:val="27871DE1"/>
    <w:rsid w:val="2788682C"/>
    <w:rsid w:val="27890935"/>
    <w:rsid w:val="278A0904"/>
    <w:rsid w:val="278B0AFF"/>
    <w:rsid w:val="278C0057"/>
    <w:rsid w:val="278C0EBF"/>
    <w:rsid w:val="278C730F"/>
    <w:rsid w:val="27935D7B"/>
    <w:rsid w:val="279437A9"/>
    <w:rsid w:val="27956805"/>
    <w:rsid w:val="279A3DDC"/>
    <w:rsid w:val="279B7441"/>
    <w:rsid w:val="279C775D"/>
    <w:rsid w:val="279D7857"/>
    <w:rsid w:val="27A07E5C"/>
    <w:rsid w:val="27A35C54"/>
    <w:rsid w:val="27A74232"/>
    <w:rsid w:val="27AA155C"/>
    <w:rsid w:val="27AB15FD"/>
    <w:rsid w:val="27AB4110"/>
    <w:rsid w:val="27AC2C19"/>
    <w:rsid w:val="27AC5CEC"/>
    <w:rsid w:val="27AD1CE5"/>
    <w:rsid w:val="27B449FF"/>
    <w:rsid w:val="27B54BA0"/>
    <w:rsid w:val="27B61A19"/>
    <w:rsid w:val="27B95AC0"/>
    <w:rsid w:val="27BA5653"/>
    <w:rsid w:val="27BD7F15"/>
    <w:rsid w:val="27BE5CBE"/>
    <w:rsid w:val="27C0380D"/>
    <w:rsid w:val="27C35DCC"/>
    <w:rsid w:val="27CB3412"/>
    <w:rsid w:val="27CC63A1"/>
    <w:rsid w:val="27CE591C"/>
    <w:rsid w:val="27CE64E0"/>
    <w:rsid w:val="27D02239"/>
    <w:rsid w:val="27D17B12"/>
    <w:rsid w:val="27D248A9"/>
    <w:rsid w:val="27D50283"/>
    <w:rsid w:val="27D76CA3"/>
    <w:rsid w:val="27D9090E"/>
    <w:rsid w:val="27DA4584"/>
    <w:rsid w:val="27DB3EDB"/>
    <w:rsid w:val="27DC0836"/>
    <w:rsid w:val="27DC1F8E"/>
    <w:rsid w:val="27DD40F7"/>
    <w:rsid w:val="27DF6DB9"/>
    <w:rsid w:val="27E027FE"/>
    <w:rsid w:val="27E22514"/>
    <w:rsid w:val="27E437B8"/>
    <w:rsid w:val="27E560C0"/>
    <w:rsid w:val="27EF0CFE"/>
    <w:rsid w:val="27F03715"/>
    <w:rsid w:val="27F4149C"/>
    <w:rsid w:val="27FC4762"/>
    <w:rsid w:val="27FC7950"/>
    <w:rsid w:val="28007516"/>
    <w:rsid w:val="2801446D"/>
    <w:rsid w:val="28016C21"/>
    <w:rsid w:val="28046195"/>
    <w:rsid w:val="28093E63"/>
    <w:rsid w:val="280957F1"/>
    <w:rsid w:val="280975A5"/>
    <w:rsid w:val="280A1D84"/>
    <w:rsid w:val="280A2F20"/>
    <w:rsid w:val="280D5205"/>
    <w:rsid w:val="2814744B"/>
    <w:rsid w:val="28153397"/>
    <w:rsid w:val="28171975"/>
    <w:rsid w:val="281A25E4"/>
    <w:rsid w:val="281A7A93"/>
    <w:rsid w:val="281C05E2"/>
    <w:rsid w:val="282152F8"/>
    <w:rsid w:val="28250D48"/>
    <w:rsid w:val="28261BEB"/>
    <w:rsid w:val="282836A8"/>
    <w:rsid w:val="28294C82"/>
    <w:rsid w:val="282B60A0"/>
    <w:rsid w:val="283261F1"/>
    <w:rsid w:val="28330497"/>
    <w:rsid w:val="28340EAA"/>
    <w:rsid w:val="28343ED5"/>
    <w:rsid w:val="28376075"/>
    <w:rsid w:val="28390B26"/>
    <w:rsid w:val="283A6B5B"/>
    <w:rsid w:val="283B2176"/>
    <w:rsid w:val="283C0499"/>
    <w:rsid w:val="283D2D59"/>
    <w:rsid w:val="283E4383"/>
    <w:rsid w:val="284657F9"/>
    <w:rsid w:val="28495F92"/>
    <w:rsid w:val="284C562E"/>
    <w:rsid w:val="284D302B"/>
    <w:rsid w:val="284E3827"/>
    <w:rsid w:val="28505C97"/>
    <w:rsid w:val="28513CE3"/>
    <w:rsid w:val="28517DC7"/>
    <w:rsid w:val="285223EF"/>
    <w:rsid w:val="28556CE6"/>
    <w:rsid w:val="285B188A"/>
    <w:rsid w:val="285E3B40"/>
    <w:rsid w:val="28600517"/>
    <w:rsid w:val="28617324"/>
    <w:rsid w:val="28664CE2"/>
    <w:rsid w:val="286A1EFD"/>
    <w:rsid w:val="286D6A96"/>
    <w:rsid w:val="286E0A37"/>
    <w:rsid w:val="28704635"/>
    <w:rsid w:val="2874068C"/>
    <w:rsid w:val="28760888"/>
    <w:rsid w:val="2880617F"/>
    <w:rsid w:val="28821BD2"/>
    <w:rsid w:val="2883554F"/>
    <w:rsid w:val="28853CF6"/>
    <w:rsid w:val="28855985"/>
    <w:rsid w:val="288A28B4"/>
    <w:rsid w:val="288D768A"/>
    <w:rsid w:val="288E5220"/>
    <w:rsid w:val="288F7BF0"/>
    <w:rsid w:val="28973104"/>
    <w:rsid w:val="289A03E9"/>
    <w:rsid w:val="289B27AA"/>
    <w:rsid w:val="289C6AF1"/>
    <w:rsid w:val="289E7BEA"/>
    <w:rsid w:val="289F091A"/>
    <w:rsid w:val="28A0413F"/>
    <w:rsid w:val="28A10C81"/>
    <w:rsid w:val="28A349F9"/>
    <w:rsid w:val="28A504A9"/>
    <w:rsid w:val="28A65C8F"/>
    <w:rsid w:val="28A856AA"/>
    <w:rsid w:val="28AC23AD"/>
    <w:rsid w:val="28B06610"/>
    <w:rsid w:val="28B14E49"/>
    <w:rsid w:val="28B45AE7"/>
    <w:rsid w:val="28BA5B25"/>
    <w:rsid w:val="28BC18A3"/>
    <w:rsid w:val="28BC3D0D"/>
    <w:rsid w:val="28C0355E"/>
    <w:rsid w:val="28C528AC"/>
    <w:rsid w:val="28D12AB6"/>
    <w:rsid w:val="28D71C54"/>
    <w:rsid w:val="28D81A24"/>
    <w:rsid w:val="28D82689"/>
    <w:rsid w:val="28D84A2B"/>
    <w:rsid w:val="28DC63A8"/>
    <w:rsid w:val="28DE665D"/>
    <w:rsid w:val="28DF4370"/>
    <w:rsid w:val="28E15D60"/>
    <w:rsid w:val="28E756B0"/>
    <w:rsid w:val="28E94E57"/>
    <w:rsid w:val="28EC2913"/>
    <w:rsid w:val="28EC45F2"/>
    <w:rsid w:val="28EF0462"/>
    <w:rsid w:val="28F06365"/>
    <w:rsid w:val="28F138BF"/>
    <w:rsid w:val="28F22101"/>
    <w:rsid w:val="28F4155B"/>
    <w:rsid w:val="28F624EE"/>
    <w:rsid w:val="28F66332"/>
    <w:rsid w:val="28F84F84"/>
    <w:rsid w:val="28F91A97"/>
    <w:rsid w:val="28FB1B21"/>
    <w:rsid w:val="28FE231D"/>
    <w:rsid w:val="28FF2995"/>
    <w:rsid w:val="29011462"/>
    <w:rsid w:val="29041346"/>
    <w:rsid w:val="29043336"/>
    <w:rsid w:val="2906111A"/>
    <w:rsid w:val="290833AE"/>
    <w:rsid w:val="290A0F1C"/>
    <w:rsid w:val="290A2BE3"/>
    <w:rsid w:val="290B50DB"/>
    <w:rsid w:val="290C4367"/>
    <w:rsid w:val="290E1A30"/>
    <w:rsid w:val="29112033"/>
    <w:rsid w:val="29116294"/>
    <w:rsid w:val="291245CA"/>
    <w:rsid w:val="29131AF2"/>
    <w:rsid w:val="291D63D2"/>
    <w:rsid w:val="29247478"/>
    <w:rsid w:val="29251338"/>
    <w:rsid w:val="29275B38"/>
    <w:rsid w:val="29295687"/>
    <w:rsid w:val="292A4E76"/>
    <w:rsid w:val="292B4E84"/>
    <w:rsid w:val="292D3996"/>
    <w:rsid w:val="29341E48"/>
    <w:rsid w:val="29357A83"/>
    <w:rsid w:val="2936054C"/>
    <w:rsid w:val="293633A8"/>
    <w:rsid w:val="29386ABE"/>
    <w:rsid w:val="2939544F"/>
    <w:rsid w:val="293B131C"/>
    <w:rsid w:val="293C7572"/>
    <w:rsid w:val="293E45B3"/>
    <w:rsid w:val="29410A4A"/>
    <w:rsid w:val="29450CBC"/>
    <w:rsid w:val="29474B48"/>
    <w:rsid w:val="29475B0B"/>
    <w:rsid w:val="29481367"/>
    <w:rsid w:val="294837F2"/>
    <w:rsid w:val="294973CB"/>
    <w:rsid w:val="294B7DE9"/>
    <w:rsid w:val="294C168E"/>
    <w:rsid w:val="295119ED"/>
    <w:rsid w:val="29591CCB"/>
    <w:rsid w:val="295C33A0"/>
    <w:rsid w:val="295C7210"/>
    <w:rsid w:val="295D53E7"/>
    <w:rsid w:val="295F1FE9"/>
    <w:rsid w:val="296263DD"/>
    <w:rsid w:val="29627CA6"/>
    <w:rsid w:val="29687E03"/>
    <w:rsid w:val="296B5038"/>
    <w:rsid w:val="296D746F"/>
    <w:rsid w:val="296F3722"/>
    <w:rsid w:val="29701412"/>
    <w:rsid w:val="29755792"/>
    <w:rsid w:val="29766AA9"/>
    <w:rsid w:val="29772C0F"/>
    <w:rsid w:val="29783B5A"/>
    <w:rsid w:val="2978652E"/>
    <w:rsid w:val="297B7724"/>
    <w:rsid w:val="297E54B9"/>
    <w:rsid w:val="29835948"/>
    <w:rsid w:val="29856B6A"/>
    <w:rsid w:val="29910CA1"/>
    <w:rsid w:val="29974748"/>
    <w:rsid w:val="29974A28"/>
    <w:rsid w:val="29AB044A"/>
    <w:rsid w:val="29B015A7"/>
    <w:rsid w:val="29B25C6F"/>
    <w:rsid w:val="29B570DA"/>
    <w:rsid w:val="29B63F49"/>
    <w:rsid w:val="29BA120C"/>
    <w:rsid w:val="29BC51C0"/>
    <w:rsid w:val="29BF1D06"/>
    <w:rsid w:val="29C07BB3"/>
    <w:rsid w:val="29C33AF8"/>
    <w:rsid w:val="29C45989"/>
    <w:rsid w:val="29C50154"/>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EF0144"/>
    <w:rsid w:val="29F361E1"/>
    <w:rsid w:val="29F81286"/>
    <w:rsid w:val="29F91C7C"/>
    <w:rsid w:val="29FB3EB8"/>
    <w:rsid w:val="29FB4442"/>
    <w:rsid w:val="29FD75BB"/>
    <w:rsid w:val="29FE55BC"/>
    <w:rsid w:val="2A024E66"/>
    <w:rsid w:val="2A036CB1"/>
    <w:rsid w:val="2A04175F"/>
    <w:rsid w:val="2A0866C9"/>
    <w:rsid w:val="2A09639D"/>
    <w:rsid w:val="2A102A03"/>
    <w:rsid w:val="2A137D64"/>
    <w:rsid w:val="2A191200"/>
    <w:rsid w:val="2A19456D"/>
    <w:rsid w:val="2A1A5203"/>
    <w:rsid w:val="2A205201"/>
    <w:rsid w:val="2A213E21"/>
    <w:rsid w:val="2A224677"/>
    <w:rsid w:val="2A264F50"/>
    <w:rsid w:val="2A2819D4"/>
    <w:rsid w:val="2A2906E7"/>
    <w:rsid w:val="2A2F1014"/>
    <w:rsid w:val="2A2F6817"/>
    <w:rsid w:val="2A2F751F"/>
    <w:rsid w:val="2A302AEF"/>
    <w:rsid w:val="2A360F19"/>
    <w:rsid w:val="2A3C392E"/>
    <w:rsid w:val="2A3E70CF"/>
    <w:rsid w:val="2A435F70"/>
    <w:rsid w:val="2A454796"/>
    <w:rsid w:val="2A4931EC"/>
    <w:rsid w:val="2A4B32B0"/>
    <w:rsid w:val="2A4E3471"/>
    <w:rsid w:val="2A4F6B68"/>
    <w:rsid w:val="2A5120DD"/>
    <w:rsid w:val="2A523115"/>
    <w:rsid w:val="2A5520BC"/>
    <w:rsid w:val="2A5A6572"/>
    <w:rsid w:val="2A611139"/>
    <w:rsid w:val="2A65595D"/>
    <w:rsid w:val="2A664470"/>
    <w:rsid w:val="2A69523E"/>
    <w:rsid w:val="2A6B6038"/>
    <w:rsid w:val="2A6F4C41"/>
    <w:rsid w:val="2A702BC2"/>
    <w:rsid w:val="2A745B3F"/>
    <w:rsid w:val="2A752D39"/>
    <w:rsid w:val="2A7551F9"/>
    <w:rsid w:val="2A755B0B"/>
    <w:rsid w:val="2A7774A8"/>
    <w:rsid w:val="2A781827"/>
    <w:rsid w:val="2A7A3E7F"/>
    <w:rsid w:val="2A7E571E"/>
    <w:rsid w:val="2A7F56CB"/>
    <w:rsid w:val="2A926529"/>
    <w:rsid w:val="2A97058D"/>
    <w:rsid w:val="2A987409"/>
    <w:rsid w:val="2A9922D2"/>
    <w:rsid w:val="2A9A086C"/>
    <w:rsid w:val="2A9B1D2F"/>
    <w:rsid w:val="2AA1254C"/>
    <w:rsid w:val="2AA4746D"/>
    <w:rsid w:val="2AAC5392"/>
    <w:rsid w:val="2AAD1601"/>
    <w:rsid w:val="2AAE7F7E"/>
    <w:rsid w:val="2AAF76F0"/>
    <w:rsid w:val="2AB033FD"/>
    <w:rsid w:val="2AB5278C"/>
    <w:rsid w:val="2AB56202"/>
    <w:rsid w:val="2AB948A9"/>
    <w:rsid w:val="2AB94C0C"/>
    <w:rsid w:val="2ABC27D7"/>
    <w:rsid w:val="2ABC4089"/>
    <w:rsid w:val="2ABF55A3"/>
    <w:rsid w:val="2AC10742"/>
    <w:rsid w:val="2AC60EF4"/>
    <w:rsid w:val="2ACA5A59"/>
    <w:rsid w:val="2ACF5329"/>
    <w:rsid w:val="2AD05046"/>
    <w:rsid w:val="2AD10396"/>
    <w:rsid w:val="2AD22892"/>
    <w:rsid w:val="2AD57308"/>
    <w:rsid w:val="2ADA0B47"/>
    <w:rsid w:val="2ADB7341"/>
    <w:rsid w:val="2AE0548C"/>
    <w:rsid w:val="2AE24B2B"/>
    <w:rsid w:val="2AE25FF9"/>
    <w:rsid w:val="2AE33ABC"/>
    <w:rsid w:val="2AE74DD0"/>
    <w:rsid w:val="2AEA24C3"/>
    <w:rsid w:val="2AEE11A9"/>
    <w:rsid w:val="2AEF107C"/>
    <w:rsid w:val="2AF05E7F"/>
    <w:rsid w:val="2AF068FD"/>
    <w:rsid w:val="2AF11252"/>
    <w:rsid w:val="2AF44F3E"/>
    <w:rsid w:val="2AF4693F"/>
    <w:rsid w:val="2AF83748"/>
    <w:rsid w:val="2AF869AE"/>
    <w:rsid w:val="2AF91FDB"/>
    <w:rsid w:val="2AFC0D73"/>
    <w:rsid w:val="2AFC197A"/>
    <w:rsid w:val="2AFF2395"/>
    <w:rsid w:val="2B0463EB"/>
    <w:rsid w:val="2B067C5B"/>
    <w:rsid w:val="2B081151"/>
    <w:rsid w:val="2B096F0E"/>
    <w:rsid w:val="2B0A7B11"/>
    <w:rsid w:val="2B0B0AA8"/>
    <w:rsid w:val="2B0D41BB"/>
    <w:rsid w:val="2B0D7C58"/>
    <w:rsid w:val="2B1135DF"/>
    <w:rsid w:val="2B113FD3"/>
    <w:rsid w:val="2B115909"/>
    <w:rsid w:val="2B125E66"/>
    <w:rsid w:val="2B186D98"/>
    <w:rsid w:val="2B194F5C"/>
    <w:rsid w:val="2B1A6475"/>
    <w:rsid w:val="2B1B1323"/>
    <w:rsid w:val="2B1C0C64"/>
    <w:rsid w:val="2B1C3DB4"/>
    <w:rsid w:val="2B227DE3"/>
    <w:rsid w:val="2B240326"/>
    <w:rsid w:val="2B247A52"/>
    <w:rsid w:val="2B266C6E"/>
    <w:rsid w:val="2B284B68"/>
    <w:rsid w:val="2B3362D4"/>
    <w:rsid w:val="2B357DD6"/>
    <w:rsid w:val="2B36645A"/>
    <w:rsid w:val="2B3B016F"/>
    <w:rsid w:val="2B3B5DFE"/>
    <w:rsid w:val="2B403175"/>
    <w:rsid w:val="2B4114D5"/>
    <w:rsid w:val="2B43497A"/>
    <w:rsid w:val="2B464BEB"/>
    <w:rsid w:val="2B487612"/>
    <w:rsid w:val="2B490125"/>
    <w:rsid w:val="2B4A23D1"/>
    <w:rsid w:val="2B4B36FF"/>
    <w:rsid w:val="2B5205AF"/>
    <w:rsid w:val="2B5C7894"/>
    <w:rsid w:val="2B5D1579"/>
    <w:rsid w:val="2B6562D3"/>
    <w:rsid w:val="2B686388"/>
    <w:rsid w:val="2B6A58FB"/>
    <w:rsid w:val="2B6B750C"/>
    <w:rsid w:val="2B740004"/>
    <w:rsid w:val="2B785D3C"/>
    <w:rsid w:val="2B7D401E"/>
    <w:rsid w:val="2B7D5B8F"/>
    <w:rsid w:val="2B851CB7"/>
    <w:rsid w:val="2B852687"/>
    <w:rsid w:val="2B871EC2"/>
    <w:rsid w:val="2B8A0B04"/>
    <w:rsid w:val="2B8D3206"/>
    <w:rsid w:val="2B8D74F2"/>
    <w:rsid w:val="2B8E1F03"/>
    <w:rsid w:val="2B8E7BE2"/>
    <w:rsid w:val="2B932B42"/>
    <w:rsid w:val="2B936FA7"/>
    <w:rsid w:val="2B937A70"/>
    <w:rsid w:val="2B9416B4"/>
    <w:rsid w:val="2B945E22"/>
    <w:rsid w:val="2B950BAC"/>
    <w:rsid w:val="2B9626D3"/>
    <w:rsid w:val="2B9B5222"/>
    <w:rsid w:val="2BA054FE"/>
    <w:rsid w:val="2BA613A2"/>
    <w:rsid w:val="2BA615D6"/>
    <w:rsid w:val="2BA81698"/>
    <w:rsid w:val="2BAB466B"/>
    <w:rsid w:val="2BAC11FE"/>
    <w:rsid w:val="2BAD05E2"/>
    <w:rsid w:val="2BB03972"/>
    <w:rsid w:val="2BB45511"/>
    <w:rsid w:val="2BB67924"/>
    <w:rsid w:val="2BB7389D"/>
    <w:rsid w:val="2BBD1B4D"/>
    <w:rsid w:val="2BBE1332"/>
    <w:rsid w:val="2BC36926"/>
    <w:rsid w:val="2BC4598B"/>
    <w:rsid w:val="2BC81964"/>
    <w:rsid w:val="2BCC13E2"/>
    <w:rsid w:val="2BCC52AB"/>
    <w:rsid w:val="2BCE582A"/>
    <w:rsid w:val="2BD26B1D"/>
    <w:rsid w:val="2BD66D2F"/>
    <w:rsid w:val="2BDC5E0E"/>
    <w:rsid w:val="2BE32FA6"/>
    <w:rsid w:val="2BE43EFD"/>
    <w:rsid w:val="2BE824C1"/>
    <w:rsid w:val="2BE861C9"/>
    <w:rsid w:val="2BE87709"/>
    <w:rsid w:val="2BEE0AFA"/>
    <w:rsid w:val="2BEE40D1"/>
    <w:rsid w:val="2BF05480"/>
    <w:rsid w:val="2BF12638"/>
    <w:rsid w:val="2BF32DDD"/>
    <w:rsid w:val="2BF44D9C"/>
    <w:rsid w:val="2BF97735"/>
    <w:rsid w:val="2BFA4368"/>
    <w:rsid w:val="2BFB77B1"/>
    <w:rsid w:val="2BFF288E"/>
    <w:rsid w:val="2C002162"/>
    <w:rsid w:val="2C041C52"/>
    <w:rsid w:val="2C044CCD"/>
    <w:rsid w:val="2C06547B"/>
    <w:rsid w:val="2C0D4002"/>
    <w:rsid w:val="2C0E0DFC"/>
    <w:rsid w:val="2C0E6982"/>
    <w:rsid w:val="2C104070"/>
    <w:rsid w:val="2C116303"/>
    <w:rsid w:val="2C1520B2"/>
    <w:rsid w:val="2C194CE9"/>
    <w:rsid w:val="2C1A40FC"/>
    <w:rsid w:val="2C1C5262"/>
    <w:rsid w:val="2C1E708F"/>
    <w:rsid w:val="2C1E7C6F"/>
    <w:rsid w:val="2C214A48"/>
    <w:rsid w:val="2C2161AA"/>
    <w:rsid w:val="2C27027B"/>
    <w:rsid w:val="2C277C1E"/>
    <w:rsid w:val="2C286FF9"/>
    <w:rsid w:val="2C2960FC"/>
    <w:rsid w:val="2C2B021E"/>
    <w:rsid w:val="2C2D2D0D"/>
    <w:rsid w:val="2C375944"/>
    <w:rsid w:val="2C3B155A"/>
    <w:rsid w:val="2C3F2EB7"/>
    <w:rsid w:val="2C454CDB"/>
    <w:rsid w:val="2C4D184B"/>
    <w:rsid w:val="2C4D7F46"/>
    <w:rsid w:val="2C4F0497"/>
    <w:rsid w:val="2C506442"/>
    <w:rsid w:val="2C541335"/>
    <w:rsid w:val="2C57251C"/>
    <w:rsid w:val="2C5C51D5"/>
    <w:rsid w:val="2C5F6823"/>
    <w:rsid w:val="2C605945"/>
    <w:rsid w:val="2C62700C"/>
    <w:rsid w:val="2C65438B"/>
    <w:rsid w:val="2C6631F9"/>
    <w:rsid w:val="2C685693"/>
    <w:rsid w:val="2C6967BE"/>
    <w:rsid w:val="2C6E047E"/>
    <w:rsid w:val="2C7374C1"/>
    <w:rsid w:val="2C750454"/>
    <w:rsid w:val="2C77194B"/>
    <w:rsid w:val="2C78360C"/>
    <w:rsid w:val="2C791DFE"/>
    <w:rsid w:val="2C7B41AF"/>
    <w:rsid w:val="2C7E0EC4"/>
    <w:rsid w:val="2C7E31EF"/>
    <w:rsid w:val="2C8132A3"/>
    <w:rsid w:val="2C844B41"/>
    <w:rsid w:val="2C877BAF"/>
    <w:rsid w:val="2C896503"/>
    <w:rsid w:val="2C8A1A4E"/>
    <w:rsid w:val="2C8E4410"/>
    <w:rsid w:val="2C8F3D1D"/>
    <w:rsid w:val="2C8F6315"/>
    <w:rsid w:val="2C907D44"/>
    <w:rsid w:val="2C917D80"/>
    <w:rsid w:val="2C9416C9"/>
    <w:rsid w:val="2C942FC4"/>
    <w:rsid w:val="2C974C95"/>
    <w:rsid w:val="2C9D53B1"/>
    <w:rsid w:val="2C9F04DE"/>
    <w:rsid w:val="2CA22DF0"/>
    <w:rsid w:val="2CA44196"/>
    <w:rsid w:val="2CA73697"/>
    <w:rsid w:val="2CAC40FB"/>
    <w:rsid w:val="2CAD772D"/>
    <w:rsid w:val="2CB0248B"/>
    <w:rsid w:val="2CB063A3"/>
    <w:rsid w:val="2CB10B57"/>
    <w:rsid w:val="2CB54B9C"/>
    <w:rsid w:val="2CB87A66"/>
    <w:rsid w:val="2CBE2DC2"/>
    <w:rsid w:val="2CBE5720"/>
    <w:rsid w:val="2CC0642B"/>
    <w:rsid w:val="2CC73674"/>
    <w:rsid w:val="2CC80A14"/>
    <w:rsid w:val="2CC83363"/>
    <w:rsid w:val="2CC83457"/>
    <w:rsid w:val="2CCD59E0"/>
    <w:rsid w:val="2CCE16F2"/>
    <w:rsid w:val="2CCE6BEB"/>
    <w:rsid w:val="2CD15D7C"/>
    <w:rsid w:val="2CD24FC6"/>
    <w:rsid w:val="2CD6400B"/>
    <w:rsid w:val="2CD85700"/>
    <w:rsid w:val="2CDA6053"/>
    <w:rsid w:val="2CE85A97"/>
    <w:rsid w:val="2CEA1DE2"/>
    <w:rsid w:val="2CEB2E12"/>
    <w:rsid w:val="2CF11B08"/>
    <w:rsid w:val="2CF15C47"/>
    <w:rsid w:val="2CF71927"/>
    <w:rsid w:val="2CFC7880"/>
    <w:rsid w:val="2D006738"/>
    <w:rsid w:val="2D011501"/>
    <w:rsid w:val="2D0352B4"/>
    <w:rsid w:val="2D0434FD"/>
    <w:rsid w:val="2D045DB8"/>
    <w:rsid w:val="2D057B99"/>
    <w:rsid w:val="2D08251D"/>
    <w:rsid w:val="2D086BBC"/>
    <w:rsid w:val="2D0D39D2"/>
    <w:rsid w:val="2D0D452C"/>
    <w:rsid w:val="2D0D51A5"/>
    <w:rsid w:val="2D0E3C4C"/>
    <w:rsid w:val="2D106D1F"/>
    <w:rsid w:val="2D141AD4"/>
    <w:rsid w:val="2D17361D"/>
    <w:rsid w:val="2D174E97"/>
    <w:rsid w:val="2D1B3EAA"/>
    <w:rsid w:val="2D1D497B"/>
    <w:rsid w:val="2D233594"/>
    <w:rsid w:val="2D262384"/>
    <w:rsid w:val="2D265A5D"/>
    <w:rsid w:val="2D28247E"/>
    <w:rsid w:val="2D2C20F4"/>
    <w:rsid w:val="2D2E5B44"/>
    <w:rsid w:val="2D2E5CFC"/>
    <w:rsid w:val="2D2E6BC9"/>
    <w:rsid w:val="2D302CEA"/>
    <w:rsid w:val="2D31142D"/>
    <w:rsid w:val="2D382B32"/>
    <w:rsid w:val="2D3E2E39"/>
    <w:rsid w:val="2D4367AA"/>
    <w:rsid w:val="2D44383F"/>
    <w:rsid w:val="2D4441A5"/>
    <w:rsid w:val="2D4A18E7"/>
    <w:rsid w:val="2D4D460A"/>
    <w:rsid w:val="2D4F024E"/>
    <w:rsid w:val="2D506162"/>
    <w:rsid w:val="2D581200"/>
    <w:rsid w:val="2D5B0DF0"/>
    <w:rsid w:val="2D5B1712"/>
    <w:rsid w:val="2D5D5820"/>
    <w:rsid w:val="2D5F5730"/>
    <w:rsid w:val="2D643919"/>
    <w:rsid w:val="2D6A3D37"/>
    <w:rsid w:val="2D6C7950"/>
    <w:rsid w:val="2D6F2144"/>
    <w:rsid w:val="2D7053B5"/>
    <w:rsid w:val="2D71745E"/>
    <w:rsid w:val="2D753303"/>
    <w:rsid w:val="2D7547DE"/>
    <w:rsid w:val="2D7E7C40"/>
    <w:rsid w:val="2D800417"/>
    <w:rsid w:val="2D821D2E"/>
    <w:rsid w:val="2D831CD4"/>
    <w:rsid w:val="2D83304B"/>
    <w:rsid w:val="2D837574"/>
    <w:rsid w:val="2D842F3D"/>
    <w:rsid w:val="2D8722FC"/>
    <w:rsid w:val="2D872B3B"/>
    <w:rsid w:val="2D8B0D1B"/>
    <w:rsid w:val="2D8F60D8"/>
    <w:rsid w:val="2D913E2D"/>
    <w:rsid w:val="2D970330"/>
    <w:rsid w:val="2D990AC0"/>
    <w:rsid w:val="2DA56B08"/>
    <w:rsid w:val="2DAB2232"/>
    <w:rsid w:val="2DAC1FE6"/>
    <w:rsid w:val="2DAD2467"/>
    <w:rsid w:val="2DAD345A"/>
    <w:rsid w:val="2DAE06CC"/>
    <w:rsid w:val="2DB37C4B"/>
    <w:rsid w:val="2DB56F81"/>
    <w:rsid w:val="2DB90B37"/>
    <w:rsid w:val="2DBB03DE"/>
    <w:rsid w:val="2DBC4DFA"/>
    <w:rsid w:val="2DBC70EA"/>
    <w:rsid w:val="2DBF56D4"/>
    <w:rsid w:val="2DC23B73"/>
    <w:rsid w:val="2DCC4EAA"/>
    <w:rsid w:val="2DD34C95"/>
    <w:rsid w:val="2DD366DD"/>
    <w:rsid w:val="2DD410FC"/>
    <w:rsid w:val="2DD8146A"/>
    <w:rsid w:val="2DD85FF6"/>
    <w:rsid w:val="2DDC2996"/>
    <w:rsid w:val="2DDD2C93"/>
    <w:rsid w:val="2DE17C47"/>
    <w:rsid w:val="2DE42621"/>
    <w:rsid w:val="2DF328DF"/>
    <w:rsid w:val="2DF57043"/>
    <w:rsid w:val="2DFB0CFD"/>
    <w:rsid w:val="2DFC163C"/>
    <w:rsid w:val="2DFE0923"/>
    <w:rsid w:val="2DFE3326"/>
    <w:rsid w:val="2DFF182D"/>
    <w:rsid w:val="2DFF3E40"/>
    <w:rsid w:val="2DFF601B"/>
    <w:rsid w:val="2E002B06"/>
    <w:rsid w:val="2E013E72"/>
    <w:rsid w:val="2E0349BB"/>
    <w:rsid w:val="2E034A0D"/>
    <w:rsid w:val="2E035F90"/>
    <w:rsid w:val="2E0573D3"/>
    <w:rsid w:val="2E097564"/>
    <w:rsid w:val="2E0E5C82"/>
    <w:rsid w:val="2E0E6014"/>
    <w:rsid w:val="2E0F0F14"/>
    <w:rsid w:val="2E0F48DF"/>
    <w:rsid w:val="2E0F650A"/>
    <w:rsid w:val="2E13323D"/>
    <w:rsid w:val="2E1C68B2"/>
    <w:rsid w:val="2E205348"/>
    <w:rsid w:val="2E226E79"/>
    <w:rsid w:val="2E2335A9"/>
    <w:rsid w:val="2E25369B"/>
    <w:rsid w:val="2E256949"/>
    <w:rsid w:val="2E29214F"/>
    <w:rsid w:val="2E2A302D"/>
    <w:rsid w:val="2E2A34C6"/>
    <w:rsid w:val="2E2A6429"/>
    <w:rsid w:val="2E2B6E2B"/>
    <w:rsid w:val="2E2E7A92"/>
    <w:rsid w:val="2E33181E"/>
    <w:rsid w:val="2E3456B1"/>
    <w:rsid w:val="2E355705"/>
    <w:rsid w:val="2E377971"/>
    <w:rsid w:val="2E3D3D12"/>
    <w:rsid w:val="2E3D769E"/>
    <w:rsid w:val="2E427D0E"/>
    <w:rsid w:val="2E446AD1"/>
    <w:rsid w:val="2E460067"/>
    <w:rsid w:val="2E470981"/>
    <w:rsid w:val="2E4834F6"/>
    <w:rsid w:val="2E4A7EB5"/>
    <w:rsid w:val="2E4C147C"/>
    <w:rsid w:val="2E57653F"/>
    <w:rsid w:val="2E597CFD"/>
    <w:rsid w:val="2E606113"/>
    <w:rsid w:val="2E623782"/>
    <w:rsid w:val="2E6A4DFF"/>
    <w:rsid w:val="2E6C0977"/>
    <w:rsid w:val="2E6C5938"/>
    <w:rsid w:val="2E6F4119"/>
    <w:rsid w:val="2E7057C2"/>
    <w:rsid w:val="2E783B10"/>
    <w:rsid w:val="2E846B9D"/>
    <w:rsid w:val="2E855286"/>
    <w:rsid w:val="2E875DCA"/>
    <w:rsid w:val="2E8B7DD1"/>
    <w:rsid w:val="2E8D7E94"/>
    <w:rsid w:val="2E8F3650"/>
    <w:rsid w:val="2E9217AD"/>
    <w:rsid w:val="2E923D0D"/>
    <w:rsid w:val="2E9E177F"/>
    <w:rsid w:val="2E9F4116"/>
    <w:rsid w:val="2EA11F28"/>
    <w:rsid w:val="2EA20593"/>
    <w:rsid w:val="2EA2406F"/>
    <w:rsid w:val="2EA32CCD"/>
    <w:rsid w:val="2EA60B92"/>
    <w:rsid w:val="2EA84D5E"/>
    <w:rsid w:val="2EAB5B12"/>
    <w:rsid w:val="2EB1632E"/>
    <w:rsid w:val="2EB37960"/>
    <w:rsid w:val="2EB447AF"/>
    <w:rsid w:val="2EB4699C"/>
    <w:rsid w:val="2EB53BFB"/>
    <w:rsid w:val="2EB96286"/>
    <w:rsid w:val="2EB97A68"/>
    <w:rsid w:val="2EBB3E0A"/>
    <w:rsid w:val="2EBD7709"/>
    <w:rsid w:val="2EC17BCE"/>
    <w:rsid w:val="2ED36616"/>
    <w:rsid w:val="2ED41928"/>
    <w:rsid w:val="2ED52D19"/>
    <w:rsid w:val="2EDA4C86"/>
    <w:rsid w:val="2EDC036F"/>
    <w:rsid w:val="2EDC33F8"/>
    <w:rsid w:val="2EDD6A5B"/>
    <w:rsid w:val="2EE027E8"/>
    <w:rsid w:val="2EE56B5D"/>
    <w:rsid w:val="2EE67B0A"/>
    <w:rsid w:val="2EE848E7"/>
    <w:rsid w:val="2EE946DF"/>
    <w:rsid w:val="2EED2BC6"/>
    <w:rsid w:val="2EEF4E14"/>
    <w:rsid w:val="2EF41CC9"/>
    <w:rsid w:val="2EF7595B"/>
    <w:rsid w:val="2EF830F5"/>
    <w:rsid w:val="2EFB3DC5"/>
    <w:rsid w:val="2EFB68D6"/>
    <w:rsid w:val="2F0003D4"/>
    <w:rsid w:val="2F00322A"/>
    <w:rsid w:val="2F006348"/>
    <w:rsid w:val="2F053722"/>
    <w:rsid w:val="2F070D18"/>
    <w:rsid w:val="2F0E7651"/>
    <w:rsid w:val="2F106200"/>
    <w:rsid w:val="2F123E21"/>
    <w:rsid w:val="2F16063C"/>
    <w:rsid w:val="2F17239A"/>
    <w:rsid w:val="2F1964B0"/>
    <w:rsid w:val="2F196F0F"/>
    <w:rsid w:val="2F1D7537"/>
    <w:rsid w:val="2F1F3EDF"/>
    <w:rsid w:val="2F2014D1"/>
    <w:rsid w:val="2F20747D"/>
    <w:rsid w:val="2F260132"/>
    <w:rsid w:val="2F270B57"/>
    <w:rsid w:val="2F27590D"/>
    <w:rsid w:val="2F27710F"/>
    <w:rsid w:val="2F281646"/>
    <w:rsid w:val="2F2A651E"/>
    <w:rsid w:val="2F2C7FF7"/>
    <w:rsid w:val="2F2D3340"/>
    <w:rsid w:val="2F2E5C57"/>
    <w:rsid w:val="2F30212C"/>
    <w:rsid w:val="2F315864"/>
    <w:rsid w:val="2F32137F"/>
    <w:rsid w:val="2F351AE9"/>
    <w:rsid w:val="2F356E15"/>
    <w:rsid w:val="2F383F7A"/>
    <w:rsid w:val="2F3A3B2A"/>
    <w:rsid w:val="2F3B6C23"/>
    <w:rsid w:val="2F3E6D36"/>
    <w:rsid w:val="2F424C27"/>
    <w:rsid w:val="2F456409"/>
    <w:rsid w:val="2F491769"/>
    <w:rsid w:val="2F4B2B42"/>
    <w:rsid w:val="2F4B56FE"/>
    <w:rsid w:val="2F4C15AA"/>
    <w:rsid w:val="2F5132F9"/>
    <w:rsid w:val="2F513DD4"/>
    <w:rsid w:val="2F514063"/>
    <w:rsid w:val="2F516DBD"/>
    <w:rsid w:val="2F533C52"/>
    <w:rsid w:val="2F562F7B"/>
    <w:rsid w:val="2F57653D"/>
    <w:rsid w:val="2F5861CE"/>
    <w:rsid w:val="2F5F4E9B"/>
    <w:rsid w:val="2F5F6A66"/>
    <w:rsid w:val="2F645535"/>
    <w:rsid w:val="2F672DE1"/>
    <w:rsid w:val="2F6A2FBA"/>
    <w:rsid w:val="2F6B6C1F"/>
    <w:rsid w:val="2F6E0A8E"/>
    <w:rsid w:val="2F6E6146"/>
    <w:rsid w:val="2F71797B"/>
    <w:rsid w:val="2F762ECF"/>
    <w:rsid w:val="2F79396A"/>
    <w:rsid w:val="2F794388"/>
    <w:rsid w:val="2F797559"/>
    <w:rsid w:val="2F7B09F7"/>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120F1"/>
    <w:rsid w:val="2FB34EB5"/>
    <w:rsid w:val="2FB500DD"/>
    <w:rsid w:val="2FB50F3A"/>
    <w:rsid w:val="2FB90E30"/>
    <w:rsid w:val="2FBA5307"/>
    <w:rsid w:val="2FBB05D0"/>
    <w:rsid w:val="2FC038DE"/>
    <w:rsid w:val="2FC17A26"/>
    <w:rsid w:val="2FC2342B"/>
    <w:rsid w:val="2FC47D08"/>
    <w:rsid w:val="2FC95CB7"/>
    <w:rsid w:val="2FC9724F"/>
    <w:rsid w:val="2FCA3CFF"/>
    <w:rsid w:val="2FCB17FC"/>
    <w:rsid w:val="2FCC0C0A"/>
    <w:rsid w:val="2FCF06A7"/>
    <w:rsid w:val="2FDA35EE"/>
    <w:rsid w:val="2FDC1075"/>
    <w:rsid w:val="2FDE0B3A"/>
    <w:rsid w:val="2FDF1EAD"/>
    <w:rsid w:val="2FDF37F8"/>
    <w:rsid w:val="2FE11FC5"/>
    <w:rsid w:val="2FE31BDC"/>
    <w:rsid w:val="2FE3634B"/>
    <w:rsid w:val="2FE61C64"/>
    <w:rsid w:val="2FE778C1"/>
    <w:rsid w:val="2FEE5C7B"/>
    <w:rsid w:val="2FF03336"/>
    <w:rsid w:val="2FF06A19"/>
    <w:rsid w:val="2FF854C4"/>
    <w:rsid w:val="2FF86157"/>
    <w:rsid w:val="2FFA3A98"/>
    <w:rsid w:val="2FFA4362"/>
    <w:rsid w:val="2FFD1CD6"/>
    <w:rsid w:val="2FFD79AF"/>
    <w:rsid w:val="2FFF79D7"/>
    <w:rsid w:val="3000496E"/>
    <w:rsid w:val="30056C30"/>
    <w:rsid w:val="3007758B"/>
    <w:rsid w:val="30083FE2"/>
    <w:rsid w:val="30087BDD"/>
    <w:rsid w:val="300B221D"/>
    <w:rsid w:val="300C7C38"/>
    <w:rsid w:val="300D152F"/>
    <w:rsid w:val="30126EC4"/>
    <w:rsid w:val="3018020F"/>
    <w:rsid w:val="301A4934"/>
    <w:rsid w:val="301A7ACB"/>
    <w:rsid w:val="302208F9"/>
    <w:rsid w:val="30254FAB"/>
    <w:rsid w:val="30275F10"/>
    <w:rsid w:val="30283F91"/>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3AD5"/>
    <w:rsid w:val="305F65A0"/>
    <w:rsid w:val="306158D5"/>
    <w:rsid w:val="30624661"/>
    <w:rsid w:val="30663CE0"/>
    <w:rsid w:val="306B0BE5"/>
    <w:rsid w:val="306E1D25"/>
    <w:rsid w:val="307621A8"/>
    <w:rsid w:val="307623FD"/>
    <w:rsid w:val="30770529"/>
    <w:rsid w:val="30826653"/>
    <w:rsid w:val="30881550"/>
    <w:rsid w:val="308A7825"/>
    <w:rsid w:val="308C66BA"/>
    <w:rsid w:val="308E3C46"/>
    <w:rsid w:val="309077B8"/>
    <w:rsid w:val="309115C4"/>
    <w:rsid w:val="30956884"/>
    <w:rsid w:val="309646B2"/>
    <w:rsid w:val="30985912"/>
    <w:rsid w:val="309B2C14"/>
    <w:rsid w:val="309D467E"/>
    <w:rsid w:val="309E4D64"/>
    <w:rsid w:val="30A1216A"/>
    <w:rsid w:val="30A57154"/>
    <w:rsid w:val="30AB6AB4"/>
    <w:rsid w:val="30AC35BB"/>
    <w:rsid w:val="30AC3E30"/>
    <w:rsid w:val="30AD5A06"/>
    <w:rsid w:val="30AE5D9C"/>
    <w:rsid w:val="30B1191F"/>
    <w:rsid w:val="30B239E6"/>
    <w:rsid w:val="30B34961"/>
    <w:rsid w:val="30B9057A"/>
    <w:rsid w:val="30BC5F3B"/>
    <w:rsid w:val="30BD32E1"/>
    <w:rsid w:val="30C005F8"/>
    <w:rsid w:val="30C97954"/>
    <w:rsid w:val="30CB2D3F"/>
    <w:rsid w:val="30CE7D62"/>
    <w:rsid w:val="30D065A7"/>
    <w:rsid w:val="30D10A06"/>
    <w:rsid w:val="30D12AEF"/>
    <w:rsid w:val="30D7425B"/>
    <w:rsid w:val="30DD0E38"/>
    <w:rsid w:val="30DE46FC"/>
    <w:rsid w:val="30DE6C60"/>
    <w:rsid w:val="30E52A0A"/>
    <w:rsid w:val="30E64F4E"/>
    <w:rsid w:val="30E7501B"/>
    <w:rsid w:val="30E761B3"/>
    <w:rsid w:val="30E81B43"/>
    <w:rsid w:val="30EB193A"/>
    <w:rsid w:val="30ED25C8"/>
    <w:rsid w:val="30EF3F28"/>
    <w:rsid w:val="30F331EA"/>
    <w:rsid w:val="30F779FC"/>
    <w:rsid w:val="30F9414D"/>
    <w:rsid w:val="30FF2572"/>
    <w:rsid w:val="30FF521A"/>
    <w:rsid w:val="310608A2"/>
    <w:rsid w:val="31070CFB"/>
    <w:rsid w:val="310A7D8A"/>
    <w:rsid w:val="310B5B07"/>
    <w:rsid w:val="310C5C8C"/>
    <w:rsid w:val="310D2E33"/>
    <w:rsid w:val="311A58AC"/>
    <w:rsid w:val="311A5A74"/>
    <w:rsid w:val="311B78B5"/>
    <w:rsid w:val="311E254F"/>
    <w:rsid w:val="31211E00"/>
    <w:rsid w:val="31253BBB"/>
    <w:rsid w:val="312608BD"/>
    <w:rsid w:val="3127353B"/>
    <w:rsid w:val="312A6A01"/>
    <w:rsid w:val="312C087D"/>
    <w:rsid w:val="312C673E"/>
    <w:rsid w:val="312C7923"/>
    <w:rsid w:val="312E650F"/>
    <w:rsid w:val="3131611A"/>
    <w:rsid w:val="3138243A"/>
    <w:rsid w:val="313A1C72"/>
    <w:rsid w:val="313C2B78"/>
    <w:rsid w:val="313C73CD"/>
    <w:rsid w:val="313D1351"/>
    <w:rsid w:val="31415D7C"/>
    <w:rsid w:val="31421D81"/>
    <w:rsid w:val="31441851"/>
    <w:rsid w:val="31471BF6"/>
    <w:rsid w:val="314F7247"/>
    <w:rsid w:val="3150378B"/>
    <w:rsid w:val="31506E9A"/>
    <w:rsid w:val="315414C0"/>
    <w:rsid w:val="31566DE9"/>
    <w:rsid w:val="315B78E8"/>
    <w:rsid w:val="315F20B7"/>
    <w:rsid w:val="315F7848"/>
    <w:rsid w:val="315F7B3A"/>
    <w:rsid w:val="31634122"/>
    <w:rsid w:val="31635067"/>
    <w:rsid w:val="31673193"/>
    <w:rsid w:val="31681810"/>
    <w:rsid w:val="3169515B"/>
    <w:rsid w:val="316A2770"/>
    <w:rsid w:val="316B17AA"/>
    <w:rsid w:val="316F01DB"/>
    <w:rsid w:val="316F62ED"/>
    <w:rsid w:val="31714F08"/>
    <w:rsid w:val="31735DAE"/>
    <w:rsid w:val="317529A4"/>
    <w:rsid w:val="317657CC"/>
    <w:rsid w:val="3185261A"/>
    <w:rsid w:val="31852B84"/>
    <w:rsid w:val="31891244"/>
    <w:rsid w:val="3189332C"/>
    <w:rsid w:val="318D5DF3"/>
    <w:rsid w:val="318D6E68"/>
    <w:rsid w:val="318F303E"/>
    <w:rsid w:val="319078B2"/>
    <w:rsid w:val="3192591A"/>
    <w:rsid w:val="3192760A"/>
    <w:rsid w:val="319765D1"/>
    <w:rsid w:val="3198270C"/>
    <w:rsid w:val="319A0963"/>
    <w:rsid w:val="319B5C66"/>
    <w:rsid w:val="319B7C77"/>
    <w:rsid w:val="31A44B1B"/>
    <w:rsid w:val="31A57A34"/>
    <w:rsid w:val="31AA25A9"/>
    <w:rsid w:val="31AB6682"/>
    <w:rsid w:val="31B446A5"/>
    <w:rsid w:val="31B54804"/>
    <w:rsid w:val="31B553CE"/>
    <w:rsid w:val="31BB4CA9"/>
    <w:rsid w:val="31BD7D6E"/>
    <w:rsid w:val="31BF52A6"/>
    <w:rsid w:val="31C22D72"/>
    <w:rsid w:val="31C6105E"/>
    <w:rsid w:val="31C861F5"/>
    <w:rsid w:val="31C9167C"/>
    <w:rsid w:val="31CD2AE7"/>
    <w:rsid w:val="31CF7B6C"/>
    <w:rsid w:val="31D26A8E"/>
    <w:rsid w:val="31D42F82"/>
    <w:rsid w:val="31D46EE2"/>
    <w:rsid w:val="31DB384F"/>
    <w:rsid w:val="31DD1917"/>
    <w:rsid w:val="31DF76F1"/>
    <w:rsid w:val="31E00FB5"/>
    <w:rsid w:val="31E45B8C"/>
    <w:rsid w:val="31E645B1"/>
    <w:rsid w:val="31EC756B"/>
    <w:rsid w:val="31EE29B3"/>
    <w:rsid w:val="31EE412C"/>
    <w:rsid w:val="31F32FBF"/>
    <w:rsid w:val="31F745D3"/>
    <w:rsid w:val="31F83CBF"/>
    <w:rsid w:val="31FA339D"/>
    <w:rsid w:val="31FB28EC"/>
    <w:rsid w:val="31FC58E9"/>
    <w:rsid w:val="31FE3095"/>
    <w:rsid w:val="31FE67FD"/>
    <w:rsid w:val="31FF671F"/>
    <w:rsid w:val="32020056"/>
    <w:rsid w:val="32034F14"/>
    <w:rsid w:val="3203787E"/>
    <w:rsid w:val="3204181A"/>
    <w:rsid w:val="32056815"/>
    <w:rsid w:val="320A2560"/>
    <w:rsid w:val="320A55E2"/>
    <w:rsid w:val="320B31DE"/>
    <w:rsid w:val="320B557C"/>
    <w:rsid w:val="321233F7"/>
    <w:rsid w:val="32174B2D"/>
    <w:rsid w:val="3219399B"/>
    <w:rsid w:val="32195A0B"/>
    <w:rsid w:val="321B036C"/>
    <w:rsid w:val="321B5F1A"/>
    <w:rsid w:val="321E67BD"/>
    <w:rsid w:val="32251EDB"/>
    <w:rsid w:val="32253A27"/>
    <w:rsid w:val="32261E1F"/>
    <w:rsid w:val="32290598"/>
    <w:rsid w:val="322D2553"/>
    <w:rsid w:val="322D542D"/>
    <w:rsid w:val="322D5670"/>
    <w:rsid w:val="322F2C94"/>
    <w:rsid w:val="323077A3"/>
    <w:rsid w:val="3231515D"/>
    <w:rsid w:val="32321F02"/>
    <w:rsid w:val="32327AC6"/>
    <w:rsid w:val="323A1C7F"/>
    <w:rsid w:val="323B605F"/>
    <w:rsid w:val="323F7927"/>
    <w:rsid w:val="324228EA"/>
    <w:rsid w:val="32435C91"/>
    <w:rsid w:val="3247083A"/>
    <w:rsid w:val="32476D3D"/>
    <w:rsid w:val="324E7081"/>
    <w:rsid w:val="324F387C"/>
    <w:rsid w:val="324F6855"/>
    <w:rsid w:val="32541F87"/>
    <w:rsid w:val="325517EA"/>
    <w:rsid w:val="325C1643"/>
    <w:rsid w:val="32657A06"/>
    <w:rsid w:val="326D1DE7"/>
    <w:rsid w:val="326E5131"/>
    <w:rsid w:val="32700190"/>
    <w:rsid w:val="32764E3E"/>
    <w:rsid w:val="32771E4B"/>
    <w:rsid w:val="327E6123"/>
    <w:rsid w:val="32822B91"/>
    <w:rsid w:val="32845A07"/>
    <w:rsid w:val="3285274F"/>
    <w:rsid w:val="328D317B"/>
    <w:rsid w:val="328D7338"/>
    <w:rsid w:val="328F15D2"/>
    <w:rsid w:val="32903113"/>
    <w:rsid w:val="32920760"/>
    <w:rsid w:val="3294299E"/>
    <w:rsid w:val="32942D03"/>
    <w:rsid w:val="32950344"/>
    <w:rsid w:val="329948BE"/>
    <w:rsid w:val="32A37382"/>
    <w:rsid w:val="32A744D6"/>
    <w:rsid w:val="32A8786D"/>
    <w:rsid w:val="32A91A35"/>
    <w:rsid w:val="32AB0F18"/>
    <w:rsid w:val="32AF5A8A"/>
    <w:rsid w:val="32AF7866"/>
    <w:rsid w:val="32B10AED"/>
    <w:rsid w:val="32B7671F"/>
    <w:rsid w:val="32B76FB3"/>
    <w:rsid w:val="32B80F6B"/>
    <w:rsid w:val="32BB000D"/>
    <w:rsid w:val="32BD49B3"/>
    <w:rsid w:val="32C23BFF"/>
    <w:rsid w:val="32C262B0"/>
    <w:rsid w:val="32C426C6"/>
    <w:rsid w:val="32C57858"/>
    <w:rsid w:val="32C70FBD"/>
    <w:rsid w:val="32C74733"/>
    <w:rsid w:val="32C75667"/>
    <w:rsid w:val="32C77C70"/>
    <w:rsid w:val="32C83002"/>
    <w:rsid w:val="32C96AA6"/>
    <w:rsid w:val="32CA77EA"/>
    <w:rsid w:val="32CD6313"/>
    <w:rsid w:val="32CE3A31"/>
    <w:rsid w:val="32CF388C"/>
    <w:rsid w:val="32D0674A"/>
    <w:rsid w:val="32D22CA9"/>
    <w:rsid w:val="32D305F1"/>
    <w:rsid w:val="32D34DAA"/>
    <w:rsid w:val="32D50A2F"/>
    <w:rsid w:val="32D61978"/>
    <w:rsid w:val="32D94D35"/>
    <w:rsid w:val="32DB7ABA"/>
    <w:rsid w:val="32E378E0"/>
    <w:rsid w:val="32E44E6D"/>
    <w:rsid w:val="32E62C7B"/>
    <w:rsid w:val="32E91759"/>
    <w:rsid w:val="32EA5644"/>
    <w:rsid w:val="32EB4878"/>
    <w:rsid w:val="32F15FBB"/>
    <w:rsid w:val="32F3225B"/>
    <w:rsid w:val="32F4463C"/>
    <w:rsid w:val="32F5243A"/>
    <w:rsid w:val="32F72C4D"/>
    <w:rsid w:val="32F84903"/>
    <w:rsid w:val="3300464B"/>
    <w:rsid w:val="3301082C"/>
    <w:rsid w:val="330322F7"/>
    <w:rsid w:val="33041BAC"/>
    <w:rsid w:val="330439EA"/>
    <w:rsid w:val="33074674"/>
    <w:rsid w:val="3307578A"/>
    <w:rsid w:val="330D644D"/>
    <w:rsid w:val="330E5C64"/>
    <w:rsid w:val="331171E1"/>
    <w:rsid w:val="33123F2B"/>
    <w:rsid w:val="3316338D"/>
    <w:rsid w:val="33166D0E"/>
    <w:rsid w:val="331775A8"/>
    <w:rsid w:val="331B1691"/>
    <w:rsid w:val="331B2226"/>
    <w:rsid w:val="331C1D31"/>
    <w:rsid w:val="332152BA"/>
    <w:rsid w:val="33220090"/>
    <w:rsid w:val="33220A74"/>
    <w:rsid w:val="33264087"/>
    <w:rsid w:val="33273224"/>
    <w:rsid w:val="332D05DB"/>
    <w:rsid w:val="332F3C0E"/>
    <w:rsid w:val="33323549"/>
    <w:rsid w:val="33327240"/>
    <w:rsid w:val="3339105D"/>
    <w:rsid w:val="333A2D0C"/>
    <w:rsid w:val="333D18A4"/>
    <w:rsid w:val="33416387"/>
    <w:rsid w:val="33433299"/>
    <w:rsid w:val="3348686B"/>
    <w:rsid w:val="334877FD"/>
    <w:rsid w:val="334A4166"/>
    <w:rsid w:val="334C33CB"/>
    <w:rsid w:val="33504918"/>
    <w:rsid w:val="33514F92"/>
    <w:rsid w:val="335369A4"/>
    <w:rsid w:val="335A2AA0"/>
    <w:rsid w:val="335A4EFD"/>
    <w:rsid w:val="335F2036"/>
    <w:rsid w:val="33624687"/>
    <w:rsid w:val="33646C00"/>
    <w:rsid w:val="336B23CA"/>
    <w:rsid w:val="336B6AF8"/>
    <w:rsid w:val="336C3F9A"/>
    <w:rsid w:val="336E1C28"/>
    <w:rsid w:val="33706042"/>
    <w:rsid w:val="3374309B"/>
    <w:rsid w:val="3376354A"/>
    <w:rsid w:val="3378039E"/>
    <w:rsid w:val="33784BB6"/>
    <w:rsid w:val="3379318F"/>
    <w:rsid w:val="337A2555"/>
    <w:rsid w:val="337B4E5F"/>
    <w:rsid w:val="338652D4"/>
    <w:rsid w:val="338E32F7"/>
    <w:rsid w:val="33907413"/>
    <w:rsid w:val="33970FF3"/>
    <w:rsid w:val="339D5500"/>
    <w:rsid w:val="33A042DD"/>
    <w:rsid w:val="33A377EC"/>
    <w:rsid w:val="33A5428E"/>
    <w:rsid w:val="33AB0CCD"/>
    <w:rsid w:val="33AD497E"/>
    <w:rsid w:val="33B006C0"/>
    <w:rsid w:val="33B45679"/>
    <w:rsid w:val="33B53954"/>
    <w:rsid w:val="33BB0A89"/>
    <w:rsid w:val="33BB474F"/>
    <w:rsid w:val="33BC0C81"/>
    <w:rsid w:val="33BD7658"/>
    <w:rsid w:val="33C01925"/>
    <w:rsid w:val="33C3213A"/>
    <w:rsid w:val="33C51903"/>
    <w:rsid w:val="33C92C0F"/>
    <w:rsid w:val="33C975F2"/>
    <w:rsid w:val="33CA711E"/>
    <w:rsid w:val="33CE1036"/>
    <w:rsid w:val="33D01CFF"/>
    <w:rsid w:val="33D05886"/>
    <w:rsid w:val="33D8429F"/>
    <w:rsid w:val="33DC49FC"/>
    <w:rsid w:val="33DD1CED"/>
    <w:rsid w:val="33DD4B8C"/>
    <w:rsid w:val="33E22905"/>
    <w:rsid w:val="33E67E90"/>
    <w:rsid w:val="33E81AAD"/>
    <w:rsid w:val="33F1185C"/>
    <w:rsid w:val="33F4411B"/>
    <w:rsid w:val="33F53ABA"/>
    <w:rsid w:val="33F80E40"/>
    <w:rsid w:val="33F87419"/>
    <w:rsid w:val="33FA1CF6"/>
    <w:rsid w:val="33FB6795"/>
    <w:rsid w:val="33FE78CF"/>
    <w:rsid w:val="34015814"/>
    <w:rsid w:val="3409075B"/>
    <w:rsid w:val="340A0022"/>
    <w:rsid w:val="340C0534"/>
    <w:rsid w:val="341241D2"/>
    <w:rsid w:val="341B4538"/>
    <w:rsid w:val="34237336"/>
    <w:rsid w:val="342555B9"/>
    <w:rsid w:val="34284126"/>
    <w:rsid w:val="342B1210"/>
    <w:rsid w:val="342E2345"/>
    <w:rsid w:val="34316F6E"/>
    <w:rsid w:val="3432626E"/>
    <w:rsid w:val="3433138C"/>
    <w:rsid w:val="34341EA3"/>
    <w:rsid w:val="34344C01"/>
    <w:rsid w:val="34403FE2"/>
    <w:rsid w:val="344275DA"/>
    <w:rsid w:val="34463846"/>
    <w:rsid w:val="34496C6F"/>
    <w:rsid w:val="344B1013"/>
    <w:rsid w:val="344F3BB9"/>
    <w:rsid w:val="344F48A5"/>
    <w:rsid w:val="34552DB6"/>
    <w:rsid w:val="34572B3B"/>
    <w:rsid w:val="345E036E"/>
    <w:rsid w:val="3460536E"/>
    <w:rsid w:val="34605DAE"/>
    <w:rsid w:val="346E7417"/>
    <w:rsid w:val="347342B3"/>
    <w:rsid w:val="3479318F"/>
    <w:rsid w:val="3479582F"/>
    <w:rsid w:val="347A2085"/>
    <w:rsid w:val="347B4C94"/>
    <w:rsid w:val="347F0216"/>
    <w:rsid w:val="34810281"/>
    <w:rsid w:val="348475E4"/>
    <w:rsid w:val="348847CF"/>
    <w:rsid w:val="348A435C"/>
    <w:rsid w:val="348B3E29"/>
    <w:rsid w:val="348E2208"/>
    <w:rsid w:val="348E4BCA"/>
    <w:rsid w:val="348F7DF7"/>
    <w:rsid w:val="34917532"/>
    <w:rsid w:val="34925E2A"/>
    <w:rsid w:val="34A222A2"/>
    <w:rsid w:val="34AA38CA"/>
    <w:rsid w:val="34B01D5A"/>
    <w:rsid w:val="34B04A3D"/>
    <w:rsid w:val="34B2580F"/>
    <w:rsid w:val="34B41020"/>
    <w:rsid w:val="34B41D3C"/>
    <w:rsid w:val="34B962E0"/>
    <w:rsid w:val="34BF33D6"/>
    <w:rsid w:val="34C27A5A"/>
    <w:rsid w:val="34C30824"/>
    <w:rsid w:val="34C64994"/>
    <w:rsid w:val="34C82459"/>
    <w:rsid w:val="34C93E4B"/>
    <w:rsid w:val="34CC7593"/>
    <w:rsid w:val="34D467DD"/>
    <w:rsid w:val="34DA3E98"/>
    <w:rsid w:val="34DB7B3E"/>
    <w:rsid w:val="34E97AB3"/>
    <w:rsid w:val="34EA018F"/>
    <w:rsid w:val="34EA0FA1"/>
    <w:rsid w:val="34EB768F"/>
    <w:rsid w:val="34ED5259"/>
    <w:rsid w:val="34F0335F"/>
    <w:rsid w:val="34F52260"/>
    <w:rsid w:val="34FC127E"/>
    <w:rsid w:val="34FC5CDE"/>
    <w:rsid w:val="34FD4211"/>
    <w:rsid w:val="35020C24"/>
    <w:rsid w:val="35057A63"/>
    <w:rsid w:val="35094118"/>
    <w:rsid w:val="350958B6"/>
    <w:rsid w:val="35097BEB"/>
    <w:rsid w:val="350B7FA6"/>
    <w:rsid w:val="350C1103"/>
    <w:rsid w:val="350C7A7A"/>
    <w:rsid w:val="350D601C"/>
    <w:rsid w:val="351C27CC"/>
    <w:rsid w:val="351D1349"/>
    <w:rsid w:val="351F7239"/>
    <w:rsid w:val="35243EAF"/>
    <w:rsid w:val="35254870"/>
    <w:rsid w:val="35274FFD"/>
    <w:rsid w:val="352C7EA8"/>
    <w:rsid w:val="352D27C8"/>
    <w:rsid w:val="352F24DA"/>
    <w:rsid w:val="35327730"/>
    <w:rsid w:val="353428AB"/>
    <w:rsid w:val="35345C5F"/>
    <w:rsid w:val="35406296"/>
    <w:rsid w:val="35460781"/>
    <w:rsid w:val="35460F8F"/>
    <w:rsid w:val="35465232"/>
    <w:rsid w:val="354658AE"/>
    <w:rsid w:val="354743B8"/>
    <w:rsid w:val="354778D5"/>
    <w:rsid w:val="354A2ECE"/>
    <w:rsid w:val="354F3A2C"/>
    <w:rsid w:val="35507522"/>
    <w:rsid w:val="35525AE2"/>
    <w:rsid w:val="3555351F"/>
    <w:rsid w:val="35570F65"/>
    <w:rsid w:val="355A70EF"/>
    <w:rsid w:val="355B1111"/>
    <w:rsid w:val="355C665B"/>
    <w:rsid w:val="355D375C"/>
    <w:rsid w:val="355D5EB0"/>
    <w:rsid w:val="356B705C"/>
    <w:rsid w:val="356C6085"/>
    <w:rsid w:val="356D40E4"/>
    <w:rsid w:val="35702CE1"/>
    <w:rsid w:val="35704EB0"/>
    <w:rsid w:val="35710A55"/>
    <w:rsid w:val="35720AAE"/>
    <w:rsid w:val="357617BA"/>
    <w:rsid w:val="35790CB9"/>
    <w:rsid w:val="357936BF"/>
    <w:rsid w:val="357A6A6C"/>
    <w:rsid w:val="357D5BF1"/>
    <w:rsid w:val="357E7F99"/>
    <w:rsid w:val="357F234A"/>
    <w:rsid w:val="357F58ED"/>
    <w:rsid w:val="357F736D"/>
    <w:rsid w:val="3584606C"/>
    <w:rsid w:val="35861800"/>
    <w:rsid w:val="3586192A"/>
    <w:rsid w:val="35872075"/>
    <w:rsid w:val="358D306E"/>
    <w:rsid w:val="358F26DC"/>
    <w:rsid w:val="358F69ED"/>
    <w:rsid w:val="359143C4"/>
    <w:rsid w:val="359202CF"/>
    <w:rsid w:val="35987485"/>
    <w:rsid w:val="359A7C34"/>
    <w:rsid w:val="359B20D9"/>
    <w:rsid w:val="359C5BC8"/>
    <w:rsid w:val="359E3729"/>
    <w:rsid w:val="359E4EC6"/>
    <w:rsid w:val="359F4467"/>
    <w:rsid w:val="359F51FF"/>
    <w:rsid w:val="35A10512"/>
    <w:rsid w:val="35A81E7D"/>
    <w:rsid w:val="35AF49E7"/>
    <w:rsid w:val="35B47FF9"/>
    <w:rsid w:val="35B818C3"/>
    <w:rsid w:val="35B92F9A"/>
    <w:rsid w:val="35C12CD7"/>
    <w:rsid w:val="35C206F0"/>
    <w:rsid w:val="35C25409"/>
    <w:rsid w:val="35C4598D"/>
    <w:rsid w:val="35C66639"/>
    <w:rsid w:val="35C8395E"/>
    <w:rsid w:val="35CB3A3B"/>
    <w:rsid w:val="35CE6B26"/>
    <w:rsid w:val="35CE73E4"/>
    <w:rsid w:val="35D0351E"/>
    <w:rsid w:val="35D474D8"/>
    <w:rsid w:val="35D95A71"/>
    <w:rsid w:val="35DC0948"/>
    <w:rsid w:val="35DC0B8B"/>
    <w:rsid w:val="35DC0DBF"/>
    <w:rsid w:val="35DC2C03"/>
    <w:rsid w:val="35DD3440"/>
    <w:rsid w:val="35DE3514"/>
    <w:rsid w:val="35E261B8"/>
    <w:rsid w:val="35E76E9E"/>
    <w:rsid w:val="35E83028"/>
    <w:rsid w:val="35E85F37"/>
    <w:rsid w:val="35EA5C87"/>
    <w:rsid w:val="35EB405B"/>
    <w:rsid w:val="35ED7BFB"/>
    <w:rsid w:val="35F1191C"/>
    <w:rsid w:val="35F47D66"/>
    <w:rsid w:val="35F534F2"/>
    <w:rsid w:val="35F64D86"/>
    <w:rsid w:val="35FA3067"/>
    <w:rsid w:val="35FB2318"/>
    <w:rsid w:val="35FC5BC2"/>
    <w:rsid w:val="35FF3876"/>
    <w:rsid w:val="36005857"/>
    <w:rsid w:val="36084DE0"/>
    <w:rsid w:val="360C624C"/>
    <w:rsid w:val="360E0905"/>
    <w:rsid w:val="36131530"/>
    <w:rsid w:val="36161297"/>
    <w:rsid w:val="36172AD7"/>
    <w:rsid w:val="361865A9"/>
    <w:rsid w:val="36191A1A"/>
    <w:rsid w:val="361D583E"/>
    <w:rsid w:val="36232B4F"/>
    <w:rsid w:val="362543C2"/>
    <w:rsid w:val="362613D4"/>
    <w:rsid w:val="3627310D"/>
    <w:rsid w:val="3628055D"/>
    <w:rsid w:val="36285CC3"/>
    <w:rsid w:val="362918FE"/>
    <w:rsid w:val="362B0040"/>
    <w:rsid w:val="362C5D14"/>
    <w:rsid w:val="362C6B6A"/>
    <w:rsid w:val="362C7769"/>
    <w:rsid w:val="36351176"/>
    <w:rsid w:val="36385E46"/>
    <w:rsid w:val="363D46DF"/>
    <w:rsid w:val="364170E9"/>
    <w:rsid w:val="36450087"/>
    <w:rsid w:val="36481C39"/>
    <w:rsid w:val="36482B5B"/>
    <w:rsid w:val="364D4E00"/>
    <w:rsid w:val="36550EF4"/>
    <w:rsid w:val="3658194D"/>
    <w:rsid w:val="365F3716"/>
    <w:rsid w:val="3661141F"/>
    <w:rsid w:val="36621823"/>
    <w:rsid w:val="3667491D"/>
    <w:rsid w:val="3667497C"/>
    <w:rsid w:val="366D1C16"/>
    <w:rsid w:val="366D66AA"/>
    <w:rsid w:val="366D798E"/>
    <w:rsid w:val="366F0C87"/>
    <w:rsid w:val="366F6862"/>
    <w:rsid w:val="367147F2"/>
    <w:rsid w:val="36746004"/>
    <w:rsid w:val="367A778B"/>
    <w:rsid w:val="367B0939"/>
    <w:rsid w:val="367D69FE"/>
    <w:rsid w:val="367D77BE"/>
    <w:rsid w:val="367F4B4E"/>
    <w:rsid w:val="3681438C"/>
    <w:rsid w:val="36824FDE"/>
    <w:rsid w:val="36850670"/>
    <w:rsid w:val="368915AB"/>
    <w:rsid w:val="368F5E38"/>
    <w:rsid w:val="36992376"/>
    <w:rsid w:val="36A02251"/>
    <w:rsid w:val="36A04C6E"/>
    <w:rsid w:val="36A07334"/>
    <w:rsid w:val="36A24C27"/>
    <w:rsid w:val="36AA1CC1"/>
    <w:rsid w:val="36AA789A"/>
    <w:rsid w:val="36AB47F9"/>
    <w:rsid w:val="36AE4F1E"/>
    <w:rsid w:val="36AF0608"/>
    <w:rsid w:val="36B454E0"/>
    <w:rsid w:val="36BA0CFD"/>
    <w:rsid w:val="36BB4D82"/>
    <w:rsid w:val="36BE6075"/>
    <w:rsid w:val="36BE6EE5"/>
    <w:rsid w:val="36BF0287"/>
    <w:rsid w:val="36C07F2D"/>
    <w:rsid w:val="36C11A54"/>
    <w:rsid w:val="36C616C3"/>
    <w:rsid w:val="36C752B5"/>
    <w:rsid w:val="36CF361F"/>
    <w:rsid w:val="36CF7301"/>
    <w:rsid w:val="36D05B3E"/>
    <w:rsid w:val="36D160AA"/>
    <w:rsid w:val="36D37827"/>
    <w:rsid w:val="36D9332B"/>
    <w:rsid w:val="36DA58CF"/>
    <w:rsid w:val="36DD6410"/>
    <w:rsid w:val="36DE18BC"/>
    <w:rsid w:val="36E16A1D"/>
    <w:rsid w:val="36E71D3E"/>
    <w:rsid w:val="36E92BA2"/>
    <w:rsid w:val="36EA4555"/>
    <w:rsid w:val="36EE3C2B"/>
    <w:rsid w:val="36F04AC6"/>
    <w:rsid w:val="36F113E8"/>
    <w:rsid w:val="36F823B4"/>
    <w:rsid w:val="36F912E1"/>
    <w:rsid w:val="36FB46AE"/>
    <w:rsid w:val="36FB723E"/>
    <w:rsid w:val="36FD22B1"/>
    <w:rsid w:val="37012D6F"/>
    <w:rsid w:val="370357FF"/>
    <w:rsid w:val="3705340E"/>
    <w:rsid w:val="3706500E"/>
    <w:rsid w:val="370729FA"/>
    <w:rsid w:val="37075783"/>
    <w:rsid w:val="3708011D"/>
    <w:rsid w:val="3709253A"/>
    <w:rsid w:val="370A5956"/>
    <w:rsid w:val="370C6A69"/>
    <w:rsid w:val="370D1A43"/>
    <w:rsid w:val="370F1247"/>
    <w:rsid w:val="37103CDA"/>
    <w:rsid w:val="37104E51"/>
    <w:rsid w:val="371B5CAA"/>
    <w:rsid w:val="371D3722"/>
    <w:rsid w:val="371D475A"/>
    <w:rsid w:val="371F090E"/>
    <w:rsid w:val="37202FA2"/>
    <w:rsid w:val="3723186B"/>
    <w:rsid w:val="37254E3E"/>
    <w:rsid w:val="372968D4"/>
    <w:rsid w:val="372B56D0"/>
    <w:rsid w:val="372E089D"/>
    <w:rsid w:val="372F5D0A"/>
    <w:rsid w:val="373018DF"/>
    <w:rsid w:val="373B3EEF"/>
    <w:rsid w:val="374072FC"/>
    <w:rsid w:val="3742385D"/>
    <w:rsid w:val="37435300"/>
    <w:rsid w:val="374455F9"/>
    <w:rsid w:val="374719FB"/>
    <w:rsid w:val="374C2E47"/>
    <w:rsid w:val="374E6478"/>
    <w:rsid w:val="37523868"/>
    <w:rsid w:val="3757357E"/>
    <w:rsid w:val="376051D4"/>
    <w:rsid w:val="3763533E"/>
    <w:rsid w:val="376B18F0"/>
    <w:rsid w:val="376E2F19"/>
    <w:rsid w:val="37702ABF"/>
    <w:rsid w:val="37704F5D"/>
    <w:rsid w:val="37731EFA"/>
    <w:rsid w:val="37741153"/>
    <w:rsid w:val="377518BF"/>
    <w:rsid w:val="37757EA8"/>
    <w:rsid w:val="377A133A"/>
    <w:rsid w:val="377A4E1C"/>
    <w:rsid w:val="377B18A7"/>
    <w:rsid w:val="378243D8"/>
    <w:rsid w:val="3786696D"/>
    <w:rsid w:val="3787477A"/>
    <w:rsid w:val="378B6EF1"/>
    <w:rsid w:val="37916D11"/>
    <w:rsid w:val="37936580"/>
    <w:rsid w:val="37941FC4"/>
    <w:rsid w:val="37953769"/>
    <w:rsid w:val="379752F8"/>
    <w:rsid w:val="37976EE2"/>
    <w:rsid w:val="379A16BD"/>
    <w:rsid w:val="379C27DB"/>
    <w:rsid w:val="379F508B"/>
    <w:rsid w:val="37A44A07"/>
    <w:rsid w:val="37A73145"/>
    <w:rsid w:val="37AB6A8B"/>
    <w:rsid w:val="37AF43BA"/>
    <w:rsid w:val="37B05F3F"/>
    <w:rsid w:val="37B07132"/>
    <w:rsid w:val="37B1393B"/>
    <w:rsid w:val="37B24051"/>
    <w:rsid w:val="37B45FCD"/>
    <w:rsid w:val="37B51098"/>
    <w:rsid w:val="37BC425A"/>
    <w:rsid w:val="37C24A54"/>
    <w:rsid w:val="37C63FE1"/>
    <w:rsid w:val="37C96302"/>
    <w:rsid w:val="37CB0479"/>
    <w:rsid w:val="37D3042B"/>
    <w:rsid w:val="37D53AD0"/>
    <w:rsid w:val="37D60CCA"/>
    <w:rsid w:val="37D62258"/>
    <w:rsid w:val="37D72BF0"/>
    <w:rsid w:val="37D862C3"/>
    <w:rsid w:val="37DB0446"/>
    <w:rsid w:val="37DE35B6"/>
    <w:rsid w:val="37DE6136"/>
    <w:rsid w:val="37DF1CF4"/>
    <w:rsid w:val="37E311D3"/>
    <w:rsid w:val="37E54462"/>
    <w:rsid w:val="37E603F5"/>
    <w:rsid w:val="37E76798"/>
    <w:rsid w:val="37E821C3"/>
    <w:rsid w:val="37E83263"/>
    <w:rsid w:val="37E87083"/>
    <w:rsid w:val="37EA6C16"/>
    <w:rsid w:val="37EB6883"/>
    <w:rsid w:val="37ED50BF"/>
    <w:rsid w:val="37F06336"/>
    <w:rsid w:val="37F10FD8"/>
    <w:rsid w:val="37F30DCD"/>
    <w:rsid w:val="37F86459"/>
    <w:rsid w:val="37F87E08"/>
    <w:rsid w:val="37FE7CF4"/>
    <w:rsid w:val="38033706"/>
    <w:rsid w:val="38095AFA"/>
    <w:rsid w:val="380C102D"/>
    <w:rsid w:val="3810403D"/>
    <w:rsid w:val="38111388"/>
    <w:rsid w:val="38121C96"/>
    <w:rsid w:val="38184B0B"/>
    <w:rsid w:val="381C1FC2"/>
    <w:rsid w:val="381C2197"/>
    <w:rsid w:val="381C24FB"/>
    <w:rsid w:val="381D07E9"/>
    <w:rsid w:val="381F74DA"/>
    <w:rsid w:val="38201CE6"/>
    <w:rsid w:val="38223BD6"/>
    <w:rsid w:val="382573C4"/>
    <w:rsid w:val="3829749A"/>
    <w:rsid w:val="382B5E01"/>
    <w:rsid w:val="382C55F8"/>
    <w:rsid w:val="382E0B22"/>
    <w:rsid w:val="382F03B6"/>
    <w:rsid w:val="383031AF"/>
    <w:rsid w:val="38380036"/>
    <w:rsid w:val="3838311F"/>
    <w:rsid w:val="38397C6A"/>
    <w:rsid w:val="383A025F"/>
    <w:rsid w:val="383D5520"/>
    <w:rsid w:val="383E043B"/>
    <w:rsid w:val="384563C8"/>
    <w:rsid w:val="384A10A6"/>
    <w:rsid w:val="384B3071"/>
    <w:rsid w:val="384D7D4B"/>
    <w:rsid w:val="384E596A"/>
    <w:rsid w:val="385133D3"/>
    <w:rsid w:val="38517C12"/>
    <w:rsid w:val="385A02F6"/>
    <w:rsid w:val="385B149E"/>
    <w:rsid w:val="3865252F"/>
    <w:rsid w:val="386528AA"/>
    <w:rsid w:val="3865447B"/>
    <w:rsid w:val="3867592A"/>
    <w:rsid w:val="38693474"/>
    <w:rsid w:val="386A621E"/>
    <w:rsid w:val="386B0E24"/>
    <w:rsid w:val="386C309B"/>
    <w:rsid w:val="386F5385"/>
    <w:rsid w:val="386F7882"/>
    <w:rsid w:val="3872431A"/>
    <w:rsid w:val="3874097D"/>
    <w:rsid w:val="38776802"/>
    <w:rsid w:val="387A2E59"/>
    <w:rsid w:val="387D2B8A"/>
    <w:rsid w:val="387E68C1"/>
    <w:rsid w:val="3881389A"/>
    <w:rsid w:val="388624AD"/>
    <w:rsid w:val="388760E5"/>
    <w:rsid w:val="38892684"/>
    <w:rsid w:val="38893370"/>
    <w:rsid w:val="388B20F8"/>
    <w:rsid w:val="388B52AE"/>
    <w:rsid w:val="388D11E8"/>
    <w:rsid w:val="3891617B"/>
    <w:rsid w:val="38943267"/>
    <w:rsid w:val="38963172"/>
    <w:rsid w:val="389C56A2"/>
    <w:rsid w:val="38A16B47"/>
    <w:rsid w:val="38A50118"/>
    <w:rsid w:val="38A53ACF"/>
    <w:rsid w:val="38A6393D"/>
    <w:rsid w:val="38A67955"/>
    <w:rsid w:val="38AC78FA"/>
    <w:rsid w:val="38AD4198"/>
    <w:rsid w:val="38B02942"/>
    <w:rsid w:val="38B16CB8"/>
    <w:rsid w:val="38B22037"/>
    <w:rsid w:val="38C01C3B"/>
    <w:rsid w:val="38C44111"/>
    <w:rsid w:val="38C52D1C"/>
    <w:rsid w:val="38C71AA4"/>
    <w:rsid w:val="38CA0EAF"/>
    <w:rsid w:val="38CA796D"/>
    <w:rsid w:val="38CB64F2"/>
    <w:rsid w:val="38CC17E4"/>
    <w:rsid w:val="38CE4E96"/>
    <w:rsid w:val="38CE5A01"/>
    <w:rsid w:val="38D155B2"/>
    <w:rsid w:val="38D22F58"/>
    <w:rsid w:val="38D41661"/>
    <w:rsid w:val="38D45F3F"/>
    <w:rsid w:val="38D6348B"/>
    <w:rsid w:val="38D664FD"/>
    <w:rsid w:val="38E64746"/>
    <w:rsid w:val="38E86A77"/>
    <w:rsid w:val="38EB1919"/>
    <w:rsid w:val="38EB631B"/>
    <w:rsid w:val="38EC0024"/>
    <w:rsid w:val="38ED2760"/>
    <w:rsid w:val="38EE5228"/>
    <w:rsid w:val="38EE5673"/>
    <w:rsid w:val="38F00185"/>
    <w:rsid w:val="38F12EA6"/>
    <w:rsid w:val="38F52462"/>
    <w:rsid w:val="38F55454"/>
    <w:rsid w:val="38FA0657"/>
    <w:rsid w:val="38FC574E"/>
    <w:rsid w:val="38FD4424"/>
    <w:rsid w:val="390048BC"/>
    <w:rsid w:val="39022894"/>
    <w:rsid w:val="39026962"/>
    <w:rsid w:val="39043CCC"/>
    <w:rsid w:val="3906240B"/>
    <w:rsid w:val="390748CE"/>
    <w:rsid w:val="39085FA1"/>
    <w:rsid w:val="390F2D2A"/>
    <w:rsid w:val="3911091E"/>
    <w:rsid w:val="39151917"/>
    <w:rsid w:val="391A2F14"/>
    <w:rsid w:val="391F2D12"/>
    <w:rsid w:val="39227193"/>
    <w:rsid w:val="39237EB6"/>
    <w:rsid w:val="3926048C"/>
    <w:rsid w:val="39271442"/>
    <w:rsid w:val="39272C48"/>
    <w:rsid w:val="39277236"/>
    <w:rsid w:val="39286B5A"/>
    <w:rsid w:val="392F2FE8"/>
    <w:rsid w:val="3932110D"/>
    <w:rsid w:val="39327AA6"/>
    <w:rsid w:val="39335925"/>
    <w:rsid w:val="39346BDA"/>
    <w:rsid w:val="39362B6F"/>
    <w:rsid w:val="3936377C"/>
    <w:rsid w:val="39384DB8"/>
    <w:rsid w:val="393A35E4"/>
    <w:rsid w:val="393B78E5"/>
    <w:rsid w:val="393E4B36"/>
    <w:rsid w:val="393E52CD"/>
    <w:rsid w:val="393E5E48"/>
    <w:rsid w:val="394B5B83"/>
    <w:rsid w:val="394D7D75"/>
    <w:rsid w:val="394F07E2"/>
    <w:rsid w:val="39526BCA"/>
    <w:rsid w:val="39580983"/>
    <w:rsid w:val="39581830"/>
    <w:rsid w:val="39587F5E"/>
    <w:rsid w:val="395E2506"/>
    <w:rsid w:val="39613119"/>
    <w:rsid w:val="39641F82"/>
    <w:rsid w:val="396A5E6C"/>
    <w:rsid w:val="396F3E0C"/>
    <w:rsid w:val="39725971"/>
    <w:rsid w:val="397C2FE1"/>
    <w:rsid w:val="39841B27"/>
    <w:rsid w:val="3984496B"/>
    <w:rsid w:val="39883220"/>
    <w:rsid w:val="39884064"/>
    <w:rsid w:val="39891427"/>
    <w:rsid w:val="39893177"/>
    <w:rsid w:val="398956C6"/>
    <w:rsid w:val="398C7A35"/>
    <w:rsid w:val="3995299F"/>
    <w:rsid w:val="39962A7D"/>
    <w:rsid w:val="39964A8A"/>
    <w:rsid w:val="39965EB4"/>
    <w:rsid w:val="39976F4B"/>
    <w:rsid w:val="39994203"/>
    <w:rsid w:val="399966B9"/>
    <w:rsid w:val="399B3346"/>
    <w:rsid w:val="399D2894"/>
    <w:rsid w:val="399D36E6"/>
    <w:rsid w:val="399E6B3E"/>
    <w:rsid w:val="39A32E7D"/>
    <w:rsid w:val="39A51422"/>
    <w:rsid w:val="39A520A3"/>
    <w:rsid w:val="39A66488"/>
    <w:rsid w:val="39A76C82"/>
    <w:rsid w:val="39AC790A"/>
    <w:rsid w:val="39AD1739"/>
    <w:rsid w:val="39AF0D0E"/>
    <w:rsid w:val="39AF31D3"/>
    <w:rsid w:val="39B073E0"/>
    <w:rsid w:val="39B22305"/>
    <w:rsid w:val="39B47737"/>
    <w:rsid w:val="39B563DA"/>
    <w:rsid w:val="39B60304"/>
    <w:rsid w:val="39B7492C"/>
    <w:rsid w:val="39B834B2"/>
    <w:rsid w:val="39B86795"/>
    <w:rsid w:val="39B875C8"/>
    <w:rsid w:val="39BC3B6C"/>
    <w:rsid w:val="39BE1A36"/>
    <w:rsid w:val="39BE5EBB"/>
    <w:rsid w:val="39BF0C61"/>
    <w:rsid w:val="39C3713B"/>
    <w:rsid w:val="39C62106"/>
    <w:rsid w:val="39CB2CE5"/>
    <w:rsid w:val="39CD3846"/>
    <w:rsid w:val="39CF1213"/>
    <w:rsid w:val="39CF143E"/>
    <w:rsid w:val="39D76BF8"/>
    <w:rsid w:val="39D86FC9"/>
    <w:rsid w:val="39D9157E"/>
    <w:rsid w:val="39DA2245"/>
    <w:rsid w:val="39DF1EED"/>
    <w:rsid w:val="39E77249"/>
    <w:rsid w:val="39E8306D"/>
    <w:rsid w:val="39EA7965"/>
    <w:rsid w:val="39EC063F"/>
    <w:rsid w:val="39EC2BEE"/>
    <w:rsid w:val="39F270B3"/>
    <w:rsid w:val="39FA5D09"/>
    <w:rsid w:val="39FC0E8D"/>
    <w:rsid w:val="39FD07F7"/>
    <w:rsid w:val="39FE0637"/>
    <w:rsid w:val="3A0101F8"/>
    <w:rsid w:val="3A0336F7"/>
    <w:rsid w:val="3A0A2AB5"/>
    <w:rsid w:val="3A0C0A88"/>
    <w:rsid w:val="3A104127"/>
    <w:rsid w:val="3A124895"/>
    <w:rsid w:val="3A131D9F"/>
    <w:rsid w:val="3A132080"/>
    <w:rsid w:val="3A152CDE"/>
    <w:rsid w:val="3A18663A"/>
    <w:rsid w:val="3A1B0906"/>
    <w:rsid w:val="3A1E1610"/>
    <w:rsid w:val="3A1E2E9B"/>
    <w:rsid w:val="3A1E3F9C"/>
    <w:rsid w:val="3A235627"/>
    <w:rsid w:val="3A254833"/>
    <w:rsid w:val="3A2C63BB"/>
    <w:rsid w:val="3A2C7375"/>
    <w:rsid w:val="3A2F3093"/>
    <w:rsid w:val="3A3605C8"/>
    <w:rsid w:val="3A3610A8"/>
    <w:rsid w:val="3A381BC6"/>
    <w:rsid w:val="3A38610E"/>
    <w:rsid w:val="3A395AF1"/>
    <w:rsid w:val="3A414158"/>
    <w:rsid w:val="3A4405AD"/>
    <w:rsid w:val="3A4449C9"/>
    <w:rsid w:val="3A473EAA"/>
    <w:rsid w:val="3A486CA9"/>
    <w:rsid w:val="3A4A48AB"/>
    <w:rsid w:val="3A4F21D7"/>
    <w:rsid w:val="3A523285"/>
    <w:rsid w:val="3A55359F"/>
    <w:rsid w:val="3A5602E9"/>
    <w:rsid w:val="3A5620C2"/>
    <w:rsid w:val="3A563FEB"/>
    <w:rsid w:val="3A5B199F"/>
    <w:rsid w:val="3A5C03AC"/>
    <w:rsid w:val="3A5D4B28"/>
    <w:rsid w:val="3A5D73E3"/>
    <w:rsid w:val="3A5E21DF"/>
    <w:rsid w:val="3A5E61BB"/>
    <w:rsid w:val="3A5F16E8"/>
    <w:rsid w:val="3A5F1FCB"/>
    <w:rsid w:val="3A624523"/>
    <w:rsid w:val="3A660FD9"/>
    <w:rsid w:val="3A673754"/>
    <w:rsid w:val="3A69111E"/>
    <w:rsid w:val="3A6962CC"/>
    <w:rsid w:val="3A6D5D7D"/>
    <w:rsid w:val="3A720069"/>
    <w:rsid w:val="3A7320BA"/>
    <w:rsid w:val="3A74542A"/>
    <w:rsid w:val="3A782938"/>
    <w:rsid w:val="3A791A5E"/>
    <w:rsid w:val="3A802EC6"/>
    <w:rsid w:val="3A8103DD"/>
    <w:rsid w:val="3A8C150B"/>
    <w:rsid w:val="3A8D2404"/>
    <w:rsid w:val="3A8F07D5"/>
    <w:rsid w:val="3A91238C"/>
    <w:rsid w:val="3A91284B"/>
    <w:rsid w:val="3A9207B2"/>
    <w:rsid w:val="3A920E92"/>
    <w:rsid w:val="3A96377E"/>
    <w:rsid w:val="3A9E1AE9"/>
    <w:rsid w:val="3A9E4D77"/>
    <w:rsid w:val="3A9E6F9C"/>
    <w:rsid w:val="3A9F412B"/>
    <w:rsid w:val="3AA23AE7"/>
    <w:rsid w:val="3AA42CF6"/>
    <w:rsid w:val="3AA819EA"/>
    <w:rsid w:val="3AAB3972"/>
    <w:rsid w:val="3AAF3FE1"/>
    <w:rsid w:val="3AB74220"/>
    <w:rsid w:val="3ABA1967"/>
    <w:rsid w:val="3ABA260E"/>
    <w:rsid w:val="3ABA3BF1"/>
    <w:rsid w:val="3ABB0577"/>
    <w:rsid w:val="3ABF49AB"/>
    <w:rsid w:val="3AC12EE6"/>
    <w:rsid w:val="3AC34987"/>
    <w:rsid w:val="3AC3681F"/>
    <w:rsid w:val="3AC37B24"/>
    <w:rsid w:val="3AC93583"/>
    <w:rsid w:val="3AC9777B"/>
    <w:rsid w:val="3ACB6F1D"/>
    <w:rsid w:val="3ACC0001"/>
    <w:rsid w:val="3ACC4276"/>
    <w:rsid w:val="3AD47BFC"/>
    <w:rsid w:val="3AE01ADD"/>
    <w:rsid w:val="3AE03E54"/>
    <w:rsid w:val="3AE25DE5"/>
    <w:rsid w:val="3AE275A2"/>
    <w:rsid w:val="3AE341A3"/>
    <w:rsid w:val="3AE918C9"/>
    <w:rsid w:val="3AE93EB2"/>
    <w:rsid w:val="3AEB6118"/>
    <w:rsid w:val="3AF33520"/>
    <w:rsid w:val="3AF66579"/>
    <w:rsid w:val="3B02753F"/>
    <w:rsid w:val="3B0321C5"/>
    <w:rsid w:val="3B090622"/>
    <w:rsid w:val="3B0A6DCA"/>
    <w:rsid w:val="3B0B2F23"/>
    <w:rsid w:val="3B0C43E7"/>
    <w:rsid w:val="3B0C61EA"/>
    <w:rsid w:val="3B0E66EF"/>
    <w:rsid w:val="3B0E7BE2"/>
    <w:rsid w:val="3B0F14B0"/>
    <w:rsid w:val="3B0F1A3A"/>
    <w:rsid w:val="3B1022AD"/>
    <w:rsid w:val="3B131EB2"/>
    <w:rsid w:val="3B1D2CBB"/>
    <w:rsid w:val="3B1D4ADF"/>
    <w:rsid w:val="3B1E479A"/>
    <w:rsid w:val="3B227785"/>
    <w:rsid w:val="3B231FCB"/>
    <w:rsid w:val="3B282133"/>
    <w:rsid w:val="3B310425"/>
    <w:rsid w:val="3B324941"/>
    <w:rsid w:val="3B346891"/>
    <w:rsid w:val="3B362765"/>
    <w:rsid w:val="3B366374"/>
    <w:rsid w:val="3B373BE4"/>
    <w:rsid w:val="3B382859"/>
    <w:rsid w:val="3B3936E6"/>
    <w:rsid w:val="3B3A5A35"/>
    <w:rsid w:val="3B406D8A"/>
    <w:rsid w:val="3B416FA9"/>
    <w:rsid w:val="3B424545"/>
    <w:rsid w:val="3B425B9A"/>
    <w:rsid w:val="3B473508"/>
    <w:rsid w:val="3B474903"/>
    <w:rsid w:val="3B49276C"/>
    <w:rsid w:val="3B495A98"/>
    <w:rsid w:val="3B4B1E81"/>
    <w:rsid w:val="3B4B3D73"/>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640DE"/>
    <w:rsid w:val="3B675488"/>
    <w:rsid w:val="3B680D89"/>
    <w:rsid w:val="3B691254"/>
    <w:rsid w:val="3B691AD2"/>
    <w:rsid w:val="3B694923"/>
    <w:rsid w:val="3B6C2E65"/>
    <w:rsid w:val="3B6D21FB"/>
    <w:rsid w:val="3B6F7B4A"/>
    <w:rsid w:val="3B713FA0"/>
    <w:rsid w:val="3B717DFE"/>
    <w:rsid w:val="3B787C13"/>
    <w:rsid w:val="3B7F0F65"/>
    <w:rsid w:val="3B842FF1"/>
    <w:rsid w:val="3B867B48"/>
    <w:rsid w:val="3B8810F4"/>
    <w:rsid w:val="3B883424"/>
    <w:rsid w:val="3B914B72"/>
    <w:rsid w:val="3B914EF6"/>
    <w:rsid w:val="3B9A6288"/>
    <w:rsid w:val="3B9C1EA7"/>
    <w:rsid w:val="3B9E56DC"/>
    <w:rsid w:val="3B9E59CF"/>
    <w:rsid w:val="3BA356A2"/>
    <w:rsid w:val="3BA46468"/>
    <w:rsid w:val="3BA64AD4"/>
    <w:rsid w:val="3BA87E76"/>
    <w:rsid w:val="3BAA2E0C"/>
    <w:rsid w:val="3BAB3F7E"/>
    <w:rsid w:val="3BAE09F6"/>
    <w:rsid w:val="3BAE5FAC"/>
    <w:rsid w:val="3BB25712"/>
    <w:rsid w:val="3BB55E1B"/>
    <w:rsid w:val="3BB56723"/>
    <w:rsid w:val="3BB63295"/>
    <w:rsid w:val="3BBC1E2E"/>
    <w:rsid w:val="3BC25141"/>
    <w:rsid w:val="3BC40A05"/>
    <w:rsid w:val="3BC45656"/>
    <w:rsid w:val="3BCA618B"/>
    <w:rsid w:val="3BCC66D0"/>
    <w:rsid w:val="3BCF49A0"/>
    <w:rsid w:val="3BD07D70"/>
    <w:rsid w:val="3BD279A4"/>
    <w:rsid w:val="3BD3519D"/>
    <w:rsid w:val="3BD65F4E"/>
    <w:rsid w:val="3BD75720"/>
    <w:rsid w:val="3BD760D1"/>
    <w:rsid w:val="3BD82B14"/>
    <w:rsid w:val="3BD95A30"/>
    <w:rsid w:val="3BDD28E9"/>
    <w:rsid w:val="3BDD7268"/>
    <w:rsid w:val="3BDF0520"/>
    <w:rsid w:val="3BDF0EF5"/>
    <w:rsid w:val="3BE31CBA"/>
    <w:rsid w:val="3BE529B2"/>
    <w:rsid w:val="3BE92981"/>
    <w:rsid w:val="3BEA6EB3"/>
    <w:rsid w:val="3BEE78C2"/>
    <w:rsid w:val="3BF25FCA"/>
    <w:rsid w:val="3BF32267"/>
    <w:rsid w:val="3BF57FCC"/>
    <w:rsid w:val="3BF6690C"/>
    <w:rsid w:val="3BF85439"/>
    <w:rsid w:val="3BFB532C"/>
    <w:rsid w:val="3BFF5502"/>
    <w:rsid w:val="3BFF7D5C"/>
    <w:rsid w:val="3C055388"/>
    <w:rsid w:val="3C075C11"/>
    <w:rsid w:val="3C0972D1"/>
    <w:rsid w:val="3C0B4729"/>
    <w:rsid w:val="3C0C41D9"/>
    <w:rsid w:val="3C0F1363"/>
    <w:rsid w:val="3C0F1C12"/>
    <w:rsid w:val="3C0F5A1B"/>
    <w:rsid w:val="3C153A08"/>
    <w:rsid w:val="3C166BD5"/>
    <w:rsid w:val="3C171F5A"/>
    <w:rsid w:val="3C177A07"/>
    <w:rsid w:val="3C18126C"/>
    <w:rsid w:val="3C1A68B8"/>
    <w:rsid w:val="3C1A6CD7"/>
    <w:rsid w:val="3C1F3918"/>
    <w:rsid w:val="3C1F7C3C"/>
    <w:rsid w:val="3C2105FF"/>
    <w:rsid w:val="3C2456F5"/>
    <w:rsid w:val="3C2605D1"/>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5E1AEE"/>
    <w:rsid w:val="3C5F4C83"/>
    <w:rsid w:val="3C6326EB"/>
    <w:rsid w:val="3C6449D4"/>
    <w:rsid w:val="3C652428"/>
    <w:rsid w:val="3C66428B"/>
    <w:rsid w:val="3C6666A9"/>
    <w:rsid w:val="3C673BD3"/>
    <w:rsid w:val="3C6761BD"/>
    <w:rsid w:val="3C692406"/>
    <w:rsid w:val="3C6D2D06"/>
    <w:rsid w:val="3C767612"/>
    <w:rsid w:val="3C7845C0"/>
    <w:rsid w:val="3C7C6460"/>
    <w:rsid w:val="3C7D04F1"/>
    <w:rsid w:val="3C7E144E"/>
    <w:rsid w:val="3C7E6EC6"/>
    <w:rsid w:val="3C811E69"/>
    <w:rsid w:val="3C8318B6"/>
    <w:rsid w:val="3C861C2C"/>
    <w:rsid w:val="3C8B3F8B"/>
    <w:rsid w:val="3C8D1F5B"/>
    <w:rsid w:val="3C8F7316"/>
    <w:rsid w:val="3C9356CB"/>
    <w:rsid w:val="3C9606C2"/>
    <w:rsid w:val="3C9B39A8"/>
    <w:rsid w:val="3CA459E1"/>
    <w:rsid w:val="3CA52FDE"/>
    <w:rsid w:val="3CA72EC4"/>
    <w:rsid w:val="3CAC5F7D"/>
    <w:rsid w:val="3CAC7CA6"/>
    <w:rsid w:val="3CAD4EB2"/>
    <w:rsid w:val="3CB2067F"/>
    <w:rsid w:val="3CB52AF5"/>
    <w:rsid w:val="3CBC29EE"/>
    <w:rsid w:val="3CBC3993"/>
    <w:rsid w:val="3CC16300"/>
    <w:rsid w:val="3CC724DA"/>
    <w:rsid w:val="3CC86CCC"/>
    <w:rsid w:val="3CCD3959"/>
    <w:rsid w:val="3CD154B9"/>
    <w:rsid w:val="3CD42E77"/>
    <w:rsid w:val="3CD467D8"/>
    <w:rsid w:val="3CD61AFE"/>
    <w:rsid w:val="3CD90F48"/>
    <w:rsid w:val="3CDC4122"/>
    <w:rsid w:val="3CEB64AC"/>
    <w:rsid w:val="3CEF6B9C"/>
    <w:rsid w:val="3CF3617C"/>
    <w:rsid w:val="3CF631EF"/>
    <w:rsid w:val="3CF65FB9"/>
    <w:rsid w:val="3CF736D1"/>
    <w:rsid w:val="3CF772CF"/>
    <w:rsid w:val="3CF80924"/>
    <w:rsid w:val="3CF86391"/>
    <w:rsid w:val="3D027444"/>
    <w:rsid w:val="3D11712D"/>
    <w:rsid w:val="3D14593B"/>
    <w:rsid w:val="3D151C81"/>
    <w:rsid w:val="3D154375"/>
    <w:rsid w:val="3D1617E6"/>
    <w:rsid w:val="3D1E55D0"/>
    <w:rsid w:val="3D2227F4"/>
    <w:rsid w:val="3D224565"/>
    <w:rsid w:val="3D232D48"/>
    <w:rsid w:val="3D2422D4"/>
    <w:rsid w:val="3D290DF9"/>
    <w:rsid w:val="3D2A6700"/>
    <w:rsid w:val="3D2B4063"/>
    <w:rsid w:val="3D341FFF"/>
    <w:rsid w:val="3D354433"/>
    <w:rsid w:val="3D382E9A"/>
    <w:rsid w:val="3D383FFF"/>
    <w:rsid w:val="3D3B6765"/>
    <w:rsid w:val="3D3E497C"/>
    <w:rsid w:val="3D43130B"/>
    <w:rsid w:val="3D446AE1"/>
    <w:rsid w:val="3D461992"/>
    <w:rsid w:val="3D4D337F"/>
    <w:rsid w:val="3D4F4B82"/>
    <w:rsid w:val="3D515CA1"/>
    <w:rsid w:val="3D520549"/>
    <w:rsid w:val="3D567B31"/>
    <w:rsid w:val="3D57713F"/>
    <w:rsid w:val="3D580470"/>
    <w:rsid w:val="3D593F25"/>
    <w:rsid w:val="3D5E16BB"/>
    <w:rsid w:val="3D607294"/>
    <w:rsid w:val="3D607E80"/>
    <w:rsid w:val="3D613CE4"/>
    <w:rsid w:val="3D6322CB"/>
    <w:rsid w:val="3D6D4B05"/>
    <w:rsid w:val="3D704CF9"/>
    <w:rsid w:val="3D711779"/>
    <w:rsid w:val="3D725BE4"/>
    <w:rsid w:val="3D727B66"/>
    <w:rsid w:val="3D770817"/>
    <w:rsid w:val="3D770DA3"/>
    <w:rsid w:val="3D7A6218"/>
    <w:rsid w:val="3D7D0A0F"/>
    <w:rsid w:val="3D846D07"/>
    <w:rsid w:val="3D847457"/>
    <w:rsid w:val="3D886A91"/>
    <w:rsid w:val="3D8F0290"/>
    <w:rsid w:val="3D927146"/>
    <w:rsid w:val="3D962926"/>
    <w:rsid w:val="3DA0607C"/>
    <w:rsid w:val="3DA164F8"/>
    <w:rsid w:val="3DA233E8"/>
    <w:rsid w:val="3DA31942"/>
    <w:rsid w:val="3DAC3FE7"/>
    <w:rsid w:val="3DAC435E"/>
    <w:rsid w:val="3DAE690E"/>
    <w:rsid w:val="3DB30FC8"/>
    <w:rsid w:val="3DB6476A"/>
    <w:rsid w:val="3DBF2EBB"/>
    <w:rsid w:val="3DC03F47"/>
    <w:rsid w:val="3DC91AF3"/>
    <w:rsid w:val="3DCC238F"/>
    <w:rsid w:val="3DCE36B3"/>
    <w:rsid w:val="3DD15C25"/>
    <w:rsid w:val="3DD17BBE"/>
    <w:rsid w:val="3DD61437"/>
    <w:rsid w:val="3DD86A9B"/>
    <w:rsid w:val="3DDB5BAA"/>
    <w:rsid w:val="3DE649BB"/>
    <w:rsid w:val="3DE865CE"/>
    <w:rsid w:val="3DEB4A20"/>
    <w:rsid w:val="3DF17C0D"/>
    <w:rsid w:val="3DF20D81"/>
    <w:rsid w:val="3DF33931"/>
    <w:rsid w:val="3DF42EB0"/>
    <w:rsid w:val="3E004625"/>
    <w:rsid w:val="3E01223B"/>
    <w:rsid w:val="3E062E7D"/>
    <w:rsid w:val="3E063A50"/>
    <w:rsid w:val="3E08105D"/>
    <w:rsid w:val="3E113D8A"/>
    <w:rsid w:val="3E1242E3"/>
    <w:rsid w:val="3E134A0D"/>
    <w:rsid w:val="3E137756"/>
    <w:rsid w:val="3E1602A9"/>
    <w:rsid w:val="3E165B8B"/>
    <w:rsid w:val="3E193239"/>
    <w:rsid w:val="3E1A79B5"/>
    <w:rsid w:val="3E212A77"/>
    <w:rsid w:val="3E225425"/>
    <w:rsid w:val="3E22568A"/>
    <w:rsid w:val="3E263FAB"/>
    <w:rsid w:val="3E274FB5"/>
    <w:rsid w:val="3E2913C7"/>
    <w:rsid w:val="3E2D7CEC"/>
    <w:rsid w:val="3E2E34D6"/>
    <w:rsid w:val="3E2E4150"/>
    <w:rsid w:val="3E2F3B0E"/>
    <w:rsid w:val="3E324F76"/>
    <w:rsid w:val="3E352A83"/>
    <w:rsid w:val="3E38233A"/>
    <w:rsid w:val="3E383748"/>
    <w:rsid w:val="3E3B6A60"/>
    <w:rsid w:val="3E3D78EB"/>
    <w:rsid w:val="3E3E04D6"/>
    <w:rsid w:val="3E3E2C2F"/>
    <w:rsid w:val="3E3E7246"/>
    <w:rsid w:val="3E407169"/>
    <w:rsid w:val="3E412892"/>
    <w:rsid w:val="3E413872"/>
    <w:rsid w:val="3E452D27"/>
    <w:rsid w:val="3E46436B"/>
    <w:rsid w:val="3E4654B4"/>
    <w:rsid w:val="3E4A7D11"/>
    <w:rsid w:val="3E4F5BBD"/>
    <w:rsid w:val="3E513738"/>
    <w:rsid w:val="3E553357"/>
    <w:rsid w:val="3E5834DA"/>
    <w:rsid w:val="3E5A152A"/>
    <w:rsid w:val="3E5A3954"/>
    <w:rsid w:val="3E5D2903"/>
    <w:rsid w:val="3E5F59EC"/>
    <w:rsid w:val="3E615A6E"/>
    <w:rsid w:val="3E620C79"/>
    <w:rsid w:val="3E682881"/>
    <w:rsid w:val="3E686F2B"/>
    <w:rsid w:val="3E69116A"/>
    <w:rsid w:val="3E6A09DF"/>
    <w:rsid w:val="3E6A5F63"/>
    <w:rsid w:val="3E6B74A7"/>
    <w:rsid w:val="3E71194D"/>
    <w:rsid w:val="3E735705"/>
    <w:rsid w:val="3E78047B"/>
    <w:rsid w:val="3E796BA7"/>
    <w:rsid w:val="3E7A4673"/>
    <w:rsid w:val="3E7A4892"/>
    <w:rsid w:val="3E7A6E5D"/>
    <w:rsid w:val="3E7A7ECB"/>
    <w:rsid w:val="3E803B26"/>
    <w:rsid w:val="3E80496F"/>
    <w:rsid w:val="3E831B58"/>
    <w:rsid w:val="3E85067D"/>
    <w:rsid w:val="3E874A14"/>
    <w:rsid w:val="3E877629"/>
    <w:rsid w:val="3E896F62"/>
    <w:rsid w:val="3E8B0A32"/>
    <w:rsid w:val="3E8B5B37"/>
    <w:rsid w:val="3E8E13D4"/>
    <w:rsid w:val="3E910EA6"/>
    <w:rsid w:val="3E98627E"/>
    <w:rsid w:val="3E994B44"/>
    <w:rsid w:val="3E9D5725"/>
    <w:rsid w:val="3E9E5F37"/>
    <w:rsid w:val="3E9F73FA"/>
    <w:rsid w:val="3EA313E1"/>
    <w:rsid w:val="3EA35546"/>
    <w:rsid w:val="3EA5348A"/>
    <w:rsid w:val="3EA548B4"/>
    <w:rsid w:val="3EA846BF"/>
    <w:rsid w:val="3EAF3CA0"/>
    <w:rsid w:val="3EB019F5"/>
    <w:rsid w:val="3EB02E13"/>
    <w:rsid w:val="3EB03EF7"/>
    <w:rsid w:val="3EB10DBB"/>
    <w:rsid w:val="3EB632E5"/>
    <w:rsid w:val="3EB83771"/>
    <w:rsid w:val="3EBA79EC"/>
    <w:rsid w:val="3EBD6A71"/>
    <w:rsid w:val="3EC062E6"/>
    <w:rsid w:val="3EC07C8A"/>
    <w:rsid w:val="3EC35039"/>
    <w:rsid w:val="3EC449D4"/>
    <w:rsid w:val="3EC877DC"/>
    <w:rsid w:val="3ECA27C6"/>
    <w:rsid w:val="3ED1721A"/>
    <w:rsid w:val="3ED763BA"/>
    <w:rsid w:val="3EDB3D4D"/>
    <w:rsid w:val="3EDE263C"/>
    <w:rsid w:val="3EEA6969"/>
    <w:rsid w:val="3EEE0DA9"/>
    <w:rsid w:val="3EEF4F85"/>
    <w:rsid w:val="3EEF6A08"/>
    <w:rsid w:val="3EF04A2D"/>
    <w:rsid w:val="3EF06179"/>
    <w:rsid w:val="3EF138CC"/>
    <w:rsid w:val="3EF22090"/>
    <w:rsid w:val="3EF439A0"/>
    <w:rsid w:val="3EF56B18"/>
    <w:rsid w:val="3EF603D9"/>
    <w:rsid w:val="3EF80A91"/>
    <w:rsid w:val="3EFA6C6E"/>
    <w:rsid w:val="3EFB5DDC"/>
    <w:rsid w:val="3EFE316B"/>
    <w:rsid w:val="3F001804"/>
    <w:rsid w:val="3F0152C8"/>
    <w:rsid w:val="3F024BFC"/>
    <w:rsid w:val="3F051F26"/>
    <w:rsid w:val="3F054E1C"/>
    <w:rsid w:val="3F06241D"/>
    <w:rsid w:val="3F076969"/>
    <w:rsid w:val="3F0A537A"/>
    <w:rsid w:val="3F1067C0"/>
    <w:rsid w:val="3F1170E8"/>
    <w:rsid w:val="3F133926"/>
    <w:rsid w:val="3F165F27"/>
    <w:rsid w:val="3F187CB6"/>
    <w:rsid w:val="3F1B6D7C"/>
    <w:rsid w:val="3F1D6B7B"/>
    <w:rsid w:val="3F22008E"/>
    <w:rsid w:val="3F2344FC"/>
    <w:rsid w:val="3F251CF8"/>
    <w:rsid w:val="3F281E7E"/>
    <w:rsid w:val="3F284452"/>
    <w:rsid w:val="3F2F2A60"/>
    <w:rsid w:val="3F317D3D"/>
    <w:rsid w:val="3F3C5D65"/>
    <w:rsid w:val="3F3D4E08"/>
    <w:rsid w:val="3F3D608D"/>
    <w:rsid w:val="3F3E34D2"/>
    <w:rsid w:val="3F420597"/>
    <w:rsid w:val="3F4209E1"/>
    <w:rsid w:val="3F434694"/>
    <w:rsid w:val="3F4654D6"/>
    <w:rsid w:val="3F481985"/>
    <w:rsid w:val="3F4874E3"/>
    <w:rsid w:val="3F4973BD"/>
    <w:rsid w:val="3F4C57EF"/>
    <w:rsid w:val="3F4D43D5"/>
    <w:rsid w:val="3F525A06"/>
    <w:rsid w:val="3F54627F"/>
    <w:rsid w:val="3F555903"/>
    <w:rsid w:val="3F5628A2"/>
    <w:rsid w:val="3F5751CD"/>
    <w:rsid w:val="3F581487"/>
    <w:rsid w:val="3F591257"/>
    <w:rsid w:val="3F5932A8"/>
    <w:rsid w:val="3F6039D5"/>
    <w:rsid w:val="3F626917"/>
    <w:rsid w:val="3F631882"/>
    <w:rsid w:val="3F640AD5"/>
    <w:rsid w:val="3F6525B0"/>
    <w:rsid w:val="3F6902D3"/>
    <w:rsid w:val="3F6A7005"/>
    <w:rsid w:val="3F6C5E88"/>
    <w:rsid w:val="3F6D2111"/>
    <w:rsid w:val="3F6E143F"/>
    <w:rsid w:val="3F7B57BB"/>
    <w:rsid w:val="3F7B74F0"/>
    <w:rsid w:val="3F7C1EC2"/>
    <w:rsid w:val="3F7C2FB3"/>
    <w:rsid w:val="3F8073EA"/>
    <w:rsid w:val="3F816AD6"/>
    <w:rsid w:val="3F8253CC"/>
    <w:rsid w:val="3F877ADF"/>
    <w:rsid w:val="3F8951F2"/>
    <w:rsid w:val="3F8A3A2A"/>
    <w:rsid w:val="3F8A64BB"/>
    <w:rsid w:val="3F8B0C33"/>
    <w:rsid w:val="3F8D0033"/>
    <w:rsid w:val="3F8D6F18"/>
    <w:rsid w:val="3F9050BC"/>
    <w:rsid w:val="3F906A1E"/>
    <w:rsid w:val="3F9115F7"/>
    <w:rsid w:val="3F93586E"/>
    <w:rsid w:val="3F98330A"/>
    <w:rsid w:val="3F987CAB"/>
    <w:rsid w:val="3F993CD9"/>
    <w:rsid w:val="3F9B4A13"/>
    <w:rsid w:val="3F9C2AD1"/>
    <w:rsid w:val="3F9D7469"/>
    <w:rsid w:val="3F9F559C"/>
    <w:rsid w:val="3F9F67E0"/>
    <w:rsid w:val="3FA21C22"/>
    <w:rsid w:val="3FA330D9"/>
    <w:rsid w:val="3FA361D1"/>
    <w:rsid w:val="3FA550A3"/>
    <w:rsid w:val="3FA55B9D"/>
    <w:rsid w:val="3FAF4569"/>
    <w:rsid w:val="3FB2277B"/>
    <w:rsid w:val="3FC2590C"/>
    <w:rsid w:val="3FC25B13"/>
    <w:rsid w:val="3FC82107"/>
    <w:rsid w:val="3FC86CA8"/>
    <w:rsid w:val="3FC96D45"/>
    <w:rsid w:val="3FCB2D46"/>
    <w:rsid w:val="3FCC5053"/>
    <w:rsid w:val="3FCE739E"/>
    <w:rsid w:val="3FCF5002"/>
    <w:rsid w:val="3FCF76E2"/>
    <w:rsid w:val="3FD14F66"/>
    <w:rsid w:val="3FD36FFA"/>
    <w:rsid w:val="3FD40A8C"/>
    <w:rsid w:val="3FD422C4"/>
    <w:rsid w:val="3FDA1A36"/>
    <w:rsid w:val="3FDA4BFE"/>
    <w:rsid w:val="3FDB5C17"/>
    <w:rsid w:val="3FDC5296"/>
    <w:rsid w:val="3FE32B27"/>
    <w:rsid w:val="3FE3656B"/>
    <w:rsid w:val="3FE6357B"/>
    <w:rsid w:val="3FE67F52"/>
    <w:rsid w:val="3FE756BB"/>
    <w:rsid w:val="3FEA3E1E"/>
    <w:rsid w:val="3FF12096"/>
    <w:rsid w:val="3FF34491"/>
    <w:rsid w:val="3FF34AC7"/>
    <w:rsid w:val="3FF43934"/>
    <w:rsid w:val="3FF61536"/>
    <w:rsid w:val="3FF8173F"/>
    <w:rsid w:val="3FF83425"/>
    <w:rsid w:val="3FF83F84"/>
    <w:rsid w:val="3FF90371"/>
    <w:rsid w:val="3FF93306"/>
    <w:rsid w:val="3FF955DA"/>
    <w:rsid w:val="3FFC6A81"/>
    <w:rsid w:val="40001FEE"/>
    <w:rsid w:val="40007587"/>
    <w:rsid w:val="400238AF"/>
    <w:rsid w:val="400476EF"/>
    <w:rsid w:val="40073B63"/>
    <w:rsid w:val="40074305"/>
    <w:rsid w:val="40081B1E"/>
    <w:rsid w:val="400C3301"/>
    <w:rsid w:val="40122CFA"/>
    <w:rsid w:val="401732FD"/>
    <w:rsid w:val="401C6513"/>
    <w:rsid w:val="401F5B3D"/>
    <w:rsid w:val="401F5DD2"/>
    <w:rsid w:val="401F70EF"/>
    <w:rsid w:val="40266725"/>
    <w:rsid w:val="40271963"/>
    <w:rsid w:val="402A43C9"/>
    <w:rsid w:val="402D4BF1"/>
    <w:rsid w:val="402F5721"/>
    <w:rsid w:val="403B5BE9"/>
    <w:rsid w:val="403C1AA7"/>
    <w:rsid w:val="403E4102"/>
    <w:rsid w:val="403F48E2"/>
    <w:rsid w:val="403F5EB1"/>
    <w:rsid w:val="404021EF"/>
    <w:rsid w:val="404139C5"/>
    <w:rsid w:val="4048196D"/>
    <w:rsid w:val="40483DF9"/>
    <w:rsid w:val="40490DCA"/>
    <w:rsid w:val="404A57C1"/>
    <w:rsid w:val="404A773F"/>
    <w:rsid w:val="405041D0"/>
    <w:rsid w:val="40511D86"/>
    <w:rsid w:val="40565EE2"/>
    <w:rsid w:val="405B39BA"/>
    <w:rsid w:val="405B58AF"/>
    <w:rsid w:val="4061061E"/>
    <w:rsid w:val="40611093"/>
    <w:rsid w:val="40614C31"/>
    <w:rsid w:val="40617FD4"/>
    <w:rsid w:val="406801CC"/>
    <w:rsid w:val="406C321E"/>
    <w:rsid w:val="406E09A3"/>
    <w:rsid w:val="406F06FC"/>
    <w:rsid w:val="407041A9"/>
    <w:rsid w:val="407913E8"/>
    <w:rsid w:val="407A5DF2"/>
    <w:rsid w:val="407C7E56"/>
    <w:rsid w:val="40815423"/>
    <w:rsid w:val="40863C23"/>
    <w:rsid w:val="408C19E4"/>
    <w:rsid w:val="408D28A5"/>
    <w:rsid w:val="408D2DF4"/>
    <w:rsid w:val="40914365"/>
    <w:rsid w:val="40914ED8"/>
    <w:rsid w:val="4091581D"/>
    <w:rsid w:val="40916A27"/>
    <w:rsid w:val="40950888"/>
    <w:rsid w:val="40974AB8"/>
    <w:rsid w:val="40977C2D"/>
    <w:rsid w:val="40996D7E"/>
    <w:rsid w:val="409D1C34"/>
    <w:rsid w:val="40A14FA3"/>
    <w:rsid w:val="40A32254"/>
    <w:rsid w:val="40A35A86"/>
    <w:rsid w:val="40A86BF9"/>
    <w:rsid w:val="40AA0A90"/>
    <w:rsid w:val="40AA5D54"/>
    <w:rsid w:val="40AD7207"/>
    <w:rsid w:val="40AF2F79"/>
    <w:rsid w:val="40B0438F"/>
    <w:rsid w:val="40B170DC"/>
    <w:rsid w:val="40B639A9"/>
    <w:rsid w:val="40B86408"/>
    <w:rsid w:val="40B92598"/>
    <w:rsid w:val="40B92D72"/>
    <w:rsid w:val="40BB0CBF"/>
    <w:rsid w:val="40C00B1B"/>
    <w:rsid w:val="40C17C59"/>
    <w:rsid w:val="40C2069C"/>
    <w:rsid w:val="40CA4177"/>
    <w:rsid w:val="40CD6F0A"/>
    <w:rsid w:val="40CF1057"/>
    <w:rsid w:val="40CF3B5C"/>
    <w:rsid w:val="40D7593C"/>
    <w:rsid w:val="40D87815"/>
    <w:rsid w:val="40DC4D30"/>
    <w:rsid w:val="40DE400D"/>
    <w:rsid w:val="40DF6EDF"/>
    <w:rsid w:val="40E6254D"/>
    <w:rsid w:val="40F45611"/>
    <w:rsid w:val="40F772EA"/>
    <w:rsid w:val="40F81AEB"/>
    <w:rsid w:val="40FA3516"/>
    <w:rsid w:val="40FF0EE5"/>
    <w:rsid w:val="4100276C"/>
    <w:rsid w:val="4107732A"/>
    <w:rsid w:val="410D69AC"/>
    <w:rsid w:val="41103416"/>
    <w:rsid w:val="4111773E"/>
    <w:rsid w:val="41140732"/>
    <w:rsid w:val="411651FB"/>
    <w:rsid w:val="411B6F26"/>
    <w:rsid w:val="412334B0"/>
    <w:rsid w:val="41264196"/>
    <w:rsid w:val="412A6926"/>
    <w:rsid w:val="412B1CBB"/>
    <w:rsid w:val="412C59EA"/>
    <w:rsid w:val="41336C85"/>
    <w:rsid w:val="41360E1C"/>
    <w:rsid w:val="41364AA2"/>
    <w:rsid w:val="41386161"/>
    <w:rsid w:val="413B4BC5"/>
    <w:rsid w:val="413C3FD5"/>
    <w:rsid w:val="413D3945"/>
    <w:rsid w:val="413E5712"/>
    <w:rsid w:val="41410DFB"/>
    <w:rsid w:val="4145181B"/>
    <w:rsid w:val="41475A67"/>
    <w:rsid w:val="414C018F"/>
    <w:rsid w:val="414F2480"/>
    <w:rsid w:val="414F3518"/>
    <w:rsid w:val="414F6C9E"/>
    <w:rsid w:val="4152323F"/>
    <w:rsid w:val="41530A9B"/>
    <w:rsid w:val="415403D1"/>
    <w:rsid w:val="41544F17"/>
    <w:rsid w:val="4155125D"/>
    <w:rsid w:val="41567EA4"/>
    <w:rsid w:val="415770BF"/>
    <w:rsid w:val="41582A9A"/>
    <w:rsid w:val="41583A12"/>
    <w:rsid w:val="415B65F1"/>
    <w:rsid w:val="4168640F"/>
    <w:rsid w:val="416C518E"/>
    <w:rsid w:val="416E5837"/>
    <w:rsid w:val="416F7820"/>
    <w:rsid w:val="41700331"/>
    <w:rsid w:val="41714FB6"/>
    <w:rsid w:val="4173417F"/>
    <w:rsid w:val="41745329"/>
    <w:rsid w:val="4174762D"/>
    <w:rsid w:val="41760A90"/>
    <w:rsid w:val="417714DF"/>
    <w:rsid w:val="417E1C47"/>
    <w:rsid w:val="417E56EC"/>
    <w:rsid w:val="41801CA4"/>
    <w:rsid w:val="4181033B"/>
    <w:rsid w:val="418677AA"/>
    <w:rsid w:val="41873BCC"/>
    <w:rsid w:val="41897EC1"/>
    <w:rsid w:val="418B3F20"/>
    <w:rsid w:val="418D7AA6"/>
    <w:rsid w:val="418E4B84"/>
    <w:rsid w:val="418F68D4"/>
    <w:rsid w:val="41915462"/>
    <w:rsid w:val="419226E9"/>
    <w:rsid w:val="41965EEA"/>
    <w:rsid w:val="41986C6D"/>
    <w:rsid w:val="419F2F00"/>
    <w:rsid w:val="41A05EB7"/>
    <w:rsid w:val="41A970CC"/>
    <w:rsid w:val="41B23F03"/>
    <w:rsid w:val="41B72249"/>
    <w:rsid w:val="41B72AB2"/>
    <w:rsid w:val="41BC6135"/>
    <w:rsid w:val="41BC6C24"/>
    <w:rsid w:val="41BD7E4B"/>
    <w:rsid w:val="41C04416"/>
    <w:rsid w:val="41C04936"/>
    <w:rsid w:val="41C059CD"/>
    <w:rsid w:val="41C065D7"/>
    <w:rsid w:val="41C1108C"/>
    <w:rsid w:val="41C83DA0"/>
    <w:rsid w:val="41C843A2"/>
    <w:rsid w:val="41C86951"/>
    <w:rsid w:val="41C92C30"/>
    <w:rsid w:val="41CB06DB"/>
    <w:rsid w:val="41CE0773"/>
    <w:rsid w:val="41CF63C4"/>
    <w:rsid w:val="41D1710F"/>
    <w:rsid w:val="41D33923"/>
    <w:rsid w:val="41D3611B"/>
    <w:rsid w:val="41D64826"/>
    <w:rsid w:val="41D74DE7"/>
    <w:rsid w:val="41DE01C7"/>
    <w:rsid w:val="41E27CCE"/>
    <w:rsid w:val="41E3220A"/>
    <w:rsid w:val="41E81243"/>
    <w:rsid w:val="41E84846"/>
    <w:rsid w:val="41E9036D"/>
    <w:rsid w:val="41F1381B"/>
    <w:rsid w:val="41F57C05"/>
    <w:rsid w:val="41F604FB"/>
    <w:rsid w:val="41F851BF"/>
    <w:rsid w:val="41FC0035"/>
    <w:rsid w:val="41FC664F"/>
    <w:rsid w:val="41FD1900"/>
    <w:rsid w:val="41FD7E2A"/>
    <w:rsid w:val="41FF4D5B"/>
    <w:rsid w:val="42005411"/>
    <w:rsid w:val="42042FF8"/>
    <w:rsid w:val="42084862"/>
    <w:rsid w:val="420C765B"/>
    <w:rsid w:val="420D104D"/>
    <w:rsid w:val="420E542D"/>
    <w:rsid w:val="4210237A"/>
    <w:rsid w:val="42116983"/>
    <w:rsid w:val="4212642F"/>
    <w:rsid w:val="42152F30"/>
    <w:rsid w:val="421B452D"/>
    <w:rsid w:val="421B4618"/>
    <w:rsid w:val="4225483F"/>
    <w:rsid w:val="42257E20"/>
    <w:rsid w:val="4227344E"/>
    <w:rsid w:val="4227668E"/>
    <w:rsid w:val="422A188F"/>
    <w:rsid w:val="422D2FFD"/>
    <w:rsid w:val="422D451C"/>
    <w:rsid w:val="422D6B9C"/>
    <w:rsid w:val="423446C6"/>
    <w:rsid w:val="423552E7"/>
    <w:rsid w:val="42380450"/>
    <w:rsid w:val="423E6BD9"/>
    <w:rsid w:val="423F57D7"/>
    <w:rsid w:val="42432908"/>
    <w:rsid w:val="42435A22"/>
    <w:rsid w:val="424961B9"/>
    <w:rsid w:val="424A11CF"/>
    <w:rsid w:val="424A66BE"/>
    <w:rsid w:val="424B0E48"/>
    <w:rsid w:val="425E0108"/>
    <w:rsid w:val="42623387"/>
    <w:rsid w:val="42632762"/>
    <w:rsid w:val="42637056"/>
    <w:rsid w:val="426B4382"/>
    <w:rsid w:val="426C0DF8"/>
    <w:rsid w:val="426C2B00"/>
    <w:rsid w:val="426E506F"/>
    <w:rsid w:val="42732404"/>
    <w:rsid w:val="427B4117"/>
    <w:rsid w:val="427C08C3"/>
    <w:rsid w:val="427C4CBE"/>
    <w:rsid w:val="427C760F"/>
    <w:rsid w:val="427D7740"/>
    <w:rsid w:val="42806990"/>
    <w:rsid w:val="428546DB"/>
    <w:rsid w:val="42857966"/>
    <w:rsid w:val="428A1AE8"/>
    <w:rsid w:val="428C3289"/>
    <w:rsid w:val="428C3E4F"/>
    <w:rsid w:val="428E5877"/>
    <w:rsid w:val="428E62C2"/>
    <w:rsid w:val="428F35C1"/>
    <w:rsid w:val="4291067C"/>
    <w:rsid w:val="429168C1"/>
    <w:rsid w:val="429572F3"/>
    <w:rsid w:val="429A10B4"/>
    <w:rsid w:val="429A5F6C"/>
    <w:rsid w:val="429C3576"/>
    <w:rsid w:val="429E5575"/>
    <w:rsid w:val="42A0243A"/>
    <w:rsid w:val="42A076F6"/>
    <w:rsid w:val="42A36FB8"/>
    <w:rsid w:val="42A7657A"/>
    <w:rsid w:val="42A76880"/>
    <w:rsid w:val="42A938E7"/>
    <w:rsid w:val="42A94B4F"/>
    <w:rsid w:val="42A973F9"/>
    <w:rsid w:val="42AE1A05"/>
    <w:rsid w:val="42AF1B2A"/>
    <w:rsid w:val="42AF41D5"/>
    <w:rsid w:val="42AF5CBA"/>
    <w:rsid w:val="42B033CC"/>
    <w:rsid w:val="42B0448A"/>
    <w:rsid w:val="42B06E60"/>
    <w:rsid w:val="42B11B0B"/>
    <w:rsid w:val="42B26492"/>
    <w:rsid w:val="42B27237"/>
    <w:rsid w:val="42B33AA9"/>
    <w:rsid w:val="42B557AA"/>
    <w:rsid w:val="42B850ED"/>
    <w:rsid w:val="42BA0E65"/>
    <w:rsid w:val="42C222D7"/>
    <w:rsid w:val="42C5518A"/>
    <w:rsid w:val="42C75836"/>
    <w:rsid w:val="42CA2204"/>
    <w:rsid w:val="42CF155F"/>
    <w:rsid w:val="42D5345A"/>
    <w:rsid w:val="42D7218F"/>
    <w:rsid w:val="42D740AC"/>
    <w:rsid w:val="42D951A6"/>
    <w:rsid w:val="42D95E97"/>
    <w:rsid w:val="42DD15B7"/>
    <w:rsid w:val="42E0419B"/>
    <w:rsid w:val="42E1078A"/>
    <w:rsid w:val="42E1162A"/>
    <w:rsid w:val="42E21119"/>
    <w:rsid w:val="42E840BA"/>
    <w:rsid w:val="42EA174A"/>
    <w:rsid w:val="42F160DF"/>
    <w:rsid w:val="42F303F2"/>
    <w:rsid w:val="42F6063B"/>
    <w:rsid w:val="42F92F01"/>
    <w:rsid w:val="42F94E7C"/>
    <w:rsid w:val="42F973EA"/>
    <w:rsid w:val="42F97D4B"/>
    <w:rsid w:val="42FB44DA"/>
    <w:rsid w:val="42FC5718"/>
    <w:rsid w:val="42FD201A"/>
    <w:rsid w:val="42FE6F5E"/>
    <w:rsid w:val="43027505"/>
    <w:rsid w:val="4303030D"/>
    <w:rsid w:val="430515C8"/>
    <w:rsid w:val="43064C6B"/>
    <w:rsid w:val="430664B8"/>
    <w:rsid w:val="43075FE5"/>
    <w:rsid w:val="430839ED"/>
    <w:rsid w:val="430C081D"/>
    <w:rsid w:val="430F394C"/>
    <w:rsid w:val="431527F3"/>
    <w:rsid w:val="43185DBF"/>
    <w:rsid w:val="431C1009"/>
    <w:rsid w:val="431D0126"/>
    <w:rsid w:val="432100AC"/>
    <w:rsid w:val="43235668"/>
    <w:rsid w:val="432A0EC5"/>
    <w:rsid w:val="432A2943"/>
    <w:rsid w:val="432B3D51"/>
    <w:rsid w:val="432B6713"/>
    <w:rsid w:val="432D21A5"/>
    <w:rsid w:val="432D4C5E"/>
    <w:rsid w:val="432F0FFB"/>
    <w:rsid w:val="432F1D67"/>
    <w:rsid w:val="43313CE4"/>
    <w:rsid w:val="433172DD"/>
    <w:rsid w:val="43360FEB"/>
    <w:rsid w:val="433761D2"/>
    <w:rsid w:val="433B2F45"/>
    <w:rsid w:val="433F5188"/>
    <w:rsid w:val="43432C09"/>
    <w:rsid w:val="43457AC3"/>
    <w:rsid w:val="434C29EA"/>
    <w:rsid w:val="434C4830"/>
    <w:rsid w:val="434D3150"/>
    <w:rsid w:val="434D4003"/>
    <w:rsid w:val="435025DF"/>
    <w:rsid w:val="4350302A"/>
    <w:rsid w:val="4354198B"/>
    <w:rsid w:val="435455A7"/>
    <w:rsid w:val="43574906"/>
    <w:rsid w:val="435936B3"/>
    <w:rsid w:val="435A7EBA"/>
    <w:rsid w:val="435B59EE"/>
    <w:rsid w:val="435D743F"/>
    <w:rsid w:val="435E4AE9"/>
    <w:rsid w:val="435F1DAE"/>
    <w:rsid w:val="43602E3E"/>
    <w:rsid w:val="43603276"/>
    <w:rsid w:val="436314FD"/>
    <w:rsid w:val="43675468"/>
    <w:rsid w:val="436A24AA"/>
    <w:rsid w:val="436B4949"/>
    <w:rsid w:val="436C0AEB"/>
    <w:rsid w:val="436C250B"/>
    <w:rsid w:val="436E0EC8"/>
    <w:rsid w:val="4375682E"/>
    <w:rsid w:val="437864C9"/>
    <w:rsid w:val="437E027A"/>
    <w:rsid w:val="437F248D"/>
    <w:rsid w:val="43817BA8"/>
    <w:rsid w:val="438566A5"/>
    <w:rsid w:val="43894A08"/>
    <w:rsid w:val="4389702C"/>
    <w:rsid w:val="438C1219"/>
    <w:rsid w:val="438D50DE"/>
    <w:rsid w:val="438F45AA"/>
    <w:rsid w:val="43901ABD"/>
    <w:rsid w:val="43911B97"/>
    <w:rsid w:val="43924DA4"/>
    <w:rsid w:val="43927D34"/>
    <w:rsid w:val="43936C76"/>
    <w:rsid w:val="43942D73"/>
    <w:rsid w:val="43956F29"/>
    <w:rsid w:val="439574C0"/>
    <w:rsid w:val="439B6224"/>
    <w:rsid w:val="439E0812"/>
    <w:rsid w:val="439E18B0"/>
    <w:rsid w:val="43A64354"/>
    <w:rsid w:val="43A768E9"/>
    <w:rsid w:val="43AE27CB"/>
    <w:rsid w:val="43B14F00"/>
    <w:rsid w:val="43B16C8B"/>
    <w:rsid w:val="43B67413"/>
    <w:rsid w:val="43B90EB4"/>
    <w:rsid w:val="43B934DD"/>
    <w:rsid w:val="43BB0EFB"/>
    <w:rsid w:val="43BB381D"/>
    <w:rsid w:val="43BE4985"/>
    <w:rsid w:val="43BF194D"/>
    <w:rsid w:val="43C1314B"/>
    <w:rsid w:val="43C21C51"/>
    <w:rsid w:val="43C4557E"/>
    <w:rsid w:val="43C57076"/>
    <w:rsid w:val="43C64477"/>
    <w:rsid w:val="43C966A9"/>
    <w:rsid w:val="43CA538C"/>
    <w:rsid w:val="43CF1905"/>
    <w:rsid w:val="43D03761"/>
    <w:rsid w:val="43D2437E"/>
    <w:rsid w:val="43D32988"/>
    <w:rsid w:val="43D5603E"/>
    <w:rsid w:val="43D67F21"/>
    <w:rsid w:val="43D73447"/>
    <w:rsid w:val="43DD12AF"/>
    <w:rsid w:val="43DE1630"/>
    <w:rsid w:val="43E10534"/>
    <w:rsid w:val="43E15191"/>
    <w:rsid w:val="43E210FC"/>
    <w:rsid w:val="43E45D64"/>
    <w:rsid w:val="43E45F41"/>
    <w:rsid w:val="43E61F4C"/>
    <w:rsid w:val="43E653DC"/>
    <w:rsid w:val="43E859E1"/>
    <w:rsid w:val="43E9237E"/>
    <w:rsid w:val="43EC087D"/>
    <w:rsid w:val="43EE7B2B"/>
    <w:rsid w:val="43F14A9F"/>
    <w:rsid w:val="43F23261"/>
    <w:rsid w:val="43F40DE2"/>
    <w:rsid w:val="43F42636"/>
    <w:rsid w:val="43F50000"/>
    <w:rsid w:val="43F60D93"/>
    <w:rsid w:val="43F62E9C"/>
    <w:rsid w:val="43F959BD"/>
    <w:rsid w:val="43FE4248"/>
    <w:rsid w:val="44047A0A"/>
    <w:rsid w:val="44092444"/>
    <w:rsid w:val="440943A4"/>
    <w:rsid w:val="440E1135"/>
    <w:rsid w:val="440F51E1"/>
    <w:rsid w:val="44111FD5"/>
    <w:rsid w:val="44115F9B"/>
    <w:rsid w:val="44133845"/>
    <w:rsid w:val="441402FB"/>
    <w:rsid w:val="441E0EE8"/>
    <w:rsid w:val="441F394B"/>
    <w:rsid w:val="442053E3"/>
    <w:rsid w:val="44214BDA"/>
    <w:rsid w:val="44226657"/>
    <w:rsid w:val="442868BE"/>
    <w:rsid w:val="44291B91"/>
    <w:rsid w:val="442E7AD1"/>
    <w:rsid w:val="443141BE"/>
    <w:rsid w:val="44371B81"/>
    <w:rsid w:val="4438446B"/>
    <w:rsid w:val="443A5C15"/>
    <w:rsid w:val="443B4DE2"/>
    <w:rsid w:val="44421112"/>
    <w:rsid w:val="44442398"/>
    <w:rsid w:val="44470D3A"/>
    <w:rsid w:val="444A6190"/>
    <w:rsid w:val="444A7FC7"/>
    <w:rsid w:val="444B6759"/>
    <w:rsid w:val="444D1CAF"/>
    <w:rsid w:val="444D6D43"/>
    <w:rsid w:val="444E0EB1"/>
    <w:rsid w:val="444E3969"/>
    <w:rsid w:val="44526098"/>
    <w:rsid w:val="44570B72"/>
    <w:rsid w:val="445723C0"/>
    <w:rsid w:val="44574A2A"/>
    <w:rsid w:val="445755DB"/>
    <w:rsid w:val="445840DF"/>
    <w:rsid w:val="445917DD"/>
    <w:rsid w:val="445A2900"/>
    <w:rsid w:val="44604547"/>
    <w:rsid w:val="44613003"/>
    <w:rsid w:val="44617677"/>
    <w:rsid w:val="446308C0"/>
    <w:rsid w:val="44663EE6"/>
    <w:rsid w:val="446848E4"/>
    <w:rsid w:val="446D2838"/>
    <w:rsid w:val="446D741B"/>
    <w:rsid w:val="446F7150"/>
    <w:rsid w:val="4471425B"/>
    <w:rsid w:val="44720AE3"/>
    <w:rsid w:val="44773D6D"/>
    <w:rsid w:val="44791D88"/>
    <w:rsid w:val="447A7E91"/>
    <w:rsid w:val="447E11AE"/>
    <w:rsid w:val="44877EC5"/>
    <w:rsid w:val="448A181B"/>
    <w:rsid w:val="448E5015"/>
    <w:rsid w:val="448F4618"/>
    <w:rsid w:val="449045B1"/>
    <w:rsid w:val="44915BF6"/>
    <w:rsid w:val="44991472"/>
    <w:rsid w:val="449A76F8"/>
    <w:rsid w:val="449C26AA"/>
    <w:rsid w:val="449C4CC6"/>
    <w:rsid w:val="449E2B1E"/>
    <w:rsid w:val="449F3491"/>
    <w:rsid w:val="44A05432"/>
    <w:rsid w:val="44A16BA8"/>
    <w:rsid w:val="44A21CDC"/>
    <w:rsid w:val="44A25BB4"/>
    <w:rsid w:val="44A35712"/>
    <w:rsid w:val="44A6179B"/>
    <w:rsid w:val="44A75419"/>
    <w:rsid w:val="44A8467F"/>
    <w:rsid w:val="44AA444C"/>
    <w:rsid w:val="44AA6CD5"/>
    <w:rsid w:val="44AC5D7C"/>
    <w:rsid w:val="44AD374C"/>
    <w:rsid w:val="44AD5863"/>
    <w:rsid w:val="44B00772"/>
    <w:rsid w:val="44B141C0"/>
    <w:rsid w:val="44B2661B"/>
    <w:rsid w:val="44BA479B"/>
    <w:rsid w:val="44BA514C"/>
    <w:rsid w:val="44C12DD3"/>
    <w:rsid w:val="44C609E0"/>
    <w:rsid w:val="44C72F5C"/>
    <w:rsid w:val="44C812DB"/>
    <w:rsid w:val="44CC4893"/>
    <w:rsid w:val="44CC62D7"/>
    <w:rsid w:val="44CF069D"/>
    <w:rsid w:val="44D36491"/>
    <w:rsid w:val="44D41426"/>
    <w:rsid w:val="44DB3FF8"/>
    <w:rsid w:val="44DB4337"/>
    <w:rsid w:val="44DD348D"/>
    <w:rsid w:val="44DE4275"/>
    <w:rsid w:val="44E249CF"/>
    <w:rsid w:val="44E36945"/>
    <w:rsid w:val="44E37E80"/>
    <w:rsid w:val="44E92476"/>
    <w:rsid w:val="44EB6B1E"/>
    <w:rsid w:val="44EC6956"/>
    <w:rsid w:val="44EE6424"/>
    <w:rsid w:val="44F05737"/>
    <w:rsid w:val="44F32EB2"/>
    <w:rsid w:val="44F47C4C"/>
    <w:rsid w:val="44F602C6"/>
    <w:rsid w:val="44F62737"/>
    <w:rsid w:val="44F71EFD"/>
    <w:rsid w:val="44FF00EB"/>
    <w:rsid w:val="44FF0B65"/>
    <w:rsid w:val="450058BB"/>
    <w:rsid w:val="45063969"/>
    <w:rsid w:val="4507479C"/>
    <w:rsid w:val="450B32D2"/>
    <w:rsid w:val="450B6F62"/>
    <w:rsid w:val="450E7C74"/>
    <w:rsid w:val="4512220D"/>
    <w:rsid w:val="451258D7"/>
    <w:rsid w:val="45135919"/>
    <w:rsid w:val="45164DB2"/>
    <w:rsid w:val="45184106"/>
    <w:rsid w:val="45196317"/>
    <w:rsid w:val="451B031A"/>
    <w:rsid w:val="451B48F0"/>
    <w:rsid w:val="451D2AA9"/>
    <w:rsid w:val="45201861"/>
    <w:rsid w:val="452071D6"/>
    <w:rsid w:val="45237C17"/>
    <w:rsid w:val="452645A3"/>
    <w:rsid w:val="45267AD1"/>
    <w:rsid w:val="452A245C"/>
    <w:rsid w:val="452A2470"/>
    <w:rsid w:val="452C0980"/>
    <w:rsid w:val="452D7BFD"/>
    <w:rsid w:val="45335202"/>
    <w:rsid w:val="453D7321"/>
    <w:rsid w:val="453F2625"/>
    <w:rsid w:val="453F3821"/>
    <w:rsid w:val="45494F34"/>
    <w:rsid w:val="454A06E5"/>
    <w:rsid w:val="454A39AE"/>
    <w:rsid w:val="454C7D4D"/>
    <w:rsid w:val="454E7E2F"/>
    <w:rsid w:val="455417E9"/>
    <w:rsid w:val="4554454A"/>
    <w:rsid w:val="455A06AD"/>
    <w:rsid w:val="455D08CE"/>
    <w:rsid w:val="455F37DF"/>
    <w:rsid w:val="45632BCA"/>
    <w:rsid w:val="45645A12"/>
    <w:rsid w:val="45665A8C"/>
    <w:rsid w:val="45682543"/>
    <w:rsid w:val="456A418D"/>
    <w:rsid w:val="456A55E0"/>
    <w:rsid w:val="456C5B1A"/>
    <w:rsid w:val="456E4EDF"/>
    <w:rsid w:val="45710A83"/>
    <w:rsid w:val="4571335F"/>
    <w:rsid w:val="457156B9"/>
    <w:rsid w:val="4573302C"/>
    <w:rsid w:val="45741BFB"/>
    <w:rsid w:val="45745F93"/>
    <w:rsid w:val="45763666"/>
    <w:rsid w:val="4582656F"/>
    <w:rsid w:val="45836D64"/>
    <w:rsid w:val="4585221C"/>
    <w:rsid w:val="4585533A"/>
    <w:rsid w:val="458A0FC3"/>
    <w:rsid w:val="458B0BE7"/>
    <w:rsid w:val="45940E6B"/>
    <w:rsid w:val="459419C8"/>
    <w:rsid w:val="459676B5"/>
    <w:rsid w:val="45973B8E"/>
    <w:rsid w:val="4598372E"/>
    <w:rsid w:val="4598478C"/>
    <w:rsid w:val="459A57B1"/>
    <w:rsid w:val="459C09E8"/>
    <w:rsid w:val="459D0E8B"/>
    <w:rsid w:val="459F3852"/>
    <w:rsid w:val="45A3084C"/>
    <w:rsid w:val="45A363A6"/>
    <w:rsid w:val="45A94B02"/>
    <w:rsid w:val="45B30C9D"/>
    <w:rsid w:val="45C00A6E"/>
    <w:rsid w:val="45C13C05"/>
    <w:rsid w:val="45C17F3B"/>
    <w:rsid w:val="45C277EF"/>
    <w:rsid w:val="45C34929"/>
    <w:rsid w:val="45C34E0F"/>
    <w:rsid w:val="45C442B0"/>
    <w:rsid w:val="45C45D1E"/>
    <w:rsid w:val="45C624CA"/>
    <w:rsid w:val="45C93B14"/>
    <w:rsid w:val="45CA17B7"/>
    <w:rsid w:val="45CD3E33"/>
    <w:rsid w:val="45CF1113"/>
    <w:rsid w:val="45D27DAB"/>
    <w:rsid w:val="45D729FC"/>
    <w:rsid w:val="45D902CA"/>
    <w:rsid w:val="45D97E92"/>
    <w:rsid w:val="45DA27AE"/>
    <w:rsid w:val="45DB1E5D"/>
    <w:rsid w:val="45DB35A8"/>
    <w:rsid w:val="45DB7806"/>
    <w:rsid w:val="45EA65C3"/>
    <w:rsid w:val="45EC3BA9"/>
    <w:rsid w:val="45ED0FB0"/>
    <w:rsid w:val="45ED5FE1"/>
    <w:rsid w:val="45F12973"/>
    <w:rsid w:val="45F13A36"/>
    <w:rsid w:val="46050C32"/>
    <w:rsid w:val="46074342"/>
    <w:rsid w:val="460847D7"/>
    <w:rsid w:val="460B71D6"/>
    <w:rsid w:val="460D3887"/>
    <w:rsid w:val="460F22E3"/>
    <w:rsid w:val="461008FA"/>
    <w:rsid w:val="46101164"/>
    <w:rsid w:val="461248D1"/>
    <w:rsid w:val="46127D1E"/>
    <w:rsid w:val="46156475"/>
    <w:rsid w:val="46181D62"/>
    <w:rsid w:val="461B44C5"/>
    <w:rsid w:val="46251EAA"/>
    <w:rsid w:val="46256D31"/>
    <w:rsid w:val="46265B4E"/>
    <w:rsid w:val="4627448B"/>
    <w:rsid w:val="462A00B0"/>
    <w:rsid w:val="462C0840"/>
    <w:rsid w:val="462C7917"/>
    <w:rsid w:val="462D194E"/>
    <w:rsid w:val="462E4A74"/>
    <w:rsid w:val="462F4231"/>
    <w:rsid w:val="462F50E4"/>
    <w:rsid w:val="4633110A"/>
    <w:rsid w:val="46351CEC"/>
    <w:rsid w:val="4639690C"/>
    <w:rsid w:val="463B5B7D"/>
    <w:rsid w:val="463F620E"/>
    <w:rsid w:val="464054C5"/>
    <w:rsid w:val="4642743A"/>
    <w:rsid w:val="46435E26"/>
    <w:rsid w:val="46436721"/>
    <w:rsid w:val="46457C6E"/>
    <w:rsid w:val="464B297D"/>
    <w:rsid w:val="464C4BB1"/>
    <w:rsid w:val="464E3C5D"/>
    <w:rsid w:val="464F0A25"/>
    <w:rsid w:val="464F7D86"/>
    <w:rsid w:val="46524D2F"/>
    <w:rsid w:val="46540CA4"/>
    <w:rsid w:val="465519FF"/>
    <w:rsid w:val="4659000B"/>
    <w:rsid w:val="465962A4"/>
    <w:rsid w:val="46597135"/>
    <w:rsid w:val="465B6B84"/>
    <w:rsid w:val="465B76EC"/>
    <w:rsid w:val="46697C23"/>
    <w:rsid w:val="466B1E95"/>
    <w:rsid w:val="466D3137"/>
    <w:rsid w:val="466D4E77"/>
    <w:rsid w:val="46713857"/>
    <w:rsid w:val="4674136E"/>
    <w:rsid w:val="467657F9"/>
    <w:rsid w:val="46782F47"/>
    <w:rsid w:val="467830C8"/>
    <w:rsid w:val="467D48EA"/>
    <w:rsid w:val="467E5625"/>
    <w:rsid w:val="46817374"/>
    <w:rsid w:val="46843C64"/>
    <w:rsid w:val="468477E7"/>
    <w:rsid w:val="4685178A"/>
    <w:rsid w:val="468764EB"/>
    <w:rsid w:val="468937D3"/>
    <w:rsid w:val="468B027F"/>
    <w:rsid w:val="468C239F"/>
    <w:rsid w:val="468C2DA9"/>
    <w:rsid w:val="468E73C7"/>
    <w:rsid w:val="46912243"/>
    <w:rsid w:val="46920AC3"/>
    <w:rsid w:val="469726FC"/>
    <w:rsid w:val="469A348A"/>
    <w:rsid w:val="46A73126"/>
    <w:rsid w:val="46A775F4"/>
    <w:rsid w:val="46A830DA"/>
    <w:rsid w:val="46AB24CF"/>
    <w:rsid w:val="46B10CA5"/>
    <w:rsid w:val="46B123E4"/>
    <w:rsid w:val="46B26C18"/>
    <w:rsid w:val="46B27EBA"/>
    <w:rsid w:val="46B803E8"/>
    <w:rsid w:val="46BE7044"/>
    <w:rsid w:val="46BF24C7"/>
    <w:rsid w:val="46C44060"/>
    <w:rsid w:val="46C60825"/>
    <w:rsid w:val="46C729DB"/>
    <w:rsid w:val="46CF2BAA"/>
    <w:rsid w:val="46D14CC5"/>
    <w:rsid w:val="46E60196"/>
    <w:rsid w:val="46E93F6A"/>
    <w:rsid w:val="46EB6831"/>
    <w:rsid w:val="46F004D2"/>
    <w:rsid w:val="46F2081B"/>
    <w:rsid w:val="46F5246C"/>
    <w:rsid w:val="46F64CE1"/>
    <w:rsid w:val="46F77125"/>
    <w:rsid w:val="46F915C4"/>
    <w:rsid w:val="46FA674B"/>
    <w:rsid w:val="46FC37FA"/>
    <w:rsid w:val="47002194"/>
    <w:rsid w:val="47022917"/>
    <w:rsid w:val="470348B8"/>
    <w:rsid w:val="47052291"/>
    <w:rsid w:val="47052CCA"/>
    <w:rsid w:val="4709259A"/>
    <w:rsid w:val="470A34EE"/>
    <w:rsid w:val="470D01AB"/>
    <w:rsid w:val="470D12E5"/>
    <w:rsid w:val="471864C9"/>
    <w:rsid w:val="471B7D7A"/>
    <w:rsid w:val="471D173B"/>
    <w:rsid w:val="47226571"/>
    <w:rsid w:val="47247E84"/>
    <w:rsid w:val="472557A0"/>
    <w:rsid w:val="4726315C"/>
    <w:rsid w:val="4729778E"/>
    <w:rsid w:val="472A6EBC"/>
    <w:rsid w:val="472E44DC"/>
    <w:rsid w:val="472E6606"/>
    <w:rsid w:val="473208AC"/>
    <w:rsid w:val="47330096"/>
    <w:rsid w:val="47336D1E"/>
    <w:rsid w:val="4734113C"/>
    <w:rsid w:val="473810DF"/>
    <w:rsid w:val="473B3BD5"/>
    <w:rsid w:val="47407038"/>
    <w:rsid w:val="47431D9C"/>
    <w:rsid w:val="47432296"/>
    <w:rsid w:val="474442F6"/>
    <w:rsid w:val="4746589D"/>
    <w:rsid w:val="474C1C1D"/>
    <w:rsid w:val="474D3F3C"/>
    <w:rsid w:val="474E0704"/>
    <w:rsid w:val="47543DAB"/>
    <w:rsid w:val="47575552"/>
    <w:rsid w:val="47585AC3"/>
    <w:rsid w:val="47596A19"/>
    <w:rsid w:val="475A520D"/>
    <w:rsid w:val="475E5072"/>
    <w:rsid w:val="476475F1"/>
    <w:rsid w:val="47647E66"/>
    <w:rsid w:val="476516AD"/>
    <w:rsid w:val="47672D63"/>
    <w:rsid w:val="476C5532"/>
    <w:rsid w:val="476D5031"/>
    <w:rsid w:val="476E35EF"/>
    <w:rsid w:val="47702E9F"/>
    <w:rsid w:val="4771071A"/>
    <w:rsid w:val="47721B70"/>
    <w:rsid w:val="47755B96"/>
    <w:rsid w:val="47781F25"/>
    <w:rsid w:val="477838BD"/>
    <w:rsid w:val="47793116"/>
    <w:rsid w:val="477B507B"/>
    <w:rsid w:val="477D19A2"/>
    <w:rsid w:val="47802397"/>
    <w:rsid w:val="478153F6"/>
    <w:rsid w:val="4787018F"/>
    <w:rsid w:val="478D6B48"/>
    <w:rsid w:val="47901C5B"/>
    <w:rsid w:val="47902B1C"/>
    <w:rsid w:val="47914C73"/>
    <w:rsid w:val="47986BD3"/>
    <w:rsid w:val="479A1981"/>
    <w:rsid w:val="479B7BE8"/>
    <w:rsid w:val="47A016FA"/>
    <w:rsid w:val="47A648CD"/>
    <w:rsid w:val="47A66166"/>
    <w:rsid w:val="47A81DFB"/>
    <w:rsid w:val="47A97C20"/>
    <w:rsid w:val="47AD5948"/>
    <w:rsid w:val="47AF04DE"/>
    <w:rsid w:val="47AF281E"/>
    <w:rsid w:val="47B20DD2"/>
    <w:rsid w:val="47B50E02"/>
    <w:rsid w:val="47B953E4"/>
    <w:rsid w:val="47BB36B5"/>
    <w:rsid w:val="47BE2D12"/>
    <w:rsid w:val="47C3661E"/>
    <w:rsid w:val="47C4505B"/>
    <w:rsid w:val="47C47DB0"/>
    <w:rsid w:val="47C52B6B"/>
    <w:rsid w:val="47CA5B82"/>
    <w:rsid w:val="47CD163B"/>
    <w:rsid w:val="47CF3D0B"/>
    <w:rsid w:val="47D12960"/>
    <w:rsid w:val="47D13C4B"/>
    <w:rsid w:val="47D161AD"/>
    <w:rsid w:val="47D16D58"/>
    <w:rsid w:val="47D61EED"/>
    <w:rsid w:val="47D762AF"/>
    <w:rsid w:val="47DB1C3E"/>
    <w:rsid w:val="47DC7F95"/>
    <w:rsid w:val="47DD4876"/>
    <w:rsid w:val="47E15A4D"/>
    <w:rsid w:val="47E3271B"/>
    <w:rsid w:val="47E41861"/>
    <w:rsid w:val="47E95B17"/>
    <w:rsid w:val="47ED5839"/>
    <w:rsid w:val="47ED6A7E"/>
    <w:rsid w:val="47EE267A"/>
    <w:rsid w:val="47F36FD4"/>
    <w:rsid w:val="47F4736B"/>
    <w:rsid w:val="47F64E4A"/>
    <w:rsid w:val="47F6777D"/>
    <w:rsid w:val="47F7594F"/>
    <w:rsid w:val="47FB2A76"/>
    <w:rsid w:val="47FE0516"/>
    <w:rsid w:val="48014699"/>
    <w:rsid w:val="48027536"/>
    <w:rsid w:val="48062B15"/>
    <w:rsid w:val="480735D2"/>
    <w:rsid w:val="48074C8A"/>
    <w:rsid w:val="480A710D"/>
    <w:rsid w:val="480F6290"/>
    <w:rsid w:val="481443D4"/>
    <w:rsid w:val="48153C92"/>
    <w:rsid w:val="481941E2"/>
    <w:rsid w:val="481D2E7C"/>
    <w:rsid w:val="481E4D86"/>
    <w:rsid w:val="48211454"/>
    <w:rsid w:val="48226093"/>
    <w:rsid w:val="4824360A"/>
    <w:rsid w:val="482C2CAA"/>
    <w:rsid w:val="482D407D"/>
    <w:rsid w:val="483111B8"/>
    <w:rsid w:val="48331254"/>
    <w:rsid w:val="48335FF8"/>
    <w:rsid w:val="48347986"/>
    <w:rsid w:val="48353EFD"/>
    <w:rsid w:val="48377212"/>
    <w:rsid w:val="483A6E6B"/>
    <w:rsid w:val="483A7A3C"/>
    <w:rsid w:val="48410BBC"/>
    <w:rsid w:val="484302FB"/>
    <w:rsid w:val="48451FBA"/>
    <w:rsid w:val="484627C4"/>
    <w:rsid w:val="484B2605"/>
    <w:rsid w:val="484C0768"/>
    <w:rsid w:val="484C75F2"/>
    <w:rsid w:val="4854064F"/>
    <w:rsid w:val="48551998"/>
    <w:rsid w:val="48576D3B"/>
    <w:rsid w:val="485E0551"/>
    <w:rsid w:val="48650A43"/>
    <w:rsid w:val="48677399"/>
    <w:rsid w:val="48697684"/>
    <w:rsid w:val="486C4786"/>
    <w:rsid w:val="486D3BC5"/>
    <w:rsid w:val="48764AC6"/>
    <w:rsid w:val="487E008A"/>
    <w:rsid w:val="487F48F7"/>
    <w:rsid w:val="488133B9"/>
    <w:rsid w:val="488D1DED"/>
    <w:rsid w:val="488D2C76"/>
    <w:rsid w:val="488E2B78"/>
    <w:rsid w:val="4890571E"/>
    <w:rsid w:val="4895219D"/>
    <w:rsid w:val="48952EC9"/>
    <w:rsid w:val="48961A2D"/>
    <w:rsid w:val="48980B5A"/>
    <w:rsid w:val="48985405"/>
    <w:rsid w:val="489D0A49"/>
    <w:rsid w:val="489E7A05"/>
    <w:rsid w:val="48A6583E"/>
    <w:rsid w:val="48A82CED"/>
    <w:rsid w:val="48AA54D8"/>
    <w:rsid w:val="48AC69EB"/>
    <w:rsid w:val="48AF7B10"/>
    <w:rsid w:val="48B23137"/>
    <w:rsid w:val="48BA13ED"/>
    <w:rsid w:val="48BD6512"/>
    <w:rsid w:val="48C54CC4"/>
    <w:rsid w:val="48C5751D"/>
    <w:rsid w:val="48C6620D"/>
    <w:rsid w:val="48C94CDB"/>
    <w:rsid w:val="48C96881"/>
    <w:rsid w:val="48CC613F"/>
    <w:rsid w:val="48CC6E44"/>
    <w:rsid w:val="48CD21A8"/>
    <w:rsid w:val="48CD39A4"/>
    <w:rsid w:val="48CD61FD"/>
    <w:rsid w:val="48DA1699"/>
    <w:rsid w:val="48DA4C55"/>
    <w:rsid w:val="48DF5182"/>
    <w:rsid w:val="48DF7C88"/>
    <w:rsid w:val="48E24C72"/>
    <w:rsid w:val="48E43B0D"/>
    <w:rsid w:val="48E70247"/>
    <w:rsid w:val="48E846A4"/>
    <w:rsid w:val="48EB621C"/>
    <w:rsid w:val="48F03833"/>
    <w:rsid w:val="48F614D5"/>
    <w:rsid w:val="48F7048A"/>
    <w:rsid w:val="48F90A8B"/>
    <w:rsid w:val="48FC5DE4"/>
    <w:rsid w:val="49004581"/>
    <w:rsid w:val="49007097"/>
    <w:rsid w:val="490361AB"/>
    <w:rsid w:val="490556D3"/>
    <w:rsid w:val="49076526"/>
    <w:rsid w:val="49090450"/>
    <w:rsid w:val="49092D98"/>
    <w:rsid w:val="490D2DCE"/>
    <w:rsid w:val="490F28B6"/>
    <w:rsid w:val="490F6052"/>
    <w:rsid w:val="49137497"/>
    <w:rsid w:val="491C59F4"/>
    <w:rsid w:val="491E6998"/>
    <w:rsid w:val="49233187"/>
    <w:rsid w:val="49241D2D"/>
    <w:rsid w:val="492543D3"/>
    <w:rsid w:val="49296357"/>
    <w:rsid w:val="492B4EEF"/>
    <w:rsid w:val="493007B4"/>
    <w:rsid w:val="49326C89"/>
    <w:rsid w:val="49344E51"/>
    <w:rsid w:val="493675BE"/>
    <w:rsid w:val="49384C01"/>
    <w:rsid w:val="493D65F6"/>
    <w:rsid w:val="494021AF"/>
    <w:rsid w:val="49407DED"/>
    <w:rsid w:val="49426FD0"/>
    <w:rsid w:val="49435961"/>
    <w:rsid w:val="494854D9"/>
    <w:rsid w:val="494B6C4C"/>
    <w:rsid w:val="494D658F"/>
    <w:rsid w:val="49540C44"/>
    <w:rsid w:val="49560C34"/>
    <w:rsid w:val="4957717C"/>
    <w:rsid w:val="49583D75"/>
    <w:rsid w:val="495F2766"/>
    <w:rsid w:val="49600D27"/>
    <w:rsid w:val="4962126A"/>
    <w:rsid w:val="49652F7B"/>
    <w:rsid w:val="49672298"/>
    <w:rsid w:val="4969138F"/>
    <w:rsid w:val="49695A57"/>
    <w:rsid w:val="49697B56"/>
    <w:rsid w:val="496D01DF"/>
    <w:rsid w:val="496F5ED0"/>
    <w:rsid w:val="497057D2"/>
    <w:rsid w:val="49715D75"/>
    <w:rsid w:val="497258CD"/>
    <w:rsid w:val="49736B9C"/>
    <w:rsid w:val="497434BB"/>
    <w:rsid w:val="49796F62"/>
    <w:rsid w:val="49803C92"/>
    <w:rsid w:val="49825093"/>
    <w:rsid w:val="49832632"/>
    <w:rsid w:val="498A43F2"/>
    <w:rsid w:val="498B5EC7"/>
    <w:rsid w:val="498F2A5D"/>
    <w:rsid w:val="49902920"/>
    <w:rsid w:val="49922114"/>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62EE3"/>
    <w:rsid w:val="49DA2882"/>
    <w:rsid w:val="49DA664E"/>
    <w:rsid w:val="49DC6B43"/>
    <w:rsid w:val="49DC70D8"/>
    <w:rsid w:val="49DF568B"/>
    <w:rsid w:val="49E078DD"/>
    <w:rsid w:val="49E32113"/>
    <w:rsid w:val="49E331A5"/>
    <w:rsid w:val="49E34C38"/>
    <w:rsid w:val="49E713E7"/>
    <w:rsid w:val="49E7758A"/>
    <w:rsid w:val="49E905A3"/>
    <w:rsid w:val="49EA14C7"/>
    <w:rsid w:val="49F2321F"/>
    <w:rsid w:val="49F3532E"/>
    <w:rsid w:val="49F84F2F"/>
    <w:rsid w:val="49F94FFC"/>
    <w:rsid w:val="49FA471C"/>
    <w:rsid w:val="49FB5863"/>
    <w:rsid w:val="4A010A43"/>
    <w:rsid w:val="4A0215D7"/>
    <w:rsid w:val="4A031B00"/>
    <w:rsid w:val="4A0335F4"/>
    <w:rsid w:val="4A0477AC"/>
    <w:rsid w:val="4A062BE2"/>
    <w:rsid w:val="4A067681"/>
    <w:rsid w:val="4A0A5A5E"/>
    <w:rsid w:val="4A0B32D9"/>
    <w:rsid w:val="4A0B4278"/>
    <w:rsid w:val="4A0B59F3"/>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8592F"/>
    <w:rsid w:val="4A3B71AB"/>
    <w:rsid w:val="4A4167A5"/>
    <w:rsid w:val="4A423A7A"/>
    <w:rsid w:val="4A4A439F"/>
    <w:rsid w:val="4A4B3391"/>
    <w:rsid w:val="4A514588"/>
    <w:rsid w:val="4A564886"/>
    <w:rsid w:val="4A58325F"/>
    <w:rsid w:val="4A5A5897"/>
    <w:rsid w:val="4A5C0F0C"/>
    <w:rsid w:val="4A5C7C00"/>
    <w:rsid w:val="4A5D0EE4"/>
    <w:rsid w:val="4A5E2910"/>
    <w:rsid w:val="4A5E7D2E"/>
    <w:rsid w:val="4A614C2D"/>
    <w:rsid w:val="4A6315A8"/>
    <w:rsid w:val="4A6537B7"/>
    <w:rsid w:val="4A6C0D91"/>
    <w:rsid w:val="4A7411B1"/>
    <w:rsid w:val="4A775E1C"/>
    <w:rsid w:val="4A7A0A45"/>
    <w:rsid w:val="4A7A75FA"/>
    <w:rsid w:val="4A7E3207"/>
    <w:rsid w:val="4A820975"/>
    <w:rsid w:val="4A826B80"/>
    <w:rsid w:val="4A830182"/>
    <w:rsid w:val="4A837295"/>
    <w:rsid w:val="4A8738AC"/>
    <w:rsid w:val="4A8A3823"/>
    <w:rsid w:val="4A8C7560"/>
    <w:rsid w:val="4A8E7A40"/>
    <w:rsid w:val="4A8F73DC"/>
    <w:rsid w:val="4A9266A3"/>
    <w:rsid w:val="4A92698B"/>
    <w:rsid w:val="4A936DFB"/>
    <w:rsid w:val="4A9435B7"/>
    <w:rsid w:val="4A9526F8"/>
    <w:rsid w:val="4A9904F0"/>
    <w:rsid w:val="4A9D3722"/>
    <w:rsid w:val="4AA07380"/>
    <w:rsid w:val="4AA33D89"/>
    <w:rsid w:val="4AA430DE"/>
    <w:rsid w:val="4AA47BF1"/>
    <w:rsid w:val="4AA51DFF"/>
    <w:rsid w:val="4AA72AA3"/>
    <w:rsid w:val="4AA922F6"/>
    <w:rsid w:val="4AAE3EA5"/>
    <w:rsid w:val="4AB057EF"/>
    <w:rsid w:val="4AB145DA"/>
    <w:rsid w:val="4AB2395D"/>
    <w:rsid w:val="4AB56068"/>
    <w:rsid w:val="4AB62699"/>
    <w:rsid w:val="4AB719E1"/>
    <w:rsid w:val="4AB76BD1"/>
    <w:rsid w:val="4AB76CCF"/>
    <w:rsid w:val="4AB91B6B"/>
    <w:rsid w:val="4ABA5191"/>
    <w:rsid w:val="4ABC04D1"/>
    <w:rsid w:val="4ABD2EA4"/>
    <w:rsid w:val="4ABE6803"/>
    <w:rsid w:val="4AC06F02"/>
    <w:rsid w:val="4AC31A8F"/>
    <w:rsid w:val="4AC36343"/>
    <w:rsid w:val="4ACA31A4"/>
    <w:rsid w:val="4ACD5F26"/>
    <w:rsid w:val="4ACF334E"/>
    <w:rsid w:val="4AD15556"/>
    <w:rsid w:val="4AD50FC4"/>
    <w:rsid w:val="4AD52CE0"/>
    <w:rsid w:val="4AD933DC"/>
    <w:rsid w:val="4ADA4930"/>
    <w:rsid w:val="4ADE3C92"/>
    <w:rsid w:val="4AE04D5B"/>
    <w:rsid w:val="4AE24547"/>
    <w:rsid w:val="4AE37323"/>
    <w:rsid w:val="4AE55B00"/>
    <w:rsid w:val="4AE56070"/>
    <w:rsid w:val="4AE61793"/>
    <w:rsid w:val="4AE713A1"/>
    <w:rsid w:val="4AEB2AB7"/>
    <w:rsid w:val="4AEE0418"/>
    <w:rsid w:val="4AEE13AC"/>
    <w:rsid w:val="4AEE41D9"/>
    <w:rsid w:val="4AF110D8"/>
    <w:rsid w:val="4AF2479D"/>
    <w:rsid w:val="4AF70CA5"/>
    <w:rsid w:val="4AFB07E1"/>
    <w:rsid w:val="4AFE111E"/>
    <w:rsid w:val="4B010D84"/>
    <w:rsid w:val="4B010DA7"/>
    <w:rsid w:val="4B01388A"/>
    <w:rsid w:val="4B017362"/>
    <w:rsid w:val="4B0212D7"/>
    <w:rsid w:val="4B060270"/>
    <w:rsid w:val="4B0B42D2"/>
    <w:rsid w:val="4B0C6638"/>
    <w:rsid w:val="4B14260F"/>
    <w:rsid w:val="4B151303"/>
    <w:rsid w:val="4B173919"/>
    <w:rsid w:val="4B177537"/>
    <w:rsid w:val="4B1A2C82"/>
    <w:rsid w:val="4B1C3609"/>
    <w:rsid w:val="4B1E5EDC"/>
    <w:rsid w:val="4B1F1859"/>
    <w:rsid w:val="4B20268C"/>
    <w:rsid w:val="4B2225FB"/>
    <w:rsid w:val="4B253239"/>
    <w:rsid w:val="4B262398"/>
    <w:rsid w:val="4B265BDB"/>
    <w:rsid w:val="4B2B0E3F"/>
    <w:rsid w:val="4B2D5ACB"/>
    <w:rsid w:val="4B2F73BD"/>
    <w:rsid w:val="4B336BFD"/>
    <w:rsid w:val="4B376622"/>
    <w:rsid w:val="4B383A07"/>
    <w:rsid w:val="4B3840A4"/>
    <w:rsid w:val="4B3A5AB0"/>
    <w:rsid w:val="4B421260"/>
    <w:rsid w:val="4B4400D3"/>
    <w:rsid w:val="4B477ADF"/>
    <w:rsid w:val="4B4B00AC"/>
    <w:rsid w:val="4B4B19C3"/>
    <w:rsid w:val="4B51097A"/>
    <w:rsid w:val="4B52797A"/>
    <w:rsid w:val="4B5727F9"/>
    <w:rsid w:val="4B5A6F8C"/>
    <w:rsid w:val="4B5B6742"/>
    <w:rsid w:val="4B5C0CE9"/>
    <w:rsid w:val="4B5E62E4"/>
    <w:rsid w:val="4B5F20D3"/>
    <w:rsid w:val="4B624AA9"/>
    <w:rsid w:val="4B6452BE"/>
    <w:rsid w:val="4B667DDC"/>
    <w:rsid w:val="4B6B6D43"/>
    <w:rsid w:val="4B6E5744"/>
    <w:rsid w:val="4B6F44F5"/>
    <w:rsid w:val="4B724622"/>
    <w:rsid w:val="4B73143D"/>
    <w:rsid w:val="4B762487"/>
    <w:rsid w:val="4B776E31"/>
    <w:rsid w:val="4B7E3A71"/>
    <w:rsid w:val="4B856EEB"/>
    <w:rsid w:val="4B862373"/>
    <w:rsid w:val="4B894D95"/>
    <w:rsid w:val="4B8A0F10"/>
    <w:rsid w:val="4B8D6EB3"/>
    <w:rsid w:val="4B8E0773"/>
    <w:rsid w:val="4B9376CD"/>
    <w:rsid w:val="4B9444ED"/>
    <w:rsid w:val="4B963B31"/>
    <w:rsid w:val="4B9761E7"/>
    <w:rsid w:val="4B980DD0"/>
    <w:rsid w:val="4B99245B"/>
    <w:rsid w:val="4B9A0771"/>
    <w:rsid w:val="4B9F405C"/>
    <w:rsid w:val="4BA17535"/>
    <w:rsid w:val="4BA61464"/>
    <w:rsid w:val="4BAB6053"/>
    <w:rsid w:val="4BB050A5"/>
    <w:rsid w:val="4BB07825"/>
    <w:rsid w:val="4BB2372B"/>
    <w:rsid w:val="4BB752CB"/>
    <w:rsid w:val="4BB95EC5"/>
    <w:rsid w:val="4BC0223A"/>
    <w:rsid w:val="4BC030EF"/>
    <w:rsid w:val="4BC13445"/>
    <w:rsid w:val="4BC226BA"/>
    <w:rsid w:val="4BC511DE"/>
    <w:rsid w:val="4BC90E1B"/>
    <w:rsid w:val="4BC934F3"/>
    <w:rsid w:val="4BCA308E"/>
    <w:rsid w:val="4BD16C25"/>
    <w:rsid w:val="4BD20C2A"/>
    <w:rsid w:val="4BD240FA"/>
    <w:rsid w:val="4BD26B6A"/>
    <w:rsid w:val="4BD303F5"/>
    <w:rsid w:val="4BDC009E"/>
    <w:rsid w:val="4BDE053D"/>
    <w:rsid w:val="4BE134B1"/>
    <w:rsid w:val="4BE60D6F"/>
    <w:rsid w:val="4BE67298"/>
    <w:rsid w:val="4BE7123E"/>
    <w:rsid w:val="4BE73EB8"/>
    <w:rsid w:val="4BEA5A65"/>
    <w:rsid w:val="4BEA767A"/>
    <w:rsid w:val="4BEE1593"/>
    <w:rsid w:val="4BF04C73"/>
    <w:rsid w:val="4BF1372A"/>
    <w:rsid w:val="4BF151CF"/>
    <w:rsid w:val="4BF16C8D"/>
    <w:rsid w:val="4BF2471B"/>
    <w:rsid w:val="4BF60330"/>
    <w:rsid w:val="4BF60DCE"/>
    <w:rsid w:val="4BF65F21"/>
    <w:rsid w:val="4BF97FB1"/>
    <w:rsid w:val="4BFB75EE"/>
    <w:rsid w:val="4C00006D"/>
    <w:rsid w:val="4C000B6C"/>
    <w:rsid w:val="4C015CE5"/>
    <w:rsid w:val="4C0A7B0C"/>
    <w:rsid w:val="4C0B2CBC"/>
    <w:rsid w:val="4C0C6B0E"/>
    <w:rsid w:val="4C16155A"/>
    <w:rsid w:val="4C1621F8"/>
    <w:rsid w:val="4C172D7F"/>
    <w:rsid w:val="4C1A1591"/>
    <w:rsid w:val="4C1C493F"/>
    <w:rsid w:val="4C2532AB"/>
    <w:rsid w:val="4C255EF5"/>
    <w:rsid w:val="4C291688"/>
    <w:rsid w:val="4C2A156F"/>
    <w:rsid w:val="4C2D72FE"/>
    <w:rsid w:val="4C2E459D"/>
    <w:rsid w:val="4C2F0032"/>
    <w:rsid w:val="4C381771"/>
    <w:rsid w:val="4C3B1E0A"/>
    <w:rsid w:val="4C3B5880"/>
    <w:rsid w:val="4C3C6A4A"/>
    <w:rsid w:val="4C427382"/>
    <w:rsid w:val="4C4348C5"/>
    <w:rsid w:val="4C4A4FB6"/>
    <w:rsid w:val="4C52335A"/>
    <w:rsid w:val="4C577725"/>
    <w:rsid w:val="4C5858A6"/>
    <w:rsid w:val="4C5A2841"/>
    <w:rsid w:val="4C681932"/>
    <w:rsid w:val="4C687B84"/>
    <w:rsid w:val="4C6C7A3E"/>
    <w:rsid w:val="4C6D3754"/>
    <w:rsid w:val="4C6E709B"/>
    <w:rsid w:val="4C6F2CC0"/>
    <w:rsid w:val="4C6F496A"/>
    <w:rsid w:val="4C6F65E4"/>
    <w:rsid w:val="4C737586"/>
    <w:rsid w:val="4C7B0BBA"/>
    <w:rsid w:val="4C894A05"/>
    <w:rsid w:val="4C8B77E6"/>
    <w:rsid w:val="4C8C4227"/>
    <w:rsid w:val="4C8E331F"/>
    <w:rsid w:val="4C910569"/>
    <w:rsid w:val="4C910DFD"/>
    <w:rsid w:val="4C926B4C"/>
    <w:rsid w:val="4C9427CE"/>
    <w:rsid w:val="4C956F98"/>
    <w:rsid w:val="4C965495"/>
    <w:rsid w:val="4C986D45"/>
    <w:rsid w:val="4C9A637A"/>
    <w:rsid w:val="4C9D4D80"/>
    <w:rsid w:val="4C9E1F1E"/>
    <w:rsid w:val="4CA82907"/>
    <w:rsid w:val="4CA83735"/>
    <w:rsid w:val="4CAB4883"/>
    <w:rsid w:val="4CAB7731"/>
    <w:rsid w:val="4CB21FA7"/>
    <w:rsid w:val="4CB3256C"/>
    <w:rsid w:val="4CB40331"/>
    <w:rsid w:val="4CB746BF"/>
    <w:rsid w:val="4CB81A40"/>
    <w:rsid w:val="4CB85169"/>
    <w:rsid w:val="4CBC4E53"/>
    <w:rsid w:val="4CC000E4"/>
    <w:rsid w:val="4CC07B16"/>
    <w:rsid w:val="4CC164D4"/>
    <w:rsid w:val="4CC80C36"/>
    <w:rsid w:val="4CCA4766"/>
    <w:rsid w:val="4CCC7A70"/>
    <w:rsid w:val="4CCE31DB"/>
    <w:rsid w:val="4CD14249"/>
    <w:rsid w:val="4CD32969"/>
    <w:rsid w:val="4CD35852"/>
    <w:rsid w:val="4CD4750B"/>
    <w:rsid w:val="4CD83D84"/>
    <w:rsid w:val="4CDC509B"/>
    <w:rsid w:val="4CDE39A2"/>
    <w:rsid w:val="4CDF7762"/>
    <w:rsid w:val="4CE73126"/>
    <w:rsid w:val="4CEC25AC"/>
    <w:rsid w:val="4CEC60D8"/>
    <w:rsid w:val="4CEE0BA4"/>
    <w:rsid w:val="4CEF2F11"/>
    <w:rsid w:val="4CF10612"/>
    <w:rsid w:val="4CF17CA6"/>
    <w:rsid w:val="4CF4222C"/>
    <w:rsid w:val="4CF55F37"/>
    <w:rsid w:val="4CF65190"/>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64C16"/>
    <w:rsid w:val="4D1C0985"/>
    <w:rsid w:val="4D213356"/>
    <w:rsid w:val="4D236208"/>
    <w:rsid w:val="4D2770F7"/>
    <w:rsid w:val="4D2F197D"/>
    <w:rsid w:val="4D345882"/>
    <w:rsid w:val="4D3A0331"/>
    <w:rsid w:val="4D3C4C3E"/>
    <w:rsid w:val="4D3E7FE3"/>
    <w:rsid w:val="4D3F4C44"/>
    <w:rsid w:val="4D402C3B"/>
    <w:rsid w:val="4D4170E0"/>
    <w:rsid w:val="4D423D94"/>
    <w:rsid w:val="4D423F8D"/>
    <w:rsid w:val="4D4602DE"/>
    <w:rsid w:val="4D467EC5"/>
    <w:rsid w:val="4D4A3BF2"/>
    <w:rsid w:val="4D4D3AC4"/>
    <w:rsid w:val="4D50781C"/>
    <w:rsid w:val="4D5105F0"/>
    <w:rsid w:val="4D5224A2"/>
    <w:rsid w:val="4D54739D"/>
    <w:rsid w:val="4D574836"/>
    <w:rsid w:val="4D59305D"/>
    <w:rsid w:val="4D5C4AF2"/>
    <w:rsid w:val="4D5C6457"/>
    <w:rsid w:val="4D5D520F"/>
    <w:rsid w:val="4D5E0FB1"/>
    <w:rsid w:val="4D5E6F67"/>
    <w:rsid w:val="4D625031"/>
    <w:rsid w:val="4D6361C4"/>
    <w:rsid w:val="4D6457F8"/>
    <w:rsid w:val="4D6461E5"/>
    <w:rsid w:val="4D710C2A"/>
    <w:rsid w:val="4D72559D"/>
    <w:rsid w:val="4D742BDE"/>
    <w:rsid w:val="4D770DF5"/>
    <w:rsid w:val="4D780DED"/>
    <w:rsid w:val="4D783DF7"/>
    <w:rsid w:val="4D824D55"/>
    <w:rsid w:val="4D835FD1"/>
    <w:rsid w:val="4D856E14"/>
    <w:rsid w:val="4D864324"/>
    <w:rsid w:val="4D8717F2"/>
    <w:rsid w:val="4D896004"/>
    <w:rsid w:val="4D897BAD"/>
    <w:rsid w:val="4D8C2360"/>
    <w:rsid w:val="4D8C522A"/>
    <w:rsid w:val="4D8D7058"/>
    <w:rsid w:val="4D8F64FE"/>
    <w:rsid w:val="4D935985"/>
    <w:rsid w:val="4D957F1B"/>
    <w:rsid w:val="4D961F92"/>
    <w:rsid w:val="4D963E19"/>
    <w:rsid w:val="4D990EEA"/>
    <w:rsid w:val="4D9A0E92"/>
    <w:rsid w:val="4D9B3D1A"/>
    <w:rsid w:val="4D9F68DC"/>
    <w:rsid w:val="4DA307D9"/>
    <w:rsid w:val="4DA40AC8"/>
    <w:rsid w:val="4DA63329"/>
    <w:rsid w:val="4DA64DE9"/>
    <w:rsid w:val="4DA6779F"/>
    <w:rsid w:val="4DAA7A30"/>
    <w:rsid w:val="4DAA7D6B"/>
    <w:rsid w:val="4DAC7B7F"/>
    <w:rsid w:val="4DAD1503"/>
    <w:rsid w:val="4DAF5E9D"/>
    <w:rsid w:val="4DB11B7A"/>
    <w:rsid w:val="4DB710BB"/>
    <w:rsid w:val="4DB81286"/>
    <w:rsid w:val="4DBB2845"/>
    <w:rsid w:val="4DBE4C5F"/>
    <w:rsid w:val="4DBE6A0F"/>
    <w:rsid w:val="4DBE7BD3"/>
    <w:rsid w:val="4DBE7FE3"/>
    <w:rsid w:val="4DC10516"/>
    <w:rsid w:val="4DC21824"/>
    <w:rsid w:val="4DC226E8"/>
    <w:rsid w:val="4DC50522"/>
    <w:rsid w:val="4DC64075"/>
    <w:rsid w:val="4DC92195"/>
    <w:rsid w:val="4DCB03CA"/>
    <w:rsid w:val="4DCD6596"/>
    <w:rsid w:val="4DCF0CC7"/>
    <w:rsid w:val="4DD1703B"/>
    <w:rsid w:val="4DD5457B"/>
    <w:rsid w:val="4DD87F15"/>
    <w:rsid w:val="4DDB00CE"/>
    <w:rsid w:val="4DDB722B"/>
    <w:rsid w:val="4DDC3FBA"/>
    <w:rsid w:val="4DDD08D5"/>
    <w:rsid w:val="4DDF18EE"/>
    <w:rsid w:val="4DE06B5B"/>
    <w:rsid w:val="4DE558EE"/>
    <w:rsid w:val="4DE60D60"/>
    <w:rsid w:val="4DF01B93"/>
    <w:rsid w:val="4DF3560C"/>
    <w:rsid w:val="4DF5660E"/>
    <w:rsid w:val="4DFA18D9"/>
    <w:rsid w:val="4DFA2CD8"/>
    <w:rsid w:val="4E024E30"/>
    <w:rsid w:val="4E046CBF"/>
    <w:rsid w:val="4E0C4687"/>
    <w:rsid w:val="4E0D6A99"/>
    <w:rsid w:val="4E0F2691"/>
    <w:rsid w:val="4E0F73EB"/>
    <w:rsid w:val="4E146074"/>
    <w:rsid w:val="4E180330"/>
    <w:rsid w:val="4E184F3A"/>
    <w:rsid w:val="4E197E03"/>
    <w:rsid w:val="4E1D18F4"/>
    <w:rsid w:val="4E2103EC"/>
    <w:rsid w:val="4E2147E1"/>
    <w:rsid w:val="4E2C180C"/>
    <w:rsid w:val="4E317C56"/>
    <w:rsid w:val="4E321ADB"/>
    <w:rsid w:val="4E353250"/>
    <w:rsid w:val="4E3934F1"/>
    <w:rsid w:val="4E3B2F5F"/>
    <w:rsid w:val="4E3E1774"/>
    <w:rsid w:val="4E4405F7"/>
    <w:rsid w:val="4E462BDB"/>
    <w:rsid w:val="4E4706FF"/>
    <w:rsid w:val="4E472DE4"/>
    <w:rsid w:val="4E490E91"/>
    <w:rsid w:val="4E4C6106"/>
    <w:rsid w:val="4E5056C3"/>
    <w:rsid w:val="4E541DBF"/>
    <w:rsid w:val="4E583DAE"/>
    <w:rsid w:val="4E584769"/>
    <w:rsid w:val="4E5B2518"/>
    <w:rsid w:val="4E5B2789"/>
    <w:rsid w:val="4E5B5139"/>
    <w:rsid w:val="4E5C14E8"/>
    <w:rsid w:val="4E5D0C0D"/>
    <w:rsid w:val="4E5F23DD"/>
    <w:rsid w:val="4E6030DF"/>
    <w:rsid w:val="4E604F48"/>
    <w:rsid w:val="4E670D00"/>
    <w:rsid w:val="4E683AAC"/>
    <w:rsid w:val="4E68777D"/>
    <w:rsid w:val="4E6D1A6A"/>
    <w:rsid w:val="4E6E257E"/>
    <w:rsid w:val="4E6F3733"/>
    <w:rsid w:val="4E702E0F"/>
    <w:rsid w:val="4E707558"/>
    <w:rsid w:val="4E7115F6"/>
    <w:rsid w:val="4E7343AB"/>
    <w:rsid w:val="4E736343"/>
    <w:rsid w:val="4E79774F"/>
    <w:rsid w:val="4E831F19"/>
    <w:rsid w:val="4E891A50"/>
    <w:rsid w:val="4E8B7F4C"/>
    <w:rsid w:val="4E903BBE"/>
    <w:rsid w:val="4E931FAF"/>
    <w:rsid w:val="4E963C99"/>
    <w:rsid w:val="4E9B303E"/>
    <w:rsid w:val="4EA04C05"/>
    <w:rsid w:val="4EA45F3C"/>
    <w:rsid w:val="4EA63C77"/>
    <w:rsid w:val="4EA73F0F"/>
    <w:rsid w:val="4EA831BC"/>
    <w:rsid w:val="4EA84268"/>
    <w:rsid w:val="4EA85BFE"/>
    <w:rsid w:val="4EA97909"/>
    <w:rsid w:val="4EAA7FE0"/>
    <w:rsid w:val="4EAF703B"/>
    <w:rsid w:val="4EB106F4"/>
    <w:rsid w:val="4EB319ED"/>
    <w:rsid w:val="4EB36A88"/>
    <w:rsid w:val="4EB8094F"/>
    <w:rsid w:val="4EB9116F"/>
    <w:rsid w:val="4EBA0C2B"/>
    <w:rsid w:val="4EBB653A"/>
    <w:rsid w:val="4EBD3989"/>
    <w:rsid w:val="4EC70B92"/>
    <w:rsid w:val="4EC84A57"/>
    <w:rsid w:val="4ED351D4"/>
    <w:rsid w:val="4ED572E1"/>
    <w:rsid w:val="4EE118A7"/>
    <w:rsid w:val="4EE23498"/>
    <w:rsid w:val="4EE23C1E"/>
    <w:rsid w:val="4EE34D0E"/>
    <w:rsid w:val="4EE43B82"/>
    <w:rsid w:val="4EE65E96"/>
    <w:rsid w:val="4EE81D24"/>
    <w:rsid w:val="4EE90788"/>
    <w:rsid w:val="4EEA5B50"/>
    <w:rsid w:val="4EEB26DC"/>
    <w:rsid w:val="4EEF1BEC"/>
    <w:rsid w:val="4EF03CEE"/>
    <w:rsid w:val="4EF7109C"/>
    <w:rsid w:val="4EF87191"/>
    <w:rsid w:val="4EFC114C"/>
    <w:rsid w:val="4EFD19E2"/>
    <w:rsid w:val="4EFF592D"/>
    <w:rsid w:val="4F030297"/>
    <w:rsid w:val="4F0364BE"/>
    <w:rsid w:val="4F0819F7"/>
    <w:rsid w:val="4F086736"/>
    <w:rsid w:val="4F0B725E"/>
    <w:rsid w:val="4F0C4DBB"/>
    <w:rsid w:val="4F16653C"/>
    <w:rsid w:val="4F1D6013"/>
    <w:rsid w:val="4F217222"/>
    <w:rsid w:val="4F227E78"/>
    <w:rsid w:val="4F245D6F"/>
    <w:rsid w:val="4F280209"/>
    <w:rsid w:val="4F292066"/>
    <w:rsid w:val="4F2A722C"/>
    <w:rsid w:val="4F2C20D9"/>
    <w:rsid w:val="4F2C30EB"/>
    <w:rsid w:val="4F31021C"/>
    <w:rsid w:val="4F312505"/>
    <w:rsid w:val="4F325F35"/>
    <w:rsid w:val="4F3517EA"/>
    <w:rsid w:val="4F352FCE"/>
    <w:rsid w:val="4F354A1E"/>
    <w:rsid w:val="4F381A8F"/>
    <w:rsid w:val="4F3A5808"/>
    <w:rsid w:val="4F4114C2"/>
    <w:rsid w:val="4F416356"/>
    <w:rsid w:val="4F4178B9"/>
    <w:rsid w:val="4F4325DB"/>
    <w:rsid w:val="4F454E8F"/>
    <w:rsid w:val="4F4904CF"/>
    <w:rsid w:val="4F4E7B24"/>
    <w:rsid w:val="4F501DF8"/>
    <w:rsid w:val="4F5910DA"/>
    <w:rsid w:val="4F593462"/>
    <w:rsid w:val="4F6007F8"/>
    <w:rsid w:val="4F60540E"/>
    <w:rsid w:val="4F677115"/>
    <w:rsid w:val="4F6958BC"/>
    <w:rsid w:val="4F6E725F"/>
    <w:rsid w:val="4F702FD7"/>
    <w:rsid w:val="4F714BD1"/>
    <w:rsid w:val="4F76643C"/>
    <w:rsid w:val="4F791990"/>
    <w:rsid w:val="4F7B7E6F"/>
    <w:rsid w:val="4F7D68A1"/>
    <w:rsid w:val="4F7E1023"/>
    <w:rsid w:val="4F803F38"/>
    <w:rsid w:val="4F86248E"/>
    <w:rsid w:val="4F8E2E7F"/>
    <w:rsid w:val="4F8E4CA8"/>
    <w:rsid w:val="4F8F699A"/>
    <w:rsid w:val="4F9C1546"/>
    <w:rsid w:val="4F9C16A9"/>
    <w:rsid w:val="4F9C3AC0"/>
    <w:rsid w:val="4F9D5785"/>
    <w:rsid w:val="4F9E1107"/>
    <w:rsid w:val="4FA55C43"/>
    <w:rsid w:val="4FA62C07"/>
    <w:rsid w:val="4FA639ED"/>
    <w:rsid w:val="4FAA38E1"/>
    <w:rsid w:val="4FAB0695"/>
    <w:rsid w:val="4FAF4BEF"/>
    <w:rsid w:val="4FB40067"/>
    <w:rsid w:val="4FB61599"/>
    <w:rsid w:val="4FB8672C"/>
    <w:rsid w:val="4FBD464B"/>
    <w:rsid w:val="4FBD727C"/>
    <w:rsid w:val="4FBE517F"/>
    <w:rsid w:val="4FCC2CDA"/>
    <w:rsid w:val="4FCF6F29"/>
    <w:rsid w:val="4FD55621"/>
    <w:rsid w:val="4FD64A2E"/>
    <w:rsid w:val="4FD71B2F"/>
    <w:rsid w:val="4FD74D1B"/>
    <w:rsid w:val="4FD7539F"/>
    <w:rsid w:val="4FD76206"/>
    <w:rsid w:val="4FDB79AB"/>
    <w:rsid w:val="4FDD65F6"/>
    <w:rsid w:val="4FE01EAD"/>
    <w:rsid w:val="4FE6060D"/>
    <w:rsid w:val="4FE91E91"/>
    <w:rsid w:val="4FEB1DB9"/>
    <w:rsid w:val="4FF17F69"/>
    <w:rsid w:val="4FF2708D"/>
    <w:rsid w:val="4FF70CC5"/>
    <w:rsid w:val="4FF97471"/>
    <w:rsid w:val="4FFE2B39"/>
    <w:rsid w:val="4FFE434F"/>
    <w:rsid w:val="4FFE76BD"/>
    <w:rsid w:val="4FFF78F3"/>
    <w:rsid w:val="50000F53"/>
    <w:rsid w:val="50022D12"/>
    <w:rsid w:val="50044B55"/>
    <w:rsid w:val="5009058F"/>
    <w:rsid w:val="500E2941"/>
    <w:rsid w:val="500E69AC"/>
    <w:rsid w:val="50107625"/>
    <w:rsid w:val="5018638A"/>
    <w:rsid w:val="501E0142"/>
    <w:rsid w:val="501E4D8B"/>
    <w:rsid w:val="501F554B"/>
    <w:rsid w:val="50245FA2"/>
    <w:rsid w:val="50275A4A"/>
    <w:rsid w:val="50292CA3"/>
    <w:rsid w:val="502A331B"/>
    <w:rsid w:val="502A339D"/>
    <w:rsid w:val="502B715E"/>
    <w:rsid w:val="50300293"/>
    <w:rsid w:val="503036D6"/>
    <w:rsid w:val="50356D6B"/>
    <w:rsid w:val="503A35E5"/>
    <w:rsid w:val="503B5F34"/>
    <w:rsid w:val="503C22F4"/>
    <w:rsid w:val="503F6ED3"/>
    <w:rsid w:val="50443805"/>
    <w:rsid w:val="50451F3A"/>
    <w:rsid w:val="50455DB5"/>
    <w:rsid w:val="504B29FB"/>
    <w:rsid w:val="504F3AA0"/>
    <w:rsid w:val="50503A3E"/>
    <w:rsid w:val="505446A7"/>
    <w:rsid w:val="5055503F"/>
    <w:rsid w:val="5056532E"/>
    <w:rsid w:val="5057334D"/>
    <w:rsid w:val="505A02AC"/>
    <w:rsid w:val="505C2A2A"/>
    <w:rsid w:val="505C3A3C"/>
    <w:rsid w:val="505F4DFA"/>
    <w:rsid w:val="5060061F"/>
    <w:rsid w:val="5064066A"/>
    <w:rsid w:val="50644208"/>
    <w:rsid w:val="50667BE7"/>
    <w:rsid w:val="506757C9"/>
    <w:rsid w:val="50675F04"/>
    <w:rsid w:val="50677134"/>
    <w:rsid w:val="50691FB3"/>
    <w:rsid w:val="506E0C31"/>
    <w:rsid w:val="506E1947"/>
    <w:rsid w:val="5071244D"/>
    <w:rsid w:val="50722D7F"/>
    <w:rsid w:val="50734326"/>
    <w:rsid w:val="507373A8"/>
    <w:rsid w:val="50745D5D"/>
    <w:rsid w:val="50767D49"/>
    <w:rsid w:val="507B1010"/>
    <w:rsid w:val="5080064E"/>
    <w:rsid w:val="50815D12"/>
    <w:rsid w:val="50881A2F"/>
    <w:rsid w:val="508A2397"/>
    <w:rsid w:val="508B41E7"/>
    <w:rsid w:val="508B5B37"/>
    <w:rsid w:val="508C6425"/>
    <w:rsid w:val="50922785"/>
    <w:rsid w:val="50953913"/>
    <w:rsid w:val="509D475A"/>
    <w:rsid w:val="50A078EC"/>
    <w:rsid w:val="50A234B0"/>
    <w:rsid w:val="50A25654"/>
    <w:rsid w:val="50A454F9"/>
    <w:rsid w:val="50A61BD5"/>
    <w:rsid w:val="50AB5363"/>
    <w:rsid w:val="50AD6935"/>
    <w:rsid w:val="50AE16EE"/>
    <w:rsid w:val="50AF30C6"/>
    <w:rsid w:val="50AF7B2F"/>
    <w:rsid w:val="50B25872"/>
    <w:rsid w:val="50B332A5"/>
    <w:rsid w:val="50B43385"/>
    <w:rsid w:val="50B5051F"/>
    <w:rsid w:val="50B6614D"/>
    <w:rsid w:val="50B8037D"/>
    <w:rsid w:val="50BB0523"/>
    <w:rsid w:val="50BB7C40"/>
    <w:rsid w:val="50C47798"/>
    <w:rsid w:val="50C9621D"/>
    <w:rsid w:val="50C96BB7"/>
    <w:rsid w:val="50D0185E"/>
    <w:rsid w:val="50D40C23"/>
    <w:rsid w:val="50D628BF"/>
    <w:rsid w:val="50D77086"/>
    <w:rsid w:val="50DC4483"/>
    <w:rsid w:val="50DF2586"/>
    <w:rsid w:val="50DF7594"/>
    <w:rsid w:val="50E06CB8"/>
    <w:rsid w:val="50E10F85"/>
    <w:rsid w:val="50E17396"/>
    <w:rsid w:val="50EB5BBE"/>
    <w:rsid w:val="50EC0CFA"/>
    <w:rsid w:val="50F04BF1"/>
    <w:rsid w:val="50F220F6"/>
    <w:rsid w:val="50F447F6"/>
    <w:rsid w:val="50F6715B"/>
    <w:rsid w:val="50F7455D"/>
    <w:rsid w:val="50FA3576"/>
    <w:rsid w:val="50FC6D8B"/>
    <w:rsid w:val="50FE1680"/>
    <w:rsid w:val="50FF6C41"/>
    <w:rsid w:val="51003FA1"/>
    <w:rsid w:val="5105685B"/>
    <w:rsid w:val="51061CFE"/>
    <w:rsid w:val="5107383C"/>
    <w:rsid w:val="51076B59"/>
    <w:rsid w:val="5108407D"/>
    <w:rsid w:val="510A581F"/>
    <w:rsid w:val="510B4D07"/>
    <w:rsid w:val="510C2C67"/>
    <w:rsid w:val="510D02A0"/>
    <w:rsid w:val="510D390E"/>
    <w:rsid w:val="5110210C"/>
    <w:rsid w:val="51102769"/>
    <w:rsid w:val="511173EF"/>
    <w:rsid w:val="51197EFB"/>
    <w:rsid w:val="5120011B"/>
    <w:rsid w:val="512130E5"/>
    <w:rsid w:val="51236638"/>
    <w:rsid w:val="51287979"/>
    <w:rsid w:val="512B1242"/>
    <w:rsid w:val="512B5A0A"/>
    <w:rsid w:val="512B5E85"/>
    <w:rsid w:val="513174A7"/>
    <w:rsid w:val="513C1DD1"/>
    <w:rsid w:val="513D507C"/>
    <w:rsid w:val="513F5D8A"/>
    <w:rsid w:val="514D5C03"/>
    <w:rsid w:val="514E7501"/>
    <w:rsid w:val="515150AB"/>
    <w:rsid w:val="515608C5"/>
    <w:rsid w:val="51566098"/>
    <w:rsid w:val="51587126"/>
    <w:rsid w:val="51593D96"/>
    <w:rsid w:val="51612138"/>
    <w:rsid w:val="51681B37"/>
    <w:rsid w:val="51734565"/>
    <w:rsid w:val="517631C7"/>
    <w:rsid w:val="51774DB4"/>
    <w:rsid w:val="517862DB"/>
    <w:rsid w:val="51790B97"/>
    <w:rsid w:val="5179117C"/>
    <w:rsid w:val="517F5754"/>
    <w:rsid w:val="517F7502"/>
    <w:rsid w:val="5181508E"/>
    <w:rsid w:val="5186564C"/>
    <w:rsid w:val="51876EC8"/>
    <w:rsid w:val="51877591"/>
    <w:rsid w:val="51886873"/>
    <w:rsid w:val="51895880"/>
    <w:rsid w:val="51897ADA"/>
    <w:rsid w:val="518A6350"/>
    <w:rsid w:val="518B38D3"/>
    <w:rsid w:val="518B7E86"/>
    <w:rsid w:val="518C4783"/>
    <w:rsid w:val="518E0E90"/>
    <w:rsid w:val="518F324C"/>
    <w:rsid w:val="519011EC"/>
    <w:rsid w:val="51913293"/>
    <w:rsid w:val="51932FAD"/>
    <w:rsid w:val="51944855"/>
    <w:rsid w:val="51966543"/>
    <w:rsid w:val="519759FD"/>
    <w:rsid w:val="5198152D"/>
    <w:rsid w:val="51A0772B"/>
    <w:rsid w:val="51A10EB8"/>
    <w:rsid w:val="51A935A4"/>
    <w:rsid w:val="51AC506D"/>
    <w:rsid w:val="51B037FC"/>
    <w:rsid w:val="51B03E6A"/>
    <w:rsid w:val="51B129DF"/>
    <w:rsid w:val="51B22E96"/>
    <w:rsid w:val="51B2487B"/>
    <w:rsid w:val="51B54A88"/>
    <w:rsid w:val="51BE5AF5"/>
    <w:rsid w:val="51BF17E7"/>
    <w:rsid w:val="51BF41A1"/>
    <w:rsid w:val="51C07B1A"/>
    <w:rsid w:val="51C45EE0"/>
    <w:rsid w:val="51CA69DE"/>
    <w:rsid w:val="51CF0430"/>
    <w:rsid w:val="51D1374B"/>
    <w:rsid w:val="51D40D2E"/>
    <w:rsid w:val="51D55AB8"/>
    <w:rsid w:val="51DE0DEB"/>
    <w:rsid w:val="51E24794"/>
    <w:rsid w:val="51E5197A"/>
    <w:rsid w:val="51E72118"/>
    <w:rsid w:val="51E92E1B"/>
    <w:rsid w:val="51F24EC7"/>
    <w:rsid w:val="51F4202F"/>
    <w:rsid w:val="51F81106"/>
    <w:rsid w:val="51F8315B"/>
    <w:rsid w:val="52004282"/>
    <w:rsid w:val="52005A07"/>
    <w:rsid w:val="52034E92"/>
    <w:rsid w:val="5205264B"/>
    <w:rsid w:val="52081224"/>
    <w:rsid w:val="52093D7A"/>
    <w:rsid w:val="520A2EAB"/>
    <w:rsid w:val="520D08F9"/>
    <w:rsid w:val="520D3B5B"/>
    <w:rsid w:val="520D54CF"/>
    <w:rsid w:val="520E6E0C"/>
    <w:rsid w:val="520F7406"/>
    <w:rsid w:val="52124412"/>
    <w:rsid w:val="521554F7"/>
    <w:rsid w:val="52176C91"/>
    <w:rsid w:val="521E291A"/>
    <w:rsid w:val="521F0CE5"/>
    <w:rsid w:val="52237E3D"/>
    <w:rsid w:val="52293618"/>
    <w:rsid w:val="522A1BDE"/>
    <w:rsid w:val="522D63FC"/>
    <w:rsid w:val="52305170"/>
    <w:rsid w:val="52345602"/>
    <w:rsid w:val="523548E0"/>
    <w:rsid w:val="52357315"/>
    <w:rsid w:val="523701EA"/>
    <w:rsid w:val="523742D0"/>
    <w:rsid w:val="52375DDA"/>
    <w:rsid w:val="523E600B"/>
    <w:rsid w:val="5245312D"/>
    <w:rsid w:val="52462D96"/>
    <w:rsid w:val="52474763"/>
    <w:rsid w:val="52481128"/>
    <w:rsid w:val="52491EAE"/>
    <w:rsid w:val="52493EDA"/>
    <w:rsid w:val="5249506F"/>
    <w:rsid w:val="524A395C"/>
    <w:rsid w:val="524F57CA"/>
    <w:rsid w:val="524F6012"/>
    <w:rsid w:val="52504240"/>
    <w:rsid w:val="52524E99"/>
    <w:rsid w:val="52541CA2"/>
    <w:rsid w:val="525462FC"/>
    <w:rsid w:val="52554D3C"/>
    <w:rsid w:val="525B3CFF"/>
    <w:rsid w:val="525C142B"/>
    <w:rsid w:val="525F37F0"/>
    <w:rsid w:val="52606C95"/>
    <w:rsid w:val="526101CE"/>
    <w:rsid w:val="526160CB"/>
    <w:rsid w:val="52626C5A"/>
    <w:rsid w:val="52636A49"/>
    <w:rsid w:val="52652009"/>
    <w:rsid w:val="52671AF8"/>
    <w:rsid w:val="52682FC1"/>
    <w:rsid w:val="526D37F6"/>
    <w:rsid w:val="52742367"/>
    <w:rsid w:val="527654BD"/>
    <w:rsid w:val="527A5F1B"/>
    <w:rsid w:val="527E176A"/>
    <w:rsid w:val="527F6F49"/>
    <w:rsid w:val="5285323E"/>
    <w:rsid w:val="528613D1"/>
    <w:rsid w:val="5287106C"/>
    <w:rsid w:val="528A7016"/>
    <w:rsid w:val="52906443"/>
    <w:rsid w:val="52911193"/>
    <w:rsid w:val="529278EE"/>
    <w:rsid w:val="5293270C"/>
    <w:rsid w:val="52944461"/>
    <w:rsid w:val="529856CD"/>
    <w:rsid w:val="529B653C"/>
    <w:rsid w:val="529D34AC"/>
    <w:rsid w:val="52A00B6F"/>
    <w:rsid w:val="52A04EE9"/>
    <w:rsid w:val="52A176C7"/>
    <w:rsid w:val="52A21840"/>
    <w:rsid w:val="52A33F39"/>
    <w:rsid w:val="52A462B0"/>
    <w:rsid w:val="52A66D10"/>
    <w:rsid w:val="52A9483A"/>
    <w:rsid w:val="52AA2CA4"/>
    <w:rsid w:val="52AD5545"/>
    <w:rsid w:val="52B01305"/>
    <w:rsid w:val="52B04AA5"/>
    <w:rsid w:val="52B30F99"/>
    <w:rsid w:val="52B60925"/>
    <w:rsid w:val="52B6356F"/>
    <w:rsid w:val="52B9451C"/>
    <w:rsid w:val="52BA5378"/>
    <w:rsid w:val="52BB27AC"/>
    <w:rsid w:val="52C04529"/>
    <w:rsid w:val="52C5188C"/>
    <w:rsid w:val="52C57E0A"/>
    <w:rsid w:val="52C64BA8"/>
    <w:rsid w:val="52CB356C"/>
    <w:rsid w:val="52CC5182"/>
    <w:rsid w:val="52D16462"/>
    <w:rsid w:val="52D6722B"/>
    <w:rsid w:val="52D832B5"/>
    <w:rsid w:val="52DA544A"/>
    <w:rsid w:val="52DB29B8"/>
    <w:rsid w:val="52DD04EF"/>
    <w:rsid w:val="52DD713B"/>
    <w:rsid w:val="52E033B1"/>
    <w:rsid w:val="52E27037"/>
    <w:rsid w:val="52E27D7D"/>
    <w:rsid w:val="52E53B3F"/>
    <w:rsid w:val="52E53DD7"/>
    <w:rsid w:val="52E755CA"/>
    <w:rsid w:val="52E874C6"/>
    <w:rsid w:val="52E91C09"/>
    <w:rsid w:val="52EB2ADA"/>
    <w:rsid w:val="52EB5F7E"/>
    <w:rsid w:val="52EC061A"/>
    <w:rsid w:val="52F05F8B"/>
    <w:rsid w:val="52F22936"/>
    <w:rsid w:val="52F37F7C"/>
    <w:rsid w:val="52F449C9"/>
    <w:rsid w:val="52FD4C7D"/>
    <w:rsid w:val="530043CA"/>
    <w:rsid w:val="5305001C"/>
    <w:rsid w:val="53055B76"/>
    <w:rsid w:val="53057EC9"/>
    <w:rsid w:val="53062113"/>
    <w:rsid w:val="53071048"/>
    <w:rsid w:val="53077CA5"/>
    <w:rsid w:val="530F3ED3"/>
    <w:rsid w:val="53103E45"/>
    <w:rsid w:val="53110694"/>
    <w:rsid w:val="53121F4E"/>
    <w:rsid w:val="53164666"/>
    <w:rsid w:val="53172E57"/>
    <w:rsid w:val="531A6034"/>
    <w:rsid w:val="531D6B94"/>
    <w:rsid w:val="531E66F5"/>
    <w:rsid w:val="532246FE"/>
    <w:rsid w:val="53232FAC"/>
    <w:rsid w:val="53233AFF"/>
    <w:rsid w:val="532358A7"/>
    <w:rsid w:val="532370CB"/>
    <w:rsid w:val="53246B24"/>
    <w:rsid w:val="53251E40"/>
    <w:rsid w:val="5326355A"/>
    <w:rsid w:val="53267F75"/>
    <w:rsid w:val="53291D9A"/>
    <w:rsid w:val="532E5C60"/>
    <w:rsid w:val="532F5784"/>
    <w:rsid w:val="5333389E"/>
    <w:rsid w:val="533472B4"/>
    <w:rsid w:val="533802B0"/>
    <w:rsid w:val="533C1AC2"/>
    <w:rsid w:val="533C29EB"/>
    <w:rsid w:val="533E4E87"/>
    <w:rsid w:val="5349505E"/>
    <w:rsid w:val="534F749A"/>
    <w:rsid w:val="53541439"/>
    <w:rsid w:val="535449BE"/>
    <w:rsid w:val="53575AA3"/>
    <w:rsid w:val="535A49A5"/>
    <w:rsid w:val="535D1FBC"/>
    <w:rsid w:val="535D4EAE"/>
    <w:rsid w:val="535D5CC5"/>
    <w:rsid w:val="535E0A8A"/>
    <w:rsid w:val="535E2397"/>
    <w:rsid w:val="536128DE"/>
    <w:rsid w:val="536742CC"/>
    <w:rsid w:val="53676D18"/>
    <w:rsid w:val="536A2C05"/>
    <w:rsid w:val="536F6815"/>
    <w:rsid w:val="53715845"/>
    <w:rsid w:val="5372473F"/>
    <w:rsid w:val="53742986"/>
    <w:rsid w:val="53755060"/>
    <w:rsid w:val="53762B81"/>
    <w:rsid w:val="537978CF"/>
    <w:rsid w:val="537B1BB1"/>
    <w:rsid w:val="537D061F"/>
    <w:rsid w:val="537E1A3B"/>
    <w:rsid w:val="538103E7"/>
    <w:rsid w:val="538509A9"/>
    <w:rsid w:val="538639B1"/>
    <w:rsid w:val="53880F69"/>
    <w:rsid w:val="538E65C1"/>
    <w:rsid w:val="53922EF7"/>
    <w:rsid w:val="539C64F4"/>
    <w:rsid w:val="539D5FA9"/>
    <w:rsid w:val="539F7C71"/>
    <w:rsid w:val="53A60BA8"/>
    <w:rsid w:val="53A743A4"/>
    <w:rsid w:val="53A8257D"/>
    <w:rsid w:val="53AD6898"/>
    <w:rsid w:val="53AF7A59"/>
    <w:rsid w:val="53B10062"/>
    <w:rsid w:val="53B476FF"/>
    <w:rsid w:val="53B53959"/>
    <w:rsid w:val="53B66053"/>
    <w:rsid w:val="53B70141"/>
    <w:rsid w:val="53B73924"/>
    <w:rsid w:val="53BE14E8"/>
    <w:rsid w:val="53BE57A1"/>
    <w:rsid w:val="53C0331C"/>
    <w:rsid w:val="53C06877"/>
    <w:rsid w:val="53C10D5C"/>
    <w:rsid w:val="53C44B1A"/>
    <w:rsid w:val="53CD3918"/>
    <w:rsid w:val="53CF51AB"/>
    <w:rsid w:val="53D3304A"/>
    <w:rsid w:val="53D352E6"/>
    <w:rsid w:val="53D505EF"/>
    <w:rsid w:val="53D61877"/>
    <w:rsid w:val="53D766AF"/>
    <w:rsid w:val="53DA423D"/>
    <w:rsid w:val="53E13C75"/>
    <w:rsid w:val="53E279B5"/>
    <w:rsid w:val="53E30BE0"/>
    <w:rsid w:val="53E341A7"/>
    <w:rsid w:val="53E50447"/>
    <w:rsid w:val="53E71813"/>
    <w:rsid w:val="53E73654"/>
    <w:rsid w:val="53EA5A87"/>
    <w:rsid w:val="53EC07DA"/>
    <w:rsid w:val="53EE61B7"/>
    <w:rsid w:val="53F54759"/>
    <w:rsid w:val="53F6468C"/>
    <w:rsid w:val="53FB7825"/>
    <w:rsid w:val="53FC5908"/>
    <w:rsid w:val="54002583"/>
    <w:rsid w:val="540A7ECF"/>
    <w:rsid w:val="540E09B9"/>
    <w:rsid w:val="540F054F"/>
    <w:rsid w:val="54103DD4"/>
    <w:rsid w:val="54104215"/>
    <w:rsid w:val="54123FF7"/>
    <w:rsid w:val="54150E7E"/>
    <w:rsid w:val="541B2F5B"/>
    <w:rsid w:val="541B3CC4"/>
    <w:rsid w:val="54207519"/>
    <w:rsid w:val="542520B4"/>
    <w:rsid w:val="5426635A"/>
    <w:rsid w:val="542D6B2D"/>
    <w:rsid w:val="542E1A5D"/>
    <w:rsid w:val="543534D1"/>
    <w:rsid w:val="54391ECB"/>
    <w:rsid w:val="54396EBE"/>
    <w:rsid w:val="543C3DD0"/>
    <w:rsid w:val="5440186A"/>
    <w:rsid w:val="54425644"/>
    <w:rsid w:val="544441DF"/>
    <w:rsid w:val="54461191"/>
    <w:rsid w:val="544D5CD8"/>
    <w:rsid w:val="545F144A"/>
    <w:rsid w:val="5463310B"/>
    <w:rsid w:val="546341FB"/>
    <w:rsid w:val="54642BCA"/>
    <w:rsid w:val="54750B59"/>
    <w:rsid w:val="5475382D"/>
    <w:rsid w:val="547642F7"/>
    <w:rsid w:val="547A27C4"/>
    <w:rsid w:val="547A48F8"/>
    <w:rsid w:val="547F22D8"/>
    <w:rsid w:val="54815C87"/>
    <w:rsid w:val="54840B3F"/>
    <w:rsid w:val="54860203"/>
    <w:rsid w:val="54863D42"/>
    <w:rsid w:val="54874D2A"/>
    <w:rsid w:val="54876A43"/>
    <w:rsid w:val="54891439"/>
    <w:rsid w:val="548B0D85"/>
    <w:rsid w:val="548C0CEF"/>
    <w:rsid w:val="548C12C1"/>
    <w:rsid w:val="548C16B2"/>
    <w:rsid w:val="54935398"/>
    <w:rsid w:val="54954FC0"/>
    <w:rsid w:val="54977EEA"/>
    <w:rsid w:val="54980D2D"/>
    <w:rsid w:val="549A316E"/>
    <w:rsid w:val="549F523F"/>
    <w:rsid w:val="549F6090"/>
    <w:rsid w:val="54A203AA"/>
    <w:rsid w:val="54A32783"/>
    <w:rsid w:val="54A46F58"/>
    <w:rsid w:val="54A76C80"/>
    <w:rsid w:val="54A83508"/>
    <w:rsid w:val="54A95E9D"/>
    <w:rsid w:val="54AA0902"/>
    <w:rsid w:val="54AB40D2"/>
    <w:rsid w:val="54AD5D40"/>
    <w:rsid w:val="54AE00FE"/>
    <w:rsid w:val="54B009C5"/>
    <w:rsid w:val="54B01609"/>
    <w:rsid w:val="54B03471"/>
    <w:rsid w:val="54B06227"/>
    <w:rsid w:val="54BA467E"/>
    <w:rsid w:val="54BB383D"/>
    <w:rsid w:val="54C1081F"/>
    <w:rsid w:val="54C37AFE"/>
    <w:rsid w:val="54C91812"/>
    <w:rsid w:val="54D12267"/>
    <w:rsid w:val="54D659A5"/>
    <w:rsid w:val="54DA328B"/>
    <w:rsid w:val="54DB539D"/>
    <w:rsid w:val="54DC700E"/>
    <w:rsid w:val="54DF34A6"/>
    <w:rsid w:val="54E505A3"/>
    <w:rsid w:val="54E61646"/>
    <w:rsid w:val="54E82550"/>
    <w:rsid w:val="54E8428B"/>
    <w:rsid w:val="54EB6E3B"/>
    <w:rsid w:val="54EC08AB"/>
    <w:rsid w:val="54EC6C66"/>
    <w:rsid w:val="54EF0214"/>
    <w:rsid w:val="54F7294B"/>
    <w:rsid w:val="54F904D6"/>
    <w:rsid w:val="54F92092"/>
    <w:rsid w:val="54F94FB8"/>
    <w:rsid w:val="54FC7F2F"/>
    <w:rsid w:val="54FD3AAB"/>
    <w:rsid w:val="54FE05A2"/>
    <w:rsid w:val="550026F3"/>
    <w:rsid w:val="5503044A"/>
    <w:rsid w:val="550653F2"/>
    <w:rsid w:val="55067F3A"/>
    <w:rsid w:val="55101524"/>
    <w:rsid w:val="55122D9F"/>
    <w:rsid w:val="55124F26"/>
    <w:rsid w:val="5513091A"/>
    <w:rsid w:val="55155149"/>
    <w:rsid w:val="551A4DC8"/>
    <w:rsid w:val="551F1C27"/>
    <w:rsid w:val="55205FDE"/>
    <w:rsid w:val="55207626"/>
    <w:rsid w:val="552109A7"/>
    <w:rsid w:val="55215CEB"/>
    <w:rsid w:val="55231592"/>
    <w:rsid w:val="55275C92"/>
    <w:rsid w:val="552A691D"/>
    <w:rsid w:val="552B300E"/>
    <w:rsid w:val="552C3484"/>
    <w:rsid w:val="552D4D5E"/>
    <w:rsid w:val="552F009A"/>
    <w:rsid w:val="552F108E"/>
    <w:rsid w:val="5533583F"/>
    <w:rsid w:val="55344AA7"/>
    <w:rsid w:val="55387C97"/>
    <w:rsid w:val="553A2C6B"/>
    <w:rsid w:val="553E5213"/>
    <w:rsid w:val="55415C4D"/>
    <w:rsid w:val="5546419D"/>
    <w:rsid w:val="55496AAC"/>
    <w:rsid w:val="554A3265"/>
    <w:rsid w:val="554A7B4E"/>
    <w:rsid w:val="554D1966"/>
    <w:rsid w:val="55517DC1"/>
    <w:rsid w:val="555A0C0E"/>
    <w:rsid w:val="555B55B7"/>
    <w:rsid w:val="555D2250"/>
    <w:rsid w:val="556328A1"/>
    <w:rsid w:val="556A6CFF"/>
    <w:rsid w:val="556D10E1"/>
    <w:rsid w:val="556D4EFF"/>
    <w:rsid w:val="55702D78"/>
    <w:rsid w:val="5572786B"/>
    <w:rsid w:val="557502C4"/>
    <w:rsid w:val="55766E6E"/>
    <w:rsid w:val="55791EA9"/>
    <w:rsid w:val="557A2342"/>
    <w:rsid w:val="557B4F26"/>
    <w:rsid w:val="557D7719"/>
    <w:rsid w:val="557E03CA"/>
    <w:rsid w:val="557E6182"/>
    <w:rsid w:val="558025D6"/>
    <w:rsid w:val="5580576A"/>
    <w:rsid w:val="558167EB"/>
    <w:rsid w:val="55831021"/>
    <w:rsid w:val="55832828"/>
    <w:rsid w:val="55866C75"/>
    <w:rsid w:val="558C5D39"/>
    <w:rsid w:val="559025A9"/>
    <w:rsid w:val="55912D02"/>
    <w:rsid w:val="5591481E"/>
    <w:rsid w:val="55944763"/>
    <w:rsid w:val="559A33E2"/>
    <w:rsid w:val="559E46BC"/>
    <w:rsid w:val="559F1AE0"/>
    <w:rsid w:val="55A40318"/>
    <w:rsid w:val="55AC1291"/>
    <w:rsid w:val="55B10AB3"/>
    <w:rsid w:val="55B141AE"/>
    <w:rsid w:val="55B87604"/>
    <w:rsid w:val="55BC70E3"/>
    <w:rsid w:val="55BD0515"/>
    <w:rsid w:val="55BE3408"/>
    <w:rsid w:val="55BF10BB"/>
    <w:rsid w:val="55C12EFE"/>
    <w:rsid w:val="55C33503"/>
    <w:rsid w:val="55C43A6D"/>
    <w:rsid w:val="55C5279D"/>
    <w:rsid w:val="55CB0B45"/>
    <w:rsid w:val="55D621E3"/>
    <w:rsid w:val="55D766B3"/>
    <w:rsid w:val="55DA26EE"/>
    <w:rsid w:val="55DC2C54"/>
    <w:rsid w:val="55DC413C"/>
    <w:rsid w:val="55E0618A"/>
    <w:rsid w:val="55E52F3F"/>
    <w:rsid w:val="55E82FC9"/>
    <w:rsid w:val="55EB7E69"/>
    <w:rsid w:val="55ED09B7"/>
    <w:rsid w:val="55F22FE4"/>
    <w:rsid w:val="55F35663"/>
    <w:rsid w:val="55F6724E"/>
    <w:rsid w:val="55F860B4"/>
    <w:rsid w:val="55FC5927"/>
    <w:rsid w:val="56026953"/>
    <w:rsid w:val="560672D8"/>
    <w:rsid w:val="5607307F"/>
    <w:rsid w:val="560C2B0E"/>
    <w:rsid w:val="560C7C75"/>
    <w:rsid w:val="560F1944"/>
    <w:rsid w:val="56116B96"/>
    <w:rsid w:val="56151E85"/>
    <w:rsid w:val="561659A8"/>
    <w:rsid w:val="56167959"/>
    <w:rsid w:val="561A1E51"/>
    <w:rsid w:val="56222892"/>
    <w:rsid w:val="56243838"/>
    <w:rsid w:val="562F00C3"/>
    <w:rsid w:val="56307C21"/>
    <w:rsid w:val="5637465C"/>
    <w:rsid w:val="56382AF3"/>
    <w:rsid w:val="563A1D2D"/>
    <w:rsid w:val="563D643E"/>
    <w:rsid w:val="563E0379"/>
    <w:rsid w:val="56443E4F"/>
    <w:rsid w:val="56457DB1"/>
    <w:rsid w:val="564754BF"/>
    <w:rsid w:val="5651282D"/>
    <w:rsid w:val="56530C3C"/>
    <w:rsid w:val="56532AA2"/>
    <w:rsid w:val="56557AA7"/>
    <w:rsid w:val="565A6FAE"/>
    <w:rsid w:val="565D3695"/>
    <w:rsid w:val="565E4F9F"/>
    <w:rsid w:val="565F5964"/>
    <w:rsid w:val="56602CF9"/>
    <w:rsid w:val="5661438B"/>
    <w:rsid w:val="56640307"/>
    <w:rsid w:val="56660B41"/>
    <w:rsid w:val="566627A4"/>
    <w:rsid w:val="5667482A"/>
    <w:rsid w:val="566B273B"/>
    <w:rsid w:val="566E223B"/>
    <w:rsid w:val="56725F6F"/>
    <w:rsid w:val="5676236B"/>
    <w:rsid w:val="56777E21"/>
    <w:rsid w:val="567800FD"/>
    <w:rsid w:val="567C7B7C"/>
    <w:rsid w:val="5681559F"/>
    <w:rsid w:val="56815ACA"/>
    <w:rsid w:val="56830D7B"/>
    <w:rsid w:val="56885DF8"/>
    <w:rsid w:val="568E138E"/>
    <w:rsid w:val="5694135E"/>
    <w:rsid w:val="569C2596"/>
    <w:rsid w:val="569D62EC"/>
    <w:rsid w:val="569F0117"/>
    <w:rsid w:val="569F38CC"/>
    <w:rsid w:val="56A81045"/>
    <w:rsid w:val="56A812A9"/>
    <w:rsid w:val="56AB6FEB"/>
    <w:rsid w:val="56AC14BF"/>
    <w:rsid w:val="56B459E7"/>
    <w:rsid w:val="56B56E6A"/>
    <w:rsid w:val="56B72543"/>
    <w:rsid w:val="56BA1CD6"/>
    <w:rsid w:val="56BD08C4"/>
    <w:rsid w:val="56BF0354"/>
    <w:rsid w:val="56BF103F"/>
    <w:rsid w:val="56C609F4"/>
    <w:rsid w:val="56C649F9"/>
    <w:rsid w:val="56C77321"/>
    <w:rsid w:val="56CF05F7"/>
    <w:rsid w:val="56D0702A"/>
    <w:rsid w:val="56D17863"/>
    <w:rsid w:val="56D45149"/>
    <w:rsid w:val="56D71B8E"/>
    <w:rsid w:val="56D8321F"/>
    <w:rsid w:val="56D90149"/>
    <w:rsid w:val="56DC5A53"/>
    <w:rsid w:val="56E346BD"/>
    <w:rsid w:val="56F94902"/>
    <w:rsid w:val="56FC0E19"/>
    <w:rsid w:val="56FC33A3"/>
    <w:rsid w:val="57014A64"/>
    <w:rsid w:val="57047A2A"/>
    <w:rsid w:val="57050988"/>
    <w:rsid w:val="570549BD"/>
    <w:rsid w:val="57072BD8"/>
    <w:rsid w:val="570A2782"/>
    <w:rsid w:val="570E037A"/>
    <w:rsid w:val="570E2112"/>
    <w:rsid w:val="571650CE"/>
    <w:rsid w:val="57172725"/>
    <w:rsid w:val="571C731B"/>
    <w:rsid w:val="57200BDB"/>
    <w:rsid w:val="57204676"/>
    <w:rsid w:val="5722593A"/>
    <w:rsid w:val="57230E7B"/>
    <w:rsid w:val="57231C25"/>
    <w:rsid w:val="5724270A"/>
    <w:rsid w:val="5729108D"/>
    <w:rsid w:val="5729186D"/>
    <w:rsid w:val="572B6D33"/>
    <w:rsid w:val="572D0106"/>
    <w:rsid w:val="572D0BCB"/>
    <w:rsid w:val="5730129E"/>
    <w:rsid w:val="5738309B"/>
    <w:rsid w:val="573B6229"/>
    <w:rsid w:val="573D0632"/>
    <w:rsid w:val="573E138D"/>
    <w:rsid w:val="574053DD"/>
    <w:rsid w:val="5744575B"/>
    <w:rsid w:val="57476390"/>
    <w:rsid w:val="5748075A"/>
    <w:rsid w:val="574D37D2"/>
    <w:rsid w:val="57584D33"/>
    <w:rsid w:val="575A005E"/>
    <w:rsid w:val="5761732B"/>
    <w:rsid w:val="576206A9"/>
    <w:rsid w:val="57655762"/>
    <w:rsid w:val="5768462B"/>
    <w:rsid w:val="576C0601"/>
    <w:rsid w:val="576C2E26"/>
    <w:rsid w:val="577431D4"/>
    <w:rsid w:val="577472FC"/>
    <w:rsid w:val="5778605C"/>
    <w:rsid w:val="577C032F"/>
    <w:rsid w:val="578035AF"/>
    <w:rsid w:val="5780637F"/>
    <w:rsid w:val="57826FBD"/>
    <w:rsid w:val="57844348"/>
    <w:rsid w:val="57846980"/>
    <w:rsid w:val="578778BB"/>
    <w:rsid w:val="57893228"/>
    <w:rsid w:val="578A2ACA"/>
    <w:rsid w:val="578C3B2F"/>
    <w:rsid w:val="578D69B7"/>
    <w:rsid w:val="578F06BB"/>
    <w:rsid w:val="578F7D81"/>
    <w:rsid w:val="579455A3"/>
    <w:rsid w:val="57954D31"/>
    <w:rsid w:val="57956157"/>
    <w:rsid w:val="57A14C65"/>
    <w:rsid w:val="57A365BA"/>
    <w:rsid w:val="57A504D8"/>
    <w:rsid w:val="57A557E8"/>
    <w:rsid w:val="57AA1B19"/>
    <w:rsid w:val="57AA5321"/>
    <w:rsid w:val="57B1691C"/>
    <w:rsid w:val="57B21192"/>
    <w:rsid w:val="57B40121"/>
    <w:rsid w:val="57B632C9"/>
    <w:rsid w:val="57BC6526"/>
    <w:rsid w:val="57BE512E"/>
    <w:rsid w:val="57C02ECC"/>
    <w:rsid w:val="57C06AC6"/>
    <w:rsid w:val="57C2283E"/>
    <w:rsid w:val="57C93911"/>
    <w:rsid w:val="57C9790E"/>
    <w:rsid w:val="57CA425B"/>
    <w:rsid w:val="57CC7594"/>
    <w:rsid w:val="57CD09B2"/>
    <w:rsid w:val="57CF0A9D"/>
    <w:rsid w:val="57D13339"/>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D2672"/>
    <w:rsid w:val="57FE3992"/>
    <w:rsid w:val="57FF165E"/>
    <w:rsid w:val="57FF779C"/>
    <w:rsid w:val="58052024"/>
    <w:rsid w:val="580A4668"/>
    <w:rsid w:val="580B15D9"/>
    <w:rsid w:val="58114217"/>
    <w:rsid w:val="58117FD1"/>
    <w:rsid w:val="58123541"/>
    <w:rsid w:val="581D1822"/>
    <w:rsid w:val="5820606F"/>
    <w:rsid w:val="58230761"/>
    <w:rsid w:val="5826708C"/>
    <w:rsid w:val="5827330C"/>
    <w:rsid w:val="5827709F"/>
    <w:rsid w:val="582C646F"/>
    <w:rsid w:val="58307FD2"/>
    <w:rsid w:val="583B7786"/>
    <w:rsid w:val="583F408D"/>
    <w:rsid w:val="58402F4C"/>
    <w:rsid w:val="58473C05"/>
    <w:rsid w:val="584C5B18"/>
    <w:rsid w:val="584F0CD3"/>
    <w:rsid w:val="584F3B75"/>
    <w:rsid w:val="5854674E"/>
    <w:rsid w:val="58584CE4"/>
    <w:rsid w:val="585B2BBE"/>
    <w:rsid w:val="585D2137"/>
    <w:rsid w:val="585D23DB"/>
    <w:rsid w:val="585E353C"/>
    <w:rsid w:val="585F5E3A"/>
    <w:rsid w:val="58620DA0"/>
    <w:rsid w:val="586252C7"/>
    <w:rsid w:val="586D7B10"/>
    <w:rsid w:val="586E1700"/>
    <w:rsid w:val="58721998"/>
    <w:rsid w:val="58727E11"/>
    <w:rsid w:val="58764E3F"/>
    <w:rsid w:val="58797795"/>
    <w:rsid w:val="587B2BDD"/>
    <w:rsid w:val="587D5819"/>
    <w:rsid w:val="587D6349"/>
    <w:rsid w:val="587F1198"/>
    <w:rsid w:val="588036FB"/>
    <w:rsid w:val="588049C5"/>
    <w:rsid w:val="588221FD"/>
    <w:rsid w:val="58822DAE"/>
    <w:rsid w:val="58827796"/>
    <w:rsid w:val="588A55FC"/>
    <w:rsid w:val="588B21FA"/>
    <w:rsid w:val="588B6AC3"/>
    <w:rsid w:val="588E495A"/>
    <w:rsid w:val="588E4DA6"/>
    <w:rsid w:val="588F36C2"/>
    <w:rsid w:val="58905F13"/>
    <w:rsid w:val="5893725D"/>
    <w:rsid w:val="58940678"/>
    <w:rsid w:val="589502E7"/>
    <w:rsid w:val="58960DDB"/>
    <w:rsid w:val="58976421"/>
    <w:rsid w:val="589A1A15"/>
    <w:rsid w:val="589C308F"/>
    <w:rsid w:val="589E636B"/>
    <w:rsid w:val="58A07AD7"/>
    <w:rsid w:val="58A12EE5"/>
    <w:rsid w:val="58A6778E"/>
    <w:rsid w:val="58AA6530"/>
    <w:rsid w:val="58AB4E57"/>
    <w:rsid w:val="58AD32B7"/>
    <w:rsid w:val="58B43CF3"/>
    <w:rsid w:val="58B9157F"/>
    <w:rsid w:val="58BA32F5"/>
    <w:rsid w:val="58C00B31"/>
    <w:rsid w:val="58C168EF"/>
    <w:rsid w:val="58C252F3"/>
    <w:rsid w:val="58C27FAF"/>
    <w:rsid w:val="58C72B84"/>
    <w:rsid w:val="58C8064E"/>
    <w:rsid w:val="58CA2BB6"/>
    <w:rsid w:val="58CD6F98"/>
    <w:rsid w:val="58CE125E"/>
    <w:rsid w:val="58CF5213"/>
    <w:rsid w:val="58D17E41"/>
    <w:rsid w:val="58D459FB"/>
    <w:rsid w:val="58D53DD9"/>
    <w:rsid w:val="58DA2BA4"/>
    <w:rsid w:val="58DB0920"/>
    <w:rsid w:val="58DC431F"/>
    <w:rsid w:val="58E16F32"/>
    <w:rsid w:val="58E35EA4"/>
    <w:rsid w:val="58E9099D"/>
    <w:rsid w:val="58EA16BD"/>
    <w:rsid w:val="58F06A48"/>
    <w:rsid w:val="58F41801"/>
    <w:rsid w:val="58FC45FB"/>
    <w:rsid w:val="58FC6723"/>
    <w:rsid w:val="58FE6062"/>
    <w:rsid w:val="590002B0"/>
    <w:rsid w:val="59012283"/>
    <w:rsid w:val="5901734E"/>
    <w:rsid w:val="59042D1D"/>
    <w:rsid w:val="5905135D"/>
    <w:rsid w:val="5907038F"/>
    <w:rsid w:val="5908530E"/>
    <w:rsid w:val="59095E98"/>
    <w:rsid w:val="590A6040"/>
    <w:rsid w:val="590D032B"/>
    <w:rsid w:val="59134F3B"/>
    <w:rsid w:val="59135A3E"/>
    <w:rsid w:val="591756B5"/>
    <w:rsid w:val="59181E83"/>
    <w:rsid w:val="591A7A45"/>
    <w:rsid w:val="591B3341"/>
    <w:rsid w:val="591C764D"/>
    <w:rsid w:val="591F385A"/>
    <w:rsid w:val="59203C9E"/>
    <w:rsid w:val="59215342"/>
    <w:rsid w:val="59220F83"/>
    <w:rsid w:val="592579D7"/>
    <w:rsid w:val="59272C34"/>
    <w:rsid w:val="5927334D"/>
    <w:rsid w:val="59280AFA"/>
    <w:rsid w:val="59283A5F"/>
    <w:rsid w:val="592B5AD6"/>
    <w:rsid w:val="592B61C1"/>
    <w:rsid w:val="593065AF"/>
    <w:rsid w:val="59325A49"/>
    <w:rsid w:val="593E2A08"/>
    <w:rsid w:val="593E5EF4"/>
    <w:rsid w:val="59431288"/>
    <w:rsid w:val="59442B47"/>
    <w:rsid w:val="59461CD4"/>
    <w:rsid w:val="5947751C"/>
    <w:rsid w:val="594850A2"/>
    <w:rsid w:val="594918BF"/>
    <w:rsid w:val="594B2CC6"/>
    <w:rsid w:val="594D15CA"/>
    <w:rsid w:val="594F7F1D"/>
    <w:rsid w:val="59520481"/>
    <w:rsid w:val="59527BF2"/>
    <w:rsid w:val="59571529"/>
    <w:rsid w:val="595C3BB1"/>
    <w:rsid w:val="595C70E1"/>
    <w:rsid w:val="595F1E39"/>
    <w:rsid w:val="595F2C1F"/>
    <w:rsid w:val="5961772D"/>
    <w:rsid w:val="596A47EA"/>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B2969"/>
    <w:rsid w:val="598C013F"/>
    <w:rsid w:val="598D1577"/>
    <w:rsid w:val="59902D18"/>
    <w:rsid w:val="59924E85"/>
    <w:rsid w:val="59936C70"/>
    <w:rsid w:val="5995638D"/>
    <w:rsid w:val="59960E84"/>
    <w:rsid w:val="59976438"/>
    <w:rsid w:val="59997F9C"/>
    <w:rsid w:val="599D7038"/>
    <w:rsid w:val="599E4BE5"/>
    <w:rsid w:val="59A37D5E"/>
    <w:rsid w:val="59A5070B"/>
    <w:rsid w:val="59A73AE8"/>
    <w:rsid w:val="59A82363"/>
    <w:rsid w:val="59AB08C6"/>
    <w:rsid w:val="59AC1698"/>
    <w:rsid w:val="59AD5F6F"/>
    <w:rsid w:val="59B222D8"/>
    <w:rsid w:val="59BA71AC"/>
    <w:rsid w:val="59BC1DD2"/>
    <w:rsid w:val="59BE6564"/>
    <w:rsid w:val="59C11F18"/>
    <w:rsid w:val="59C31921"/>
    <w:rsid w:val="59C40F67"/>
    <w:rsid w:val="59C424C1"/>
    <w:rsid w:val="59C522EC"/>
    <w:rsid w:val="59C807A6"/>
    <w:rsid w:val="59C82A6B"/>
    <w:rsid w:val="59C947CA"/>
    <w:rsid w:val="59C977FF"/>
    <w:rsid w:val="59CB441B"/>
    <w:rsid w:val="59D0265A"/>
    <w:rsid w:val="59D04E10"/>
    <w:rsid w:val="59D32C9E"/>
    <w:rsid w:val="59D44183"/>
    <w:rsid w:val="59D51E6C"/>
    <w:rsid w:val="59D8364F"/>
    <w:rsid w:val="59D979CB"/>
    <w:rsid w:val="59DB20E4"/>
    <w:rsid w:val="59DF4BED"/>
    <w:rsid w:val="59E22D24"/>
    <w:rsid w:val="59E30E7E"/>
    <w:rsid w:val="59E51E95"/>
    <w:rsid w:val="59E54238"/>
    <w:rsid w:val="59E74401"/>
    <w:rsid w:val="59EC5A2D"/>
    <w:rsid w:val="59ED4A50"/>
    <w:rsid w:val="59EE4A63"/>
    <w:rsid w:val="59EF2ADB"/>
    <w:rsid w:val="59F035EB"/>
    <w:rsid w:val="59F10043"/>
    <w:rsid w:val="59F22DF4"/>
    <w:rsid w:val="59F4339F"/>
    <w:rsid w:val="59F56D5B"/>
    <w:rsid w:val="59FC223D"/>
    <w:rsid w:val="59FC5FDE"/>
    <w:rsid w:val="59FF0EC6"/>
    <w:rsid w:val="5A001EE4"/>
    <w:rsid w:val="5A040AB8"/>
    <w:rsid w:val="5A04713E"/>
    <w:rsid w:val="5A063896"/>
    <w:rsid w:val="5A066E1D"/>
    <w:rsid w:val="5A094020"/>
    <w:rsid w:val="5A0C6BEB"/>
    <w:rsid w:val="5A173E1D"/>
    <w:rsid w:val="5A185799"/>
    <w:rsid w:val="5A201171"/>
    <w:rsid w:val="5A2450EA"/>
    <w:rsid w:val="5A253502"/>
    <w:rsid w:val="5A292D04"/>
    <w:rsid w:val="5A315A59"/>
    <w:rsid w:val="5A360E14"/>
    <w:rsid w:val="5A371615"/>
    <w:rsid w:val="5A396072"/>
    <w:rsid w:val="5A3A5E82"/>
    <w:rsid w:val="5A3F40DC"/>
    <w:rsid w:val="5A457D98"/>
    <w:rsid w:val="5A480393"/>
    <w:rsid w:val="5A4912B6"/>
    <w:rsid w:val="5A49198F"/>
    <w:rsid w:val="5A497BA8"/>
    <w:rsid w:val="5A503DF4"/>
    <w:rsid w:val="5A503E14"/>
    <w:rsid w:val="5A527EA2"/>
    <w:rsid w:val="5A544D38"/>
    <w:rsid w:val="5A552C2F"/>
    <w:rsid w:val="5A575467"/>
    <w:rsid w:val="5A58128B"/>
    <w:rsid w:val="5A5E0A8E"/>
    <w:rsid w:val="5A5F0C3F"/>
    <w:rsid w:val="5A5F16B6"/>
    <w:rsid w:val="5A62339F"/>
    <w:rsid w:val="5A6311BC"/>
    <w:rsid w:val="5A6653CA"/>
    <w:rsid w:val="5A6B3445"/>
    <w:rsid w:val="5A6C00DB"/>
    <w:rsid w:val="5A6C6925"/>
    <w:rsid w:val="5A72202A"/>
    <w:rsid w:val="5A737D05"/>
    <w:rsid w:val="5A757545"/>
    <w:rsid w:val="5A796FCF"/>
    <w:rsid w:val="5A7D0A71"/>
    <w:rsid w:val="5A7F251C"/>
    <w:rsid w:val="5A7F297F"/>
    <w:rsid w:val="5A804F0B"/>
    <w:rsid w:val="5A865A92"/>
    <w:rsid w:val="5A865DA5"/>
    <w:rsid w:val="5A870E04"/>
    <w:rsid w:val="5A8B20D1"/>
    <w:rsid w:val="5A8F2A0E"/>
    <w:rsid w:val="5A8F76B7"/>
    <w:rsid w:val="5A906702"/>
    <w:rsid w:val="5A9472E4"/>
    <w:rsid w:val="5A990AB3"/>
    <w:rsid w:val="5A9929E8"/>
    <w:rsid w:val="5A9F021A"/>
    <w:rsid w:val="5AA40F42"/>
    <w:rsid w:val="5AA64564"/>
    <w:rsid w:val="5AAC25AA"/>
    <w:rsid w:val="5AAE293A"/>
    <w:rsid w:val="5AAE2F66"/>
    <w:rsid w:val="5AB87373"/>
    <w:rsid w:val="5AB92BDA"/>
    <w:rsid w:val="5ABA1121"/>
    <w:rsid w:val="5ABE2E45"/>
    <w:rsid w:val="5AC5414D"/>
    <w:rsid w:val="5AC62645"/>
    <w:rsid w:val="5ACA0796"/>
    <w:rsid w:val="5ACA3C5E"/>
    <w:rsid w:val="5ACD5782"/>
    <w:rsid w:val="5AD1000A"/>
    <w:rsid w:val="5ADD4BD7"/>
    <w:rsid w:val="5AE7290C"/>
    <w:rsid w:val="5AED45FF"/>
    <w:rsid w:val="5AEE008F"/>
    <w:rsid w:val="5AEE61C5"/>
    <w:rsid w:val="5AF54891"/>
    <w:rsid w:val="5AFA6E64"/>
    <w:rsid w:val="5AFB6A11"/>
    <w:rsid w:val="5AFB71A0"/>
    <w:rsid w:val="5AFC0697"/>
    <w:rsid w:val="5AFF5CDA"/>
    <w:rsid w:val="5B037EB8"/>
    <w:rsid w:val="5B041F38"/>
    <w:rsid w:val="5B04316E"/>
    <w:rsid w:val="5B0A553A"/>
    <w:rsid w:val="5B1017B1"/>
    <w:rsid w:val="5B120867"/>
    <w:rsid w:val="5B1478C6"/>
    <w:rsid w:val="5B153A5A"/>
    <w:rsid w:val="5B157129"/>
    <w:rsid w:val="5B160ACB"/>
    <w:rsid w:val="5B1A5ACF"/>
    <w:rsid w:val="5B1C5E7E"/>
    <w:rsid w:val="5B1C78C4"/>
    <w:rsid w:val="5B1E5E4A"/>
    <w:rsid w:val="5B2140DC"/>
    <w:rsid w:val="5B240AD2"/>
    <w:rsid w:val="5B26337C"/>
    <w:rsid w:val="5B295D3D"/>
    <w:rsid w:val="5B2A225C"/>
    <w:rsid w:val="5B2C5F8D"/>
    <w:rsid w:val="5B311CB1"/>
    <w:rsid w:val="5B315A25"/>
    <w:rsid w:val="5B3247DF"/>
    <w:rsid w:val="5B345E2C"/>
    <w:rsid w:val="5B395E6A"/>
    <w:rsid w:val="5B3E2E83"/>
    <w:rsid w:val="5B4249F8"/>
    <w:rsid w:val="5B452A60"/>
    <w:rsid w:val="5B4C636F"/>
    <w:rsid w:val="5B4F6213"/>
    <w:rsid w:val="5B50470B"/>
    <w:rsid w:val="5B5555AE"/>
    <w:rsid w:val="5B576DF3"/>
    <w:rsid w:val="5B586A33"/>
    <w:rsid w:val="5B5B701F"/>
    <w:rsid w:val="5B5E4630"/>
    <w:rsid w:val="5B5F3995"/>
    <w:rsid w:val="5B6B23C9"/>
    <w:rsid w:val="5B6F045C"/>
    <w:rsid w:val="5B721E3D"/>
    <w:rsid w:val="5B79724F"/>
    <w:rsid w:val="5B7D7376"/>
    <w:rsid w:val="5B816E8B"/>
    <w:rsid w:val="5B823D2F"/>
    <w:rsid w:val="5B833223"/>
    <w:rsid w:val="5B86522F"/>
    <w:rsid w:val="5B871801"/>
    <w:rsid w:val="5B8A4A60"/>
    <w:rsid w:val="5B8D06FE"/>
    <w:rsid w:val="5B8F2876"/>
    <w:rsid w:val="5B97487F"/>
    <w:rsid w:val="5B9B4B48"/>
    <w:rsid w:val="5B9B7F7D"/>
    <w:rsid w:val="5BA109BC"/>
    <w:rsid w:val="5BA13A5F"/>
    <w:rsid w:val="5BA51BD8"/>
    <w:rsid w:val="5BA80E5E"/>
    <w:rsid w:val="5BA931C1"/>
    <w:rsid w:val="5BAC704A"/>
    <w:rsid w:val="5BB53CC3"/>
    <w:rsid w:val="5BB54DCF"/>
    <w:rsid w:val="5BB72287"/>
    <w:rsid w:val="5BB74DAD"/>
    <w:rsid w:val="5BB771FE"/>
    <w:rsid w:val="5BB87120"/>
    <w:rsid w:val="5BBE25B6"/>
    <w:rsid w:val="5BBF1E75"/>
    <w:rsid w:val="5BC30F2C"/>
    <w:rsid w:val="5BC613E9"/>
    <w:rsid w:val="5BCA2498"/>
    <w:rsid w:val="5BCC0F2B"/>
    <w:rsid w:val="5BCC1D74"/>
    <w:rsid w:val="5BCC20FE"/>
    <w:rsid w:val="5BCE63D6"/>
    <w:rsid w:val="5BCF7326"/>
    <w:rsid w:val="5BD44B6E"/>
    <w:rsid w:val="5BE0566F"/>
    <w:rsid w:val="5BE43CDA"/>
    <w:rsid w:val="5BE70260"/>
    <w:rsid w:val="5BE865EB"/>
    <w:rsid w:val="5BEA46EF"/>
    <w:rsid w:val="5BEA623B"/>
    <w:rsid w:val="5BED59B0"/>
    <w:rsid w:val="5BEE2ECE"/>
    <w:rsid w:val="5BEE507C"/>
    <w:rsid w:val="5BF1046E"/>
    <w:rsid w:val="5BF14C3E"/>
    <w:rsid w:val="5BF45B0A"/>
    <w:rsid w:val="5BF618ED"/>
    <w:rsid w:val="5BF635EA"/>
    <w:rsid w:val="5BF7781C"/>
    <w:rsid w:val="5BF87ACE"/>
    <w:rsid w:val="5BF907F8"/>
    <w:rsid w:val="5BF9592C"/>
    <w:rsid w:val="5BFA1B11"/>
    <w:rsid w:val="5BFE0506"/>
    <w:rsid w:val="5BFE42B3"/>
    <w:rsid w:val="5BFE62B3"/>
    <w:rsid w:val="5C00385B"/>
    <w:rsid w:val="5C03044A"/>
    <w:rsid w:val="5C0441FB"/>
    <w:rsid w:val="5C0C2E62"/>
    <w:rsid w:val="5C0C6447"/>
    <w:rsid w:val="5C0F4D19"/>
    <w:rsid w:val="5C130C79"/>
    <w:rsid w:val="5C147D25"/>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5A47"/>
    <w:rsid w:val="5C3B74DB"/>
    <w:rsid w:val="5C3F65AF"/>
    <w:rsid w:val="5C4032A9"/>
    <w:rsid w:val="5C4917E5"/>
    <w:rsid w:val="5C4A098B"/>
    <w:rsid w:val="5C4D2B08"/>
    <w:rsid w:val="5C517C55"/>
    <w:rsid w:val="5C540540"/>
    <w:rsid w:val="5C577C82"/>
    <w:rsid w:val="5C593F34"/>
    <w:rsid w:val="5C5C302B"/>
    <w:rsid w:val="5C61539B"/>
    <w:rsid w:val="5C6308D2"/>
    <w:rsid w:val="5C642C52"/>
    <w:rsid w:val="5C661D13"/>
    <w:rsid w:val="5C665A65"/>
    <w:rsid w:val="5C6744B7"/>
    <w:rsid w:val="5C6D51F4"/>
    <w:rsid w:val="5C6E02ED"/>
    <w:rsid w:val="5C6E7921"/>
    <w:rsid w:val="5C6F3B6F"/>
    <w:rsid w:val="5C702DE4"/>
    <w:rsid w:val="5C704D5E"/>
    <w:rsid w:val="5C7165E1"/>
    <w:rsid w:val="5C763BF7"/>
    <w:rsid w:val="5C7A5F7C"/>
    <w:rsid w:val="5C7B6722"/>
    <w:rsid w:val="5C7F454B"/>
    <w:rsid w:val="5C805A22"/>
    <w:rsid w:val="5C813191"/>
    <w:rsid w:val="5C8360D9"/>
    <w:rsid w:val="5C861A51"/>
    <w:rsid w:val="5C891119"/>
    <w:rsid w:val="5C893CE9"/>
    <w:rsid w:val="5C95304B"/>
    <w:rsid w:val="5C9E112F"/>
    <w:rsid w:val="5CA35762"/>
    <w:rsid w:val="5CA37DC7"/>
    <w:rsid w:val="5CA4379A"/>
    <w:rsid w:val="5CA65722"/>
    <w:rsid w:val="5CA97AEC"/>
    <w:rsid w:val="5CAE4C4B"/>
    <w:rsid w:val="5CAE5FFB"/>
    <w:rsid w:val="5CAE7B60"/>
    <w:rsid w:val="5CAF3DCF"/>
    <w:rsid w:val="5CB22FB1"/>
    <w:rsid w:val="5CB24416"/>
    <w:rsid w:val="5CB309A7"/>
    <w:rsid w:val="5CB44D6D"/>
    <w:rsid w:val="5CBE2E26"/>
    <w:rsid w:val="5CBF29C3"/>
    <w:rsid w:val="5CC114B9"/>
    <w:rsid w:val="5CC4662C"/>
    <w:rsid w:val="5CC86BA8"/>
    <w:rsid w:val="5CCB05EF"/>
    <w:rsid w:val="5CCB5CF1"/>
    <w:rsid w:val="5CCD6079"/>
    <w:rsid w:val="5CCE13AD"/>
    <w:rsid w:val="5CD23A79"/>
    <w:rsid w:val="5CD31E0A"/>
    <w:rsid w:val="5CD67CC9"/>
    <w:rsid w:val="5CD74C87"/>
    <w:rsid w:val="5CDA2C87"/>
    <w:rsid w:val="5CDB0FC7"/>
    <w:rsid w:val="5CDB505D"/>
    <w:rsid w:val="5CDD488F"/>
    <w:rsid w:val="5CDF3436"/>
    <w:rsid w:val="5CE37E74"/>
    <w:rsid w:val="5CE648D9"/>
    <w:rsid w:val="5CE966D7"/>
    <w:rsid w:val="5CEB61C9"/>
    <w:rsid w:val="5CEB6695"/>
    <w:rsid w:val="5CF0745A"/>
    <w:rsid w:val="5CF32E71"/>
    <w:rsid w:val="5CF3416B"/>
    <w:rsid w:val="5CF722B4"/>
    <w:rsid w:val="5CF74D38"/>
    <w:rsid w:val="5CF87C7A"/>
    <w:rsid w:val="5CFA350C"/>
    <w:rsid w:val="5CFB2497"/>
    <w:rsid w:val="5CFC327E"/>
    <w:rsid w:val="5CFD4515"/>
    <w:rsid w:val="5CFE49A6"/>
    <w:rsid w:val="5D020C12"/>
    <w:rsid w:val="5D021DA8"/>
    <w:rsid w:val="5D0546C0"/>
    <w:rsid w:val="5D083620"/>
    <w:rsid w:val="5D0D3759"/>
    <w:rsid w:val="5D1836E2"/>
    <w:rsid w:val="5D1B139C"/>
    <w:rsid w:val="5D1D51DF"/>
    <w:rsid w:val="5D1E30BD"/>
    <w:rsid w:val="5D247DBF"/>
    <w:rsid w:val="5D265730"/>
    <w:rsid w:val="5D28579A"/>
    <w:rsid w:val="5D2A6697"/>
    <w:rsid w:val="5D324D53"/>
    <w:rsid w:val="5D3441CE"/>
    <w:rsid w:val="5D375FE1"/>
    <w:rsid w:val="5D396270"/>
    <w:rsid w:val="5D3E149F"/>
    <w:rsid w:val="5D426176"/>
    <w:rsid w:val="5D522E26"/>
    <w:rsid w:val="5D5630BB"/>
    <w:rsid w:val="5D564F1A"/>
    <w:rsid w:val="5D573A29"/>
    <w:rsid w:val="5D593244"/>
    <w:rsid w:val="5D5B7EFD"/>
    <w:rsid w:val="5D5E00BE"/>
    <w:rsid w:val="5D610403"/>
    <w:rsid w:val="5D631BF8"/>
    <w:rsid w:val="5D641CA2"/>
    <w:rsid w:val="5D663697"/>
    <w:rsid w:val="5D6761A3"/>
    <w:rsid w:val="5D711989"/>
    <w:rsid w:val="5D715060"/>
    <w:rsid w:val="5D7260E9"/>
    <w:rsid w:val="5D764528"/>
    <w:rsid w:val="5D771436"/>
    <w:rsid w:val="5D7D1757"/>
    <w:rsid w:val="5D7F1D9A"/>
    <w:rsid w:val="5D821BBA"/>
    <w:rsid w:val="5D8331B0"/>
    <w:rsid w:val="5D833B39"/>
    <w:rsid w:val="5D8A0C9C"/>
    <w:rsid w:val="5D8B3FBF"/>
    <w:rsid w:val="5D8C6183"/>
    <w:rsid w:val="5D8D4C1F"/>
    <w:rsid w:val="5D8D7B1F"/>
    <w:rsid w:val="5D921148"/>
    <w:rsid w:val="5D935A84"/>
    <w:rsid w:val="5D9D6A39"/>
    <w:rsid w:val="5D9E2989"/>
    <w:rsid w:val="5DA07BBF"/>
    <w:rsid w:val="5DAF144F"/>
    <w:rsid w:val="5DB01627"/>
    <w:rsid w:val="5DB104FF"/>
    <w:rsid w:val="5DB324CA"/>
    <w:rsid w:val="5DB671BA"/>
    <w:rsid w:val="5DB8226D"/>
    <w:rsid w:val="5DB87B3F"/>
    <w:rsid w:val="5DBC0969"/>
    <w:rsid w:val="5DBC5524"/>
    <w:rsid w:val="5DBF3D1C"/>
    <w:rsid w:val="5DBF57D6"/>
    <w:rsid w:val="5DC6721C"/>
    <w:rsid w:val="5DC76DB3"/>
    <w:rsid w:val="5DCB0BC0"/>
    <w:rsid w:val="5DCB3073"/>
    <w:rsid w:val="5DCB3A83"/>
    <w:rsid w:val="5DCB5E0B"/>
    <w:rsid w:val="5DCD658A"/>
    <w:rsid w:val="5DD25F5E"/>
    <w:rsid w:val="5DD4544E"/>
    <w:rsid w:val="5DD6261F"/>
    <w:rsid w:val="5DD82146"/>
    <w:rsid w:val="5DE5640D"/>
    <w:rsid w:val="5DE71962"/>
    <w:rsid w:val="5DEB4806"/>
    <w:rsid w:val="5DEC5BE3"/>
    <w:rsid w:val="5DF0057B"/>
    <w:rsid w:val="5DF53122"/>
    <w:rsid w:val="5DF60CD4"/>
    <w:rsid w:val="5DF64961"/>
    <w:rsid w:val="5DF72158"/>
    <w:rsid w:val="5DF9535F"/>
    <w:rsid w:val="5DFA7DCE"/>
    <w:rsid w:val="5DFD3578"/>
    <w:rsid w:val="5E007E70"/>
    <w:rsid w:val="5E014D34"/>
    <w:rsid w:val="5E0654DA"/>
    <w:rsid w:val="5E0F09D1"/>
    <w:rsid w:val="5E1015A3"/>
    <w:rsid w:val="5E122D1C"/>
    <w:rsid w:val="5E1251CA"/>
    <w:rsid w:val="5E153EDA"/>
    <w:rsid w:val="5E153F47"/>
    <w:rsid w:val="5E166335"/>
    <w:rsid w:val="5E197373"/>
    <w:rsid w:val="5E24505E"/>
    <w:rsid w:val="5E260754"/>
    <w:rsid w:val="5E272E70"/>
    <w:rsid w:val="5E276E97"/>
    <w:rsid w:val="5E343176"/>
    <w:rsid w:val="5E350391"/>
    <w:rsid w:val="5E3873B6"/>
    <w:rsid w:val="5E3C23CB"/>
    <w:rsid w:val="5E40485E"/>
    <w:rsid w:val="5E465F6C"/>
    <w:rsid w:val="5E4C328D"/>
    <w:rsid w:val="5E522324"/>
    <w:rsid w:val="5E547CF9"/>
    <w:rsid w:val="5E5578DF"/>
    <w:rsid w:val="5E571452"/>
    <w:rsid w:val="5E590B12"/>
    <w:rsid w:val="5E590DB0"/>
    <w:rsid w:val="5E5F29CC"/>
    <w:rsid w:val="5E615CF9"/>
    <w:rsid w:val="5E6942FA"/>
    <w:rsid w:val="5E6B3FB5"/>
    <w:rsid w:val="5E6C197B"/>
    <w:rsid w:val="5E6C78AD"/>
    <w:rsid w:val="5E7200C7"/>
    <w:rsid w:val="5E733F54"/>
    <w:rsid w:val="5E79177D"/>
    <w:rsid w:val="5E7D487F"/>
    <w:rsid w:val="5E7F4927"/>
    <w:rsid w:val="5E813FC2"/>
    <w:rsid w:val="5E842047"/>
    <w:rsid w:val="5E846E07"/>
    <w:rsid w:val="5E8819C0"/>
    <w:rsid w:val="5E8B2C1C"/>
    <w:rsid w:val="5E8D2FA7"/>
    <w:rsid w:val="5E911BCF"/>
    <w:rsid w:val="5E91760B"/>
    <w:rsid w:val="5E920DD9"/>
    <w:rsid w:val="5E9749CE"/>
    <w:rsid w:val="5E9D0C44"/>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94A36"/>
    <w:rsid w:val="5EBA03BF"/>
    <w:rsid w:val="5EC24374"/>
    <w:rsid w:val="5EC53ADD"/>
    <w:rsid w:val="5EC54E79"/>
    <w:rsid w:val="5EC72E46"/>
    <w:rsid w:val="5EC82920"/>
    <w:rsid w:val="5ECE37B2"/>
    <w:rsid w:val="5ECE3876"/>
    <w:rsid w:val="5ED13B84"/>
    <w:rsid w:val="5ED2016D"/>
    <w:rsid w:val="5ED6607C"/>
    <w:rsid w:val="5ED83C4B"/>
    <w:rsid w:val="5EDB352A"/>
    <w:rsid w:val="5EE40323"/>
    <w:rsid w:val="5EE935FC"/>
    <w:rsid w:val="5EF02F98"/>
    <w:rsid w:val="5EF42AA8"/>
    <w:rsid w:val="5EF46039"/>
    <w:rsid w:val="5EF602A9"/>
    <w:rsid w:val="5F011C2B"/>
    <w:rsid w:val="5F013C4C"/>
    <w:rsid w:val="5F067D65"/>
    <w:rsid w:val="5F0726CC"/>
    <w:rsid w:val="5F094EE1"/>
    <w:rsid w:val="5F0A632E"/>
    <w:rsid w:val="5F0A6961"/>
    <w:rsid w:val="5F0C5646"/>
    <w:rsid w:val="5F0E064D"/>
    <w:rsid w:val="5F0F48E6"/>
    <w:rsid w:val="5F133388"/>
    <w:rsid w:val="5F14079E"/>
    <w:rsid w:val="5F1B2FA7"/>
    <w:rsid w:val="5F1B5057"/>
    <w:rsid w:val="5F1D4CC3"/>
    <w:rsid w:val="5F1E7A2E"/>
    <w:rsid w:val="5F1F0305"/>
    <w:rsid w:val="5F1F2324"/>
    <w:rsid w:val="5F213E3B"/>
    <w:rsid w:val="5F224A74"/>
    <w:rsid w:val="5F226D7F"/>
    <w:rsid w:val="5F2913F5"/>
    <w:rsid w:val="5F2B3C00"/>
    <w:rsid w:val="5F2D1078"/>
    <w:rsid w:val="5F2E044E"/>
    <w:rsid w:val="5F2E347F"/>
    <w:rsid w:val="5F2F5BFC"/>
    <w:rsid w:val="5F314D24"/>
    <w:rsid w:val="5F3543B4"/>
    <w:rsid w:val="5F3853D1"/>
    <w:rsid w:val="5F3B530E"/>
    <w:rsid w:val="5F410DB8"/>
    <w:rsid w:val="5F4252C2"/>
    <w:rsid w:val="5F45504E"/>
    <w:rsid w:val="5F486CFA"/>
    <w:rsid w:val="5F4B4F03"/>
    <w:rsid w:val="5F4C1C5B"/>
    <w:rsid w:val="5F500E16"/>
    <w:rsid w:val="5F510D33"/>
    <w:rsid w:val="5F540631"/>
    <w:rsid w:val="5F544EC5"/>
    <w:rsid w:val="5F580348"/>
    <w:rsid w:val="5F587009"/>
    <w:rsid w:val="5F5B5406"/>
    <w:rsid w:val="5F60236F"/>
    <w:rsid w:val="5F61145F"/>
    <w:rsid w:val="5F640C49"/>
    <w:rsid w:val="5F681F1D"/>
    <w:rsid w:val="5F685E6B"/>
    <w:rsid w:val="5F6B361D"/>
    <w:rsid w:val="5F6C0D00"/>
    <w:rsid w:val="5F6C1746"/>
    <w:rsid w:val="5F6D7F9B"/>
    <w:rsid w:val="5F6E607C"/>
    <w:rsid w:val="5F703B52"/>
    <w:rsid w:val="5F7071CA"/>
    <w:rsid w:val="5F753ABB"/>
    <w:rsid w:val="5F790C0F"/>
    <w:rsid w:val="5F79383A"/>
    <w:rsid w:val="5F8261BE"/>
    <w:rsid w:val="5F830D22"/>
    <w:rsid w:val="5F86603F"/>
    <w:rsid w:val="5F8B116D"/>
    <w:rsid w:val="5F8C7182"/>
    <w:rsid w:val="5F8F4C49"/>
    <w:rsid w:val="5F9A4EC6"/>
    <w:rsid w:val="5F9D66AA"/>
    <w:rsid w:val="5F9E76ED"/>
    <w:rsid w:val="5FA00073"/>
    <w:rsid w:val="5FA05A73"/>
    <w:rsid w:val="5FA232FA"/>
    <w:rsid w:val="5FA74D31"/>
    <w:rsid w:val="5FAA7C6F"/>
    <w:rsid w:val="5FAF36A8"/>
    <w:rsid w:val="5FB14795"/>
    <w:rsid w:val="5FB26929"/>
    <w:rsid w:val="5FB42312"/>
    <w:rsid w:val="5FB72D03"/>
    <w:rsid w:val="5FBA204D"/>
    <w:rsid w:val="5FC06FB3"/>
    <w:rsid w:val="5FC23405"/>
    <w:rsid w:val="5FC35BCC"/>
    <w:rsid w:val="5FC972D9"/>
    <w:rsid w:val="5FCB5EB9"/>
    <w:rsid w:val="5FCD0DEA"/>
    <w:rsid w:val="5FD04F36"/>
    <w:rsid w:val="5FD15ECD"/>
    <w:rsid w:val="5FD259F9"/>
    <w:rsid w:val="5FD338BA"/>
    <w:rsid w:val="5FD73531"/>
    <w:rsid w:val="5FD845D1"/>
    <w:rsid w:val="5FDC6039"/>
    <w:rsid w:val="5FDC788C"/>
    <w:rsid w:val="5FDD6D3D"/>
    <w:rsid w:val="5FDF7124"/>
    <w:rsid w:val="5FE7608D"/>
    <w:rsid w:val="5FE85B6D"/>
    <w:rsid w:val="5FEA1F78"/>
    <w:rsid w:val="5FF6182B"/>
    <w:rsid w:val="5FF778FC"/>
    <w:rsid w:val="5FFE5079"/>
    <w:rsid w:val="5FFE5FB8"/>
    <w:rsid w:val="600310B9"/>
    <w:rsid w:val="600D03CE"/>
    <w:rsid w:val="600F029F"/>
    <w:rsid w:val="60102FF2"/>
    <w:rsid w:val="60163727"/>
    <w:rsid w:val="601841A2"/>
    <w:rsid w:val="60224035"/>
    <w:rsid w:val="6022573E"/>
    <w:rsid w:val="60263930"/>
    <w:rsid w:val="60265228"/>
    <w:rsid w:val="60295233"/>
    <w:rsid w:val="602B00D4"/>
    <w:rsid w:val="602F217A"/>
    <w:rsid w:val="602F2258"/>
    <w:rsid w:val="60303049"/>
    <w:rsid w:val="603464A0"/>
    <w:rsid w:val="60357CDF"/>
    <w:rsid w:val="60384EC8"/>
    <w:rsid w:val="60391CA9"/>
    <w:rsid w:val="603B26AB"/>
    <w:rsid w:val="603E59E8"/>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63641"/>
    <w:rsid w:val="605723FE"/>
    <w:rsid w:val="605A0A19"/>
    <w:rsid w:val="605C0CAA"/>
    <w:rsid w:val="605D641F"/>
    <w:rsid w:val="60601FDE"/>
    <w:rsid w:val="60614ADD"/>
    <w:rsid w:val="606326E4"/>
    <w:rsid w:val="606534F3"/>
    <w:rsid w:val="60682F2D"/>
    <w:rsid w:val="60697CAB"/>
    <w:rsid w:val="606C12D8"/>
    <w:rsid w:val="607320DD"/>
    <w:rsid w:val="60787CC6"/>
    <w:rsid w:val="60794EFA"/>
    <w:rsid w:val="607C4475"/>
    <w:rsid w:val="607C6712"/>
    <w:rsid w:val="6081336F"/>
    <w:rsid w:val="60813DAD"/>
    <w:rsid w:val="608640C7"/>
    <w:rsid w:val="608B6200"/>
    <w:rsid w:val="608C11B6"/>
    <w:rsid w:val="608E7F63"/>
    <w:rsid w:val="609746D5"/>
    <w:rsid w:val="609E13F3"/>
    <w:rsid w:val="60A26796"/>
    <w:rsid w:val="60A32AE1"/>
    <w:rsid w:val="60AD14F1"/>
    <w:rsid w:val="60AD62CC"/>
    <w:rsid w:val="60AE5373"/>
    <w:rsid w:val="60B03269"/>
    <w:rsid w:val="60B0455A"/>
    <w:rsid w:val="60B5245E"/>
    <w:rsid w:val="60B715C8"/>
    <w:rsid w:val="60B975A7"/>
    <w:rsid w:val="60BA16B8"/>
    <w:rsid w:val="60BA4572"/>
    <w:rsid w:val="60BC4720"/>
    <w:rsid w:val="60BF187B"/>
    <w:rsid w:val="60BF3EDE"/>
    <w:rsid w:val="60CB0C4F"/>
    <w:rsid w:val="60CB3F45"/>
    <w:rsid w:val="60CD31BF"/>
    <w:rsid w:val="60CD6996"/>
    <w:rsid w:val="60CF1AFD"/>
    <w:rsid w:val="60D10038"/>
    <w:rsid w:val="60D14B17"/>
    <w:rsid w:val="60D15D31"/>
    <w:rsid w:val="60D27D9B"/>
    <w:rsid w:val="60D70105"/>
    <w:rsid w:val="60D85290"/>
    <w:rsid w:val="60DC666B"/>
    <w:rsid w:val="60DC6B40"/>
    <w:rsid w:val="60DD2F84"/>
    <w:rsid w:val="60DD4245"/>
    <w:rsid w:val="60DF6465"/>
    <w:rsid w:val="60DF6ADA"/>
    <w:rsid w:val="60E2490D"/>
    <w:rsid w:val="60E455D3"/>
    <w:rsid w:val="60E5134B"/>
    <w:rsid w:val="60E667AB"/>
    <w:rsid w:val="60E7004C"/>
    <w:rsid w:val="60EC56CE"/>
    <w:rsid w:val="60EE100D"/>
    <w:rsid w:val="60EE3E99"/>
    <w:rsid w:val="60F1255B"/>
    <w:rsid w:val="60F902F1"/>
    <w:rsid w:val="61000435"/>
    <w:rsid w:val="61036331"/>
    <w:rsid w:val="610405B8"/>
    <w:rsid w:val="61056465"/>
    <w:rsid w:val="610A162D"/>
    <w:rsid w:val="610D6258"/>
    <w:rsid w:val="610E50CF"/>
    <w:rsid w:val="6113099A"/>
    <w:rsid w:val="61152283"/>
    <w:rsid w:val="61152E2E"/>
    <w:rsid w:val="61156038"/>
    <w:rsid w:val="611F3693"/>
    <w:rsid w:val="61207F9A"/>
    <w:rsid w:val="61214A26"/>
    <w:rsid w:val="61232D1B"/>
    <w:rsid w:val="61235EB8"/>
    <w:rsid w:val="61242904"/>
    <w:rsid w:val="61255CCC"/>
    <w:rsid w:val="6128188D"/>
    <w:rsid w:val="61291022"/>
    <w:rsid w:val="612D1F8E"/>
    <w:rsid w:val="612E3913"/>
    <w:rsid w:val="612E51DD"/>
    <w:rsid w:val="61332D71"/>
    <w:rsid w:val="613476E0"/>
    <w:rsid w:val="6136745C"/>
    <w:rsid w:val="613D50E4"/>
    <w:rsid w:val="613D6A10"/>
    <w:rsid w:val="613E225F"/>
    <w:rsid w:val="613E2994"/>
    <w:rsid w:val="61442F51"/>
    <w:rsid w:val="61447E20"/>
    <w:rsid w:val="61455A57"/>
    <w:rsid w:val="614750A1"/>
    <w:rsid w:val="61493688"/>
    <w:rsid w:val="614B51C3"/>
    <w:rsid w:val="614B662B"/>
    <w:rsid w:val="614E1056"/>
    <w:rsid w:val="614F17BD"/>
    <w:rsid w:val="614F442B"/>
    <w:rsid w:val="61543D8E"/>
    <w:rsid w:val="61551667"/>
    <w:rsid w:val="615656CC"/>
    <w:rsid w:val="61583890"/>
    <w:rsid w:val="615914B0"/>
    <w:rsid w:val="615B04EA"/>
    <w:rsid w:val="61621A68"/>
    <w:rsid w:val="61636509"/>
    <w:rsid w:val="61667A0C"/>
    <w:rsid w:val="6169534D"/>
    <w:rsid w:val="61697404"/>
    <w:rsid w:val="616A0468"/>
    <w:rsid w:val="616A6A54"/>
    <w:rsid w:val="616B2B7B"/>
    <w:rsid w:val="616F5870"/>
    <w:rsid w:val="61717B03"/>
    <w:rsid w:val="61721D83"/>
    <w:rsid w:val="61736AD3"/>
    <w:rsid w:val="61750BBE"/>
    <w:rsid w:val="61755D08"/>
    <w:rsid w:val="617946B7"/>
    <w:rsid w:val="617A153A"/>
    <w:rsid w:val="617E6773"/>
    <w:rsid w:val="61800291"/>
    <w:rsid w:val="61856EFD"/>
    <w:rsid w:val="618E4412"/>
    <w:rsid w:val="61914D61"/>
    <w:rsid w:val="619A5E1C"/>
    <w:rsid w:val="619B2470"/>
    <w:rsid w:val="619B6BFC"/>
    <w:rsid w:val="619C1E94"/>
    <w:rsid w:val="619E73A5"/>
    <w:rsid w:val="619F599E"/>
    <w:rsid w:val="619F7775"/>
    <w:rsid w:val="61A12EDF"/>
    <w:rsid w:val="61A151CF"/>
    <w:rsid w:val="61A40AB6"/>
    <w:rsid w:val="61AD1BA1"/>
    <w:rsid w:val="61AE54CE"/>
    <w:rsid w:val="61B12FBB"/>
    <w:rsid w:val="61B301C0"/>
    <w:rsid w:val="61B3596D"/>
    <w:rsid w:val="61B65297"/>
    <w:rsid w:val="61B82B4E"/>
    <w:rsid w:val="61B9258E"/>
    <w:rsid w:val="61BB129B"/>
    <w:rsid w:val="61BC2B74"/>
    <w:rsid w:val="61BC5EB6"/>
    <w:rsid w:val="61C100D1"/>
    <w:rsid w:val="61C13BC2"/>
    <w:rsid w:val="61C176C2"/>
    <w:rsid w:val="61C96577"/>
    <w:rsid w:val="61CA03E4"/>
    <w:rsid w:val="61CC6D7B"/>
    <w:rsid w:val="61CC7529"/>
    <w:rsid w:val="61CF63F3"/>
    <w:rsid w:val="61D10E1F"/>
    <w:rsid w:val="61D205F4"/>
    <w:rsid w:val="61D770D4"/>
    <w:rsid w:val="61D92C97"/>
    <w:rsid w:val="61DC4AB9"/>
    <w:rsid w:val="61DE5EDD"/>
    <w:rsid w:val="61DF2EE7"/>
    <w:rsid w:val="61E46C9A"/>
    <w:rsid w:val="61E575AD"/>
    <w:rsid w:val="61E97715"/>
    <w:rsid w:val="61EC296B"/>
    <w:rsid w:val="61EC5A29"/>
    <w:rsid w:val="61F0010E"/>
    <w:rsid w:val="61F061FA"/>
    <w:rsid w:val="61F06EAF"/>
    <w:rsid w:val="61F11509"/>
    <w:rsid w:val="61F270A1"/>
    <w:rsid w:val="61FD0FD9"/>
    <w:rsid w:val="61FD79F9"/>
    <w:rsid w:val="61FF3248"/>
    <w:rsid w:val="62012652"/>
    <w:rsid w:val="62111F76"/>
    <w:rsid w:val="621164BE"/>
    <w:rsid w:val="62121B9F"/>
    <w:rsid w:val="6213536D"/>
    <w:rsid w:val="62136B46"/>
    <w:rsid w:val="62166E82"/>
    <w:rsid w:val="62172ED0"/>
    <w:rsid w:val="6217398D"/>
    <w:rsid w:val="621810B5"/>
    <w:rsid w:val="621A6523"/>
    <w:rsid w:val="621B3354"/>
    <w:rsid w:val="621D6631"/>
    <w:rsid w:val="622223DD"/>
    <w:rsid w:val="62234110"/>
    <w:rsid w:val="62266C8F"/>
    <w:rsid w:val="62281AAE"/>
    <w:rsid w:val="622D2E80"/>
    <w:rsid w:val="622E7601"/>
    <w:rsid w:val="622F77F4"/>
    <w:rsid w:val="6232376D"/>
    <w:rsid w:val="62326C70"/>
    <w:rsid w:val="62327D00"/>
    <w:rsid w:val="623368B4"/>
    <w:rsid w:val="62345AE0"/>
    <w:rsid w:val="62355886"/>
    <w:rsid w:val="623611EB"/>
    <w:rsid w:val="62377985"/>
    <w:rsid w:val="623818BE"/>
    <w:rsid w:val="623877E3"/>
    <w:rsid w:val="623B0843"/>
    <w:rsid w:val="623B1B1B"/>
    <w:rsid w:val="623C78A9"/>
    <w:rsid w:val="623F3D94"/>
    <w:rsid w:val="624233B2"/>
    <w:rsid w:val="624243AC"/>
    <w:rsid w:val="62435967"/>
    <w:rsid w:val="62465639"/>
    <w:rsid w:val="624C1C13"/>
    <w:rsid w:val="624D6C96"/>
    <w:rsid w:val="624E1D8C"/>
    <w:rsid w:val="624E6E00"/>
    <w:rsid w:val="62507412"/>
    <w:rsid w:val="62512606"/>
    <w:rsid w:val="62514E5B"/>
    <w:rsid w:val="62535233"/>
    <w:rsid w:val="62563BD7"/>
    <w:rsid w:val="6258068B"/>
    <w:rsid w:val="6258766E"/>
    <w:rsid w:val="625B4411"/>
    <w:rsid w:val="625B7B17"/>
    <w:rsid w:val="625E003D"/>
    <w:rsid w:val="62611035"/>
    <w:rsid w:val="626349AF"/>
    <w:rsid w:val="626C4A76"/>
    <w:rsid w:val="626E3E68"/>
    <w:rsid w:val="626E46FF"/>
    <w:rsid w:val="626E692A"/>
    <w:rsid w:val="6270755D"/>
    <w:rsid w:val="62753385"/>
    <w:rsid w:val="627574A7"/>
    <w:rsid w:val="62772719"/>
    <w:rsid w:val="627802FC"/>
    <w:rsid w:val="62785672"/>
    <w:rsid w:val="627B5F73"/>
    <w:rsid w:val="627D5728"/>
    <w:rsid w:val="627D689B"/>
    <w:rsid w:val="627E1E58"/>
    <w:rsid w:val="627E206E"/>
    <w:rsid w:val="628506F0"/>
    <w:rsid w:val="6287244C"/>
    <w:rsid w:val="628770E5"/>
    <w:rsid w:val="62896A91"/>
    <w:rsid w:val="628A03FC"/>
    <w:rsid w:val="628B00A2"/>
    <w:rsid w:val="628C09C7"/>
    <w:rsid w:val="628F40DF"/>
    <w:rsid w:val="62920AB4"/>
    <w:rsid w:val="6292476C"/>
    <w:rsid w:val="629534DC"/>
    <w:rsid w:val="629771C2"/>
    <w:rsid w:val="629E1335"/>
    <w:rsid w:val="629F013B"/>
    <w:rsid w:val="629F60B9"/>
    <w:rsid w:val="62A41849"/>
    <w:rsid w:val="62A42D9E"/>
    <w:rsid w:val="62AA773C"/>
    <w:rsid w:val="62AB2F53"/>
    <w:rsid w:val="62AB5E2A"/>
    <w:rsid w:val="62AD76D9"/>
    <w:rsid w:val="62B01A05"/>
    <w:rsid w:val="62B25993"/>
    <w:rsid w:val="62B33B9F"/>
    <w:rsid w:val="62B40FD5"/>
    <w:rsid w:val="62B843CD"/>
    <w:rsid w:val="62B852EE"/>
    <w:rsid w:val="62BA7203"/>
    <w:rsid w:val="62BF00E5"/>
    <w:rsid w:val="62C2363F"/>
    <w:rsid w:val="62C42780"/>
    <w:rsid w:val="62C6537F"/>
    <w:rsid w:val="62C86052"/>
    <w:rsid w:val="62CD5D42"/>
    <w:rsid w:val="62CE33E4"/>
    <w:rsid w:val="62D03E02"/>
    <w:rsid w:val="62D83C1B"/>
    <w:rsid w:val="62D91866"/>
    <w:rsid w:val="62DD677E"/>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C2DE5"/>
    <w:rsid w:val="6321472B"/>
    <w:rsid w:val="632273B0"/>
    <w:rsid w:val="63281CF2"/>
    <w:rsid w:val="632C317C"/>
    <w:rsid w:val="633050B1"/>
    <w:rsid w:val="633B2068"/>
    <w:rsid w:val="633C5EC4"/>
    <w:rsid w:val="633F12CF"/>
    <w:rsid w:val="63464D2B"/>
    <w:rsid w:val="6348715F"/>
    <w:rsid w:val="634C4666"/>
    <w:rsid w:val="634C500F"/>
    <w:rsid w:val="634D5141"/>
    <w:rsid w:val="634E6ED0"/>
    <w:rsid w:val="634F6AC2"/>
    <w:rsid w:val="63553CA4"/>
    <w:rsid w:val="63556098"/>
    <w:rsid w:val="63563C38"/>
    <w:rsid w:val="63595CB4"/>
    <w:rsid w:val="63601FBD"/>
    <w:rsid w:val="63623CDC"/>
    <w:rsid w:val="63641F85"/>
    <w:rsid w:val="63682814"/>
    <w:rsid w:val="63686570"/>
    <w:rsid w:val="636970D6"/>
    <w:rsid w:val="636D7A34"/>
    <w:rsid w:val="636F6A0B"/>
    <w:rsid w:val="63732B49"/>
    <w:rsid w:val="63732C3E"/>
    <w:rsid w:val="637A5D7B"/>
    <w:rsid w:val="637A7FA7"/>
    <w:rsid w:val="637B0797"/>
    <w:rsid w:val="637E666A"/>
    <w:rsid w:val="638265D8"/>
    <w:rsid w:val="63852ADB"/>
    <w:rsid w:val="638652F6"/>
    <w:rsid w:val="63893EB7"/>
    <w:rsid w:val="63913B0F"/>
    <w:rsid w:val="63940FA3"/>
    <w:rsid w:val="639461E6"/>
    <w:rsid w:val="639500B7"/>
    <w:rsid w:val="63953FB7"/>
    <w:rsid w:val="63975D58"/>
    <w:rsid w:val="6399194E"/>
    <w:rsid w:val="639B5675"/>
    <w:rsid w:val="639D7CBB"/>
    <w:rsid w:val="639E4E67"/>
    <w:rsid w:val="63A829BF"/>
    <w:rsid w:val="63A90196"/>
    <w:rsid w:val="63AA2DF8"/>
    <w:rsid w:val="63AB0C37"/>
    <w:rsid w:val="63AF7176"/>
    <w:rsid w:val="63B25CB4"/>
    <w:rsid w:val="63B6069C"/>
    <w:rsid w:val="63BD4B2B"/>
    <w:rsid w:val="63C0084D"/>
    <w:rsid w:val="63C36ECD"/>
    <w:rsid w:val="63C51369"/>
    <w:rsid w:val="63C90AB0"/>
    <w:rsid w:val="63C945DB"/>
    <w:rsid w:val="63C95A6C"/>
    <w:rsid w:val="63CA646A"/>
    <w:rsid w:val="63CB6250"/>
    <w:rsid w:val="63CC1CDB"/>
    <w:rsid w:val="63CD131A"/>
    <w:rsid w:val="63D141F4"/>
    <w:rsid w:val="63D170E5"/>
    <w:rsid w:val="63D311F3"/>
    <w:rsid w:val="63D43F2B"/>
    <w:rsid w:val="63D64757"/>
    <w:rsid w:val="63EA0CD3"/>
    <w:rsid w:val="63EB2C6D"/>
    <w:rsid w:val="63ED3B95"/>
    <w:rsid w:val="63EF30C8"/>
    <w:rsid w:val="63F471E7"/>
    <w:rsid w:val="63F562AA"/>
    <w:rsid w:val="63F957C8"/>
    <w:rsid w:val="63FA58E9"/>
    <w:rsid w:val="63FA664B"/>
    <w:rsid w:val="63FD511B"/>
    <w:rsid w:val="63FE23A5"/>
    <w:rsid w:val="640054D1"/>
    <w:rsid w:val="64035BE9"/>
    <w:rsid w:val="64043452"/>
    <w:rsid w:val="640639AC"/>
    <w:rsid w:val="640A7F6D"/>
    <w:rsid w:val="6415698F"/>
    <w:rsid w:val="641C56BF"/>
    <w:rsid w:val="64221251"/>
    <w:rsid w:val="6422465A"/>
    <w:rsid w:val="64235BB7"/>
    <w:rsid w:val="64260812"/>
    <w:rsid w:val="64267AC6"/>
    <w:rsid w:val="64293D66"/>
    <w:rsid w:val="642B3E56"/>
    <w:rsid w:val="642E6F74"/>
    <w:rsid w:val="642F2514"/>
    <w:rsid w:val="64303087"/>
    <w:rsid w:val="643300A0"/>
    <w:rsid w:val="64357A1E"/>
    <w:rsid w:val="643618C7"/>
    <w:rsid w:val="64393652"/>
    <w:rsid w:val="64393C7E"/>
    <w:rsid w:val="643979E4"/>
    <w:rsid w:val="643B5B06"/>
    <w:rsid w:val="643D572C"/>
    <w:rsid w:val="644122C9"/>
    <w:rsid w:val="644553A7"/>
    <w:rsid w:val="64473F5B"/>
    <w:rsid w:val="644840CB"/>
    <w:rsid w:val="644C1378"/>
    <w:rsid w:val="644F2252"/>
    <w:rsid w:val="6450168A"/>
    <w:rsid w:val="64561D34"/>
    <w:rsid w:val="64571CFE"/>
    <w:rsid w:val="645750BF"/>
    <w:rsid w:val="64586BD9"/>
    <w:rsid w:val="645F0CA8"/>
    <w:rsid w:val="646628A7"/>
    <w:rsid w:val="646678BC"/>
    <w:rsid w:val="646A4041"/>
    <w:rsid w:val="646D2593"/>
    <w:rsid w:val="6473108B"/>
    <w:rsid w:val="64740A1C"/>
    <w:rsid w:val="64757058"/>
    <w:rsid w:val="64766D22"/>
    <w:rsid w:val="647B48FE"/>
    <w:rsid w:val="647C03BF"/>
    <w:rsid w:val="647E0600"/>
    <w:rsid w:val="647F7A80"/>
    <w:rsid w:val="6481300B"/>
    <w:rsid w:val="64820488"/>
    <w:rsid w:val="64836BEC"/>
    <w:rsid w:val="648476D2"/>
    <w:rsid w:val="64851189"/>
    <w:rsid w:val="64862AB5"/>
    <w:rsid w:val="64866915"/>
    <w:rsid w:val="64887A01"/>
    <w:rsid w:val="648A6CB8"/>
    <w:rsid w:val="648C0FFC"/>
    <w:rsid w:val="648F3AA8"/>
    <w:rsid w:val="649034AC"/>
    <w:rsid w:val="649106C8"/>
    <w:rsid w:val="64923598"/>
    <w:rsid w:val="64946153"/>
    <w:rsid w:val="64987975"/>
    <w:rsid w:val="649D0EF1"/>
    <w:rsid w:val="649F6671"/>
    <w:rsid w:val="64A35161"/>
    <w:rsid w:val="64A446C1"/>
    <w:rsid w:val="64A70DF2"/>
    <w:rsid w:val="64A77044"/>
    <w:rsid w:val="64A849B7"/>
    <w:rsid w:val="64A8567D"/>
    <w:rsid w:val="64A92113"/>
    <w:rsid w:val="64B5360F"/>
    <w:rsid w:val="64B67C17"/>
    <w:rsid w:val="64B70592"/>
    <w:rsid w:val="64C23318"/>
    <w:rsid w:val="64C52C53"/>
    <w:rsid w:val="64CB017F"/>
    <w:rsid w:val="64CC4F0C"/>
    <w:rsid w:val="64D137CB"/>
    <w:rsid w:val="64D310A6"/>
    <w:rsid w:val="64D3285D"/>
    <w:rsid w:val="64D76C08"/>
    <w:rsid w:val="64DE12B9"/>
    <w:rsid w:val="64DE181E"/>
    <w:rsid w:val="64E250A7"/>
    <w:rsid w:val="64F04632"/>
    <w:rsid w:val="64F31A67"/>
    <w:rsid w:val="64F37E41"/>
    <w:rsid w:val="64F8151B"/>
    <w:rsid w:val="64FC0433"/>
    <w:rsid w:val="64FC064F"/>
    <w:rsid w:val="64FD2CFA"/>
    <w:rsid w:val="64FF6A3E"/>
    <w:rsid w:val="65017949"/>
    <w:rsid w:val="65056F2E"/>
    <w:rsid w:val="650642AE"/>
    <w:rsid w:val="65067188"/>
    <w:rsid w:val="65067276"/>
    <w:rsid w:val="65075D34"/>
    <w:rsid w:val="65085EAA"/>
    <w:rsid w:val="65091AAC"/>
    <w:rsid w:val="650E0BDF"/>
    <w:rsid w:val="65110594"/>
    <w:rsid w:val="651574A6"/>
    <w:rsid w:val="65212EC6"/>
    <w:rsid w:val="652511AB"/>
    <w:rsid w:val="65273CE0"/>
    <w:rsid w:val="652810B6"/>
    <w:rsid w:val="65282444"/>
    <w:rsid w:val="652835C0"/>
    <w:rsid w:val="652C1DBE"/>
    <w:rsid w:val="652C62E3"/>
    <w:rsid w:val="652C6E01"/>
    <w:rsid w:val="652D4B56"/>
    <w:rsid w:val="652F2C5A"/>
    <w:rsid w:val="652F6E54"/>
    <w:rsid w:val="6538572D"/>
    <w:rsid w:val="65394932"/>
    <w:rsid w:val="653C50AB"/>
    <w:rsid w:val="653D2DA3"/>
    <w:rsid w:val="65424E85"/>
    <w:rsid w:val="6546685C"/>
    <w:rsid w:val="654A26D8"/>
    <w:rsid w:val="654A49D6"/>
    <w:rsid w:val="654C2D69"/>
    <w:rsid w:val="654E67DA"/>
    <w:rsid w:val="654F0E15"/>
    <w:rsid w:val="65517808"/>
    <w:rsid w:val="655318DF"/>
    <w:rsid w:val="65537F6C"/>
    <w:rsid w:val="65554C66"/>
    <w:rsid w:val="6557194C"/>
    <w:rsid w:val="65572A85"/>
    <w:rsid w:val="6558728B"/>
    <w:rsid w:val="655A6851"/>
    <w:rsid w:val="655B2A47"/>
    <w:rsid w:val="655B6E58"/>
    <w:rsid w:val="656164B1"/>
    <w:rsid w:val="656949D4"/>
    <w:rsid w:val="656D335A"/>
    <w:rsid w:val="65704CA9"/>
    <w:rsid w:val="65710EFD"/>
    <w:rsid w:val="657443FC"/>
    <w:rsid w:val="65747D21"/>
    <w:rsid w:val="65754049"/>
    <w:rsid w:val="65794089"/>
    <w:rsid w:val="657E1FC1"/>
    <w:rsid w:val="658635A3"/>
    <w:rsid w:val="65866B03"/>
    <w:rsid w:val="658675D6"/>
    <w:rsid w:val="658A7F2E"/>
    <w:rsid w:val="658D6818"/>
    <w:rsid w:val="658E3BC4"/>
    <w:rsid w:val="658F4B24"/>
    <w:rsid w:val="6591031E"/>
    <w:rsid w:val="65927369"/>
    <w:rsid w:val="659426D6"/>
    <w:rsid w:val="659451DC"/>
    <w:rsid w:val="659605FB"/>
    <w:rsid w:val="659833E4"/>
    <w:rsid w:val="659902E6"/>
    <w:rsid w:val="65993081"/>
    <w:rsid w:val="659E5C9F"/>
    <w:rsid w:val="65A13A93"/>
    <w:rsid w:val="65A24BC0"/>
    <w:rsid w:val="65A32EB5"/>
    <w:rsid w:val="65A5523E"/>
    <w:rsid w:val="65A702A8"/>
    <w:rsid w:val="65A73734"/>
    <w:rsid w:val="65A8180A"/>
    <w:rsid w:val="65A833DA"/>
    <w:rsid w:val="65A84E79"/>
    <w:rsid w:val="65AC197F"/>
    <w:rsid w:val="65B01F28"/>
    <w:rsid w:val="65B36E89"/>
    <w:rsid w:val="65B73D7D"/>
    <w:rsid w:val="65B84B4C"/>
    <w:rsid w:val="65B87625"/>
    <w:rsid w:val="65BB0388"/>
    <w:rsid w:val="65BF0141"/>
    <w:rsid w:val="65C00521"/>
    <w:rsid w:val="65C12A97"/>
    <w:rsid w:val="65C317A3"/>
    <w:rsid w:val="65C93E54"/>
    <w:rsid w:val="65CB435F"/>
    <w:rsid w:val="65CB443A"/>
    <w:rsid w:val="65D340D7"/>
    <w:rsid w:val="65D74082"/>
    <w:rsid w:val="65D75E79"/>
    <w:rsid w:val="65D843D3"/>
    <w:rsid w:val="65DB7271"/>
    <w:rsid w:val="65DD6613"/>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B0455"/>
    <w:rsid w:val="66111A32"/>
    <w:rsid w:val="66126B8D"/>
    <w:rsid w:val="66153762"/>
    <w:rsid w:val="66154481"/>
    <w:rsid w:val="66176767"/>
    <w:rsid w:val="661B1BCF"/>
    <w:rsid w:val="661B6A82"/>
    <w:rsid w:val="66281CC3"/>
    <w:rsid w:val="662B70D7"/>
    <w:rsid w:val="662F2D45"/>
    <w:rsid w:val="66312E2B"/>
    <w:rsid w:val="663220D8"/>
    <w:rsid w:val="6634390E"/>
    <w:rsid w:val="6637091A"/>
    <w:rsid w:val="663E5B7F"/>
    <w:rsid w:val="66422075"/>
    <w:rsid w:val="66426302"/>
    <w:rsid w:val="66434BC3"/>
    <w:rsid w:val="66443C77"/>
    <w:rsid w:val="664D043F"/>
    <w:rsid w:val="664E0737"/>
    <w:rsid w:val="664E152A"/>
    <w:rsid w:val="664E527A"/>
    <w:rsid w:val="664F41FD"/>
    <w:rsid w:val="66544BF7"/>
    <w:rsid w:val="66575A56"/>
    <w:rsid w:val="665A1838"/>
    <w:rsid w:val="665A3324"/>
    <w:rsid w:val="665E3732"/>
    <w:rsid w:val="66617907"/>
    <w:rsid w:val="6662597E"/>
    <w:rsid w:val="66633711"/>
    <w:rsid w:val="66646DBD"/>
    <w:rsid w:val="66667F68"/>
    <w:rsid w:val="666A21C6"/>
    <w:rsid w:val="666F5117"/>
    <w:rsid w:val="66700A12"/>
    <w:rsid w:val="66701F38"/>
    <w:rsid w:val="667B039A"/>
    <w:rsid w:val="667C3953"/>
    <w:rsid w:val="667D23D7"/>
    <w:rsid w:val="667D6A1C"/>
    <w:rsid w:val="667F2B83"/>
    <w:rsid w:val="6687665F"/>
    <w:rsid w:val="668F1114"/>
    <w:rsid w:val="6690426F"/>
    <w:rsid w:val="6692316E"/>
    <w:rsid w:val="66944097"/>
    <w:rsid w:val="66944571"/>
    <w:rsid w:val="6696173B"/>
    <w:rsid w:val="669A2DA9"/>
    <w:rsid w:val="669E24FD"/>
    <w:rsid w:val="669E4476"/>
    <w:rsid w:val="66A03469"/>
    <w:rsid w:val="66A20497"/>
    <w:rsid w:val="66A2109C"/>
    <w:rsid w:val="66A21782"/>
    <w:rsid w:val="66A77173"/>
    <w:rsid w:val="66A84A8A"/>
    <w:rsid w:val="66AB6E66"/>
    <w:rsid w:val="66AC2E1F"/>
    <w:rsid w:val="66AD6911"/>
    <w:rsid w:val="66AF0077"/>
    <w:rsid w:val="66B07D06"/>
    <w:rsid w:val="66B167BD"/>
    <w:rsid w:val="66B76593"/>
    <w:rsid w:val="66B81B78"/>
    <w:rsid w:val="66B91549"/>
    <w:rsid w:val="66BE152B"/>
    <w:rsid w:val="66BE454B"/>
    <w:rsid w:val="66BF08D3"/>
    <w:rsid w:val="66C02BFB"/>
    <w:rsid w:val="66C400B0"/>
    <w:rsid w:val="66C631C4"/>
    <w:rsid w:val="66C8504F"/>
    <w:rsid w:val="66CC5EDC"/>
    <w:rsid w:val="66D0175B"/>
    <w:rsid w:val="66D3451E"/>
    <w:rsid w:val="66D71874"/>
    <w:rsid w:val="66D76BE3"/>
    <w:rsid w:val="66D96C69"/>
    <w:rsid w:val="66DE2AC5"/>
    <w:rsid w:val="66E77BCB"/>
    <w:rsid w:val="66E804CE"/>
    <w:rsid w:val="66EB6361"/>
    <w:rsid w:val="66ED5A4E"/>
    <w:rsid w:val="66EE05C2"/>
    <w:rsid w:val="66F1153E"/>
    <w:rsid w:val="66F14CED"/>
    <w:rsid w:val="66F347C2"/>
    <w:rsid w:val="66F74533"/>
    <w:rsid w:val="66FD6FD3"/>
    <w:rsid w:val="66FF63E7"/>
    <w:rsid w:val="670267B3"/>
    <w:rsid w:val="67044395"/>
    <w:rsid w:val="67046B1A"/>
    <w:rsid w:val="67063087"/>
    <w:rsid w:val="67065C43"/>
    <w:rsid w:val="67076DAF"/>
    <w:rsid w:val="67077743"/>
    <w:rsid w:val="67097888"/>
    <w:rsid w:val="670B3DCF"/>
    <w:rsid w:val="67120B0B"/>
    <w:rsid w:val="671775CB"/>
    <w:rsid w:val="67185726"/>
    <w:rsid w:val="671B5AC7"/>
    <w:rsid w:val="67233DA9"/>
    <w:rsid w:val="6725229E"/>
    <w:rsid w:val="67281B80"/>
    <w:rsid w:val="672C62F1"/>
    <w:rsid w:val="672F2353"/>
    <w:rsid w:val="673033D3"/>
    <w:rsid w:val="67347DA4"/>
    <w:rsid w:val="673634AD"/>
    <w:rsid w:val="67370C72"/>
    <w:rsid w:val="673821D5"/>
    <w:rsid w:val="673C5F52"/>
    <w:rsid w:val="673E504C"/>
    <w:rsid w:val="67414C3C"/>
    <w:rsid w:val="674403B9"/>
    <w:rsid w:val="67446DCC"/>
    <w:rsid w:val="67450352"/>
    <w:rsid w:val="67452010"/>
    <w:rsid w:val="674B7FFB"/>
    <w:rsid w:val="67514D62"/>
    <w:rsid w:val="67547144"/>
    <w:rsid w:val="6754752E"/>
    <w:rsid w:val="675524B4"/>
    <w:rsid w:val="67597347"/>
    <w:rsid w:val="675C355A"/>
    <w:rsid w:val="67660DE6"/>
    <w:rsid w:val="67673DB5"/>
    <w:rsid w:val="67674F82"/>
    <w:rsid w:val="676A4395"/>
    <w:rsid w:val="676B7A40"/>
    <w:rsid w:val="676E5C69"/>
    <w:rsid w:val="676F11D5"/>
    <w:rsid w:val="676F2541"/>
    <w:rsid w:val="6771125B"/>
    <w:rsid w:val="67757527"/>
    <w:rsid w:val="67760F4F"/>
    <w:rsid w:val="6779193D"/>
    <w:rsid w:val="677B0414"/>
    <w:rsid w:val="677B083A"/>
    <w:rsid w:val="677C710D"/>
    <w:rsid w:val="677E05E4"/>
    <w:rsid w:val="677E1A8F"/>
    <w:rsid w:val="677F3A3C"/>
    <w:rsid w:val="678078AD"/>
    <w:rsid w:val="67836BDB"/>
    <w:rsid w:val="6784199D"/>
    <w:rsid w:val="678D5027"/>
    <w:rsid w:val="678D5106"/>
    <w:rsid w:val="678F39DE"/>
    <w:rsid w:val="67921CA0"/>
    <w:rsid w:val="679835FD"/>
    <w:rsid w:val="67987C3D"/>
    <w:rsid w:val="679900DA"/>
    <w:rsid w:val="679B7247"/>
    <w:rsid w:val="679C14F1"/>
    <w:rsid w:val="679E07C6"/>
    <w:rsid w:val="679E2E72"/>
    <w:rsid w:val="679F34A7"/>
    <w:rsid w:val="67A243B9"/>
    <w:rsid w:val="67A563E9"/>
    <w:rsid w:val="67A6307C"/>
    <w:rsid w:val="67A64B1E"/>
    <w:rsid w:val="67A8786A"/>
    <w:rsid w:val="67A909C3"/>
    <w:rsid w:val="67AA4E89"/>
    <w:rsid w:val="67AC3A7D"/>
    <w:rsid w:val="67B00A63"/>
    <w:rsid w:val="67B02F86"/>
    <w:rsid w:val="67B114ED"/>
    <w:rsid w:val="67B37F7F"/>
    <w:rsid w:val="67B538AE"/>
    <w:rsid w:val="67B805CF"/>
    <w:rsid w:val="67B96F35"/>
    <w:rsid w:val="67C5379F"/>
    <w:rsid w:val="67CA4386"/>
    <w:rsid w:val="67CD7150"/>
    <w:rsid w:val="67D10B9C"/>
    <w:rsid w:val="67D25AB4"/>
    <w:rsid w:val="67D612B3"/>
    <w:rsid w:val="67D70A29"/>
    <w:rsid w:val="67D87514"/>
    <w:rsid w:val="67DF0A23"/>
    <w:rsid w:val="67E37C9E"/>
    <w:rsid w:val="67E62ACA"/>
    <w:rsid w:val="67E92F45"/>
    <w:rsid w:val="67E94456"/>
    <w:rsid w:val="67EA4464"/>
    <w:rsid w:val="67EA593C"/>
    <w:rsid w:val="67EC7E69"/>
    <w:rsid w:val="67EF53F5"/>
    <w:rsid w:val="67F17E0B"/>
    <w:rsid w:val="67F3004F"/>
    <w:rsid w:val="67F36D1A"/>
    <w:rsid w:val="67F36F5C"/>
    <w:rsid w:val="67F53FC8"/>
    <w:rsid w:val="67F7322A"/>
    <w:rsid w:val="67F73EB5"/>
    <w:rsid w:val="67F82529"/>
    <w:rsid w:val="67FB5062"/>
    <w:rsid w:val="67FC7C35"/>
    <w:rsid w:val="68006EFF"/>
    <w:rsid w:val="680321BC"/>
    <w:rsid w:val="68051A2B"/>
    <w:rsid w:val="6807566D"/>
    <w:rsid w:val="68077DF9"/>
    <w:rsid w:val="68084E41"/>
    <w:rsid w:val="680A3788"/>
    <w:rsid w:val="680A6AA5"/>
    <w:rsid w:val="680B1DC8"/>
    <w:rsid w:val="680C60B3"/>
    <w:rsid w:val="680E2F36"/>
    <w:rsid w:val="68121128"/>
    <w:rsid w:val="68154BEC"/>
    <w:rsid w:val="681D0AF2"/>
    <w:rsid w:val="681D521E"/>
    <w:rsid w:val="681E22E4"/>
    <w:rsid w:val="68264723"/>
    <w:rsid w:val="68271250"/>
    <w:rsid w:val="6829279C"/>
    <w:rsid w:val="682A5B2C"/>
    <w:rsid w:val="682C0E2D"/>
    <w:rsid w:val="682D2256"/>
    <w:rsid w:val="682D7E4D"/>
    <w:rsid w:val="68334662"/>
    <w:rsid w:val="68344467"/>
    <w:rsid w:val="683C069A"/>
    <w:rsid w:val="683E1A6D"/>
    <w:rsid w:val="684A6E8D"/>
    <w:rsid w:val="684E4C3B"/>
    <w:rsid w:val="684F4DF1"/>
    <w:rsid w:val="68522762"/>
    <w:rsid w:val="68541A0D"/>
    <w:rsid w:val="685500F8"/>
    <w:rsid w:val="6855620F"/>
    <w:rsid w:val="6859176A"/>
    <w:rsid w:val="685E738A"/>
    <w:rsid w:val="68630AA0"/>
    <w:rsid w:val="686716E8"/>
    <w:rsid w:val="6868146A"/>
    <w:rsid w:val="68686F8D"/>
    <w:rsid w:val="6869150C"/>
    <w:rsid w:val="68691FA6"/>
    <w:rsid w:val="686964F5"/>
    <w:rsid w:val="686B5959"/>
    <w:rsid w:val="686F2514"/>
    <w:rsid w:val="68700B0D"/>
    <w:rsid w:val="68715CA9"/>
    <w:rsid w:val="687433D5"/>
    <w:rsid w:val="687460E8"/>
    <w:rsid w:val="687B1E20"/>
    <w:rsid w:val="687B654F"/>
    <w:rsid w:val="687D644E"/>
    <w:rsid w:val="68817B6A"/>
    <w:rsid w:val="68892900"/>
    <w:rsid w:val="688A3F04"/>
    <w:rsid w:val="688B4B9E"/>
    <w:rsid w:val="688C6B52"/>
    <w:rsid w:val="688D2BBF"/>
    <w:rsid w:val="68927DC1"/>
    <w:rsid w:val="68981844"/>
    <w:rsid w:val="689A389B"/>
    <w:rsid w:val="689D337A"/>
    <w:rsid w:val="68A32D7D"/>
    <w:rsid w:val="68A52111"/>
    <w:rsid w:val="68A6500E"/>
    <w:rsid w:val="68A6502A"/>
    <w:rsid w:val="68A761C6"/>
    <w:rsid w:val="68A76544"/>
    <w:rsid w:val="68AC5B18"/>
    <w:rsid w:val="68B44C6D"/>
    <w:rsid w:val="68B7189A"/>
    <w:rsid w:val="68B75894"/>
    <w:rsid w:val="68B76844"/>
    <w:rsid w:val="68BA4E6C"/>
    <w:rsid w:val="68BC0481"/>
    <w:rsid w:val="68BD66D8"/>
    <w:rsid w:val="68C0267A"/>
    <w:rsid w:val="68C074E9"/>
    <w:rsid w:val="68C11E75"/>
    <w:rsid w:val="68C56718"/>
    <w:rsid w:val="68C879AD"/>
    <w:rsid w:val="68CE0C94"/>
    <w:rsid w:val="68CF698B"/>
    <w:rsid w:val="68D301A9"/>
    <w:rsid w:val="68D4106C"/>
    <w:rsid w:val="68D44A3B"/>
    <w:rsid w:val="68D57C16"/>
    <w:rsid w:val="68DA0E46"/>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1503B"/>
    <w:rsid w:val="69046EB2"/>
    <w:rsid w:val="69072139"/>
    <w:rsid w:val="69080BA7"/>
    <w:rsid w:val="690B386C"/>
    <w:rsid w:val="690C687E"/>
    <w:rsid w:val="69117181"/>
    <w:rsid w:val="69133C03"/>
    <w:rsid w:val="69157049"/>
    <w:rsid w:val="691645AD"/>
    <w:rsid w:val="691720B5"/>
    <w:rsid w:val="691816E8"/>
    <w:rsid w:val="691A42A9"/>
    <w:rsid w:val="691C028A"/>
    <w:rsid w:val="691E201D"/>
    <w:rsid w:val="692109E6"/>
    <w:rsid w:val="69215250"/>
    <w:rsid w:val="69286353"/>
    <w:rsid w:val="69293D04"/>
    <w:rsid w:val="692A5EA3"/>
    <w:rsid w:val="692D5C38"/>
    <w:rsid w:val="69362BF6"/>
    <w:rsid w:val="693645BE"/>
    <w:rsid w:val="69377EB5"/>
    <w:rsid w:val="69380E48"/>
    <w:rsid w:val="693A6EB9"/>
    <w:rsid w:val="693E052C"/>
    <w:rsid w:val="69484925"/>
    <w:rsid w:val="694C27B0"/>
    <w:rsid w:val="69536378"/>
    <w:rsid w:val="695527BF"/>
    <w:rsid w:val="695C038F"/>
    <w:rsid w:val="695F2186"/>
    <w:rsid w:val="695F27C6"/>
    <w:rsid w:val="695F2C30"/>
    <w:rsid w:val="69622B0D"/>
    <w:rsid w:val="6967586B"/>
    <w:rsid w:val="696957BB"/>
    <w:rsid w:val="69706866"/>
    <w:rsid w:val="697228FA"/>
    <w:rsid w:val="69724E14"/>
    <w:rsid w:val="69733349"/>
    <w:rsid w:val="69735746"/>
    <w:rsid w:val="69767DA5"/>
    <w:rsid w:val="69781F2D"/>
    <w:rsid w:val="6979175C"/>
    <w:rsid w:val="697C1812"/>
    <w:rsid w:val="697D3CE8"/>
    <w:rsid w:val="697E40EB"/>
    <w:rsid w:val="697F3B8C"/>
    <w:rsid w:val="698227D6"/>
    <w:rsid w:val="69825B6B"/>
    <w:rsid w:val="6983520B"/>
    <w:rsid w:val="6985393A"/>
    <w:rsid w:val="698777AF"/>
    <w:rsid w:val="69883157"/>
    <w:rsid w:val="698C7D52"/>
    <w:rsid w:val="698E5C0C"/>
    <w:rsid w:val="69947E46"/>
    <w:rsid w:val="69953EB2"/>
    <w:rsid w:val="69967F49"/>
    <w:rsid w:val="699762C9"/>
    <w:rsid w:val="699809CD"/>
    <w:rsid w:val="69981676"/>
    <w:rsid w:val="699871BB"/>
    <w:rsid w:val="69992CD3"/>
    <w:rsid w:val="69A0515F"/>
    <w:rsid w:val="69A44E21"/>
    <w:rsid w:val="69AF2940"/>
    <w:rsid w:val="69B11B77"/>
    <w:rsid w:val="69B55846"/>
    <w:rsid w:val="69B70DE6"/>
    <w:rsid w:val="69B97B85"/>
    <w:rsid w:val="69BB0EA3"/>
    <w:rsid w:val="69BE3132"/>
    <w:rsid w:val="69C03A0B"/>
    <w:rsid w:val="69C51F1F"/>
    <w:rsid w:val="69C97C6D"/>
    <w:rsid w:val="69CF1D34"/>
    <w:rsid w:val="69D149F4"/>
    <w:rsid w:val="69D40498"/>
    <w:rsid w:val="69D752E6"/>
    <w:rsid w:val="69D846E3"/>
    <w:rsid w:val="69D94687"/>
    <w:rsid w:val="69D975FB"/>
    <w:rsid w:val="69DA3CA1"/>
    <w:rsid w:val="69DD04F3"/>
    <w:rsid w:val="69DE6DA5"/>
    <w:rsid w:val="69E145B4"/>
    <w:rsid w:val="69E63014"/>
    <w:rsid w:val="69E63C3F"/>
    <w:rsid w:val="69EE0C4A"/>
    <w:rsid w:val="69FA3BD8"/>
    <w:rsid w:val="69FC1871"/>
    <w:rsid w:val="69FE61B2"/>
    <w:rsid w:val="69FF347E"/>
    <w:rsid w:val="6A0376A9"/>
    <w:rsid w:val="6A0419BA"/>
    <w:rsid w:val="6A0523B2"/>
    <w:rsid w:val="6A0744F9"/>
    <w:rsid w:val="6A0772B1"/>
    <w:rsid w:val="6A08343B"/>
    <w:rsid w:val="6A0B2D20"/>
    <w:rsid w:val="6A0B3BB0"/>
    <w:rsid w:val="6A101611"/>
    <w:rsid w:val="6A1205FA"/>
    <w:rsid w:val="6A121E55"/>
    <w:rsid w:val="6A125906"/>
    <w:rsid w:val="6A127362"/>
    <w:rsid w:val="6A1456FA"/>
    <w:rsid w:val="6A1629C0"/>
    <w:rsid w:val="6A1642D6"/>
    <w:rsid w:val="6A1928F3"/>
    <w:rsid w:val="6A1933D3"/>
    <w:rsid w:val="6A1B098B"/>
    <w:rsid w:val="6A1E4511"/>
    <w:rsid w:val="6A2201FF"/>
    <w:rsid w:val="6A267795"/>
    <w:rsid w:val="6A28297C"/>
    <w:rsid w:val="6A295DF0"/>
    <w:rsid w:val="6A2A02EC"/>
    <w:rsid w:val="6A2E22A3"/>
    <w:rsid w:val="6A2E5B68"/>
    <w:rsid w:val="6A3022B5"/>
    <w:rsid w:val="6A323639"/>
    <w:rsid w:val="6A340AA7"/>
    <w:rsid w:val="6A347350"/>
    <w:rsid w:val="6A3473F1"/>
    <w:rsid w:val="6A360D60"/>
    <w:rsid w:val="6A36255A"/>
    <w:rsid w:val="6A3D039F"/>
    <w:rsid w:val="6A3D398B"/>
    <w:rsid w:val="6A3E376A"/>
    <w:rsid w:val="6A40456D"/>
    <w:rsid w:val="6A407913"/>
    <w:rsid w:val="6A41397D"/>
    <w:rsid w:val="6A4140F8"/>
    <w:rsid w:val="6A426267"/>
    <w:rsid w:val="6A433D9F"/>
    <w:rsid w:val="6A470791"/>
    <w:rsid w:val="6A472827"/>
    <w:rsid w:val="6A4751A8"/>
    <w:rsid w:val="6A4906A2"/>
    <w:rsid w:val="6A4920FD"/>
    <w:rsid w:val="6A4A7786"/>
    <w:rsid w:val="6A4B337E"/>
    <w:rsid w:val="6A4C76CF"/>
    <w:rsid w:val="6A577151"/>
    <w:rsid w:val="6A5F34DE"/>
    <w:rsid w:val="6A6130FA"/>
    <w:rsid w:val="6A653DF1"/>
    <w:rsid w:val="6A6D45F2"/>
    <w:rsid w:val="6A6D488B"/>
    <w:rsid w:val="6A6E7D76"/>
    <w:rsid w:val="6A6F4666"/>
    <w:rsid w:val="6A7050EE"/>
    <w:rsid w:val="6A707D58"/>
    <w:rsid w:val="6A7122F6"/>
    <w:rsid w:val="6A7375EB"/>
    <w:rsid w:val="6A780565"/>
    <w:rsid w:val="6A7D5B05"/>
    <w:rsid w:val="6A7E429A"/>
    <w:rsid w:val="6A7E56D8"/>
    <w:rsid w:val="6A814175"/>
    <w:rsid w:val="6A84423B"/>
    <w:rsid w:val="6A855117"/>
    <w:rsid w:val="6A870E81"/>
    <w:rsid w:val="6A8A0CF4"/>
    <w:rsid w:val="6A8D2838"/>
    <w:rsid w:val="6A8D36DA"/>
    <w:rsid w:val="6A8F4802"/>
    <w:rsid w:val="6A8F5526"/>
    <w:rsid w:val="6A902328"/>
    <w:rsid w:val="6A924790"/>
    <w:rsid w:val="6A935813"/>
    <w:rsid w:val="6A94483F"/>
    <w:rsid w:val="6A9450E3"/>
    <w:rsid w:val="6A9544B3"/>
    <w:rsid w:val="6A964A9D"/>
    <w:rsid w:val="6A986F44"/>
    <w:rsid w:val="6A9A4F55"/>
    <w:rsid w:val="6AA45C64"/>
    <w:rsid w:val="6AA46670"/>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564D3"/>
    <w:rsid w:val="6AC62028"/>
    <w:rsid w:val="6AC67093"/>
    <w:rsid w:val="6AC70F94"/>
    <w:rsid w:val="6AC834D4"/>
    <w:rsid w:val="6ACB4F62"/>
    <w:rsid w:val="6ACB6D61"/>
    <w:rsid w:val="6ACD4341"/>
    <w:rsid w:val="6ACF53D8"/>
    <w:rsid w:val="6AD0608F"/>
    <w:rsid w:val="6AD2507A"/>
    <w:rsid w:val="6AD33D4F"/>
    <w:rsid w:val="6AD42215"/>
    <w:rsid w:val="6AD63B77"/>
    <w:rsid w:val="6AD7023F"/>
    <w:rsid w:val="6ADA17BB"/>
    <w:rsid w:val="6ADD6CFC"/>
    <w:rsid w:val="6ADD7472"/>
    <w:rsid w:val="6ADE44B2"/>
    <w:rsid w:val="6AE36E4D"/>
    <w:rsid w:val="6AE738BC"/>
    <w:rsid w:val="6AEB7C2E"/>
    <w:rsid w:val="6AF13BE7"/>
    <w:rsid w:val="6AF33F1D"/>
    <w:rsid w:val="6AF428B7"/>
    <w:rsid w:val="6AF750C0"/>
    <w:rsid w:val="6AFA3EFC"/>
    <w:rsid w:val="6AFE4BD7"/>
    <w:rsid w:val="6B010B39"/>
    <w:rsid w:val="6B0756E8"/>
    <w:rsid w:val="6B0C2E41"/>
    <w:rsid w:val="6B0C4581"/>
    <w:rsid w:val="6B103401"/>
    <w:rsid w:val="6B1247F9"/>
    <w:rsid w:val="6B1532D7"/>
    <w:rsid w:val="6B1619F4"/>
    <w:rsid w:val="6B1C73E9"/>
    <w:rsid w:val="6B1E5B3D"/>
    <w:rsid w:val="6B1E7A66"/>
    <w:rsid w:val="6B2027B9"/>
    <w:rsid w:val="6B22664D"/>
    <w:rsid w:val="6B2601FA"/>
    <w:rsid w:val="6B27230E"/>
    <w:rsid w:val="6B285323"/>
    <w:rsid w:val="6B2C2F36"/>
    <w:rsid w:val="6B2C4B33"/>
    <w:rsid w:val="6B2D2FFF"/>
    <w:rsid w:val="6B324A82"/>
    <w:rsid w:val="6B32518D"/>
    <w:rsid w:val="6B345B57"/>
    <w:rsid w:val="6B370474"/>
    <w:rsid w:val="6B3709F5"/>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529"/>
    <w:rsid w:val="6B640681"/>
    <w:rsid w:val="6B6461F8"/>
    <w:rsid w:val="6B6543D6"/>
    <w:rsid w:val="6B661A81"/>
    <w:rsid w:val="6B67752D"/>
    <w:rsid w:val="6B6B194C"/>
    <w:rsid w:val="6B6B63F1"/>
    <w:rsid w:val="6B733A68"/>
    <w:rsid w:val="6B742137"/>
    <w:rsid w:val="6B753528"/>
    <w:rsid w:val="6B7A14CA"/>
    <w:rsid w:val="6B7C4D14"/>
    <w:rsid w:val="6B7E1F2A"/>
    <w:rsid w:val="6B7E4876"/>
    <w:rsid w:val="6B80354C"/>
    <w:rsid w:val="6B8D7213"/>
    <w:rsid w:val="6B900695"/>
    <w:rsid w:val="6B914EFC"/>
    <w:rsid w:val="6B980574"/>
    <w:rsid w:val="6B9B0301"/>
    <w:rsid w:val="6BA0003E"/>
    <w:rsid w:val="6BA27C8F"/>
    <w:rsid w:val="6BA90B8E"/>
    <w:rsid w:val="6BA95E67"/>
    <w:rsid w:val="6BAA0DE6"/>
    <w:rsid w:val="6BAA5838"/>
    <w:rsid w:val="6BAC3782"/>
    <w:rsid w:val="6BAC6743"/>
    <w:rsid w:val="6BAE2139"/>
    <w:rsid w:val="6BAE7FBC"/>
    <w:rsid w:val="6BB40DC4"/>
    <w:rsid w:val="6BB61FA3"/>
    <w:rsid w:val="6BB70A3B"/>
    <w:rsid w:val="6BB86227"/>
    <w:rsid w:val="6BBA58A1"/>
    <w:rsid w:val="6BBB5A2B"/>
    <w:rsid w:val="6BBE4C73"/>
    <w:rsid w:val="6BBF6286"/>
    <w:rsid w:val="6BC01077"/>
    <w:rsid w:val="6BC074AE"/>
    <w:rsid w:val="6BC61B39"/>
    <w:rsid w:val="6BCC710C"/>
    <w:rsid w:val="6BD06ED9"/>
    <w:rsid w:val="6BD12270"/>
    <w:rsid w:val="6BD53A07"/>
    <w:rsid w:val="6BD76F3B"/>
    <w:rsid w:val="6BD87F55"/>
    <w:rsid w:val="6BE07937"/>
    <w:rsid w:val="6BE529A4"/>
    <w:rsid w:val="6BE61591"/>
    <w:rsid w:val="6BE64C49"/>
    <w:rsid w:val="6BE8335D"/>
    <w:rsid w:val="6BE929C6"/>
    <w:rsid w:val="6BEB3552"/>
    <w:rsid w:val="6BEC7D5C"/>
    <w:rsid w:val="6BF265FE"/>
    <w:rsid w:val="6BF47E4F"/>
    <w:rsid w:val="6BF60054"/>
    <w:rsid w:val="6BF8186A"/>
    <w:rsid w:val="6BFC283C"/>
    <w:rsid w:val="6BFC682C"/>
    <w:rsid w:val="6BFE736B"/>
    <w:rsid w:val="6C06002F"/>
    <w:rsid w:val="6C0A3AA5"/>
    <w:rsid w:val="6C0C2D36"/>
    <w:rsid w:val="6C0F23A8"/>
    <w:rsid w:val="6C13382D"/>
    <w:rsid w:val="6C13641D"/>
    <w:rsid w:val="6C1C7F30"/>
    <w:rsid w:val="6C1D2CB6"/>
    <w:rsid w:val="6C2110E2"/>
    <w:rsid w:val="6C217E49"/>
    <w:rsid w:val="6C222FCD"/>
    <w:rsid w:val="6C276A33"/>
    <w:rsid w:val="6C2A5535"/>
    <w:rsid w:val="6C2C2C28"/>
    <w:rsid w:val="6C2F2C51"/>
    <w:rsid w:val="6C333CFB"/>
    <w:rsid w:val="6C340A53"/>
    <w:rsid w:val="6C372119"/>
    <w:rsid w:val="6C380C77"/>
    <w:rsid w:val="6C403AED"/>
    <w:rsid w:val="6C4433CA"/>
    <w:rsid w:val="6C470226"/>
    <w:rsid w:val="6C4B463F"/>
    <w:rsid w:val="6C4C7579"/>
    <w:rsid w:val="6C4F7B81"/>
    <w:rsid w:val="6C513DA6"/>
    <w:rsid w:val="6C572752"/>
    <w:rsid w:val="6C5A508C"/>
    <w:rsid w:val="6C5F30AA"/>
    <w:rsid w:val="6C62194C"/>
    <w:rsid w:val="6C63509E"/>
    <w:rsid w:val="6C642611"/>
    <w:rsid w:val="6C656CDE"/>
    <w:rsid w:val="6C6665C9"/>
    <w:rsid w:val="6C684363"/>
    <w:rsid w:val="6C69711A"/>
    <w:rsid w:val="6C6A26E7"/>
    <w:rsid w:val="6C701163"/>
    <w:rsid w:val="6C703F68"/>
    <w:rsid w:val="6C78471F"/>
    <w:rsid w:val="6C793A4A"/>
    <w:rsid w:val="6C7A7857"/>
    <w:rsid w:val="6C7B6D88"/>
    <w:rsid w:val="6C7C5136"/>
    <w:rsid w:val="6C81247A"/>
    <w:rsid w:val="6C852DFC"/>
    <w:rsid w:val="6C857657"/>
    <w:rsid w:val="6C8578D2"/>
    <w:rsid w:val="6C870F69"/>
    <w:rsid w:val="6C944351"/>
    <w:rsid w:val="6C950857"/>
    <w:rsid w:val="6C995257"/>
    <w:rsid w:val="6C9A38D9"/>
    <w:rsid w:val="6CA65C74"/>
    <w:rsid w:val="6CA7396A"/>
    <w:rsid w:val="6CA83893"/>
    <w:rsid w:val="6CAF2D7D"/>
    <w:rsid w:val="6CB06CB1"/>
    <w:rsid w:val="6CB255AB"/>
    <w:rsid w:val="6CB26586"/>
    <w:rsid w:val="6CB55585"/>
    <w:rsid w:val="6CB601EE"/>
    <w:rsid w:val="6CB773A1"/>
    <w:rsid w:val="6CB851D9"/>
    <w:rsid w:val="6CBA4537"/>
    <w:rsid w:val="6CBE335E"/>
    <w:rsid w:val="6CC64922"/>
    <w:rsid w:val="6CC8453C"/>
    <w:rsid w:val="6CC846F3"/>
    <w:rsid w:val="6CD200E9"/>
    <w:rsid w:val="6CD20375"/>
    <w:rsid w:val="6CD6265A"/>
    <w:rsid w:val="6CD66592"/>
    <w:rsid w:val="6CD700EB"/>
    <w:rsid w:val="6CDE15E0"/>
    <w:rsid w:val="6CE4437D"/>
    <w:rsid w:val="6CE57659"/>
    <w:rsid w:val="6CE663E6"/>
    <w:rsid w:val="6CE8304F"/>
    <w:rsid w:val="6CE95D1F"/>
    <w:rsid w:val="6CEC01D2"/>
    <w:rsid w:val="6CEC5BAE"/>
    <w:rsid w:val="6CF368F5"/>
    <w:rsid w:val="6CF37610"/>
    <w:rsid w:val="6CF51041"/>
    <w:rsid w:val="6CFB07B3"/>
    <w:rsid w:val="6CFB0914"/>
    <w:rsid w:val="6D0221B7"/>
    <w:rsid w:val="6D035AD8"/>
    <w:rsid w:val="6D045962"/>
    <w:rsid w:val="6D0517A7"/>
    <w:rsid w:val="6D06067F"/>
    <w:rsid w:val="6D0A1512"/>
    <w:rsid w:val="6D0B288F"/>
    <w:rsid w:val="6D0C660D"/>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4740"/>
    <w:rsid w:val="6D415367"/>
    <w:rsid w:val="6D4B4D92"/>
    <w:rsid w:val="6D4C60A5"/>
    <w:rsid w:val="6D4C694D"/>
    <w:rsid w:val="6D4F54EA"/>
    <w:rsid w:val="6D501B8D"/>
    <w:rsid w:val="6D507121"/>
    <w:rsid w:val="6D587149"/>
    <w:rsid w:val="6D59661C"/>
    <w:rsid w:val="6D5A0C79"/>
    <w:rsid w:val="6D5A5E71"/>
    <w:rsid w:val="6D5C33D5"/>
    <w:rsid w:val="6D5D5584"/>
    <w:rsid w:val="6D5E0628"/>
    <w:rsid w:val="6D6323ED"/>
    <w:rsid w:val="6D633A30"/>
    <w:rsid w:val="6D644C0C"/>
    <w:rsid w:val="6D6632FC"/>
    <w:rsid w:val="6D692F90"/>
    <w:rsid w:val="6D6A50B2"/>
    <w:rsid w:val="6D6D7E6D"/>
    <w:rsid w:val="6D723F8F"/>
    <w:rsid w:val="6D732AC9"/>
    <w:rsid w:val="6D742ABA"/>
    <w:rsid w:val="6D7579D2"/>
    <w:rsid w:val="6D7966F9"/>
    <w:rsid w:val="6D8856A0"/>
    <w:rsid w:val="6D8952AE"/>
    <w:rsid w:val="6D8B38D9"/>
    <w:rsid w:val="6D8E4CAB"/>
    <w:rsid w:val="6D8F0E18"/>
    <w:rsid w:val="6D9030D3"/>
    <w:rsid w:val="6D942F3E"/>
    <w:rsid w:val="6D953B20"/>
    <w:rsid w:val="6D954DF4"/>
    <w:rsid w:val="6D98104E"/>
    <w:rsid w:val="6D9914F3"/>
    <w:rsid w:val="6D992588"/>
    <w:rsid w:val="6D994677"/>
    <w:rsid w:val="6D9970B3"/>
    <w:rsid w:val="6D997113"/>
    <w:rsid w:val="6D9B1668"/>
    <w:rsid w:val="6D9E0C13"/>
    <w:rsid w:val="6DA230A1"/>
    <w:rsid w:val="6DA277FA"/>
    <w:rsid w:val="6DA36526"/>
    <w:rsid w:val="6DA37ECA"/>
    <w:rsid w:val="6DA44E51"/>
    <w:rsid w:val="6DA877E7"/>
    <w:rsid w:val="6DAB4DC7"/>
    <w:rsid w:val="6DAC58E7"/>
    <w:rsid w:val="6DAD4833"/>
    <w:rsid w:val="6DB30027"/>
    <w:rsid w:val="6DB64B76"/>
    <w:rsid w:val="6DBB5211"/>
    <w:rsid w:val="6DBC4486"/>
    <w:rsid w:val="6DC10ACC"/>
    <w:rsid w:val="6DC20A4A"/>
    <w:rsid w:val="6DC33EF3"/>
    <w:rsid w:val="6DC933F7"/>
    <w:rsid w:val="6DCB3A62"/>
    <w:rsid w:val="6DCC7690"/>
    <w:rsid w:val="6DCD36F7"/>
    <w:rsid w:val="6DCF6855"/>
    <w:rsid w:val="6DD12575"/>
    <w:rsid w:val="6DD16218"/>
    <w:rsid w:val="6DD31308"/>
    <w:rsid w:val="6DD31400"/>
    <w:rsid w:val="6DD46BCF"/>
    <w:rsid w:val="6DD47EF4"/>
    <w:rsid w:val="6DDB74A2"/>
    <w:rsid w:val="6DDC45AF"/>
    <w:rsid w:val="6DDC6B25"/>
    <w:rsid w:val="6DDF784E"/>
    <w:rsid w:val="6DE34A57"/>
    <w:rsid w:val="6DE45176"/>
    <w:rsid w:val="6DE4548A"/>
    <w:rsid w:val="6DE5536A"/>
    <w:rsid w:val="6DEB756B"/>
    <w:rsid w:val="6DF02B61"/>
    <w:rsid w:val="6DF75950"/>
    <w:rsid w:val="6DFC0D15"/>
    <w:rsid w:val="6DFE2F86"/>
    <w:rsid w:val="6E0077C5"/>
    <w:rsid w:val="6E020281"/>
    <w:rsid w:val="6E043142"/>
    <w:rsid w:val="6E050A65"/>
    <w:rsid w:val="6E054DDB"/>
    <w:rsid w:val="6E076A2C"/>
    <w:rsid w:val="6E08019D"/>
    <w:rsid w:val="6E086A84"/>
    <w:rsid w:val="6E0B60BC"/>
    <w:rsid w:val="6E0E0B6F"/>
    <w:rsid w:val="6E11552E"/>
    <w:rsid w:val="6E131EC9"/>
    <w:rsid w:val="6E1533C2"/>
    <w:rsid w:val="6E1A79B6"/>
    <w:rsid w:val="6E1B27B0"/>
    <w:rsid w:val="6E1C7EA2"/>
    <w:rsid w:val="6E1F328C"/>
    <w:rsid w:val="6E1F5E9D"/>
    <w:rsid w:val="6E265B5B"/>
    <w:rsid w:val="6E2A3BAC"/>
    <w:rsid w:val="6E2D05D3"/>
    <w:rsid w:val="6E2D17C4"/>
    <w:rsid w:val="6E2F1519"/>
    <w:rsid w:val="6E305383"/>
    <w:rsid w:val="6E346754"/>
    <w:rsid w:val="6E35508D"/>
    <w:rsid w:val="6E3942A6"/>
    <w:rsid w:val="6E3A43B9"/>
    <w:rsid w:val="6E3C5272"/>
    <w:rsid w:val="6E3C695C"/>
    <w:rsid w:val="6E3E31C1"/>
    <w:rsid w:val="6E40191B"/>
    <w:rsid w:val="6E404F96"/>
    <w:rsid w:val="6E421FD0"/>
    <w:rsid w:val="6E425AB3"/>
    <w:rsid w:val="6E431F91"/>
    <w:rsid w:val="6E444037"/>
    <w:rsid w:val="6E451E27"/>
    <w:rsid w:val="6E45254C"/>
    <w:rsid w:val="6E472E02"/>
    <w:rsid w:val="6E4928C6"/>
    <w:rsid w:val="6E4A5F9F"/>
    <w:rsid w:val="6E4C2A0A"/>
    <w:rsid w:val="6E4C2FD1"/>
    <w:rsid w:val="6E531D18"/>
    <w:rsid w:val="6E54520F"/>
    <w:rsid w:val="6E54543C"/>
    <w:rsid w:val="6E560032"/>
    <w:rsid w:val="6E566059"/>
    <w:rsid w:val="6E5737E4"/>
    <w:rsid w:val="6E573B28"/>
    <w:rsid w:val="6E5D0115"/>
    <w:rsid w:val="6E5D4C17"/>
    <w:rsid w:val="6E5D5CFA"/>
    <w:rsid w:val="6E610709"/>
    <w:rsid w:val="6E611AAA"/>
    <w:rsid w:val="6E637DD2"/>
    <w:rsid w:val="6E684CC1"/>
    <w:rsid w:val="6E684E65"/>
    <w:rsid w:val="6E6E3D22"/>
    <w:rsid w:val="6E6F32C4"/>
    <w:rsid w:val="6E714E46"/>
    <w:rsid w:val="6E732864"/>
    <w:rsid w:val="6E7B14EF"/>
    <w:rsid w:val="6E7B67AA"/>
    <w:rsid w:val="6E813C40"/>
    <w:rsid w:val="6E816D74"/>
    <w:rsid w:val="6E8177B5"/>
    <w:rsid w:val="6E846DF4"/>
    <w:rsid w:val="6E8811FF"/>
    <w:rsid w:val="6E8E00B7"/>
    <w:rsid w:val="6E9267F7"/>
    <w:rsid w:val="6E932E45"/>
    <w:rsid w:val="6E947EA4"/>
    <w:rsid w:val="6E954D6E"/>
    <w:rsid w:val="6E9719D3"/>
    <w:rsid w:val="6E973F61"/>
    <w:rsid w:val="6E9B76B4"/>
    <w:rsid w:val="6E9E2147"/>
    <w:rsid w:val="6EA163F5"/>
    <w:rsid w:val="6EA2262A"/>
    <w:rsid w:val="6EA30DF3"/>
    <w:rsid w:val="6EA7723A"/>
    <w:rsid w:val="6EA80A9E"/>
    <w:rsid w:val="6EAB316E"/>
    <w:rsid w:val="6EAC7541"/>
    <w:rsid w:val="6EAD3F31"/>
    <w:rsid w:val="6EAF2038"/>
    <w:rsid w:val="6EB02117"/>
    <w:rsid w:val="6EB032B3"/>
    <w:rsid w:val="6EB16A61"/>
    <w:rsid w:val="6EB2703C"/>
    <w:rsid w:val="6EB5235D"/>
    <w:rsid w:val="6EBB2680"/>
    <w:rsid w:val="6EBD7464"/>
    <w:rsid w:val="6EBF6614"/>
    <w:rsid w:val="6EC070E5"/>
    <w:rsid w:val="6EC91708"/>
    <w:rsid w:val="6EC93EDE"/>
    <w:rsid w:val="6ECC157B"/>
    <w:rsid w:val="6ECC5791"/>
    <w:rsid w:val="6ECC58ED"/>
    <w:rsid w:val="6ECD58F9"/>
    <w:rsid w:val="6ECF48DB"/>
    <w:rsid w:val="6EDD7C0F"/>
    <w:rsid w:val="6EDE19A6"/>
    <w:rsid w:val="6EE114AF"/>
    <w:rsid w:val="6EE25037"/>
    <w:rsid w:val="6EE3033A"/>
    <w:rsid w:val="6EE467CD"/>
    <w:rsid w:val="6EE8372C"/>
    <w:rsid w:val="6EEA019F"/>
    <w:rsid w:val="6EEF5477"/>
    <w:rsid w:val="6EF17DEC"/>
    <w:rsid w:val="6EF41F64"/>
    <w:rsid w:val="6EF67624"/>
    <w:rsid w:val="6EF70E24"/>
    <w:rsid w:val="6EFA06B8"/>
    <w:rsid w:val="6EFA671D"/>
    <w:rsid w:val="6EFC4E2C"/>
    <w:rsid w:val="6EFC4F57"/>
    <w:rsid w:val="6EFC5B0C"/>
    <w:rsid w:val="6F001D7B"/>
    <w:rsid w:val="6F054937"/>
    <w:rsid w:val="6F064074"/>
    <w:rsid w:val="6F080964"/>
    <w:rsid w:val="6F0A0648"/>
    <w:rsid w:val="6F0A34C2"/>
    <w:rsid w:val="6F0B6421"/>
    <w:rsid w:val="6F0C0561"/>
    <w:rsid w:val="6F0F047D"/>
    <w:rsid w:val="6F0F4072"/>
    <w:rsid w:val="6F1277AF"/>
    <w:rsid w:val="6F146796"/>
    <w:rsid w:val="6F1658B1"/>
    <w:rsid w:val="6F177EF1"/>
    <w:rsid w:val="6F1B0B22"/>
    <w:rsid w:val="6F1B4441"/>
    <w:rsid w:val="6F1B5297"/>
    <w:rsid w:val="6F1E43A6"/>
    <w:rsid w:val="6F1F0DD4"/>
    <w:rsid w:val="6F1F746A"/>
    <w:rsid w:val="6F251BFC"/>
    <w:rsid w:val="6F285504"/>
    <w:rsid w:val="6F290C21"/>
    <w:rsid w:val="6F336B50"/>
    <w:rsid w:val="6F344737"/>
    <w:rsid w:val="6F3B6F8F"/>
    <w:rsid w:val="6F3C3411"/>
    <w:rsid w:val="6F3F1121"/>
    <w:rsid w:val="6F441354"/>
    <w:rsid w:val="6F467246"/>
    <w:rsid w:val="6F471115"/>
    <w:rsid w:val="6F4B46DF"/>
    <w:rsid w:val="6F4E612F"/>
    <w:rsid w:val="6F520D8B"/>
    <w:rsid w:val="6F5850C7"/>
    <w:rsid w:val="6F596849"/>
    <w:rsid w:val="6F5D7020"/>
    <w:rsid w:val="6F611AA4"/>
    <w:rsid w:val="6F614293"/>
    <w:rsid w:val="6F630C97"/>
    <w:rsid w:val="6F65642D"/>
    <w:rsid w:val="6F667E90"/>
    <w:rsid w:val="6F67621F"/>
    <w:rsid w:val="6F693A71"/>
    <w:rsid w:val="6F6D4AA4"/>
    <w:rsid w:val="6F6D7BC5"/>
    <w:rsid w:val="6F6E603B"/>
    <w:rsid w:val="6F700889"/>
    <w:rsid w:val="6F711411"/>
    <w:rsid w:val="6F713749"/>
    <w:rsid w:val="6F71599A"/>
    <w:rsid w:val="6F7273D7"/>
    <w:rsid w:val="6F744797"/>
    <w:rsid w:val="6F7C4D29"/>
    <w:rsid w:val="6F7C5FB9"/>
    <w:rsid w:val="6F7F4FDA"/>
    <w:rsid w:val="6F894856"/>
    <w:rsid w:val="6F8C7554"/>
    <w:rsid w:val="6F8E4486"/>
    <w:rsid w:val="6F8F1EA7"/>
    <w:rsid w:val="6F932B01"/>
    <w:rsid w:val="6F957E91"/>
    <w:rsid w:val="6F9E4746"/>
    <w:rsid w:val="6FA72C68"/>
    <w:rsid w:val="6FA80F2D"/>
    <w:rsid w:val="6FA928C6"/>
    <w:rsid w:val="6FAB36E8"/>
    <w:rsid w:val="6FAB5CDE"/>
    <w:rsid w:val="6FAC17A7"/>
    <w:rsid w:val="6FAF5F91"/>
    <w:rsid w:val="6FB13FCA"/>
    <w:rsid w:val="6FB36912"/>
    <w:rsid w:val="6FB47E2F"/>
    <w:rsid w:val="6FB57002"/>
    <w:rsid w:val="6FB9727A"/>
    <w:rsid w:val="6FBD0995"/>
    <w:rsid w:val="6FBD2FCE"/>
    <w:rsid w:val="6FBE2553"/>
    <w:rsid w:val="6FBF2F50"/>
    <w:rsid w:val="6FCB01D0"/>
    <w:rsid w:val="6FCC0C02"/>
    <w:rsid w:val="6FCE112B"/>
    <w:rsid w:val="6FCE1C7C"/>
    <w:rsid w:val="6FD17D1B"/>
    <w:rsid w:val="6FD64C81"/>
    <w:rsid w:val="6FD806D2"/>
    <w:rsid w:val="6FD956FB"/>
    <w:rsid w:val="6FDB01EE"/>
    <w:rsid w:val="6FDB5F8B"/>
    <w:rsid w:val="6FE91E55"/>
    <w:rsid w:val="6FEB6AD3"/>
    <w:rsid w:val="6FF125BF"/>
    <w:rsid w:val="6FF208AA"/>
    <w:rsid w:val="6FF26B0B"/>
    <w:rsid w:val="6FFB0243"/>
    <w:rsid w:val="6FFB6D5C"/>
    <w:rsid w:val="6FFC08C9"/>
    <w:rsid w:val="6FFE7D95"/>
    <w:rsid w:val="700101C9"/>
    <w:rsid w:val="700311C6"/>
    <w:rsid w:val="70037C15"/>
    <w:rsid w:val="70041EA1"/>
    <w:rsid w:val="70076E09"/>
    <w:rsid w:val="700C5674"/>
    <w:rsid w:val="700D2BD5"/>
    <w:rsid w:val="700E5A5A"/>
    <w:rsid w:val="700E7B00"/>
    <w:rsid w:val="7013431B"/>
    <w:rsid w:val="701B325C"/>
    <w:rsid w:val="701E1E22"/>
    <w:rsid w:val="701E59DA"/>
    <w:rsid w:val="701F2A63"/>
    <w:rsid w:val="701F5621"/>
    <w:rsid w:val="70237A09"/>
    <w:rsid w:val="70277E9C"/>
    <w:rsid w:val="702820CB"/>
    <w:rsid w:val="702C664F"/>
    <w:rsid w:val="702E4CB2"/>
    <w:rsid w:val="702E716A"/>
    <w:rsid w:val="702F5572"/>
    <w:rsid w:val="70336CAE"/>
    <w:rsid w:val="70343ED9"/>
    <w:rsid w:val="703662AF"/>
    <w:rsid w:val="7037546E"/>
    <w:rsid w:val="703A140C"/>
    <w:rsid w:val="703B3944"/>
    <w:rsid w:val="70413FBB"/>
    <w:rsid w:val="7045236D"/>
    <w:rsid w:val="70487CF9"/>
    <w:rsid w:val="704B361D"/>
    <w:rsid w:val="704F7B15"/>
    <w:rsid w:val="70523E05"/>
    <w:rsid w:val="70535AEC"/>
    <w:rsid w:val="7056587A"/>
    <w:rsid w:val="70582A4E"/>
    <w:rsid w:val="70595AF0"/>
    <w:rsid w:val="705C3753"/>
    <w:rsid w:val="705F6047"/>
    <w:rsid w:val="70606D86"/>
    <w:rsid w:val="70613B9A"/>
    <w:rsid w:val="70614748"/>
    <w:rsid w:val="70660A3A"/>
    <w:rsid w:val="706775D7"/>
    <w:rsid w:val="706C4B21"/>
    <w:rsid w:val="706C6547"/>
    <w:rsid w:val="70762E93"/>
    <w:rsid w:val="70795C3D"/>
    <w:rsid w:val="707D5A59"/>
    <w:rsid w:val="707F5860"/>
    <w:rsid w:val="707F6F2F"/>
    <w:rsid w:val="70800ABC"/>
    <w:rsid w:val="708145F0"/>
    <w:rsid w:val="70840E49"/>
    <w:rsid w:val="70857070"/>
    <w:rsid w:val="708610D0"/>
    <w:rsid w:val="708C2B29"/>
    <w:rsid w:val="708D4ADB"/>
    <w:rsid w:val="708F4275"/>
    <w:rsid w:val="709206F3"/>
    <w:rsid w:val="70945E5B"/>
    <w:rsid w:val="70951B96"/>
    <w:rsid w:val="709C4151"/>
    <w:rsid w:val="709F6018"/>
    <w:rsid w:val="70A203E9"/>
    <w:rsid w:val="70A25471"/>
    <w:rsid w:val="70A40548"/>
    <w:rsid w:val="70A41417"/>
    <w:rsid w:val="70A5621E"/>
    <w:rsid w:val="70A9598B"/>
    <w:rsid w:val="70AA155F"/>
    <w:rsid w:val="70AB402B"/>
    <w:rsid w:val="70AC56E7"/>
    <w:rsid w:val="70AE4712"/>
    <w:rsid w:val="70B0372E"/>
    <w:rsid w:val="70B2306D"/>
    <w:rsid w:val="70BA0DD5"/>
    <w:rsid w:val="70BB66D9"/>
    <w:rsid w:val="70BC286C"/>
    <w:rsid w:val="70BE6942"/>
    <w:rsid w:val="70BF6D6C"/>
    <w:rsid w:val="70BF7DE7"/>
    <w:rsid w:val="70C162C7"/>
    <w:rsid w:val="70C25013"/>
    <w:rsid w:val="70C41399"/>
    <w:rsid w:val="70C70C4E"/>
    <w:rsid w:val="70CA338D"/>
    <w:rsid w:val="70D13EC9"/>
    <w:rsid w:val="70D253FD"/>
    <w:rsid w:val="70D9199C"/>
    <w:rsid w:val="70D934E3"/>
    <w:rsid w:val="70D94A29"/>
    <w:rsid w:val="70DA60AB"/>
    <w:rsid w:val="70DB40D7"/>
    <w:rsid w:val="70E132FF"/>
    <w:rsid w:val="70E53F5D"/>
    <w:rsid w:val="70E63C74"/>
    <w:rsid w:val="70E76A1A"/>
    <w:rsid w:val="70E83423"/>
    <w:rsid w:val="70F04063"/>
    <w:rsid w:val="70F25AEA"/>
    <w:rsid w:val="70F36131"/>
    <w:rsid w:val="70F5617C"/>
    <w:rsid w:val="70FA1B16"/>
    <w:rsid w:val="70FB4D50"/>
    <w:rsid w:val="70FE577E"/>
    <w:rsid w:val="71033854"/>
    <w:rsid w:val="710805D7"/>
    <w:rsid w:val="710A56D2"/>
    <w:rsid w:val="710B46CD"/>
    <w:rsid w:val="710E2C80"/>
    <w:rsid w:val="710E7A93"/>
    <w:rsid w:val="710F511C"/>
    <w:rsid w:val="710F66AA"/>
    <w:rsid w:val="711234F6"/>
    <w:rsid w:val="7114649F"/>
    <w:rsid w:val="71165FD9"/>
    <w:rsid w:val="711845D1"/>
    <w:rsid w:val="711C0C2C"/>
    <w:rsid w:val="711C252F"/>
    <w:rsid w:val="711E7411"/>
    <w:rsid w:val="7121447C"/>
    <w:rsid w:val="712658C4"/>
    <w:rsid w:val="712C26FC"/>
    <w:rsid w:val="712C2B9C"/>
    <w:rsid w:val="712E483D"/>
    <w:rsid w:val="713200A4"/>
    <w:rsid w:val="71324139"/>
    <w:rsid w:val="7134173D"/>
    <w:rsid w:val="71373C3D"/>
    <w:rsid w:val="713752AB"/>
    <w:rsid w:val="71392DF3"/>
    <w:rsid w:val="713D1537"/>
    <w:rsid w:val="713E28BC"/>
    <w:rsid w:val="713F564D"/>
    <w:rsid w:val="71434C23"/>
    <w:rsid w:val="7145341C"/>
    <w:rsid w:val="714661A8"/>
    <w:rsid w:val="714754D2"/>
    <w:rsid w:val="71486C8E"/>
    <w:rsid w:val="714C32DB"/>
    <w:rsid w:val="714C4BB4"/>
    <w:rsid w:val="7150344E"/>
    <w:rsid w:val="715042C2"/>
    <w:rsid w:val="71540961"/>
    <w:rsid w:val="715772D6"/>
    <w:rsid w:val="71585890"/>
    <w:rsid w:val="71615FE4"/>
    <w:rsid w:val="71657C30"/>
    <w:rsid w:val="716A5579"/>
    <w:rsid w:val="716D1C63"/>
    <w:rsid w:val="7175058A"/>
    <w:rsid w:val="717571EC"/>
    <w:rsid w:val="71757A16"/>
    <w:rsid w:val="7179632E"/>
    <w:rsid w:val="71805F6D"/>
    <w:rsid w:val="718273CC"/>
    <w:rsid w:val="718276B7"/>
    <w:rsid w:val="71891519"/>
    <w:rsid w:val="718967DC"/>
    <w:rsid w:val="718B579D"/>
    <w:rsid w:val="718B5C5F"/>
    <w:rsid w:val="719B0843"/>
    <w:rsid w:val="719D200A"/>
    <w:rsid w:val="719E1D8C"/>
    <w:rsid w:val="719F4894"/>
    <w:rsid w:val="71A004CD"/>
    <w:rsid w:val="71A16BC9"/>
    <w:rsid w:val="71A63F1C"/>
    <w:rsid w:val="71A655FC"/>
    <w:rsid w:val="71A7321A"/>
    <w:rsid w:val="71A861A9"/>
    <w:rsid w:val="71AB4DA7"/>
    <w:rsid w:val="71AC1474"/>
    <w:rsid w:val="71AD7CC7"/>
    <w:rsid w:val="71B06C24"/>
    <w:rsid w:val="71B46D9E"/>
    <w:rsid w:val="71B538A4"/>
    <w:rsid w:val="71BA0011"/>
    <w:rsid w:val="71BF6817"/>
    <w:rsid w:val="71C070B9"/>
    <w:rsid w:val="71C5756B"/>
    <w:rsid w:val="71C716DA"/>
    <w:rsid w:val="71C7381E"/>
    <w:rsid w:val="71D4649E"/>
    <w:rsid w:val="71D507E3"/>
    <w:rsid w:val="71D87B98"/>
    <w:rsid w:val="71DF2FC1"/>
    <w:rsid w:val="71E05697"/>
    <w:rsid w:val="71E05C67"/>
    <w:rsid w:val="71E125CD"/>
    <w:rsid w:val="71E236BB"/>
    <w:rsid w:val="71E45020"/>
    <w:rsid w:val="71E8030F"/>
    <w:rsid w:val="71EA3A04"/>
    <w:rsid w:val="71EA3EA0"/>
    <w:rsid w:val="71EC540D"/>
    <w:rsid w:val="71F118FE"/>
    <w:rsid w:val="71F13BE0"/>
    <w:rsid w:val="71F52AC2"/>
    <w:rsid w:val="71F96ED0"/>
    <w:rsid w:val="71FC1ED9"/>
    <w:rsid w:val="71FD35A7"/>
    <w:rsid w:val="71FD5EFF"/>
    <w:rsid w:val="72043DE1"/>
    <w:rsid w:val="720712F0"/>
    <w:rsid w:val="72086C91"/>
    <w:rsid w:val="72090E31"/>
    <w:rsid w:val="720B0135"/>
    <w:rsid w:val="720B01D8"/>
    <w:rsid w:val="720D5A53"/>
    <w:rsid w:val="72100F11"/>
    <w:rsid w:val="72113E6B"/>
    <w:rsid w:val="721276C2"/>
    <w:rsid w:val="72130863"/>
    <w:rsid w:val="72165E16"/>
    <w:rsid w:val="72171CA2"/>
    <w:rsid w:val="721C1E0B"/>
    <w:rsid w:val="722B6536"/>
    <w:rsid w:val="7230020C"/>
    <w:rsid w:val="7234778F"/>
    <w:rsid w:val="72355724"/>
    <w:rsid w:val="72361A07"/>
    <w:rsid w:val="72392A72"/>
    <w:rsid w:val="723971E6"/>
    <w:rsid w:val="723A1831"/>
    <w:rsid w:val="723D3A45"/>
    <w:rsid w:val="723E3050"/>
    <w:rsid w:val="7241546A"/>
    <w:rsid w:val="72455D81"/>
    <w:rsid w:val="72490927"/>
    <w:rsid w:val="724920B6"/>
    <w:rsid w:val="72507F39"/>
    <w:rsid w:val="7251506B"/>
    <w:rsid w:val="72566B4F"/>
    <w:rsid w:val="72585114"/>
    <w:rsid w:val="725C7AA4"/>
    <w:rsid w:val="725E3CB8"/>
    <w:rsid w:val="725F6385"/>
    <w:rsid w:val="726649EB"/>
    <w:rsid w:val="72684AB5"/>
    <w:rsid w:val="726C4C68"/>
    <w:rsid w:val="726E0BC0"/>
    <w:rsid w:val="72724B59"/>
    <w:rsid w:val="72730387"/>
    <w:rsid w:val="7275169E"/>
    <w:rsid w:val="727642A1"/>
    <w:rsid w:val="72791A12"/>
    <w:rsid w:val="72792B30"/>
    <w:rsid w:val="727C53E4"/>
    <w:rsid w:val="727D533F"/>
    <w:rsid w:val="727D7F16"/>
    <w:rsid w:val="72824319"/>
    <w:rsid w:val="72842772"/>
    <w:rsid w:val="72843956"/>
    <w:rsid w:val="7286251B"/>
    <w:rsid w:val="728A5F00"/>
    <w:rsid w:val="728C0CC6"/>
    <w:rsid w:val="72927EBD"/>
    <w:rsid w:val="72930546"/>
    <w:rsid w:val="72937AA8"/>
    <w:rsid w:val="72956E0F"/>
    <w:rsid w:val="729612E8"/>
    <w:rsid w:val="72980EEB"/>
    <w:rsid w:val="72996809"/>
    <w:rsid w:val="72A1683D"/>
    <w:rsid w:val="72A51309"/>
    <w:rsid w:val="72A602DA"/>
    <w:rsid w:val="72A61F54"/>
    <w:rsid w:val="72A626D2"/>
    <w:rsid w:val="72A87631"/>
    <w:rsid w:val="72B017B9"/>
    <w:rsid w:val="72B05BA1"/>
    <w:rsid w:val="72B3013C"/>
    <w:rsid w:val="72B31F37"/>
    <w:rsid w:val="72B33777"/>
    <w:rsid w:val="72B57D1D"/>
    <w:rsid w:val="72B72E1E"/>
    <w:rsid w:val="72BA162E"/>
    <w:rsid w:val="72BB2750"/>
    <w:rsid w:val="72BB539E"/>
    <w:rsid w:val="72BC0503"/>
    <w:rsid w:val="72BC5654"/>
    <w:rsid w:val="72BC6995"/>
    <w:rsid w:val="72BE6B4E"/>
    <w:rsid w:val="72BF2A63"/>
    <w:rsid w:val="72C263C9"/>
    <w:rsid w:val="72C54B39"/>
    <w:rsid w:val="72C964B4"/>
    <w:rsid w:val="72CA3B57"/>
    <w:rsid w:val="72CC10B6"/>
    <w:rsid w:val="72CE1F49"/>
    <w:rsid w:val="72CE59FE"/>
    <w:rsid w:val="72D21533"/>
    <w:rsid w:val="72D43106"/>
    <w:rsid w:val="72D973C0"/>
    <w:rsid w:val="72DA436C"/>
    <w:rsid w:val="72DB610A"/>
    <w:rsid w:val="72DD00D4"/>
    <w:rsid w:val="72DD7CE7"/>
    <w:rsid w:val="72E50C16"/>
    <w:rsid w:val="72E63D1F"/>
    <w:rsid w:val="72EA1602"/>
    <w:rsid w:val="72ED556C"/>
    <w:rsid w:val="72EE0EB5"/>
    <w:rsid w:val="72F052DE"/>
    <w:rsid w:val="72F666AA"/>
    <w:rsid w:val="72F84F0E"/>
    <w:rsid w:val="72F8751F"/>
    <w:rsid w:val="72FA761C"/>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85E21"/>
    <w:rsid w:val="732C0180"/>
    <w:rsid w:val="732E26DE"/>
    <w:rsid w:val="732E6B82"/>
    <w:rsid w:val="7330662D"/>
    <w:rsid w:val="73324D9E"/>
    <w:rsid w:val="7336039A"/>
    <w:rsid w:val="733A0AAE"/>
    <w:rsid w:val="733C6694"/>
    <w:rsid w:val="733F0D8F"/>
    <w:rsid w:val="73403296"/>
    <w:rsid w:val="734231A5"/>
    <w:rsid w:val="73462432"/>
    <w:rsid w:val="734720F8"/>
    <w:rsid w:val="73480A85"/>
    <w:rsid w:val="734A37EF"/>
    <w:rsid w:val="734B03DF"/>
    <w:rsid w:val="734B7734"/>
    <w:rsid w:val="734B77D3"/>
    <w:rsid w:val="734D4442"/>
    <w:rsid w:val="734F77F8"/>
    <w:rsid w:val="73506E68"/>
    <w:rsid w:val="73544F4C"/>
    <w:rsid w:val="735639BF"/>
    <w:rsid w:val="735848BE"/>
    <w:rsid w:val="73591E51"/>
    <w:rsid w:val="735F4FE0"/>
    <w:rsid w:val="7362201C"/>
    <w:rsid w:val="73630676"/>
    <w:rsid w:val="73633B03"/>
    <w:rsid w:val="7364136F"/>
    <w:rsid w:val="73647975"/>
    <w:rsid w:val="7365283D"/>
    <w:rsid w:val="736A6DBA"/>
    <w:rsid w:val="736B4D4D"/>
    <w:rsid w:val="736D4121"/>
    <w:rsid w:val="73705B4F"/>
    <w:rsid w:val="73732452"/>
    <w:rsid w:val="73772B09"/>
    <w:rsid w:val="73794ECD"/>
    <w:rsid w:val="737A24C2"/>
    <w:rsid w:val="737C5CFE"/>
    <w:rsid w:val="737C78ED"/>
    <w:rsid w:val="73811A9F"/>
    <w:rsid w:val="73816CB2"/>
    <w:rsid w:val="73835C4B"/>
    <w:rsid w:val="738677C1"/>
    <w:rsid w:val="7387368E"/>
    <w:rsid w:val="738A025C"/>
    <w:rsid w:val="738B4A4B"/>
    <w:rsid w:val="738B5B15"/>
    <w:rsid w:val="738F312B"/>
    <w:rsid w:val="739252E3"/>
    <w:rsid w:val="73996BE3"/>
    <w:rsid w:val="739D084E"/>
    <w:rsid w:val="739D1454"/>
    <w:rsid w:val="73A12F31"/>
    <w:rsid w:val="73A26A7D"/>
    <w:rsid w:val="73A75E93"/>
    <w:rsid w:val="73AC0B41"/>
    <w:rsid w:val="73AD075C"/>
    <w:rsid w:val="73B159E0"/>
    <w:rsid w:val="73BA25AC"/>
    <w:rsid w:val="73BD2BD0"/>
    <w:rsid w:val="73BE53C3"/>
    <w:rsid w:val="73BE562F"/>
    <w:rsid w:val="73C023EB"/>
    <w:rsid w:val="73C346EF"/>
    <w:rsid w:val="73C8221E"/>
    <w:rsid w:val="73C9035E"/>
    <w:rsid w:val="73CA0DD1"/>
    <w:rsid w:val="73CD2556"/>
    <w:rsid w:val="73CD26E1"/>
    <w:rsid w:val="73CE1DB8"/>
    <w:rsid w:val="73CE6057"/>
    <w:rsid w:val="73CF3EC1"/>
    <w:rsid w:val="73CF782A"/>
    <w:rsid w:val="73D56C91"/>
    <w:rsid w:val="73D609D1"/>
    <w:rsid w:val="73D66388"/>
    <w:rsid w:val="73D70421"/>
    <w:rsid w:val="73D72D6F"/>
    <w:rsid w:val="73D72D76"/>
    <w:rsid w:val="73DD0E66"/>
    <w:rsid w:val="73E10AE6"/>
    <w:rsid w:val="73E2290D"/>
    <w:rsid w:val="73E415BD"/>
    <w:rsid w:val="73E46F9F"/>
    <w:rsid w:val="73E703F4"/>
    <w:rsid w:val="73EC18E6"/>
    <w:rsid w:val="73EC640A"/>
    <w:rsid w:val="73F11AAC"/>
    <w:rsid w:val="73F211C9"/>
    <w:rsid w:val="73F545BB"/>
    <w:rsid w:val="73F56E0E"/>
    <w:rsid w:val="73F9444D"/>
    <w:rsid w:val="73FB6A64"/>
    <w:rsid w:val="73FC13DF"/>
    <w:rsid w:val="73FF08CF"/>
    <w:rsid w:val="7402495F"/>
    <w:rsid w:val="740C3E40"/>
    <w:rsid w:val="740D2C3B"/>
    <w:rsid w:val="74137BED"/>
    <w:rsid w:val="741E72C6"/>
    <w:rsid w:val="741F002B"/>
    <w:rsid w:val="74223602"/>
    <w:rsid w:val="74225189"/>
    <w:rsid w:val="74253169"/>
    <w:rsid w:val="74253D00"/>
    <w:rsid w:val="742731EB"/>
    <w:rsid w:val="742765C9"/>
    <w:rsid w:val="742C30C1"/>
    <w:rsid w:val="7430528B"/>
    <w:rsid w:val="743243FE"/>
    <w:rsid w:val="74325189"/>
    <w:rsid w:val="74332C31"/>
    <w:rsid w:val="74353A48"/>
    <w:rsid w:val="74374088"/>
    <w:rsid w:val="74383409"/>
    <w:rsid w:val="7439278E"/>
    <w:rsid w:val="743C603D"/>
    <w:rsid w:val="744019D6"/>
    <w:rsid w:val="7441563F"/>
    <w:rsid w:val="744651BA"/>
    <w:rsid w:val="744651CD"/>
    <w:rsid w:val="74466838"/>
    <w:rsid w:val="7449748B"/>
    <w:rsid w:val="744C2F6B"/>
    <w:rsid w:val="74504D95"/>
    <w:rsid w:val="7452093F"/>
    <w:rsid w:val="74553339"/>
    <w:rsid w:val="74597830"/>
    <w:rsid w:val="745A5E80"/>
    <w:rsid w:val="745B435A"/>
    <w:rsid w:val="745D6DDC"/>
    <w:rsid w:val="745E6FF3"/>
    <w:rsid w:val="74607DA7"/>
    <w:rsid w:val="74627647"/>
    <w:rsid w:val="746622E4"/>
    <w:rsid w:val="746821B0"/>
    <w:rsid w:val="74694A46"/>
    <w:rsid w:val="746A3DD5"/>
    <w:rsid w:val="746E5CAF"/>
    <w:rsid w:val="746F1740"/>
    <w:rsid w:val="747212D1"/>
    <w:rsid w:val="74722C60"/>
    <w:rsid w:val="74741CDF"/>
    <w:rsid w:val="747566C9"/>
    <w:rsid w:val="747B1FEA"/>
    <w:rsid w:val="747B2EED"/>
    <w:rsid w:val="747D01AA"/>
    <w:rsid w:val="747F2A4C"/>
    <w:rsid w:val="747F4559"/>
    <w:rsid w:val="747F7469"/>
    <w:rsid w:val="7483789B"/>
    <w:rsid w:val="74841499"/>
    <w:rsid w:val="7484187D"/>
    <w:rsid w:val="748922C2"/>
    <w:rsid w:val="748A1283"/>
    <w:rsid w:val="748C4FA0"/>
    <w:rsid w:val="748D2CCE"/>
    <w:rsid w:val="748E1F74"/>
    <w:rsid w:val="74916068"/>
    <w:rsid w:val="749377BC"/>
    <w:rsid w:val="7497290E"/>
    <w:rsid w:val="74977D24"/>
    <w:rsid w:val="74986C70"/>
    <w:rsid w:val="749C51ED"/>
    <w:rsid w:val="74A13471"/>
    <w:rsid w:val="74A3517D"/>
    <w:rsid w:val="74A457DE"/>
    <w:rsid w:val="74AA0F9A"/>
    <w:rsid w:val="74B17705"/>
    <w:rsid w:val="74B61363"/>
    <w:rsid w:val="74B705B0"/>
    <w:rsid w:val="74B906DA"/>
    <w:rsid w:val="74B92160"/>
    <w:rsid w:val="74BC3895"/>
    <w:rsid w:val="74BC3CE6"/>
    <w:rsid w:val="74BF5C09"/>
    <w:rsid w:val="74BF74BA"/>
    <w:rsid w:val="74C17342"/>
    <w:rsid w:val="74C27162"/>
    <w:rsid w:val="74C40172"/>
    <w:rsid w:val="74C45400"/>
    <w:rsid w:val="74C71DE3"/>
    <w:rsid w:val="74C940A1"/>
    <w:rsid w:val="74CE26E2"/>
    <w:rsid w:val="74CF13B0"/>
    <w:rsid w:val="74D079C5"/>
    <w:rsid w:val="74D24B74"/>
    <w:rsid w:val="74D379E1"/>
    <w:rsid w:val="74D61BC8"/>
    <w:rsid w:val="74D76614"/>
    <w:rsid w:val="74DB62DB"/>
    <w:rsid w:val="74DC6A53"/>
    <w:rsid w:val="74E05A36"/>
    <w:rsid w:val="74E46ABD"/>
    <w:rsid w:val="74E60F92"/>
    <w:rsid w:val="74F13466"/>
    <w:rsid w:val="74F301C2"/>
    <w:rsid w:val="74F80234"/>
    <w:rsid w:val="74F8393F"/>
    <w:rsid w:val="74FA4152"/>
    <w:rsid w:val="74FD4A5E"/>
    <w:rsid w:val="74FE0F72"/>
    <w:rsid w:val="74FE320A"/>
    <w:rsid w:val="750108DD"/>
    <w:rsid w:val="750258D7"/>
    <w:rsid w:val="75052316"/>
    <w:rsid w:val="75093403"/>
    <w:rsid w:val="750B22EA"/>
    <w:rsid w:val="750C3118"/>
    <w:rsid w:val="75112E68"/>
    <w:rsid w:val="75136EFF"/>
    <w:rsid w:val="75155C46"/>
    <w:rsid w:val="751D2C88"/>
    <w:rsid w:val="751D420A"/>
    <w:rsid w:val="751E5CC1"/>
    <w:rsid w:val="751E690A"/>
    <w:rsid w:val="752145AA"/>
    <w:rsid w:val="75221A05"/>
    <w:rsid w:val="752231FE"/>
    <w:rsid w:val="75245508"/>
    <w:rsid w:val="75246200"/>
    <w:rsid w:val="75262F5E"/>
    <w:rsid w:val="75284200"/>
    <w:rsid w:val="75285314"/>
    <w:rsid w:val="75286165"/>
    <w:rsid w:val="752952EB"/>
    <w:rsid w:val="752A1C42"/>
    <w:rsid w:val="752B6CB3"/>
    <w:rsid w:val="752E2E69"/>
    <w:rsid w:val="7536035E"/>
    <w:rsid w:val="75385A96"/>
    <w:rsid w:val="753B6CFC"/>
    <w:rsid w:val="753F6D7D"/>
    <w:rsid w:val="75434E2F"/>
    <w:rsid w:val="754834D4"/>
    <w:rsid w:val="7549560E"/>
    <w:rsid w:val="754A4031"/>
    <w:rsid w:val="754A63FA"/>
    <w:rsid w:val="754B220A"/>
    <w:rsid w:val="754C1FDF"/>
    <w:rsid w:val="754C32EF"/>
    <w:rsid w:val="754C7D8D"/>
    <w:rsid w:val="754D3905"/>
    <w:rsid w:val="754E0E32"/>
    <w:rsid w:val="75513346"/>
    <w:rsid w:val="75552838"/>
    <w:rsid w:val="755643E0"/>
    <w:rsid w:val="75573270"/>
    <w:rsid w:val="75595538"/>
    <w:rsid w:val="75625330"/>
    <w:rsid w:val="756D555B"/>
    <w:rsid w:val="75705F95"/>
    <w:rsid w:val="7570680E"/>
    <w:rsid w:val="75722D56"/>
    <w:rsid w:val="757530F6"/>
    <w:rsid w:val="757765BE"/>
    <w:rsid w:val="757A2C3A"/>
    <w:rsid w:val="757D4FA5"/>
    <w:rsid w:val="757E5E9D"/>
    <w:rsid w:val="757F44C7"/>
    <w:rsid w:val="758350C2"/>
    <w:rsid w:val="75867ED3"/>
    <w:rsid w:val="758D7824"/>
    <w:rsid w:val="75905B9E"/>
    <w:rsid w:val="75921871"/>
    <w:rsid w:val="75932CCC"/>
    <w:rsid w:val="75940CF0"/>
    <w:rsid w:val="75957C88"/>
    <w:rsid w:val="75994786"/>
    <w:rsid w:val="759B2B10"/>
    <w:rsid w:val="759B3ACE"/>
    <w:rsid w:val="759B64B5"/>
    <w:rsid w:val="759B75AD"/>
    <w:rsid w:val="759D7F51"/>
    <w:rsid w:val="759F3EF7"/>
    <w:rsid w:val="759F4E8E"/>
    <w:rsid w:val="759F6388"/>
    <w:rsid w:val="75A01508"/>
    <w:rsid w:val="75A4719B"/>
    <w:rsid w:val="75A57CEF"/>
    <w:rsid w:val="75A66EA3"/>
    <w:rsid w:val="75A708BD"/>
    <w:rsid w:val="75AA186D"/>
    <w:rsid w:val="75AA2512"/>
    <w:rsid w:val="75AB5500"/>
    <w:rsid w:val="75B15221"/>
    <w:rsid w:val="75B23DEB"/>
    <w:rsid w:val="75B3213E"/>
    <w:rsid w:val="75B53C6D"/>
    <w:rsid w:val="75B8234D"/>
    <w:rsid w:val="75B859D0"/>
    <w:rsid w:val="75BC34B6"/>
    <w:rsid w:val="75BC4E88"/>
    <w:rsid w:val="75BE3C46"/>
    <w:rsid w:val="75BF4A61"/>
    <w:rsid w:val="75C36658"/>
    <w:rsid w:val="75C51F6C"/>
    <w:rsid w:val="75C76E00"/>
    <w:rsid w:val="75CA2E5B"/>
    <w:rsid w:val="75CA5770"/>
    <w:rsid w:val="75CF4942"/>
    <w:rsid w:val="75CF6591"/>
    <w:rsid w:val="75D32AF0"/>
    <w:rsid w:val="75D53F1E"/>
    <w:rsid w:val="75D63FFE"/>
    <w:rsid w:val="75D810A1"/>
    <w:rsid w:val="75D92DD5"/>
    <w:rsid w:val="75DA282B"/>
    <w:rsid w:val="75DA5344"/>
    <w:rsid w:val="75DD30AF"/>
    <w:rsid w:val="75DE28D2"/>
    <w:rsid w:val="75E25C51"/>
    <w:rsid w:val="75E95492"/>
    <w:rsid w:val="75EB25BF"/>
    <w:rsid w:val="75EC034A"/>
    <w:rsid w:val="75FB031C"/>
    <w:rsid w:val="76011F4A"/>
    <w:rsid w:val="76073A8E"/>
    <w:rsid w:val="760A2DD4"/>
    <w:rsid w:val="76100AC8"/>
    <w:rsid w:val="76123486"/>
    <w:rsid w:val="76146659"/>
    <w:rsid w:val="761835A9"/>
    <w:rsid w:val="7618678B"/>
    <w:rsid w:val="761D154C"/>
    <w:rsid w:val="76204EEF"/>
    <w:rsid w:val="76220DF4"/>
    <w:rsid w:val="76254F6A"/>
    <w:rsid w:val="76264D50"/>
    <w:rsid w:val="76266077"/>
    <w:rsid w:val="762D3121"/>
    <w:rsid w:val="762F50EB"/>
    <w:rsid w:val="7636315A"/>
    <w:rsid w:val="763666CB"/>
    <w:rsid w:val="7637425D"/>
    <w:rsid w:val="763B463E"/>
    <w:rsid w:val="763B5EAA"/>
    <w:rsid w:val="763C15B6"/>
    <w:rsid w:val="763C6AC7"/>
    <w:rsid w:val="763E7E1D"/>
    <w:rsid w:val="76424FBE"/>
    <w:rsid w:val="764306EF"/>
    <w:rsid w:val="764500F2"/>
    <w:rsid w:val="7645377C"/>
    <w:rsid w:val="7645769D"/>
    <w:rsid w:val="764C210C"/>
    <w:rsid w:val="76502DD4"/>
    <w:rsid w:val="7650410A"/>
    <w:rsid w:val="76563337"/>
    <w:rsid w:val="765A7645"/>
    <w:rsid w:val="765D7C32"/>
    <w:rsid w:val="765F3F80"/>
    <w:rsid w:val="765F7530"/>
    <w:rsid w:val="76610DB3"/>
    <w:rsid w:val="76621CFC"/>
    <w:rsid w:val="76622CB6"/>
    <w:rsid w:val="76622E8E"/>
    <w:rsid w:val="76650D15"/>
    <w:rsid w:val="766740A1"/>
    <w:rsid w:val="766A7EB7"/>
    <w:rsid w:val="766C2087"/>
    <w:rsid w:val="76705F0C"/>
    <w:rsid w:val="76727AA2"/>
    <w:rsid w:val="767570D4"/>
    <w:rsid w:val="76782D11"/>
    <w:rsid w:val="767915E6"/>
    <w:rsid w:val="76796294"/>
    <w:rsid w:val="767A68D1"/>
    <w:rsid w:val="767B3E8C"/>
    <w:rsid w:val="76851986"/>
    <w:rsid w:val="76861E36"/>
    <w:rsid w:val="768B7AD1"/>
    <w:rsid w:val="768E2EBE"/>
    <w:rsid w:val="768E4E3E"/>
    <w:rsid w:val="769370EE"/>
    <w:rsid w:val="76945EE6"/>
    <w:rsid w:val="76946912"/>
    <w:rsid w:val="769D2585"/>
    <w:rsid w:val="76A22C56"/>
    <w:rsid w:val="76A24BC3"/>
    <w:rsid w:val="76A515B5"/>
    <w:rsid w:val="76A56B45"/>
    <w:rsid w:val="76AF6189"/>
    <w:rsid w:val="76B178AE"/>
    <w:rsid w:val="76B31406"/>
    <w:rsid w:val="76B54DAA"/>
    <w:rsid w:val="76B600C1"/>
    <w:rsid w:val="76B7749B"/>
    <w:rsid w:val="76BD0099"/>
    <w:rsid w:val="76BD27DA"/>
    <w:rsid w:val="76BD67E7"/>
    <w:rsid w:val="76BD6CD4"/>
    <w:rsid w:val="76BE28AC"/>
    <w:rsid w:val="76C05737"/>
    <w:rsid w:val="76C41720"/>
    <w:rsid w:val="76CD399F"/>
    <w:rsid w:val="76D13049"/>
    <w:rsid w:val="76D157FF"/>
    <w:rsid w:val="76D87345"/>
    <w:rsid w:val="76D936DC"/>
    <w:rsid w:val="76DA32A9"/>
    <w:rsid w:val="76E25AA2"/>
    <w:rsid w:val="76E46FCC"/>
    <w:rsid w:val="76E4756C"/>
    <w:rsid w:val="76E714B1"/>
    <w:rsid w:val="76E842DB"/>
    <w:rsid w:val="76EA04BD"/>
    <w:rsid w:val="76EE0575"/>
    <w:rsid w:val="76EE58AD"/>
    <w:rsid w:val="76EF3DEE"/>
    <w:rsid w:val="76EF4B7B"/>
    <w:rsid w:val="76F549A8"/>
    <w:rsid w:val="76FC704E"/>
    <w:rsid w:val="76FF0B78"/>
    <w:rsid w:val="770C1961"/>
    <w:rsid w:val="770F3EF6"/>
    <w:rsid w:val="77107440"/>
    <w:rsid w:val="7713277F"/>
    <w:rsid w:val="771518D3"/>
    <w:rsid w:val="77152863"/>
    <w:rsid w:val="77190122"/>
    <w:rsid w:val="771927D0"/>
    <w:rsid w:val="77207A79"/>
    <w:rsid w:val="77215FA8"/>
    <w:rsid w:val="772169B7"/>
    <w:rsid w:val="772223CE"/>
    <w:rsid w:val="77266FE7"/>
    <w:rsid w:val="772848A0"/>
    <w:rsid w:val="772B7954"/>
    <w:rsid w:val="77303BA0"/>
    <w:rsid w:val="773334B2"/>
    <w:rsid w:val="77336AA0"/>
    <w:rsid w:val="77346E88"/>
    <w:rsid w:val="77347BB3"/>
    <w:rsid w:val="77373CAB"/>
    <w:rsid w:val="7739787A"/>
    <w:rsid w:val="773A1095"/>
    <w:rsid w:val="77414EDD"/>
    <w:rsid w:val="774557C6"/>
    <w:rsid w:val="774951C0"/>
    <w:rsid w:val="774D615E"/>
    <w:rsid w:val="7750368C"/>
    <w:rsid w:val="77560455"/>
    <w:rsid w:val="775919C0"/>
    <w:rsid w:val="7759643A"/>
    <w:rsid w:val="775A5C04"/>
    <w:rsid w:val="775D3F1B"/>
    <w:rsid w:val="7760783E"/>
    <w:rsid w:val="77667502"/>
    <w:rsid w:val="77674632"/>
    <w:rsid w:val="77692691"/>
    <w:rsid w:val="776A2ADA"/>
    <w:rsid w:val="776E2AD3"/>
    <w:rsid w:val="776E3C95"/>
    <w:rsid w:val="7770634A"/>
    <w:rsid w:val="7771421E"/>
    <w:rsid w:val="77737AD7"/>
    <w:rsid w:val="77754D6F"/>
    <w:rsid w:val="7776232F"/>
    <w:rsid w:val="77766FE8"/>
    <w:rsid w:val="77773222"/>
    <w:rsid w:val="77784179"/>
    <w:rsid w:val="77817631"/>
    <w:rsid w:val="7785692E"/>
    <w:rsid w:val="778B1DFE"/>
    <w:rsid w:val="778C2824"/>
    <w:rsid w:val="7793469A"/>
    <w:rsid w:val="77937C49"/>
    <w:rsid w:val="77951FE1"/>
    <w:rsid w:val="779551F6"/>
    <w:rsid w:val="779805D4"/>
    <w:rsid w:val="779B2E87"/>
    <w:rsid w:val="779C51EE"/>
    <w:rsid w:val="779C726C"/>
    <w:rsid w:val="779F080F"/>
    <w:rsid w:val="77A32AF5"/>
    <w:rsid w:val="77A802AF"/>
    <w:rsid w:val="77A862F1"/>
    <w:rsid w:val="77A86DF8"/>
    <w:rsid w:val="77A9528F"/>
    <w:rsid w:val="77AB3E28"/>
    <w:rsid w:val="77B01DAD"/>
    <w:rsid w:val="77B1285F"/>
    <w:rsid w:val="77B14772"/>
    <w:rsid w:val="77B33945"/>
    <w:rsid w:val="77B45EFF"/>
    <w:rsid w:val="77B70519"/>
    <w:rsid w:val="77B8645C"/>
    <w:rsid w:val="77BF509E"/>
    <w:rsid w:val="77C108D5"/>
    <w:rsid w:val="77C1275B"/>
    <w:rsid w:val="77C23131"/>
    <w:rsid w:val="77C3148E"/>
    <w:rsid w:val="77C44D68"/>
    <w:rsid w:val="77CD2F41"/>
    <w:rsid w:val="77CE088D"/>
    <w:rsid w:val="77CF7615"/>
    <w:rsid w:val="77D16DC4"/>
    <w:rsid w:val="77D306F7"/>
    <w:rsid w:val="77D56E69"/>
    <w:rsid w:val="77E57F0B"/>
    <w:rsid w:val="77E61FFD"/>
    <w:rsid w:val="77E97581"/>
    <w:rsid w:val="77EA5555"/>
    <w:rsid w:val="77EA6A14"/>
    <w:rsid w:val="77EB10F2"/>
    <w:rsid w:val="77EC16E5"/>
    <w:rsid w:val="77EE4EDF"/>
    <w:rsid w:val="77EE6A34"/>
    <w:rsid w:val="77EF03CA"/>
    <w:rsid w:val="77F3360E"/>
    <w:rsid w:val="77F33B98"/>
    <w:rsid w:val="77F47954"/>
    <w:rsid w:val="77F73CE8"/>
    <w:rsid w:val="77FB320A"/>
    <w:rsid w:val="77FC0F59"/>
    <w:rsid w:val="77FE2CFB"/>
    <w:rsid w:val="77FF0DFC"/>
    <w:rsid w:val="78000AED"/>
    <w:rsid w:val="78003E7B"/>
    <w:rsid w:val="780069CE"/>
    <w:rsid w:val="780103C1"/>
    <w:rsid w:val="780113AB"/>
    <w:rsid w:val="780239C6"/>
    <w:rsid w:val="78025B06"/>
    <w:rsid w:val="78080340"/>
    <w:rsid w:val="780A3963"/>
    <w:rsid w:val="780C0FA4"/>
    <w:rsid w:val="780D166A"/>
    <w:rsid w:val="780D62E4"/>
    <w:rsid w:val="780E349C"/>
    <w:rsid w:val="78114144"/>
    <w:rsid w:val="78122E38"/>
    <w:rsid w:val="78143510"/>
    <w:rsid w:val="78155518"/>
    <w:rsid w:val="78160F31"/>
    <w:rsid w:val="78162870"/>
    <w:rsid w:val="781D31DA"/>
    <w:rsid w:val="781E1EAC"/>
    <w:rsid w:val="781F1653"/>
    <w:rsid w:val="78202CFD"/>
    <w:rsid w:val="782241D9"/>
    <w:rsid w:val="78246C1A"/>
    <w:rsid w:val="78261554"/>
    <w:rsid w:val="782904CF"/>
    <w:rsid w:val="782B48EA"/>
    <w:rsid w:val="782D34EB"/>
    <w:rsid w:val="783363DF"/>
    <w:rsid w:val="783764D9"/>
    <w:rsid w:val="783A2124"/>
    <w:rsid w:val="784952E3"/>
    <w:rsid w:val="784A37BF"/>
    <w:rsid w:val="784A56E3"/>
    <w:rsid w:val="784B7C21"/>
    <w:rsid w:val="785160EB"/>
    <w:rsid w:val="785311C3"/>
    <w:rsid w:val="785504F4"/>
    <w:rsid w:val="78552F74"/>
    <w:rsid w:val="78567F83"/>
    <w:rsid w:val="7857124A"/>
    <w:rsid w:val="78585FC2"/>
    <w:rsid w:val="785869D5"/>
    <w:rsid w:val="785B0CE6"/>
    <w:rsid w:val="785C22A1"/>
    <w:rsid w:val="785C3F61"/>
    <w:rsid w:val="785D4DFC"/>
    <w:rsid w:val="785D6F57"/>
    <w:rsid w:val="785F5230"/>
    <w:rsid w:val="785F735D"/>
    <w:rsid w:val="7866182E"/>
    <w:rsid w:val="78693A97"/>
    <w:rsid w:val="78721A73"/>
    <w:rsid w:val="78740ECF"/>
    <w:rsid w:val="78746F65"/>
    <w:rsid w:val="787A7B41"/>
    <w:rsid w:val="787B4880"/>
    <w:rsid w:val="787D2B5C"/>
    <w:rsid w:val="787D46C7"/>
    <w:rsid w:val="787E30C0"/>
    <w:rsid w:val="787E6C89"/>
    <w:rsid w:val="787F2F98"/>
    <w:rsid w:val="788018F4"/>
    <w:rsid w:val="78801C2E"/>
    <w:rsid w:val="788102DC"/>
    <w:rsid w:val="78823220"/>
    <w:rsid w:val="788B08E5"/>
    <w:rsid w:val="788C4780"/>
    <w:rsid w:val="788D4DA2"/>
    <w:rsid w:val="78904927"/>
    <w:rsid w:val="789468AA"/>
    <w:rsid w:val="789705A4"/>
    <w:rsid w:val="789919B5"/>
    <w:rsid w:val="78A2778E"/>
    <w:rsid w:val="78A60B62"/>
    <w:rsid w:val="78A832D2"/>
    <w:rsid w:val="78AA4ACC"/>
    <w:rsid w:val="78B70C2B"/>
    <w:rsid w:val="78B82234"/>
    <w:rsid w:val="78C053D6"/>
    <w:rsid w:val="78C2141E"/>
    <w:rsid w:val="78C253BA"/>
    <w:rsid w:val="78C25DE3"/>
    <w:rsid w:val="78C357ED"/>
    <w:rsid w:val="78C50A86"/>
    <w:rsid w:val="78C7366F"/>
    <w:rsid w:val="78CC6F23"/>
    <w:rsid w:val="78D12396"/>
    <w:rsid w:val="78D14E14"/>
    <w:rsid w:val="78D34DCF"/>
    <w:rsid w:val="78D4623D"/>
    <w:rsid w:val="78D9133E"/>
    <w:rsid w:val="78DC2E26"/>
    <w:rsid w:val="78DC76B2"/>
    <w:rsid w:val="78E37C29"/>
    <w:rsid w:val="78E511EE"/>
    <w:rsid w:val="78E51B04"/>
    <w:rsid w:val="78E71E09"/>
    <w:rsid w:val="78E809BA"/>
    <w:rsid w:val="78E92503"/>
    <w:rsid w:val="78EA0077"/>
    <w:rsid w:val="78EB5694"/>
    <w:rsid w:val="78EC72C3"/>
    <w:rsid w:val="78EF2702"/>
    <w:rsid w:val="78FB5FA6"/>
    <w:rsid w:val="7904685F"/>
    <w:rsid w:val="790C47B4"/>
    <w:rsid w:val="790C7B75"/>
    <w:rsid w:val="791244F6"/>
    <w:rsid w:val="79150207"/>
    <w:rsid w:val="791712C7"/>
    <w:rsid w:val="79174289"/>
    <w:rsid w:val="791B7E5C"/>
    <w:rsid w:val="791C30E4"/>
    <w:rsid w:val="79290F37"/>
    <w:rsid w:val="792E045B"/>
    <w:rsid w:val="792E168A"/>
    <w:rsid w:val="79302DB4"/>
    <w:rsid w:val="793060A0"/>
    <w:rsid w:val="7933660B"/>
    <w:rsid w:val="79365A8F"/>
    <w:rsid w:val="793723CD"/>
    <w:rsid w:val="793831F9"/>
    <w:rsid w:val="793B765D"/>
    <w:rsid w:val="793C77B3"/>
    <w:rsid w:val="79403D77"/>
    <w:rsid w:val="79404DE3"/>
    <w:rsid w:val="794249E0"/>
    <w:rsid w:val="7944745A"/>
    <w:rsid w:val="79455537"/>
    <w:rsid w:val="79485CAD"/>
    <w:rsid w:val="794B7FDB"/>
    <w:rsid w:val="794E7466"/>
    <w:rsid w:val="795310F0"/>
    <w:rsid w:val="795918BF"/>
    <w:rsid w:val="7959636B"/>
    <w:rsid w:val="795B2E47"/>
    <w:rsid w:val="795C61F7"/>
    <w:rsid w:val="795C735C"/>
    <w:rsid w:val="795D282A"/>
    <w:rsid w:val="795D5ACB"/>
    <w:rsid w:val="795D7A67"/>
    <w:rsid w:val="79600F95"/>
    <w:rsid w:val="7961052E"/>
    <w:rsid w:val="796254D7"/>
    <w:rsid w:val="79667D36"/>
    <w:rsid w:val="7969279E"/>
    <w:rsid w:val="79694B38"/>
    <w:rsid w:val="796A4721"/>
    <w:rsid w:val="796A5D78"/>
    <w:rsid w:val="796C624D"/>
    <w:rsid w:val="797352EE"/>
    <w:rsid w:val="7974097A"/>
    <w:rsid w:val="79741C08"/>
    <w:rsid w:val="79742C52"/>
    <w:rsid w:val="7975134B"/>
    <w:rsid w:val="79767FFC"/>
    <w:rsid w:val="797712CC"/>
    <w:rsid w:val="7979172B"/>
    <w:rsid w:val="797C4DA7"/>
    <w:rsid w:val="797D64E8"/>
    <w:rsid w:val="79821102"/>
    <w:rsid w:val="7983016B"/>
    <w:rsid w:val="79836B17"/>
    <w:rsid w:val="7984574E"/>
    <w:rsid w:val="798515D3"/>
    <w:rsid w:val="798533BD"/>
    <w:rsid w:val="7986046E"/>
    <w:rsid w:val="798647AE"/>
    <w:rsid w:val="798A6070"/>
    <w:rsid w:val="798B058C"/>
    <w:rsid w:val="798B7A66"/>
    <w:rsid w:val="798C2D00"/>
    <w:rsid w:val="798E3ABB"/>
    <w:rsid w:val="798F5B58"/>
    <w:rsid w:val="798F6C9F"/>
    <w:rsid w:val="7995382F"/>
    <w:rsid w:val="79954F0C"/>
    <w:rsid w:val="79955265"/>
    <w:rsid w:val="799C581E"/>
    <w:rsid w:val="79A36A44"/>
    <w:rsid w:val="79A6173C"/>
    <w:rsid w:val="79A63514"/>
    <w:rsid w:val="79AE6327"/>
    <w:rsid w:val="79B078D8"/>
    <w:rsid w:val="79B431BC"/>
    <w:rsid w:val="79B80D45"/>
    <w:rsid w:val="79C40321"/>
    <w:rsid w:val="79C869EA"/>
    <w:rsid w:val="79C94B4B"/>
    <w:rsid w:val="79CD6233"/>
    <w:rsid w:val="79D149CE"/>
    <w:rsid w:val="79D33FDF"/>
    <w:rsid w:val="79D91733"/>
    <w:rsid w:val="79D938A4"/>
    <w:rsid w:val="79DA45DE"/>
    <w:rsid w:val="79DA756D"/>
    <w:rsid w:val="79DB3ABD"/>
    <w:rsid w:val="79DC5BB2"/>
    <w:rsid w:val="79DC7E1C"/>
    <w:rsid w:val="79E03A56"/>
    <w:rsid w:val="79E116C3"/>
    <w:rsid w:val="79E3167F"/>
    <w:rsid w:val="79E41D48"/>
    <w:rsid w:val="79E53C96"/>
    <w:rsid w:val="79E56079"/>
    <w:rsid w:val="79E70B47"/>
    <w:rsid w:val="79EF2C5B"/>
    <w:rsid w:val="79F06638"/>
    <w:rsid w:val="79F11200"/>
    <w:rsid w:val="79F20023"/>
    <w:rsid w:val="79F32313"/>
    <w:rsid w:val="79F3466B"/>
    <w:rsid w:val="79F37792"/>
    <w:rsid w:val="79F64305"/>
    <w:rsid w:val="79F67EF0"/>
    <w:rsid w:val="79F75659"/>
    <w:rsid w:val="79F85AD2"/>
    <w:rsid w:val="79F91114"/>
    <w:rsid w:val="79FD2E0A"/>
    <w:rsid w:val="79FD629E"/>
    <w:rsid w:val="7A004319"/>
    <w:rsid w:val="7A0154C7"/>
    <w:rsid w:val="7A020420"/>
    <w:rsid w:val="7A04168A"/>
    <w:rsid w:val="7A074C74"/>
    <w:rsid w:val="7A081108"/>
    <w:rsid w:val="7A081EF5"/>
    <w:rsid w:val="7A0D129F"/>
    <w:rsid w:val="7A0D1CC7"/>
    <w:rsid w:val="7A0F0165"/>
    <w:rsid w:val="7A0F0945"/>
    <w:rsid w:val="7A10786F"/>
    <w:rsid w:val="7A1366E8"/>
    <w:rsid w:val="7A17390D"/>
    <w:rsid w:val="7A177611"/>
    <w:rsid w:val="7A186762"/>
    <w:rsid w:val="7A1A2001"/>
    <w:rsid w:val="7A1C5F19"/>
    <w:rsid w:val="7A1F6757"/>
    <w:rsid w:val="7A20439B"/>
    <w:rsid w:val="7A235413"/>
    <w:rsid w:val="7A275CD3"/>
    <w:rsid w:val="7A300401"/>
    <w:rsid w:val="7A337D1C"/>
    <w:rsid w:val="7A38686E"/>
    <w:rsid w:val="7A3A3020"/>
    <w:rsid w:val="7A3E1F6B"/>
    <w:rsid w:val="7A423A14"/>
    <w:rsid w:val="7A424F07"/>
    <w:rsid w:val="7A44022D"/>
    <w:rsid w:val="7A46397D"/>
    <w:rsid w:val="7A496B9E"/>
    <w:rsid w:val="7A497D07"/>
    <w:rsid w:val="7A4E310B"/>
    <w:rsid w:val="7A510226"/>
    <w:rsid w:val="7A51551F"/>
    <w:rsid w:val="7A540C70"/>
    <w:rsid w:val="7A550538"/>
    <w:rsid w:val="7A562688"/>
    <w:rsid w:val="7A58313B"/>
    <w:rsid w:val="7A59680F"/>
    <w:rsid w:val="7A5C3FD5"/>
    <w:rsid w:val="7A60442E"/>
    <w:rsid w:val="7A6210BB"/>
    <w:rsid w:val="7A625262"/>
    <w:rsid w:val="7A66442C"/>
    <w:rsid w:val="7A6809D3"/>
    <w:rsid w:val="7A6A7412"/>
    <w:rsid w:val="7A6B246A"/>
    <w:rsid w:val="7A6D228F"/>
    <w:rsid w:val="7A6E1922"/>
    <w:rsid w:val="7A6E19A1"/>
    <w:rsid w:val="7A6F3C64"/>
    <w:rsid w:val="7A7008FD"/>
    <w:rsid w:val="7A742E4E"/>
    <w:rsid w:val="7A78354D"/>
    <w:rsid w:val="7A7B3555"/>
    <w:rsid w:val="7A7C15F3"/>
    <w:rsid w:val="7A7E3116"/>
    <w:rsid w:val="7A7E7F2D"/>
    <w:rsid w:val="7A801E00"/>
    <w:rsid w:val="7A8073FD"/>
    <w:rsid w:val="7A8122C8"/>
    <w:rsid w:val="7A83735A"/>
    <w:rsid w:val="7A8525EA"/>
    <w:rsid w:val="7A8B7A6D"/>
    <w:rsid w:val="7A8C20EC"/>
    <w:rsid w:val="7A920303"/>
    <w:rsid w:val="7A936EE8"/>
    <w:rsid w:val="7A962F16"/>
    <w:rsid w:val="7A9670D7"/>
    <w:rsid w:val="7A976512"/>
    <w:rsid w:val="7A983686"/>
    <w:rsid w:val="7A990DFE"/>
    <w:rsid w:val="7A9B7743"/>
    <w:rsid w:val="7A9D0CE8"/>
    <w:rsid w:val="7A9D5CDD"/>
    <w:rsid w:val="7AA008BF"/>
    <w:rsid w:val="7AA01750"/>
    <w:rsid w:val="7AA9175C"/>
    <w:rsid w:val="7AAB2530"/>
    <w:rsid w:val="7AAF00E7"/>
    <w:rsid w:val="7AB441D5"/>
    <w:rsid w:val="7AB8650B"/>
    <w:rsid w:val="7AB92029"/>
    <w:rsid w:val="7ABE0452"/>
    <w:rsid w:val="7AC0116C"/>
    <w:rsid w:val="7AC36F7D"/>
    <w:rsid w:val="7AC53928"/>
    <w:rsid w:val="7AC96B3F"/>
    <w:rsid w:val="7ACB66CA"/>
    <w:rsid w:val="7AD24042"/>
    <w:rsid w:val="7AD33C59"/>
    <w:rsid w:val="7AD94348"/>
    <w:rsid w:val="7AD96201"/>
    <w:rsid w:val="7ADB30C3"/>
    <w:rsid w:val="7ADB3F7C"/>
    <w:rsid w:val="7ADE4F4C"/>
    <w:rsid w:val="7AE13380"/>
    <w:rsid w:val="7AE23E17"/>
    <w:rsid w:val="7AE278C7"/>
    <w:rsid w:val="7AE87351"/>
    <w:rsid w:val="7AE87439"/>
    <w:rsid w:val="7AEF5FDF"/>
    <w:rsid w:val="7AF00DB4"/>
    <w:rsid w:val="7AF3046A"/>
    <w:rsid w:val="7AF33363"/>
    <w:rsid w:val="7AF5196F"/>
    <w:rsid w:val="7AF663AB"/>
    <w:rsid w:val="7AF66C73"/>
    <w:rsid w:val="7AF83136"/>
    <w:rsid w:val="7AFA2F2A"/>
    <w:rsid w:val="7AFB25AC"/>
    <w:rsid w:val="7AFD40A1"/>
    <w:rsid w:val="7AFD7CFE"/>
    <w:rsid w:val="7AFE66B2"/>
    <w:rsid w:val="7B013002"/>
    <w:rsid w:val="7B013CDD"/>
    <w:rsid w:val="7B05319D"/>
    <w:rsid w:val="7B066978"/>
    <w:rsid w:val="7B101571"/>
    <w:rsid w:val="7B114DBF"/>
    <w:rsid w:val="7B134FFD"/>
    <w:rsid w:val="7B171648"/>
    <w:rsid w:val="7B1819E7"/>
    <w:rsid w:val="7B211F55"/>
    <w:rsid w:val="7B247ADC"/>
    <w:rsid w:val="7B275A68"/>
    <w:rsid w:val="7B28050C"/>
    <w:rsid w:val="7B2806CE"/>
    <w:rsid w:val="7B293BD3"/>
    <w:rsid w:val="7B2B5CBF"/>
    <w:rsid w:val="7B2D7A9F"/>
    <w:rsid w:val="7B2E3DEE"/>
    <w:rsid w:val="7B342DC6"/>
    <w:rsid w:val="7B34311F"/>
    <w:rsid w:val="7B345A1B"/>
    <w:rsid w:val="7B3620E8"/>
    <w:rsid w:val="7B394B98"/>
    <w:rsid w:val="7B3A2568"/>
    <w:rsid w:val="7B3D35E8"/>
    <w:rsid w:val="7B3F335C"/>
    <w:rsid w:val="7B407557"/>
    <w:rsid w:val="7B46002A"/>
    <w:rsid w:val="7B4934B7"/>
    <w:rsid w:val="7B4A0483"/>
    <w:rsid w:val="7B4A346F"/>
    <w:rsid w:val="7B4E750F"/>
    <w:rsid w:val="7B503C31"/>
    <w:rsid w:val="7B511F2F"/>
    <w:rsid w:val="7B51623D"/>
    <w:rsid w:val="7B5B674F"/>
    <w:rsid w:val="7B5C72B4"/>
    <w:rsid w:val="7B614326"/>
    <w:rsid w:val="7B6267BA"/>
    <w:rsid w:val="7B632C26"/>
    <w:rsid w:val="7B643141"/>
    <w:rsid w:val="7B6469D0"/>
    <w:rsid w:val="7B66237D"/>
    <w:rsid w:val="7B6714B3"/>
    <w:rsid w:val="7B682200"/>
    <w:rsid w:val="7B6B67E4"/>
    <w:rsid w:val="7B6F0D44"/>
    <w:rsid w:val="7B76116A"/>
    <w:rsid w:val="7B774BF1"/>
    <w:rsid w:val="7B7D4EB6"/>
    <w:rsid w:val="7B8451AE"/>
    <w:rsid w:val="7B84600B"/>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B16C95"/>
    <w:rsid w:val="7BB36BFC"/>
    <w:rsid w:val="7BB77F53"/>
    <w:rsid w:val="7BBB0D55"/>
    <w:rsid w:val="7BBE16E9"/>
    <w:rsid w:val="7BC57BA4"/>
    <w:rsid w:val="7BC76F7A"/>
    <w:rsid w:val="7BC83AEF"/>
    <w:rsid w:val="7BC9071C"/>
    <w:rsid w:val="7BCB1B35"/>
    <w:rsid w:val="7BD13261"/>
    <w:rsid w:val="7BD421A6"/>
    <w:rsid w:val="7BD450C5"/>
    <w:rsid w:val="7BD51432"/>
    <w:rsid w:val="7BD66969"/>
    <w:rsid w:val="7BD87934"/>
    <w:rsid w:val="7BDE19DF"/>
    <w:rsid w:val="7BE106A3"/>
    <w:rsid w:val="7BE40BB6"/>
    <w:rsid w:val="7BE86B7B"/>
    <w:rsid w:val="7BED25F2"/>
    <w:rsid w:val="7BEE59D3"/>
    <w:rsid w:val="7BF24B26"/>
    <w:rsid w:val="7BF27542"/>
    <w:rsid w:val="7BF65538"/>
    <w:rsid w:val="7BF90F24"/>
    <w:rsid w:val="7BFB309E"/>
    <w:rsid w:val="7BFB3BF3"/>
    <w:rsid w:val="7BFF0538"/>
    <w:rsid w:val="7C02790B"/>
    <w:rsid w:val="7C0820DB"/>
    <w:rsid w:val="7C08326F"/>
    <w:rsid w:val="7C0C43DB"/>
    <w:rsid w:val="7C0F1753"/>
    <w:rsid w:val="7C127334"/>
    <w:rsid w:val="7C135F1E"/>
    <w:rsid w:val="7C144705"/>
    <w:rsid w:val="7C1548DF"/>
    <w:rsid w:val="7C175324"/>
    <w:rsid w:val="7C183205"/>
    <w:rsid w:val="7C1A6DD0"/>
    <w:rsid w:val="7C1D1951"/>
    <w:rsid w:val="7C214D28"/>
    <w:rsid w:val="7C2519D4"/>
    <w:rsid w:val="7C263C5F"/>
    <w:rsid w:val="7C357EF5"/>
    <w:rsid w:val="7C373897"/>
    <w:rsid w:val="7C396D1B"/>
    <w:rsid w:val="7C3B2037"/>
    <w:rsid w:val="7C3C3EC4"/>
    <w:rsid w:val="7C3E1BE4"/>
    <w:rsid w:val="7C3E56E8"/>
    <w:rsid w:val="7C3F0858"/>
    <w:rsid w:val="7C417F25"/>
    <w:rsid w:val="7C437462"/>
    <w:rsid w:val="7C4617C2"/>
    <w:rsid w:val="7C465214"/>
    <w:rsid w:val="7C4822C5"/>
    <w:rsid w:val="7C492337"/>
    <w:rsid w:val="7C4961E4"/>
    <w:rsid w:val="7C4A5941"/>
    <w:rsid w:val="7C4C2BED"/>
    <w:rsid w:val="7C570EF7"/>
    <w:rsid w:val="7C571D10"/>
    <w:rsid w:val="7C5961DB"/>
    <w:rsid w:val="7C5A7004"/>
    <w:rsid w:val="7C5C3E40"/>
    <w:rsid w:val="7C6058BE"/>
    <w:rsid w:val="7C623036"/>
    <w:rsid w:val="7C68549E"/>
    <w:rsid w:val="7C6929D9"/>
    <w:rsid w:val="7C6C179F"/>
    <w:rsid w:val="7C70134E"/>
    <w:rsid w:val="7C724943"/>
    <w:rsid w:val="7C731EF4"/>
    <w:rsid w:val="7C754444"/>
    <w:rsid w:val="7C762E33"/>
    <w:rsid w:val="7C793002"/>
    <w:rsid w:val="7C7D6467"/>
    <w:rsid w:val="7C827C53"/>
    <w:rsid w:val="7C842F39"/>
    <w:rsid w:val="7C8500E7"/>
    <w:rsid w:val="7C885555"/>
    <w:rsid w:val="7C897E2D"/>
    <w:rsid w:val="7C8A0659"/>
    <w:rsid w:val="7C8C34C2"/>
    <w:rsid w:val="7C8C4DFC"/>
    <w:rsid w:val="7C914409"/>
    <w:rsid w:val="7C921D0A"/>
    <w:rsid w:val="7C921F30"/>
    <w:rsid w:val="7C924E58"/>
    <w:rsid w:val="7C931BEA"/>
    <w:rsid w:val="7C99232B"/>
    <w:rsid w:val="7C9E50EB"/>
    <w:rsid w:val="7CA60E13"/>
    <w:rsid w:val="7CA73B62"/>
    <w:rsid w:val="7CA9382F"/>
    <w:rsid w:val="7CB366FC"/>
    <w:rsid w:val="7CB56EF2"/>
    <w:rsid w:val="7CBB62AD"/>
    <w:rsid w:val="7CBC6FAC"/>
    <w:rsid w:val="7CBF4F60"/>
    <w:rsid w:val="7CC12D41"/>
    <w:rsid w:val="7CC7080D"/>
    <w:rsid w:val="7CC7607D"/>
    <w:rsid w:val="7CC77E2B"/>
    <w:rsid w:val="7CCB22A2"/>
    <w:rsid w:val="7CCD26CF"/>
    <w:rsid w:val="7CCD6A45"/>
    <w:rsid w:val="7CCE3FDE"/>
    <w:rsid w:val="7CCF0A8E"/>
    <w:rsid w:val="7CCF3759"/>
    <w:rsid w:val="7CD13082"/>
    <w:rsid w:val="7CD17CAD"/>
    <w:rsid w:val="7CD267D0"/>
    <w:rsid w:val="7CD50259"/>
    <w:rsid w:val="7CD744DD"/>
    <w:rsid w:val="7CD85482"/>
    <w:rsid w:val="7CDA03B2"/>
    <w:rsid w:val="7CDE27CD"/>
    <w:rsid w:val="7CE52D60"/>
    <w:rsid w:val="7CE62EAE"/>
    <w:rsid w:val="7CE74FD7"/>
    <w:rsid w:val="7CE821E8"/>
    <w:rsid w:val="7CEA58C8"/>
    <w:rsid w:val="7CEC017E"/>
    <w:rsid w:val="7CF010AC"/>
    <w:rsid w:val="7CFE1606"/>
    <w:rsid w:val="7D03643D"/>
    <w:rsid w:val="7D0559DD"/>
    <w:rsid w:val="7D0A353B"/>
    <w:rsid w:val="7D0E0779"/>
    <w:rsid w:val="7D0E3565"/>
    <w:rsid w:val="7D1028C7"/>
    <w:rsid w:val="7D14264E"/>
    <w:rsid w:val="7D14634D"/>
    <w:rsid w:val="7D162F4F"/>
    <w:rsid w:val="7D1838B8"/>
    <w:rsid w:val="7D1B3CD3"/>
    <w:rsid w:val="7D1F7E82"/>
    <w:rsid w:val="7D20002D"/>
    <w:rsid w:val="7D2335B6"/>
    <w:rsid w:val="7D257168"/>
    <w:rsid w:val="7D280220"/>
    <w:rsid w:val="7D290D7E"/>
    <w:rsid w:val="7D294FC1"/>
    <w:rsid w:val="7D2A2A4B"/>
    <w:rsid w:val="7D2B7A94"/>
    <w:rsid w:val="7D2C004B"/>
    <w:rsid w:val="7D2D0C1A"/>
    <w:rsid w:val="7D326AA1"/>
    <w:rsid w:val="7D3614CE"/>
    <w:rsid w:val="7D3634EC"/>
    <w:rsid w:val="7D3766AA"/>
    <w:rsid w:val="7D3E172D"/>
    <w:rsid w:val="7D412320"/>
    <w:rsid w:val="7D414749"/>
    <w:rsid w:val="7D4255DE"/>
    <w:rsid w:val="7D434B61"/>
    <w:rsid w:val="7D4827E2"/>
    <w:rsid w:val="7D523199"/>
    <w:rsid w:val="7D567BC5"/>
    <w:rsid w:val="7D574AB6"/>
    <w:rsid w:val="7D5B4CCC"/>
    <w:rsid w:val="7D5B7B11"/>
    <w:rsid w:val="7D5D305F"/>
    <w:rsid w:val="7D5E396C"/>
    <w:rsid w:val="7D644CA2"/>
    <w:rsid w:val="7D680034"/>
    <w:rsid w:val="7D687AFA"/>
    <w:rsid w:val="7D690CA4"/>
    <w:rsid w:val="7D6A32F1"/>
    <w:rsid w:val="7D710A8D"/>
    <w:rsid w:val="7D746FF5"/>
    <w:rsid w:val="7D767623"/>
    <w:rsid w:val="7D7A3789"/>
    <w:rsid w:val="7D7A37B0"/>
    <w:rsid w:val="7D7A6D7A"/>
    <w:rsid w:val="7D7B2DAF"/>
    <w:rsid w:val="7D7F2275"/>
    <w:rsid w:val="7D8D3A46"/>
    <w:rsid w:val="7D9212F4"/>
    <w:rsid w:val="7D960D81"/>
    <w:rsid w:val="7D970AEA"/>
    <w:rsid w:val="7D973A8E"/>
    <w:rsid w:val="7D9A5566"/>
    <w:rsid w:val="7D9B0E5C"/>
    <w:rsid w:val="7D9C6AF9"/>
    <w:rsid w:val="7DA44D3F"/>
    <w:rsid w:val="7DA75D88"/>
    <w:rsid w:val="7DA84080"/>
    <w:rsid w:val="7DA939D5"/>
    <w:rsid w:val="7DA959EE"/>
    <w:rsid w:val="7DAA4F90"/>
    <w:rsid w:val="7DAB7A3E"/>
    <w:rsid w:val="7DAC798B"/>
    <w:rsid w:val="7DAD52A3"/>
    <w:rsid w:val="7DB109BE"/>
    <w:rsid w:val="7DB134DA"/>
    <w:rsid w:val="7DB13CEB"/>
    <w:rsid w:val="7DB60878"/>
    <w:rsid w:val="7DBA747C"/>
    <w:rsid w:val="7DBA7990"/>
    <w:rsid w:val="7DBB1263"/>
    <w:rsid w:val="7DBB6EF0"/>
    <w:rsid w:val="7DBC7B82"/>
    <w:rsid w:val="7DC161B3"/>
    <w:rsid w:val="7DC56DA1"/>
    <w:rsid w:val="7DC77936"/>
    <w:rsid w:val="7DCC1FE2"/>
    <w:rsid w:val="7DCF787A"/>
    <w:rsid w:val="7DD01DDD"/>
    <w:rsid w:val="7DD71264"/>
    <w:rsid w:val="7DDC2D85"/>
    <w:rsid w:val="7DDD56E0"/>
    <w:rsid w:val="7DDE5CEA"/>
    <w:rsid w:val="7DE55B94"/>
    <w:rsid w:val="7DF0352C"/>
    <w:rsid w:val="7DF04AD1"/>
    <w:rsid w:val="7DF3295E"/>
    <w:rsid w:val="7DF36DAD"/>
    <w:rsid w:val="7DF46549"/>
    <w:rsid w:val="7DF76B21"/>
    <w:rsid w:val="7DFB6179"/>
    <w:rsid w:val="7DFD15FB"/>
    <w:rsid w:val="7DFE223D"/>
    <w:rsid w:val="7DFE782D"/>
    <w:rsid w:val="7DFE7C67"/>
    <w:rsid w:val="7DFF35F5"/>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2C7D99"/>
    <w:rsid w:val="7E2D1F30"/>
    <w:rsid w:val="7E3176B5"/>
    <w:rsid w:val="7E320B69"/>
    <w:rsid w:val="7E324724"/>
    <w:rsid w:val="7E326113"/>
    <w:rsid w:val="7E3617D2"/>
    <w:rsid w:val="7E37359E"/>
    <w:rsid w:val="7E383061"/>
    <w:rsid w:val="7E391D4B"/>
    <w:rsid w:val="7E3D5CDC"/>
    <w:rsid w:val="7E3E6534"/>
    <w:rsid w:val="7E406B52"/>
    <w:rsid w:val="7E487FAE"/>
    <w:rsid w:val="7E4952E6"/>
    <w:rsid w:val="7E4C5F39"/>
    <w:rsid w:val="7E4E28B6"/>
    <w:rsid w:val="7E52721B"/>
    <w:rsid w:val="7E540A67"/>
    <w:rsid w:val="7E577EC0"/>
    <w:rsid w:val="7E591276"/>
    <w:rsid w:val="7E5A11E3"/>
    <w:rsid w:val="7E5A31A3"/>
    <w:rsid w:val="7E5C6747"/>
    <w:rsid w:val="7E5E656D"/>
    <w:rsid w:val="7E5F01CB"/>
    <w:rsid w:val="7E5F1C22"/>
    <w:rsid w:val="7E616729"/>
    <w:rsid w:val="7E646727"/>
    <w:rsid w:val="7E6876F1"/>
    <w:rsid w:val="7E707601"/>
    <w:rsid w:val="7E721D1F"/>
    <w:rsid w:val="7E722226"/>
    <w:rsid w:val="7E734E5A"/>
    <w:rsid w:val="7E784A80"/>
    <w:rsid w:val="7E7A010F"/>
    <w:rsid w:val="7E7B5B32"/>
    <w:rsid w:val="7E7E09BD"/>
    <w:rsid w:val="7E7E24FB"/>
    <w:rsid w:val="7E805601"/>
    <w:rsid w:val="7E853F27"/>
    <w:rsid w:val="7E871D92"/>
    <w:rsid w:val="7E8F6A62"/>
    <w:rsid w:val="7E975FFF"/>
    <w:rsid w:val="7E98761A"/>
    <w:rsid w:val="7E9A36ED"/>
    <w:rsid w:val="7E9A7DB5"/>
    <w:rsid w:val="7E9D7C41"/>
    <w:rsid w:val="7EA23735"/>
    <w:rsid w:val="7EA65C6B"/>
    <w:rsid w:val="7EA66620"/>
    <w:rsid w:val="7EA70103"/>
    <w:rsid w:val="7EA93453"/>
    <w:rsid w:val="7EA9748C"/>
    <w:rsid w:val="7EAA3473"/>
    <w:rsid w:val="7EAB4410"/>
    <w:rsid w:val="7EAE3C1F"/>
    <w:rsid w:val="7EB22415"/>
    <w:rsid w:val="7EB44DD4"/>
    <w:rsid w:val="7EB47CBA"/>
    <w:rsid w:val="7EB47F15"/>
    <w:rsid w:val="7EBA3292"/>
    <w:rsid w:val="7EBA3E20"/>
    <w:rsid w:val="7EBB2F86"/>
    <w:rsid w:val="7EBE0AEB"/>
    <w:rsid w:val="7EC03BF0"/>
    <w:rsid w:val="7EC3786F"/>
    <w:rsid w:val="7EC55A96"/>
    <w:rsid w:val="7ECC46AC"/>
    <w:rsid w:val="7ED056BB"/>
    <w:rsid w:val="7ED14FC8"/>
    <w:rsid w:val="7ED3531E"/>
    <w:rsid w:val="7ED4727F"/>
    <w:rsid w:val="7ED65D87"/>
    <w:rsid w:val="7ED67ADA"/>
    <w:rsid w:val="7ED76F88"/>
    <w:rsid w:val="7EDB31BE"/>
    <w:rsid w:val="7EDE76AE"/>
    <w:rsid w:val="7EE046C6"/>
    <w:rsid w:val="7EE67555"/>
    <w:rsid w:val="7EEA692C"/>
    <w:rsid w:val="7EEB07CE"/>
    <w:rsid w:val="7EF32DF7"/>
    <w:rsid w:val="7EF64DC9"/>
    <w:rsid w:val="7EF72EB6"/>
    <w:rsid w:val="7EF938B3"/>
    <w:rsid w:val="7EF944E8"/>
    <w:rsid w:val="7EFC6E7C"/>
    <w:rsid w:val="7EFF63D7"/>
    <w:rsid w:val="7EFF7D90"/>
    <w:rsid w:val="7F015E8D"/>
    <w:rsid w:val="7F0264F0"/>
    <w:rsid w:val="7F034138"/>
    <w:rsid w:val="7F05224C"/>
    <w:rsid w:val="7F08297D"/>
    <w:rsid w:val="7F0C47C2"/>
    <w:rsid w:val="7F0D6FB3"/>
    <w:rsid w:val="7F107FD7"/>
    <w:rsid w:val="7F164779"/>
    <w:rsid w:val="7F1758A7"/>
    <w:rsid w:val="7F1760B5"/>
    <w:rsid w:val="7F1A735D"/>
    <w:rsid w:val="7F1C2CE6"/>
    <w:rsid w:val="7F1C3A63"/>
    <w:rsid w:val="7F1E1EE9"/>
    <w:rsid w:val="7F1E483B"/>
    <w:rsid w:val="7F1F2C94"/>
    <w:rsid w:val="7F225FF2"/>
    <w:rsid w:val="7F2437A5"/>
    <w:rsid w:val="7F25058E"/>
    <w:rsid w:val="7F251081"/>
    <w:rsid w:val="7F297580"/>
    <w:rsid w:val="7F2C3D96"/>
    <w:rsid w:val="7F303A79"/>
    <w:rsid w:val="7F363E6E"/>
    <w:rsid w:val="7F380575"/>
    <w:rsid w:val="7F3D16A4"/>
    <w:rsid w:val="7F402B5E"/>
    <w:rsid w:val="7F412D6A"/>
    <w:rsid w:val="7F417CE5"/>
    <w:rsid w:val="7F4C4618"/>
    <w:rsid w:val="7F4F0673"/>
    <w:rsid w:val="7F507D15"/>
    <w:rsid w:val="7F54345F"/>
    <w:rsid w:val="7F552893"/>
    <w:rsid w:val="7F552BBF"/>
    <w:rsid w:val="7F570504"/>
    <w:rsid w:val="7F5A541F"/>
    <w:rsid w:val="7F664237"/>
    <w:rsid w:val="7F665D16"/>
    <w:rsid w:val="7F680BB6"/>
    <w:rsid w:val="7F682F57"/>
    <w:rsid w:val="7F6905D5"/>
    <w:rsid w:val="7F696FF9"/>
    <w:rsid w:val="7F6C5BA9"/>
    <w:rsid w:val="7F6D193F"/>
    <w:rsid w:val="7F716735"/>
    <w:rsid w:val="7F72309C"/>
    <w:rsid w:val="7F78140F"/>
    <w:rsid w:val="7F7818B1"/>
    <w:rsid w:val="7F7B63CC"/>
    <w:rsid w:val="7F7D28FB"/>
    <w:rsid w:val="7F803CB7"/>
    <w:rsid w:val="7F822FE3"/>
    <w:rsid w:val="7F83107B"/>
    <w:rsid w:val="7F8364EC"/>
    <w:rsid w:val="7F8653F4"/>
    <w:rsid w:val="7F876014"/>
    <w:rsid w:val="7F8909D3"/>
    <w:rsid w:val="7F8936B8"/>
    <w:rsid w:val="7F904F09"/>
    <w:rsid w:val="7F9058E8"/>
    <w:rsid w:val="7F934E5D"/>
    <w:rsid w:val="7FA56960"/>
    <w:rsid w:val="7FA57DB0"/>
    <w:rsid w:val="7FA81745"/>
    <w:rsid w:val="7FAA005D"/>
    <w:rsid w:val="7FAA3564"/>
    <w:rsid w:val="7FAA6042"/>
    <w:rsid w:val="7FAB6E33"/>
    <w:rsid w:val="7FAC6F1D"/>
    <w:rsid w:val="7FAE7344"/>
    <w:rsid w:val="7FB053AD"/>
    <w:rsid w:val="7FB35AB3"/>
    <w:rsid w:val="7FB36571"/>
    <w:rsid w:val="7FB453DB"/>
    <w:rsid w:val="7FB55FA3"/>
    <w:rsid w:val="7FB55FEC"/>
    <w:rsid w:val="7FB70F9E"/>
    <w:rsid w:val="7FBE2591"/>
    <w:rsid w:val="7FC12847"/>
    <w:rsid w:val="7FC80122"/>
    <w:rsid w:val="7FC87D6C"/>
    <w:rsid w:val="7FD50AB1"/>
    <w:rsid w:val="7FD521BA"/>
    <w:rsid w:val="7FD770CE"/>
    <w:rsid w:val="7FDA25FE"/>
    <w:rsid w:val="7FDD3CC6"/>
    <w:rsid w:val="7FE00316"/>
    <w:rsid w:val="7FE42AA2"/>
    <w:rsid w:val="7FE577E0"/>
    <w:rsid w:val="7FE63B66"/>
    <w:rsid w:val="7FE82930"/>
    <w:rsid w:val="7FF026F9"/>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semiHidden/>
    <w:unhideWhenUsed/>
    <w:qFormat/>
    <w:uiPriority w:val="1"/>
  </w:style>
  <w:style w:type="table" w:default="1" w:styleId="15">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7"/>
    <w:autoRedefine/>
    <w:unhideWhenUsed/>
    <w:qFormat/>
    <w:uiPriority w:val="99"/>
    <w:pPr>
      <w:spacing w:after="0"/>
    </w:pPr>
    <w:rPr>
      <w:sz w:val="18"/>
      <w:szCs w:val="18"/>
    </w:rPr>
  </w:style>
  <w:style w:type="paragraph" w:styleId="8">
    <w:name w:val="footer"/>
    <w:basedOn w:val="1"/>
    <w:link w:val="26"/>
    <w:autoRedefine/>
    <w:unhideWhenUsed/>
    <w:qFormat/>
    <w:uiPriority w:val="99"/>
    <w:pPr>
      <w:tabs>
        <w:tab w:val="center" w:pos="4153"/>
        <w:tab w:val="right" w:pos="8306"/>
      </w:tabs>
    </w:pPr>
    <w:rPr>
      <w:sz w:val="18"/>
      <w:szCs w:val="18"/>
    </w:rPr>
  </w:style>
  <w:style w:type="paragraph" w:styleId="9">
    <w:name w:val="header"/>
    <w:basedOn w:val="1"/>
    <w:link w:val="25"/>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styleId="24">
    <w:name w:val="annotation reference"/>
    <w:basedOn w:val="19"/>
    <w:autoRedefine/>
    <w:semiHidden/>
    <w:unhideWhenUsed/>
    <w:qFormat/>
    <w:uiPriority w:val="99"/>
    <w:rPr>
      <w:sz w:val="21"/>
      <w:szCs w:val="21"/>
    </w:rPr>
  </w:style>
  <w:style w:type="character" w:customStyle="1" w:styleId="25">
    <w:name w:val="页眉 字符"/>
    <w:basedOn w:val="19"/>
    <w:link w:val="9"/>
    <w:autoRedefine/>
    <w:qFormat/>
    <w:uiPriority w:val="99"/>
    <w:rPr>
      <w:rFonts w:ascii="Tahoma" w:hAnsi="Tahoma"/>
      <w:sz w:val="18"/>
      <w:szCs w:val="18"/>
    </w:rPr>
  </w:style>
  <w:style w:type="character" w:customStyle="1" w:styleId="26">
    <w:name w:val="页脚 字符"/>
    <w:basedOn w:val="19"/>
    <w:link w:val="8"/>
    <w:autoRedefine/>
    <w:qFormat/>
    <w:uiPriority w:val="99"/>
    <w:rPr>
      <w:rFonts w:ascii="Tahoma" w:hAnsi="Tahoma"/>
      <w:sz w:val="18"/>
      <w:szCs w:val="18"/>
    </w:rPr>
  </w:style>
  <w:style w:type="character" w:customStyle="1" w:styleId="27">
    <w:name w:val="批注框文本 字符"/>
    <w:basedOn w:val="19"/>
    <w:link w:val="7"/>
    <w:autoRedefine/>
    <w:semiHidden/>
    <w:qFormat/>
    <w:uiPriority w:val="99"/>
    <w:rPr>
      <w:rFonts w:ascii="Tahoma" w:hAnsi="Tahoma"/>
      <w:sz w:val="18"/>
      <w:szCs w:val="18"/>
    </w:rPr>
  </w:style>
  <w:style w:type="paragraph" w:customStyle="1" w:styleId="28">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autoRedefine/>
    <w:qFormat/>
    <w:uiPriority w:val="34"/>
    <w:pPr>
      <w:ind w:firstLine="420" w:firstLineChars="200"/>
    </w:pPr>
  </w:style>
  <w:style w:type="table" w:customStyle="1" w:styleId="30">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autoRedefine/>
    <w:qFormat/>
    <w:uiPriority w:val="0"/>
  </w:style>
  <w:style w:type="character" w:customStyle="1" w:styleId="34">
    <w:name w:val="标题 1 字符"/>
    <w:basedOn w:val="19"/>
    <w:link w:val="2"/>
    <w:autoRedefine/>
    <w:qFormat/>
    <w:uiPriority w:val="9"/>
    <w:rPr>
      <w:rFonts w:ascii="宋体" w:hAnsi="宋体" w:eastAsia="宋体" w:cs="宋体"/>
      <w:b/>
      <w:bCs/>
      <w:kern w:val="36"/>
      <w:sz w:val="48"/>
      <w:szCs w:val="48"/>
    </w:rPr>
  </w:style>
  <w:style w:type="character" w:customStyle="1" w:styleId="35">
    <w:name w:val="apple-converted-space"/>
    <w:basedOn w:val="19"/>
    <w:autoRedefine/>
    <w:qFormat/>
    <w:uiPriority w:val="0"/>
  </w:style>
  <w:style w:type="character" w:customStyle="1" w:styleId="36">
    <w:name w:val="hit_inf"/>
    <w:basedOn w:val="19"/>
    <w:autoRedefine/>
    <w:qFormat/>
    <w:uiPriority w:val="0"/>
  </w:style>
  <w:style w:type="character" w:customStyle="1" w:styleId="37">
    <w:name w:val="hit_org"/>
    <w:basedOn w:val="19"/>
    <w:autoRedefine/>
    <w:qFormat/>
    <w:uiPriority w:val="0"/>
  </w:style>
  <w:style w:type="character" w:customStyle="1" w:styleId="38">
    <w:name w:val="hit_syn"/>
    <w:basedOn w:val="19"/>
    <w:autoRedefine/>
    <w:qFormat/>
    <w:uiPriority w:val="0"/>
  </w:style>
  <w:style w:type="character" w:customStyle="1" w:styleId="39">
    <w:name w:val="highlight"/>
    <w:basedOn w:val="19"/>
    <w:autoRedefine/>
    <w:qFormat/>
    <w:uiPriority w:val="0"/>
  </w:style>
  <w:style w:type="paragraph" w:customStyle="1" w:styleId="40">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autoRedefine/>
    <w:qFormat/>
    <w:uiPriority w:val="0"/>
    <w:rPr>
      <w:rFonts w:hint="default" w:ascii="Arial" w:hAnsi="Arial" w:cs="Arial"/>
      <w:color w:val="000000"/>
      <w:sz w:val="20"/>
      <w:szCs w:val="20"/>
      <w:u w:val="none"/>
    </w:rPr>
  </w:style>
  <w:style w:type="paragraph" w:customStyle="1" w:styleId="42">
    <w:name w:val="列出段落2"/>
    <w:basedOn w:val="1"/>
    <w:autoRedefine/>
    <w:unhideWhenUsed/>
    <w:qFormat/>
    <w:uiPriority w:val="99"/>
    <w:pPr>
      <w:ind w:firstLine="420" w:firstLineChars="200"/>
    </w:pPr>
  </w:style>
  <w:style w:type="character" w:customStyle="1" w:styleId="43">
    <w:name w:val="HTML 预设格式 字符"/>
    <w:basedOn w:val="19"/>
    <w:link w:val="13"/>
    <w:autoRedefine/>
    <w:semiHidden/>
    <w:qFormat/>
    <w:uiPriority w:val="99"/>
    <w:rPr>
      <w:rFonts w:ascii="宋体" w:hAnsi="宋体" w:eastAsia="宋体" w:cs="宋体"/>
      <w:sz w:val="24"/>
      <w:szCs w:val="24"/>
    </w:rPr>
  </w:style>
  <w:style w:type="paragraph" w:customStyle="1" w:styleId="44">
    <w:name w:val="列出段落3"/>
    <w:basedOn w:val="1"/>
    <w:autoRedefine/>
    <w:qFormat/>
    <w:uiPriority w:val="99"/>
    <w:pPr>
      <w:ind w:firstLine="420" w:firstLineChars="200"/>
    </w:pPr>
  </w:style>
  <w:style w:type="character" w:customStyle="1" w:styleId="45">
    <w:name w:val="fontstyle01"/>
    <w:basedOn w:val="19"/>
    <w:autoRedefine/>
    <w:qFormat/>
    <w:uiPriority w:val="0"/>
    <w:rPr>
      <w:rFonts w:ascii="宋体" w:hAnsi="宋体" w:eastAsia="宋体" w:cs="宋体"/>
      <w:color w:val="000000"/>
      <w:sz w:val="22"/>
      <w:szCs w:val="22"/>
    </w:rPr>
  </w:style>
  <w:style w:type="character" w:customStyle="1" w:styleId="46">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7">
    <w:name w:val="fontstyle31"/>
    <w:basedOn w:val="19"/>
    <w:autoRedefine/>
    <w:qFormat/>
    <w:uiPriority w:val="0"/>
    <w:rPr>
      <w:rFonts w:ascii="ArialUnicodeMS" w:hAnsi="ArialUnicodeMS" w:eastAsia="ArialUnicodeMS" w:cs="ArialUnicodeMS"/>
      <w:color w:val="538CD5"/>
      <w:sz w:val="32"/>
      <w:szCs w:val="32"/>
    </w:rPr>
  </w:style>
  <w:style w:type="character" w:customStyle="1" w:styleId="48">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autoRedefine/>
    <w:qFormat/>
    <w:uiPriority w:val="0"/>
    <w:rPr>
      <w:rFonts w:cs="Tahoma"/>
    </w:rPr>
  </w:style>
  <w:style w:type="character" w:customStyle="1" w:styleId="51">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autoRedefine/>
    <w:qFormat/>
    <w:uiPriority w:val="99"/>
    <w:pPr>
      <w:ind w:firstLine="420" w:firstLineChars="200"/>
    </w:pPr>
  </w:style>
  <w:style w:type="paragraph" w:customStyle="1" w:styleId="5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autoRedefine/>
    <w:unhideWhenUsed/>
    <w:qFormat/>
    <w:uiPriority w:val="99"/>
    <w:pPr>
      <w:ind w:firstLine="420" w:firstLineChars="200"/>
    </w:pPr>
  </w:style>
  <w:style w:type="character" w:customStyle="1" w:styleId="56">
    <w:name w:val="font31"/>
    <w:basedOn w:val="19"/>
    <w:autoRedefine/>
    <w:qFormat/>
    <w:uiPriority w:val="0"/>
    <w:rPr>
      <w:rFonts w:hint="default" w:ascii="Calibri" w:hAnsi="Calibri" w:cs="Calibri"/>
      <w:color w:val="000000"/>
      <w:sz w:val="21"/>
      <w:szCs w:val="21"/>
      <w:u w:val="none"/>
    </w:rPr>
  </w:style>
  <w:style w:type="paragraph" w:customStyle="1" w:styleId="57">
    <w:name w:val="WPSOffice手动目录 1"/>
    <w:autoRedefine/>
    <w:qFormat/>
    <w:uiPriority w:val="0"/>
    <w:rPr>
      <w:rFonts w:ascii="Times New Roman" w:hAnsi="Times New Roman" w:eastAsia="宋体" w:cs="Times New Roman"/>
      <w:lang w:val="en-US" w:eastAsia="zh-CN" w:bidi="ar-SA"/>
    </w:rPr>
  </w:style>
  <w:style w:type="character" w:customStyle="1" w:styleId="58">
    <w:name w:val="10"/>
    <w:basedOn w:val="19"/>
    <w:qFormat/>
    <w:uiPriority w:val="0"/>
    <w:rPr>
      <w:rFonts w:hint="default" w:ascii="Times New Roman" w:hAnsi="Times New Roman" w:cs="Times New Roman"/>
    </w:rPr>
  </w:style>
  <w:style w:type="character" w:customStyle="1" w:styleId="59">
    <w:name w:val="15"/>
    <w:basedOn w:val="19"/>
    <w:qFormat/>
    <w:uiPriority w:val="0"/>
    <w:rPr>
      <w:rFonts w:hint="default" w:ascii="Times New Roman" w:hAnsi="Times New Roman" w:cs="Times New Roman"/>
      <w:color w:val="800080"/>
      <w:u w:val="single"/>
    </w:rPr>
  </w:style>
  <w:style w:type="character" w:customStyle="1" w:styleId="60">
    <w:name w:val="16"/>
    <w:basedOn w:val="19"/>
    <w:qFormat/>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1.xml"/><Relationship Id="rId54" Type="http://schemas.openxmlformats.org/officeDocument/2006/relationships/fontTable" Target="fontTable.xml"/><Relationship Id="rId53" Type="http://schemas.openxmlformats.org/officeDocument/2006/relationships/customXml" Target="../customXml/item2.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7.jpeg"/><Relationship Id="rId5" Type="http://schemas.openxmlformats.org/officeDocument/2006/relationships/footnotes" Target="footnotes.xml"/><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png"/><Relationship Id="rId40" Type="http://schemas.openxmlformats.org/officeDocument/2006/relationships/image" Target="media/image37.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theme" Target="theme/theme1.xml"/><Relationship Id="rId16" Type="http://schemas.openxmlformats.org/officeDocument/2006/relationships/footer" Target="footer5.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4.xml"/><Relationship Id="rId11" Type="http://schemas.openxmlformats.org/officeDocument/2006/relationships/header" Target="header3.xml"/><Relationship Id="rId10" Type="http://schemas.openxmlformats.org/officeDocument/2006/relationships/footer" Target="footer3.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5.xml.rels><?xml version='1.0' encoding='UTF-8' standalone='yes'?>
<Relationships xmlns="http://schemas.openxmlformats.org/package/2006/relationships"><Relationship Id="rId1" Type="http://schemas.openxmlformats.org/officeDocument/2006/relationships/image" Target="media/image14.png"/></Relationships>
</file>

<file path=word/_rels/header6.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10027</Words>
  <Characters>13975</Characters>
  <Lines>1</Lines>
  <Paragraphs>1</Paragraphs>
  <TotalTime>5</TotalTime>
  <ScaleCrop>false</ScaleCrop>
  <LinksUpToDate>false</LinksUpToDate>
  <CharactersWithSpaces>14576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Wonzer</dc:creator>
  <cp:lastModifiedBy>依米</cp:lastModifiedBy>
  <cp:lastPrinted>2016-10-03T08:25:00Z</cp:lastPrinted>
  <dcterms:modified xsi:type="dcterms:W3CDTF">2025-12-10T03:06:21Z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C4498A3B6DE54574AE125B71F8EA08A7_13</vt:lpwstr>
  </property>
  <property fmtid="{D5CDD505-2E9C-101B-9397-08002B2CF9AE}" pid="4" name="KSOTemplateDocerSaveRecord">
    <vt:lpwstr>eyJoZGlkIjoiNmE3MWExZjUzOTdiZTZmYTQ0YzczNDk5ZWVhNjlkMjkiLCJ1c2VySWQiOiI3MjkyNTAyOTcifQ==</vt:lpwstr>
  </property>
</Properties>
</file>