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color w:val="auto"/>
          <w:sz w:val="21"/>
          <w:szCs w:val="21"/>
        </w:rPr>
        <w:t>检测结果（</w:t>
      </w:r>
      <w:r>
        <w:rPr>
          <w:rFonts w:hint="eastAsia" w:ascii="微软雅黑" w:hAnsi="微软雅黑"/>
          <w:color w:val="auto"/>
          <w:sz w:val="21"/>
          <w:szCs w:val="21"/>
          <w:lang w:val="en-US" w:eastAsia="zh-CN"/>
        </w:rPr>
        <w:t>提供本次检测涉及的</w:t>
      </w:r>
      <w:r>
        <w:rPr>
          <w:rFonts w:hint="eastAsia" w:ascii="微软雅黑" w:hAnsi="微软雅黑"/>
          <w:color w:val="auto"/>
          <w:sz w:val="21"/>
          <w:szCs w:val="21"/>
        </w:rPr>
        <w:t>靶向治疗、免疫治疗、化疗等综合检测结果），是本报告的关键信息。</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w:t>
      </w:r>
      <w:r>
        <w:rPr>
          <w:rFonts w:hint="eastAsia" w:ascii="微软雅黑" w:hAnsi="微软雅黑"/>
          <w:sz w:val="21"/>
          <w:szCs w:val="21"/>
          <w:lang w:val="en-US" w:eastAsia="zh-CN"/>
        </w:rPr>
        <w:t>/免疫</w:t>
      </w:r>
      <w:r>
        <w:rPr>
          <w:rFonts w:hint="eastAsia" w:ascii="微软雅黑" w:hAnsi="微软雅黑"/>
          <w:sz w:val="21"/>
          <w:szCs w:val="21"/>
        </w:rPr>
        <w:t>药物解析</w:t>
      </w:r>
      <w:r>
        <w:rPr>
          <w:rFonts w:hint="eastAsia" w:ascii="微软雅黑" w:hAnsi="微软雅黑"/>
          <w:sz w:val="21"/>
          <w:szCs w:val="21"/>
          <w:lang w:eastAsia="zh-CN"/>
        </w:rPr>
        <w:t>，</w:t>
      </w:r>
      <w:r>
        <w:rPr>
          <w:rFonts w:hint="eastAsia" w:ascii="微软雅黑" w:hAnsi="微软雅黑"/>
          <w:sz w:val="21"/>
          <w:szCs w:val="21"/>
        </w:rPr>
        <w:t>该部分对</w:t>
      </w:r>
      <w:r>
        <w:rPr>
          <w:rFonts w:ascii="微软雅黑" w:hAnsi="微软雅黑"/>
          <w:sz w:val="21"/>
          <w:szCs w:val="21"/>
        </w:rPr>
        <w:t>第</w:t>
      </w:r>
      <w:r>
        <w:rPr>
          <w:rFonts w:hint="eastAsia" w:ascii="微软雅黑" w:hAnsi="微软雅黑"/>
          <w:sz w:val="21"/>
          <w:szCs w:val="21"/>
          <w:lang w:eastAsia="zh-CN"/>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lang w:eastAsia="zh-CN"/>
        </w:rPr>
        <w:t>靶向</w:t>
      </w:r>
      <w:r>
        <w:rPr>
          <w:rFonts w:hint="eastAsia" w:ascii="微软雅黑" w:hAnsi="微软雅黑"/>
          <w:sz w:val="21"/>
          <w:szCs w:val="21"/>
          <w:lang w:val="en-US" w:eastAsia="zh-CN"/>
        </w:rPr>
        <w:t>/免疫</w:t>
      </w:r>
      <w:r>
        <w:rPr>
          <w:rFonts w:hint="eastAsia" w:ascii="微软雅黑" w:hAnsi="微软雅黑"/>
          <w:sz w:val="21"/>
          <w:szCs w:val="21"/>
        </w:rPr>
        <w:t>药</w:t>
      </w:r>
      <w:r>
        <w:rPr>
          <w:rFonts w:hint="eastAsia" w:ascii="微软雅黑" w:hAnsi="微软雅黑"/>
          <w:sz w:val="21"/>
          <w:szCs w:val="21"/>
          <w:lang w:eastAsia="zh-CN"/>
        </w:rPr>
        <w:t>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lang w:val="en-US" w:eastAsia="zh-CN"/>
        </w:rPr>
        <w:t>，</w:t>
      </w:r>
      <w:r>
        <w:rPr>
          <w:rFonts w:hint="eastAsia" w:ascii="微软雅黑" w:hAnsi="微软雅黑"/>
          <w:sz w:val="21"/>
          <w:szCs w:val="21"/>
          <w:lang w:eastAsia="zh-CN"/>
        </w:rPr>
        <w:t>并且包含本报告的阅读说明</w:t>
      </w:r>
      <w:r>
        <w:rPr>
          <w:rFonts w:hint="eastAsia" w:ascii="微软雅黑" w:hAnsi="微软雅黑"/>
          <w:sz w:val="21"/>
          <w:szCs w:val="21"/>
        </w:rPr>
        <w:drawing>
          <wp:anchor distT="0" distB="0" distL="114300" distR="114300" simplePos="0" relativeHeight="25167155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lang w:eastAsia="zh-CN"/>
        </w:rPr>
        <w:t>。</w:t>
      </w:r>
      <w:r>
        <w:rPr>
          <w:rFonts w:hint="eastAsia" w:ascii="微软雅黑" w:hAnsi="微软雅黑"/>
          <w:sz w:val="21"/>
          <w:szCs w:val="21"/>
        </w:rPr>
        <w:t xml:space="preserve"> </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drawing>
          <wp:anchor distT="0" distB="0" distL="114300" distR="114300" simplePos="0" relativeHeight="251685888" behindDoc="0" locked="0" layoutInCell="1" allowOverlap="1">
            <wp:simplePos x="0" y="0"/>
            <wp:positionH relativeFrom="column">
              <wp:posOffset>-6985</wp:posOffset>
            </wp:positionH>
            <wp:positionV relativeFrom="paragraph">
              <wp:posOffset>17145</wp:posOffset>
            </wp:positionV>
            <wp:extent cx="226060" cy="226060"/>
            <wp:effectExtent l="0" t="0" r="0" b="2540"/>
            <wp:wrapSquare wrapText="bothSides"/>
            <wp:docPr id="48" name="图片 4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信息、以及本报告的参考文献。</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spacing w:before="480" w:line="360" w:lineRule="auto"/>
        <w:ind w:left="2948" w:right="567"/>
        <w:jc w:val="both"/>
      </w:pPr>
      <w:r>
        <w:rPr>
          <w:sz w:val="21"/>
        </w:rPr>
        <w:t>感谢您对本次检测的信任。本报告呈现经质量控制的分子检测结果；治疗相关信息须由临床医师结合病史、病理分型、分期及现行规范综合判断。</w:t>
      </w:r>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r>
            <w:t>第一部分：基本信息</w:t>
          </w:r>
        </w:p>
        <w:p>
          <w:r>
            <w:t>第二部分：检测结果</w:t>
          </w:r>
        </w:p>
        <w:p>
          <w:r>
            <w:t>第三部分：基因变异及相应靶向/免疫药物解析</w:t>
          </w:r>
        </w:p>
        <w:p>
          <w:r>
            <w:t>第四部分：附录</w:t>
          </w:r>
        </w:p>
        <w:p>
          <w:r>
            <w:t>5. 参考文献</w: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使用免疫组化（IHC）方法检测PD-L1蛋白表达，报告TPS、CPS及结果判定。</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肺癌329基因+PD-L1检测项目</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分析样本微卫星不稳定性，给予用药提示。</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分析样本基因变异并报告分子事件；患者级用药提示仅在肺癌专属规则完成审核后输出。</w:t>
      </w:r>
      <w:r>
        <w:rPr>
          <w:rFonts w:hint="eastAsia" w:ascii="微软雅黑" w:hAnsi="微软雅黑" w:cs="LPJNJT+Arial Unicode MS"/>
          <w:sz w:val="24"/>
          <w:szCs w:val="24"/>
          <w:lang w:val="en-US" w:eastAsia="zh-CN"/>
        </w:rPr>
      </w:r>
      <w:r>
        <w:rPr>
          <w:rFonts w:hint="eastAsia" w:ascii="微软雅黑" w:hAnsi="微软雅黑" w:cs="LPJNJT+Arial Unicode MS"/>
          <w:sz w:val="24"/>
          <w:szCs w:val="24"/>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化疗药物多态性模块尚未完成接入和审核，当前版本不输出相关结论。</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r>
        <w:t>*本次共检出体细胞变异：{{ total_variants_count }}个，其中与靶向药物用药相关的变异有：{{ drug_related_count }}个。</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待审核，当前关闭</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肺癌专属治疗知识和事件级药物规则尚未完成报告组二审及病例级验收，当前版本不输出患者级用药结论。</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t>-</w:t>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bCs/>
                <w:color w:val="000000"/>
                <w:kern w:val="2"/>
                <w:sz w:val="20"/>
                <w:szCs w:val="20"/>
                <w:highlight w:val="none"/>
                <w:lang w:val="en-US" w:eastAsia="zh-CN"/>
              </w:rPr>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 immuno_tips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研究性相关标志物，不能单独用于治疗决策。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highlight w:val="none"/>
                <w:u w:val="none"/>
                <w:lang w:val="en-US" w:eastAsia="zh-CN" w:bidi="ar"/>
              </w:rPr>
            </w:r>
            <w:r>
              <w:rPr>
                <w:rFonts w:hint="eastAsia" w:ascii="微软雅黑" w:hAnsi="微软雅黑" w:cs="微软雅黑"/>
                <w:i w:val="0"/>
                <w:color w:val="auto"/>
                <w:kern w:val="0"/>
                <w:sz w:val="18"/>
                <w:szCs w:val="18"/>
                <w:highlight w:val="none"/>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生物标志物结果解释边界</w:t>
      </w:r>
      <w:r>
        <w:rPr>
          <w:rFonts w:hint="eastAsia" w:ascii="微软雅黑" w:hAnsi="微软雅黑"/>
          <w:b w:val="0"/>
          <w:bCs w:val="0"/>
          <w:sz w:val="18"/>
          <w:szCs w:val="22"/>
          <w:highlight w:val="none"/>
          <w:lang w:val="en-US" w:eastAsia="zh-CN"/>
        </w:rPr>
      </w:r>
    </w:p>
    <w:p>
      <w:r>
        <w:t>肺癌专属治疗知识和事件级药物规则尚未完成报告组二审及病例级验收，当前版本不输出患者级用药结论。</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化疗药物规则待审核</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化疗药物多态性与方案模块尚未完成数据接入、医学审核及脱敏UAT，当前版本不输出患者级化疗敏感性、毒性或剂量结论。</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bookmarkStart w:id="83" w:name="_Toc25786"/>
            <w:bookmarkStart w:id="84" w:name="_Toc10150"/>
            <w:bookmarkStart w:id="85" w:name="_Toc14241"/>
            <w:bookmarkStart w:id="86" w:name="_Toc26736"/>
            <w:bookmarkStart w:id="87" w:name="_Toc11391"/>
            <w:bookmarkStart w:id="88" w:name="_Toc6770"/>
            <w:bookmarkStart w:id="89" w:name="_Toc8706"/>
            <w:bookmarkStart w:id="90" w:name="_Toc5555"/>
            <w:bookmarkStart w:id="91" w:name="_Toc19180"/>
            <w:bookmarkStart w:id="92" w:name="重要基因变异及潜在靶向药物信息"/>
            <w:bookmarkStart w:id="93" w:name="_Toc23880"/>
            <w:bookmarkStart w:id="94" w:name="_Toc14818"/>
            <w:bookmarkStart w:id="95" w:name="_Toc6644"/>
            <w:bookmarkStart w:id="96" w:name="OLE_LINK3"/>
            <w:bookmarkStart w:id="97" w:name="_Toc26040"/>
            <w:bookmarkStart w:id="98" w:name="_Toc30153"/>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 row.gene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row.transcript }}</w:t>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row.chr }}</w:t>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row.exon }}</w:t>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t>{{ row.var_type_cn }}</w:t>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row.af_pct }}</w:t>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row.benefit_drugs }}</w:t>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endfor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肺癌专属治疗知识和事件级药物规则尚未完成报告组二审及病例级验收，当前版本不输出患者级用药结论。</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待审核</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肺癌专属治疗知识和事件级药物规则尚未完成报告组二审及病例级验收，当前版本不输出患者级用药结论。</w:t>
            </w:r>
            <w:r>
              <w:rPr>
                <w:rFonts w:hint="eastAsia" w:ascii="微软雅黑" w:hAnsi="微软雅黑" w:eastAsia="微软雅黑" w:cs="微软雅黑"/>
                <w:snapToGrid/>
                <w:color w:val="auto"/>
                <w:kern w:val="2"/>
                <w:sz w:val="21"/>
                <w:szCs w:val="21"/>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2.3 肺癌重点分子事件检测结果</w:t>
      </w:r>
      <w:r>
        <w:rPr>
          <w:rFonts w:hint="eastAsia" w:ascii="微软雅黑" w:hAnsi="微软雅黑"/>
          <w:b/>
          <w:color w:val="00C4D8"/>
          <w:sz w:val="28"/>
          <w:szCs w:val="28"/>
        </w:rPr>
      </w:r>
      <w:r>
        <w:rPr>
          <w:rFonts w:hint="eastAsia" w:ascii="微软雅黑" w:hAnsi="微软雅黑"/>
          <w:b/>
          <w:color w:val="00C4D8"/>
          <w:sz w:val="28"/>
          <w:szCs w:val="28"/>
          <w:lang w:val="en-US" w:eastAsia="zh-CN"/>
        </w:rPr>
      </w:r>
      <w:r>
        <w:rPr>
          <w:rFonts w:ascii="微软雅黑" w:hAnsi="微软雅黑"/>
          <w:b/>
          <w:color w:val="00C4D8"/>
          <w:sz w:val="28"/>
          <w:szCs w:val="28"/>
        </w:rPr>
      </w:r>
      <w:bookmarkStart w:id="142" w:name="推荐临床常规靶向药物相关基因检测结果"/>
      <w:r>
        <w:rPr>
          <w:rFonts w:ascii="微软雅黑" w:hAnsi="微软雅黑"/>
          <w:b/>
          <w:color w:val="00C4D8"/>
          <w:sz w:val="28"/>
          <w:szCs w:val="28"/>
        </w:rPr>
      </w:r>
      <w:bookmarkEnd w:id="126"/>
      <w:bookmarkEnd w:id="127"/>
      <w:bookmarkEnd w:id="128"/>
      <w:bookmarkEnd w:id="129"/>
      <w:bookmarkEnd w:id="130"/>
      <w:bookmarkEnd w:id="142"/>
      <w:r>
        <w:rPr>
          <w:rFonts w:hint="eastAsia" w:ascii="微软雅黑" w:hAnsi="微软雅黑"/>
          <w:b/>
          <w:color w:val="00C4D8"/>
          <w:sz w:val="28"/>
          <w:szCs w:val="28"/>
          <w:lang w:eastAsia="zh-CN"/>
        </w:rPr>
      </w:r>
      <w:r>
        <w:rPr>
          <w:rFonts w:hint="eastAsia" w:ascii="微软雅黑" w:hAnsi="微软雅黑"/>
          <w:b/>
          <w:color w:val="00C4D8"/>
          <w:sz w:val="28"/>
          <w:szCs w:val="28"/>
          <w:lang w:val="en-US" w:eastAsia="zh-CN"/>
        </w:rPr>
      </w:r>
      <w:r>
        <w:rPr>
          <w:rFonts w:hint="eastAsia" w:ascii="微软雅黑" w:hAnsi="微软雅黑"/>
          <w:b/>
          <w:color w:val="00C4D8"/>
          <w:sz w:val="28"/>
          <w:szCs w:val="28"/>
          <w:lang w:eastAsia="zh-CN"/>
        </w:rPr>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肺癌临床指南说明（待报告组审核）</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肺癌专属治疗知识和事件级药物规则尚未完成报告组二审及病例级验收，当前版本不输出患者级用药结论。</w:t>
      </w: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p>
      <w:r>
        <w:t>{{ tmb_detail_sentence }}</w:t>
      </w:r>
    </w:p>
    <w:p>
      <w:r>
        <w:t>{{ tmb_detail_interpretation }}</w:t>
      </w:r>
    </w:p>
    <w:p>
      <w:r>
        <w:t>{{ tmb_drug_note }}</w:t>
      </w:r>
    </w:p>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pStyle w:val="52"/>
        <w:keepLines w:val="0"/>
        <w:pageBreakBefore w:val="0"/>
        <w:numPr>
          <w:ilvl w:val="0"/>
          <w:numId w:val="0"/>
        </w:numPr>
        <w:kinsoku/>
        <w:wordWrap/>
        <w:overflowPunct/>
        <w:topLinePunct w:val="0"/>
        <w:bidi w:val="0"/>
        <w:spacing w:afterLines="50" w:line="312" w:lineRule="auto"/>
        <w:outlineLvl w:val="9"/>
        <w:rPr>
          <w:rFonts w:hint="eastAsia"/>
          <w:lang w:val="en-US" w:eastAsia="zh-CN"/>
        </w:rPr>
      </w:pPr>
    </w:p>
    <w:p>
      <w:pPr>
        <w:keepLines w:val="0"/>
        <w:pageBreakBefore w:val="0"/>
        <w:kinsoku/>
        <w:wordWrap/>
        <w:overflowPunct/>
        <w:topLinePunct w:val="0"/>
        <w:bidi w:val="0"/>
        <w:spacing w:beforeLines="0" w:after="0" w:afterLines="0" w:line="288" w:lineRule="auto"/>
        <w:jc w:val="left"/>
        <w:outlineLvl w:val="9"/>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pPr>
        <w:spacing w:beforeLines="0" w:after="0" w:afterLines="0" w:line="288" w:lineRule="auto"/>
        <w:jc w:val="both"/>
        <w:rPr>
          <w:rFonts w:hint="eastAsia"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p>
    <w:p>
      <w:pPr>
        <w:spacing w:beforeLines="0" w:after="0" w:afterLines="0" w:line="288" w:lineRule="auto"/>
        <w:jc w:val="both"/>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微软雅黑"/>
          <w:color w:val="000000"/>
          <w:sz w:val="18"/>
          <w:szCs w:val="18"/>
          <w:lang w:val="en-US" w:eastAsia="zh-CN"/>
        </w:rPr>
        <w:t>5、因肿瘤存在较大的异质性，送检样本不一定代表肿瘤的全貌。</w:t>
      </w:r>
    </w:p>
    <w:p>
      <w:pPr>
        <w:pStyle w:val="28"/>
        <w:keepNext w:val="0"/>
        <w:keepLines w:val="0"/>
        <w:pageBreakBefore w:val="0"/>
        <w:widowControl/>
        <w:numPr>
          <w:ilvl w:val="0"/>
          <w:numId w:val="0"/>
        </w:numPr>
        <w:kinsoku/>
        <w:wordWrap/>
        <w:overflowPunct/>
        <w:topLinePunct w:val="0"/>
        <w:autoSpaceDE/>
        <w:autoSpaceDN/>
        <w:bidi w:val="0"/>
        <w:adjustRightInd/>
        <w:snapToGrid/>
        <w:spacing w:before="140" w:after="200" w:line="220" w:lineRule="atLeast"/>
        <w:textAlignment w:val="auto"/>
        <w:outlineLvl w:val="9"/>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结果解释边界</w:t>
      </w:r>
      <w:r>
        <w:rPr>
          <w:rFonts w:hint="eastAsia" w:ascii="微软雅黑" w:hAnsi="微软雅黑" w:eastAsia="微软雅黑" w:cs="微软雅黑"/>
          <w:b/>
        </w:rPr>
      </w:r>
    </w:p>
    <w:p>
      <w:r>
        <w:t>{{ pdl1_table_interpretation }}</w:t>
      </w:r>
    </w:p>
    <w:p>
      <w:r>
        <w:t>{{ pdl1_assay_provenance }}</w:t>
      </w:r>
    </w:p>
    <w:p>
      <w:r>
        <w:t>{{ pdl1_source_provenance }}</w:t>
      </w:r>
    </w:p>
    <w:p>
      <w:r>
        <w:t>附图：本病例未提供可追溯的PD-L1免疫组化图像，故不展示；TPS、CPS及结果判定须与原始检测记录核对。</w:t>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免疫相关基因模块（未启用）</w:t>
      </w:r>
    </w:p>
    <w:p>
      <w:r>
        <w:t>免疫正相关、负相关及超进展基因分类尚未完成肺癌专属医学审核，当前版本不展示患者级基因结果，也不据此预测疗效、耐药或超进展。</w:t>
      </w:r>
    </w:p>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p>
      <w:r>
        <w:t>化疗药物多态性与方案模块尚未完成数据接入、医学审核及脱敏UAT，当前版本不输出患者级化疗敏感性、毒性或剂量结论。</w:t>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r>
        <w:t>正文如出现PMID或临床试验登记号，仅用于文献追溯；具体研究适用范围、入组条件及证据等级须由报告组复核，不得把登记号本身作为用药依据。</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1. 常见问题解答</w:t>
      </w:r>
      <w:bookmarkEnd w:id="328"/>
      <w:bookmarkEnd w:id="329"/>
    </w:p>
    <w:p>
      <w:r>
        <w:t>本节历史静态内容已停用；经医学审核并建立可追溯来源后再恢复展示。</w:t>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p>
      <w:r>
        <w:t>本节历史静态内容已停用；经医学审核并建立可追溯来源后再恢复展示。</w:t>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p>
      <w:r>
        <w:t>本节历史静态内容已停用；经医学审核并建立可追溯来源后再恢复展示。</w:t>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br w:type="page"/>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329</w:t>
            </w:r>
            <w:r>
              <w:rPr>
                <w:rFonts w:ascii="Calibri" w:hAnsi="Calibri" w:cs="Calibri"/>
                <w:b/>
                <w:bCs w:val="0"/>
                <w:sz w:val="28"/>
                <w:szCs w:val="28"/>
                <w:highlight w:val="none"/>
              </w:rPr>
              <w:t>)</w:t>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GLI1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NCOR1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SHH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5. 参考文献</w:t>
      </w:r>
      <w:bookmarkEnd w:id="355"/>
      <w:bookmarkEnd w:id="369"/>
      <w:bookmarkEnd w:id="370"/>
    </w:p>
    <w:p>
      <w:r>
        <w:t>1. PMID:39375078. Chinese guidelines for molecular testing of non-small cell lung cancer (2024 edition). https://pubmed.ncbi.nlm.nih.gov/39375078/</w:t>
      </w:r>
    </w:p>
    <w:p>
      <w:r>
        <w:t>2. PMID:29355391. Updated Molecular Testing Guideline for the Selection of Lung Cancer Patients for Treatment With Targeted Tyrosine Kinase Inhibitors. https://pubmed.ncbi.nlm.nih.gov/29355391/</w:t>
      </w:r>
    </w:p>
    <w:p>
      <w:r>
        <w:t>3. National Cancer Institute. Non-Small Cell Lung Cancer Treatment (PDQ®)—Health Professional Version. https://www.cancer.gov/types/lung/hp/non-small-cell-lung-treatment-pdq</w:t>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 Type="http://schemas.openxmlformats.org/officeDocument/2006/relationships/header" Target="header1.xml"/><Relationship Id="rId3" Type="http://schemas.openxmlformats.org/officeDocument/2006/relationships/footnotes" Target="footnotes.xml"/><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 Type="http://schemas.openxmlformats.org/officeDocument/2006/relationships/settings" Target="settings.xml"/><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