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26AB2">
      <w:pPr>
        <w:tabs>
          <w:tab w:val="left" w:pos="6380"/>
        </w:tabs>
        <w:ind w:firstLine="550" w:firstLineChars="250"/>
        <w:rPr>
          <w:rFonts w:ascii="微软雅黑" w:hAnsi="微软雅黑"/>
        </w:rPr>
      </w:pPr>
      <w:r>
        <w:rPr>
          <w:b/>
          <w:color w:val="C00000"/>
          <w:sz w:val="21"/>
        </w:rPr>
        <w:t>【B-track 内部草稿 · 仅供人工复核编辑 · 变异表/药物/胚系遗传/林奇/逐变异解析等区域未自动填充 · 不可直接交付客户】</w:t>
      </w:r>
      <w:r>
        <w:rPr>
          <w:rFonts w:hint="eastAsia" w:ascii="微软雅黑" w:hAnsi="微软雅黑"/>
        </w:rPr>
      </w:r>
    </w:p>
    <w:p w14:paraId="41EB0214">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59264" behindDoc="0" locked="0" layoutInCell="1" allowOverlap="1">
            <wp:simplePos x="0" y="0"/>
            <wp:positionH relativeFrom="column">
              <wp:posOffset>0</wp:posOffset>
            </wp:positionH>
            <wp:positionV relativeFrom="paragraph">
              <wp:posOffset>274320</wp:posOffset>
            </wp:positionV>
            <wp:extent cx="2836545" cy="762635"/>
            <wp:effectExtent l="0" t="0" r="13335" b="14605"/>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4" cstate="print"/>
                    <a:stretch>
                      <a:fillRect/>
                    </a:stretch>
                  </pic:blipFill>
                  <pic:spPr>
                    <a:xfrm>
                      <a:off x="0" y="0"/>
                      <a:ext cx="2836545" cy="762635"/>
                    </a:xfrm>
                    <a:prstGeom prst="rect">
                      <a:avLst/>
                    </a:prstGeom>
                  </pic:spPr>
                </pic:pic>
              </a:graphicData>
            </a:graphic>
          </wp:anchor>
        </w:drawing>
      </w:r>
    </w:p>
    <w:p w14:paraId="057DD01A">
      <w:pPr>
        <w:spacing w:line="240" w:lineRule="atLeast"/>
        <w:jc w:val="center"/>
        <w:rPr>
          <w:rFonts w:ascii="微软雅黑" w:hAnsi="微软雅黑"/>
          <w:b/>
          <w:color w:val="3D5E18"/>
          <w:sz w:val="52"/>
          <w:szCs w:val="52"/>
        </w:rPr>
      </w:pPr>
    </w:p>
    <w:p w14:paraId="2A0FF782">
      <w:pPr>
        <w:spacing w:line="240" w:lineRule="atLeast"/>
        <w:jc w:val="center"/>
        <w:rPr>
          <w:rFonts w:ascii="微软雅黑" w:hAnsi="微软雅黑"/>
          <w:b/>
          <w:color w:val="3D5E18"/>
          <w:sz w:val="10"/>
          <w:szCs w:val="10"/>
        </w:rPr>
      </w:pPr>
    </w:p>
    <w:p w14:paraId="16CEDB99">
      <w:pPr>
        <w:spacing w:line="240" w:lineRule="atLeast"/>
        <w:jc w:val="center"/>
        <w:rPr>
          <w:rFonts w:ascii="微软雅黑" w:hAnsi="微软雅黑"/>
          <w:b/>
          <w:color w:val="3D5E18"/>
          <w:sz w:val="10"/>
          <w:szCs w:val="10"/>
        </w:rPr>
      </w:pPr>
    </w:p>
    <w:p w14:paraId="7D51301D">
      <w:pPr>
        <w:spacing w:line="240" w:lineRule="atLeast"/>
        <w:jc w:val="center"/>
        <w:rPr>
          <w:rFonts w:ascii="微软雅黑" w:hAnsi="微软雅黑"/>
          <w:b/>
          <w:color w:val="3D5E18"/>
          <w:sz w:val="10"/>
          <w:szCs w:val="10"/>
        </w:rPr>
      </w:pPr>
    </w:p>
    <w:p w14:paraId="26B7E887">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45F4005A">
      <w:pPr>
        <w:spacing w:line="240" w:lineRule="atLeast"/>
        <w:jc w:val="center"/>
        <w:rPr>
          <w:rFonts w:ascii="微软雅黑" w:hAnsi="微软雅黑"/>
          <w:b/>
          <w:color w:val="3D5E18"/>
          <w:sz w:val="32"/>
          <w:szCs w:val="32"/>
        </w:rPr>
      </w:pPr>
    </w:p>
    <w:p w14:paraId="4F50AF2D">
      <w:pPr>
        <w:spacing w:line="240" w:lineRule="atLeast"/>
        <w:jc w:val="center"/>
        <w:rPr>
          <w:rFonts w:ascii="微软雅黑" w:hAnsi="微软雅黑"/>
          <w:b/>
          <w:color w:val="3D5E18"/>
          <w:sz w:val="32"/>
          <w:szCs w:val="32"/>
        </w:rPr>
      </w:pPr>
    </w:p>
    <w:p w14:paraId="30BC8DBE">
      <w:pPr>
        <w:spacing w:line="240" w:lineRule="atLeast"/>
        <w:jc w:val="center"/>
        <w:rPr>
          <w:rFonts w:ascii="微软雅黑" w:hAnsi="微软雅黑"/>
          <w:b/>
          <w:color w:val="3D5E18"/>
          <w:sz w:val="10"/>
          <w:szCs w:val="10"/>
        </w:rPr>
      </w:pPr>
    </w:p>
    <w:p w14:paraId="35617659">
      <w:pPr>
        <w:spacing w:line="240" w:lineRule="atLeast"/>
        <w:jc w:val="center"/>
        <w:rPr>
          <w:rFonts w:ascii="微软雅黑" w:hAnsi="微软雅黑"/>
          <w:b/>
          <w:color w:val="3D5E18"/>
          <w:sz w:val="32"/>
          <w:szCs w:val="32"/>
        </w:rPr>
      </w:pPr>
    </w:p>
    <w:p w14:paraId="55AA7E22">
      <w:pPr>
        <w:spacing w:line="240" w:lineRule="atLeast"/>
        <w:jc w:val="center"/>
        <w:rPr>
          <w:rFonts w:ascii="微软雅黑" w:hAnsi="微软雅黑"/>
          <w:b/>
          <w:color w:val="3D5E18"/>
          <w:sz w:val="32"/>
          <w:szCs w:val="32"/>
        </w:rPr>
      </w:pPr>
    </w:p>
    <w:p w14:paraId="34EB18ED">
      <w:pPr>
        <w:spacing w:line="240" w:lineRule="atLeast"/>
        <w:jc w:val="center"/>
        <w:rPr>
          <w:rFonts w:ascii="微软雅黑" w:hAnsi="微软雅黑"/>
          <w:b/>
          <w:color w:val="3D5E18"/>
          <w:sz w:val="32"/>
          <w:szCs w:val="32"/>
        </w:rPr>
      </w:pPr>
    </w:p>
    <w:p w14:paraId="009B7950">
      <w:pPr>
        <w:spacing w:line="240" w:lineRule="atLeast"/>
        <w:jc w:val="center"/>
        <w:rPr>
          <w:rFonts w:ascii="微软雅黑" w:hAnsi="微软雅黑"/>
          <w:b/>
          <w:color w:val="3D5E18"/>
          <w:sz w:val="32"/>
          <w:szCs w:val="32"/>
        </w:rPr>
      </w:pPr>
    </w:p>
    <w:p w14:paraId="25093239">
      <w:pPr>
        <w:spacing w:line="240" w:lineRule="atLeast"/>
        <w:jc w:val="center"/>
        <w:rPr>
          <w:rFonts w:ascii="微软雅黑" w:hAnsi="微软雅黑"/>
          <w:b/>
          <w:color w:val="3D5E18"/>
          <w:sz w:val="32"/>
          <w:szCs w:val="32"/>
        </w:rPr>
      </w:pPr>
    </w:p>
    <w:p w14:paraId="014C7CF5">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3" o:spid="_x0000_s1026" o:spt="32" type="#_x0000_t32" style="position:absolute;left:0pt;margin-left:117.7pt;margin-top:22.25pt;height:0.55pt;width:245.7pt;z-index:251673600;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RXjDzfoBAADqAwAADgAAAGRycy9lMm9Eb2MueG1srVPN&#10;jtMwEL4j8Q6W7zRpq662UdM9tCwXBJWAB3BtJ7HkP3m8TXvjhngGbhx5B3iblZa3YOyELiyXHsjB&#10;GXtmvpnv83h1czSaHGQA5WxNp5OSEmm5E8q2Nf3w/vbFNSUQmRVMOytrepJAb9bPn616X8mZ65wW&#10;MhAEsVD1vqZdjL4qCuCdNAwmzkuLzsYFwyJuQ1uIwHpEN7qYleVV0bsgfHBcAuDpdnDSETFcAuia&#10;RnG5dfzOSBsH1CA1i0gJOuWBrnO3TSN5fNs0ICPRNUWmMa9YBO19Wov1ilVtYL5TfGyBXdLCE06G&#10;KYtFz1BbFhm5C+ofKKN4cOCaOOHOFAORrAiymJZPtHnXMS8zF5Qa/Fl0+H+w/M1hF4gSOAllOafE&#10;MoN3/vDp28+Pn++//Lj//pXM5kml3kOFwRu7C+MO/C4kyscmmPRHMuSYlT2dlZXHSDgezqezcr5E&#10;0Tn6rpbXiwRZPOb6APGVdIYko6YQA1NtFzfOWrxCF6ZZXHZ4DXFI/J2QCmtL+pouF7MF4jMcyQZH&#10;AU3jkRbYNueC00rcKq1TBoR2v9GBHFgai/yNDf0VlopsGXRDXHalMFZ1komXVpB48qiWxXdCUwtG&#10;Ckq0xGeVrBwZmdKXRKIW2qIkSeZB2GTtnThlvfM5jkAWbRzXNGN/7nP24xNd/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5CuQT2AAAAAkBAAAPAAAAAAAAAAEAIAAAACIAAABkcnMvZG93bnJldi54&#10;bWxQSwECFAAUAAAACACHTuJARXjDzfoBAADqAwAADgAAAAAAAAABACAAAAAnAQAAZHJzL2Uyb0Rv&#10;Yy54bWxQSwUGAAAAAAYABgBZAQAAkwUAAAAA&#10;">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cs="微软雅黑"/>
          <w:kern w:val="2"/>
          <w:sz w:val="24"/>
          <w:szCs w:val="24"/>
        </w:rPr>
        <w:t>{{ patient_name }}</w:t>
      </w:r>
    </w:p>
    <w:p w14:paraId="79CDA510">
      <w:pPr>
        <w:spacing w:line="360" w:lineRule="auto"/>
        <w:ind w:left="297" w:leftChars="135" w:firstLine="836" w:firstLineChars="348"/>
        <w:rPr>
          <w:rFonts w:ascii="微软雅黑" w:hAnsi="微软雅黑" w:cs="微软雅黑"/>
          <w:sz w:val="24"/>
          <w:szCs w:val="24"/>
        </w:rPr>
      </w:pPr>
      <w:r>
        <w:rPr>
          <w:rFonts w:ascii="微软雅黑" w:hAnsi="微软雅黑"/>
          <w:b/>
          <w:sz w:val="24"/>
          <w:szCs w:val="24"/>
        </w:rPr>
        <mc:AlternateContent>
          <mc:Choice Requires="wps">
            <w:drawing>
              <wp:anchor distT="0" distB="0" distL="114300" distR="114300" simplePos="0" relativeHeight="251674624"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4" o:spid="_x0000_s1026" o:spt="32" type="#_x0000_t32" style="position:absolute;left:0pt;flip:y;margin-left:117.7pt;margin-top:22.25pt;height:0.55pt;width:245.7pt;z-index:251674624;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DLIRgQAQIAAPQDAAAOAAAAZHJzL2Uyb0RvYy54bWytU72O&#10;EzEQ7pF4B8s92U3ucrqssrki4WgQROKnd7z2riX/yePLJh0d4hnoKHkH7m1Ogrdg7F0CHE0KXFhj&#10;z8w3830eL28ORpO9CKCcrel0UlIiLHeNsm1N3729fXZNCURmG6adFTU9CqA3q6dPlr2vxMx1Tjci&#10;EASxUPW+pl2MvioK4J0wDCbOC4tO6YJhEY+hLZrAekQ3upiV5VXRu9D44LgAwNvN4KQjYjgH0Emp&#10;uNg4fmeEjQNqEJpFpASd8kBXuVspBY+vpQQRia4pMo15xyJo79JerJasagPzneJjC+ycFh5xMkxZ&#10;LHqC2rDIyF1Q/0AZxYMDJ+OEO1MMRLIiyGJaPtLmTce8yFxQavAn0eH/wfJX+20gqsFJKMtLSiwz&#10;+ObfP3798eHTw+f7h29fyOwyqdR7qDB4bbdhPIHfhkT5IIMhUiv/HkGyCEiLHLLGx5PG4hAJx8uL&#10;6ay8WKD8HH1Xi+t5Ai8GlITmA8QXwhmSjJpCDEy1XVw7a/ExXRgqsP1LiEPir4SUrC3pa7qYz+aI&#10;z3A4JQ4FmsYjQbBt7g6cVs2t0jplQGh3ax3InqUByWts6K+wVGTDoBvisiuFsaoTrHluGxKPHnWz&#10;+GNoasGIhhIt8IMlK0dGpvQ5kaiFtihJEnyQOFk71xyz8vkehyGLNg5umrY/zzn792dd/Q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fQ+Xc1wAAAAkBAAAPAAAAAAAAAAEAIAAAACIAAABkcnMvZG93&#10;bnJldi54bWxQSwECFAAUAAAACACHTuJAyyEYEAECAAD0AwAADgAAAAAAAAABACAAAAAmAQAAZHJz&#10;L2Uyb0RvYy54bWxQSwUGAAAAAAYABgBZAQAAmQUAAAAA&#10;">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p>
    <w:p w14:paraId="00788DA6">
      <w:pPr>
        <w:spacing w:line="360" w:lineRule="auto"/>
        <w:ind w:left="297" w:leftChars="135" w:firstLine="836" w:firstLineChars="348"/>
        <w:rPr>
          <w:rFonts w:ascii="微软雅黑" w:hAnsi="微软雅黑" w:cs="微软雅黑"/>
          <w:bCs/>
          <w:sz w:val="24"/>
          <w:szCs w:val="24"/>
        </w:rPr>
      </w:pPr>
      <w:r>
        <w:rPr>
          <w:rFonts w:ascii="微软雅黑" w:hAnsi="微软雅黑"/>
          <w:b/>
          <w:sz w:val="24"/>
          <w:szCs w:val="24"/>
        </w:rPr>
        <mc:AlternateContent>
          <mc:Choice Requires="wps">
            <w:drawing>
              <wp:anchor distT="0" distB="0" distL="114300" distR="114300" simplePos="0" relativeHeight="251675648"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5" o:spid="_x0000_s1026" o:spt="32" type="#_x0000_t32" style="position:absolute;left:0pt;flip:y;margin-left:117.7pt;margin-top:23.4pt;height:0.55pt;width:245.7pt;z-index:251675648;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AJ1zyrAgIAAPQDAAAOAAAAZHJzL2Uyb0RvYy54bWytU0uO&#10;EzEQ3SNxB8t70p2MMppppTOLhGGDIBKfveNPtyX/5PKkkx07xBnYseQOcJuRhltQdocAwyYLemGV&#10;Xa5X770uL2721pCdjKC9a+l0UlMiHfdCu66l797ePruiBBJzghnvZEsPEujN8umTxRAaOfO9N0JG&#10;giAOmiG0tE8pNFUFvJeWwcQH6TCpfLQs4TZ2lYhsQHRrqlldX1aDjyJEzyUAnq7HJD0ixnMAvVKa&#10;y7Xnd1a6NKJGaVhCSdDrAHRZ2ColeXqtFMhETEtRaSorNsF4m9dquWBNF1noNT9SYOdQeKTJMu2w&#10;6QlqzRIjd1H/A2U1jx68ShPubTUKKY6gimn9yJs3PQuyaEGrIZxMh/8Hy1/tNpFogZNQ13NKHLP4&#10;zx8+fv3x4dP95+/3376Q2Ty7NARo8PLKbeJxB2ETs+S9ipYoo8N7BCkmoCyyLx4fTh7LfSIcDy+m&#10;s/riGu3nmLu8virg1YiS0UKE9EJ6S3LQUkiR6a5PK+8c/kwfxw5s9xIS8sDCXwW52DgytPR6jpQJ&#10;ZzicCocCQxtQILiusANvtLjVxuQKiN12ZSLZsTwg5ctqEfeva7nJmkE/3iupcXR6ycRzJ0g6BPTN&#10;4YuhmYKVghIj8YHlCAFZk5g259zE1sYhg2z4aHGOtl4civPlHIehcDwObp62P/el+vdjXf4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DralUtcAAAAJAQAADwAAAAAAAAABACAAAAAiAAAAZHJzL2Rv&#10;d25yZXYueG1sUEsBAhQAFAAAAAgAh07iQAnXPKsCAgAA9AMAAA4AAAAAAAAAAQAgAAAAJgEAAGRy&#10;cy9lMm9Eb2MueG1sUEsFBgAAAAAGAAYAWQEAAJoFAAAAAA==&#10;">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receive_date }}</w:t>
      </w:r>
    </w:p>
    <w:p w14:paraId="3FA5174A">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6672"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6" o:spid="_x0000_s1026" o:spt="32" type="#_x0000_t32" style="position:absolute;left:0pt;margin-left:117.7pt;margin-top:25.25pt;height:0.55pt;width:245.7pt;z-index:251676672;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mzdsCvkBAADqAwAADgAAAGRycy9lMm9Eb2MueG1srVPN&#10;jtMwEL4j8Q6W7zRtV622UdM9tCwXBJWAB5g6TmLJf/J4m/bGDfEM3DjyDvA2Ky1vwdgpXVguPZCD&#10;M/bMfDPf5/Hy5mA028uAytmKT0ZjzqQVrla2rfiH97cvrjnDCLYG7ays+FEiv1k9f7bsfSmnrnO6&#10;loERiMWy9xXvYvRlUaDopAEcOS8tORsXDETahraoA/SEbnQxHY/nRe9C7YMTEpFON4OTnxDDJYCu&#10;aZSQGyfujLRxQA1SQyRK2CmPfJW7bRop4tumQRmZrjgxjXmlImTv0lqsllC2AXynxKkFuKSFJ5wM&#10;KEtFz1AbiMDugvoHyigRHLomjoQzxUAkK0IsJuMn2rzrwMvMhaRGfxYd/x+seLPfBqZqmgS6G84s&#10;GLrzh0/ffn78fP/lx/33r2w6Tyr1HksKXtttOO3Qb0OifGiCSX8iww5Z2eNZWXmITNDh1WQ6vlqQ&#10;6IJ888X1LEEWj7k+YHwlnWHJqDjGAKrt4tpZS1fowiSLC/vXGIfE3wmpsLasr/hiNp0RPtBINjQK&#10;ZBpPtNC2ORedVvWt0jplYGh3ax3YHtJY5O/U0F9hqcgGsBvisiuFQdlJqF/amsWjJ7UsvROeWjCy&#10;5kxLelbJypERlL4kkrTQliRJMg/CJmvn6mPWO5/TCGTRTuOaZuzPfc5+fKKr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PJCCHYAAAACQEAAA8AAAAAAAAAAQAgAAAAIgAAAGRycy9kb3ducmV2Lnht&#10;bFBLAQIUABQAAAAIAIdO4kCbN2wK+QEAAOoDAAAOAAAAAAAAAAEAIAAAACcBAABkcnMvZTJvRG9j&#10;LnhtbFBLBQYAAAAABgAGAFkBAACSBQAAAAA=&#10;">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D4751D2">
      <w:pPr>
        <w:adjustRightInd/>
        <w:snapToGrid/>
        <w:rPr>
          <w:rFonts w:ascii="微软雅黑" w:hAnsi="微软雅黑" w:cs="微软雅黑"/>
          <w:b/>
          <w:color w:val="3D5E18"/>
          <w:sz w:val="21"/>
          <w:szCs w:val="21"/>
        </w:rPr>
      </w:pPr>
    </w:p>
    <w:p w14:paraId="21350794">
      <w:pPr>
        <w:tabs>
          <w:tab w:val="left" w:pos="2312"/>
        </w:tabs>
        <w:spacing w:after="0" w:line="240" w:lineRule="atLeast"/>
        <w:rPr>
          <w:rFonts w:ascii="微软雅黑" w:hAnsi="微软雅黑"/>
          <w:b/>
          <w:sz w:val="30"/>
          <w:szCs w:val="30"/>
        </w:rPr>
      </w:pPr>
    </w:p>
    <w:p w14:paraId="2723ED44">
      <w:pPr>
        <w:tabs>
          <w:tab w:val="left" w:pos="2312"/>
        </w:tabs>
        <w:spacing w:after="0" w:line="240" w:lineRule="atLeast"/>
        <w:rPr>
          <w:rFonts w:ascii="微软雅黑" w:hAnsi="微软雅黑"/>
          <w:b/>
          <w:sz w:val="30"/>
          <w:szCs w:val="30"/>
        </w:rPr>
      </w:pPr>
    </w:p>
    <w:p w14:paraId="0CCAA0A3">
      <w:pPr>
        <w:tabs>
          <w:tab w:val="left" w:pos="2312"/>
        </w:tabs>
        <w:spacing w:after="0" w:line="240" w:lineRule="atLeast"/>
        <w:rPr>
          <w:rFonts w:ascii="微软雅黑" w:hAnsi="微软雅黑"/>
          <w:b/>
          <w:sz w:val="30"/>
          <w:szCs w:val="30"/>
        </w:rPr>
      </w:pPr>
    </w:p>
    <w:p w14:paraId="1BD36F28">
      <w:pPr>
        <w:tabs>
          <w:tab w:val="left" w:pos="2312"/>
        </w:tabs>
        <w:spacing w:after="0" w:line="240" w:lineRule="atLeast"/>
        <w:rPr>
          <w:rFonts w:ascii="微软雅黑" w:hAnsi="微软雅黑"/>
          <w:b/>
          <w:sz w:val="30"/>
          <w:szCs w:val="30"/>
        </w:rPr>
      </w:pPr>
    </w:p>
    <w:p w14:paraId="1327A706">
      <w:pPr>
        <w:tabs>
          <w:tab w:val="left" w:pos="2312"/>
        </w:tabs>
        <w:spacing w:after="0" w:line="240" w:lineRule="atLeast"/>
        <w:rPr>
          <w:rFonts w:ascii="微软雅黑" w:hAnsi="微软雅黑"/>
          <w:b/>
          <w:sz w:val="30"/>
          <w:szCs w:val="30"/>
        </w:rPr>
      </w:pPr>
    </w:p>
    <w:p w14:paraId="5F7EDCE3">
      <w:pPr>
        <w:tabs>
          <w:tab w:val="left" w:pos="2312"/>
        </w:tabs>
        <w:spacing w:after="0" w:line="240" w:lineRule="atLeast"/>
        <w:rPr>
          <w:rFonts w:ascii="微软雅黑" w:hAnsi="微软雅黑"/>
          <w:b/>
          <w:sz w:val="30"/>
          <w:szCs w:val="30"/>
        </w:rPr>
      </w:pPr>
    </w:p>
    <w:p w14:paraId="15F16961">
      <w:pPr>
        <w:tabs>
          <w:tab w:val="left" w:pos="2312"/>
        </w:tabs>
        <w:spacing w:after="0" w:line="240" w:lineRule="atLeast"/>
        <w:rPr>
          <w:rFonts w:ascii="微软雅黑" w:hAnsi="微软雅黑"/>
          <w:b/>
          <w:sz w:val="30"/>
          <w:szCs w:val="30"/>
        </w:rPr>
      </w:pPr>
    </w:p>
    <w:p w14:paraId="7E3C58E7">
      <w:pPr>
        <w:tabs>
          <w:tab w:val="left" w:pos="2312"/>
        </w:tabs>
        <w:spacing w:after="0" w:line="240" w:lineRule="atLeast"/>
        <w:rPr>
          <w:rFonts w:ascii="微软雅黑" w:hAnsi="微软雅黑"/>
          <w:b/>
          <w:sz w:val="30"/>
          <w:szCs w:val="30"/>
        </w:rPr>
      </w:pPr>
    </w:p>
    <w:p w14:paraId="4A940A3A">
      <w:pPr>
        <w:tabs>
          <w:tab w:val="left" w:pos="2312"/>
        </w:tabs>
        <w:spacing w:after="0" w:line="240" w:lineRule="atLeast"/>
        <w:rPr>
          <w:rFonts w:ascii="微软雅黑" w:hAnsi="微软雅黑"/>
          <w:b/>
          <w:sz w:val="30"/>
          <w:szCs w:val="30"/>
        </w:rPr>
      </w:pPr>
    </w:p>
    <w:p w14:paraId="7DC30EC9">
      <w:pPr>
        <w:tabs>
          <w:tab w:val="left" w:pos="2312"/>
        </w:tabs>
        <w:spacing w:after="0" w:line="240" w:lineRule="atLeast"/>
        <w:rPr>
          <w:rFonts w:ascii="微软雅黑" w:hAnsi="微软雅黑"/>
          <w:b/>
          <w:sz w:val="30"/>
          <w:szCs w:val="30"/>
        </w:rPr>
      </w:pPr>
    </w:p>
    <w:p w14:paraId="23890A86">
      <w:pPr>
        <w:tabs>
          <w:tab w:val="left" w:pos="2312"/>
        </w:tabs>
        <w:spacing w:after="0" w:line="240" w:lineRule="atLeast"/>
        <w:rPr>
          <w:rFonts w:ascii="微软雅黑" w:hAnsi="微软雅黑"/>
          <w:b/>
          <w:sz w:val="30"/>
          <w:szCs w:val="30"/>
        </w:rPr>
      </w:pPr>
    </w:p>
    <w:p w14:paraId="591A0D64">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4D4E279B">
      <w:pPr>
        <w:tabs>
          <w:tab w:val="left" w:pos="2312"/>
        </w:tabs>
        <w:spacing w:after="0" w:line="240" w:lineRule="atLeast"/>
        <w:rPr>
          <w:rFonts w:ascii="微软雅黑" w:hAnsi="微软雅黑"/>
          <w:b/>
          <w:sz w:val="30"/>
          <w:szCs w:val="30"/>
        </w:rPr>
      </w:pPr>
    </w:p>
    <w:p w14:paraId="14093C66">
      <w:pPr>
        <w:tabs>
          <w:tab w:val="left" w:pos="660"/>
          <w:tab w:val="left" w:pos="2312"/>
        </w:tabs>
        <w:spacing w:after="0" w:line="288" w:lineRule="auto"/>
        <w:ind w:left="525" w:hanging="525" w:hanging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44" descr="脉络生物-单色LOGO"/>
                    <pic:cNvPicPr>
                      <a:picLocks noChangeAspect="1"/>
                    </pic:cNvPicPr>
                  </pic:nvPicPr>
                  <pic:blipFill>
                    <a:blip r:embed="rId15"/>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报告第一部分：检测报告摘要。包括样本信息、检测内容、检测结果（用药提示、分子分型、预后评估、遗传性肿瘤风险提示），是本报告的关键信息。</w:t>
      </w:r>
    </w:p>
    <w:p w14:paraId="07E31EA0">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17"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17" descr="脉络生物-单色LOGO"/>
                    <pic:cNvPicPr>
                      <a:picLocks noChangeAspect="1"/>
                    </pic:cNvPicPr>
                  </pic:nvPicPr>
                  <pic:blipFill>
                    <a:blip r:embed="rId15"/>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微卫星不稳定性检测结果解析。该部分包括检测结果与解读、MSI结果说明及参考文献。</w:t>
      </w:r>
    </w:p>
    <w:p w14:paraId="605D0C47">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9"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45" descr="脉络生物-单色LOGO"/>
                    <pic:cNvPicPr>
                      <a:picLocks noChangeAspect="1"/>
                    </pic:cNvPicPr>
                  </pic:nvPicPr>
                  <pic:blipFill>
                    <a:blip r:embed="rId15"/>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检测结果解析。该部分对</w:t>
      </w:r>
      <w:r>
        <w:rPr>
          <w:rFonts w:ascii="微软雅黑" w:hAnsi="微软雅黑"/>
          <w:sz w:val="21"/>
          <w:szCs w:val="21"/>
        </w:rPr>
        <w:t>第一部分</w:t>
      </w:r>
      <w:r>
        <w:rPr>
          <w:rFonts w:hint="eastAsia" w:ascii="微软雅黑" w:hAnsi="微软雅黑"/>
          <w:sz w:val="21"/>
          <w:szCs w:val="21"/>
        </w:rPr>
        <w:t>中用药</w:t>
      </w:r>
      <w:r>
        <w:rPr>
          <w:rFonts w:ascii="微软雅黑" w:hAnsi="微软雅黑"/>
          <w:sz w:val="21"/>
          <w:szCs w:val="21"/>
        </w:rPr>
        <w:t>提</w:t>
      </w:r>
      <w:r>
        <w:rPr>
          <w:rFonts w:hint="eastAsia" w:ascii="微软雅黑" w:hAnsi="微软雅黑"/>
          <w:sz w:val="21"/>
          <w:szCs w:val="21"/>
        </w:rPr>
        <w:t>示、遗传性肿瘤风险提示、</w:t>
      </w:r>
      <w:r>
        <w:rPr>
          <w:rFonts w:ascii="微软雅黑" w:hAnsi="微软雅黑"/>
          <w:sz w:val="21"/>
          <w:szCs w:val="21"/>
        </w:rPr>
        <w:t>重要基因变异</w:t>
      </w:r>
      <w:r>
        <w:rPr>
          <w:rFonts w:hint="eastAsia" w:ascii="微软雅黑" w:hAnsi="微软雅黑"/>
          <w:sz w:val="21"/>
          <w:szCs w:val="21"/>
        </w:rPr>
        <w:t>进行详细</w:t>
      </w:r>
      <w:r>
        <w:rPr>
          <w:rFonts w:ascii="微软雅黑" w:hAnsi="微软雅黑"/>
          <w:sz w:val="21"/>
          <w:szCs w:val="21"/>
        </w:rPr>
        <w:t>解析</w:t>
      </w:r>
      <w:r>
        <w:rPr>
          <w:rFonts w:hint="eastAsia" w:ascii="微软雅黑" w:hAnsi="微软雅黑"/>
          <w:sz w:val="21"/>
          <w:szCs w:val="21"/>
        </w:rPr>
        <w:t>。</w:t>
      </w:r>
    </w:p>
    <w:p w14:paraId="1693A3E8">
      <w:pPr>
        <w:tabs>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8"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8" descr="脉络生物-单色LOGO"/>
                    <pic:cNvPicPr>
                      <a:picLocks noChangeAspect="1"/>
                    </pic:cNvPicPr>
                  </pic:nvPicPr>
                  <pic:blipFill>
                    <a:blip r:embed="rId15"/>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报告第四部分</w:t>
      </w:r>
      <w:r>
        <w:rPr>
          <w:rFonts w:ascii="微软雅黑" w:hAnsi="微软雅黑"/>
          <w:sz w:val="21"/>
          <w:szCs w:val="21"/>
        </w:rPr>
        <w:t>：</w:t>
      </w:r>
      <w:r>
        <w:rPr>
          <w:rFonts w:hint="eastAsia" w:ascii="微软雅黑" w:hAnsi="微软雅黑"/>
          <w:sz w:val="21"/>
          <w:szCs w:val="21"/>
        </w:rPr>
        <w:t>附录。提供子宫内膜癌分型与林奇综合征简介，以及</w:t>
      </w:r>
      <w:r>
        <w:rPr>
          <w:rFonts w:ascii="微软雅黑" w:hAnsi="微软雅黑"/>
          <w:sz w:val="21"/>
          <w:szCs w:val="21"/>
        </w:rPr>
        <w:t>本项目所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信息。</w:t>
      </w:r>
      <w:r>
        <w:rPr>
          <w:rFonts w:hint="eastAsia"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6" descr="脉络生物-单色LOGO"/>
                    <pic:cNvPicPr>
                      <a:picLocks noChangeAspect="1"/>
                    </pic:cNvPicPr>
                  </pic:nvPicPr>
                  <pic:blipFill>
                    <a:blip r:embed="rId15"/>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 xml:space="preserve"> </w:t>
      </w:r>
    </w:p>
    <w:p w14:paraId="2F7DCC68">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7"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7" descr="脉络生物-单色LOGO"/>
                    <pic:cNvPicPr>
                      <a:picLocks noChangeAspect="1"/>
                    </pic:cNvPicPr>
                  </pic:nvPicPr>
                  <pic:blipFill>
                    <a:blip r:embed="rId15"/>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本报告信息仅供临床医生参考，而非临床诊断依据。对用药的建议需综合考虑患者其他临床信息，如家族史、肿瘤分型分期、体力状态、前期治疗方式等，具体治疗</w:t>
      </w:r>
      <w:r>
        <w:rPr>
          <w:rFonts w:hint="eastAsia" w:ascii="微软雅黑" w:hAnsi="微软雅黑"/>
          <w:sz w:val="21"/>
          <w:szCs w:val="21"/>
        </w:rPr>
        <w:t>方</w:t>
      </w:r>
      <w:r>
        <w:rPr>
          <w:rFonts w:ascii="微软雅黑" w:hAnsi="微软雅黑"/>
          <w:sz w:val="21"/>
          <w:szCs w:val="21"/>
        </w:rPr>
        <w:t>案详情请遵循医嘱</w:t>
      </w:r>
      <w:r>
        <w:rPr>
          <w:rFonts w:hint="eastAsia" w:ascii="微软雅黑" w:hAnsi="微软雅黑"/>
          <w:sz w:val="21"/>
          <w:szCs w:val="21"/>
        </w:rPr>
        <w:t>。</w:t>
      </w:r>
    </w:p>
    <w:p w14:paraId="527263C2">
      <w:pPr>
        <w:tabs>
          <w:tab w:val="left" w:pos="2312"/>
        </w:tabs>
        <w:spacing w:after="0" w:line="288" w:lineRule="auto"/>
        <w:ind w:left="550" w:left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3" name="图片 2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图片 25" descr="脉络生物-单色LOGO"/>
                    <pic:cNvPicPr>
                      <a:picLocks noChangeAspect="1"/>
                    </pic:cNvPicPr>
                  </pic:nvPicPr>
                  <pic:blipFill>
                    <a:blip r:embed="rId16"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43079699">
      <w:pPr>
        <w:tabs>
          <w:tab w:val="left" w:pos="2312"/>
        </w:tabs>
        <w:spacing w:after="0" w:line="288" w:lineRule="auto"/>
        <w:ind w:firstLine="420" w:firstLineChars="200"/>
        <w:rPr>
          <w:rFonts w:ascii="微软雅黑" w:hAnsi="微软雅黑" w:cs="微软雅黑"/>
          <w:b/>
          <w:color w:val="3D5E18"/>
          <w:sz w:val="21"/>
          <w:szCs w:val="21"/>
        </w:rPr>
        <w:sectPr>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r>
        <w:rPr>
          <w:rFonts w:hint="eastAsia" w:ascii="微软雅黑" w:hAnsi="微软雅黑"/>
          <w:sz w:val="21"/>
          <w:szCs w:val="21"/>
        </w:rPr>
        <w:t>。</w:t>
      </w:r>
    </w:p>
    <w:p w14:paraId="2D3B937D">
      <w:pPr>
        <w:widowControl w:val="0"/>
        <w:adjustRightInd/>
        <w:snapToGrid/>
        <w:spacing w:after="0" w:line="312" w:lineRule="auto"/>
        <w:jc w:val="both"/>
        <w:rPr>
          <w:b/>
          <w:bCs/>
          <w:sz w:val="24"/>
          <w:szCs w:val="24"/>
        </w:rPr>
      </w:pPr>
    </w:p>
    <w:p w14:paraId="294E2CE8">
      <w:pPr>
        <w:widowControl w:val="0"/>
        <w:adjustRightInd/>
        <w:snapToGrid/>
        <w:spacing w:after="0" w:line="312" w:lineRule="auto"/>
        <w:jc w:val="both"/>
        <w:rPr>
          <w:b/>
          <w:bCs/>
          <w:sz w:val="24"/>
          <w:szCs w:val="24"/>
        </w:rPr>
      </w:pPr>
      <w:r>
        <w:rPr>
          <w:rFonts w:hint="eastAsia"/>
          <w:b/>
          <w:bCs/>
          <w:sz w:val="24"/>
          <w:szCs w:val="24"/>
        </w:rPr>
        <w:t>尊敬的</w:t>
      </w:r>
      <w:r>
        <w:rPr>
          <w:rFonts w:hint="eastAsia"/>
          <w:b/>
          <w:bCs/>
          <w:sz w:val="24"/>
          <w:szCs w:val="24"/>
          <w:u w:val="single"/>
        </w:rPr>
        <w:t xml:space="preserve">    {{ patient_name }}    </w:t>
      </w:r>
      <w:r>
        <w:rPr>
          <w:rFonts w:hint="eastAsia"/>
          <w:b/>
          <w:bCs/>
          <w:sz w:val="24"/>
          <w:szCs w:val="24"/>
        </w:rPr>
        <w:t>女士：</w:t>
      </w:r>
    </w:p>
    <w:p w14:paraId="79711AB1">
      <w:pPr>
        <w:widowControl w:val="0"/>
        <w:adjustRightInd/>
        <w:snapToGrid/>
        <w:spacing w:after="0" w:line="36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3EE2F48E">
      <w:pPr>
        <w:widowControl w:val="0"/>
        <w:adjustRightInd/>
        <w:snapToGrid/>
        <w:spacing w:after="0" w:line="360" w:lineRule="auto"/>
        <w:ind w:firstLine="420"/>
        <w:jc w:val="both"/>
        <w:rPr>
          <w:rFonts w:ascii="微软雅黑" w:hAnsi="微软雅黑" w:cs="微软雅黑"/>
          <w:sz w:val="21"/>
          <w:szCs w:val="21"/>
        </w:rPr>
      </w:pPr>
      <w:r>
        <w:rPr>
          <w:rFonts w:hint="eastAsia" w:ascii="微软雅黑" w:hAnsi="微软雅黑" w:cs="微软雅黑"/>
          <w:sz w:val="21"/>
          <w:szCs w:val="21"/>
        </w:rPr>
        <w:t>感谢您选择本机构为您精心定制的</w:t>
      </w:r>
      <w:r>
        <w:rPr>
          <w:rFonts w:hint="eastAsia" w:ascii="微软雅黑" w:hAnsi="微软雅黑" w:cs="微软雅黑"/>
          <w:sz w:val="21"/>
          <w:szCs w:val="21"/>
          <w:u w:val="single"/>
        </w:rPr>
        <w:t xml:space="preserve">    子宫内膜癌分子分型2</w:t>
      </w:r>
      <w:r>
        <w:rPr>
          <w:rFonts w:hint="eastAsia" w:ascii="微软雅黑" w:hAnsi="微软雅黑" w:cs="微软雅黑"/>
          <w:sz w:val="21"/>
          <w:szCs w:val="21"/>
          <w:u w:val="single"/>
          <w:lang w:val="en-US" w:eastAsia="zh-CN"/>
        </w:rPr>
        <w:t>9</w:t>
      </w:r>
      <w:r>
        <w:rPr>
          <w:rFonts w:hint="eastAsia" w:ascii="微软雅黑" w:hAnsi="微软雅黑" w:cs="微软雅黑"/>
          <w:sz w:val="21"/>
          <w:szCs w:val="21"/>
          <w:u w:val="single"/>
        </w:rPr>
        <w:t xml:space="preserve">基因    </w:t>
      </w:r>
      <w:r>
        <w:rPr>
          <w:rFonts w:hint="eastAsia" w:ascii="微软雅黑" w:hAnsi="微软雅黑" w:cs="微软雅黑"/>
          <w:sz w:val="21"/>
          <w:szCs w:val="21"/>
        </w:rPr>
        <w:t>检测项目。天津脉络医学检验很荣幸能为您提供基因检测服务。</w:t>
      </w:r>
    </w:p>
    <w:p w14:paraId="2A35786A">
      <w:pPr>
        <w:widowControl w:val="0"/>
        <w:adjustRightInd/>
        <w:snapToGrid/>
        <w:spacing w:after="0" w:line="36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086BDE0B">
      <w:pPr>
        <w:widowControl w:val="0"/>
        <w:adjustRightInd/>
        <w:snapToGrid/>
        <w:spacing w:after="0" w:line="36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7BE8D8AC">
      <w:pPr>
        <w:spacing w:line="312" w:lineRule="auto"/>
        <w:ind w:firstLine="420" w:firstLineChars="200"/>
        <w:jc w:val="both"/>
        <w:rPr>
          <w:rFonts w:ascii="微软雅黑" w:hAnsi="微软雅黑" w:cs="微软雅黑"/>
          <w:sz w:val="21"/>
          <w:szCs w:val="21"/>
        </w:rPr>
        <w:sectPr>
          <w:headerReference r:id="rId4" w:type="default"/>
          <w:footerReference r:id="rId5" w:type="default"/>
          <w:pgSz w:w="11906" w:h="16838"/>
          <w:pgMar w:top="1440" w:right="1800" w:bottom="1440" w:left="1800" w:header="708" w:footer="708" w:gutter="0"/>
          <w:pgNumType w:start="1"/>
          <w:cols w:space="708" w:num="1"/>
          <w:docGrid w:linePitch="360" w:charSpace="0"/>
        </w:sect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D6BA0C6">
      <w:pPr>
        <w:tabs>
          <w:tab w:val="center" w:pos="4153"/>
          <w:tab w:val="left" w:pos="5530"/>
        </w:tabs>
        <w:spacing w:before="200" w:line="276" w:lineRule="auto"/>
        <w:rPr>
          <w:szCs w:val="28"/>
        </w:rPr>
      </w:pPr>
      <w:r>
        <w:rPr>
          <w:rFonts w:ascii="微软雅黑" w:hAnsi="微软雅黑"/>
          <w:b/>
          <w:sz w:val="30"/>
          <w:szCs w:val="30"/>
        </w:rPr>
        <w:tab/>
      </w:r>
      <w:r>
        <w:rPr>
          <w:rFonts w:hint="eastAsia" w:ascii="微软雅黑" w:hAnsi="微软雅黑"/>
          <w:b/>
          <w:sz w:val="30"/>
          <w:szCs w:val="30"/>
        </w:rPr>
        <w:t>目录</w:t>
      </w:r>
      <w:r>
        <w:rPr>
          <w:rFonts w:ascii="微软雅黑" w:hAnsi="微软雅黑"/>
          <w:b/>
          <w:sz w:val="30"/>
          <w:szCs w:val="30"/>
        </w:rPr>
        <w:tab/>
      </w:r>
    </w:p>
    <w:p w14:paraId="0B1A3407">
      <w:pPr>
        <w:pStyle w:val="10"/>
        <w:spacing w:after="0" w:line="276" w:lineRule="auto"/>
        <w:rPr>
          <w:rFonts w:ascii="微软雅黑" w:hAnsi="微软雅黑"/>
          <w:b w:val="0"/>
          <w:bCs w:val="0"/>
          <w:kern w:val="2"/>
          <w:sz w:val="21"/>
          <w14:ligatures w14:val="standardContextual"/>
        </w:rPr>
      </w:pPr>
      <w:r>
        <w:rPr>
          <w:rFonts w:hint="eastAsia" w:ascii="微软雅黑" w:hAnsi="微软雅黑"/>
          <w:sz w:val="21"/>
          <w:szCs w:val="21"/>
        </w:rPr>
        <w:fldChar w:fldCharType="begin"/>
      </w:r>
      <w:r>
        <w:rPr>
          <w:rFonts w:hint="eastAsia" w:ascii="微软雅黑" w:hAnsi="微软雅黑"/>
          <w:sz w:val="21"/>
          <w:szCs w:val="21"/>
        </w:rPr>
        <w:instrText xml:space="preserve">TOC \o "1-4" \h \u </w:instrText>
      </w:r>
      <w:r>
        <w:rPr>
          <w:rFonts w:hint="eastAsia" w:ascii="微软雅黑" w:hAnsi="微软雅黑"/>
          <w:sz w:val="21"/>
          <w:szCs w:val="21"/>
        </w:rPr>
        <w:fldChar w:fldCharType="separate"/>
      </w:r>
      <w:r>
        <w:fldChar w:fldCharType="begin"/>
      </w:r>
      <w:r>
        <w:instrText xml:space="preserve"> HYPERLINK \l "_Toc163825582" </w:instrText>
      </w:r>
      <w:r>
        <w:fldChar w:fldCharType="separate"/>
      </w:r>
      <w:r>
        <w:rPr>
          <w:rStyle w:val="23"/>
          <w:rFonts w:ascii="微软雅黑" w:hAnsi="微软雅黑"/>
        </w:rPr>
        <w:t>第一部分 ：检测报告摘要</w:t>
      </w:r>
      <w:r>
        <w:rPr>
          <w:rFonts w:ascii="微软雅黑" w:hAnsi="微软雅黑"/>
        </w:rPr>
        <w:tab/>
      </w:r>
      <w:r>
        <w:rPr>
          <w:rFonts w:ascii="微软雅黑" w:hAnsi="微软雅黑"/>
        </w:rPr>
        <w:fldChar w:fldCharType="begin"/>
      </w:r>
      <w:r>
        <w:rPr>
          <w:rFonts w:ascii="微软雅黑" w:hAnsi="微软雅黑"/>
        </w:rPr>
        <w:instrText xml:space="preserve"> PAGEREF _Toc163825582 \h </w:instrText>
      </w:r>
      <w:r>
        <w:rPr>
          <w:rFonts w:ascii="微软雅黑" w:hAnsi="微软雅黑"/>
        </w:rPr>
        <w:fldChar w:fldCharType="separate"/>
      </w:r>
      <w:r>
        <w:rPr>
          <w:rFonts w:ascii="微软雅黑" w:hAnsi="微软雅黑"/>
        </w:rPr>
        <w:t>1</w:t>
      </w:r>
      <w:r>
        <w:rPr>
          <w:rFonts w:ascii="微软雅黑" w:hAnsi="微软雅黑"/>
        </w:rPr>
        <w:fldChar w:fldCharType="end"/>
      </w:r>
      <w:r>
        <w:rPr>
          <w:rFonts w:ascii="微软雅黑" w:hAnsi="微软雅黑"/>
        </w:rPr>
        <w:fldChar w:fldCharType="end"/>
      </w:r>
    </w:p>
    <w:p w14:paraId="48D2A51E">
      <w:pPr>
        <w:pStyle w:val="11"/>
        <w:spacing w:line="276" w:lineRule="auto"/>
      </w:pPr>
      <w:r>
        <w:fldChar w:fldCharType="begin"/>
      </w:r>
      <w:r>
        <w:instrText xml:space="preserve"> HYPERLINK \l "_Toc163825583" </w:instrText>
      </w:r>
      <w:r>
        <w:fldChar w:fldCharType="separate"/>
      </w:r>
      <w:r>
        <w:rPr>
          <w:rStyle w:val="23"/>
          <w:color w:val="auto"/>
          <w:u w:val="none"/>
        </w:rPr>
        <w:t>1. 基本信息</w:t>
      </w:r>
      <w:r>
        <w:tab/>
      </w:r>
      <w:r>
        <w:fldChar w:fldCharType="begin"/>
      </w:r>
      <w:r>
        <w:instrText xml:space="preserve"> PAGEREF _Toc163825583 \h </w:instrText>
      </w:r>
      <w:r>
        <w:fldChar w:fldCharType="separate"/>
      </w:r>
      <w:r>
        <w:t>1</w:t>
      </w:r>
      <w:r>
        <w:fldChar w:fldCharType="end"/>
      </w:r>
      <w:r>
        <w:fldChar w:fldCharType="end"/>
      </w:r>
    </w:p>
    <w:p w14:paraId="48BCCCFB">
      <w:pPr>
        <w:pStyle w:val="11"/>
        <w:spacing w:line="276" w:lineRule="auto"/>
      </w:pPr>
      <w:r>
        <w:fldChar w:fldCharType="begin"/>
      </w:r>
      <w:r>
        <w:instrText xml:space="preserve"> HYPERLINK \l "_Toc163825584" </w:instrText>
      </w:r>
      <w:r>
        <w:fldChar w:fldCharType="separate"/>
      </w:r>
      <w:r>
        <w:rPr>
          <w:rStyle w:val="23"/>
          <w:color w:val="auto"/>
          <w:u w:val="none"/>
        </w:rPr>
        <w:t>2. 检测内容</w:t>
      </w:r>
      <w:r>
        <w:tab/>
      </w:r>
      <w:r>
        <w:fldChar w:fldCharType="begin"/>
      </w:r>
      <w:r>
        <w:instrText xml:space="preserve"> PAGEREF _Toc163825584 \h </w:instrText>
      </w:r>
      <w:r>
        <w:fldChar w:fldCharType="separate"/>
      </w:r>
      <w:r>
        <w:t>1</w:t>
      </w:r>
      <w:r>
        <w:fldChar w:fldCharType="end"/>
      </w:r>
      <w:r>
        <w:fldChar w:fldCharType="end"/>
      </w:r>
    </w:p>
    <w:p w14:paraId="5E4C400A">
      <w:pPr>
        <w:pStyle w:val="11"/>
        <w:spacing w:line="276" w:lineRule="auto"/>
      </w:pPr>
      <w:r>
        <w:fldChar w:fldCharType="begin"/>
      </w:r>
      <w:r>
        <w:instrText xml:space="preserve"> HYPERLINK \l "_Toc163825585" </w:instrText>
      </w:r>
      <w:r>
        <w:fldChar w:fldCharType="separate"/>
      </w:r>
      <w:r>
        <w:rPr>
          <w:rStyle w:val="23"/>
          <w:color w:val="auto"/>
          <w:u w:val="none"/>
        </w:rPr>
        <w:t>3. 质控信息</w:t>
      </w:r>
      <w:r>
        <w:tab/>
      </w:r>
      <w:r>
        <w:fldChar w:fldCharType="begin"/>
      </w:r>
      <w:r>
        <w:instrText xml:space="preserve"> PAGEREF _Toc163825585 \h </w:instrText>
      </w:r>
      <w:r>
        <w:fldChar w:fldCharType="separate"/>
      </w:r>
      <w:r>
        <w:t>2</w:t>
      </w:r>
      <w:r>
        <w:fldChar w:fldCharType="end"/>
      </w:r>
      <w:r>
        <w:fldChar w:fldCharType="end"/>
      </w:r>
    </w:p>
    <w:p w14:paraId="1C31B55A">
      <w:pPr>
        <w:pStyle w:val="11"/>
        <w:spacing w:line="276" w:lineRule="auto"/>
      </w:pPr>
      <w:r>
        <w:fldChar w:fldCharType="begin"/>
      </w:r>
      <w:r>
        <w:instrText xml:space="preserve"> HYPERLINK \l "_Toc163825586" </w:instrText>
      </w:r>
      <w:r>
        <w:fldChar w:fldCharType="separate"/>
      </w:r>
      <w:r>
        <w:rPr>
          <w:rStyle w:val="23"/>
          <w:color w:val="auto"/>
          <w:u w:val="none"/>
        </w:rPr>
        <w:t>4. 检测结果小结</w:t>
      </w:r>
      <w:r>
        <w:tab/>
      </w:r>
      <w:r>
        <w:fldChar w:fldCharType="begin"/>
      </w:r>
      <w:r>
        <w:instrText xml:space="preserve"> PAGEREF _Toc163825586 \h </w:instrText>
      </w:r>
      <w:r>
        <w:fldChar w:fldCharType="separate"/>
      </w:r>
      <w:r>
        <w:t>3</w:t>
      </w:r>
      <w:r>
        <w:fldChar w:fldCharType="end"/>
      </w:r>
      <w:r>
        <w:fldChar w:fldCharType="end"/>
      </w:r>
    </w:p>
    <w:p w14:paraId="63A945E8">
      <w:pPr>
        <w:pStyle w:val="11"/>
        <w:spacing w:line="276" w:lineRule="auto"/>
      </w:pPr>
      <w:r>
        <w:fldChar w:fldCharType="begin"/>
      </w:r>
      <w:r>
        <w:instrText xml:space="preserve"> HYPERLINK \l "_Toc163825587" </w:instrText>
      </w:r>
      <w:r>
        <w:fldChar w:fldCharType="separate"/>
      </w:r>
      <w:r>
        <w:rPr>
          <w:rStyle w:val="23"/>
          <w:color w:val="auto"/>
          <w:u w:val="none"/>
        </w:rPr>
        <w:t>5. 检测结果说明</w:t>
      </w:r>
      <w:r>
        <w:tab/>
      </w:r>
      <w:r>
        <w:fldChar w:fldCharType="begin"/>
      </w:r>
      <w:r>
        <w:instrText xml:space="preserve"> PAGEREF _Toc163825587 \h </w:instrText>
      </w:r>
      <w:r>
        <w:fldChar w:fldCharType="separate"/>
      </w:r>
      <w:r>
        <w:t>6</w:t>
      </w:r>
      <w:r>
        <w:fldChar w:fldCharType="end"/>
      </w:r>
      <w:r>
        <w:fldChar w:fldCharType="end"/>
      </w:r>
    </w:p>
    <w:p w14:paraId="0FAC7064">
      <w:pPr>
        <w:pStyle w:val="10"/>
        <w:spacing w:after="0" w:line="276" w:lineRule="auto"/>
        <w:rPr>
          <w:rFonts w:ascii="微软雅黑" w:hAnsi="微软雅黑"/>
          <w:b w:val="0"/>
          <w:bCs w:val="0"/>
          <w:kern w:val="2"/>
          <w:sz w:val="21"/>
          <w14:ligatures w14:val="standardContextual"/>
        </w:rPr>
      </w:pPr>
      <w:r>
        <w:fldChar w:fldCharType="begin"/>
      </w:r>
      <w:r>
        <w:instrText xml:space="preserve"> HYPERLINK \l "_Toc163825588" </w:instrText>
      </w:r>
      <w:r>
        <w:fldChar w:fldCharType="separate"/>
      </w:r>
      <w:r>
        <w:rPr>
          <w:rStyle w:val="23"/>
          <w:rFonts w:ascii="微软雅黑" w:hAnsi="微软雅黑"/>
        </w:rPr>
        <w:t>第二部分：微卫星不稳定性（MSI）检测结果及解析</w:t>
      </w:r>
      <w:r>
        <w:rPr>
          <w:rFonts w:ascii="微软雅黑" w:hAnsi="微软雅黑"/>
        </w:rPr>
        <w:tab/>
      </w:r>
      <w:r>
        <w:rPr>
          <w:rFonts w:ascii="微软雅黑" w:hAnsi="微软雅黑"/>
        </w:rPr>
        <w:fldChar w:fldCharType="begin"/>
      </w:r>
      <w:r>
        <w:rPr>
          <w:rFonts w:ascii="微软雅黑" w:hAnsi="微软雅黑"/>
        </w:rPr>
        <w:instrText xml:space="preserve"> PAGEREF _Toc163825588 \h </w:instrText>
      </w:r>
      <w:r>
        <w:rPr>
          <w:rFonts w:ascii="微软雅黑" w:hAnsi="微软雅黑"/>
        </w:rPr>
        <w:fldChar w:fldCharType="separate"/>
      </w:r>
      <w:r>
        <w:rPr>
          <w:rFonts w:ascii="微软雅黑" w:hAnsi="微软雅黑"/>
        </w:rPr>
        <w:t>7</w:t>
      </w:r>
      <w:r>
        <w:rPr>
          <w:rFonts w:ascii="微软雅黑" w:hAnsi="微软雅黑"/>
        </w:rPr>
        <w:fldChar w:fldCharType="end"/>
      </w:r>
      <w:r>
        <w:rPr>
          <w:rFonts w:ascii="微软雅黑" w:hAnsi="微软雅黑"/>
        </w:rPr>
        <w:fldChar w:fldCharType="end"/>
      </w:r>
    </w:p>
    <w:p w14:paraId="358875FF">
      <w:pPr>
        <w:pStyle w:val="11"/>
        <w:spacing w:line="276" w:lineRule="auto"/>
      </w:pPr>
      <w:r>
        <w:fldChar w:fldCharType="begin"/>
      </w:r>
      <w:r>
        <w:instrText xml:space="preserve"> HYPERLINK \l "_Toc163825589" </w:instrText>
      </w:r>
      <w:r>
        <w:fldChar w:fldCharType="separate"/>
      </w:r>
      <w:r>
        <w:rPr>
          <w:rStyle w:val="23"/>
          <w:color w:val="auto"/>
          <w:u w:val="none"/>
        </w:rPr>
        <w:t>1. 检测结果与解读</w:t>
      </w:r>
      <w:r>
        <w:tab/>
      </w:r>
      <w:r>
        <w:fldChar w:fldCharType="begin"/>
      </w:r>
      <w:r>
        <w:instrText xml:space="preserve"> PAGEREF _Toc163825589 \h </w:instrText>
      </w:r>
      <w:r>
        <w:fldChar w:fldCharType="separate"/>
      </w:r>
      <w:r>
        <w:t>7</w:t>
      </w:r>
      <w:r>
        <w:fldChar w:fldCharType="end"/>
      </w:r>
      <w:r>
        <w:fldChar w:fldCharType="end"/>
      </w:r>
    </w:p>
    <w:p w14:paraId="2F04BBED">
      <w:pPr>
        <w:pStyle w:val="11"/>
        <w:spacing w:line="276" w:lineRule="auto"/>
      </w:pPr>
      <w:r>
        <w:fldChar w:fldCharType="begin"/>
      </w:r>
      <w:r>
        <w:instrText xml:space="preserve"> HYPERLINK \l "_Toc163825590" </w:instrText>
      </w:r>
      <w:r>
        <w:fldChar w:fldCharType="separate"/>
      </w:r>
      <w:r>
        <w:rPr>
          <w:rStyle w:val="23"/>
          <w:color w:val="auto"/>
          <w:u w:val="none"/>
        </w:rPr>
        <w:t>2. MSI结果说明</w:t>
      </w:r>
      <w:r>
        <w:tab/>
      </w:r>
      <w:r>
        <w:fldChar w:fldCharType="begin"/>
      </w:r>
      <w:r>
        <w:instrText xml:space="preserve"> PAGEREF _Toc163825590 \h </w:instrText>
      </w:r>
      <w:r>
        <w:fldChar w:fldCharType="separate"/>
      </w:r>
      <w:r>
        <w:t>8</w:t>
      </w:r>
      <w:r>
        <w:fldChar w:fldCharType="end"/>
      </w:r>
      <w:r>
        <w:fldChar w:fldCharType="end"/>
      </w:r>
    </w:p>
    <w:p w14:paraId="4106889D">
      <w:pPr>
        <w:pStyle w:val="11"/>
        <w:spacing w:line="276" w:lineRule="auto"/>
      </w:pPr>
      <w:r>
        <w:fldChar w:fldCharType="begin"/>
      </w:r>
      <w:r>
        <w:instrText xml:space="preserve"> HYPERLINK \l "_Toc163825591" </w:instrText>
      </w:r>
      <w:r>
        <w:fldChar w:fldCharType="separate"/>
      </w:r>
      <w:r>
        <w:rPr>
          <w:rStyle w:val="23"/>
          <w:color w:val="auto"/>
          <w:u w:val="none"/>
        </w:rPr>
        <w:t>3. 参考文献</w:t>
      </w:r>
      <w:r>
        <w:tab/>
      </w:r>
      <w:r>
        <w:fldChar w:fldCharType="begin"/>
      </w:r>
      <w:r>
        <w:instrText xml:space="preserve"> PAGEREF _Toc163825591 \h </w:instrText>
      </w:r>
      <w:r>
        <w:fldChar w:fldCharType="separate"/>
      </w:r>
      <w:r>
        <w:t>8</w:t>
      </w:r>
      <w:r>
        <w:fldChar w:fldCharType="end"/>
      </w:r>
      <w:r>
        <w:fldChar w:fldCharType="end"/>
      </w:r>
    </w:p>
    <w:p w14:paraId="46DB5D27">
      <w:pPr>
        <w:pStyle w:val="10"/>
        <w:spacing w:after="0" w:line="276" w:lineRule="auto"/>
        <w:rPr>
          <w:rFonts w:ascii="微软雅黑" w:hAnsi="微软雅黑"/>
          <w:b w:val="0"/>
          <w:bCs w:val="0"/>
          <w:kern w:val="2"/>
          <w:sz w:val="21"/>
          <w14:ligatures w14:val="standardContextual"/>
        </w:rPr>
      </w:pPr>
      <w:r>
        <w:fldChar w:fldCharType="begin"/>
      </w:r>
      <w:r>
        <w:instrText xml:space="preserve"> HYPERLINK \l "_Toc163825595" </w:instrText>
      </w:r>
      <w:r>
        <w:fldChar w:fldCharType="separate"/>
      </w:r>
      <w:r>
        <w:rPr>
          <w:rStyle w:val="23"/>
          <w:rFonts w:ascii="微软雅黑" w:hAnsi="微软雅黑"/>
        </w:rPr>
        <w:t>第三部分：检测结果解析</w:t>
      </w:r>
      <w:r>
        <w:rPr>
          <w:rFonts w:ascii="微软雅黑" w:hAnsi="微软雅黑"/>
        </w:rPr>
        <w:tab/>
      </w:r>
      <w:r>
        <w:rPr>
          <w:rFonts w:ascii="微软雅黑" w:hAnsi="微软雅黑"/>
        </w:rPr>
        <w:fldChar w:fldCharType="begin"/>
      </w:r>
      <w:r>
        <w:rPr>
          <w:rFonts w:ascii="微软雅黑" w:hAnsi="微软雅黑"/>
        </w:rPr>
        <w:instrText xml:space="preserve"> PAGEREF _Toc163825595 \h </w:instrText>
      </w:r>
      <w:r>
        <w:rPr>
          <w:rFonts w:ascii="微软雅黑" w:hAnsi="微软雅黑"/>
        </w:rPr>
        <w:fldChar w:fldCharType="separate"/>
      </w:r>
      <w:r>
        <w:rPr>
          <w:rFonts w:ascii="微软雅黑" w:hAnsi="微软雅黑"/>
        </w:rPr>
        <w:t>9</w:t>
      </w:r>
      <w:r>
        <w:rPr>
          <w:rFonts w:ascii="微软雅黑" w:hAnsi="微软雅黑"/>
        </w:rPr>
        <w:fldChar w:fldCharType="end"/>
      </w:r>
      <w:r>
        <w:rPr>
          <w:rFonts w:ascii="微软雅黑" w:hAnsi="微软雅黑"/>
        </w:rPr>
        <w:fldChar w:fldCharType="end"/>
      </w:r>
    </w:p>
    <w:p w14:paraId="44FC3EC6">
      <w:pPr>
        <w:pStyle w:val="11"/>
        <w:spacing w:line="276" w:lineRule="auto"/>
      </w:pPr>
      <w:r>
        <w:fldChar w:fldCharType="begin"/>
      </w:r>
      <w:r>
        <w:instrText xml:space="preserve"> HYPERLINK \l "_Toc163825596" </w:instrText>
      </w:r>
      <w:r>
        <w:fldChar w:fldCharType="separate"/>
      </w:r>
      <w:r>
        <w:rPr>
          <w:rStyle w:val="23"/>
          <w:color w:val="auto"/>
          <w:u w:val="none"/>
        </w:rPr>
        <w:t>1. 基因变异及相应靶向/免疫药物解析</w:t>
      </w:r>
      <w:r>
        <w:tab/>
      </w:r>
      <w:r>
        <w:fldChar w:fldCharType="begin"/>
      </w:r>
      <w:r>
        <w:instrText xml:space="preserve"> PAGEREF _Toc163825596 \h </w:instrText>
      </w:r>
      <w:r>
        <w:fldChar w:fldCharType="separate"/>
      </w:r>
      <w:r>
        <w:t>9</w:t>
      </w:r>
      <w:r>
        <w:fldChar w:fldCharType="end"/>
      </w:r>
      <w:r>
        <w:fldChar w:fldCharType="end"/>
      </w:r>
    </w:p>
    <w:p w14:paraId="0E6BFFA2">
      <w:pPr>
        <w:pStyle w:val="6"/>
        <w:spacing w:after="0" w:line="276" w:lineRule="auto"/>
        <w:ind w:left="425" w:leftChars="193"/>
        <w:rPr>
          <w:rFonts w:ascii="微软雅黑" w:hAnsi="微软雅黑"/>
        </w:rPr>
      </w:pPr>
      <w:r>
        <w:fldChar w:fldCharType="begin"/>
      </w:r>
      <w:r>
        <w:instrText xml:space="preserve"> HYPERLINK \l "_Toc163825597" </w:instrText>
      </w:r>
      <w:r>
        <w:fldChar w:fldCharType="separate"/>
      </w:r>
      <w:r>
        <w:rPr>
          <w:rStyle w:val="23"/>
          <w:rFonts w:ascii="微软雅黑" w:hAnsi="微软雅黑"/>
          <w:color w:val="auto"/>
          <w:u w:val="none"/>
        </w:rPr>
        <w:t>1.1基因变异检测结果</w:t>
      </w:r>
      <w:r>
        <w:rPr>
          <w:rFonts w:ascii="微软雅黑" w:hAnsi="微软雅黑"/>
        </w:rPr>
        <w:tab/>
      </w:r>
      <w:r>
        <w:rPr>
          <w:rFonts w:ascii="微软雅黑" w:hAnsi="微软雅黑"/>
        </w:rPr>
        <w:fldChar w:fldCharType="begin"/>
      </w:r>
      <w:r>
        <w:rPr>
          <w:rFonts w:ascii="微软雅黑" w:hAnsi="微软雅黑"/>
        </w:rPr>
        <w:instrText xml:space="preserve"> PAGEREF _Toc163825597 \h </w:instrText>
      </w:r>
      <w:r>
        <w:rPr>
          <w:rFonts w:ascii="微软雅黑" w:hAnsi="微软雅黑"/>
        </w:rPr>
        <w:fldChar w:fldCharType="separate"/>
      </w:r>
      <w:r>
        <w:rPr>
          <w:rFonts w:ascii="微软雅黑" w:hAnsi="微软雅黑"/>
        </w:rPr>
        <w:t>9</w:t>
      </w:r>
      <w:r>
        <w:rPr>
          <w:rFonts w:ascii="微软雅黑" w:hAnsi="微软雅黑"/>
        </w:rPr>
        <w:fldChar w:fldCharType="end"/>
      </w:r>
      <w:r>
        <w:rPr>
          <w:rFonts w:ascii="微软雅黑" w:hAnsi="微软雅黑"/>
        </w:rPr>
        <w:fldChar w:fldCharType="end"/>
      </w:r>
    </w:p>
    <w:p w14:paraId="0E918744">
      <w:pPr>
        <w:pStyle w:val="6"/>
        <w:spacing w:after="0" w:line="276" w:lineRule="auto"/>
        <w:ind w:left="425" w:leftChars="193"/>
        <w:rPr>
          <w:rFonts w:ascii="微软雅黑" w:hAnsi="微软雅黑"/>
        </w:rPr>
      </w:pPr>
      <w:r>
        <w:fldChar w:fldCharType="begin"/>
      </w:r>
      <w:r>
        <w:instrText xml:space="preserve"> HYPERLINK \l "_Toc163825598" </w:instrText>
      </w:r>
      <w:r>
        <w:fldChar w:fldCharType="separate"/>
      </w:r>
      <w:r>
        <w:rPr>
          <w:rStyle w:val="23"/>
          <w:rFonts w:ascii="微软雅黑" w:hAnsi="微软雅黑"/>
          <w:color w:val="auto"/>
          <w:u w:val="none"/>
        </w:rPr>
        <w:t>1.2 其它潜在获益上市药物提示*</w:t>
      </w:r>
      <w:r>
        <w:rPr>
          <w:rFonts w:ascii="微软雅黑" w:hAnsi="微软雅黑"/>
        </w:rPr>
        <w:tab/>
      </w:r>
      <w:r>
        <w:rPr>
          <w:rFonts w:ascii="微软雅黑" w:hAnsi="微软雅黑"/>
        </w:rPr>
        <w:fldChar w:fldCharType="begin"/>
      </w:r>
      <w:r>
        <w:rPr>
          <w:rFonts w:ascii="微软雅黑" w:hAnsi="微软雅黑"/>
        </w:rPr>
        <w:instrText xml:space="preserve"> PAGEREF _Toc163825598 \h </w:instrText>
      </w:r>
      <w:r>
        <w:rPr>
          <w:rFonts w:ascii="微软雅黑" w:hAnsi="微软雅黑"/>
        </w:rPr>
        <w:fldChar w:fldCharType="separate"/>
      </w:r>
      <w:r>
        <w:rPr>
          <w:rFonts w:ascii="微软雅黑" w:hAnsi="微软雅黑"/>
        </w:rPr>
        <w:t>12</w:t>
      </w:r>
      <w:r>
        <w:rPr>
          <w:rFonts w:ascii="微软雅黑" w:hAnsi="微软雅黑"/>
        </w:rPr>
        <w:fldChar w:fldCharType="end"/>
      </w:r>
      <w:r>
        <w:rPr>
          <w:rFonts w:ascii="微软雅黑" w:hAnsi="微软雅黑"/>
        </w:rPr>
        <w:fldChar w:fldCharType="end"/>
      </w:r>
    </w:p>
    <w:p w14:paraId="46111823">
      <w:pPr>
        <w:pStyle w:val="11"/>
        <w:spacing w:line="276" w:lineRule="auto"/>
        <w:rPr>
          <w:kern w:val="2"/>
          <w:sz w:val="21"/>
          <w14:ligatures w14:val="standardContextual"/>
        </w:rPr>
      </w:pPr>
      <w:r>
        <w:fldChar w:fldCharType="begin"/>
      </w:r>
      <w:r>
        <w:instrText xml:space="preserve"> HYPERLINK \l "_Toc163825599" </w:instrText>
      </w:r>
      <w:r>
        <w:fldChar w:fldCharType="separate"/>
      </w:r>
      <w:r>
        <w:rPr>
          <w:rStyle w:val="23"/>
        </w:rPr>
        <w:t>2. 遗传性肿瘤风险提示</w:t>
      </w:r>
      <w:r>
        <w:tab/>
      </w:r>
      <w:r>
        <w:fldChar w:fldCharType="begin"/>
      </w:r>
      <w:r>
        <w:instrText xml:space="preserve"> PAGEREF _Toc163825599 \h </w:instrText>
      </w:r>
      <w:r>
        <w:fldChar w:fldCharType="separate"/>
      </w:r>
      <w:r>
        <w:t>13</w:t>
      </w:r>
      <w:r>
        <w:fldChar w:fldCharType="end"/>
      </w:r>
      <w:r>
        <w:fldChar w:fldCharType="end"/>
      </w:r>
    </w:p>
    <w:p w14:paraId="73EF592C">
      <w:pPr>
        <w:pStyle w:val="11"/>
        <w:spacing w:line="276" w:lineRule="auto"/>
        <w:rPr>
          <w:kern w:val="2"/>
          <w:sz w:val="21"/>
          <w14:ligatures w14:val="standardContextual"/>
        </w:rPr>
      </w:pPr>
      <w:r>
        <w:fldChar w:fldCharType="begin"/>
      </w:r>
      <w:r>
        <w:instrText xml:space="preserve"> HYPERLINK \l "_Toc163825600" </w:instrText>
      </w:r>
      <w:r>
        <w:fldChar w:fldCharType="separate"/>
      </w:r>
      <w:r>
        <w:rPr>
          <w:rStyle w:val="23"/>
        </w:rPr>
        <w:t>3. 基因变异分析</w:t>
      </w:r>
      <w:r>
        <w:tab/>
      </w:r>
      <w:r>
        <w:fldChar w:fldCharType="begin"/>
      </w:r>
      <w:r>
        <w:instrText xml:space="preserve"> PAGEREF _Toc163825600 \h </w:instrText>
      </w:r>
      <w:r>
        <w:fldChar w:fldCharType="separate"/>
      </w:r>
      <w:r>
        <w:t>14</w:t>
      </w:r>
      <w:r>
        <w:fldChar w:fldCharType="end"/>
      </w:r>
      <w:r>
        <w:fldChar w:fldCharType="end"/>
      </w:r>
    </w:p>
    <w:p w14:paraId="5E7BF75C">
      <w:pPr>
        <w:pStyle w:val="6"/>
        <w:spacing w:after="0" w:line="276" w:lineRule="auto"/>
        <w:ind w:left="425" w:leftChars="193"/>
        <w:rPr>
          <w:rFonts w:ascii="微软雅黑" w:hAnsi="微软雅黑"/>
          <w:kern w:val="2"/>
          <w:sz w:val="21"/>
          <w14:ligatures w14:val="standardContextual"/>
        </w:rPr>
      </w:pPr>
      <w:r>
        <w:fldChar w:fldCharType="begin"/>
      </w:r>
      <w:r>
        <w:instrText xml:space="preserve"> HYPERLINK \l "_Toc163825601" </w:instrText>
      </w:r>
      <w:r>
        <w:fldChar w:fldCharType="separate"/>
      </w:r>
      <w:r>
        <w:rPr>
          <w:rStyle w:val="23"/>
          <w:rFonts w:ascii="微软雅黑" w:hAnsi="微软雅黑"/>
        </w:rPr>
        <w:t>3.1 体细胞基因变异解析</w:t>
      </w:r>
      <w:r>
        <w:rPr>
          <w:rFonts w:ascii="微软雅黑" w:hAnsi="微软雅黑"/>
        </w:rPr>
        <w:tab/>
      </w:r>
      <w:r>
        <w:rPr>
          <w:rFonts w:ascii="微软雅黑" w:hAnsi="微软雅黑"/>
        </w:rPr>
        <w:fldChar w:fldCharType="begin"/>
      </w:r>
      <w:r>
        <w:rPr>
          <w:rFonts w:ascii="微软雅黑" w:hAnsi="微软雅黑"/>
        </w:rPr>
        <w:instrText xml:space="preserve"> PAGEREF _Toc163825601 \h </w:instrText>
      </w:r>
      <w:r>
        <w:rPr>
          <w:rFonts w:ascii="微软雅黑" w:hAnsi="微软雅黑"/>
        </w:rPr>
        <w:fldChar w:fldCharType="separate"/>
      </w:r>
      <w:r>
        <w:rPr>
          <w:rFonts w:ascii="微软雅黑" w:hAnsi="微软雅黑"/>
        </w:rPr>
        <w:t>14</w:t>
      </w:r>
      <w:r>
        <w:rPr>
          <w:rFonts w:ascii="微软雅黑" w:hAnsi="微软雅黑"/>
        </w:rPr>
        <w:fldChar w:fldCharType="end"/>
      </w:r>
      <w:r>
        <w:rPr>
          <w:rFonts w:ascii="微软雅黑" w:hAnsi="微软雅黑"/>
        </w:rPr>
        <w:fldChar w:fldCharType="end"/>
      </w:r>
    </w:p>
    <w:p w14:paraId="7CBCF6B9">
      <w:pPr>
        <w:pStyle w:val="6"/>
        <w:spacing w:after="0" w:line="276" w:lineRule="auto"/>
        <w:ind w:left="425" w:leftChars="193"/>
        <w:rPr>
          <w:rFonts w:ascii="微软雅黑" w:hAnsi="微软雅黑"/>
          <w:kern w:val="2"/>
          <w:sz w:val="21"/>
          <w14:ligatures w14:val="standardContextual"/>
        </w:rPr>
      </w:pPr>
      <w:r>
        <w:fldChar w:fldCharType="begin"/>
      </w:r>
      <w:r>
        <w:instrText xml:space="preserve"> HYPERLINK \l "_Toc163825602" </w:instrText>
      </w:r>
      <w:r>
        <w:fldChar w:fldCharType="separate"/>
      </w:r>
      <w:r>
        <w:rPr>
          <w:rStyle w:val="23"/>
          <w:rFonts w:ascii="微软雅黑" w:hAnsi="微软雅黑"/>
        </w:rPr>
        <w:t>3.2 遗传性肿瘤相关基因变异解析</w:t>
      </w:r>
      <w:r>
        <w:rPr>
          <w:rFonts w:ascii="微软雅黑" w:hAnsi="微软雅黑"/>
        </w:rPr>
        <w:tab/>
      </w:r>
      <w:r>
        <w:rPr>
          <w:rFonts w:ascii="微软雅黑" w:hAnsi="微软雅黑"/>
        </w:rPr>
        <w:fldChar w:fldCharType="begin"/>
      </w:r>
      <w:r>
        <w:rPr>
          <w:rFonts w:ascii="微软雅黑" w:hAnsi="微软雅黑"/>
        </w:rPr>
        <w:instrText xml:space="preserve"> PAGEREF _Toc163825602 \h </w:instrText>
      </w:r>
      <w:r>
        <w:rPr>
          <w:rFonts w:ascii="微软雅黑" w:hAnsi="微软雅黑"/>
        </w:rPr>
        <w:fldChar w:fldCharType="separate"/>
      </w:r>
      <w:r>
        <w:rPr>
          <w:rFonts w:ascii="微软雅黑" w:hAnsi="微软雅黑"/>
        </w:rPr>
        <w:t>17</w:t>
      </w:r>
      <w:r>
        <w:rPr>
          <w:rFonts w:ascii="微软雅黑" w:hAnsi="微软雅黑"/>
        </w:rPr>
        <w:fldChar w:fldCharType="end"/>
      </w:r>
      <w:r>
        <w:rPr>
          <w:rFonts w:ascii="微软雅黑" w:hAnsi="微软雅黑"/>
        </w:rPr>
        <w:fldChar w:fldCharType="end"/>
      </w:r>
    </w:p>
    <w:p w14:paraId="1062E42E">
      <w:pPr>
        <w:pStyle w:val="11"/>
        <w:spacing w:line="276" w:lineRule="auto"/>
        <w:rPr>
          <w:kern w:val="2"/>
          <w:sz w:val="21"/>
          <w14:ligatures w14:val="standardContextual"/>
        </w:rPr>
      </w:pPr>
      <w:r>
        <w:fldChar w:fldCharType="begin"/>
      </w:r>
      <w:r>
        <w:instrText xml:space="preserve"> HYPERLINK \l "_Toc163825603" </w:instrText>
      </w:r>
      <w:r>
        <w:fldChar w:fldCharType="separate"/>
      </w:r>
      <w:r>
        <w:rPr>
          <w:rStyle w:val="23"/>
        </w:rPr>
        <w:t>4. 靶向/免疫药物用药提示解析</w:t>
      </w:r>
      <w:r>
        <w:tab/>
      </w:r>
      <w:r>
        <w:fldChar w:fldCharType="begin"/>
      </w:r>
      <w:r>
        <w:instrText xml:space="preserve"> PAGEREF _Toc163825603 \h </w:instrText>
      </w:r>
      <w:r>
        <w:fldChar w:fldCharType="separate"/>
      </w:r>
      <w:r>
        <w:t>18</w:t>
      </w:r>
      <w:r>
        <w:fldChar w:fldCharType="end"/>
      </w:r>
      <w:r>
        <w:fldChar w:fldCharType="end"/>
      </w:r>
    </w:p>
    <w:p w14:paraId="2647C887">
      <w:pPr>
        <w:pStyle w:val="6"/>
        <w:spacing w:after="0" w:line="276" w:lineRule="auto"/>
        <w:ind w:left="425" w:leftChars="193"/>
        <w:rPr>
          <w:rFonts w:ascii="微软雅黑" w:hAnsi="微软雅黑"/>
        </w:rPr>
      </w:pPr>
      <w:r>
        <w:fldChar w:fldCharType="begin"/>
      </w:r>
      <w:r>
        <w:instrText xml:space="preserve"> HYPERLINK \l "_Toc163825604" </w:instrText>
      </w:r>
      <w:r>
        <w:fldChar w:fldCharType="separate"/>
      </w:r>
      <w:r>
        <w:rPr>
          <w:rStyle w:val="23"/>
          <w:rFonts w:ascii="微软雅黑" w:hAnsi="微软雅黑"/>
          <w:color w:val="auto"/>
          <w:u w:val="none"/>
        </w:rPr>
        <w:t>4.1 潜在获益靶向/免疫药物解析</w:t>
      </w:r>
      <w:r>
        <w:rPr>
          <w:rFonts w:ascii="微软雅黑" w:hAnsi="微软雅黑"/>
        </w:rPr>
        <w:tab/>
      </w:r>
      <w:r>
        <w:rPr>
          <w:rFonts w:ascii="微软雅黑" w:hAnsi="微软雅黑"/>
        </w:rPr>
        <w:fldChar w:fldCharType="begin"/>
      </w:r>
      <w:r>
        <w:rPr>
          <w:rFonts w:ascii="微软雅黑" w:hAnsi="微软雅黑"/>
        </w:rPr>
        <w:instrText xml:space="preserve"> PAGEREF _Toc163825604 \h </w:instrText>
      </w:r>
      <w:r>
        <w:rPr>
          <w:rFonts w:ascii="微软雅黑" w:hAnsi="微软雅黑"/>
        </w:rPr>
        <w:fldChar w:fldCharType="separate"/>
      </w:r>
      <w:r>
        <w:rPr>
          <w:rFonts w:ascii="微软雅黑" w:hAnsi="微软雅黑"/>
        </w:rPr>
        <w:t>18</w:t>
      </w:r>
      <w:r>
        <w:rPr>
          <w:rFonts w:ascii="微软雅黑" w:hAnsi="微软雅黑"/>
        </w:rPr>
        <w:fldChar w:fldCharType="end"/>
      </w:r>
      <w:r>
        <w:rPr>
          <w:rFonts w:ascii="微软雅黑" w:hAnsi="微软雅黑"/>
        </w:rPr>
        <w:fldChar w:fldCharType="end"/>
      </w:r>
    </w:p>
    <w:p w14:paraId="66B21CA3">
      <w:pPr>
        <w:pStyle w:val="6"/>
        <w:spacing w:after="0" w:line="276" w:lineRule="auto"/>
        <w:ind w:left="425" w:leftChars="193"/>
        <w:rPr>
          <w:rFonts w:ascii="微软雅黑" w:hAnsi="微软雅黑"/>
        </w:rPr>
      </w:pPr>
      <w:r>
        <w:fldChar w:fldCharType="begin"/>
      </w:r>
      <w:r>
        <w:instrText xml:space="preserve"> HYPERLINK \l "_Toc163825605" </w:instrText>
      </w:r>
      <w:r>
        <w:fldChar w:fldCharType="separate"/>
      </w:r>
      <w:r>
        <w:rPr>
          <w:rStyle w:val="23"/>
          <w:rFonts w:ascii="微软雅黑" w:hAnsi="微软雅黑"/>
          <w:color w:val="auto"/>
          <w:u w:val="none"/>
        </w:rPr>
        <w:t>4.2 潜在负相关靶向/免疫药物解析</w:t>
      </w:r>
      <w:r>
        <w:rPr>
          <w:rFonts w:ascii="微软雅黑" w:hAnsi="微软雅黑"/>
        </w:rPr>
        <w:tab/>
      </w:r>
      <w:r>
        <w:rPr>
          <w:rFonts w:ascii="微软雅黑" w:hAnsi="微软雅黑"/>
        </w:rPr>
        <w:fldChar w:fldCharType="begin"/>
      </w:r>
      <w:r>
        <w:rPr>
          <w:rFonts w:ascii="微软雅黑" w:hAnsi="微软雅黑"/>
        </w:rPr>
        <w:instrText xml:space="preserve"> PAGEREF _Toc163825605 \h </w:instrText>
      </w:r>
      <w:r>
        <w:rPr>
          <w:rFonts w:ascii="微软雅黑" w:hAnsi="微软雅黑"/>
        </w:rPr>
        <w:fldChar w:fldCharType="separate"/>
      </w:r>
      <w:r>
        <w:rPr>
          <w:rFonts w:ascii="微软雅黑" w:hAnsi="微软雅黑"/>
        </w:rPr>
        <w:t>25</w:t>
      </w:r>
      <w:r>
        <w:rPr>
          <w:rFonts w:ascii="微软雅黑" w:hAnsi="微软雅黑"/>
        </w:rPr>
        <w:fldChar w:fldCharType="end"/>
      </w:r>
      <w:r>
        <w:rPr>
          <w:rFonts w:ascii="微软雅黑" w:hAnsi="微软雅黑"/>
        </w:rPr>
        <w:fldChar w:fldCharType="end"/>
      </w:r>
    </w:p>
    <w:p w14:paraId="3A3522B4">
      <w:pPr>
        <w:pStyle w:val="11"/>
        <w:spacing w:line="276" w:lineRule="auto"/>
      </w:pPr>
      <w:r>
        <w:fldChar w:fldCharType="begin"/>
      </w:r>
      <w:r>
        <w:instrText xml:space="preserve"> HYPERLINK \l "_Toc163825606" </w:instrText>
      </w:r>
      <w:r>
        <w:fldChar w:fldCharType="separate"/>
      </w:r>
      <w:r>
        <w:rPr>
          <w:rStyle w:val="23"/>
          <w:color w:val="auto"/>
          <w:u w:val="none"/>
        </w:rPr>
        <w:t>5. 参考文献</w:t>
      </w:r>
      <w:r>
        <w:tab/>
      </w:r>
      <w:r>
        <w:fldChar w:fldCharType="begin"/>
      </w:r>
      <w:r>
        <w:instrText xml:space="preserve"> PAGEREF _Toc163825606 \h </w:instrText>
      </w:r>
      <w:r>
        <w:fldChar w:fldCharType="separate"/>
      </w:r>
      <w:r>
        <w:t>26</w:t>
      </w:r>
      <w:r>
        <w:fldChar w:fldCharType="end"/>
      </w:r>
      <w:r>
        <w:fldChar w:fldCharType="end"/>
      </w:r>
    </w:p>
    <w:p w14:paraId="604B400E">
      <w:pPr>
        <w:pStyle w:val="10"/>
        <w:spacing w:after="0" w:line="276" w:lineRule="auto"/>
        <w:rPr>
          <w:rFonts w:ascii="微软雅黑" w:hAnsi="微软雅黑"/>
          <w:b w:val="0"/>
          <w:bCs w:val="0"/>
          <w:kern w:val="2"/>
          <w:sz w:val="21"/>
          <w14:ligatures w14:val="standardContextual"/>
        </w:rPr>
      </w:pPr>
      <w:r>
        <w:fldChar w:fldCharType="begin"/>
      </w:r>
      <w:r>
        <w:instrText xml:space="preserve"> HYPERLINK \l "_Toc163825607" </w:instrText>
      </w:r>
      <w:r>
        <w:fldChar w:fldCharType="separate"/>
      </w:r>
      <w:r>
        <w:rPr>
          <w:rStyle w:val="23"/>
          <w:rFonts w:ascii="微软雅黑" w:hAnsi="微软雅黑"/>
        </w:rPr>
        <w:t>第四部分：附录</w:t>
      </w:r>
      <w:r>
        <w:rPr>
          <w:rFonts w:ascii="微软雅黑" w:hAnsi="微软雅黑"/>
        </w:rPr>
        <w:tab/>
      </w:r>
      <w:r>
        <w:rPr>
          <w:rFonts w:ascii="微软雅黑" w:hAnsi="微软雅黑"/>
        </w:rPr>
        <w:fldChar w:fldCharType="begin"/>
      </w:r>
      <w:r>
        <w:rPr>
          <w:rFonts w:ascii="微软雅黑" w:hAnsi="微软雅黑"/>
        </w:rPr>
        <w:instrText xml:space="preserve"> PAGEREF _Toc163825607 \h </w:instrText>
      </w:r>
      <w:r>
        <w:rPr>
          <w:rFonts w:ascii="微软雅黑" w:hAnsi="微软雅黑"/>
        </w:rPr>
        <w:fldChar w:fldCharType="separate"/>
      </w:r>
      <w:r>
        <w:rPr>
          <w:rFonts w:ascii="微软雅黑" w:hAnsi="微软雅黑"/>
        </w:rPr>
        <w:t>29</w:t>
      </w:r>
      <w:r>
        <w:rPr>
          <w:rFonts w:ascii="微软雅黑" w:hAnsi="微软雅黑"/>
        </w:rPr>
        <w:fldChar w:fldCharType="end"/>
      </w:r>
      <w:r>
        <w:rPr>
          <w:rFonts w:ascii="微软雅黑" w:hAnsi="微软雅黑"/>
        </w:rPr>
        <w:fldChar w:fldCharType="end"/>
      </w:r>
    </w:p>
    <w:p w14:paraId="294CE3DC">
      <w:pPr>
        <w:pStyle w:val="11"/>
        <w:spacing w:line="276" w:lineRule="auto"/>
        <w:rPr>
          <w:kern w:val="2"/>
          <w:sz w:val="21"/>
          <w14:ligatures w14:val="standardContextual"/>
        </w:rPr>
      </w:pPr>
      <w:r>
        <w:fldChar w:fldCharType="begin"/>
      </w:r>
      <w:r>
        <w:instrText xml:space="preserve"> HYPERLINK \l "_Toc163825608" </w:instrText>
      </w:r>
      <w:r>
        <w:fldChar w:fldCharType="separate"/>
      </w:r>
      <w:r>
        <w:rPr>
          <w:rStyle w:val="23"/>
        </w:rPr>
        <w:t>1. 子宫内膜癌分型与林奇综合征</w:t>
      </w:r>
      <w:r>
        <w:tab/>
      </w:r>
      <w:r>
        <w:fldChar w:fldCharType="begin"/>
      </w:r>
      <w:r>
        <w:instrText xml:space="preserve"> PAGEREF _Toc163825608 \h </w:instrText>
      </w:r>
      <w:r>
        <w:fldChar w:fldCharType="separate"/>
      </w:r>
      <w:r>
        <w:t>29</w:t>
      </w:r>
      <w:r>
        <w:fldChar w:fldCharType="end"/>
      </w:r>
      <w:r>
        <w:fldChar w:fldCharType="end"/>
      </w:r>
    </w:p>
    <w:p w14:paraId="4DE5B8F5">
      <w:pPr>
        <w:pStyle w:val="11"/>
        <w:spacing w:line="276" w:lineRule="auto"/>
        <w:rPr>
          <w:kern w:val="2"/>
          <w:sz w:val="21"/>
          <w14:ligatures w14:val="standardContextual"/>
        </w:rPr>
      </w:pPr>
      <w:r>
        <w:fldChar w:fldCharType="begin"/>
      </w:r>
      <w:r>
        <w:instrText xml:space="preserve"> HYPERLINK \l "_Toc163825609" </w:instrText>
      </w:r>
      <w:r>
        <w:fldChar w:fldCharType="separate"/>
      </w:r>
      <w:r>
        <w:rPr>
          <w:rStyle w:val="23"/>
        </w:rPr>
        <w:t>2. 基因检测列表</w:t>
      </w:r>
      <w:r>
        <w:tab/>
      </w:r>
      <w:r>
        <w:fldChar w:fldCharType="begin"/>
      </w:r>
      <w:r>
        <w:instrText xml:space="preserve"> PAGEREF _Toc163825609 \h </w:instrText>
      </w:r>
      <w:r>
        <w:fldChar w:fldCharType="separate"/>
      </w:r>
      <w:r>
        <w:t>35</w:t>
      </w:r>
      <w:r>
        <w:fldChar w:fldCharType="end"/>
      </w:r>
      <w:r>
        <w:fldChar w:fldCharType="end"/>
      </w:r>
    </w:p>
    <w:p w14:paraId="29D76704">
      <w:pPr>
        <w:pStyle w:val="11"/>
        <w:spacing w:line="276" w:lineRule="auto"/>
        <w:rPr>
          <w:rFonts w:cs="微软雅黑"/>
        </w:rPr>
        <w:sectPr>
          <w:footerReference r:id="rId6" w:type="default"/>
          <w:pgSz w:w="11906" w:h="16838"/>
          <w:pgMar w:top="1440" w:right="1800" w:bottom="1440" w:left="1800" w:header="708" w:footer="708" w:gutter="0"/>
          <w:pgNumType w:start="1"/>
          <w:cols w:space="708" w:num="1"/>
          <w:docGrid w:linePitch="360" w:charSpace="0"/>
        </w:sectPr>
      </w:pPr>
      <w:r>
        <w:rPr>
          <w:rFonts w:hint="eastAsia"/>
        </w:rPr>
        <w:fldChar w:fldCharType="end"/>
      </w:r>
      <w:bookmarkStart w:id="0" w:name="_Toc31043"/>
    </w:p>
    <w:p w14:paraId="717CBD3E">
      <w:pPr>
        <w:pStyle w:val="29"/>
        <w:adjustRightInd/>
        <w:snapToGrid/>
        <w:spacing w:before="200" w:line="220" w:lineRule="atLeast"/>
        <w:ind w:firstLine="0" w:firstLineChars="0"/>
        <w:jc w:val="center"/>
        <w:outlineLvl w:val="0"/>
        <w:rPr>
          <w:rFonts w:ascii="微软雅黑" w:hAnsi="微软雅黑"/>
          <w:b/>
          <w:color w:val="00C4D8"/>
          <w:sz w:val="36"/>
          <w:szCs w:val="36"/>
        </w:rPr>
      </w:pPr>
      <w:bookmarkStart w:id="1" w:name="_Toc163825582"/>
      <w:r>
        <w:rPr>
          <w:rFonts w:hint="eastAsia" w:ascii="微软雅黑" w:hAnsi="微软雅黑"/>
          <w:b/>
          <w:color w:val="00C4D8"/>
          <w:sz w:val="36"/>
          <w:szCs w:val="36"/>
        </w:rPr>
        <w:t>第一部分 ：检测报告摘要</w:t>
      </w:r>
      <w:bookmarkEnd w:id="0"/>
      <w:bookmarkEnd w:id="1"/>
    </w:p>
    <w:p w14:paraId="743905B0">
      <w:pPr>
        <w:pStyle w:val="29"/>
        <w:adjustRightInd/>
        <w:snapToGrid/>
        <w:spacing w:after="300" w:line="220" w:lineRule="atLeast"/>
        <w:ind w:firstLine="0" w:firstLineChars="0"/>
        <w:outlineLvl w:val="1"/>
        <w:rPr>
          <w:rFonts w:ascii="微软雅黑" w:hAnsi="微软雅黑"/>
          <w:b/>
          <w:color w:val="00C4D8"/>
          <w:sz w:val="32"/>
          <w:szCs w:val="32"/>
        </w:rPr>
      </w:pPr>
      <w:bookmarkStart w:id="2" w:name="_Toc4676"/>
      <w:bookmarkStart w:id="3" w:name="_Toc163825583"/>
      <w:r>
        <w:rPr>
          <w:rFonts w:hint="eastAsia" w:ascii="微软雅黑" w:hAnsi="微软雅黑"/>
          <w:b/>
          <w:color w:val="00C4D8"/>
          <w:sz w:val="32"/>
          <w:szCs w:val="32"/>
        </w:rPr>
        <w:t>1. 基本信息</w:t>
      </w:r>
      <w:bookmarkEnd w:id="2"/>
      <w:bookmarkEnd w:id="3"/>
    </w:p>
    <w:tbl>
      <w:tblPr>
        <w:tblStyle w:val="16"/>
        <w:tblW w:w="850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Layout w:type="fixed"/>
        <w:tblCellMar>
          <w:top w:w="0" w:type="dxa"/>
          <w:left w:w="108" w:type="dxa"/>
          <w:bottom w:w="0" w:type="dxa"/>
          <w:right w:w="108" w:type="dxa"/>
        </w:tblCellMar>
      </w:tblPr>
      <w:tblGrid>
        <w:gridCol w:w="2126"/>
        <w:gridCol w:w="2126"/>
        <w:gridCol w:w="2126"/>
        <w:gridCol w:w="2127"/>
      </w:tblGrid>
      <w:tr w14:paraId="7EA4C4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3" w:hRule="atLeast"/>
        </w:trPr>
        <w:tc>
          <w:tcPr>
            <w:tcW w:w="2126" w:type="dxa"/>
            <w:tcBorders>
              <w:top w:val="single" w:color="000000" w:themeColor="text1" w:sz="8" w:space="0"/>
              <w:left w:val="nil"/>
              <w:bottom w:val="single" w:color="000000" w:themeColor="text1" w:sz="4" w:space="0"/>
              <w:right w:val="single" w:color="000000" w:themeColor="text1" w:sz="4" w:space="0"/>
            </w:tcBorders>
            <w:shd w:val="clear" w:color="auto" w:fill="DBEEF3" w:themeFill="accent5" w:themeFillTint="32"/>
            <w:vAlign w:val="center"/>
          </w:tcPr>
          <w:p w14:paraId="79AF057C">
            <w:pPr>
              <w:spacing w:before="0" w:after="0" w:line="240" w:lineRule="auto"/>
              <w:jc w:val="center"/>
              <w:rPr>
                <w:rFonts w:ascii="微软雅黑" w:hAnsi="微软雅黑"/>
                <w:b/>
                <w:bCs/>
                <w:color w:val="FFFFFF" w:themeColor="background1"/>
                <w:kern w:val="2"/>
                <w:sz w:val="24"/>
                <w:szCs w:val="24"/>
                <w14:textFill>
                  <w14:solidFill>
                    <w14:schemeClr w14:val="bg1"/>
                  </w14:solidFill>
                </w14:textFill>
              </w:rPr>
            </w:pPr>
            <w:r>
              <w:rPr>
                <w:rFonts w:ascii="微软雅黑" w:hAnsi="微软雅黑"/>
                <w:b/>
                <w:bCs/>
                <w:color w:val="auto"/>
                <w:kern w:val="2"/>
                <w:sz w:val="24"/>
                <w:szCs w:val="24"/>
              </w:rPr>
              <w:t>姓名</w:t>
            </w:r>
          </w:p>
        </w:tc>
        <w:tc>
          <w:tcPr>
            <w:tcW w:w="2126" w:type="dxa"/>
            <w:tcBorders>
              <w:top w:val="single" w:color="000000" w:themeColor="text1" w:sz="8" w:space="0"/>
              <w:left w:val="single" w:color="000000" w:themeColor="text1" w:sz="4" w:space="0"/>
              <w:bottom w:val="single" w:color="000000" w:themeColor="text1" w:sz="4" w:space="0"/>
              <w:right w:val="single" w:color="000000" w:themeColor="text1" w:sz="8" w:space="0"/>
            </w:tcBorders>
            <w:shd w:val="clear" w:color="auto" w:fill="DBEEF3" w:themeFill="accent5" w:themeFillTint="32"/>
            <w:vAlign w:val="center"/>
          </w:tcPr>
          <w:p w14:paraId="0534FBFC">
            <w:pPr>
              <w:spacing w:before="0" w:after="0" w:line="240" w:lineRule="auto"/>
              <w:jc w:val="center"/>
              <w:rPr>
                <w:rFonts w:ascii="微软雅黑" w:hAnsi="微软雅黑" w:cs="微软雅黑"/>
                <w:b w:val="0"/>
                <w:bCs w:val="0"/>
                <w:color w:val="FFFFFF" w:themeColor="background1"/>
                <w:kern w:val="2"/>
                <w:sz w:val="24"/>
                <w:szCs w:val="24"/>
                <w14:textFill>
                  <w14:solidFill>
                    <w14:schemeClr w14:val="bg1"/>
                  </w14:solidFill>
                </w14:textFill>
              </w:rPr>
            </w:pPr>
            <w:r>
              <w:rPr>
                <w:rFonts w:hint="eastAsia" w:ascii="微软雅黑" w:hAnsi="微软雅黑" w:cs="微软雅黑"/>
                <w:b w:val="0"/>
                <w:bCs w:val="0"/>
                <w:color w:val="auto"/>
                <w:kern w:val="2"/>
                <w:sz w:val="24"/>
                <w:szCs w:val="24"/>
              </w:rPr>
              <w:t>{{ patient_name }}</w:t>
            </w:r>
          </w:p>
        </w:tc>
        <w:tc>
          <w:tcPr>
            <w:tcW w:w="2126" w:type="dxa"/>
            <w:tcBorders>
              <w:top w:val="single" w:color="000000" w:themeColor="text1" w:sz="8" w:space="0"/>
              <w:left w:val="single" w:color="000000" w:themeColor="text1" w:sz="8" w:space="0"/>
              <w:bottom w:val="single" w:color="000000" w:themeColor="text1" w:sz="4" w:space="0"/>
              <w:right w:val="single" w:color="000000" w:themeColor="text1" w:sz="4" w:space="0"/>
            </w:tcBorders>
            <w:shd w:val="clear" w:color="auto" w:fill="DBEEF3" w:themeFill="accent5" w:themeFillTint="32"/>
            <w:vAlign w:val="center"/>
          </w:tcPr>
          <w:p w14:paraId="3B04743A">
            <w:pPr>
              <w:spacing w:before="0" w:after="0" w:line="240" w:lineRule="auto"/>
              <w:jc w:val="center"/>
              <w:rPr>
                <w:rFonts w:ascii="微软雅黑" w:hAnsi="微软雅黑"/>
                <w:b/>
                <w:bCs w:val="0"/>
                <w:color w:val="FFFFFF" w:themeColor="background1"/>
                <w:kern w:val="2"/>
                <w:sz w:val="24"/>
                <w:szCs w:val="24"/>
                <w14:textFill>
                  <w14:solidFill>
                    <w14:schemeClr w14:val="bg1"/>
                  </w14:solidFill>
                </w14:textFill>
              </w:rPr>
            </w:pPr>
            <w:r>
              <w:rPr>
                <w:rFonts w:ascii="微软雅黑" w:hAnsi="微软雅黑"/>
                <w:b/>
                <w:bCs/>
                <w:color w:val="auto"/>
                <w:kern w:val="2"/>
                <w:sz w:val="24"/>
                <w:szCs w:val="24"/>
              </w:rPr>
              <w:t>性别</w:t>
            </w:r>
          </w:p>
        </w:tc>
        <w:tc>
          <w:tcPr>
            <w:tcW w:w="2127" w:type="dxa"/>
            <w:tcBorders>
              <w:top w:val="single" w:color="000000" w:themeColor="text1" w:sz="8" w:space="0"/>
              <w:left w:val="single" w:color="000000" w:themeColor="text1" w:sz="4" w:space="0"/>
              <w:bottom w:val="single" w:color="000000" w:themeColor="text1" w:sz="4" w:space="0"/>
              <w:right w:val="nil"/>
            </w:tcBorders>
            <w:shd w:val="clear" w:color="auto" w:fill="DBEEF3" w:themeFill="accent5" w:themeFillTint="32"/>
            <w:vAlign w:val="center"/>
          </w:tcPr>
          <w:p w14:paraId="6483893F">
            <w:pPr>
              <w:spacing w:before="0" w:after="0" w:line="240" w:lineRule="auto"/>
              <w:jc w:val="center"/>
              <w:rPr>
                <w:rFonts w:ascii="微软雅黑" w:hAnsi="微软雅黑" w:cs="微软雅黑"/>
                <w:b/>
                <w:bCs/>
                <w:color w:val="FFFFFF" w:themeColor="background1"/>
                <w:kern w:val="2"/>
                <w:sz w:val="24"/>
                <w:szCs w:val="24"/>
                <w14:textFill>
                  <w14:solidFill>
                    <w14:schemeClr w14:val="bg1"/>
                  </w14:solidFill>
                </w14:textFill>
              </w:rPr>
            </w:pPr>
            <w:r>
              <w:rPr>
                <w:rFonts w:hint="eastAsia" w:ascii="微软雅黑" w:hAnsi="微软雅黑" w:cs="微软雅黑"/>
                <w:b w:val="0"/>
                <w:bCs w:val="0"/>
                <w:color w:val="auto"/>
                <w:kern w:val="2"/>
                <w:sz w:val="24"/>
                <w:szCs w:val="24"/>
              </w:rPr>
              <w:t>女</w:t>
            </w:r>
          </w:p>
        </w:tc>
      </w:tr>
      <w:tr w14:paraId="1889BC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3" w:hRule="atLeast"/>
        </w:trPr>
        <w:tc>
          <w:tcPr>
            <w:tcW w:w="2126" w:type="dxa"/>
            <w:tcBorders>
              <w:top w:val="single" w:color="000000" w:themeColor="text1" w:sz="4" w:space="0"/>
              <w:left w:val="nil"/>
              <w:bottom w:val="single" w:color="000000" w:themeColor="text1" w:sz="4" w:space="0"/>
              <w:right w:val="single" w:color="000000" w:themeColor="text1" w:sz="4" w:space="0"/>
            </w:tcBorders>
            <w:shd w:val="clear" w:color="auto" w:fill="DBEEF3" w:themeFill="accent5" w:themeFillTint="32"/>
            <w:vAlign w:val="center"/>
          </w:tcPr>
          <w:p w14:paraId="17CF03EF">
            <w:pPr>
              <w:spacing w:after="0"/>
              <w:jc w:val="center"/>
              <w:rPr>
                <w:rFonts w:ascii="微软雅黑" w:hAnsi="微软雅黑"/>
                <w:b/>
                <w:bCs/>
                <w:kern w:val="2"/>
                <w:sz w:val="24"/>
                <w:szCs w:val="24"/>
              </w:rPr>
            </w:pPr>
            <w:r>
              <w:rPr>
                <w:rFonts w:hint="eastAsia" w:ascii="微软雅黑" w:hAnsi="微软雅黑"/>
                <w:b/>
                <w:bCs/>
                <w:kern w:val="2"/>
                <w:sz w:val="24"/>
                <w:szCs w:val="24"/>
              </w:rPr>
              <w:t>年龄</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8" w:space="0"/>
            </w:tcBorders>
            <w:shd w:val="clear" w:color="auto" w:fill="DBEEF3" w:themeFill="accent5" w:themeFillTint="32"/>
            <w:vAlign w:val="center"/>
          </w:tcPr>
          <w:p w14:paraId="3ECA2108">
            <w:pPr>
              <w:spacing w:after="0"/>
              <w:jc w:val="center"/>
              <w:rPr>
                <w:rFonts w:ascii="微软雅黑" w:hAnsi="微软雅黑" w:cs="微软雅黑"/>
                <w:kern w:val="2"/>
                <w:sz w:val="24"/>
                <w:szCs w:val="24"/>
              </w:rPr>
            </w:pPr>
            <w:r>
              <w:rPr>
                <w:rFonts w:hint="eastAsia" w:ascii="微软雅黑" w:hAnsi="微软雅黑" w:cs="微软雅黑"/>
                <w:kern w:val="2"/>
                <w:sz w:val="24"/>
                <w:szCs w:val="24"/>
              </w:rPr>
              <w:t>{{ age }}</w:t>
            </w:r>
          </w:p>
        </w:tc>
        <w:tc>
          <w:tcPr>
            <w:tcW w:w="2126" w:type="dxa"/>
            <w:tcBorders>
              <w:top w:val="single" w:color="000000" w:themeColor="text1" w:sz="4" w:space="0"/>
              <w:left w:val="single" w:color="000000" w:themeColor="text1" w:sz="8" w:space="0"/>
              <w:bottom w:val="single" w:color="000000" w:themeColor="text1" w:sz="4" w:space="0"/>
              <w:right w:val="single" w:color="000000" w:themeColor="text1" w:sz="4" w:space="0"/>
            </w:tcBorders>
            <w:shd w:val="clear" w:color="auto" w:fill="DBEEF3" w:themeFill="accent5" w:themeFillTint="32"/>
            <w:vAlign w:val="center"/>
          </w:tcPr>
          <w:p w14:paraId="1151EB12">
            <w:pPr>
              <w:spacing w:after="0"/>
              <w:ind w:left="-112" w:leftChars="-51" w:firstLine="108" w:firstLineChars="45"/>
              <w:jc w:val="center"/>
              <w:rPr>
                <w:rFonts w:ascii="微软雅黑" w:hAnsi="微软雅黑"/>
                <w:b/>
                <w:kern w:val="2"/>
                <w:sz w:val="24"/>
                <w:szCs w:val="24"/>
              </w:rPr>
            </w:pPr>
            <w:r>
              <w:rPr>
                <w:rFonts w:ascii="微软雅黑" w:hAnsi="微软雅黑"/>
                <w:b/>
                <w:kern w:val="2"/>
                <w:sz w:val="24"/>
                <w:szCs w:val="24"/>
              </w:rPr>
              <w:t>样本类型</w:t>
            </w:r>
          </w:p>
        </w:tc>
        <w:tc>
          <w:tcPr>
            <w:tcW w:w="2127" w:type="dxa"/>
            <w:tcBorders>
              <w:top w:val="single" w:color="000000" w:themeColor="text1" w:sz="4" w:space="0"/>
              <w:left w:val="single" w:color="000000" w:themeColor="text1" w:sz="4" w:space="0"/>
              <w:bottom w:val="single" w:color="000000" w:themeColor="text1" w:sz="4" w:space="0"/>
              <w:right w:val="nil"/>
            </w:tcBorders>
            <w:shd w:val="clear" w:color="auto" w:fill="DBEEF3" w:themeFill="accent5" w:themeFillTint="32"/>
            <w:vAlign w:val="center"/>
          </w:tcPr>
          <w:p w14:paraId="184A4C7B">
            <w:pPr>
              <w:spacing w:after="0"/>
              <w:jc w:val="center"/>
              <w:rPr>
                <w:rFonts w:ascii="微软雅黑" w:hAnsi="微软雅黑" w:cs="微软雅黑"/>
                <w:kern w:val="2"/>
                <w:sz w:val="24"/>
                <w:szCs w:val="24"/>
              </w:rPr>
            </w:pPr>
            <w:r>
              <w:rPr>
                <w:rFonts w:hint="eastAsia" w:ascii="微软雅黑" w:hAnsi="微软雅黑" w:cs="微软雅黑"/>
                <w:kern w:val="2"/>
                <w:sz w:val="24"/>
                <w:szCs w:val="24"/>
              </w:rPr>
              <w:t>{{ sample_type }}</w:t>
            </w:r>
          </w:p>
        </w:tc>
      </w:tr>
      <w:tr w14:paraId="6F446A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3" w:hRule="atLeast"/>
        </w:trPr>
        <w:tc>
          <w:tcPr>
            <w:tcW w:w="2126" w:type="dxa"/>
            <w:tcBorders>
              <w:top w:val="single" w:color="000000" w:themeColor="text1" w:sz="4" w:space="0"/>
              <w:left w:val="nil"/>
              <w:bottom w:val="single" w:color="000000" w:themeColor="text1" w:sz="4" w:space="0"/>
              <w:right w:val="single" w:color="000000" w:themeColor="text1" w:sz="4" w:space="0"/>
            </w:tcBorders>
            <w:shd w:val="clear" w:color="auto" w:fill="DBEEF3" w:themeFill="accent5" w:themeFillTint="32"/>
            <w:vAlign w:val="center"/>
          </w:tcPr>
          <w:p w14:paraId="2CA03C97">
            <w:pPr>
              <w:spacing w:after="0"/>
              <w:jc w:val="center"/>
              <w:rPr>
                <w:rFonts w:ascii="微软雅黑" w:hAnsi="微软雅黑"/>
                <w:b/>
                <w:bCs/>
                <w:kern w:val="2"/>
                <w:sz w:val="24"/>
                <w:szCs w:val="24"/>
              </w:rPr>
            </w:pPr>
            <w:r>
              <w:rPr>
                <w:rFonts w:hint="eastAsia" w:ascii="微软雅黑" w:hAnsi="微软雅黑"/>
                <w:b/>
                <w:bCs/>
                <w:kern w:val="2"/>
                <w:sz w:val="24"/>
                <w:szCs w:val="24"/>
              </w:rPr>
              <w:t>临床诊断</w:t>
            </w:r>
          </w:p>
        </w:tc>
        <w:tc>
          <w:tcPr>
            <w:tcW w:w="6379" w:type="dxa"/>
            <w:gridSpan w:val="3"/>
            <w:tcBorders>
              <w:top w:val="single" w:color="000000" w:themeColor="text1" w:sz="4" w:space="0"/>
              <w:left w:val="single" w:color="000000" w:themeColor="text1" w:sz="4" w:space="0"/>
              <w:bottom w:val="single" w:color="000000" w:themeColor="text1" w:sz="4" w:space="0"/>
              <w:right w:val="nil"/>
            </w:tcBorders>
            <w:shd w:val="clear" w:color="auto" w:fill="DBEEF3" w:themeFill="accent5" w:themeFillTint="32"/>
            <w:vAlign w:val="center"/>
          </w:tcPr>
          <w:p w14:paraId="43F305AC">
            <w:pPr>
              <w:spacing w:after="0"/>
              <w:jc w:val="center"/>
              <w:rPr>
                <w:rFonts w:ascii="微软雅黑" w:hAnsi="微软雅黑" w:cs="微软雅黑"/>
                <w:kern w:val="2"/>
                <w:sz w:val="24"/>
                <w:szCs w:val="24"/>
              </w:rPr>
            </w:pPr>
            <w:r>
              <w:rPr>
                <w:rFonts w:hint="eastAsia" w:ascii="微软雅黑" w:hAnsi="微软雅黑" w:cs="微软雅黑"/>
                <w:kern w:val="2"/>
                <w:sz w:val="24"/>
                <w:szCs w:val="24"/>
              </w:rPr>
              <w:t>{{ clinical_diagnosis }}</w:t>
            </w:r>
          </w:p>
        </w:tc>
      </w:tr>
    </w:tbl>
    <w:p w14:paraId="051B5E22">
      <w:pPr>
        <w:pStyle w:val="29"/>
        <w:numPr>
          <w:ilvl w:val="255"/>
          <w:numId w:val="0"/>
        </w:numPr>
        <w:adjustRightInd/>
        <w:snapToGrid/>
        <w:spacing w:after="300" w:line="220" w:lineRule="atLeast"/>
        <w:rPr>
          <w:rFonts w:ascii="微软雅黑" w:hAnsi="微软雅黑"/>
          <w:b/>
          <w:color w:val="00C4D8"/>
          <w:sz w:val="32"/>
          <w:szCs w:val="32"/>
        </w:rPr>
      </w:pPr>
    </w:p>
    <w:p w14:paraId="48D3BE0C">
      <w:pPr>
        <w:tabs>
          <w:tab w:val="left" w:pos="5555"/>
        </w:tabs>
        <w:adjustRightInd/>
        <w:snapToGrid/>
        <w:spacing w:after="300" w:line="220" w:lineRule="atLeast"/>
        <w:outlineLvl w:val="1"/>
        <w:rPr>
          <w:rFonts w:ascii="微软雅黑" w:hAnsi="微软雅黑"/>
          <w:b/>
          <w:color w:val="00C4D8"/>
          <w:sz w:val="32"/>
          <w:szCs w:val="32"/>
        </w:rPr>
      </w:pPr>
      <w:bookmarkStart w:id="4" w:name="_Toc163825584"/>
      <w:bookmarkStart w:id="5" w:name="_Toc20997"/>
      <w:r>
        <w:rPr>
          <w:rFonts w:hint="eastAsia" w:ascii="微软雅黑" w:hAnsi="微软雅黑"/>
          <w:b/>
          <w:color w:val="00C4D8"/>
          <w:sz w:val="32"/>
          <w:szCs w:val="32"/>
        </w:rPr>
        <w:t>2. 检测内容</w:t>
      </w:r>
      <w:bookmarkEnd w:id="4"/>
      <w:bookmarkEnd w:id="5"/>
      <w:r>
        <w:rPr>
          <w:rFonts w:hint="eastAsia" w:ascii="微软雅黑" w:hAnsi="微软雅黑"/>
          <w:b/>
          <w:color w:val="00C4D8"/>
          <w:sz w:val="32"/>
          <w:szCs w:val="32"/>
        </w:rPr>
        <w:tab/>
      </w:r>
    </w:p>
    <w:p w14:paraId="7BE1A26D">
      <w:pPr>
        <w:tabs>
          <w:tab w:val="left" w:pos="5555"/>
        </w:tabs>
        <w:adjustRightInd/>
        <w:snapToGrid/>
        <w:spacing w:after="300" w:line="220" w:lineRule="atLeast"/>
        <w:ind w:firstLine="480" w:firstLineChars="200"/>
        <w:rPr>
          <w:rFonts w:ascii="微软雅黑" w:hAnsi="微软雅黑" w:cs="LPJNJT+Arial Unicode MS"/>
          <w:color w:val="000000"/>
          <w:sz w:val="24"/>
          <w:szCs w:val="24"/>
        </w:rPr>
      </w:pPr>
      <w:r>
        <w:rPr>
          <w:rFonts w:ascii="微软雅黑" w:hAnsi="微软雅黑" w:cs="LPJNJT+Arial Unicode MS"/>
          <w:color w:val="000000"/>
          <w:sz w:val="24"/>
          <w:szCs w:val="24"/>
        </w:rPr>
        <w:t>对委托人</w:t>
      </w:r>
      <w:r>
        <w:rPr>
          <w:rFonts w:hint="eastAsia" w:ascii="微软雅黑" w:hAnsi="微软雅黑" w:cs="LPJNJT+Arial Unicode MS"/>
          <w:color w:val="000000"/>
          <w:sz w:val="24"/>
          <w:szCs w:val="24"/>
          <w:u w:val="single"/>
        </w:rPr>
        <w:t xml:space="preserve">    组织和血液    </w:t>
      </w:r>
      <w:r>
        <w:rPr>
          <w:rFonts w:ascii="微软雅黑" w:hAnsi="微软雅黑" w:cs="LPJNJT+Arial Unicode MS"/>
          <w:color w:val="000000"/>
          <w:sz w:val="24"/>
          <w:szCs w:val="24"/>
        </w:rPr>
        <w:t>的DNA样本</w:t>
      </w:r>
      <w:r>
        <w:rPr>
          <w:rFonts w:hint="eastAsia" w:ascii="微软雅黑" w:hAnsi="微软雅黑" w:cs="LPJNJT+Arial Unicode MS"/>
          <w:color w:val="000000"/>
          <w:sz w:val="24"/>
          <w:szCs w:val="24"/>
        </w:rPr>
        <w:t>的微卫星不稳定性（MSI）及</w:t>
      </w:r>
      <w:r>
        <w:rPr>
          <w:rFonts w:ascii="微软雅黑" w:hAnsi="微软雅黑" w:cs="LPJNJT+Arial Unicode MS"/>
          <w:color w:val="000000"/>
          <w:sz w:val="24"/>
          <w:szCs w:val="24"/>
        </w:rPr>
        <w:t>与</w:t>
      </w:r>
      <w:r>
        <w:rPr>
          <w:rFonts w:hint="eastAsia" w:ascii="微软雅黑" w:hAnsi="微软雅黑" w:cs="LPJNJT+Arial Unicode MS"/>
          <w:color w:val="000000"/>
          <w:sz w:val="24"/>
          <w:szCs w:val="24"/>
        </w:rPr>
        <w:t>子宫内膜癌</w:t>
      </w:r>
      <w:r>
        <w:rPr>
          <w:rFonts w:ascii="微软雅黑" w:hAnsi="微软雅黑" w:cs="LPJNJT+Arial Unicode MS"/>
          <w:color w:val="000000"/>
          <w:sz w:val="24"/>
          <w:szCs w:val="24"/>
        </w:rPr>
        <w:t>密切相关的</w:t>
      </w:r>
      <w:r>
        <w:rPr>
          <w:rFonts w:hint="eastAsia" w:ascii="微软雅黑" w:hAnsi="微软雅黑" w:cs="LPJNJT+Arial Unicode MS"/>
          <w:color w:val="000000"/>
          <w:sz w:val="24"/>
          <w:szCs w:val="24"/>
        </w:rPr>
        <w:t>2</w:t>
      </w:r>
      <w:r>
        <w:rPr>
          <w:rFonts w:hint="eastAsia" w:ascii="微软雅黑" w:hAnsi="微软雅黑" w:cs="LPJNJT+Arial Unicode MS"/>
          <w:color w:val="000000"/>
          <w:sz w:val="24"/>
          <w:szCs w:val="24"/>
          <w:lang w:val="en-US" w:eastAsia="zh-CN"/>
        </w:rPr>
        <w:t>9</w:t>
      </w:r>
      <w:r>
        <w:rPr>
          <w:rFonts w:ascii="微软雅黑" w:hAnsi="微软雅黑" w:cs="LPJNJT+Arial Unicode MS"/>
          <w:color w:val="000000"/>
          <w:sz w:val="24"/>
          <w:szCs w:val="24"/>
        </w:rPr>
        <w:t>个基因进行</w:t>
      </w:r>
      <w:r>
        <w:rPr>
          <w:rFonts w:hint="eastAsia" w:ascii="微软雅黑" w:hAnsi="微软雅黑" w:cs="LPJNJT+Arial Unicode MS"/>
          <w:color w:val="000000"/>
          <w:sz w:val="24"/>
          <w:szCs w:val="24"/>
        </w:rPr>
        <w:t>二代</w:t>
      </w:r>
      <w:r>
        <w:rPr>
          <w:rFonts w:ascii="微软雅黑" w:hAnsi="微软雅黑" w:cs="LPJNJT+Arial Unicode MS"/>
          <w:color w:val="000000"/>
          <w:sz w:val="24"/>
          <w:szCs w:val="24"/>
        </w:rPr>
        <w:t>测序</w:t>
      </w:r>
      <w:r>
        <w:rPr>
          <w:rFonts w:hint="eastAsia" w:ascii="微软雅黑" w:hAnsi="微软雅黑" w:cs="LPJNJT+Arial Unicode MS"/>
          <w:color w:val="000000"/>
          <w:sz w:val="24"/>
          <w:szCs w:val="24"/>
        </w:rPr>
        <w:t>：</w:t>
      </w:r>
    </w:p>
    <w:p w14:paraId="6E94DF6A">
      <w:pPr>
        <w:numPr>
          <w:ilvl w:val="0"/>
          <w:numId w:val="1"/>
        </w:num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分析样本微卫星不稳定性，给予用药提示。</w:t>
      </w:r>
    </w:p>
    <w:p w14:paraId="477DC26B">
      <w:pPr>
        <w:numPr>
          <w:ilvl w:val="0"/>
          <w:numId w:val="1"/>
        </w:num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分析样本存在的基因变异情况，寻找与靶向/免疫药物相关的变异，给予用药提示与理论支持。</w:t>
      </w:r>
    </w:p>
    <w:p w14:paraId="32954602">
      <w:pPr>
        <w:numPr>
          <w:ilvl w:val="0"/>
          <w:numId w:val="1"/>
        </w:numPr>
        <w:spacing w:after="0" w:line="312" w:lineRule="auto"/>
        <w:jc w:val="both"/>
        <w:rPr>
          <w:rFonts w:ascii="微软雅黑" w:hAnsi="微软雅黑" w:cs="LPJNJT+Arial Unicode MS"/>
          <w:color w:val="000000"/>
          <w:sz w:val="24"/>
          <w:szCs w:val="24"/>
        </w:rPr>
      </w:pPr>
      <w:r>
        <w:rPr>
          <w:rFonts w:hint="eastAsia" w:ascii="微软雅黑" w:hAnsi="微软雅黑" w:cs="LPJNJT+Arial Unicode MS"/>
          <w:sz w:val="24"/>
          <w:szCs w:val="24"/>
        </w:rPr>
        <w:t>根据样本存在的基因变异情况，进行分子分型判断，给予</w:t>
      </w:r>
      <w:r>
        <w:rPr>
          <w:rFonts w:hint="eastAsia" w:ascii="微软雅黑" w:hAnsi="微软雅黑" w:cs="LPJNJT+Arial Unicode MS"/>
          <w:color w:val="000000"/>
          <w:sz w:val="24"/>
          <w:szCs w:val="24"/>
        </w:rPr>
        <w:t>预后</w:t>
      </w:r>
      <w:r>
        <w:rPr>
          <w:rFonts w:ascii="微软雅黑" w:hAnsi="微软雅黑" w:cs="LPJNJT+Arial Unicode MS"/>
          <w:color w:val="000000"/>
          <w:sz w:val="24"/>
          <w:szCs w:val="24"/>
        </w:rPr>
        <w:t>提示。</w:t>
      </w:r>
    </w:p>
    <w:p w14:paraId="349931BB">
      <w:pPr>
        <w:numPr>
          <w:ilvl w:val="0"/>
          <w:numId w:val="1"/>
        </w:num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分析遗传性肿瘤相关的基因变异，给予遗传性肿瘤患病风险评估。</w:t>
      </w:r>
    </w:p>
    <w:p w14:paraId="20E9EC4A">
      <w:pPr>
        <w:spacing w:after="0" w:line="312" w:lineRule="auto"/>
        <w:jc w:val="both"/>
        <w:rPr>
          <w:rFonts w:ascii="微软雅黑" w:hAnsi="微软雅黑" w:cs="LPJNJT+Arial Unicode MS"/>
          <w:sz w:val="24"/>
          <w:szCs w:val="24"/>
        </w:rPr>
      </w:pPr>
    </w:p>
    <w:p w14:paraId="70947004">
      <w:pPr>
        <w:pStyle w:val="28"/>
        <w:widowControl w:val="0"/>
        <w:autoSpaceDE w:val="0"/>
        <w:autoSpaceDN w:val="0"/>
        <w:adjustRightInd w:val="0"/>
        <w:spacing w:before="0" w:after="0" w:line="312" w:lineRule="auto"/>
        <w:ind w:left="5" w:leftChars="-15" w:hanging="38" w:hangingChars="16"/>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14:paraId="28C68F80">
      <w:pPr>
        <w:pStyle w:val="28"/>
        <w:widowControl w:val="0"/>
        <w:autoSpaceDE w:val="0"/>
        <w:autoSpaceDN w:val="0"/>
        <w:adjustRightInd w:val="0"/>
        <w:spacing w:before="0" w:after="0" w:line="312" w:lineRule="auto"/>
        <w:ind w:left="5" w:leftChars="-15" w:hanging="38" w:hangingChars="16"/>
        <w:jc w:val="left"/>
        <w:rPr>
          <w:rFonts w:ascii="微软雅黑" w:hAnsi="微软雅黑" w:eastAsia="微软雅黑" w:cs="OSTASS+åæä¸­å®"/>
          <w:color w:val="000000"/>
          <w:sz w:val="24"/>
          <w:szCs w:val="24"/>
          <w:lang w:eastAsia="zh-CN"/>
        </w:rPr>
      </w:pPr>
    </w:p>
    <w:p w14:paraId="014973F0">
      <w:pPr>
        <w:pStyle w:val="29"/>
        <w:numPr>
          <w:ilvl w:val="255"/>
          <w:numId w:val="0"/>
        </w:numPr>
        <w:adjustRightInd/>
        <w:snapToGrid/>
        <w:spacing w:after="0" w:line="220" w:lineRule="atLeast"/>
        <w:rPr>
          <w:rFonts w:ascii="微软雅黑" w:hAnsi="微软雅黑"/>
          <w:b/>
          <w:color w:val="00C4D8"/>
          <w:sz w:val="32"/>
          <w:szCs w:val="32"/>
        </w:rPr>
      </w:pPr>
      <w:r>
        <w:rPr>
          <w:rFonts w:ascii="微软雅黑" w:hAnsi="微软雅黑"/>
          <w:b/>
          <w:color w:val="00C4D8"/>
          <w:sz w:val="32"/>
          <w:szCs w:val="32"/>
        </w:rPr>
        <w:br w:type="page"/>
      </w:r>
    </w:p>
    <w:p w14:paraId="0854848B">
      <w:pPr>
        <w:pStyle w:val="29"/>
        <w:adjustRightInd/>
        <w:snapToGrid/>
        <w:spacing w:after="300" w:line="220" w:lineRule="atLeast"/>
        <w:ind w:firstLine="0" w:firstLineChars="0"/>
        <w:outlineLvl w:val="1"/>
        <w:rPr>
          <w:rFonts w:ascii="微软雅黑" w:hAnsi="微软雅黑"/>
          <w:b/>
          <w:color w:val="00C4D8"/>
          <w:sz w:val="32"/>
          <w:szCs w:val="32"/>
        </w:rPr>
      </w:pPr>
      <w:bookmarkStart w:id="6" w:name="_Toc163825585"/>
      <w:bookmarkStart w:id="7" w:name="_Toc3301"/>
      <w:r>
        <w:rPr>
          <w:rFonts w:hint="eastAsia" w:ascii="微软雅黑" w:hAnsi="微软雅黑"/>
          <w:b/>
          <w:color w:val="00C4D8"/>
          <w:sz w:val="32"/>
          <w:szCs w:val="32"/>
        </w:rPr>
        <w:t>3. 质控信息</w:t>
      </w:r>
      <w:bookmarkEnd w:id="6"/>
    </w:p>
    <w:tbl>
      <w:tblPr>
        <w:tblStyle w:val="14"/>
        <w:tblW w:w="4998" w:type="pct"/>
        <w:tblInd w:w="0" w:type="dxa"/>
        <w:tblBorders>
          <w:top w:val="single" w:color="8DB3E2" w:themeColor="text2" w:themeTint="66" w:sz="4" w:space="0"/>
          <w:left w:val="none" w:color="auto" w:sz="0" w:space="0"/>
          <w:bottom w:val="single" w:color="8DB3E2" w:themeColor="text2" w:themeTint="66" w:sz="4" w:space="0"/>
          <w:right w:val="none" w:color="auto" w:sz="0" w:space="0"/>
          <w:insideH w:val="dotted" w:color="8DB3E2" w:themeColor="text2" w:themeTint="66" w:sz="4" w:space="0"/>
          <w:insideV w:val="none" w:color="auto" w:sz="0" w:space="0"/>
        </w:tblBorders>
        <w:tblLayout w:type="fixed"/>
        <w:tblCellMar>
          <w:top w:w="0" w:type="dxa"/>
          <w:left w:w="108" w:type="dxa"/>
          <w:bottom w:w="0" w:type="dxa"/>
          <w:right w:w="108" w:type="dxa"/>
        </w:tblCellMar>
      </w:tblPr>
      <w:tblGrid>
        <w:gridCol w:w="1667"/>
        <w:gridCol w:w="3021"/>
        <w:gridCol w:w="1966"/>
        <w:gridCol w:w="1865"/>
      </w:tblGrid>
      <w:tr w14:paraId="02A27AA5">
        <w:tblPrEx>
          <w:tblBorders>
            <w:top w:val="single" w:color="8DB3E2" w:themeColor="text2" w:themeTint="66" w:sz="4" w:space="0"/>
            <w:left w:val="none" w:color="auto" w:sz="0" w:space="0"/>
            <w:bottom w:val="single" w:color="8DB3E2" w:themeColor="text2" w:themeTint="66" w:sz="4" w:space="0"/>
            <w:right w:val="none" w:color="auto" w:sz="0" w:space="0"/>
            <w:insideH w:val="dotted" w:color="8DB3E2" w:themeColor="text2" w:themeTint="66" w:sz="4" w:space="0"/>
            <w:insideV w:val="none" w:color="auto" w:sz="0" w:space="0"/>
          </w:tblBorders>
          <w:tblCellMar>
            <w:top w:w="0" w:type="dxa"/>
            <w:left w:w="108" w:type="dxa"/>
            <w:bottom w:w="0" w:type="dxa"/>
            <w:right w:w="108" w:type="dxa"/>
          </w:tblCellMar>
        </w:tblPrEx>
        <w:trPr>
          <w:trHeight w:val="560" w:hRule="atLeast"/>
          <w:tblHeader/>
        </w:trPr>
        <w:tc>
          <w:tcPr>
            <w:tcW w:w="2750" w:type="pct"/>
            <w:gridSpan w:val="2"/>
            <w:tcBorders>
              <w:top w:val="dashSmallGap" w:color="000000" w:themeColor="text1" w:sz="4" w:space="0"/>
              <w:bottom w:val="dashSmallGap" w:color="000000" w:themeColor="text1" w:sz="4" w:space="0"/>
              <w:right w:val="dashSmallGap" w:color="000000" w:themeColor="text1" w:sz="4" w:space="0"/>
            </w:tcBorders>
            <w:shd w:val="clear" w:color="auto" w:fill="00C4D8"/>
            <w:tcMar>
              <w:top w:w="30" w:type="dxa"/>
              <w:bottom w:w="30" w:type="dxa"/>
            </w:tcMar>
            <w:vAlign w:val="center"/>
          </w:tcPr>
          <w:p w14:paraId="3F78659B">
            <w:pPr>
              <w:spacing w:after="0" w:line="320" w:lineRule="exact"/>
              <w:jc w:val="center"/>
              <w:rPr>
                <w:rFonts w:ascii="微软雅黑" w:hAnsi="微软雅黑" w:cs="微软雅黑"/>
                <w:b/>
                <w:bCs/>
                <w:color w:val="FFFFFF" w:themeColor="background1"/>
                <w:kern w:val="2"/>
                <w14:textFill>
                  <w14:solidFill>
                    <w14:schemeClr w14:val="bg1"/>
                  </w14:solidFill>
                </w14:textFill>
              </w:rPr>
            </w:pPr>
            <w:r>
              <w:rPr>
                <w:rFonts w:hint="eastAsia" w:ascii="微软雅黑" w:hAnsi="微软雅黑" w:cs="微软雅黑"/>
                <w:b/>
                <w:bCs/>
                <w:color w:val="FFFFFF" w:themeColor="background1"/>
                <w:kern w:val="2"/>
                <w14:textFill>
                  <w14:solidFill>
                    <w14:schemeClr w14:val="bg1"/>
                  </w14:solidFill>
                </w14:textFill>
              </w:rPr>
              <w:t>质控项目</w:t>
            </w:r>
          </w:p>
        </w:tc>
        <w:tc>
          <w:tcPr>
            <w:tcW w:w="1154" w:type="pct"/>
            <w:tcBorders>
              <w:top w:val="dashSmallGap" w:color="000000" w:themeColor="text1" w:sz="4" w:space="0"/>
              <w:left w:val="dashSmallGap" w:color="000000" w:themeColor="text1" w:sz="4" w:space="0"/>
              <w:bottom w:val="dashSmallGap" w:color="000000" w:themeColor="text1" w:sz="4" w:space="0"/>
            </w:tcBorders>
            <w:shd w:val="clear" w:color="auto" w:fill="00C4D8"/>
            <w:tcMar>
              <w:top w:w="30" w:type="dxa"/>
              <w:bottom w:w="30" w:type="dxa"/>
            </w:tcMar>
            <w:vAlign w:val="center"/>
          </w:tcPr>
          <w:p w14:paraId="00F69073">
            <w:pPr>
              <w:spacing w:after="0" w:line="320" w:lineRule="exact"/>
              <w:jc w:val="center"/>
              <w:rPr>
                <w:rFonts w:ascii="微软雅黑" w:hAnsi="微软雅黑" w:cs="微软雅黑"/>
                <w:b/>
                <w:bCs/>
                <w:color w:val="FFFFFF" w:themeColor="background1"/>
                <w:kern w:val="2"/>
                <w14:textFill>
                  <w14:solidFill>
                    <w14:schemeClr w14:val="bg1"/>
                  </w14:solidFill>
                </w14:textFill>
              </w:rPr>
            </w:pPr>
            <w:r>
              <w:rPr>
                <w:rFonts w:hint="eastAsia" w:ascii="微软雅黑" w:hAnsi="微软雅黑" w:cs="微软雅黑"/>
                <w:b/>
                <w:bCs/>
                <w:color w:val="FFFFFF" w:themeColor="background1"/>
                <w:kern w:val="2"/>
                <w14:textFill>
                  <w14:solidFill>
                    <w14:schemeClr w14:val="bg1"/>
                  </w14:solidFill>
                </w14:textFill>
              </w:rPr>
              <w:t>数值</w:t>
            </w:r>
          </w:p>
        </w:tc>
        <w:tc>
          <w:tcPr>
            <w:tcW w:w="1095" w:type="pct"/>
            <w:tcBorders>
              <w:top w:val="dashSmallGap" w:color="000000" w:themeColor="text1" w:sz="4" w:space="0"/>
              <w:left w:val="dashSmallGap" w:color="000000" w:themeColor="text1" w:sz="4" w:space="0"/>
              <w:bottom w:val="dashSmallGap" w:color="000000" w:themeColor="text1" w:sz="4" w:space="0"/>
            </w:tcBorders>
            <w:shd w:val="clear" w:color="auto" w:fill="00C4D8"/>
            <w:tcMar>
              <w:top w:w="30" w:type="dxa"/>
              <w:bottom w:w="30" w:type="dxa"/>
            </w:tcMar>
            <w:vAlign w:val="center"/>
          </w:tcPr>
          <w:p w14:paraId="2F943BE5">
            <w:pPr>
              <w:spacing w:after="0" w:line="320" w:lineRule="exact"/>
              <w:jc w:val="center"/>
              <w:rPr>
                <w:rFonts w:ascii="微软雅黑" w:hAnsi="微软雅黑" w:cs="微软雅黑"/>
                <w:b/>
                <w:bCs/>
                <w:color w:val="FFFFFF" w:themeColor="background1"/>
                <w:kern w:val="2"/>
                <w14:textFill>
                  <w14:solidFill>
                    <w14:schemeClr w14:val="bg1"/>
                  </w14:solidFill>
                </w14:textFill>
              </w:rPr>
            </w:pPr>
            <w:r>
              <w:rPr>
                <w:rFonts w:hint="eastAsia" w:ascii="微软雅黑" w:hAnsi="微软雅黑" w:cs="微软雅黑"/>
                <w:b/>
                <w:bCs/>
                <w:color w:val="FFFFFF" w:themeColor="background1"/>
                <w:kern w:val="2"/>
                <w14:textFill>
                  <w14:solidFill>
                    <w14:schemeClr w14:val="bg1"/>
                  </w14:solidFill>
                </w14:textFill>
              </w:rPr>
              <w:t>质控标准</w:t>
            </w:r>
          </w:p>
        </w:tc>
      </w:tr>
      <w:tr w14:paraId="2BBF1818">
        <w:tblPrEx>
          <w:tblBorders>
            <w:top w:val="single" w:color="8DB3E2" w:themeColor="text2" w:themeTint="66" w:sz="4" w:space="0"/>
            <w:left w:val="none" w:color="auto" w:sz="0" w:space="0"/>
            <w:bottom w:val="single" w:color="8DB3E2" w:themeColor="text2" w:themeTint="66" w:sz="4" w:space="0"/>
            <w:right w:val="none" w:color="auto" w:sz="0" w:space="0"/>
            <w:insideH w:val="dotted" w:color="8DB3E2" w:themeColor="text2" w:themeTint="66" w:sz="4" w:space="0"/>
            <w:insideV w:val="none" w:color="auto" w:sz="0" w:space="0"/>
          </w:tblBorders>
          <w:tblCellMar>
            <w:top w:w="0" w:type="dxa"/>
            <w:left w:w="108" w:type="dxa"/>
            <w:bottom w:w="0" w:type="dxa"/>
            <w:right w:w="108" w:type="dxa"/>
          </w:tblCellMar>
        </w:tblPrEx>
        <w:trPr>
          <w:trHeight w:val="284" w:hRule="atLeast"/>
        </w:trPr>
        <w:tc>
          <w:tcPr>
            <w:tcW w:w="978" w:type="pct"/>
            <w:tcBorders>
              <w:top w:val="single" w:color="auto" w:sz="4" w:space="0"/>
              <w:left w:val="nil"/>
              <w:right w:val="single" w:color="auto" w:sz="4" w:space="0"/>
            </w:tcBorders>
            <w:shd w:val="clear" w:color="auto" w:fill="auto"/>
            <w:tcMar>
              <w:top w:w="85" w:type="dxa"/>
              <w:bottom w:w="28" w:type="dxa"/>
            </w:tcMar>
            <w:vAlign w:val="center"/>
          </w:tcPr>
          <w:p w14:paraId="03BA4D32">
            <w:pPr>
              <w:spacing w:after="0"/>
              <w:jc w:val="center"/>
              <w:rPr>
                <w:rFonts w:ascii="微软雅黑" w:hAnsi="微软雅黑" w:cs="Arial"/>
                <w:b/>
                <w:bCs/>
                <w:sz w:val="18"/>
                <w:szCs w:val="18"/>
              </w:rPr>
            </w:pPr>
            <w:r>
              <w:rPr>
                <w:rFonts w:hint="eastAsia" w:ascii="微软雅黑" w:hAnsi="微软雅黑" w:cs="Arial"/>
                <w:b/>
                <w:bCs/>
                <w:sz w:val="18"/>
                <w:szCs w:val="18"/>
              </w:rPr>
              <w:t>DNA质量评估</w:t>
            </w:r>
          </w:p>
        </w:tc>
        <w:tc>
          <w:tcPr>
            <w:tcW w:w="1771" w:type="pct"/>
            <w:tcBorders>
              <w:top w:val="dashSmallGap" w:color="000000" w:themeColor="text1" w:sz="4" w:space="0"/>
              <w:left w:val="single" w:color="auto" w:sz="4" w:space="0"/>
              <w:bottom w:val="dashSmallGap" w:color="000000" w:themeColor="text1" w:sz="4" w:space="0"/>
              <w:right w:val="dashSmallGap" w:color="000000" w:themeColor="text1" w:sz="4" w:space="0"/>
            </w:tcBorders>
            <w:shd w:val="clear" w:color="auto" w:fill="auto"/>
            <w:tcMar>
              <w:top w:w="85" w:type="dxa"/>
              <w:bottom w:w="28" w:type="dxa"/>
            </w:tcMar>
            <w:vAlign w:val="center"/>
          </w:tcPr>
          <w:p w14:paraId="189ADBDD">
            <w:pPr>
              <w:spacing w:after="0"/>
              <w:jc w:val="center"/>
              <w:rPr>
                <w:rFonts w:ascii="微软雅黑" w:hAnsi="微软雅黑" w:cs="Arial"/>
                <w:sz w:val="18"/>
                <w:szCs w:val="18"/>
              </w:rPr>
            </w:pPr>
            <w:r>
              <w:rPr>
                <w:rFonts w:hint="eastAsia" w:ascii="微软雅黑" w:hAnsi="微软雅黑" w:cs="Arial"/>
                <w:sz w:val="18"/>
                <w:szCs w:val="18"/>
              </w:rPr>
              <w:t>DNA总量(ng)</w:t>
            </w:r>
          </w:p>
        </w:tc>
        <w:tc>
          <w:tcPr>
            <w:tcW w:w="1154" w:type="pct"/>
            <w:tcBorders>
              <w:top w:val="dashSmallGap" w:color="000000" w:themeColor="text1" w:sz="4" w:space="0"/>
              <w:left w:val="dashSmallGap" w:color="000000" w:themeColor="text1" w:sz="4" w:space="0"/>
              <w:bottom w:val="dashSmallGap" w:color="000000" w:themeColor="text1" w:sz="4" w:space="0"/>
            </w:tcBorders>
            <w:shd w:val="clear" w:color="auto" w:fill="auto"/>
            <w:tcMar>
              <w:top w:w="85" w:type="dxa"/>
              <w:bottom w:w="28" w:type="dxa"/>
            </w:tcMar>
            <w:vAlign w:val="center"/>
          </w:tcPr>
          <w:p w14:paraId="26631E49">
            <w:pPr>
              <w:spacing w:after="0"/>
              <w:jc w:val="center"/>
              <w:rPr>
                <w:rFonts w:hint="default" w:ascii="微软雅黑" w:hAnsi="微软雅黑" w:eastAsia="微软雅黑" w:cs="Arial"/>
                <w:sz w:val="18"/>
                <w:szCs w:val="18"/>
                <w:lang w:val="en-US" w:eastAsia="zh-CN"/>
              </w:rPr>
            </w:pPr>
            <w:r>
              <w:rPr>
                <w:rFonts w:hint="eastAsia" w:ascii="微软雅黑" w:hAnsi="微软雅黑" w:cs="Arial"/>
                <w:sz w:val="18"/>
                <w:szCs w:val="18"/>
                <w:lang w:val="en-US" w:eastAsia="zh-CN"/>
              </w:rPr>
              <w:t>【待填写】</w:t>
            </w:r>
          </w:p>
        </w:tc>
        <w:tc>
          <w:tcPr>
            <w:tcW w:w="1095" w:type="pct"/>
            <w:tcBorders>
              <w:top w:val="dashSmallGap" w:color="000000" w:themeColor="text1" w:sz="4" w:space="0"/>
              <w:left w:val="dashSmallGap" w:color="000000" w:themeColor="text1" w:sz="4" w:space="0"/>
              <w:bottom w:val="dashSmallGap" w:color="000000" w:themeColor="text1" w:sz="4" w:space="0"/>
            </w:tcBorders>
            <w:shd w:val="clear" w:color="auto" w:fill="auto"/>
            <w:tcMar>
              <w:top w:w="85" w:type="dxa"/>
              <w:bottom w:w="28" w:type="dxa"/>
            </w:tcMar>
            <w:vAlign w:val="center"/>
          </w:tcPr>
          <w:p w14:paraId="0854DAD7">
            <w:pPr>
              <w:spacing w:after="0"/>
              <w:jc w:val="center"/>
              <w:rPr>
                <w:rFonts w:ascii="微软雅黑" w:hAnsi="微软雅黑" w:cs="Arial"/>
                <w:sz w:val="18"/>
                <w:szCs w:val="18"/>
              </w:rPr>
            </w:pPr>
            <w:r>
              <w:rPr>
                <w:rFonts w:hint="eastAsia" w:ascii="微软雅黑" w:hAnsi="微软雅黑" w:cs="Arial"/>
                <w:sz w:val="18"/>
                <w:szCs w:val="18"/>
              </w:rPr>
              <w:t>≥500</w:t>
            </w:r>
          </w:p>
        </w:tc>
      </w:tr>
      <w:tr w14:paraId="7862649A">
        <w:tblPrEx>
          <w:tblBorders>
            <w:top w:val="single" w:color="8DB3E2" w:themeColor="text2" w:themeTint="66" w:sz="4" w:space="0"/>
            <w:left w:val="none" w:color="auto" w:sz="0" w:space="0"/>
            <w:bottom w:val="single" w:color="8DB3E2" w:themeColor="text2" w:themeTint="66" w:sz="4" w:space="0"/>
            <w:right w:val="none" w:color="auto" w:sz="0" w:space="0"/>
            <w:insideH w:val="dotted" w:color="8DB3E2" w:themeColor="text2" w:themeTint="66" w:sz="4" w:space="0"/>
            <w:insideV w:val="none" w:color="auto" w:sz="0" w:space="0"/>
          </w:tblBorders>
          <w:tblCellMar>
            <w:top w:w="0" w:type="dxa"/>
            <w:left w:w="108" w:type="dxa"/>
            <w:bottom w:w="0" w:type="dxa"/>
            <w:right w:w="108" w:type="dxa"/>
          </w:tblCellMar>
        </w:tblPrEx>
        <w:trPr>
          <w:trHeight w:val="283" w:hRule="atLeast"/>
        </w:trPr>
        <w:tc>
          <w:tcPr>
            <w:tcW w:w="978" w:type="pct"/>
            <w:vMerge w:val="restart"/>
            <w:tcBorders>
              <w:top w:val="single" w:color="auto" w:sz="4" w:space="0"/>
              <w:bottom w:val="single" w:color="auto" w:sz="4" w:space="0"/>
              <w:right w:val="dashSmallGap" w:color="000000" w:themeColor="text1" w:sz="4" w:space="0"/>
            </w:tcBorders>
            <w:shd w:val="clear" w:color="auto" w:fill="auto"/>
            <w:tcMar>
              <w:top w:w="85" w:type="dxa"/>
              <w:bottom w:w="28" w:type="dxa"/>
            </w:tcMar>
            <w:vAlign w:val="center"/>
          </w:tcPr>
          <w:p w14:paraId="21849889">
            <w:pPr>
              <w:spacing w:after="0"/>
              <w:jc w:val="center"/>
              <w:rPr>
                <w:rFonts w:ascii="微软雅黑" w:hAnsi="微软雅黑" w:cs="Arial"/>
                <w:b/>
                <w:bCs/>
                <w:sz w:val="18"/>
                <w:szCs w:val="18"/>
              </w:rPr>
            </w:pPr>
            <w:r>
              <w:rPr>
                <w:rFonts w:hint="eastAsia" w:ascii="微软雅黑" w:hAnsi="微软雅黑" w:cs="Arial"/>
                <w:b/>
                <w:bCs/>
                <w:sz w:val="18"/>
                <w:szCs w:val="18"/>
              </w:rPr>
              <w:t>测序质量评估</w:t>
            </w:r>
          </w:p>
        </w:tc>
        <w:tc>
          <w:tcPr>
            <w:tcW w:w="1771" w:type="pct"/>
            <w:tcBorders>
              <w:top w:val="dashSmallGap" w:color="000000" w:themeColor="text1" w:sz="4" w:space="0"/>
              <w:left w:val="dashSmallGap" w:color="000000" w:themeColor="text1" w:sz="4" w:space="0"/>
              <w:bottom w:val="dashSmallGap" w:color="000000" w:themeColor="text1" w:sz="4" w:space="0"/>
              <w:right w:val="dashSmallGap" w:color="000000" w:themeColor="text1" w:sz="4" w:space="0"/>
            </w:tcBorders>
            <w:shd w:val="clear" w:color="auto" w:fill="auto"/>
            <w:tcMar>
              <w:top w:w="85" w:type="dxa"/>
              <w:bottom w:w="28" w:type="dxa"/>
            </w:tcMar>
            <w:vAlign w:val="center"/>
          </w:tcPr>
          <w:p w14:paraId="50E410BE">
            <w:pPr>
              <w:spacing w:after="0"/>
              <w:jc w:val="center"/>
              <w:rPr>
                <w:rFonts w:ascii="微软雅黑" w:hAnsi="微软雅黑" w:cs="Arial"/>
                <w:sz w:val="18"/>
                <w:szCs w:val="18"/>
              </w:rPr>
            </w:pPr>
            <w:r>
              <w:rPr>
                <w:rFonts w:hint="eastAsia" w:ascii="微软雅黑" w:hAnsi="微软雅黑" w:cs="Arial"/>
                <w:sz w:val="18"/>
                <w:szCs w:val="18"/>
              </w:rPr>
              <w:t>平均测序深度</w:t>
            </w:r>
          </w:p>
        </w:tc>
        <w:tc>
          <w:tcPr>
            <w:tcW w:w="1154" w:type="pct"/>
            <w:tcBorders>
              <w:top w:val="dashSmallGap" w:color="000000" w:themeColor="text1" w:sz="4" w:space="0"/>
              <w:left w:val="dashSmallGap" w:color="000000" w:themeColor="text1" w:sz="4" w:space="0"/>
              <w:bottom w:val="dashSmallGap" w:color="000000" w:themeColor="text1" w:sz="4" w:space="0"/>
            </w:tcBorders>
            <w:shd w:val="clear" w:color="auto" w:fill="auto"/>
            <w:tcMar>
              <w:top w:w="85" w:type="dxa"/>
              <w:bottom w:w="28" w:type="dxa"/>
            </w:tcMar>
            <w:vAlign w:val="center"/>
          </w:tcPr>
          <w:p w14:paraId="77B3C31C">
            <w:pPr>
              <w:spacing w:after="0"/>
              <w:jc w:val="center"/>
              <w:rPr>
                <w:rFonts w:ascii="微软雅黑" w:hAnsi="微软雅黑" w:cs="Arial"/>
                <w:sz w:val="18"/>
                <w:szCs w:val="18"/>
              </w:rPr>
            </w:pPr>
            <w:r>
              <w:rPr>
                <w:rFonts w:hint="eastAsia" w:ascii="微软雅黑" w:hAnsi="微软雅黑" w:cs="Arial"/>
                <w:sz w:val="18"/>
                <w:szCs w:val="18"/>
              </w:rPr>
              <w:t>【待填写】</w:t>
            </w:r>
          </w:p>
        </w:tc>
        <w:tc>
          <w:tcPr>
            <w:tcW w:w="1095" w:type="pct"/>
            <w:tcBorders>
              <w:top w:val="dashSmallGap" w:color="000000" w:themeColor="text1" w:sz="4" w:space="0"/>
              <w:left w:val="dashSmallGap" w:color="000000" w:themeColor="text1" w:sz="4" w:space="0"/>
              <w:bottom w:val="dashSmallGap" w:color="000000" w:themeColor="text1" w:sz="4" w:space="0"/>
            </w:tcBorders>
            <w:shd w:val="clear" w:color="auto" w:fill="auto"/>
            <w:tcMar>
              <w:top w:w="85" w:type="dxa"/>
              <w:bottom w:w="28" w:type="dxa"/>
            </w:tcMar>
            <w:vAlign w:val="center"/>
          </w:tcPr>
          <w:p w14:paraId="49FFC854">
            <w:pPr>
              <w:spacing w:after="0"/>
              <w:jc w:val="center"/>
              <w:rPr>
                <w:rFonts w:ascii="微软雅黑" w:hAnsi="微软雅黑" w:cs="Arial"/>
                <w:sz w:val="18"/>
                <w:szCs w:val="18"/>
              </w:rPr>
            </w:pPr>
            <w:r>
              <w:rPr>
                <w:rFonts w:hint="eastAsia" w:ascii="微软雅黑" w:hAnsi="微软雅黑" w:cs="Arial"/>
                <w:sz w:val="18"/>
                <w:szCs w:val="18"/>
              </w:rPr>
              <w:t>≥500X</w:t>
            </w:r>
          </w:p>
        </w:tc>
      </w:tr>
      <w:tr w14:paraId="3E80062F">
        <w:tblPrEx>
          <w:tblBorders>
            <w:top w:val="single" w:color="8DB3E2" w:themeColor="text2" w:themeTint="66" w:sz="4" w:space="0"/>
            <w:left w:val="none" w:color="auto" w:sz="0" w:space="0"/>
            <w:bottom w:val="single" w:color="8DB3E2" w:themeColor="text2" w:themeTint="66" w:sz="4" w:space="0"/>
            <w:right w:val="none" w:color="auto" w:sz="0" w:space="0"/>
            <w:insideH w:val="dotted" w:color="8DB3E2" w:themeColor="text2" w:themeTint="66" w:sz="4" w:space="0"/>
            <w:insideV w:val="none" w:color="auto" w:sz="0" w:space="0"/>
          </w:tblBorders>
          <w:tblCellMar>
            <w:top w:w="0" w:type="dxa"/>
            <w:left w:w="108" w:type="dxa"/>
            <w:bottom w:w="0" w:type="dxa"/>
            <w:right w:w="108" w:type="dxa"/>
          </w:tblCellMar>
        </w:tblPrEx>
        <w:trPr>
          <w:trHeight w:val="284" w:hRule="atLeast"/>
        </w:trPr>
        <w:tc>
          <w:tcPr>
            <w:tcW w:w="978" w:type="pct"/>
            <w:vMerge w:val="continue"/>
            <w:tcBorders>
              <w:top w:val="single" w:color="auto" w:sz="4" w:space="0"/>
              <w:bottom w:val="single" w:color="auto" w:sz="4" w:space="0"/>
              <w:right w:val="dashSmallGap" w:color="000000" w:themeColor="text1" w:sz="4" w:space="0"/>
            </w:tcBorders>
            <w:shd w:val="clear" w:color="auto" w:fill="auto"/>
            <w:tcMar>
              <w:top w:w="85" w:type="dxa"/>
              <w:bottom w:w="28" w:type="dxa"/>
            </w:tcMar>
            <w:vAlign w:val="center"/>
          </w:tcPr>
          <w:p w14:paraId="5C85C666">
            <w:pPr>
              <w:spacing w:after="0"/>
              <w:jc w:val="center"/>
              <w:rPr>
                <w:rFonts w:ascii="微软雅黑" w:hAnsi="微软雅黑" w:cs="Arial"/>
                <w:b/>
                <w:bCs/>
                <w:sz w:val="18"/>
                <w:szCs w:val="18"/>
              </w:rPr>
            </w:pPr>
          </w:p>
        </w:tc>
        <w:tc>
          <w:tcPr>
            <w:tcW w:w="1771" w:type="pct"/>
            <w:tcBorders>
              <w:top w:val="dashSmallGap" w:color="000000" w:themeColor="text1" w:sz="4" w:space="0"/>
              <w:left w:val="dashSmallGap" w:color="000000" w:themeColor="text1" w:sz="4" w:space="0"/>
              <w:bottom w:val="dashSmallGap" w:color="000000" w:themeColor="text1" w:sz="4" w:space="0"/>
              <w:right w:val="dashSmallGap" w:color="000000" w:themeColor="text1" w:sz="4" w:space="0"/>
            </w:tcBorders>
            <w:shd w:val="clear" w:color="auto" w:fill="auto"/>
            <w:tcMar>
              <w:top w:w="85" w:type="dxa"/>
              <w:bottom w:w="28" w:type="dxa"/>
            </w:tcMar>
            <w:vAlign w:val="center"/>
          </w:tcPr>
          <w:p w14:paraId="61262C9D">
            <w:pPr>
              <w:spacing w:after="0"/>
              <w:jc w:val="center"/>
              <w:rPr>
                <w:rFonts w:ascii="微软雅黑" w:hAnsi="微软雅黑" w:cs="Arial"/>
                <w:sz w:val="18"/>
                <w:szCs w:val="18"/>
              </w:rPr>
            </w:pPr>
            <w:r>
              <w:rPr>
                <w:rFonts w:hint="eastAsia" w:ascii="微软雅黑" w:hAnsi="微软雅黑"/>
                <w:sz w:val="18"/>
              </w:rPr>
              <w:t>序列回贴比率</w:t>
            </w:r>
          </w:p>
        </w:tc>
        <w:tc>
          <w:tcPr>
            <w:tcW w:w="1154" w:type="pct"/>
            <w:tcBorders>
              <w:top w:val="dashSmallGap" w:color="000000" w:themeColor="text1" w:sz="4" w:space="0"/>
              <w:left w:val="dashSmallGap" w:color="000000" w:themeColor="text1" w:sz="4" w:space="0"/>
              <w:bottom w:val="dashSmallGap" w:color="000000" w:themeColor="text1" w:sz="4" w:space="0"/>
            </w:tcBorders>
            <w:shd w:val="clear" w:color="auto" w:fill="auto"/>
            <w:tcMar>
              <w:top w:w="85" w:type="dxa"/>
              <w:bottom w:w="28" w:type="dxa"/>
            </w:tcMar>
            <w:vAlign w:val="center"/>
          </w:tcPr>
          <w:p w14:paraId="0C0754E1">
            <w:pPr>
              <w:spacing w:after="0"/>
              <w:jc w:val="center"/>
              <w:rPr>
                <w:rFonts w:ascii="微软雅黑" w:hAnsi="微软雅黑" w:cs="Arial"/>
                <w:sz w:val="18"/>
                <w:szCs w:val="18"/>
              </w:rPr>
            </w:pPr>
            <w:r>
              <w:rPr>
                <w:rFonts w:hint="eastAsia" w:ascii="微软雅黑" w:hAnsi="微软雅黑" w:cs="Arial"/>
                <w:sz w:val="18"/>
                <w:szCs w:val="18"/>
              </w:rPr>
              <w:t>99%</w:t>
            </w:r>
          </w:p>
        </w:tc>
        <w:tc>
          <w:tcPr>
            <w:tcW w:w="1095" w:type="pct"/>
            <w:tcBorders>
              <w:top w:val="dashSmallGap" w:color="000000" w:themeColor="text1" w:sz="4" w:space="0"/>
              <w:left w:val="dashSmallGap" w:color="000000" w:themeColor="text1" w:sz="4" w:space="0"/>
              <w:bottom w:val="dashSmallGap" w:color="000000" w:themeColor="text1" w:sz="4" w:space="0"/>
            </w:tcBorders>
            <w:shd w:val="clear" w:color="auto" w:fill="auto"/>
            <w:tcMar>
              <w:top w:w="85" w:type="dxa"/>
              <w:bottom w:w="28" w:type="dxa"/>
            </w:tcMar>
            <w:vAlign w:val="center"/>
          </w:tcPr>
          <w:p w14:paraId="010A87E5">
            <w:pPr>
              <w:spacing w:after="0"/>
              <w:jc w:val="center"/>
              <w:rPr>
                <w:rFonts w:ascii="微软雅黑" w:hAnsi="微软雅黑" w:cs="Arial"/>
                <w:sz w:val="18"/>
                <w:szCs w:val="18"/>
              </w:rPr>
            </w:pPr>
            <w:r>
              <w:rPr>
                <w:rFonts w:hint="eastAsia" w:ascii="微软雅黑" w:hAnsi="微软雅黑" w:cs="Arial"/>
                <w:sz w:val="18"/>
                <w:szCs w:val="18"/>
              </w:rPr>
              <w:t>≥95%</w:t>
            </w:r>
          </w:p>
        </w:tc>
      </w:tr>
      <w:tr w14:paraId="2C2B981B">
        <w:tblPrEx>
          <w:tblBorders>
            <w:top w:val="single" w:color="8DB3E2" w:themeColor="text2" w:themeTint="66" w:sz="4" w:space="0"/>
            <w:left w:val="none" w:color="auto" w:sz="0" w:space="0"/>
            <w:bottom w:val="single" w:color="8DB3E2" w:themeColor="text2" w:themeTint="66" w:sz="4" w:space="0"/>
            <w:right w:val="none" w:color="auto" w:sz="0" w:space="0"/>
            <w:insideH w:val="dotted" w:color="8DB3E2" w:themeColor="text2" w:themeTint="66" w:sz="4" w:space="0"/>
            <w:insideV w:val="none" w:color="auto" w:sz="0" w:space="0"/>
          </w:tblBorders>
          <w:tblCellMar>
            <w:top w:w="0" w:type="dxa"/>
            <w:left w:w="108" w:type="dxa"/>
            <w:bottom w:w="0" w:type="dxa"/>
            <w:right w:w="108" w:type="dxa"/>
          </w:tblCellMar>
        </w:tblPrEx>
        <w:trPr>
          <w:trHeight w:val="57" w:hRule="atLeast"/>
        </w:trPr>
        <w:tc>
          <w:tcPr>
            <w:tcW w:w="978" w:type="pct"/>
            <w:vMerge w:val="continue"/>
            <w:tcBorders>
              <w:top w:val="single" w:color="auto" w:sz="4" w:space="0"/>
              <w:bottom w:val="single" w:color="auto" w:sz="4" w:space="0"/>
              <w:right w:val="dashSmallGap" w:color="000000" w:themeColor="text1" w:sz="4" w:space="0"/>
            </w:tcBorders>
            <w:shd w:val="clear" w:color="auto" w:fill="auto"/>
            <w:tcMar>
              <w:top w:w="85" w:type="dxa"/>
              <w:bottom w:w="28" w:type="dxa"/>
            </w:tcMar>
            <w:vAlign w:val="center"/>
          </w:tcPr>
          <w:p w14:paraId="0125BB09">
            <w:pPr>
              <w:spacing w:after="0"/>
              <w:jc w:val="center"/>
              <w:rPr>
                <w:rFonts w:ascii="微软雅黑" w:hAnsi="微软雅黑" w:cs="Arial"/>
                <w:b/>
                <w:bCs/>
                <w:sz w:val="18"/>
                <w:szCs w:val="18"/>
              </w:rPr>
            </w:pPr>
          </w:p>
        </w:tc>
        <w:tc>
          <w:tcPr>
            <w:tcW w:w="1771" w:type="pct"/>
            <w:tcBorders>
              <w:top w:val="dashSmallGap" w:color="000000" w:themeColor="text1" w:sz="4" w:space="0"/>
              <w:left w:val="dashSmallGap" w:color="000000" w:themeColor="text1" w:sz="4" w:space="0"/>
              <w:bottom w:val="dashSmallGap" w:color="000000" w:themeColor="text1" w:sz="4" w:space="0"/>
              <w:right w:val="dashSmallGap" w:color="000000" w:themeColor="text1" w:sz="4" w:space="0"/>
            </w:tcBorders>
            <w:shd w:val="clear" w:color="auto" w:fill="auto"/>
            <w:tcMar>
              <w:top w:w="85" w:type="dxa"/>
              <w:bottom w:w="28" w:type="dxa"/>
            </w:tcMar>
            <w:vAlign w:val="center"/>
          </w:tcPr>
          <w:p w14:paraId="0F3447A4">
            <w:pPr>
              <w:spacing w:after="0"/>
              <w:jc w:val="center"/>
              <w:rPr>
                <w:rFonts w:ascii="微软雅黑" w:hAnsi="微软雅黑" w:cs="Arial"/>
                <w:sz w:val="18"/>
                <w:szCs w:val="18"/>
              </w:rPr>
            </w:pPr>
            <w:r>
              <w:rPr>
                <w:rFonts w:hint="eastAsia" w:ascii="微软雅黑" w:hAnsi="微软雅黑" w:cs="Arial"/>
                <w:sz w:val="18"/>
                <w:szCs w:val="18"/>
              </w:rPr>
              <w:t>碱基质量Q30占比</w:t>
            </w:r>
          </w:p>
        </w:tc>
        <w:tc>
          <w:tcPr>
            <w:tcW w:w="1154" w:type="pct"/>
            <w:tcBorders>
              <w:top w:val="dashSmallGap" w:color="000000" w:themeColor="text1" w:sz="4" w:space="0"/>
              <w:left w:val="dashSmallGap" w:color="000000" w:themeColor="text1" w:sz="4" w:space="0"/>
              <w:bottom w:val="dashSmallGap" w:color="000000" w:themeColor="text1" w:sz="4" w:space="0"/>
            </w:tcBorders>
            <w:shd w:val="clear" w:color="auto" w:fill="auto"/>
            <w:tcMar>
              <w:top w:w="85" w:type="dxa"/>
              <w:bottom w:w="28" w:type="dxa"/>
            </w:tcMar>
            <w:vAlign w:val="center"/>
          </w:tcPr>
          <w:p w14:paraId="207367BF">
            <w:pPr>
              <w:spacing w:after="0"/>
              <w:jc w:val="center"/>
              <w:rPr>
                <w:rFonts w:ascii="微软雅黑" w:hAnsi="微软雅黑" w:cs="Arial"/>
                <w:sz w:val="18"/>
                <w:szCs w:val="18"/>
              </w:rPr>
            </w:pPr>
            <w:r>
              <w:rPr>
                <w:rFonts w:hint="eastAsia" w:ascii="微软雅黑" w:hAnsi="微软雅黑" w:cs="Arial"/>
                <w:sz w:val="18"/>
                <w:szCs w:val="18"/>
              </w:rPr>
              <w:t>96%</w:t>
            </w:r>
          </w:p>
        </w:tc>
        <w:tc>
          <w:tcPr>
            <w:tcW w:w="1095" w:type="pct"/>
            <w:tcBorders>
              <w:top w:val="dashSmallGap" w:color="000000" w:themeColor="text1" w:sz="4" w:space="0"/>
              <w:left w:val="dashSmallGap" w:color="000000" w:themeColor="text1" w:sz="4" w:space="0"/>
              <w:bottom w:val="dashSmallGap" w:color="000000" w:themeColor="text1" w:sz="4" w:space="0"/>
            </w:tcBorders>
            <w:shd w:val="clear" w:color="auto" w:fill="auto"/>
            <w:tcMar>
              <w:top w:w="85" w:type="dxa"/>
              <w:bottom w:w="28" w:type="dxa"/>
            </w:tcMar>
            <w:vAlign w:val="center"/>
          </w:tcPr>
          <w:p w14:paraId="0CD74169">
            <w:pPr>
              <w:spacing w:after="0"/>
              <w:jc w:val="center"/>
              <w:rPr>
                <w:rFonts w:ascii="微软雅黑" w:hAnsi="微软雅黑" w:cs="Arial"/>
                <w:sz w:val="18"/>
                <w:szCs w:val="18"/>
              </w:rPr>
            </w:pPr>
            <w:r>
              <w:rPr>
                <w:rFonts w:hint="eastAsia" w:ascii="微软雅黑" w:hAnsi="微软雅黑" w:cs="Arial"/>
                <w:sz w:val="18"/>
                <w:szCs w:val="18"/>
              </w:rPr>
              <w:t>≥85%</w:t>
            </w:r>
          </w:p>
        </w:tc>
      </w:tr>
      <w:tr w14:paraId="136BE435">
        <w:tblPrEx>
          <w:tblBorders>
            <w:top w:val="single" w:color="8DB3E2" w:themeColor="text2" w:themeTint="66" w:sz="4" w:space="0"/>
            <w:left w:val="none" w:color="auto" w:sz="0" w:space="0"/>
            <w:bottom w:val="single" w:color="8DB3E2" w:themeColor="text2" w:themeTint="66" w:sz="4" w:space="0"/>
            <w:right w:val="none" w:color="auto" w:sz="0" w:space="0"/>
            <w:insideH w:val="dotted" w:color="8DB3E2" w:themeColor="text2" w:themeTint="66" w:sz="4" w:space="0"/>
            <w:insideV w:val="none" w:color="auto" w:sz="0" w:space="0"/>
          </w:tblBorders>
          <w:tblCellMar>
            <w:top w:w="0" w:type="dxa"/>
            <w:left w:w="108" w:type="dxa"/>
            <w:bottom w:w="0" w:type="dxa"/>
            <w:right w:w="108" w:type="dxa"/>
          </w:tblCellMar>
        </w:tblPrEx>
        <w:trPr>
          <w:trHeight w:val="284" w:hRule="atLeast"/>
        </w:trPr>
        <w:tc>
          <w:tcPr>
            <w:tcW w:w="2750" w:type="pct"/>
            <w:gridSpan w:val="2"/>
            <w:tcBorders>
              <w:top w:val="dashSmallGap" w:color="000000" w:themeColor="text1" w:sz="4" w:space="0"/>
              <w:bottom w:val="dashSmallGap" w:color="000000" w:themeColor="text1" w:sz="4" w:space="0"/>
              <w:right w:val="dashSmallGap" w:color="000000" w:themeColor="text1" w:sz="4" w:space="0"/>
            </w:tcBorders>
            <w:shd w:val="clear" w:color="auto" w:fill="auto"/>
            <w:tcMar>
              <w:top w:w="85" w:type="dxa"/>
              <w:bottom w:w="28" w:type="dxa"/>
            </w:tcMar>
            <w:vAlign w:val="center"/>
          </w:tcPr>
          <w:p w14:paraId="5B0B792F">
            <w:pPr>
              <w:spacing w:after="0"/>
              <w:jc w:val="center"/>
              <w:rPr>
                <w:rFonts w:ascii="微软雅黑" w:hAnsi="微软雅黑" w:cs="Arial"/>
                <w:b/>
                <w:bCs/>
                <w:sz w:val="18"/>
                <w:szCs w:val="18"/>
              </w:rPr>
            </w:pPr>
            <w:r>
              <w:rPr>
                <w:rFonts w:hint="eastAsia" w:ascii="微软雅黑" w:hAnsi="微软雅黑" w:cs="Arial"/>
                <w:b/>
                <w:bCs/>
                <w:sz w:val="18"/>
                <w:szCs w:val="18"/>
              </w:rPr>
              <w:t>样本及数据总体质量评估</w:t>
            </w:r>
          </w:p>
        </w:tc>
        <w:tc>
          <w:tcPr>
            <w:tcW w:w="2249" w:type="pct"/>
            <w:gridSpan w:val="2"/>
            <w:tcBorders>
              <w:top w:val="dashSmallGap" w:color="000000" w:themeColor="text1" w:sz="4" w:space="0"/>
              <w:left w:val="dashSmallGap" w:color="000000" w:themeColor="text1" w:sz="4" w:space="0"/>
              <w:bottom w:val="dashSmallGap" w:color="000000" w:themeColor="text1" w:sz="4" w:space="0"/>
            </w:tcBorders>
            <w:shd w:val="clear" w:color="auto" w:fill="auto"/>
            <w:tcMar>
              <w:top w:w="85" w:type="dxa"/>
              <w:bottom w:w="28" w:type="dxa"/>
            </w:tcMar>
            <w:vAlign w:val="center"/>
          </w:tcPr>
          <w:p w14:paraId="2D8541E0">
            <w:pPr>
              <w:spacing w:after="0"/>
              <w:jc w:val="center"/>
              <w:rPr>
                <w:rFonts w:ascii="微软雅黑" w:hAnsi="微软雅黑" w:cs="Arial"/>
                <w:sz w:val="18"/>
                <w:szCs w:val="18"/>
              </w:rPr>
            </w:pPr>
            <w:r>
              <w:rPr>
                <w:rFonts w:hint="eastAsia" w:ascii="微软雅黑" w:hAnsi="微软雅黑" w:cs="Arial"/>
                <w:sz w:val="18"/>
                <w:szCs w:val="18"/>
              </w:rPr>
              <w:t>合格</w:t>
            </w:r>
          </w:p>
        </w:tc>
      </w:tr>
    </w:tbl>
    <w:p w14:paraId="27D94A80">
      <w:pPr>
        <w:adjustRightInd/>
        <w:snapToGrid/>
        <w:spacing w:after="0"/>
        <w:jc w:val="both"/>
        <w:rPr>
          <w:rFonts w:ascii="微软雅黑" w:hAnsi="微软雅黑"/>
          <w:sz w:val="18"/>
        </w:rPr>
      </w:pPr>
      <w:r>
        <w:rPr>
          <w:rFonts w:hint="eastAsia" w:ascii="微软雅黑" w:hAnsi="微软雅黑"/>
          <w:sz w:val="18"/>
        </w:rPr>
        <w:t>备注：</w:t>
      </w:r>
    </w:p>
    <w:p w14:paraId="598CA575">
      <w:pPr>
        <w:numPr>
          <w:ilvl w:val="0"/>
          <w:numId w:val="2"/>
        </w:numPr>
        <w:adjustRightInd/>
        <w:snapToGrid/>
        <w:spacing w:after="0"/>
        <w:jc w:val="both"/>
        <w:rPr>
          <w:rFonts w:ascii="微软雅黑" w:hAnsi="微软雅黑"/>
          <w:sz w:val="18"/>
        </w:rPr>
      </w:pPr>
      <w:r>
        <w:rPr>
          <w:rFonts w:hint="eastAsia" w:ascii="微软雅黑" w:hAnsi="微软雅黑"/>
          <w:sz w:val="18"/>
        </w:rPr>
        <w:t>DNA总量：送检样本的DNA提取总量。</w:t>
      </w:r>
    </w:p>
    <w:p w14:paraId="716180BF">
      <w:pPr>
        <w:numPr>
          <w:ilvl w:val="0"/>
          <w:numId w:val="2"/>
        </w:numPr>
        <w:adjustRightInd/>
        <w:snapToGrid/>
        <w:spacing w:after="0"/>
        <w:jc w:val="both"/>
        <w:rPr>
          <w:rFonts w:ascii="微软雅黑" w:hAnsi="微软雅黑"/>
          <w:sz w:val="18"/>
        </w:rPr>
      </w:pPr>
      <w:r>
        <w:rPr>
          <w:rFonts w:hint="eastAsia" w:ascii="微软雅黑" w:hAnsi="微软雅黑"/>
          <w:sz w:val="18"/>
        </w:rPr>
        <w:t>平均测序深度：目标区域每个碱基被测到的平均次数。</w:t>
      </w:r>
    </w:p>
    <w:p w14:paraId="0020C82B">
      <w:pPr>
        <w:numPr>
          <w:ilvl w:val="0"/>
          <w:numId w:val="2"/>
        </w:numPr>
        <w:adjustRightInd/>
        <w:snapToGrid/>
        <w:spacing w:after="0"/>
        <w:jc w:val="both"/>
        <w:rPr>
          <w:rFonts w:ascii="微软雅黑" w:hAnsi="微软雅黑"/>
          <w:sz w:val="18"/>
        </w:rPr>
      </w:pPr>
      <w:r>
        <w:rPr>
          <w:rFonts w:hint="eastAsia" w:ascii="微软雅黑" w:hAnsi="微软雅黑"/>
          <w:sz w:val="18"/>
        </w:rPr>
        <w:t>序列回贴比（比对）率：成功比对回到参考基因组的序列数目占比。</w:t>
      </w:r>
    </w:p>
    <w:p w14:paraId="68B4410E">
      <w:pPr>
        <w:numPr>
          <w:ilvl w:val="0"/>
          <w:numId w:val="2"/>
        </w:numPr>
        <w:adjustRightInd/>
        <w:snapToGrid/>
        <w:spacing w:after="0"/>
        <w:jc w:val="both"/>
        <w:rPr>
          <w:rFonts w:ascii="微软雅黑" w:hAnsi="微软雅黑"/>
          <w:sz w:val="18"/>
        </w:rPr>
      </w:pPr>
      <w:r>
        <w:rPr>
          <w:rFonts w:hint="eastAsia" w:ascii="微软雅黑" w:hAnsi="微软雅黑"/>
          <w:sz w:val="18"/>
        </w:rPr>
        <w:t>碱基质量Q30占比：测序原始数据中碱基质量大于30的占比。</w:t>
      </w:r>
    </w:p>
    <w:p w14:paraId="6E091719">
      <w:pPr>
        <w:rPr>
          <w:rFonts w:ascii="微软雅黑" w:hAnsi="微软雅黑"/>
          <w:sz w:val="18"/>
        </w:rPr>
      </w:pPr>
      <w:r>
        <w:rPr>
          <w:rFonts w:hint="eastAsia" w:ascii="微软雅黑" w:hAnsi="微软雅黑"/>
          <w:sz w:val="18"/>
        </w:rPr>
        <w:t>总体质量评估：综合所有的质控参数，将总体质量评估结果分为“合格”、“风险预警”和“不合格”三个等级，整体质量结果评估为“风险预警”和“不合格”均可能会影响此次检测的准确性和敏感性。</w:t>
      </w:r>
    </w:p>
    <w:p w14:paraId="06BA17EC">
      <w:pPr>
        <w:rPr>
          <w:rFonts w:ascii="微软雅黑" w:hAnsi="微软雅黑"/>
          <w:sz w:val="18"/>
        </w:rPr>
      </w:pPr>
      <w:r>
        <w:rPr>
          <w:rFonts w:hint="eastAsia" w:ascii="微软雅黑" w:hAnsi="微软雅黑"/>
          <w:sz w:val="18"/>
        </w:rPr>
        <w:br w:type="page"/>
      </w:r>
    </w:p>
    <w:p w14:paraId="763AD882">
      <w:pPr>
        <w:adjustRightInd/>
        <w:snapToGrid/>
        <w:spacing w:line="220" w:lineRule="atLeast"/>
        <w:outlineLvl w:val="1"/>
        <w:rPr>
          <w:rFonts w:ascii="微软雅黑" w:hAnsi="微软雅黑"/>
          <w:b/>
          <w:color w:val="00C4D8"/>
          <w:sz w:val="32"/>
          <w:szCs w:val="32"/>
        </w:rPr>
      </w:pPr>
      <w:bookmarkStart w:id="8" w:name="_Toc163825586"/>
      <w:r>
        <w:rPr>
          <w:rFonts w:hint="eastAsia" w:ascii="微软雅黑" w:hAnsi="微软雅黑"/>
          <w:b/>
          <w:color w:val="00C4D8"/>
          <w:sz w:val="32"/>
          <w:szCs w:val="32"/>
        </w:rPr>
        <w:t>4. 检测</w:t>
      </w:r>
      <w:bookmarkStart w:id="9" w:name="_Toc27165"/>
      <w:r>
        <w:rPr>
          <w:rFonts w:hint="eastAsia" w:ascii="微软雅黑" w:hAnsi="微软雅黑"/>
          <w:b/>
          <w:color w:val="00C4D8"/>
          <w:sz w:val="32"/>
          <w:szCs w:val="32"/>
        </w:rPr>
        <w:t>结果小结</w:t>
      </w:r>
      <w:bookmarkEnd w:id="8"/>
    </w:p>
    <w:p w14:paraId="5E74B20B">
      <w:pPr>
        <w:pStyle w:val="29"/>
        <w:numPr>
          <w:ilvl w:val="0"/>
          <w:numId w:val="3"/>
        </w:numPr>
        <w:adjustRightInd/>
        <w:snapToGrid/>
        <w:spacing w:before="100" w:after="100"/>
        <w:ind w:firstLineChars="0"/>
        <w:rPr>
          <w:rFonts w:ascii="微软雅黑" w:hAnsi="微软雅黑"/>
          <w:b/>
          <w:color w:val="00C4D8"/>
          <w:sz w:val="28"/>
          <w:szCs w:val="28"/>
        </w:rPr>
      </w:pPr>
      <w:r>
        <w:rPr>
          <w:rFonts w:hint="eastAsia" w:ascii="微软雅黑" w:hAnsi="微软雅黑"/>
          <w:b/>
          <w:color w:val="00C4D8"/>
          <w:sz w:val="28"/>
          <w:szCs w:val="28"/>
        </w:rPr>
        <w:t>检测结果提示</w:t>
      </w:r>
    </w:p>
    <w:tbl>
      <w:tblPr>
        <w:tblStyle w:val="14"/>
        <w:tblW w:w="4998" w:type="pct"/>
        <w:tblInd w:w="0"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CellMar>
          <w:top w:w="0" w:type="dxa"/>
          <w:left w:w="108" w:type="dxa"/>
          <w:bottom w:w="0" w:type="dxa"/>
          <w:right w:w="108" w:type="dxa"/>
        </w:tblCellMar>
      </w:tblPr>
      <w:tblGrid>
        <w:gridCol w:w="1664"/>
        <w:gridCol w:w="2351"/>
        <w:gridCol w:w="4504"/>
      </w:tblGrid>
      <w:tr w14:paraId="6090E260">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560" w:hRule="atLeast"/>
          <w:tblHeader/>
        </w:trPr>
        <w:tc>
          <w:tcPr>
            <w:tcW w:w="2357" w:type="pct"/>
            <w:gridSpan w:val="2"/>
            <w:tcBorders>
              <w:tl2br w:val="nil"/>
              <w:tr2bl w:val="nil"/>
            </w:tcBorders>
            <w:shd w:val="clear" w:color="auto" w:fill="00C4D8"/>
            <w:tcMar>
              <w:top w:w="30" w:type="dxa"/>
              <w:bottom w:w="30" w:type="dxa"/>
            </w:tcMar>
            <w:vAlign w:val="center"/>
          </w:tcPr>
          <w:p w14:paraId="13029692">
            <w:pPr>
              <w:spacing w:after="0" w:line="320" w:lineRule="exact"/>
              <w:jc w:val="center"/>
              <w:rPr>
                <w:rFonts w:ascii="微软雅黑" w:hAnsi="微软雅黑" w:cs="微软雅黑"/>
                <w:b/>
                <w:bCs/>
                <w:color w:val="FFFFFF" w:themeColor="background1"/>
                <w:kern w:val="2"/>
                <w14:textFill>
                  <w14:solidFill>
                    <w14:schemeClr w14:val="bg1"/>
                  </w14:solidFill>
                </w14:textFill>
              </w:rPr>
            </w:pPr>
            <w:r>
              <w:rPr>
                <w:rFonts w:hint="eastAsia" w:ascii="微软雅黑" w:hAnsi="微软雅黑" w:cs="微软雅黑"/>
                <w:b/>
                <w:bCs/>
                <w:color w:val="FFFFFF" w:themeColor="background1"/>
                <w:kern w:val="2"/>
                <w14:textFill>
                  <w14:solidFill>
                    <w14:schemeClr w14:val="bg1"/>
                  </w14:solidFill>
                </w14:textFill>
              </w:rPr>
              <w:t>检测类型</w:t>
            </w:r>
          </w:p>
        </w:tc>
        <w:tc>
          <w:tcPr>
            <w:tcW w:w="2642" w:type="pct"/>
            <w:tcBorders>
              <w:tl2br w:val="nil"/>
              <w:tr2bl w:val="nil"/>
            </w:tcBorders>
            <w:shd w:val="clear" w:color="auto" w:fill="00C4D8"/>
            <w:tcMar>
              <w:top w:w="30" w:type="dxa"/>
              <w:bottom w:w="30" w:type="dxa"/>
            </w:tcMar>
            <w:vAlign w:val="center"/>
          </w:tcPr>
          <w:p w14:paraId="6275E510">
            <w:pPr>
              <w:spacing w:after="0" w:line="320" w:lineRule="exact"/>
              <w:jc w:val="center"/>
              <w:rPr>
                <w:rFonts w:ascii="微软雅黑" w:hAnsi="微软雅黑" w:cs="微软雅黑"/>
                <w:b/>
                <w:bCs/>
                <w:color w:val="FFFFFF" w:themeColor="background1"/>
                <w:kern w:val="2"/>
                <w14:textFill>
                  <w14:solidFill>
                    <w14:schemeClr w14:val="bg1"/>
                  </w14:solidFill>
                </w14:textFill>
              </w:rPr>
            </w:pPr>
            <w:r>
              <w:rPr>
                <w:rFonts w:hint="eastAsia" w:ascii="微软雅黑" w:hAnsi="微软雅黑" w:cs="微软雅黑"/>
                <w:b/>
                <w:bCs/>
                <w:color w:val="FFFFFF" w:themeColor="background1"/>
                <w:kern w:val="2"/>
                <w14:textFill>
                  <w14:solidFill>
                    <w14:schemeClr w14:val="bg1"/>
                  </w14:solidFill>
                </w14:textFill>
              </w:rPr>
              <w:t>检测结果</w:t>
            </w:r>
          </w:p>
        </w:tc>
      </w:tr>
      <w:tr w14:paraId="115DDEF3">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514" w:hRule="atLeast"/>
        </w:trPr>
        <w:tc>
          <w:tcPr>
            <w:tcW w:w="977" w:type="pct"/>
            <w:vMerge w:val="restart"/>
            <w:tcBorders>
              <w:tl2br w:val="nil"/>
              <w:tr2bl w:val="nil"/>
            </w:tcBorders>
            <w:shd w:val="clear" w:color="auto" w:fill="auto"/>
            <w:tcMar>
              <w:top w:w="85" w:type="dxa"/>
              <w:bottom w:w="28" w:type="dxa"/>
            </w:tcMar>
            <w:vAlign w:val="center"/>
          </w:tcPr>
          <w:p w14:paraId="6CAC57D8">
            <w:pPr>
              <w:spacing w:after="0"/>
              <w:jc w:val="both"/>
              <w:rPr>
                <w:rFonts w:ascii="微软雅黑" w:hAnsi="微软雅黑" w:cs="Arial"/>
                <w:sz w:val="18"/>
                <w:szCs w:val="18"/>
              </w:rPr>
            </w:pPr>
            <w:r>
              <w:rPr>
                <w:rFonts w:hint="eastAsia" w:ascii="微软雅黑" w:hAnsi="微软雅黑" w:cs="Arial"/>
                <w:b/>
                <w:bCs/>
                <w:sz w:val="18"/>
                <w:szCs w:val="18"/>
              </w:rPr>
              <w:t>靶向用药检测结果</w:t>
            </w:r>
          </w:p>
        </w:tc>
        <w:tc>
          <w:tcPr>
            <w:tcW w:w="1379" w:type="pct"/>
            <w:tcBorders>
              <w:tl2br w:val="nil"/>
              <w:tr2bl w:val="nil"/>
            </w:tcBorders>
            <w:shd w:val="clear" w:color="auto" w:fill="auto"/>
            <w:tcMar>
              <w:top w:w="85" w:type="dxa"/>
              <w:bottom w:w="28" w:type="dxa"/>
            </w:tcMar>
            <w:vAlign w:val="center"/>
          </w:tcPr>
          <w:p w14:paraId="16E374DF">
            <w:pPr>
              <w:spacing w:after="0"/>
              <w:jc w:val="both"/>
              <w:rPr>
                <w:rFonts w:ascii="微软雅黑" w:hAnsi="微软雅黑" w:cs="Arial"/>
                <w:sz w:val="18"/>
                <w:szCs w:val="18"/>
              </w:rPr>
            </w:pPr>
            <w:r>
              <w:rPr>
                <w:rFonts w:hint="eastAsia" w:ascii="微软雅黑" w:hAnsi="微软雅黑" w:cs="Arial"/>
                <w:sz w:val="18"/>
                <w:szCs w:val="18"/>
              </w:rPr>
              <w:t>体细胞变异</w:t>
            </w:r>
          </w:p>
        </w:tc>
        <w:tc>
          <w:tcPr>
            <w:tcW w:w="2642" w:type="pct"/>
            <w:tcBorders>
              <w:tl2br w:val="nil"/>
              <w:tr2bl w:val="nil"/>
            </w:tcBorders>
            <w:shd w:val="clear" w:color="auto" w:fill="auto"/>
            <w:tcMar>
              <w:top w:w="85" w:type="dxa"/>
              <w:bottom w:w="28" w:type="dxa"/>
            </w:tcMar>
            <w:vAlign w:val="center"/>
          </w:tcPr>
          <w:p w14:paraId="1CBDDE11">
            <w:pPr>
              <w:spacing w:after="0"/>
              <w:jc w:val="both"/>
              <w:rPr>
                <w:rFonts w:ascii="微软雅黑" w:hAnsi="微软雅黑" w:cs="Arial"/>
                <w:sz w:val="18"/>
                <w:szCs w:val="18"/>
              </w:rPr>
            </w:pPr>
            <w:r>
              <w:rPr>
                <w:rFonts w:hint="eastAsia" w:ascii="微软雅黑" w:hAnsi="微软雅黑" w:cs="Arial"/>
                <w:sz w:val="18"/>
                <w:szCs w:val="18"/>
              </w:rPr>
              <w:t>共4个体细胞变异，其中具有明确或潜在临床意义的变异有4个</w:t>
            </w:r>
          </w:p>
        </w:tc>
      </w:tr>
      <w:tr w14:paraId="67516601">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344" w:hRule="atLeast"/>
        </w:trPr>
        <w:tc>
          <w:tcPr>
            <w:tcW w:w="977" w:type="pct"/>
            <w:vMerge w:val="continue"/>
            <w:tcBorders>
              <w:tl2br w:val="nil"/>
              <w:tr2bl w:val="nil"/>
            </w:tcBorders>
            <w:shd w:val="clear" w:color="auto" w:fill="auto"/>
            <w:tcMar>
              <w:top w:w="85" w:type="dxa"/>
              <w:bottom w:w="28" w:type="dxa"/>
            </w:tcMar>
            <w:vAlign w:val="center"/>
          </w:tcPr>
          <w:p w14:paraId="6D5623B8">
            <w:pPr>
              <w:spacing w:after="0"/>
              <w:jc w:val="both"/>
              <w:rPr>
                <w:rFonts w:ascii="微软雅黑" w:hAnsi="微软雅黑" w:cs="Arial"/>
                <w:b/>
                <w:bCs/>
                <w:sz w:val="18"/>
                <w:szCs w:val="18"/>
              </w:rPr>
            </w:pPr>
          </w:p>
        </w:tc>
        <w:tc>
          <w:tcPr>
            <w:tcW w:w="1379" w:type="pct"/>
            <w:tcBorders>
              <w:tl2br w:val="nil"/>
              <w:tr2bl w:val="nil"/>
            </w:tcBorders>
            <w:shd w:val="clear" w:color="auto" w:fill="auto"/>
            <w:tcMar>
              <w:top w:w="85" w:type="dxa"/>
              <w:bottom w:w="28" w:type="dxa"/>
            </w:tcMar>
            <w:vAlign w:val="center"/>
          </w:tcPr>
          <w:p w14:paraId="6C4621E2">
            <w:pPr>
              <w:spacing w:after="0"/>
              <w:jc w:val="both"/>
              <w:rPr>
                <w:rFonts w:ascii="微软雅黑" w:hAnsi="微软雅黑" w:cs="Arial"/>
                <w:sz w:val="18"/>
                <w:szCs w:val="18"/>
              </w:rPr>
            </w:pPr>
            <w:r>
              <w:rPr>
                <w:rFonts w:hint="eastAsia" w:ascii="微软雅黑" w:hAnsi="微软雅黑" w:cs="Arial"/>
                <w:sz w:val="18"/>
                <w:szCs w:val="18"/>
              </w:rPr>
              <w:t>具有明确临床意义的变异</w:t>
            </w:r>
          </w:p>
          <w:p w14:paraId="2645000E">
            <w:pPr>
              <w:spacing w:after="0"/>
              <w:jc w:val="both"/>
              <w:rPr>
                <w:rFonts w:ascii="微软雅黑" w:hAnsi="微软雅黑" w:cs="Arial"/>
                <w:sz w:val="18"/>
                <w:szCs w:val="18"/>
              </w:rPr>
            </w:pPr>
            <w:r>
              <w:rPr>
                <w:rFonts w:hint="eastAsia" w:ascii="微软雅黑" w:hAnsi="微软雅黑" w:cs="Arial"/>
                <w:sz w:val="18"/>
                <w:szCs w:val="18"/>
              </w:rPr>
              <w:t>（Ⅰ类变异）</w:t>
            </w:r>
          </w:p>
        </w:tc>
        <w:tc>
          <w:tcPr>
            <w:tcW w:w="2642" w:type="pct"/>
            <w:tcBorders>
              <w:tl2br w:val="nil"/>
              <w:tr2bl w:val="nil"/>
            </w:tcBorders>
            <w:shd w:val="clear" w:color="auto" w:fill="auto"/>
            <w:tcMar>
              <w:top w:w="85" w:type="dxa"/>
              <w:bottom w:w="28" w:type="dxa"/>
            </w:tcMar>
            <w:vAlign w:val="center"/>
          </w:tcPr>
          <w:p w14:paraId="63817E51">
            <w:pPr>
              <w:spacing w:after="0"/>
              <w:jc w:val="both"/>
              <w:rPr>
                <w:rFonts w:ascii="微软雅黑" w:hAnsi="微软雅黑" w:cs="Arial"/>
                <w:sz w:val="18"/>
                <w:szCs w:val="18"/>
              </w:rPr>
            </w:pPr>
            <w:r>
              <w:rPr>
                <w:rFonts w:hint="eastAsia" w:ascii="微软雅黑" w:hAnsi="微软雅黑" w:cs="Arial"/>
                <w:sz w:val="18"/>
                <w:szCs w:val="18"/>
              </w:rPr>
              <w:t>未检出</w:t>
            </w:r>
          </w:p>
        </w:tc>
      </w:tr>
      <w:tr w14:paraId="74C46B74">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205" w:hRule="atLeast"/>
        </w:trPr>
        <w:tc>
          <w:tcPr>
            <w:tcW w:w="977" w:type="pct"/>
            <w:vMerge w:val="continue"/>
            <w:tcBorders>
              <w:tl2br w:val="nil"/>
              <w:tr2bl w:val="nil"/>
            </w:tcBorders>
            <w:shd w:val="clear" w:color="auto" w:fill="auto"/>
            <w:tcMar>
              <w:top w:w="85" w:type="dxa"/>
              <w:bottom w:w="28" w:type="dxa"/>
            </w:tcMar>
            <w:vAlign w:val="center"/>
          </w:tcPr>
          <w:p w14:paraId="0BC15897">
            <w:pPr>
              <w:spacing w:after="0"/>
              <w:jc w:val="both"/>
              <w:rPr>
                <w:rFonts w:ascii="微软雅黑" w:hAnsi="微软雅黑" w:cs="Arial"/>
                <w:b/>
                <w:bCs/>
                <w:sz w:val="18"/>
                <w:szCs w:val="18"/>
              </w:rPr>
            </w:pPr>
          </w:p>
        </w:tc>
        <w:tc>
          <w:tcPr>
            <w:tcW w:w="1379" w:type="pct"/>
            <w:vMerge w:val="restart"/>
            <w:tcBorders>
              <w:tl2br w:val="nil"/>
              <w:tr2bl w:val="nil"/>
            </w:tcBorders>
            <w:shd w:val="clear" w:color="auto" w:fill="auto"/>
            <w:tcMar>
              <w:top w:w="85" w:type="dxa"/>
              <w:bottom w:w="28" w:type="dxa"/>
            </w:tcMar>
            <w:vAlign w:val="center"/>
          </w:tcPr>
          <w:p w14:paraId="364A980D">
            <w:pPr>
              <w:spacing w:after="0"/>
              <w:jc w:val="both"/>
              <w:rPr>
                <w:rFonts w:ascii="微软雅黑" w:hAnsi="微软雅黑" w:cs="Arial"/>
                <w:sz w:val="18"/>
                <w:szCs w:val="18"/>
              </w:rPr>
            </w:pPr>
            <w:r>
              <w:rPr>
                <w:rFonts w:hint="eastAsia" w:ascii="微软雅黑" w:hAnsi="微软雅黑" w:cs="Arial"/>
                <w:sz w:val="18"/>
                <w:szCs w:val="18"/>
              </w:rPr>
              <w:t>具有明确临床意义的变异</w:t>
            </w:r>
          </w:p>
          <w:p w14:paraId="16BC0296">
            <w:pPr>
              <w:spacing w:after="0"/>
              <w:jc w:val="both"/>
              <w:rPr>
                <w:rFonts w:ascii="微软雅黑" w:hAnsi="微软雅黑" w:cs="Arial"/>
                <w:sz w:val="18"/>
                <w:szCs w:val="18"/>
              </w:rPr>
            </w:pPr>
            <w:r>
              <w:rPr>
                <w:rFonts w:hint="eastAsia" w:ascii="微软雅黑" w:hAnsi="微软雅黑" w:cs="Arial"/>
                <w:sz w:val="18"/>
                <w:szCs w:val="18"/>
              </w:rPr>
              <w:t>（Ⅱ类变异）</w:t>
            </w:r>
          </w:p>
        </w:tc>
        <w:tc>
          <w:tcPr>
            <w:tcW w:w="2642" w:type="pct"/>
            <w:tcBorders>
              <w:tl2br w:val="nil"/>
              <w:tr2bl w:val="nil"/>
            </w:tcBorders>
            <w:shd w:val="clear" w:color="auto" w:fill="auto"/>
            <w:tcMar>
              <w:top w:w="85" w:type="dxa"/>
              <w:bottom w:w="28" w:type="dxa"/>
            </w:tcMar>
            <w:vAlign w:val="center"/>
          </w:tcPr>
          <w:p w14:paraId="48443D41">
            <w:pPr>
              <w:spacing w:after="0"/>
              <w:jc w:val="both"/>
              <w:rPr>
                <w:rFonts w:ascii="微软雅黑" w:hAnsi="微软雅黑" w:cs="Arial"/>
                <w:sz w:val="18"/>
                <w:szCs w:val="18"/>
              </w:rPr>
            </w:pPr>
            <w:r>
              <w:rPr>
                <w:rFonts w:hint="eastAsia" w:ascii="微软雅黑" w:hAnsi="微软雅黑" w:cs="Arial"/>
                <w:sz w:val="18"/>
                <w:szCs w:val="18"/>
              </w:rPr>
              <w:t>【待人工填写】</w:t>
            </w:r>
            <w:r>
              <w:rPr>
                <w:rFonts w:hint="eastAsia" w:ascii="微软雅黑" w:hAnsi="微软雅黑" w:cs="Arial"/>
                <w:sz w:val="18"/>
                <w:szCs w:val="18"/>
                <w:lang w:eastAsia="zh-CN"/>
              </w:rPr>
            </w:r>
            <w:r>
              <w:rPr>
                <w:rFonts w:hint="eastAsia" w:ascii="微软雅黑" w:hAnsi="微软雅黑" w:cs="Arial"/>
                <w:sz w:val="18"/>
                <w:szCs w:val="18"/>
              </w:rPr>
            </w:r>
          </w:p>
        </w:tc>
      </w:tr>
      <w:tr w14:paraId="26CD4E6B">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240" w:hRule="atLeast"/>
        </w:trPr>
        <w:tc>
          <w:tcPr>
            <w:tcW w:w="977" w:type="pct"/>
            <w:vMerge w:val="continue"/>
            <w:tcBorders>
              <w:tl2br w:val="nil"/>
              <w:tr2bl w:val="nil"/>
            </w:tcBorders>
            <w:shd w:val="clear" w:color="auto" w:fill="auto"/>
            <w:tcMar>
              <w:top w:w="85" w:type="dxa"/>
              <w:bottom w:w="28" w:type="dxa"/>
            </w:tcMar>
            <w:vAlign w:val="center"/>
          </w:tcPr>
          <w:p w14:paraId="1554318E">
            <w:pPr>
              <w:spacing w:after="0"/>
              <w:jc w:val="both"/>
            </w:pPr>
          </w:p>
        </w:tc>
        <w:tc>
          <w:tcPr>
            <w:tcW w:w="1379" w:type="pct"/>
            <w:vMerge w:val="continue"/>
            <w:tcBorders>
              <w:tl2br w:val="nil"/>
              <w:tr2bl w:val="nil"/>
            </w:tcBorders>
            <w:shd w:val="clear" w:color="auto" w:fill="auto"/>
            <w:tcMar>
              <w:top w:w="85" w:type="dxa"/>
              <w:bottom w:w="28" w:type="dxa"/>
            </w:tcMar>
            <w:vAlign w:val="center"/>
          </w:tcPr>
          <w:p w14:paraId="01B9F3EA">
            <w:pPr>
              <w:spacing w:after="0"/>
              <w:jc w:val="both"/>
            </w:pPr>
          </w:p>
        </w:tc>
        <w:tc>
          <w:tcPr>
            <w:tcW w:w="2642" w:type="pct"/>
            <w:tcBorders>
              <w:tl2br w:val="nil"/>
              <w:tr2bl w:val="nil"/>
            </w:tcBorders>
            <w:shd w:val="clear" w:color="auto" w:fill="auto"/>
            <w:tcMar>
              <w:top w:w="85" w:type="dxa"/>
              <w:bottom w:w="28" w:type="dxa"/>
            </w:tcMar>
            <w:vAlign w:val="center"/>
          </w:tcPr>
          <w:p w14:paraId="0389987B">
            <w:pPr>
              <w:spacing w:after="0"/>
              <w:jc w:val="both"/>
              <w:rPr>
                <w:rFonts w:ascii="微软雅黑" w:hAnsi="微软雅黑" w:cs="Arial"/>
                <w:sz w:val="18"/>
                <w:szCs w:val="18"/>
              </w:rPr>
            </w:pPr>
            <w:r>
              <w:rPr>
                <w:rFonts w:hint="eastAsia" w:ascii="微软雅黑" w:hAnsi="微软雅黑" w:cs="Arial"/>
                <w:sz w:val="18"/>
                <w:szCs w:val="18"/>
              </w:rPr>
              <w:t>【待人工填写】</w:t>
            </w:r>
          </w:p>
        </w:tc>
      </w:tr>
      <w:tr w14:paraId="3332477E">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240" w:hRule="atLeast"/>
        </w:trPr>
        <w:tc>
          <w:tcPr>
            <w:tcW w:w="977" w:type="pct"/>
            <w:vMerge w:val="continue"/>
            <w:tcBorders>
              <w:tl2br w:val="nil"/>
              <w:tr2bl w:val="nil"/>
            </w:tcBorders>
            <w:shd w:val="clear" w:color="auto" w:fill="auto"/>
            <w:tcMar>
              <w:top w:w="85" w:type="dxa"/>
              <w:bottom w:w="28" w:type="dxa"/>
            </w:tcMar>
            <w:vAlign w:val="center"/>
          </w:tcPr>
          <w:p w14:paraId="53C2022F">
            <w:pPr>
              <w:spacing w:after="0"/>
              <w:jc w:val="both"/>
            </w:pPr>
          </w:p>
        </w:tc>
        <w:tc>
          <w:tcPr>
            <w:tcW w:w="1379" w:type="pct"/>
            <w:vMerge w:val="continue"/>
            <w:tcBorders>
              <w:tl2br w:val="nil"/>
              <w:tr2bl w:val="nil"/>
            </w:tcBorders>
            <w:shd w:val="clear" w:color="auto" w:fill="auto"/>
            <w:tcMar>
              <w:top w:w="85" w:type="dxa"/>
              <w:bottom w:w="28" w:type="dxa"/>
            </w:tcMar>
            <w:vAlign w:val="center"/>
          </w:tcPr>
          <w:p w14:paraId="67EC83DD">
            <w:pPr>
              <w:spacing w:after="0"/>
              <w:jc w:val="both"/>
            </w:pPr>
          </w:p>
        </w:tc>
        <w:tc>
          <w:tcPr>
            <w:tcW w:w="2642" w:type="pct"/>
            <w:tcBorders>
              <w:tl2br w:val="nil"/>
              <w:tr2bl w:val="nil"/>
            </w:tcBorders>
            <w:shd w:val="clear" w:color="auto" w:fill="auto"/>
            <w:tcMar>
              <w:top w:w="85" w:type="dxa"/>
              <w:bottom w:w="28" w:type="dxa"/>
            </w:tcMar>
            <w:vAlign w:val="center"/>
          </w:tcPr>
          <w:p w14:paraId="33359C62">
            <w:pPr>
              <w:spacing w:after="0"/>
              <w:jc w:val="both"/>
              <w:rPr>
                <w:rFonts w:ascii="微软雅黑" w:hAnsi="微软雅黑" w:cs="Arial"/>
                <w:sz w:val="18"/>
                <w:szCs w:val="18"/>
              </w:rPr>
            </w:pPr>
            <w:r>
              <w:rPr>
                <w:rFonts w:hint="eastAsia" w:ascii="微软雅黑" w:hAnsi="微软雅黑" w:cs="Arial"/>
                <w:sz w:val="18"/>
                <w:szCs w:val="18"/>
              </w:rPr>
              <w:t>【待人工填写】</w:t>
            </w:r>
          </w:p>
        </w:tc>
      </w:tr>
      <w:tr w14:paraId="2ACEC20A">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240" w:hRule="atLeast"/>
        </w:trPr>
        <w:tc>
          <w:tcPr>
            <w:tcW w:w="977" w:type="pct"/>
            <w:vMerge w:val="continue"/>
            <w:tcBorders>
              <w:tl2br w:val="nil"/>
              <w:tr2bl w:val="nil"/>
            </w:tcBorders>
            <w:shd w:val="clear" w:color="auto" w:fill="auto"/>
            <w:tcMar>
              <w:top w:w="85" w:type="dxa"/>
              <w:bottom w:w="28" w:type="dxa"/>
            </w:tcMar>
            <w:vAlign w:val="center"/>
          </w:tcPr>
          <w:p w14:paraId="56DBA9D8">
            <w:pPr>
              <w:spacing w:after="0"/>
              <w:jc w:val="both"/>
            </w:pPr>
          </w:p>
        </w:tc>
        <w:tc>
          <w:tcPr>
            <w:tcW w:w="1379" w:type="pct"/>
            <w:vMerge w:val="continue"/>
            <w:tcBorders>
              <w:tl2br w:val="nil"/>
              <w:tr2bl w:val="nil"/>
            </w:tcBorders>
            <w:shd w:val="clear" w:color="auto" w:fill="auto"/>
            <w:tcMar>
              <w:top w:w="85" w:type="dxa"/>
              <w:bottom w:w="28" w:type="dxa"/>
            </w:tcMar>
            <w:vAlign w:val="center"/>
          </w:tcPr>
          <w:p w14:paraId="61C6520E">
            <w:pPr>
              <w:spacing w:after="0"/>
              <w:jc w:val="both"/>
            </w:pPr>
          </w:p>
        </w:tc>
        <w:tc>
          <w:tcPr>
            <w:tcW w:w="2642" w:type="pct"/>
            <w:tcBorders>
              <w:tl2br w:val="nil"/>
              <w:tr2bl w:val="nil"/>
            </w:tcBorders>
            <w:shd w:val="clear" w:color="auto" w:fill="auto"/>
            <w:tcMar>
              <w:top w:w="85" w:type="dxa"/>
              <w:bottom w:w="28" w:type="dxa"/>
            </w:tcMar>
            <w:vAlign w:val="center"/>
          </w:tcPr>
          <w:p w14:paraId="7A43E444">
            <w:pPr>
              <w:spacing w:after="0"/>
              <w:jc w:val="both"/>
              <w:rPr>
                <w:rFonts w:ascii="微软雅黑" w:hAnsi="微软雅黑" w:cs="Arial"/>
                <w:sz w:val="18"/>
                <w:szCs w:val="18"/>
              </w:rPr>
            </w:pPr>
            <w:r>
              <w:rPr>
                <w:rFonts w:hint="eastAsia" w:ascii="微软雅黑" w:hAnsi="微软雅黑" w:cs="Arial"/>
                <w:sz w:val="18"/>
                <w:szCs w:val="18"/>
              </w:rPr>
              <w:t>【待人工填写】</w:t>
            </w:r>
          </w:p>
        </w:tc>
      </w:tr>
      <w:tr w14:paraId="0AF197AA">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344" w:hRule="atLeast"/>
        </w:trPr>
        <w:tc>
          <w:tcPr>
            <w:tcW w:w="977" w:type="pct"/>
            <w:vMerge w:val="continue"/>
            <w:tcBorders>
              <w:tl2br w:val="nil"/>
              <w:tr2bl w:val="nil"/>
            </w:tcBorders>
            <w:shd w:val="clear" w:color="auto" w:fill="auto"/>
            <w:tcMar>
              <w:top w:w="85" w:type="dxa"/>
              <w:bottom w:w="28" w:type="dxa"/>
            </w:tcMar>
            <w:vAlign w:val="center"/>
          </w:tcPr>
          <w:p w14:paraId="6BA90822">
            <w:pPr>
              <w:spacing w:after="0"/>
              <w:jc w:val="both"/>
              <w:rPr>
                <w:rFonts w:ascii="微软雅黑" w:hAnsi="微软雅黑" w:cs="Arial"/>
                <w:b/>
                <w:bCs/>
                <w:sz w:val="18"/>
                <w:szCs w:val="18"/>
              </w:rPr>
            </w:pPr>
          </w:p>
        </w:tc>
        <w:tc>
          <w:tcPr>
            <w:tcW w:w="1379" w:type="pct"/>
            <w:tcBorders>
              <w:tl2br w:val="nil"/>
              <w:tr2bl w:val="nil"/>
            </w:tcBorders>
            <w:shd w:val="clear" w:color="auto" w:fill="auto"/>
            <w:tcMar>
              <w:top w:w="85" w:type="dxa"/>
              <w:bottom w:w="28" w:type="dxa"/>
            </w:tcMar>
            <w:vAlign w:val="center"/>
          </w:tcPr>
          <w:p w14:paraId="64C87E34">
            <w:pPr>
              <w:spacing w:after="0"/>
              <w:jc w:val="both"/>
              <w:rPr>
                <w:rFonts w:ascii="微软雅黑" w:hAnsi="微软雅黑" w:cs="Arial"/>
                <w:sz w:val="18"/>
                <w:szCs w:val="18"/>
              </w:rPr>
            </w:pPr>
            <w:r>
              <w:rPr>
                <w:rFonts w:hint="eastAsia" w:ascii="微软雅黑" w:hAnsi="微软雅黑" w:cs="Arial"/>
                <w:sz w:val="18"/>
                <w:szCs w:val="18"/>
              </w:rPr>
              <w:t>胚系致病变异</w:t>
            </w:r>
          </w:p>
        </w:tc>
        <w:tc>
          <w:tcPr>
            <w:tcW w:w="2642" w:type="pct"/>
            <w:tcBorders>
              <w:tl2br w:val="nil"/>
              <w:tr2bl w:val="nil"/>
            </w:tcBorders>
            <w:shd w:val="clear" w:color="auto" w:fill="auto"/>
            <w:tcMar>
              <w:top w:w="85" w:type="dxa"/>
              <w:bottom w:w="28" w:type="dxa"/>
            </w:tcMar>
            <w:vAlign w:val="center"/>
          </w:tcPr>
          <w:p w14:paraId="52AA8796">
            <w:pPr>
              <w:adjustRightInd/>
              <w:snapToGrid/>
              <w:spacing w:after="0" w:line="220" w:lineRule="atLeast"/>
              <w:jc w:val="both"/>
              <w:rPr>
                <w:rFonts w:ascii="微软雅黑" w:hAnsi="微软雅黑" w:cs="Arial"/>
                <w:sz w:val="18"/>
                <w:szCs w:val="18"/>
              </w:rPr>
            </w:pPr>
            <w:r>
              <w:rPr>
                <w:rFonts w:hint="eastAsia" w:ascii="微软雅黑" w:hAnsi="微软雅黑" w:cs="Arial"/>
                <w:sz w:val="18"/>
                <w:szCs w:val="18"/>
              </w:rPr>
              <w:t>未检出</w:t>
            </w:r>
          </w:p>
        </w:tc>
      </w:tr>
      <w:tr w14:paraId="2889BA5E">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284" w:hRule="atLeast"/>
        </w:trPr>
        <w:tc>
          <w:tcPr>
            <w:tcW w:w="2357" w:type="pct"/>
            <w:gridSpan w:val="2"/>
            <w:tcBorders>
              <w:tl2br w:val="nil"/>
              <w:tr2bl w:val="nil"/>
            </w:tcBorders>
            <w:shd w:val="clear" w:color="auto" w:fill="auto"/>
            <w:tcMar>
              <w:top w:w="85" w:type="dxa"/>
              <w:bottom w:w="28" w:type="dxa"/>
            </w:tcMar>
            <w:vAlign w:val="center"/>
          </w:tcPr>
          <w:p w14:paraId="4DBE8715">
            <w:pPr>
              <w:spacing w:after="0"/>
              <w:jc w:val="both"/>
              <w:rPr>
                <w:rFonts w:ascii="微软雅黑" w:hAnsi="微软雅黑" w:cs="Arial"/>
                <w:sz w:val="18"/>
                <w:szCs w:val="18"/>
              </w:rPr>
            </w:pPr>
            <w:r>
              <w:rPr>
                <w:rFonts w:hint="eastAsia" w:ascii="微软雅黑" w:hAnsi="微软雅黑" w:cs="Arial"/>
                <w:b/>
                <w:bCs/>
                <w:sz w:val="18"/>
                <w:szCs w:val="18"/>
              </w:rPr>
              <w:t>微卫星不稳定（MSI）</w:t>
            </w:r>
          </w:p>
        </w:tc>
        <w:tc>
          <w:tcPr>
            <w:tcW w:w="2642" w:type="pct"/>
            <w:tcBorders>
              <w:tl2br w:val="nil"/>
              <w:tr2bl w:val="nil"/>
            </w:tcBorders>
            <w:shd w:val="clear" w:color="auto" w:fill="auto"/>
            <w:tcMar>
              <w:top w:w="85" w:type="dxa"/>
              <w:bottom w:w="28" w:type="dxa"/>
            </w:tcMar>
            <w:vAlign w:val="center"/>
          </w:tcPr>
          <w:p w14:paraId="6B666D05">
            <w:pPr>
              <w:spacing w:after="0"/>
              <w:jc w:val="both"/>
              <w:rPr>
                <w:rFonts w:ascii="微软雅黑" w:hAnsi="微软雅黑" w:cs="Arial"/>
                <w:sz w:val="18"/>
                <w:szCs w:val="18"/>
              </w:rPr>
            </w:pPr>
            <w:r>
              <w:rPr>
                <w:rFonts w:hint="eastAsia" w:ascii="微软雅黑" w:hAnsi="微软雅黑" w:cs="Arial"/>
                <w:sz w:val="18"/>
                <w:szCs w:val="18"/>
              </w:rPr>
              <w:t>微卫星稳定型，MSS</w:t>
            </w:r>
          </w:p>
        </w:tc>
      </w:tr>
      <w:tr w14:paraId="44E544B0">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284" w:hRule="atLeast"/>
        </w:trPr>
        <w:tc>
          <w:tcPr>
            <w:tcW w:w="2357" w:type="pct"/>
            <w:gridSpan w:val="2"/>
            <w:tcBorders>
              <w:tl2br w:val="nil"/>
              <w:tr2bl w:val="nil"/>
            </w:tcBorders>
            <w:shd w:val="clear" w:color="auto" w:fill="auto"/>
            <w:tcMar>
              <w:top w:w="85" w:type="dxa"/>
              <w:bottom w:w="28" w:type="dxa"/>
            </w:tcMar>
            <w:vAlign w:val="center"/>
          </w:tcPr>
          <w:p w14:paraId="11C39B38">
            <w:pPr>
              <w:spacing w:after="0"/>
              <w:rPr>
                <w:rFonts w:ascii="微软雅黑" w:hAnsi="微软雅黑" w:cs="Arial"/>
                <w:b/>
                <w:bCs/>
                <w:sz w:val="18"/>
                <w:szCs w:val="18"/>
              </w:rPr>
            </w:pPr>
            <w:r>
              <w:rPr>
                <w:rFonts w:hint="eastAsia" w:ascii="微软雅黑" w:hAnsi="微软雅黑" w:cs="Arial"/>
                <w:b/>
                <w:bCs/>
                <w:sz w:val="18"/>
                <w:szCs w:val="18"/>
              </w:rPr>
              <w:t>分子分型相关基因检测结果</w:t>
            </w:r>
          </w:p>
        </w:tc>
        <w:tc>
          <w:tcPr>
            <w:tcW w:w="2642" w:type="pct"/>
            <w:tcBorders>
              <w:tl2br w:val="nil"/>
              <w:tr2bl w:val="nil"/>
            </w:tcBorders>
            <w:shd w:val="clear" w:color="auto" w:fill="auto"/>
            <w:tcMar>
              <w:top w:w="85" w:type="dxa"/>
              <w:bottom w:w="28" w:type="dxa"/>
            </w:tcMar>
            <w:vAlign w:val="center"/>
          </w:tcPr>
          <w:p w14:paraId="2E747AEE">
            <w:pPr>
              <w:spacing w:after="0"/>
              <w:jc w:val="both"/>
              <w:rPr>
                <w:rFonts w:ascii="微软雅黑" w:hAnsi="微软雅黑" w:cs="Arial"/>
                <w:sz w:val="18"/>
                <w:szCs w:val="18"/>
              </w:rPr>
            </w:pPr>
            <w:r>
              <w:rPr>
                <w:rFonts w:hint="eastAsia" w:ascii="微软雅黑" w:hAnsi="微软雅黑" w:cs="Arial"/>
                <w:sz w:val="18"/>
                <w:szCs w:val="18"/>
              </w:rPr>
              <w:t>未检出POLE基因热点突变</w:t>
            </w:r>
          </w:p>
        </w:tc>
      </w:tr>
      <w:tr w14:paraId="2FDCF835">
        <w:tblPrEx>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CellMar>
            <w:top w:w="0" w:type="dxa"/>
            <w:left w:w="108" w:type="dxa"/>
            <w:bottom w:w="0" w:type="dxa"/>
            <w:right w:w="108" w:type="dxa"/>
          </w:tblCellMar>
        </w:tblPrEx>
        <w:trPr>
          <w:trHeight w:val="284" w:hRule="atLeast"/>
        </w:trPr>
        <w:tc>
          <w:tcPr>
            <w:tcW w:w="2357" w:type="pct"/>
            <w:gridSpan w:val="2"/>
            <w:tcBorders>
              <w:tl2br w:val="nil"/>
              <w:tr2bl w:val="nil"/>
            </w:tcBorders>
            <w:shd w:val="clear" w:color="auto" w:fill="auto"/>
            <w:tcMar>
              <w:top w:w="85" w:type="dxa"/>
              <w:bottom w:w="28" w:type="dxa"/>
            </w:tcMar>
            <w:vAlign w:val="center"/>
          </w:tcPr>
          <w:p w14:paraId="740ECE86">
            <w:pPr>
              <w:spacing w:after="0"/>
              <w:rPr>
                <w:rFonts w:ascii="微软雅黑" w:hAnsi="微软雅黑" w:cs="Arial"/>
                <w:b/>
                <w:bCs/>
                <w:sz w:val="18"/>
                <w:szCs w:val="18"/>
              </w:rPr>
            </w:pPr>
            <w:r>
              <w:rPr>
                <w:rFonts w:hint="eastAsia" w:ascii="微软雅黑" w:hAnsi="微软雅黑" w:cs="Arial"/>
                <w:b/>
                <w:bCs/>
                <w:sz w:val="18"/>
                <w:szCs w:val="18"/>
              </w:rPr>
              <w:t>遗传性肿瘤风险提示</w:t>
            </w:r>
          </w:p>
        </w:tc>
        <w:tc>
          <w:tcPr>
            <w:tcW w:w="2642" w:type="pct"/>
            <w:tcBorders>
              <w:tl2br w:val="nil"/>
              <w:tr2bl w:val="nil"/>
            </w:tcBorders>
            <w:shd w:val="clear" w:color="auto" w:fill="auto"/>
            <w:tcMar>
              <w:top w:w="85" w:type="dxa"/>
              <w:bottom w:w="28" w:type="dxa"/>
            </w:tcMar>
            <w:vAlign w:val="center"/>
          </w:tcPr>
          <w:p w14:paraId="6207B01E">
            <w:pPr>
              <w:spacing w:after="0"/>
              <w:jc w:val="both"/>
              <w:rPr>
                <w:rFonts w:ascii="微软雅黑" w:hAnsi="微软雅黑" w:cs="微软雅黑"/>
                <w:bCs/>
                <w:color w:val="000000" w:themeColor="text1"/>
                <w:kern w:val="2"/>
                <w:sz w:val="18"/>
                <w:szCs w:val="18"/>
                <w:lang w:bidi="ar"/>
                <w14:textFill>
                  <w14:solidFill>
                    <w14:schemeClr w14:val="tx1"/>
                  </w14:solidFill>
                </w14:textFill>
              </w:rPr>
            </w:pPr>
            <w:r>
              <w:rPr>
                <w:rFonts w:hint="eastAsia" w:ascii="微软雅黑" w:hAnsi="微软雅黑" w:cs="Arial"/>
                <w:sz w:val="18"/>
                <w:szCs w:val="18"/>
              </w:rPr>
              <w:t>未发现明确有害的可遗传胚系变异</w:t>
            </w:r>
          </w:p>
        </w:tc>
      </w:tr>
      <w:bookmarkEnd w:id="9"/>
    </w:tbl>
    <w:p w14:paraId="54BAD9A7">
      <w:pPr>
        <w:adjustRightInd/>
        <w:snapToGrid/>
        <w:spacing w:after="0"/>
        <w:jc w:val="both"/>
        <w:rPr>
          <w:rFonts w:ascii="微软雅黑" w:hAnsi="微软雅黑"/>
          <w:sz w:val="18"/>
        </w:rPr>
      </w:pPr>
      <w:r>
        <w:rPr>
          <w:rFonts w:hint="eastAsia" w:ascii="微软雅黑" w:hAnsi="微软雅黑"/>
          <w:sz w:val="18"/>
        </w:rPr>
        <w:t>备注：</w:t>
      </w:r>
    </w:p>
    <w:p w14:paraId="75951A21">
      <w:pPr>
        <w:numPr>
          <w:ilvl w:val="0"/>
          <w:numId w:val="4"/>
        </w:numPr>
        <w:adjustRightInd/>
        <w:snapToGrid/>
        <w:spacing w:after="0"/>
        <w:jc w:val="both"/>
        <w:rPr>
          <w:rFonts w:ascii="微软雅黑" w:hAnsi="微软雅黑"/>
          <w:sz w:val="18"/>
        </w:rPr>
      </w:pPr>
      <w:r>
        <w:rPr>
          <w:rFonts w:hint="eastAsia" w:ascii="微软雅黑" w:hAnsi="微软雅黑"/>
          <w:sz w:val="18"/>
        </w:rPr>
        <w:t>体细胞变异按照临床意义的重要性分为四个等级：Ⅰ类变异（较强临床意义，具有A或B级证据的变异），Ⅱ类变异（潜在临床意义，具有C或D级证据的变异），Ⅲ类变异（临床意义未明的变异，尚无相关临床证据），Ⅳ类变异（良性和可能良性变异，报告未列出）。随临床证据更新药物推荐结果及分级可能产生变化。</w:t>
      </w:r>
    </w:p>
    <w:p w14:paraId="4F1635EB">
      <w:pPr>
        <w:numPr>
          <w:ilvl w:val="0"/>
          <w:numId w:val="4"/>
        </w:numPr>
        <w:adjustRightInd/>
        <w:snapToGrid/>
        <w:spacing w:after="0"/>
        <w:jc w:val="both"/>
        <w:rPr>
          <w:rFonts w:ascii="微软雅黑" w:hAnsi="微软雅黑"/>
          <w:sz w:val="18"/>
        </w:rPr>
      </w:pPr>
      <w:r>
        <w:rPr>
          <w:rFonts w:hint="eastAsia" w:ascii="微软雅黑" w:hAnsi="微软雅黑"/>
          <w:sz w:val="18"/>
        </w:rPr>
        <w:t>小结中仅展示突变频率5%以上变异，具体检出情况详见正文。</w:t>
      </w:r>
    </w:p>
    <w:p w14:paraId="22DC04FC">
      <w:pPr>
        <w:rPr>
          <w:rFonts w:ascii="微软雅黑" w:hAnsi="微软雅黑"/>
          <w:sz w:val="18"/>
        </w:rPr>
      </w:pPr>
      <w:r>
        <w:rPr>
          <w:rFonts w:hint="eastAsia" w:ascii="微软雅黑" w:hAnsi="微软雅黑"/>
          <w:sz w:val="18"/>
        </w:rPr>
        <w:br w:type="page"/>
      </w:r>
    </w:p>
    <w:p w14:paraId="2538E681">
      <w:pPr>
        <w:pStyle w:val="29"/>
        <w:numPr>
          <w:ilvl w:val="0"/>
          <w:numId w:val="3"/>
        </w:numPr>
        <w:adjustRightInd/>
        <w:snapToGrid/>
        <w:spacing w:before="200" w:after="120" w:afterLines="50"/>
        <w:ind w:firstLineChars="0"/>
        <w:rPr>
          <w:rFonts w:ascii="微软雅黑" w:hAnsi="微软雅黑"/>
          <w:b/>
          <w:color w:val="00C4D8"/>
          <w:sz w:val="28"/>
          <w:szCs w:val="28"/>
        </w:rPr>
      </w:pPr>
      <w:r>
        <w:rPr>
          <w:rFonts w:hint="eastAsia" w:ascii="微软雅黑" w:hAnsi="微软雅黑"/>
          <w:b/>
          <w:color w:val="00C4D8"/>
          <w:sz w:val="28"/>
          <w:szCs w:val="28"/>
        </w:rPr>
        <w:t>体细胞变异及靶向/免疫药物用药提示</w:t>
      </w:r>
    </w:p>
    <w:tbl>
      <w:tblPr>
        <w:tblStyle w:val="15"/>
        <w:tblW w:w="8425" w:type="dxa"/>
        <w:tblInd w:w="-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1"/>
        <w:gridCol w:w="1787"/>
        <w:gridCol w:w="900"/>
        <w:gridCol w:w="3557"/>
        <w:gridCol w:w="1220"/>
      </w:tblGrid>
      <w:tr w14:paraId="09DA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961" w:type="dxa"/>
            <w:shd w:val="clear" w:color="auto" w:fill="00C4D8"/>
            <w:vAlign w:val="center"/>
          </w:tcPr>
          <w:p w14:paraId="11077135">
            <w:pPr>
              <w:numPr>
                <w:ilvl w:val="255"/>
                <w:numId w:val="0"/>
              </w:numPr>
              <w:adjustRightInd/>
              <w:snapToGrid/>
              <w:spacing w:after="0"/>
              <w:jc w:val="center"/>
              <w:rPr>
                <w:rFonts w:ascii="微软雅黑" w:hAnsi="微软雅黑" w:cs="微软雅黑"/>
                <w:color w:val="0000FF"/>
                <w:kern w:val="2"/>
                <w:sz w:val="18"/>
                <w:szCs w:val="18"/>
                <w:u w:val="single"/>
                <w:lang w:bidi="ar"/>
              </w:rPr>
            </w:pPr>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1787" w:type="dxa"/>
            <w:shd w:val="clear" w:color="auto" w:fill="00C4D8"/>
            <w:vAlign w:val="center"/>
          </w:tcPr>
          <w:p w14:paraId="4DABB12B">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900" w:type="dxa"/>
            <w:shd w:val="clear" w:color="auto" w:fill="00C4D8"/>
            <w:vAlign w:val="center"/>
          </w:tcPr>
          <w:p w14:paraId="20EBC2E0">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基因变异类型</w:t>
            </w:r>
          </w:p>
        </w:tc>
        <w:tc>
          <w:tcPr>
            <w:tcW w:w="3557" w:type="dxa"/>
            <w:shd w:val="clear" w:color="auto" w:fill="00C4D8"/>
            <w:vAlign w:val="center"/>
          </w:tcPr>
          <w:p w14:paraId="0218267C">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潜在获益靶向/免疫药物</w:t>
            </w:r>
          </w:p>
          <w:p w14:paraId="1E3891CA">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220" w:type="dxa"/>
            <w:shd w:val="clear" w:color="auto" w:fill="00C4D8"/>
            <w:vAlign w:val="center"/>
          </w:tcPr>
          <w:p w14:paraId="16975715">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0EC0D6CD">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7913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2" w:hRule="atLeast"/>
        </w:trPr>
        <w:tc>
          <w:tcPr>
            <w:tcW w:w="961" w:type="dxa"/>
            <w:vMerge w:val="restart"/>
            <w:vAlign w:val="center"/>
          </w:tcPr>
          <w:p w14:paraId="2415BC29">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tc>
        <w:tc>
          <w:tcPr>
            <w:tcW w:w="1787" w:type="dxa"/>
            <w:vAlign w:val="center"/>
          </w:tcPr>
          <w:p w14:paraId="1F24066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lang w:eastAsia="zh-CN"/>
              </w:rPr>
            </w:r>
            <w:r>
              <w:rPr>
                <w:rFonts w:hint="eastAsia" w:ascii="微软雅黑" w:hAnsi="微软雅黑" w:cs="微软雅黑"/>
                <w:bCs/>
                <w:kern w:val="2"/>
                <w:sz w:val="18"/>
                <w:szCs w:val="18"/>
              </w:rPr>
            </w:r>
          </w:p>
          <w:p w14:paraId="37C8D2D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900" w:type="dxa"/>
            <w:vAlign w:val="center"/>
          </w:tcPr>
          <w:p w14:paraId="656CEAAD">
            <w:pPr>
              <w:adjustRightInd/>
              <w:snapToGrid/>
              <w:spacing w:after="0" w:line="220" w:lineRule="atLeast"/>
              <w:jc w:val="center"/>
              <w:rPr>
                <w:rFonts w:ascii="微软雅黑" w:hAnsi="微软雅黑" w:cs="Arial Unicode MS"/>
                <w:kern w:val="2"/>
                <w:sz w:val="18"/>
                <w:szCs w:val="18"/>
              </w:rPr>
            </w:pPr>
            <w:r>
              <w:rPr>
                <w:rFonts w:hint="eastAsia" w:ascii="微软雅黑" w:hAnsi="微软雅黑" w:cs="Arial Unicode MS"/>
                <w:kern w:val="2"/>
                <w:sz w:val="18"/>
                <w:szCs w:val="18"/>
              </w:rPr>
            </w:r>
          </w:p>
        </w:tc>
        <w:tc>
          <w:tcPr>
            <w:tcW w:w="3557" w:type="dxa"/>
            <w:vMerge w:val="restart"/>
            <w:vAlign w:val="center"/>
          </w:tcPr>
          <w:p w14:paraId="79A86B96">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r>
          </w:p>
          <w:p w14:paraId="3E2A09D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6862B43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4897B92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4AB89A6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4E8FDBC9">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6997F752">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267E8AE5">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2ED3F0A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0EE576E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7E76C564">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3C0D15D9">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3DB9407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14A2C53B">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23BCE9E0">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tc>
        <w:tc>
          <w:tcPr>
            <w:tcW w:w="1220" w:type="dxa"/>
            <w:vMerge w:val="restart"/>
            <w:vAlign w:val="center"/>
          </w:tcPr>
          <w:p w14:paraId="7AE3FCFD">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rPr>
            </w:r>
          </w:p>
        </w:tc>
      </w:tr>
      <w:tr w14:paraId="4B3A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1" w:type="dxa"/>
            <w:vMerge w:val="continue"/>
            <w:vAlign w:val="center"/>
          </w:tcPr>
          <w:p w14:paraId="21CD5AE4">
            <w:pPr>
              <w:spacing w:after="0" w:line="220" w:lineRule="atLeast"/>
              <w:jc w:val="center"/>
              <w:rPr>
                <w:rFonts w:ascii="微软雅黑" w:hAnsi="微软雅黑" w:cs="微软雅黑"/>
                <w:bCs/>
                <w:color w:val="0000FF"/>
                <w:kern w:val="2"/>
                <w:sz w:val="18"/>
                <w:szCs w:val="18"/>
                <w:u w:val="single"/>
              </w:rPr>
            </w:pPr>
          </w:p>
        </w:tc>
        <w:tc>
          <w:tcPr>
            <w:tcW w:w="1787" w:type="dxa"/>
            <w:vAlign w:val="center"/>
          </w:tcPr>
          <w:p w14:paraId="7685E0E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p w14:paraId="563DC87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900" w:type="dxa"/>
            <w:vAlign w:val="center"/>
          </w:tcPr>
          <w:p w14:paraId="5AF5E946">
            <w:pPr>
              <w:adjustRightInd/>
              <w:snapToGrid/>
              <w:spacing w:after="0" w:line="220" w:lineRule="atLeast"/>
              <w:jc w:val="center"/>
              <w:rPr>
                <w:rFonts w:ascii="微软雅黑" w:hAnsi="微软雅黑" w:cs="Arial Unicode MS"/>
                <w:kern w:val="2"/>
                <w:sz w:val="18"/>
                <w:szCs w:val="18"/>
              </w:rPr>
            </w:pPr>
            <w:r>
              <w:rPr>
                <w:rFonts w:hint="eastAsia" w:ascii="微软雅黑" w:hAnsi="微软雅黑" w:cs="Arial Unicode MS"/>
                <w:kern w:val="2"/>
                <w:sz w:val="18"/>
                <w:szCs w:val="18"/>
              </w:rPr>
            </w:r>
          </w:p>
        </w:tc>
        <w:tc>
          <w:tcPr>
            <w:tcW w:w="3557" w:type="dxa"/>
            <w:vMerge w:val="continue"/>
            <w:vAlign w:val="center"/>
          </w:tcPr>
          <w:p w14:paraId="3E000820">
            <w:pPr>
              <w:adjustRightInd/>
              <w:snapToGrid/>
              <w:spacing w:after="0" w:line="220" w:lineRule="atLeast"/>
              <w:jc w:val="center"/>
              <w:rPr>
                <w:rFonts w:ascii="微软雅黑" w:hAnsi="微软雅黑" w:cs="微软雅黑"/>
                <w:bCs/>
                <w:color w:val="0000FF"/>
                <w:kern w:val="2"/>
                <w:sz w:val="18"/>
                <w:szCs w:val="18"/>
                <w:u w:val="single"/>
              </w:rPr>
            </w:pPr>
          </w:p>
        </w:tc>
        <w:tc>
          <w:tcPr>
            <w:tcW w:w="1220" w:type="dxa"/>
            <w:vMerge w:val="continue"/>
            <w:vAlign w:val="center"/>
          </w:tcPr>
          <w:p w14:paraId="747C3E54">
            <w:pPr>
              <w:adjustRightInd/>
              <w:snapToGrid/>
              <w:spacing w:after="0" w:line="220" w:lineRule="atLeast"/>
              <w:jc w:val="center"/>
              <w:rPr>
                <w:rFonts w:ascii="微软雅黑" w:hAnsi="微软雅黑"/>
                <w:bCs/>
                <w:color w:val="0000FF"/>
                <w:kern w:val="2"/>
                <w:sz w:val="2"/>
                <w:szCs w:val="2"/>
                <w:u w:val="single"/>
              </w:rPr>
            </w:pPr>
          </w:p>
        </w:tc>
      </w:tr>
      <w:tr w14:paraId="25E8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1" w:type="dxa"/>
            <w:vAlign w:val="center"/>
          </w:tcPr>
          <w:p w14:paraId="20E9A7AD">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tc>
        <w:tc>
          <w:tcPr>
            <w:tcW w:w="1787" w:type="dxa"/>
            <w:vAlign w:val="center"/>
          </w:tcPr>
          <w:p w14:paraId="171D221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p w14:paraId="3E1BA63B">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900" w:type="dxa"/>
            <w:vAlign w:val="center"/>
          </w:tcPr>
          <w:p w14:paraId="1FB74C20">
            <w:pPr>
              <w:adjustRightInd/>
              <w:snapToGrid/>
              <w:spacing w:after="0" w:line="220" w:lineRule="atLeast"/>
              <w:jc w:val="center"/>
              <w:rPr>
                <w:rFonts w:ascii="微软雅黑" w:hAnsi="微软雅黑" w:cs="Arial Unicode MS"/>
                <w:kern w:val="2"/>
                <w:sz w:val="18"/>
                <w:szCs w:val="18"/>
              </w:rPr>
            </w:pPr>
            <w:r>
              <w:rPr>
                <w:rFonts w:hint="eastAsia" w:ascii="微软雅黑" w:hAnsi="微软雅黑" w:cs="Arial Unicode MS"/>
                <w:kern w:val="2"/>
                <w:sz w:val="18"/>
                <w:szCs w:val="18"/>
              </w:rPr>
            </w:r>
          </w:p>
        </w:tc>
        <w:tc>
          <w:tcPr>
            <w:tcW w:w="3557" w:type="dxa"/>
            <w:vAlign w:val="center"/>
          </w:tcPr>
          <w:p w14:paraId="7CAEF813">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r>
          </w:p>
          <w:p w14:paraId="07B782E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tc>
        <w:tc>
          <w:tcPr>
            <w:tcW w:w="1220" w:type="dxa"/>
            <w:vAlign w:val="center"/>
          </w:tcPr>
          <w:p w14:paraId="4AF70732">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rPr>
            </w:r>
          </w:p>
        </w:tc>
      </w:tr>
      <w:tr w14:paraId="1FE00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1" w:type="dxa"/>
            <w:vAlign w:val="center"/>
          </w:tcPr>
          <w:p w14:paraId="028B85CD">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tc>
        <w:tc>
          <w:tcPr>
            <w:tcW w:w="1787" w:type="dxa"/>
            <w:vAlign w:val="center"/>
          </w:tcPr>
          <w:p w14:paraId="5221FD38">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p w14:paraId="254251D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900" w:type="dxa"/>
            <w:vAlign w:val="center"/>
          </w:tcPr>
          <w:p w14:paraId="46116832">
            <w:pPr>
              <w:adjustRightInd/>
              <w:snapToGrid/>
              <w:spacing w:after="0" w:line="220" w:lineRule="atLeast"/>
              <w:jc w:val="center"/>
              <w:rPr>
                <w:rFonts w:ascii="微软雅黑" w:hAnsi="微软雅黑" w:cs="Arial Unicode MS"/>
                <w:kern w:val="2"/>
                <w:sz w:val="18"/>
                <w:szCs w:val="18"/>
              </w:rPr>
            </w:pPr>
            <w:r>
              <w:rPr>
                <w:rFonts w:hint="eastAsia" w:ascii="微软雅黑" w:hAnsi="微软雅黑" w:cs="Arial Unicode MS"/>
                <w:kern w:val="2"/>
                <w:sz w:val="18"/>
                <w:szCs w:val="18"/>
              </w:rPr>
            </w:r>
          </w:p>
        </w:tc>
        <w:tc>
          <w:tcPr>
            <w:tcW w:w="3557" w:type="dxa"/>
            <w:vAlign w:val="center"/>
          </w:tcPr>
          <w:p w14:paraId="040A4364">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r>
          </w:p>
          <w:p w14:paraId="716FE984">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18D3274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099D6728">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5D598979">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0AA7BE1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66483790">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08ADFB9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3CCD5C49">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71E3B9E7">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315F470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30915DB8">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251B9343">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43699E0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p w14:paraId="1BB9CD0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tc>
        <w:tc>
          <w:tcPr>
            <w:tcW w:w="1220" w:type="dxa"/>
            <w:vAlign w:val="center"/>
          </w:tcPr>
          <w:p w14:paraId="6A6AB965">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rPr>
            </w:r>
          </w:p>
        </w:tc>
      </w:tr>
    </w:tbl>
    <w:p w14:paraId="5A3E563D">
      <w:pPr>
        <w:rPr>
          <w:rFonts w:ascii="微软雅黑" w:hAnsi="微软雅黑"/>
          <w:b/>
          <w:color w:val="00C4D8"/>
          <w:sz w:val="28"/>
          <w:szCs w:val="28"/>
        </w:rPr>
      </w:pPr>
    </w:p>
    <w:p w14:paraId="6C7F0EC6">
      <w:pPr>
        <w:rPr>
          <w:rFonts w:ascii="微软雅黑" w:hAnsi="微软雅黑"/>
          <w:b/>
          <w:color w:val="00C4D8"/>
          <w:sz w:val="28"/>
          <w:szCs w:val="28"/>
        </w:rPr>
      </w:pPr>
    </w:p>
    <w:p w14:paraId="34641F8B">
      <w:pPr>
        <w:pStyle w:val="29"/>
        <w:numPr>
          <w:ilvl w:val="0"/>
          <w:numId w:val="3"/>
        </w:numPr>
        <w:adjustRightInd/>
        <w:snapToGrid/>
        <w:spacing w:before="200" w:after="120" w:afterLines="50"/>
        <w:ind w:firstLineChars="0"/>
        <w:rPr>
          <w:rFonts w:ascii="微软雅黑" w:hAnsi="微软雅黑"/>
          <w:b/>
          <w:color w:val="00C4D8"/>
          <w:sz w:val="28"/>
          <w:szCs w:val="28"/>
        </w:rPr>
      </w:pPr>
      <w:r>
        <w:rPr>
          <w:rFonts w:hint="eastAsia" w:ascii="微软雅黑" w:hAnsi="微软雅黑"/>
          <w:b/>
          <w:color w:val="00C4D8"/>
          <w:sz w:val="28"/>
          <w:szCs w:val="28"/>
        </w:rPr>
        <w:t>致病/疑似致病胚系变异及靶向/免疫药物用药提示</w:t>
      </w:r>
    </w:p>
    <w:tbl>
      <w:tblPr>
        <w:tblStyle w:val="15"/>
        <w:tblW w:w="84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1800"/>
        <w:gridCol w:w="3135"/>
        <w:gridCol w:w="1888"/>
      </w:tblGrid>
      <w:tr w14:paraId="7F28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84" w:type="dxa"/>
            <w:shd w:val="clear" w:color="auto" w:fill="00C4D8"/>
            <w:vAlign w:val="center"/>
          </w:tcPr>
          <w:p w14:paraId="5BDCDE18">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1800" w:type="dxa"/>
            <w:shd w:val="clear" w:color="auto" w:fill="00C4D8"/>
            <w:vAlign w:val="center"/>
          </w:tcPr>
          <w:p w14:paraId="4084A159">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135" w:type="dxa"/>
            <w:shd w:val="clear" w:color="auto" w:fill="00C4D8"/>
            <w:vAlign w:val="center"/>
          </w:tcPr>
          <w:p w14:paraId="11477E1F">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潜在获益靶向/免疫药物</w:t>
            </w:r>
          </w:p>
          <w:p w14:paraId="68BBB49D">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88" w:type="dxa"/>
            <w:shd w:val="clear" w:color="auto" w:fill="00C4D8"/>
            <w:vAlign w:val="center"/>
          </w:tcPr>
          <w:p w14:paraId="658FBCE3">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33B03C6C">
            <w:pPr>
              <w:adjustRightInd/>
              <w:snapToGrid/>
              <w:spacing w:after="0"/>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115B6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584" w:type="dxa"/>
            <w:vAlign w:val="center"/>
          </w:tcPr>
          <w:p w14:paraId="78297545">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t>--</w:t>
            </w:r>
          </w:p>
        </w:tc>
        <w:tc>
          <w:tcPr>
            <w:tcW w:w="1800" w:type="dxa"/>
            <w:vAlign w:val="center"/>
          </w:tcPr>
          <w:p w14:paraId="6FC64194">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lang w:bidi="ar"/>
              </w:rPr>
              <w:t>--</w:t>
            </w:r>
          </w:p>
        </w:tc>
        <w:tc>
          <w:tcPr>
            <w:tcW w:w="3135" w:type="dxa"/>
            <w:vAlign w:val="center"/>
          </w:tcPr>
          <w:p w14:paraId="405FBE73">
            <w:pPr>
              <w:adjustRightInd/>
              <w:snapToGrid/>
              <w:spacing w:after="0" w:line="220" w:lineRule="atLeast"/>
              <w:jc w:val="center"/>
              <w:rPr>
                <w:rFonts w:ascii="微软雅黑" w:hAnsi="微软雅黑" w:cs="Times New Roman"/>
                <w:bCs/>
                <w:color w:val="0000FF"/>
                <w:kern w:val="2"/>
                <w:sz w:val="18"/>
                <w:szCs w:val="18"/>
                <w:u w:val="single"/>
                <w:lang w:bidi="ar"/>
              </w:rPr>
            </w:pPr>
            <w:r>
              <w:rPr>
                <w:rFonts w:hint="eastAsia" w:ascii="微软雅黑" w:hAnsi="微软雅黑" w:cs="微软雅黑"/>
                <w:bCs/>
                <w:kern w:val="2"/>
                <w:sz w:val="18"/>
                <w:szCs w:val="18"/>
                <w:lang w:bidi="ar"/>
              </w:rPr>
              <w:t>--</w:t>
            </w:r>
          </w:p>
        </w:tc>
        <w:tc>
          <w:tcPr>
            <w:tcW w:w="1888" w:type="dxa"/>
            <w:vAlign w:val="center"/>
          </w:tcPr>
          <w:p w14:paraId="643E2158">
            <w:pPr>
              <w:adjustRightInd/>
              <w:snapToGrid/>
              <w:spacing w:after="0" w:line="220" w:lineRule="atLeast"/>
              <w:jc w:val="center"/>
              <w:rPr>
                <w:rFonts w:ascii="微软雅黑" w:hAnsi="微软雅黑" w:cs="微软雅黑"/>
                <w:bCs/>
                <w:kern w:val="2"/>
                <w:sz w:val="18"/>
                <w:szCs w:val="18"/>
                <w:lang w:bidi="ar"/>
              </w:rPr>
            </w:pPr>
            <w:r>
              <w:rPr>
                <w:rFonts w:hint="eastAsia" w:ascii="微软雅黑" w:hAnsi="微软雅黑" w:cs="微软雅黑"/>
                <w:bCs/>
                <w:kern w:val="2"/>
                <w:sz w:val="18"/>
                <w:szCs w:val="18"/>
                <w:lang w:bidi="ar"/>
              </w:rPr>
              <w:t>--</w:t>
            </w:r>
          </w:p>
        </w:tc>
      </w:tr>
    </w:tbl>
    <w:p w14:paraId="4B9BFC8A">
      <w:pPr>
        <w:adjustRightInd/>
        <w:snapToGrid/>
        <w:spacing w:after="0"/>
        <w:jc w:val="both"/>
        <w:rPr>
          <w:rFonts w:ascii="微软雅黑" w:hAnsi="微软雅黑"/>
          <w:sz w:val="18"/>
        </w:rPr>
      </w:pPr>
      <w:r>
        <w:rPr>
          <w:rFonts w:hint="eastAsia" w:ascii="微软雅黑" w:hAnsi="微软雅黑"/>
          <w:sz w:val="18"/>
        </w:rPr>
        <w:t>备注：</w:t>
      </w:r>
    </w:p>
    <w:p w14:paraId="15ABD4B0">
      <w:pPr>
        <w:adjustRightInd/>
        <w:snapToGrid/>
        <w:spacing w:after="0"/>
        <w:jc w:val="both"/>
        <w:rPr>
          <w:rFonts w:ascii="微软雅黑" w:hAnsi="微软雅黑"/>
          <w:sz w:val="18"/>
        </w:rPr>
      </w:pPr>
      <w:r>
        <w:rPr>
          <w:rFonts w:ascii="微软雅黑" w:hAnsi="微软雅黑"/>
          <w:sz w:val="18"/>
        </w:rPr>
        <w:t>1.</w:t>
      </w:r>
      <w:r>
        <w:rPr>
          <w:rFonts w:hint="eastAsia" w:ascii="微软雅黑" w:hAnsi="微软雅黑"/>
          <w:sz w:val="18"/>
        </w:rPr>
        <w:t>具有相关临床试验的基因变异，其具体临床试验见第二部分“基因变异及相应靶向/免疫药物解析”。</w:t>
      </w:r>
    </w:p>
    <w:p w14:paraId="0578FFAD">
      <w:pPr>
        <w:adjustRightInd/>
        <w:snapToGrid/>
        <w:spacing w:after="0"/>
        <w:jc w:val="both"/>
        <w:rPr>
          <w:rFonts w:ascii="微软雅黑" w:hAnsi="微软雅黑"/>
          <w:sz w:val="18"/>
        </w:rPr>
      </w:pPr>
      <w:r>
        <w:rPr>
          <w:rFonts w:ascii="微软雅黑" w:hAnsi="微软雅黑"/>
          <w:sz w:val="18"/>
        </w:rPr>
        <w:t>2.</w:t>
      </w:r>
      <w:r>
        <w:rPr>
          <w:rFonts w:hint="eastAsia" w:ascii="微软雅黑" w:hAnsi="微软雅黑"/>
          <w:sz w:val="18"/>
        </w:rPr>
        <w:t>变异与药物敏感性证据等级依据AMP/ASCO/CAP相关指南，将证据等级分为四个等级：</w:t>
      </w:r>
    </w:p>
    <w:p w14:paraId="23F2F60B">
      <w:pPr>
        <w:numPr>
          <w:ilvl w:val="255"/>
          <w:numId w:val="0"/>
        </w:numPr>
        <w:adjustRightInd/>
        <w:snapToGrid/>
        <w:spacing w:after="0"/>
        <w:jc w:val="both"/>
        <w:rPr>
          <w:rFonts w:ascii="微软雅黑" w:hAnsi="微软雅黑"/>
          <w:sz w:val="18"/>
        </w:rPr>
      </w:pPr>
      <w:r>
        <w:rPr>
          <w:rFonts w:hint="eastAsia" w:ascii="微软雅黑" w:hAnsi="微软雅黑"/>
          <w:sz w:val="18"/>
        </w:rPr>
        <w:t>Level A：FDA/NMPA或专业指南批准/推荐在本癌种中针对该靶点治疗有响应或耐药的药物；</w:t>
      </w:r>
    </w:p>
    <w:p w14:paraId="53D0B719">
      <w:pPr>
        <w:numPr>
          <w:ilvl w:val="255"/>
          <w:numId w:val="0"/>
        </w:numPr>
        <w:adjustRightInd/>
        <w:snapToGrid/>
        <w:spacing w:after="0"/>
        <w:jc w:val="both"/>
        <w:rPr>
          <w:rFonts w:ascii="微软雅黑" w:hAnsi="微软雅黑"/>
          <w:sz w:val="18"/>
        </w:rPr>
      </w:pPr>
      <w:r>
        <w:rPr>
          <w:rFonts w:hint="eastAsia" w:ascii="微软雅黑" w:hAnsi="微软雅黑"/>
          <w:sz w:val="18"/>
        </w:rPr>
        <w:t>Level B：专家共识明确在本癌种中针对该靶点治疗有响应或耐药的药物；</w:t>
      </w:r>
    </w:p>
    <w:p w14:paraId="2A206C4B">
      <w:pPr>
        <w:numPr>
          <w:ilvl w:val="255"/>
          <w:numId w:val="0"/>
        </w:numPr>
        <w:adjustRightInd/>
        <w:snapToGrid/>
        <w:spacing w:after="0"/>
        <w:jc w:val="both"/>
        <w:rPr>
          <w:rFonts w:ascii="微软雅黑" w:hAnsi="微软雅黑"/>
          <w:sz w:val="18"/>
        </w:rPr>
      </w:pPr>
      <w:r>
        <w:rPr>
          <w:rFonts w:hint="eastAsia" w:ascii="微软雅黑" w:hAnsi="微软雅黑"/>
          <w:sz w:val="18"/>
        </w:rPr>
        <w:t>Level C：FDA/NMPA或专业指南批准/推荐在其他癌种中针对该靶点治疗有响应或耐药的药物，或已作为临床试验的筛选入组标准；</w:t>
      </w:r>
    </w:p>
    <w:p w14:paraId="7E45BF00">
      <w:pPr>
        <w:numPr>
          <w:ilvl w:val="255"/>
          <w:numId w:val="0"/>
        </w:numPr>
        <w:adjustRightInd/>
        <w:snapToGrid/>
        <w:spacing w:after="0"/>
        <w:jc w:val="both"/>
        <w:rPr>
          <w:rFonts w:ascii="微软雅黑" w:hAnsi="微软雅黑"/>
          <w:sz w:val="18"/>
        </w:rPr>
      </w:pPr>
      <w:r>
        <w:rPr>
          <w:rFonts w:hint="eastAsia" w:ascii="微软雅黑" w:hAnsi="微软雅黑"/>
          <w:sz w:val="18"/>
        </w:rPr>
        <w:t>Level D：临床前研究/案例报道显示针对该靶点可能对治疗有响应或耐药的药物。</w:t>
      </w:r>
    </w:p>
    <w:p w14:paraId="05105854">
      <w:pPr>
        <w:adjustRightInd/>
        <w:snapToGrid/>
        <w:spacing w:after="0"/>
        <w:jc w:val="both"/>
        <w:rPr>
          <w:rFonts w:ascii="微软雅黑" w:hAnsi="微软雅黑"/>
          <w:sz w:val="18"/>
        </w:rPr>
      </w:pPr>
      <w:r>
        <w:rPr>
          <w:rFonts w:ascii="微软雅黑" w:hAnsi="微软雅黑"/>
          <w:sz w:val="18"/>
        </w:rPr>
        <w:t>3.</w:t>
      </w:r>
      <w:r>
        <w:rPr>
          <w:rFonts w:hint="eastAsia" w:ascii="微软雅黑" w:hAnsi="微软雅黑"/>
          <w:sz w:val="18"/>
        </w:rPr>
        <w:t>体细胞变异按照临床意义的重要性分为四个等级：Ⅰ类变异（较强临床意义，具有A或B级证据的变异），Ⅱ类变异（潜在临床意义，具有C 或D级证据的变异），Ⅲ类变异（临床意义未明的变异，尚无相关临床证据），Ⅳ类变异（良性和可能良性变异，报告未列出）。随临床证据更新药物推荐结果及分级可能产生变化。</w:t>
      </w:r>
    </w:p>
    <w:p w14:paraId="65A55066">
      <w:pPr>
        <w:adjustRightInd/>
        <w:snapToGrid/>
        <w:spacing w:after="0"/>
        <w:jc w:val="both"/>
        <w:rPr>
          <w:rFonts w:ascii="微软雅黑" w:hAnsi="微软雅黑"/>
          <w:b/>
          <w:bCs/>
          <w:sz w:val="18"/>
          <w:szCs w:val="18"/>
        </w:rPr>
      </w:pPr>
      <w:r>
        <w:rPr>
          <w:rFonts w:ascii="微软雅黑" w:hAnsi="微软雅黑"/>
          <w:sz w:val="18"/>
        </w:rPr>
        <w:t>4.上表涉及的已上市的药物名称及对应的商品名称：【草稿未填，请按本例涉及药物补全】</w:t>
      </w:r>
      <w:r>
        <w:rPr>
          <w:rFonts w:hint="eastAsia" w:ascii="微软雅黑" w:hAnsi="微软雅黑"/>
          <w:sz w:val="18"/>
        </w:rPr>
      </w:r>
      <w:r>
        <w:rPr>
          <w:rFonts w:hint="eastAsia" w:ascii="微软雅黑" w:hAnsi="微软雅黑"/>
          <w:b/>
          <w:bCs/>
          <w:sz w:val="18"/>
        </w:rPr>
      </w:r>
      <w:r>
        <w:rPr>
          <w:rFonts w:hint="eastAsia" w:ascii="微软雅黑" w:hAnsi="微软雅黑"/>
          <w:b/>
          <w:bCs/>
          <w:sz w:val="18"/>
          <w:szCs w:val="18"/>
        </w:rPr>
      </w:r>
    </w:p>
    <w:p w14:paraId="176C9522">
      <w:pPr>
        <w:adjustRightInd/>
        <w:snapToGrid/>
        <w:spacing w:after="0"/>
        <w:jc w:val="both"/>
        <w:rPr>
          <w:rFonts w:ascii="微软雅黑" w:hAnsi="微软雅黑"/>
          <w:b/>
          <w:bCs/>
          <w:sz w:val="18"/>
          <w:szCs w:val="18"/>
        </w:rPr>
      </w:pPr>
    </w:p>
    <w:bookmarkEnd w:id="7"/>
    <w:p w14:paraId="48DEC20D">
      <w:pPr>
        <w:pStyle w:val="29"/>
        <w:numPr>
          <w:ilvl w:val="0"/>
          <w:numId w:val="3"/>
        </w:numPr>
        <w:adjustRightInd/>
        <w:snapToGrid/>
        <w:spacing w:before="200" w:after="120" w:afterLines="50"/>
        <w:ind w:firstLineChars="0"/>
        <w:rPr>
          <w:rFonts w:ascii="微软雅黑" w:hAnsi="微软雅黑"/>
          <w:b/>
          <w:color w:val="00C4D8"/>
          <w:sz w:val="28"/>
          <w:szCs w:val="28"/>
        </w:rPr>
      </w:pPr>
      <w:bookmarkStart w:id="10" w:name="_Toc20679"/>
      <w:r>
        <w:rPr>
          <w:rFonts w:hint="eastAsia" w:ascii="微软雅黑" w:hAnsi="微软雅黑"/>
          <w:b/>
          <w:color w:val="00C4D8"/>
          <w:sz w:val="28"/>
          <w:szCs w:val="28"/>
        </w:rPr>
        <w:t>分子分型相关基因检测结果</w:t>
      </w:r>
    </w:p>
    <w:tbl>
      <w:tblPr>
        <w:tblStyle w:val="14"/>
        <w:tblW w:w="8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513"/>
        <w:gridCol w:w="4467"/>
      </w:tblGrid>
      <w:tr w14:paraId="15C3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236" w:type="dxa"/>
            <w:shd w:val="clear" w:color="auto" w:fill="00C4D8"/>
            <w:vAlign w:val="center"/>
          </w:tcPr>
          <w:p w14:paraId="233EF0CB">
            <w:pPr>
              <w:spacing w:after="0"/>
              <w:jc w:val="center"/>
              <w:rPr>
                <w:b/>
                <w:bCs/>
                <w:color w:val="F9FBFA"/>
                <w:kern w:val="2"/>
                <w:sz w:val="20"/>
                <w:szCs w:val="20"/>
              </w:rPr>
            </w:pPr>
            <w:r>
              <w:rPr>
                <w:rFonts w:hint="eastAsia"/>
                <w:b/>
                <w:bCs/>
                <w:color w:val="F9FBFA"/>
                <w:kern w:val="2"/>
                <w:sz w:val="20"/>
                <w:szCs w:val="20"/>
              </w:rPr>
              <w:t>检测基因</w:t>
            </w:r>
          </w:p>
        </w:tc>
        <w:tc>
          <w:tcPr>
            <w:tcW w:w="2513" w:type="dxa"/>
            <w:shd w:val="clear" w:color="auto" w:fill="00C4D8"/>
            <w:vAlign w:val="center"/>
          </w:tcPr>
          <w:p w14:paraId="5968A9AB">
            <w:pPr>
              <w:spacing w:after="0"/>
              <w:jc w:val="center"/>
              <w:rPr>
                <w:b/>
                <w:bCs/>
                <w:color w:val="F9FBFA"/>
                <w:kern w:val="2"/>
                <w:sz w:val="20"/>
                <w:szCs w:val="20"/>
              </w:rPr>
            </w:pPr>
            <w:r>
              <w:rPr>
                <w:rFonts w:hint="eastAsia"/>
                <w:b/>
                <w:bCs/>
                <w:color w:val="F9FBFA"/>
                <w:kern w:val="2"/>
                <w:sz w:val="20"/>
                <w:szCs w:val="20"/>
              </w:rPr>
              <w:t>检测结果</w:t>
            </w:r>
          </w:p>
        </w:tc>
        <w:tc>
          <w:tcPr>
            <w:tcW w:w="4467" w:type="dxa"/>
            <w:shd w:val="clear" w:color="auto" w:fill="00C4D8"/>
            <w:vAlign w:val="center"/>
          </w:tcPr>
          <w:p w14:paraId="29656A2C">
            <w:pPr>
              <w:spacing w:after="0"/>
              <w:jc w:val="center"/>
              <w:rPr>
                <w:b/>
                <w:bCs/>
                <w:color w:val="F9FBFA"/>
                <w:kern w:val="2"/>
                <w:sz w:val="20"/>
                <w:szCs w:val="20"/>
              </w:rPr>
            </w:pPr>
            <w:r>
              <w:rPr>
                <w:rFonts w:hint="eastAsia"/>
                <w:b/>
                <w:bCs/>
                <w:color w:val="F9FBFA"/>
                <w:kern w:val="2"/>
                <w:sz w:val="20"/>
                <w:szCs w:val="20"/>
              </w:rPr>
              <w:t>临床提示</w:t>
            </w:r>
          </w:p>
        </w:tc>
      </w:tr>
      <w:tr w14:paraId="7C09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1236" w:type="dxa"/>
            <w:vAlign w:val="center"/>
          </w:tcPr>
          <w:p w14:paraId="7EF60C8D">
            <w:pPr>
              <w:spacing w:after="0"/>
              <w:jc w:val="center"/>
              <w:rPr>
                <w:rStyle w:val="21"/>
                <w:rFonts w:ascii="微软雅黑" w:hAnsi="微软雅黑" w:cs="微软雅黑"/>
                <w:bCs/>
                <w:color w:val="0000FF"/>
                <w:kern w:val="2"/>
                <w:sz w:val="20"/>
                <w:szCs w:val="20"/>
              </w:rPr>
            </w:pPr>
            <w:r>
              <w:rPr>
                <w:rFonts w:hint="eastAsia" w:ascii="微软雅黑" w:hAnsi="微软雅黑" w:cs="微软雅黑"/>
                <w:sz w:val="20"/>
                <w:szCs w:val="20"/>
              </w:rPr>
              <w:t>POLE基因</w:t>
            </w:r>
          </w:p>
        </w:tc>
        <w:tc>
          <w:tcPr>
            <w:tcW w:w="2513" w:type="dxa"/>
            <w:vAlign w:val="center"/>
          </w:tcPr>
          <w:p w14:paraId="031AAB69">
            <w:pPr>
              <w:adjustRightInd/>
              <w:snapToGrid/>
              <w:spacing w:after="0"/>
              <w:jc w:val="both"/>
              <w:rPr>
                <w:rFonts w:ascii="微软雅黑" w:hAnsi="微软雅黑" w:cs="微软雅黑"/>
                <w:bCs/>
                <w:kern w:val="2"/>
                <w:sz w:val="20"/>
                <w:szCs w:val="20"/>
              </w:rPr>
            </w:pPr>
            <w:r>
              <w:rPr>
                <w:rFonts w:hint="eastAsia" w:ascii="微软雅黑" w:hAnsi="微软雅黑" w:cs="微软雅黑"/>
                <w:sz w:val="20"/>
                <w:szCs w:val="20"/>
              </w:rPr>
              <w:t>未检出POLE基因热点突变，不属于POLE突变型</w:t>
            </w:r>
          </w:p>
        </w:tc>
        <w:tc>
          <w:tcPr>
            <w:tcW w:w="4467" w:type="dxa"/>
            <w:vAlign w:val="center"/>
          </w:tcPr>
          <w:p w14:paraId="748DC28B">
            <w:pPr>
              <w:spacing w:after="0"/>
              <w:jc w:val="both"/>
              <w:rPr>
                <w:rFonts w:ascii="微软雅黑" w:hAnsi="微软雅黑" w:cs="微软雅黑"/>
                <w:bCs/>
                <w:kern w:val="2"/>
                <w:sz w:val="20"/>
                <w:szCs w:val="20"/>
              </w:rPr>
            </w:pPr>
            <w:r>
              <w:rPr>
                <w:rFonts w:hint="eastAsia" w:ascii="微软雅黑" w:hAnsi="微软雅黑" w:cs="微软雅黑"/>
                <w:sz w:val="20"/>
                <w:szCs w:val="20"/>
              </w:rPr>
              <w:t>根据2022年子宫肿瘤NCCN指南及相关文献报道，</w:t>
            </w:r>
            <w:r>
              <w:rPr>
                <w:rFonts w:hint="eastAsia" w:ascii="微软雅黑" w:hAnsi="微软雅黑" w:cs="微软雅黑"/>
                <w:bCs/>
                <w:kern w:val="2"/>
                <w:sz w:val="20"/>
                <w:szCs w:val="20"/>
              </w:rPr>
              <w:t>POLE突变型患者的临床预后较好，复发率和死亡率相较野生型均较低。</w:t>
            </w:r>
          </w:p>
        </w:tc>
      </w:tr>
    </w:tbl>
    <w:p w14:paraId="151B559B">
      <w:pPr>
        <w:rPr>
          <w:rFonts w:ascii="微软雅黑" w:hAnsi="微软雅黑" w:cs="Arial"/>
          <w:sz w:val="18"/>
          <w:szCs w:val="18"/>
        </w:rPr>
      </w:pPr>
    </w:p>
    <w:p w14:paraId="7BD22E78">
      <w:pPr>
        <w:pStyle w:val="29"/>
        <w:numPr>
          <w:ilvl w:val="0"/>
          <w:numId w:val="3"/>
        </w:numPr>
        <w:adjustRightInd/>
        <w:snapToGrid/>
        <w:spacing w:before="200" w:after="120" w:afterLines="50"/>
        <w:ind w:firstLineChars="0"/>
        <w:rPr>
          <w:rFonts w:ascii="微软雅黑" w:hAnsi="微软雅黑"/>
          <w:b/>
          <w:color w:val="00C4D8"/>
          <w:sz w:val="28"/>
          <w:szCs w:val="28"/>
        </w:rPr>
      </w:pPr>
      <w:r>
        <w:rPr>
          <w:rFonts w:hint="eastAsia" w:ascii="微软雅黑" w:hAnsi="微软雅黑"/>
          <w:b/>
          <w:color w:val="00C4D8"/>
          <w:sz w:val="28"/>
          <w:szCs w:val="28"/>
        </w:rPr>
        <w:t>遗传性肿瘤风险提示</w:t>
      </w:r>
    </w:p>
    <w:tbl>
      <w:tblPr>
        <w:tblStyle w:val="15"/>
        <w:tblW w:w="8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1722"/>
        <w:gridCol w:w="1789"/>
        <w:gridCol w:w="1654"/>
        <w:gridCol w:w="1658"/>
      </w:tblGrid>
      <w:tr w14:paraId="52BB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8274" w:type="dxa"/>
            <w:gridSpan w:val="5"/>
            <w:shd w:val="clear" w:color="auto" w:fill="00C4D8"/>
            <w:vAlign w:val="center"/>
          </w:tcPr>
          <w:p w14:paraId="62DDDC59">
            <w:pPr>
              <w:pStyle w:val="50"/>
              <w:numPr>
                <w:ilvl w:val="255"/>
                <w:numId w:val="0"/>
              </w:numPr>
              <w:spacing w:after="0"/>
              <w:jc w:val="both"/>
              <w:rPr>
                <w:rFonts w:ascii="微软雅黑" w:hAnsi="微软雅黑" w:cs="微软雅黑"/>
                <w:b/>
                <w:bCs/>
                <w:color w:val="F9FBFA"/>
                <w:kern w:val="2"/>
                <w:sz w:val="20"/>
                <w:szCs w:val="20"/>
              </w:rPr>
            </w:pPr>
            <w:r>
              <w:rPr>
                <w:rFonts w:ascii="微软雅黑" w:hAnsi="微软雅黑" w:cs="微软雅黑"/>
                <w:b/>
                <w:bCs/>
                <w:color w:val="F9FBFA"/>
                <w:kern w:val="2"/>
                <w:sz w:val="20"/>
                <w:szCs w:val="20"/>
              </w:rPr>
              <w:t>遗传性肿瘤基因胚系突变检测结果</w:t>
            </w:r>
          </w:p>
        </w:tc>
      </w:tr>
      <w:tr w14:paraId="4F5E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1451" w:type="dxa"/>
            <w:shd w:val="clear" w:color="auto" w:fill="00C4D8"/>
            <w:vAlign w:val="center"/>
          </w:tcPr>
          <w:p w14:paraId="1A782F98">
            <w:pPr>
              <w:pStyle w:val="50"/>
              <w:spacing w:after="0"/>
              <w:ind w:firstLine="0" w:firstLineChars="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基因名称</w:t>
            </w:r>
          </w:p>
        </w:tc>
        <w:tc>
          <w:tcPr>
            <w:tcW w:w="1722" w:type="dxa"/>
            <w:shd w:val="clear" w:color="auto" w:fill="00C4D8"/>
            <w:vAlign w:val="center"/>
          </w:tcPr>
          <w:p w14:paraId="11F12163">
            <w:p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碱基突变</w:t>
            </w:r>
          </w:p>
        </w:tc>
        <w:tc>
          <w:tcPr>
            <w:tcW w:w="1789" w:type="dxa"/>
            <w:shd w:val="clear" w:color="auto" w:fill="00C4D8"/>
            <w:vAlign w:val="center"/>
          </w:tcPr>
          <w:p w14:paraId="005F4FA2">
            <w:p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氨基酸突变</w:t>
            </w:r>
          </w:p>
        </w:tc>
        <w:tc>
          <w:tcPr>
            <w:tcW w:w="1654" w:type="dxa"/>
            <w:shd w:val="clear" w:color="auto" w:fill="00C4D8"/>
            <w:vAlign w:val="center"/>
          </w:tcPr>
          <w:p w14:paraId="0C429E73">
            <w:p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纯合/杂合</w:t>
            </w:r>
          </w:p>
        </w:tc>
        <w:tc>
          <w:tcPr>
            <w:tcW w:w="1658" w:type="dxa"/>
            <w:shd w:val="clear" w:color="auto" w:fill="00C4D8"/>
            <w:vAlign w:val="center"/>
          </w:tcPr>
          <w:p w14:paraId="22C8B9E2">
            <w:p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临床意义</w:t>
            </w:r>
          </w:p>
        </w:tc>
      </w:tr>
      <w:tr w14:paraId="4B96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8274" w:type="dxa"/>
            <w:gridSpan w:val="5"/>
            <w:shd w:val="clear" w:color="auto" w:fill="auto"/>
            <w:vAlign w:val="center"/>
          </w:tcPr>
          <w:p w14:paraId="261C0EF5">
            <w:pPr>
              <w:spacing w:after="0"/>
              <w:rPr>
                <w:rFonts w:ascii="微软雅黑" w:hAnsi="微软雅黑" w:cs="微软雅黑"/>
                <w:kern w:val="2"/>
                <w:sz w:val="20"/>
                <w:szCs w:val="20"/>
              </w:rPr>
            </w:pPr>
            <w:r>
              <w:rPr>
                <w:rFonts w:hint="eastAsia" w:ascii="微软雅黑" w:hAnsi="微软雅黑" w:cs="微软雅黑"/>
                <w:kern w:val="2"/>
                <w:sz w:val="20"/>
                <w:szCs w:val="20"/>
              </w:rPr>
              <w:t>未检出明确有害的可遗传胚系变异。</w:t>
            </w:r>
          </w:p>
        </w:tc>
      </w:tr>
    </w:tbl>
    <w:p w14:paraId="61E6FB21">
      <w:pPr>
        <w:adjustRightInd/>
        <w:snapToGrid/>
        <w:spacing w:after="0" w:line="220" w:lineRule="atLeast"/>
        <w:jc w:val="both"/>
        <w:rPr>
          <w:rFonts w:ascii="微软雅黑" w:hAnsi="微软雅黑" w:cs="Times New Roman"/>
          <w:kern w:val="2"/>
          <w:sz w:val="18"/>
          <w:szCs w:val="18"/>
        </w:rPr>
      </w:pPr>
      <w:r>
        <w:rPr>
          <w:rFonts w:hint="eastAsia" w:ascii="微软雅黑" w:hAnsi="微软雅黑" w:cs="Times New Roman"/>
          <w:kern w:val="2"/>
          <w:sz w:val="18"/>
          <w:szCs w:val="18"/>
        </w:rPr>
        <w:t>*上表仅报告致病突变和疑似致病突变，不报告临床意义未明突变、疑似良性突变和良性突变。变异的临床意义判断解读规则参考美国医学遗传学和基因组学学会（ACMG）相关指南。</w:t>
      </w:r>
    </w:p>
    <w:p w14:paraId="7E4B8D20">
      <w:pPr>
        <w:adjustRightInd/>
        <w:snapToGrid/>
        <w:spacing w:after="0" w:line="220" w:lineRule="atLeast"/>
        <w:jc w:val="both"/>
        <w:rPr>
          <w:rFonts w:ascii="微软雅黑" w:hAnsi="微软雅黑" w:cs="Times New Roman"/>
          <w:kern w:val="2"/>
          <w:sz w:val="18"/>
          <w:szCs w:val="18"/>
        </w:rPr>
      </w:pPr>
    </w:p>
    <w:p w14:paraId="53700C55">
      <w:pPr>
        <w:rPr>
          <w:rFonts w:ascii="微软雅黑" w:hAnsi="微软雅黑" w:cs="Times New Roman"/>
          <w:kern w:val="2"/>
          <w:sz w:val="18"/>
          <w:szCs w:val="18"/>
        </w:rPr>
      </w:pPr>
      <w:r>
        <w:rPr>
          <w:rFonts w:hint="eastAsia" w:ascii="微软雅黑" w:hAnsi="微软雅黑" w:cs="Times New Roman"/>
          <w:kern w:val="2"/>
          <w:sz w:val="18"/>
          <w:szCs w:val="18"/>
        </w:rPr>
        <w:br w:type="page"/>
      </w:r>
    </w:p>
    <w:bookmarkEnd w:id="10"/>
    <w:p w14:paraId="687C8B8D">
      <w:pPr>
        <w:adjustRightInd/>
        <w:snapToGrid/>
        <w:spacing w:line="220" w:lineRule="atLeast"/>
        <w:outlineLvl w:val="1"/>
        <w:rPr>
          <w:rFonts w:ascii="微软雅黑" w:hAnsi="微软雅黑"/>
          <w:b/>
          <w:color w:val="00C4D8"/>
          <w:sz w:val="32"/>
          <w:szCs w:val="32"/>
        </w:rPr>
      </w:pPr>
      <w:bookmarkStart w:id="11" w:name="_Toc15044"/>
      <w:bookmarkStart w:id="12" w:name="_Toc163825587"/>
      <w:r>
        <w:rPr>
          <w:rFonts w:hint="eastAsia" w:ascii="微软雅黑" w:hAnsi="微软雅黑"/>
          <w:b/>
          <w:color w:val="00C4D8"/>
          <w:sz w:val="32"/>
          <w:szCs w:val="32"/>
        </w:rPr>
        <w:t>5. 检测结果说明</w:t>
      </w:r>
      <w:bookmarkEnd w:id="11"/>
      <w:bookmarkEnd w:id="12"/>
    </w:p>
    <w:p w14:paraId="495AC80D">
      <w:pPr>
        <w:pStyle w:val="29"/>
        <w:numPr>
          <w:ilvl w:val="0"/>
          <w:numId w:val="5"/>
        </w:numPr>
        <w:adjustRightInd/>
        <w:snapToGrid/>
        <w:spacing w:after="0" w:line="288" w:lineRule="auto"/>
        <w:ind w:firstLineChars="0"/>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000BFE23">
      <w:pPr>
        <w:pStyle w:val="29"/>
        <w:numPr>
          <w:ilvl w:val="0"/>
          <w:numId w:val="5"/>
        </w:numPr>
        <w:adjustRightInd/>
        <w:snapToGrid/>
        <w:spacing w:after="0" w:line="288" w:lineRule="auto"/>
        <w:ind w:firstLineChars="0"/>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71B35DF2">
      <w:pPr>
        <w:pStyle w:val="29"/>
        <w:numPr>
          <w:ilvl w:val="0"/>
          <w:numId w:val="5"/>
        </w:numPr>
        <w:adjustRightInd/>
        <w:snapToGrid/>
        <w:spacing w:after="0" w:line="288" w:lineRule="auto"/>
        <w:ind w:firstLineChars="0"/>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A177C0C">
      <w:pPr>
        <w:pStyle w:val="29"/>
        <w:numPr>
          <w:ilvl w:val="0"/>
          <w:numId w:val="5"/>
        </w:numPr>
        <w:adjustRightInd/>
        <w:snapToGrid/>
        <w:spacing w:after="0" w:line="288" w:lineRule="auto"/>
        <w:ind w:firstLineChars="0"/>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w:t>
      </w:r>
      <w:r>
        <w:rPr>
          <w:rFonts w:ascii="微软雅黑" w:hAnsi="微软雅黑"/>
          <w:color w:val="000000"/>
          <w:sz w:val="24"/>
          <w:szCs w:val="24"/>
        </w:rPr>
        <w:t>对以上检测结果保留最终解释权，</w:t>
      </w:r>
      <w:r>
        <w:rPr>
          <w:rFonts w:hint="eastAsia" w:ascii="微软雅黑" w:hAnsi="微软雅黑"/>
          <w:color w:val="000000"/>
          <w:sz w:val="24"/>
          <w:szCs w:val="24"/>
        </w:rPr>
        <w:t>电子版报告仅供参考，以加盖红章的纸质报告为准，无章无效。</w:t>
      </w:r>
      <w:r>
        <w:rPr>
          <w:rFonts w:ascii="微软雅黑" w:hAnsi="微软雅黑"/>
          <w:color w:val="000000"/>
          <w:sz w:val="24"/>
          <w:szCs w:val="24"/>
        </w:rPr>
        <w:t>如有疑义，请在收到结果后的</w:t>
      </w:r>
      <w:r>
        <w:rPr>
          <w:rFonts w:hint="eastAsia" w:ascii="微软雅黑" w:hAnsi="微软雅黑"/>
          <w:color w:val="000000"/>
          <w:sz w:val="24"/>
          <w:szCs w:val="24"/>
        </w:rPr>
        <w:t>三</w:t>
      </w:r>
      <w:r>
        <w:rPr>
          <w:rFonts w:ascii="微软雅黑" w:hAnsi="微软雅黑"/>
          <w:color w:val="000000"/>
          <w:sz w:val="24"/>
          <w:szCs w:val="24"/>
        </w:rPr>
        <w:t>个工作日内与我们联系。</w:t>
      </w:r>
    </w:p>
    <w:p w14:paraId="445336EF">
      <w:pPr>
        <w:adjustRightInd/>
        <w:snapToGrid/>
        <w:spacing w:line="360" w:lineRule="auto"/>
        <w:rPr>
          <w:rFonts w:ascii="微软雅黑" w:hAnsi="微软雅黑"/>
          <w:b/>
          <w:color w:val="000000"/>
          <w:sz w:val="24"/>
          <w:szCs w:val="24"/>
        </w:rPr>
      </w:pPr>
      <w:r>
        <w:rPr>
          <w:rFonts w:hint="eastAsia" w:eastAsiaTheme="minorEastAsia"/>
        </w:rPr>
        <w:drawing>
          <wp:anchor distT="0" distB="0" distL="114300" distR="114300" simplePos="0" relativeHeight="251669504" behindDoc="0" locked="0" layoutInCell="1" allowOverlap="1">
            <wp:simplePos x="0" y="0"/>
            <wp:positionH relativeFrom="column">
              <wp:posOffset>2388870</wp:posOffset>
            </wp:positionH>
            <wp:positionV relativeFrom="paragraph">
              <wp:posOffset>497840</wp:posOffset>
            </wp:positionV>
            <wp:extent cx="676910" cy="281940"/>
            <wp:effectExtent l="0" t="0" r="3810" b="2540"/>
            <wp:wrapNone/>
            <wp:docPr id="1014" name="图片 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图片 9" descr="C:/Users/Wonzer/Desktop/微信图片_20241230095914.png微信图片_20241230095914"/>
                    <pic:cNvPicPr>
                      <a:picLocks noChangeAspect="1"/>
                    </pic:cNvPicPr>
                  </pic:nvPicPr>
                  <pic:blipFill>
                    <a:blip r:embed="rId17"/>
                    <a:srcRect t="8208" b="8208"/>
                    <a:stretch>
                      <a:fillRect/>
                    </a:stretch>
                  </pic:blipFill>
                  <pic:spPr>
                    <a:xfrm>
                      <a:off x="0" y="0"/>
                      <a:ext cx="676910" cy="281940"/>
                    </a:xfrm>
                    <a:prstGeom prst="rect">
                      <a:avLst/>
                    </a:prstGeom>
                  </pic:spPr>
                </pic:pic>
              </a:graphicData>
            </a:graphic>
          </wp:anchor>
        </w:drawing>
      </w:r>
      <w:r>
        <w:drawing>
          <wp:anchor distT="0" distB="0" distL="114300" distR="114300" simplePos="0" relativeHeight="251667456" behindDoc="0" locked="0" layoutInCell="1" allowOverlap="1">
            <wp:simplePos x="0" y="0"/>
            <wp:positionH relativeFrom="column">
              <wp:posOffset>791845</wp:posOffset>
            </wp:positionH>
            <wp:positionV relativeFrom="paragraph">
              <wp:posOffset>272415</wp:posOffset>
            </wp:positionV>
            <wp:extent cx="303530" cy="714375"/>
            <wp:effectExtent l="0" t="0" r="9525" b="1270"/>
            <wp:wrapNone/>
            <wp:docPr id="10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图片 4"/>
                    <pic:cNvPicPr>
                      <a:picLocks noChangeAspect="1" noChangeArrowheads="1"/>
                    </pic:cNvPicPr>
                  </pic:nvPicPr>
                  <pic:blipFill>
                    <a:blip r:embed="rId18" cstate="hqprint">
                      <a:clrChange>
                        <a:clrFrom>
                          <a:srgbClr val="FEFFFC"/>
                        </a:clrFrom>
                        <a:clrTo>
                          <a:srgbClr val="FEFFFC">
                            <a:alpha val="0"/>
                          </a:srgbClr>
                        </a:clrTo>
                      </a:clrChange>
                      <a:extLst>
                        <a:ext uri="{BEBA8EAE-BF5A-486C-A8C5-ECC9F3942E4B}">
                          <a14:imgProps xmlns:a14="http://schemas.microsoft.com/office/drawing/2010/main">
                            <a14:imgLayer r:embed="rId19">
                              <a14:imgEffect>
                                <a14:backgroundRemoval t="4939" b="95332" l="9873" r="89650">
                                  <a14:foregroundMark x1="69268" y1="24290" x2="69268" y2="0"/>
                                  <a14:foregroundMark x1="43790" y1="5007" x2="43790" y2="0"/>
                                  <a14:foregroundMark x1="28185" y1="24966" x2="28185" y2="0"/>
                                  <a14:foregroundMark x1="25796" y1="30650" x2="25796" y2="0"/>
                                  <a14:foregroundMark x1="67516" y1="52571" x2="67516" y2="0"/>
                                  <a14:foregroundMark x1="78344" y1="77943" x2="78344" y2="0"/>
                                  <a14:foregroundMark x1="59554" y1="81529" x2="59554" y2="0"/>
                                  <a14:foregroundMark x1="42834" y1="89175" x2="42834" y2="0"/>
                                  <a14:foregroundMark x1="37580" y1="95399" x2="37580" y2="0"/>
                                  <a14:backgroundMark x1="28185" y1="59202" x2="28185" y2="0"/>
                                  <a14:backgroundMark x1="47930" y1="56698" x2="47930" y2="0"/>
                                  <a14:backgroundMark x1="42834" y1="90731" x2="42834" y2="0"/>
                                  <a14:backgroundMark x1="36783" y1="82341" x2="36783" y2="0"/>
                                </a14:backgroundRemoval>
                              </a14:imgEffect>
                              <a14:imgEffect>
                                <a14:brightnessContrast bright="40000" contrast="40000"/>
                              </a14:imgEffect>
                            </a14:imgLayer>
                          </a14:imgProps>
                        </a:ext>
                      </a:extLst>
                    </a:blip>
                    <a:srcRect/>
                    <a:stretch>
                      <a:fillRect/>
                    </a:stretch>
                  </pic:blipFill>
                  <pic:spPr>
                    <a:xfrm rot="16200000">
                      <a:off x="0" y="0"/>
                      <a:ext cx="303530" cy="714375"/>
                    </a:xfrm>
                    <a:prstGeom prst="rect">
                      <a:avLst/>
                    </a:prstGeom>
                  </pic:spPr>
                </pic:pic>
              </a:graphicData>
            </a:graphic>
          </wp:anchor>
        </w:drawing>
      </w:r>
    </w:p>
    <w:p w14:paraId="23F9DD04">
      <w:pPr>
        <w:adjustRightInd/>
        <w:snapToGrid/>
        <w:spacing w:line="360" w:lineRule="auto"/>
        <w:rPr>
          <w:rFonts w:hint="default" w:ascii="微软雅黑" w:hAnsi="微软雅黑" w:eastAsia="微软雅黑"/>
          <w:b/>
          <w:sz w:val="36"/>
          <w:szCs w:val="36"/>
          <w:lang w:val="en-US" w:eastAsia="zh-CN"/>
        </w:rPr>
        <w:sectPr>
          <w:footerReference r:id="rId7" w:type="default"/>
          <w:pgSz w:w="11906" w:h="16838"/>
          <w:pgMar w:top="1440" w:right="1800" w:bottom="1440" w:left="1800" w:header="708" w:footer="708" w:gutter="0"/>
          <w:pgNumType w:start="1"/>
          <w:cols w:space="708" w:num="1"/>
          <w:docGrid w:linePitch="360" w:charSpace="0"/>
        </w:sect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w:t>
      </w:r>
      <w:r>
        <w:rPr>
          <w:rFonts w:hint="eastAsia" w:ascii="微软雅黑" w:hAnsi="微软雅黑"/>
          <w:bCs/>
          <w:color w:val="000000"/>
          <w:sz w:val="24"/>
          <w:szCs w:val="24"/>
        </w:rPr>
        <w:t xml:space="preserve">   </w:t>
      </w:r>
      <w:r>
        <w:rPr>
          <w:rFonts w:hint="eastAsia" w:ascii="微软雅黑" w:hAnsi="微软雅黑"/>
          <w:color w:val="000000"/>
          <w:sz w:val="24"/>
          <w:szCs w:val="24"/>
        </w:rPr>
        <w:t xml:space="preserve">             </w:t>
      </w:r>
      <w:r>
        <w:rPr>
          <w:rFonts w:ascii="微软雅黑" w:hAnsi="微软雅黑"/>
          <w:b/>
          <w:color w:val="000000"/>
          <w:sz w:val="24"/>
          <w:szCs w:val="24"/>
        </w:rPr>
        <w:t>报告日期：</w:t>
      </w:r>
      <w:bookmarkStart w:id="13" w:name="OLE_LINK1"/>
      <w:bookmarkStart w:id="14" w:name="OLE_LINK2"/>
      <w:r>
        <w:rPr>
          <w:rFonts w:hint="eastAsia" w:ascii="微软雅黑" w:hAnsi="微软雅黑"/>
          <w:bCs/>
          <w:color w:val="000000"/>
          <w:sz w:val="24"/>
          <w:szCs w:val="24"/>
        </w:rPr>
        <w:t>2025.06.</w:t>
      </w:r>
      <w:r>
        <w:rPr>
          <w:rFonts w:hint="eastAsia" w:ascii="微软雅黑" w:hAnsi="微软雅黑"/>
          <w:bCs/>
          <w:color w:val="000000"/>
          <w:sz w:val="24"/>
          <w:szCs w:val="24"/>
          <w:lang w:val="en-US" w:eastAsia="zh-CN"/>
        </w:rPr>
        <w:t>24</w:t>
      </w:r>
      <w:bookmarkStart w:id="47" w:name="_GoBack"/>
      <w:bookmarkEnd w:id="47"/>
    </w:p>
    <w:p w14:paraId="2E27224B">
      <w:pPr>
        <w:pStyle w:val="29"/>
        <w:adjustRightInd/>
        <w:snapToGrid/>
        <w:spacing w:before="200" w:line="220" w:lineRule="atLeast"/>
        <w:ind w:firstLine="0" w:firstLineChars="0"/>
        <w:jc w:val="center"/>
        <w:outlineLvl w:val="0"/>
        <w:rPr>
          <w:rFonts w:ascii="微软雅黑" w:hAnsi="微软雅黑"/>
          <w:b/>
          <w:color w:val="00C4D8"/>
          <w:sz w:val="36"/>
          <w:szCs w:val="36"/>
        </w:rPr>
      </w:pPr>
      <w:bookmarkStart w:id="15" w:name="_Toc163825588"/>
      <w:bookmarkStart w:id="16" w:name="_Toc6161"/>
      <w:r>
        <w:rPr>
          <w:rFonts w:hint="eastAsia" w:ascii="微软雅黑" w:hAnsi="微软雅黑"/>
          <w:b/>
          <w:color w:val="00C4D8"/>
          <w:sz w:val="36"/>
          <w:szCs w:val="36"/>
        </w:rPr>
        <w:t>第二部分：微卫星不稳定性（MSI）检测结果及解析</w:t>
      </w:r>
      <w:bookmarkEnd w:id="15"/>
    </w:p>
    <w:p w14:paraId="14E7F6F5">
      <w:pPr>
        <w:pStyle w:val="29"/>
        <w:adjustRightInd/>
        <w:snapToGrid/>
        <w:spacing w:after="300" w:line="220" w:lineRule="atLeast"/>
        <w:ind w:firstLine="0" w:firstLineChars="0"/>
        <w:outlineLvl w:val="1"/>
        <w:rPr>
          <w:rFonts w:ascii="微软雅黑" w:hAnsi="微软雅黑"/>
          <w:b/>
          <w:color w:val="00C4D8"/>
          <w:sz w:val="32"/>
          <w:szCs w:val="32"/>
        </w:rPr>
      </w:pPr>
      <w:bookmarkStart w:id="17" w:name="_Toc163825589"/>
      <w:r>
        <w:rPr>
          <w:rFonts w:hint="eastAsia" w:ascii="微软雅黑" w:hAnsi="微软雅黑"/>
          <w:b/>
          <w:color w:val="00C4D8"/>
          <w:sz w:val="32"/>
          <w:szCs w:val="32"/>
        </w:rPr>
        <w:t>1. 检测结果与解读</w:t>
      </w:r>
      <w:bookmarkEnd w:id="17"/>
    </w:p>
    <w:p w14:paraId="4CC7D12D">
      <w:pPr>
        <w:spacing w:after="0" w:line="288" w:lineRule="auto"/>
        <w:ind w:firstLine="420" w:firstLineChars="200"/>
        <w:rPr>
          <w:rFonts w:ascii="微软雅黑" w:hAnsi="微软雅黑" w:cs="LPJNJT+Arial Unicode MS"/>
          <w:b/>
          <w:color w:val="000000"/>
          <w:sz w:val="21"/>
          <w:szCs w:val="21"/>
          <w:u w:val="single"/>
          <w:lang w:bidi="ar"/>
        </w:rPr>
      </w:pPr>
      <w:r>
        <w:rPr>
          <w:rFonts w:hint="eastAsia" w:ascii="微软雅黑" w:hAnsi="微软雅黑" w:cs="LPJNJT+Arial Unicode MS"/>
          <w:bCs/>
          <w:color w:val="000000"/>
          <w:sz w:val="21"/>
          <w:szCs w:val="21"/>
          <w:lang w:bidi="ar"/>
        </w:rPr>
        <w:t>依据本次检测结果，该肿瘤样本为  {{ msi_result or '【待填写：MSI结果，如 微卫星稳定（MSS）型 / 微卫星高度不稳定（MSI-H）型】' }}。</w:t>
      </w:r>
      <w:r>
        <w:rPr>
          <w:rFonts w:hint="eastAsia" w:ascii="微软雅黑" w:hAnsi="微软雅黑" w:cs="LPJNJT+Arial Unicode MS"/>
          <w:b/>
          <w:color w:val="000000"/>
          <w:sz w:val="21"/>
          <w:szCs w:val="21"/>
          <w:lang w:bidi="ar"/>
        </w:rPr>
      </w:r>
      <w:r>
        <w:rPr>
          <w:rFonts w:hint="eastAsia" w:ascii="微软雅黑" w:hAnsi="微软雅黑" w:cs="LPJNJT+Arial Unicode MS"/>
          <w:b/>
          <w:color w:val="000000"/>
          <w:sz w:val="21"/>
          <w:szCs w:val="21"/>
          <w:u w:val="single"/>
          <w:lang w:bidi="ar"/>
        </w:rPr>
      </w:r>
    </w:p>
    <w:p w14:paraId="49A4665B">
      <w:pPr>
        <w:spacing w:after="0" w:line="288" w:lineRule="auto"/>
        <w:rPr>
          <w:rFonts w:ascii="微软雅黑" w:hAnsi="微软雅黑" w:cs="LPJNJT+Arial Unicode MS"/>
          <w:color w:val="000000"/>
          <w:sz w:val="21"/>
          <w:szCs w:val="21"/>
          <w:lang w:bidi="ar"/>
        </w:rPr>
      </w:pPr>
    </w:p>
    <w:p w14:paraId="28A8D0E6">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B3D0BC2">
      <w:pPr>
        <w:spacing w:after="0"/>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2022年子宫肿瘤NCCN指南</w:t>
      </w:r>
      <w:r>
        <w:rPr>
          <w:rFonts w:hint="eastAsia" w:ascii="微软雅黑" w:hAnsi="微软雅黑" w:cs="LPJNJT+Arial Unicode MS"/>
          <w:color w:val="000000"/>
          <w:sz w:val="21"/>
          <w:szCs w:val="21"/>
          <w:vertAlign w:val="superscript"/>
        </w:rPr>
        <w:t>[1]</w:t>
      </w:r>
      <w:r>
        <w:rPr>
          <w:rFonts w:hint="eastAsia" w:ascii="微软雅黑" w:hAnsi="微软雅黑" w:cs="LPJNJT+Arial Unicode MS"/>
          <w:color w:val="000000"/>
          <w:sz w:val="21"/>
          <w:szCs w:val="21"/>
        </w:rPr>
        <w:t>推荐对子宫内膜癌患者进行MMR蛋白/MSI检测：</w:t>
      </w:r>
    </w:p>
    <w:p w14:paraId="33CC549E">
      <w:pPr>
        <w:pStyle w:val="13"/>
        <w:widowControl w:val="0"/>
        <w:numPr>
          <w:ilvl w:val="0"/>
          <w:numId w:val="6"/>
        </w:numPr>
        <w:autoSpaceDE w:val="0"/>
        <w:autoSpaceDN w:val="0"/>
        <w:snapToGrid/>
        <w:spacing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根据不同的临床预后将子宫内膜癌分为4种分子亚型：即POLE突变型、微卫星高度不稳定型（MSI-H）、低拷贝型、高拷贝型。其中，MSI-H型患者预后差于POLE突变型患者，但优于高拷贝型患者</w:t>
      </w:r>
      <w:r>
        <w:rPr>
          <w:rFonts w:hint="eastAsia" w:ascii="微软雅黑" w:hAnsi="微软雅黑" w:cs="LPJNJT+Arial Unicode MS"/>
          <w:color w:val="000000"/>
          <w:sz w:val="21"/>
          <w:szCs w:val="21"/>
          <w:vertAlign w:val="superscript"/>
        </w:rPr>
        <w:t>[2]</w:t>
      </w:r>
      <w:r>
        <w:rPr>
          <w:rFonts w:hint="eastAsia" w:ascii="微软雅黑" w:hAnsi="微软雅黑" w:cs="LPJNJT+Arial Unicode MS"/>
          <w:color w:val="000000"/>
          <w:sz w:val="21"/>
          <w:szCs w:val="21"/>
        </w:rPr>
        <w:t>；</w:t>
      </w:r>
    </w:p>
    <w:p w14:paraId="284F9795">
      <w:pPr>
        <w:pStyle w:val="13"/>
        <w:widowControl w:val="0"/>
        <w:numPr>
          <w:ilvl w:val="0"/>
          <w:numId w:val="6"/>
        </w:numPr>
        <w:autoSpaceDE w:val="0"/>
        <w:autoSpaceDN w:val="0"/>
        <w:snapToGrid/>
        <w:spacing w:line="288" w:lineRule="auto"/>
        <w:jc w:val="both"/>
        <w:rPr>
          <w:rFonts w:ascii="微软雅黑" w:hAnsi="微软雅黑" w:cs="LPJNJT+Arial Unicode MS"/>
          <w:color w:val="000000"/>
          <w:sz w:val="21"/>
          <w:szCs w:val="21"/>
          <w:lang w:bidi="ar"/>
        </w:rPr>
      </w:pPr>
      <w:r>
        <w:rPr>
          <w:rFonts w:hint="eastAsia" w:ascii="微软雅黑" w:hAnsi="微软雅黑" w:cs="LPJNJT+Arial Unicode MS"/>
          <w:color w:val="000000"/>
          <w:sz w:val="21"/>
          <w:szCs w:val="21"/>
          <w:lang w:bidi="ar"/>
        </w:rPr>
        <w:t>肿瘤组织为MSI-H或dMMR的复发性</w:t>
      </w:r>
      <w:r>
        <w:rPr>
          <w:rFonts w:hint="eastAsia" w:ascii="微软雅黑" w:hAnsi="微软雅黑" w:cs="LPJNJT+Arial Unicode MS"/>
          <w:color w:val="000000"/>
          <w:sz w:val="21"/>
          <w:szCs w:val="21"/>
        </w:rPr>
        <w:t>子宫内膜癌</w:t>
      </w:r>
      <w:r>
        <w:rPr>
          <w:rFonts w:hint="eastAsia" w:ascii="微软雅黑" w:hAnsi="微软雅黑" w:cs="LPJNJT+Arial Unicode MS"/>
          <w:color w:val="000000"/>
          <w:sz w:val="21"/>
          <w:szCs w:val="21"/>
          <w:lang w:bidi="ar"/>
        </w:rPr>
        <w:t>患者推荐帕博利珠单抗、纳武利尤单抗、多塔利单抗、阿维鲁单抗；</w:t>
      </w:r>
    </w:p>
    <w:p w14:paraId="5D082F74">
      <w:pPr>
        <w:pStyle w:val="13"/>
        <w:widowControl w:val="0"/>
        <w:numPr>
          <w:ilvl w:val="0"/>
          <w:numId w:val="6"/>
        </w:numPr>
        <w:autoSpaceDE w:val="0"/>
        <w:autoSpaceDN w:val="0"/>
        <w:adjustRightInd/>
        <w:snapToGrid/>
        <w:spacing w:line="288" w:lineRule="auto"/>
        <w:jc w:val="both"/>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lang w:bidi="ar"/>
        </w:rPr>
        <w:t>肿瘤组织为MSI-H的子宫内膜癌患者，患有林奇综合征的风险较高</w:t>
      </w:r>
      <w:r>
        <w:rPr>
          <w:rFonts w:hint="eastAsia" w:ascii="微软雅黑" w:hAnsi="微软雅黑" w:cs="LPJNJT+Arial Unicode MS"/>
          <w:color w:val="000000"/>
          <w:sz w:val="21"/>
          <w:szCs w:val="21"/>
          <w:vertAlign w:val="superscript"/>
          <w:lang w:bidi="ar"/>
        </w:rPr>
        <w:t>[3]</w:t>
      </w:r>
      <w:r>
        <w:rPr>
          <w:rFonts w:hint="eastAsia" w:ascii="微软雅黑" w:hAnsi="微软雅黑" w:cs="LPJNJT+Arial Unicode MS"/>
          <w:color w:val="000000"/>
          <w:sz w:val="21"/>
          <w:szCs w:val="21"/>
          <w:lang w:bidi="ar"/>
        </w:rPr>
        <w:t>，建议做进一步的林奇综合征筛查诊断（NCCN指南建议林奇综合征的基因检测应包括：MMR基因MLH1、MSH2、MSH6、PMS2和EPCAM基因）。</w:t>
      </w:r>
    </w:p>
    <w:p w14:paraId="1A4AFEF8">
      <w:pPr>
        <w:adjustRightInd/>
        <w:snapToGrid/>
        <w:spacing w:after="0" w:line="288" w:lineRule="auto"/>
        <w:rPr>
          <w:rFonts w:ascii="微软雅黑" w:hAnsi="微软雅黑" w:cs="LPJNJT+Arial Unicode MS"/>
          <w:b/>
          <w:color w:val="000000"/>
          <w:sz w:val="21"/>
          <w:szCs w:val="21"/>
        </w:rPr>
      </w:pPr>
      <w:r>
        <w:rPr>
          <w:rFonts w:hint="eastAsia" w:ascii="微软雅黑" w:hAnsi="微软雅黑" w:cs="LPJNJT+Arial Unicode MS"/>
          <w:b/>
          <w:color w:val="000000"/>
          <w:sz w:val="21"/>
          <w:szCs w:val="21"/>
        </w:rPr>
        <w:t>说明：</w:t>
      </w:r>
    </w:p>
    <w:p w14:paraId="214A6F00">
      <w:pPr>
        <w:spacing w:after="240" w:afterLines="100"/>
        <w:ind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MMR和MSI是FDA已批准的两个预测免疫治疗疗效的生物标志物。肿瘤细胞中错配修复基因缺陷（dMMR）及微卫星不稳定性高（MSI-H）会导致肿瘤出现高水平的突变负荷，产生大量可被免疫系统识别的新抗原，增强体内抗肿瘤免疫活性，进而促进免疫检查点抑制剂的疗效。基于多项临床研究，FDA批准帕博利珠单抗用于MSI-H或dMMR的所有实体瘤，批准纳武利尤单抗用于MSI-H或dMMR的转移性结直肠癌，批准多塔利单抗用于治疗dMMR的无满意替代治疗方案的实体瘤；NMPA批准批准恩沃利单抗用于治疗MSI-H或dMMR的</w:t>
      </w:r>
      <w:r>
        <w:rPr>
          <w:rFonts w:hint="eastAsia" w:ascii="微软雅黑" w:hAnsi="微软雅黑" w:cs="微软雅黑"/>
          <w:kern w:val="2"/>
          <w:sz w:val="21"/>
          <w:szCs w:val="21"/>
        </w:rPr>
        <w:t>不可切除或转移性晚期</w:t>
      </w:r>
      <w:r>
        <w:rPr>
          <w:rFonts w:hint="eastAsia" w:ascii="微软雅黑" w:hAnsi="微软雅黑" w:cs="LPJNJT+Arial Unicode MS"/>
          <w:color w:val="000000"/>
          <w:sz w:val="21"/>
          <w:szCs w:val="21"/>
        </w:rPr>
        <w:t>实体瘤。MSI是免疫治疗（尤其是帕博利珠单抗、纳武利尤单抗、多塔利单抗和恩沃利单抗治疗）疗效的重要预测指标。</w:t>
      </w:r>
    </w:p>
    <w:p w14:paraId="16DC38BF">
      <w:pPr>
        <w:spacing w:after="0"/>
        <w:ind w:right="-51"/>
        <w:jc w:val="both"/>
        <w:rPr>
          <w:rFonts w:ascii="微软雅黑" w:hAnsi="微软雅黑" w:cs="LPJNJT+Arial Unicode MS"/>
          <w:color w:val="000000"/>
          <w:sz w:val="21"/>
          <w:szCs w:val="21"/>
        </w:rPr>
      </w:pPr>
    </w:p>
    <w:p w14:paraId="6AAB0621">
      <w:pPr>
        <w:rPr>
          <w:rFonts w:ascii="微软雅黑" w:hAnsi="微软雅黑" w:cs="LPJNJT+Arial Unicode MS"/>
          <w:color w:val="000000"/>
          <w:sz w:val="21"/>
          <w:szCs w:val="21"/>
        </w:rPr>
      </w:pPr>
      <w:r>
        <w:rPr>
          <w:rFonts w:hint="eastAsia" w:ascii="微软雅黑" w:hAnsi="微软雅黑" w:cs="LPJNJT+Arial Unicode MS"/>
          <w:color w:val="000000"/>
          <w:sz w:val="21"/>
          <w:szCs w:val="21"/>
        </w:rPr>
        <w:br w:type="page"/>
      </w:r>
    </w:p>
    <w:p w14:paraId="583FB3E8">
      <w:pPr>
        <w:pStyle w:val="29"/>
        <w:adjustRightInd/>
        <w:snapToGrid/>
        <w:spacing w:after="300" w:line="220" w:lineRule="atLeast"/>
        <w:ind w:firstLine="0" w:firstLineChars="0"/>
        <w:outlineLvl w:val="1"/>
        <w:rPr>
          <w:rFonts w:ascii="微软雅黑" w:hAnsi="微软雅黑"/>
          <w:b/>
          <w:color w:val="00C4D8"/>
          <w:sz w:val="32"/>
          <w:szCs w:val="32"/>
        </w:rPr>
      </w:pPr>
      <w:bookmarkStart w:id="18" w:name="_Toc163825590"/>
      <w:r>
        <w:rPr>
          <w:rFonts w:hint="eastAsia" w:ascii="微软雅黑" w:hAnsi="微软雅黑"/>
          <w:b/>
          <w:color w:val="00C4D8"/>
          <w:sz w:val="32"/>
          <w:szCs w:val="32"/>
        </w:rPr>
        <w:t>2. MSI结果说明</w:t>
      </w:r>
      <w:bookmarkEnd w:id="18"/>
    </w:p>
    <w:p w14:paraId="4D78C220">
      <w:pPr>
        <w:numPr>
          <w:ilvl w:val="255"/>
          <w:numId w:val="0"/>
        </w:numPr>
        <w:ind w:firstLine="420" w:firstLineChars="200"/>
        <w:jc w:val="both"/>
        <w:rPr>
          <w:rFonts w:ascii="微软雅黑" w:hAnsi="微软雅黑" w:cs="LPJNJT+Arial Unicode MS"/>
          <w:color w:val="000000"/>
          <w:sz w:val="21"/>
          <w:szCs w:val="21"/>
          <w:lang w:bidi="ar"/>
        </w:rPr>
      </w:pPr>
      <w:r>
        <w:rPr>
          <w:rFonts w:hint="eastAsia" w:ascii="微软雅黑" w:hAnsi="微软雅黑" w:cs="LPJNJT+Arial Unicode MS"/>
          <w:color w:val="000000"/>
          <w:sz w:val="21"/>
          <w:szCs w:val="21"/>
          <w:lang w:bidi="ar"/>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比例高于MSI阈值判断为MSI-H（微卫星高度不稳定），否则为MSS（微卫星稳定）。</w:t>
      </w:r>
    </w:p>
    <w:p w14:paraId="3E67FEEA">
      <w:pPr>
        <w:pStyle w:val="29"/>
        <w:adjustRightInd/>
        <w:snapToGrid/>
        <w:spacing w:after="300" w:line="220" w:lineRule="atLeast"/>
        <w:ind w:firstLine="0" w:firstLineChars="0"/>
        <w:outlineLvl w:val="1"/>
        <w:rPr>
          <w:rFonts w:ascii="微软雅黑" w:hAnsi="微软雅黑"/>
          <w:b/>
          <w:color w:val="00C4D8"/>
          <w:sz w:val="32"/>
          <w:szCs w:val="32"/>
        </w:rPr>
      </w:pPr>
      <w:r>
        <w:rPr>
          <w:rFonts w:hint="eastAsia" w:ascii="微软雅黑" w:hAnsi="微软雅黑"/>
          <w:b/>
          <w:color w:val="00C4D8"/>
          <w:sz w:val="32"/>
          <w:szCs w:val="32"/>
        </w:rPr>
        <w:t>3</w:t>
      </w:r>
      <w:bookmarkStart w:id="19" w:name="_Toc163825591"/>
      <w:r>
        <w:rPr>
          <w:rFonts w:hint="eastAsia" w:ascii="微软雅黑" w:hAnsi="微软雅黑"/>
          <w:b/>
          <w:color w:val="00C4D8"/>
          <w:sz w:val="32"/>
          <w:szCs w:val="32"/>
        </w:rPr>
        <w:t>. 参考文献</w:t>
      </w:r>
      <w:bookmarkEnd w:id="19"/>
    </w:p>
    <w:p w14:paraId="34ADBFBB">
      <w:pPr>
        <w:numPr>
          <w:ilvl w:val="0"/>
          <w:numId w:val="7"/>
        </w:numPr>
        <w:adjustRightInd/>
        <w:snapToGrid/>
        <w:spacing w:after="0" w:line="288" w:lineRule="auto"/>
        <w:jc w:val="both"/>
        <w:rPr>
          <w:rFonts w:ascii="微软雅黑" w:hAnsi="微软雅黑" w:cs="微软雅黑"/>
          <w:color w:val="000000"/>
          <w:sz w:val="16"/>
          <w:szCs w:val="16"/>
          <w:shd w:val="clear" w:color="auto" w:fill="FFFFFF"/>
        </w:rPr>
      </w:pPr>
      <w:r>
        <w:rPr>
          <w:rFonts w:hint="eastAsia" w:ascii="微软雅黑" w:hAnsi="微软雅黑" w:cs="微软雅黑"/>
          <w:color w:val="000000"/>
          <w:sz w:val="16"/>
          <w:szCs w:val="16"/>
          <w:shd w:val="clear" w:color="auto" w:fill="FFFFFF"/>
        </w:rPr>
        <w:t>Uterine Neoplasms.NCCN Clinical Practice Guidelines in Oncology.2022.V1</w:t>
      </w:r>
    </w:p>
    <w:p w14:paraId="1B37789C">
      <w:pPr>
        <w:numPr>
          <w:ilvl w:val="0"/>
          <w:numId w:val="7"/>
        </w:numPr>
        <w:adjustRightInd/>
        <w:snapToGrid/>
        <w:spacing w:after="0" w:line="288" w:lineRule="auto"/>
        <w:jc w:val="both"/>
        <w:rPr>
          <w:rFonts w:ascii="微软雅黑" w:hAnsi="微软雅黑" w:cs="微软雅黑"/>
          <w:color w:val="000000"/>
          <w:sz w:val="16"/>
          <w:szCs w:val="16"/>
          <w:shd w:val="clear" w:color="auto" w:fill="FFFFFF"/>
        </w:rPr>
      </w:pPr>
      <w:r>
        <w:rPr>
          <w:rFonts w:ascii="微软雅黑" w:hAnsi="微软雅黑" w:cs="微软雅黑"/>
          <w:color w:val="000000"/>
          <w:sz w:val="16"/>
          <w:szCs w:val="16"/>
          <w:shd w:val="clear" w:color="auto" w:fill="FFFFFF"/>
        </w:rPr>
        <w:t>Cancer Genome Atlas Research Network, Kandoth C, Schultz N, Cherniack AD, Akbani R, Liu Y, Shen H, Robertson AG, Pashtan I, Shen R, Benz CC, Yau C, Laird PW, Ding L, Zhang W, Mills GB, Kucherlapati R, Mardis ER, Levine DA. Integrated genomic characterization of endometrial carcinoma. Nature. 2013 May 2;497(7447):67-73.  </w:t>
      </w:r>
    </w:p>
    <w:p w14:paraId="2439944F">
      <w:pPr>
        <w:numPr>
          <w:ilvl w:val="0"/>
          <w:numId w:val="7"/>
        </w:numPr>
        <w:adjustRightInd/>
        <w:snapToGrid/>
        <w:spacing w:after="0" w:line="288" w:lineRule="auto"/>
        <w:jc w:val="both"/>
        <w:rPr>
          <w:rFonts w:ascii="微软雅黑" w:hAnsi="微软雅黑" w:cs="微软雅黑"/>
          <w:color w:val="000000"/>
          <w:sz w:val="16"/>
          <w:szCs w:val="16"/>
          <w:shd w:val="clear" w:color="auto" w:fill="FFFFFF"/>
        </w:rPr>
      </w:pPr>
      <w:r>
        <w:rPr>
          <w:rFonts w:ascii="微软雅黑" w:hAnsi="微软雅黑" w:cs="微软雅黑"/>
          <w:color w:val="000000"/>
          <w:sz w:val="16"/>
          <w:szCs w:val="16"/>
          <w:shd w:val="clear" w:color="auto" w:fill="FFFFFF"/>
        </w:rPr>
        <w:t>Genetic/Familial High-Risk Assessment: Colorectal</w:t>
      </w:r>
      <w:r>
        <w:rPr>
          <w:rFonts w:hint="eastAsia" w:ascii="微软雅黑" w:hAnsi="微软雅黑" w:cs="微软雅黑"/>
          <w:color w:val="000000"/>
          <w:sz w:val="16"/>
          <w:szCs w:val="16"/>
          <w:shd w:val="clear" w:color="auto" w:fill="FFFFFF"/>
        </w:rPr>
        <w:t>. NCCN Clinical Practice Guidelines in Oncology. 2020.V1</w:t>
      </w:r>
    </w:p>
    <w:p w14:paraId="0A237776">
      <w:pPr>
        <w:adjustRightInd/>
        <w:snapToGrid/>
        <w:spacing w:after="0"/>
        <w:rPr>
          <w:rFonts w:ascii="微软雅黑" w:hAnsi="微软雅黑"/>
          <w:b/>
          <w:color w:val="00C4D8"/>
          <w:sz w:val="36"/>
          <w:szCs w:val="36"/>
        </w:rPr>
      </w:pPr>
      <w:bookmarkStart w:id="20" w:name="_Toc163825595"/>
      <w:r>
        <w:rPr>
          <w:rFonts w:ascii="微软雅黑" w:hAnsi="微软雅黑"/>
          <w:b/>
          <w:color w:val="00C4D8"/>
          <w:sz w:val="36"/>
          <w:szCs w:val="36"/>
        </w:rPr>
        <w:br w:type="page"/>
      </w:r>
    </w:p>
    <w:p w14:paraId="7DC77ED8">
      <w:pPr>
        <w:pStyle w:val="29"/>
        <w:adjustRightInd/>
        <w:snapToGrid/>
        <w:spacing w:before="200" w:line="220" w:lineRule="atLeast"/>
        <w:ind w:firstLine="0" w:firstLineChars="0"/>
        <w:jc w:val="center"/>
        <w:outlineLvl w:val="0"/>
        <w:rPr>
          <w:rFonts w:ascii="微软雅黑" w:hAnsi="微软雅黑"/>
          <w:b/>
          <w:color w:val="00C4D8"/>
          <w:sz w:val="36"/>
          <w:szCs w:val="36"/>
        </w:rPr>
      </w:pPr>
      <w:r>
        <w:rPr>
          <w:rFonts w:hint="eastAsia" w:ascii="微软雅黑" w:hAnsi="微软雅黑"/>
          <w:b/>
          <w:color w:val="00C4D8"/>
          <w:sz w:val="36"/>
          <w:szCs w:val="36"/>
        </w:rPr>
        <w:t>第三部分：检测结果解析</w:t>
      </w:r>
      <w:bookmarkEnd w:id="16"/>
      <w:bookmarkEnd w:id="20"/>
      <w:bookmarkStart w:id="21" w:name="OLE_LINK5"/>
    </w:p>
    <w:bookmarkEnd w:id="21"/>
    <w:p w14:paraId="3A3F780E">
      <w:pPr>
        <w:spacing w:after="240" w:afterLines="100"/>
        <w:jc w:val="both"/>
        <w:outlineLvl w:val="1"/>
        <w:rPr>
          <w:rFonts w:ascii="微软雅黑" w:hAnsi="微软雅黑"/>
          <w:b/>
          <w:color w:val="00C4D8"/>
          <w:sz w:val="32"/>
          <w:szCs w:val="32"/>
        </w:rPr>
      </w:pPr>
      <w:bookmarkStart w:id="22" w:name="_Toc163825596"/>
      <w:r>
        <w:rPr>
          <w:rFonts w:hint="eastAsia" w:ascii="微软雅黑" w:hAnsi="微软雅黑"/>
          <w:b/>
          <w:color w:val="00C4D8"/>
          <w:sz w:val="32"/>
          <w:szCs w:val="32"/>
        </w:rPr>
        <w:t>1. 基因变异及相应靶向/免疫药物解析</w:t>
      </w:r>
      <w:bookmarkEnd w:id="22"/>
    </w:p>
    <w:p w14:paraId="6D0F4070">
      <w:pPr>
        <w:spacing w:after="240" w:afterLines="100"/>
        <w:jc w:val="both"/>
        <w:outlineLvl w:val="2"/>
        <w:rPr>
          <w:rFonts w:ascii="微软雅黑" w:hAnsi="微软雅黑"/>
          <w:b/>
          <w:color w:val="00C4D8"/>
          <w:sz w:val="28"/>
          <w:szCs w:val="28"/>
        </w:rPr>
      </w:pPr>
      <w:bookmarkStart w:id="23" w:name="_Toc163825597"/>
      <w:r>
        <w:rPr>
          <w:rFonts w:hint="eastAsia" w:ascii="微软雅黑" w:hAnsi="微软雅黑"/>
          <w:b/>
          <w:color w:val="00C4D8"/>
          <w:sz w:val="28"/>
          <w:szCs w:val="28"/>
        </w:rPr>
        <w:t>1.1基因变异检测结果</w:t>
      </w:r>
      <w:bookmarkEnd w:id="23"/>
    </w:p>
    <w:tbl>
      <w:tblPr>
        <w:tblStyle w:val="15"/>
        <w:tblW w:w="8976"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969"/>
        <w:gridCol w:w="838"/>
        <w:gridCol w:w="480"/>
        <w:gridCol w:w="465"/>
        <w:gridCol w:w="1270"/>
        <w:gridCol w:w="590"/>
        <w:gridCol w:w="740"/>
        <w:gridCol w:w="2828"/>
        <w:gridCol w:w="796"/>
      </w:tblGrid>
      <w:tr w14:paraId="411A813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969" w:type="dxa"/>
            <w:vMerge w:val="restart"/>
            <w:tcBorders>
              <w:tl2br w:val="nil"/>
              <w:tr2bl w:val="nil"/>
            </w:tcBorders>
            <w:shd w:val="clear" w:color="auto" w:fill="00C4D8"/>
            <w:vAlign w:val="center"/>
          </w:tcPr>
          <w:p w14:paraId="23BDB4A8">
            <w:pPr>
              <w:spacing w:after="0"/>
              <w:jc w:val="center"/>
              <w:rPr>
                <w:rFonts w:ascii="微软雅黑" w:hAnsi="微软雅黑" w:cs="微软雅黑"/>
                <w:b/>
                <w:bCs/>
                <w:color w:val="F9FBFA"/>
                <w:kern w:val="2"/>
                <w:sz w:val="18"/>
                <w:szCs w:val="18"/>
              </w:rPr>
            </w:pPr>
            <w:bookmarkStart w:id="24" w:name="_Toc26040"/>
            <w:bookmarkStart w:id="25" w:name="_Toc30153"/>
            <w:r>
              <w:rPr>
                <w:rFonts w:hint="eastAsia" w:ascii="微软雅黑" w:hAnsi="微软雅黑" w:cs="微软雅黑"/>
                <w:b/>
                <w:bCs/>
                <w:color w:val="F9FBFA"/>
                <w:kern w:val="2"/>
                <w:sz w:val="18"/>
                <w:szCs w:val="18"/>
              </w:rPr>
              <w:t>基因名称</w:t>
            </w:r>
          </w:p>
        </w:tc>
        <w:tc>
          <w:tcPr>
            <w:tcW w:w="4383" w:type="dxa"/>
            <w:gridSpan w:val="6"/>
            <w:tcBorders>
              <w:tl2br w:val="nil"/>
              <w:tr2bl w:val="nil"/>
            </w:tcBorders>
            <w:shd w:val="clear" w:color="auto" w:fill="00C4D8"/>
            <w:vAlign w:val="center"/>
          </w:tcPr>
          <w:p w14:paraId="52B51AE5">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624" w:type="dxa"/>
            <w:gridSpan w:val="2"/>
            <w:tcBorders>
              <w:tl2br w:val="nil"/>
              <w:tr2bl w:val="nil"/>
            </w:tcBorders>
            <w:shd w:val="clear" w:color="auto" w:fill="00C4D8"/>
            <w:vAlign w:val="center"/>
          </w:tcPr>
          <w:p w14:paraId="6A4233E3">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靶向/免疫药物信息</w:t>
            </w:r>
          </w:p>
        </w:tc>
      </w:tr>
      <w:tr w14:paraId="51BFAFD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969" w:type="dxa"/>
            <w:vMerge w:val="continue"/>
            <w:tcBorders>
              <w:tl2br w:val="nil"/>
              <w:tr2bl w:val="nil"/>
            </w:tcBorders>
            <w:shd w:val="clear" w:color="auto" w:fill="00C4D8"/>
            <w:vAlign w:val="center"/>
          </w:tcPr>
          <w:p w14:paraId="623344E0">
            <w:pPr>
              <w:spacing w:after="0"/>
              <w:jc w:val="center"/>
              <w:rPr>
                <w:rFonts w:ascii="微软雅黑" w:hAnsi="微软雅黑" w:cs="微软雅黑"/>
                <w:b/>
                <w:bCs/>
                <w:color w:val="F9FBFA"/>
                <w:kern w:val="2"/>
                <w:sz w:val="18"/>
                <w:szCs w:val="18"/>
              </w:rPr>
            </w:pPr>
          </w:p>
        </w:tc>
        <w:tc>
          <w:tcPr>
            <w:tcW w:w="838" w:type="dxa"/>
            <w:tcBorders>
              <w:tl2br w:val="nil"/>
              <w:tr2bl w:val="nil"/>
            </w:tcBorders>
            <w:shd w:val="clear" w:color="auto" w:fill="00C4D8"/>
            <w:vAlign w:val="center"/>
          </w:tcPr>
          <w:p w14:paraId="58E19D8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转录本号</w:t>
            </w:r>
          </w:p>
        </w:tc>
        <w:tc>
          <w:tcPr>
            <w:tcW w:w="480" w:type="dxa"/>
            <w:tcBorders>
              <w:tl2br w:val="nil"/>
              <w:tr2bl w:val="nil"/>
            </w:tcBorders>
            <w:shd w:val="clear" w:color="auto" w:fill="00C4D8"/>
            <w:vAlign w:val="center"/>
          </w:tcPr>
          <w:p w14:paraId="7E9D426A">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65" w:type="dxa"/>
            <w:tcBorders>
              <w:tl2br w:val="nil"/>
              <w:tr2bl w:val="nil"/>
            </w:tcBorders>
            <w:shd w:val="clear" w:color="auto" w:fill="00C4D8"/>
            <w:vAlign w:val="center"/>
          </w:tcPr>
          <w:p w14:paraId="05A53E76">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70" w:type="dxa"/>
            <w:tcBorders>
              <w:tl2br w:val="nil"/>
              <w:tr2bl w:val="nil"/>
            </w:tcBorders>
            <w:shd w:val="clear" w:color="auto" w:fill="00C4D8"/>
            <w:vAlign w:val="center"/>
          </w:tcPr>
          <w:p w14:paraId="6532E4E2">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590" w:type="dxa"/>
            <w:tcBorders>
              <w:tl2br w:val="nil"/>
              <w:tr2bl w:val="nil"/>
            </w:tcBorders>
            <w:shd w:val="clear" w:color="auto" w:fill="00C4D8"/>
            <w:vAlign w:val="center"/>
          </w:tcPr>
          <w:p w14:paraId="65AFFC9B">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39EB1CAE">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740" w:type="dxa"/>
            <w:tcBorders>
              <w:tl2br w:val="nil"/>
              <w:tr2bl w:val="nil"/>
            </w:tcBorders>
            <w:shd w:val="clear" w:color="auto" w:fill="00C4D8"/>
            <w:vAlign w:val="center"/>
          </w:tcPr>
          <w:p w14:paraId="247BC367">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38700CF5">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w:t>
            </w:r>
          </w:p>
        </w:tc>
        <w:tc>
          <w:tcPr>
            <w:tcW w:w="2828" w:type="dxa"/>
            <w:tcBorders>
              <w:tl2br w:val="nil"/>
              <w:tr2bl w:val="nil"/>
            </w:tcBorders>
            <w:shd w:val="clear" w:color="auto" w:fill="00C4D8"/>
            <w:vAlign w:val="center"/>
          </w:tcPr>
          <w:p w14:paraId="2CF5C6C6">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潜在获益靶向/免疫药物</w:t>
            </w:r>
          </w:p>
          <w:p w14:paraId="50EB41BA">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（证据等级）</w:t>
            </w:r>
          </w:p>
        </w:tc>
        <w:tc>
          <w:tcPr>
            <w:tcW w:w="796" w:type="dxa"/>
            <w:tcBorders>
              <w:tl2br w:val="nil"/>
              <w:tr2bl w:val="nil"/>
            </w:tcBorders>
            <w:shd w:val="clear" w:color="auto" w:fill="00C4D8"/>
            <w:vAlign w:val="center"/>
          </w:tcPr>
          <w:p w14:paraId="5EEB6DEF">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可能耐药或慎重药物（证据等级）</w:t>
            </w:r>
          </w:p>
        </w:tc>
      </w:tr>
      <w:tr w14:paraId="4A2403BD">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25" w:hRule="atLeast"/>
          <w:jc w:val="center"/>
        </w:trPr>
        <w:tc>
          <w:tcPr>
            <w:tcW w:w="969" w:type="dxa"/>
            <w:vMerge w:val="restart"/>
            <w:tcBorders>
              <w:tl2br w:val="nil"/>
              <w:tr2bl w:val="nil"/>
            </w:tcBorders>
            <w:vAlign w:val="center"/>
          </w:tcPr>
          <w:p w14:paraId="53D4CBD7">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tc>
        <w:tc>
          <w:tcPr>
            <w:tcW w:w="838" w:type="dxa"/>
            <w:vMerge w:val="restart"/>
            <w:tcBorders>
              <w:tl2br w:val="nil"/>
              <w:tr2bl w:val="nil"/>
            </w:tcBorders>
            <w:vAlign w:val="center"/>
          </w:tcPr>
          <w:p w14:paraId="073BF003">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vMerge w:val="restart"/>
            <w:tcBorders>
              <w:tl2br w:val="nil"/>
              <w:tr2bl w:val="nil"/>
            </w:tcBorders>
            <w:vAlign w:val="center"/>
          </w:tcPr>
          <w:p w14:paraId="795C844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21EC4092">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1270" w:type="dxa"/>
            <w:tcBorders>
              <w:tl2br w:val="nil"/>
              <w:tr2bl w:val="nil"/>
            </w:tcBorders>
            <w:vAlign w:val="center"/>
          </w:tcPr>
          <w:p w14:paraId="229DBA8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lang w:eastAsia="zh-CN"/>
              </w:rPr>
            </w:r>
            <w:r>
              <w:rPr>
                <w:rFonts w:hint="eastAsia" w:ascii="微软雅黑" w:hAnsi="微软雅黑" w:cs="微软雅黑"/>
                <w:bCs/>
                <w:kern w:val="2"/>
                <w:sz w:val="18"/>
                <w:szCs w:val="18"/>
              </w:rPr>
            </w:r>
          </w:p>
          <w:p w14:paraId="4989E93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31648C4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7D05073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vMerge w:val="restart"/>
            <w:tcBorders>
              <w:tl2br w:val="nil"/>
              <w:tr2bl w:val="nil"/>
            </w:tcBorders>
            <w:vAlign w:val="center"/>
          </w:tcPr>
          <w:p w14:paraId="1E99EC82">
            <w:pPr>
              <w:numPr>
                <w:ilvl w:val="255"/>
                <w:numId w:val="0"/>
              </w:num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r>
          </w:p>
          <w:p w14:paraId="18D2CF76">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075C5DBB">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7A02F402">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6DEE1B6D">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66FAF36B">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5F9B0579">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15121EFB">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6E71ACF9">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31450F58">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54D8F021">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21025952">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61F14C74">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3346BE3F">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2840CC6E">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tc>
        <w:tc>
          <w:tcPr>
            <w:tcW w:w="796" w:type="dxa"/>
            <w:vMerge w:val="restart"/>
            <w:tcBorders>
              <w:tl2br w:val="nil"/>
              <w:tr2bl w:val="nil"/>
            </w:tcBorders>
            <w:vAlign w:val="center"/>
          </w:tcPr>
          <w:p w14:paraId="63D64C76">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lang w:bidi="ar"/>
              </w:rPr>
            </w:r>
          </w:p>
        </w:tc>
      </w:tr>
      <w:tr w14:paraId="06D9157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822" w:hRule="atLeast"/>
          <w:jc w:val="center"/>
        </w:trPr>
        <w:tc>
          <w:tcPr>
            <w:tcW w:w="969" w:type="dxa"/>
            <w:vMerge w:val="continue"/>
            <w:tcBorders>
              <w:tl2br w:val="nil"/>
              <w:tr2bl w:val="nil"/>
            </w:tcBorders>
            <w:vAlign w:val="center"/>
          </w:tcPr>
          <w:p w14:paraId="57D7F270">
            <w:pPr>
              <w:spacing w:after="0" w:line="220" w:lineRule="atLeast"/>
              <w:jc w:val="center"/>
              <w:rPr>
                <w:rFonts w:ascii="微软雅黑" w:hAnsi="微软雅黑" w:cs="微软雅黑"/>
                <w:bCs/>
                <w:color w:val="0000FF"/>
                <w:kern w:val="2"/>
                <w:sz w:val="18"/>
                <w:szCs w:val="18"/>
                <w:u w:val="single"/>
              </w:rPr>
            </w:pPr>
          </w:p>
        </w:tc>
        <w:tc>
          <w:tcPr>
            <w:tcW w:w="838" w:type="dxa"/>
            <w:vMerge w:val="continue"/>
            <w:tcBorders>
              <w:tl2br w:val="nil"/>
              <w:tr2bl w:val="nil"/>
            </w:tcBorders>
            <w:vAlign w:val="center"/>
          </w:tcPr>
          <w:p w14:paraId="190E01E2">
            <w:pPr>
              <w:spacing w:after="0" w:line="220" w:lineRule="atLeast"/>
              <w:jc w:val="center"/>
              <w:rPr>
                <w:rFonts w:ascii="微软雅黑" w:hAnsi="微软雅黑" w:cs="微软雅黑"/>
                <w:bCs/>
                <w:kern w:val="2"/>
                <w:sz w:val="18"/>
                <w:szCs w:val="18"/>
              </w:rPr>
            </w:pPr>
          </w:p>
        </w:tc>
        <w:tc>
          <w:tcPr>
            <w:tcW w:w="480" w:type="dxa"/>
            <w:vMerge w:val="continue"/>
            <w:tcBorders>
              <w:tl2br w:val="nil"/>
              <w:tr2bl w:val="nil"/>
            </w:tcBorders>
            <w:vAlign w:val="center"/>
          </w:tcPr>
          <w:p w14:paraId="1E7C8EB0">
            <w:pPr>
              <w:spacing w:after="0" w:line="220" w:lineRule="atLeast"/>
              <w:jc w:val="center"/>
              <w:rPr>
                <w:rFonts w:ascii="微软雅黑" w:hAnsi="微软雅黑" w:cs="微软雅黑"/>
                <w:bCs/>
                <w:kern w:val="2"/>
                <w:sz w:val="18"/>
                <w:szCs w:val="18"/>
              </w:rPr>
            </w:pPr>
          </w:p>
        </w:tc>
        <w:tc>
          <w:tcPr>
            <w:tcW w:w="465" w:type="dxa"/>
            <w:tcBorders>
              <w:tl2br w:val="nil"/>
              <w:tr2bl w:val="nil"/>
            </w:tcBorders>
            <w:vAlign w:val="center"/>
          </w:tcPr>
          <w:p w14:paraId="1D25FD9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1270" w:type="dxa"/>
            <w:tcBorders>
              <w:tl2br w:val="nil"/>
              <w:tr2bl w:val="nil"/>
            </w:tcBorders>
            <w:vAlign w:val="center"/>
          </w:tcPr>
          <w:p w14:paraId="511A726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p w14:paraId="6C07778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2A67A40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54E2A7C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vMerge w:val="continue"/>
            <w:tcBorders>
              <w:tl2br w:val="nil"/>
              <w:tr2bl w:val="nil"/>
            </w:tcBorders>
            <w:vAlign w:val="center"/>
          </w:tcPr>
          <w:p w14:paraId="52A0A165">
            <w:pPr>
              <w:numPr>
                <w:ilvl w:val="255"/>
                <w:numId w:val="0"/>
              </w:numPr>
              <w:spacing w:after="0" w:line="220" w:lineRule="atLeast"/>
              <w:jc w:val="center"/>
              <w:rPr>
                <w:rFonts w:ascii="微软雅黑" w:hAnsi="微软雅黑" w:cs="微软雅黑"/>
                <w:color w:val="0000FF"/>
                <w:kern w:val="2"/>
                <w:sz w:val="18"/>
                <w:szCs w:val="18"/>
                <w:u w:val="single"/>
              </w:rPr>
            </w:pPr>
          </w:p>
        </w:tc>
        <w:tc>
          <w:tcPr>
            <w:tcW w:w="796" w:type="dxa"/>
            <w:vMerge w:val="continue"/>
            <w:tcBorders>
              <w:tl2br w:val="nil"/>
              <w:tr2bl w:val="nil"/>
            </w:tcBorders>
            <w:vAlign w:val="center"/>
          </w:tcPr>
          <w:p w14:paraId="19BA76FD">
            <w:pPr>
              <w:adjustRightInd/>
              <w:snapToGrid/>
              <w:spacing w:after="0" w:line="220" w:lineRule="atLeast"/>
              <w:jc w:val="center"/>
              <w:rPr>
                <w:rFonts w:ascii="微软雅黑" w:hAnsi="微软雅黑"/>
                <w:bCs/>
                <w:color w:val="0000FF"/>
                <w:kern w:val="2"/>
                <w:sz w:val="2"/>
                <w:szCs w:val="2"/>
                <w:u w:val="single"/>
              </w:rPr>
            </w:pPr>
          </w:p>
        </w:tc>
      </w:tr>
      <w:tr w14:paraId="4C8C5CE6">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822" w:hRule="atLeast"/>
          <w:jc w:val="center"/>
        </w:trPr>
        <w:tc>
          <w:tcPr>
            <w:tcW w:w="969" w:type="dxa"/>
            <w:tcBorders>
              <w:tl2br w:val="nil"/>
              <w:tr2bl w:val="nil"/>
            </w:tcBorders>
            <w:vAlign w:val="center"/>
          </w:tcPr>
          <w:p w14:paraId="59EE5030">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tc>
        <w:tc>
          <w:tcPr>
            <w:tcW w:w="838" w:type="dxa"/>
            <w:tcBorders>
              <w:tl2br w:val="nil"/>
              <w:tr2bl w:val="nil"/>
            </w:tcBorders>
            <w:vAlign w:val="center"/>
          </w:tcPr>
          <w:p w14:paraId="61FA170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17FA154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623CB95B">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1270" w:type="dxa"/>
            <w:tcBorders>
              <w:tl2br w:val="nil"/>
              <w:tr2bl w:val="nil"/>
            </w:tcBorders>
            <w:vAlign w:val="center"/>
          </w:tcPr>
          <w:p w14:paraId="5BC97AEB">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p w14:paraId="00412D3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6C18CC0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1DB4B1C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0350D47F">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r>
          </w:p>
          <w:p w14:paraId="41D7E85F">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tc>
        <w:tc>
          <w:tcPr>
            <w:tcW w:w="796" w:type="dxa"/>
            <w:tcBorders>
              <w:tl2br w:val="nil"/>
              <w:tr2bl w:val="nil"/>
            </w:tcBorders>
            <w:vAlign w:val="center"/>
          </w:tcPr>
          <w:p w14:paraId="7903D722">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lang w:bidi="ar"/>
              </w:rPr>
            </w:r>
          </w:p>
        </w:tc>
      </w:tr>
      <w:tr w14:paraId="7F384B8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822" w:hRule="atLeast"/>
          <w:jc w:val="center"/>
        </w:trPr>
        <w:tc>
          <w:tcPr>
            <w:tcW w:w="969" w:type="dxa"/>
            <w:tcBorders>
              <w:tl2br w:val="nil"/>
              <w:tr2bl w:val="nil"/>
            </w:tcBorders>
            <w:vAlign w:val="center"/>
          </w:tcPr>
          <w:p w14:paraId="298BC000">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r>
          </w:p>
        </w:tc>
        <w:tc>
          <w:tcPr>
            <w:tcW w:w="838" w:type="dxa"/>
            <w:tcBorders>
              <w:tl2br w:val="nil"/>
              <w:tr2bl w:val="nil"/>
            </w:tcBorders>
            <w:vAlign w:val="center"/>
          </w:tcPr>
          <w:p w14:paraId="02322D23">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2295416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5DBA1BD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1270" w:type="dxa"/>
            <w:tcBorders>
              <w:tl2br w:val="nil"/>
              <w:tr2bl w:val="nil"/>
            </w:tcBorders>
            <w:vAlign w:val="center"/>
          </w:tcPr>
          <w:p w14:paraId="663B9FC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p w14:paraId="6AD18BA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4863821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11F8459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3C338AEE">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r>
          </w:p>
          <w:p w14:paraId="14FC49D7">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51CE2C4A">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3F8784C4">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0E4C0156">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3CA1316B">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64C6DB29">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69E43A8C">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16D612C9">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1C58C129">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6ECDDF9A">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307C9C32">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6FAB3734">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3935D239">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p w14:paraId="3DEB6D2D">
            <w:pPr>
              <w:numPr>
                <w:ilvl w:val="255"/>
                <w:numId w:val="0"/>
              </w:numPr>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r>
          </w:p>
        </w:tc>
        <w:tc>
          <w:tcPr>
            <w:tcW w:w="796" w:type="dxa"/>
            <w:tcBorders>
              <w:tl2br w:val="nil"/>
              <w:tr2bl w:val="nil"/>
            </w:tcBorders>
            <w:vAlign w:val="center"/>
          </w:tcPr>
          <w:p w14:paraId="0C137894">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lang w:bidi="ar"/>
              </w:rPr>
            </w:r>
          </w:p>
        </w:tc>
      </w:tr>
      <w:tr w14:paraId="7B54A55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24742131">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08B04F4A">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3AC5558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065364A7">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502425EB">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04C42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691CE47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5B769070">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1EDB5771">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0FBBE68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42A5376A">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30DF923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3C90CECA">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087A4F60">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19AF659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2292A39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4BF9D16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0E2ED667">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1EF34407">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242F063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023119CA">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750BAA0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1B05661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3A423D34">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778C0518">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6627F54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1ED5813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2B1C3864">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244FC161">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236409C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7991BA26">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02BD14C2">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26EB20B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4C097E7C">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5287480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12F91F52">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2F9566E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603A0EC2">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21C98C6A">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36C8585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0EFDD0F1">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1B0EE86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52A838D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66520308">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396442B2">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0C7AABEB">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1B04964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7D7F05C9">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10565D6C">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5A171D5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1D53E34F">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5F02B37A">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2408A8F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0159D556">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49BB14B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0CEDBBD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3EB1705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303DBD7D">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3AF9F480">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4A2846E6">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5AA86369">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76A80988">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3C8D63A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4955611A">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07952D8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1F44914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367E8B8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4B44AC5A">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25AA6B13">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1E65B44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33B89F32">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4AA850F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1A572BC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3ECB4E07">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239F134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4CE9A6F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74A99EE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6367A585">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496E434B">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5E797DA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6127443D">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494CF333">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19850FBB">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61F63F4A">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0D2DD283">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2EFB0EC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74AF000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4381366F">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15E6255F">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62BFF5DC">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5EE18A88">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2DFF473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26CE90E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16461CB3">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771F95C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3FD89BF2">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44692BD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4BEEFEA5">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2CE62139">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583BD8AD">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1F2B8B58">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0497924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4418834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7989E3C7">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31AE473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38797BA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0404FB3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36C9A021">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747CE637">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3DD47E9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2AD519E7">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3DE1C51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225DDB3B">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019BEA9B">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6AC2E1C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54F47DD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6886117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43026A97">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1124951B">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0EB6B2C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3669F4A8">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29CFADB3">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469C866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509B84C8">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7E1F0F7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4DD9B088">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2BB9161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6952DB55">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4E85F413">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5AEE3F6C">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36E6B5DB">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671A4D58">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5D1DA26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4A93BBE7">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5CDCB4F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54907933">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4BE3E1BB">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75D96113">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16F01E39">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7BB1875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2E6137F2">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3A5B6D53">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034756D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0B27B406">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29E0D67A">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2F36EEC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04AA40F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135CE14A">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5ABDDC19">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42A47A3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16419496">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4D67329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0A801952">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16745136">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291E10C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47AC11F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140E222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43B3BC87">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1D3C121A">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059E98B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49427A1B">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7517160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0836F30A">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5BF58CDD">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6815D4E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5A7B4C4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51AE25CA">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7D1DA278">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4D697F87">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0AA8B8A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17239434">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1EF5421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423328A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3BEC4E71">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24DF0F8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2F1707D2">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76D4A87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1A342FEE">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2E8FB3ED">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31E95E1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7F1DB093">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03B296F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204A7DF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0A5C76A5">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78D4A34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53C92C70">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37E96E3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11B48D77">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11E653B4">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406EC2B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53492ADC">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7AB57EA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2D0DFB8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2DF0EFF4">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36591312">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7B7869F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11D124F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1A06FF6C">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56D0600C">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5A4E15C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38C6989E">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71A1B8DE">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26F7EE0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71AA0FFF">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5CCAF97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5C762FD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3BFB0FB2">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4FE70A0C">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2F39E68A">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5C9742E6">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5A4F309D">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686ECFB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30845D0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7641CD50">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424322C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4F338C4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5C901F68">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2A2F0EDC">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6F67EC63">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1F50005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16EA72BC">
            <w:pPr>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13CF425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7232E82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65" w:type="dxa"/>
            <w:tcBorders>
              <w:tl2br w:val="nil"/>
              <w:tr2bl w:val="nil"/>
            </w:tcBorders>
            <w:vAlign w:val="center"/>
          </w:tcPr>
          <w:p w14:paraId="2F667790">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6268AF48">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48406DD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6575A807">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4514F6D8">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1E8D9DF9">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661B810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03BCAEED">
            <w:pPr>
              <w:spacing w:after="0" w:line="220" w:lineRule="atLeast"/>
              <w:jc w:val="center"/>
              <w:rPr>
                <w:rFonts w:hint="eastAsia" w:ascii="微软雅黑" w:hAnsi="微软雅黑" w:cs="微软雅黑"/>
                <w:bCs/>
                <w:color w:val="000000" w:themeColor="text1"/>
                <w:kern w:val="2"/>
                <w:sz w:val="18"/>
                <w:szCs w:val="18"/>
                <w:lang w:bidi="ar"/>
                <w14:textFill>
                  <w14:solidFill>
                    <w14:schemeClr w14:val="tx1"/>
                  </w14:solidFill>
                </w14:textFill>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6ECF5318">
            <w:pPr>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lang w:bidi="ar"/>
              </w:rPr>
            </w:r>
          </w:p>
        </w:tc>
        <w:tc>
          <w:tcPr>
            <w:tcW w:w="480" w:type="dxa"/>
            <w:tcBorders>
              <w:tl2br w:val="nil"/>
              <w:tr2bl w:val="nil"/>
            </w:tcBorders>
            <w:vAlign w:val="center"/>
          </w:tcPr>
          <w:p w14:paraId="5603D9F1">
            <w:pPr>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lang w:bidi="ar"/>
              </w:rPr>
            </w:r>
          </w:p>
        </w:tc>
        <w:tc>
          <w:tcPr>
            <w:tcW w:w="465" w:type="dxa"/>
            <w:tcBorders>
              <w:tl2br w:val="nil"/>
              <w:tr2bl w:val="nil"/>
            </w:tcBorders>
            <w:vAlign w:val="center"/>
          </w:tcPr>
          <w:p w14:paraId="5B97A8C3">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5F003BE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7C4B65A8">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549CD95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5B874DA2">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750CD12E">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4EBCF8C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5CA7AEAB">
            <w:pPr>
              <w:spacing w:after="0" w:line="220" w:lineRule="atLeast"/>
              <w:jc w:val="center"/>
              <w:rPr>
                <w:rFonts w:hint="eastAsia" w:ascii="微软雅黑" w:hAnsi="微软雅黑" w:cs="微软雅黑"/>
                <w:bCs/>
                <w:color w:val="000000" w:themeColor="text1"/>
                <w:kern w:val="2"/>
                <w:sz w:val="18"/>
                <w:szCs w:val="18"/>
                <w:lang w:bidi="ar"/>
                <w14:textFill>
                  <w14:solidFill>
                    <w14:schemeClr w14:val="tx1"/>
                  </w14:solidFill>
                </w14:textFill>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2EF0A6BC">
            <w:pPr>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lang w:bidi="ar"/>
              </w:rPr>
            </w:r>
          </w:p>
        </w:tc>
        <w:tc>
          <w:tcPr>
            <w:tcW w:w="480" w:type="dxa"/>
            <w:tcBorders>
              <w:tl2br w:val="nil"/>
              <w:tr2bl w:val="nil"/>
            </w:tcBorders>
            <w:vAlign w:val="center"/>
          </w:tcPr>
          <w:p w14:paraId="5D01B8E1">
            <w:pPr>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lang w:bidi="ar"/>
              </w:rPr>
            </w:r>
          </w:p>
        </w:tc>
        <w:tc>
          <w:tcPr>
            <w:tcW w:w="465" w:type="dxa"/>
            <w:tcBorders>
              <w:tl2br w:val="nil"/>
              <w:tr2bl w:val="nil"/>
            </w:tcBorders>
            <w:vAlign w:val="center"/>
          </w:tcPr>
          <w:p w14:paraId="67857D27">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7CC3FF8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5DCF4C7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1BBB99EA">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40C1EBE4">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41732BFA">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r w14:paraId="51DA166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766" w:hRule="atLeast"/>
          <w:jc w:val="center"/>
        </w:trPr>
        <w:tc>
          <w:tcPr>
            <w:tcW w:w="969" w:type="dxa"/>
            <w:tcBorders>
              <w:tl2br w:val="nil"/>
              <w:tr2bl w:val="nil"/>
            </w:tcBorders>
            <w:vAlign w:val="center"/>
          </w:tcPr>
          <w:p w14:paraId="2A481434">
            <w:pPr>
              <w:spacing w:after="0" w:line="220" w:lineRule="atLeast"/>
              <w:jc w:val="center"/>
              <w:rPr>
                <w:rFonts w:hint="eastAsia" w:ascii="微软雅黑" w:hAnsi="微软雅黑" w:cs="微软雅黑"/>
                <w:bCs/>
                <w:color w:val="000000" w:themeColor="text1"/>
                <w:kern w:val="2"/>
                <w:sz w:val="18"/>
                <w:szCs w:val="18"/>
                <w:lang w:bidi="ar"/>
                <w14:textFill>
                  <w14:solidFill>
                    <w14:schemeClr w14:val="tx1"/>
                  </w14:solidFill>
                </w14:textFill>
              </w:rPr>
            </w:pPr>
            <w:r>
              <w:rPr>
                <w:rFonts w:hint="eastAsia" w:ascii="微软雅黑" w:hAnsi="微软雅黑" w:cs="微软雅黑"/>
                <w:bCs/>
                <w:color w:val="000000" w:themeColor="text1"/>
                <w:kern w:val="2"/>
                <w:sz w:val="18"/>
                <w:szCs w:val="18"/>
                <w:lang w:bidi="ar"/>
                <w14:textFill>
                  <w14:solidFill>
                    <w14:schemeClr w14:val="tx1"/>
                  </w14:solidFill>
                </w14:textFill>
              </w:rPr>
            </w:r>
          </w:p>
        </w:tc>
        <w:tc>
          <w:tcPr>
            <w:tcW w:w="838" w:type="dxa"/>
            <w:tcBorders>
              <w:tl2br w:val="nil"/>
              <w:tr2bl w:val="nil"/>
            </w:tcBorders>
            <w:vAlign w:val="center"/>
          </w:tcPr>
          <w:p w14:paraId="13D1590E">
            <w:pPr>
              <w:spacing w:after="0" w:line="220" w:lineRule="atLeast"/>
              <w:jc w:val="center"/>
              <w:rPr>
                <w:rFonts w:hint="eastAsia" w:ascii="微软雅黑" w:hAnsi="微软雅黑" w:cs="微软雅黑"/>
                <w:bCs/>
                <w:kern w:val="2"/>
                <w:sz w:val="18"/>
                <w:szCs w:val="18"/>
              </w:rPr>
            </w:pPr>
            <w:r>
              <w:rPr>
                <w:rFonts w:hint="eastAsia" w:ascii="微软雅黑" w:hAnsi="微软雅黑" w:cs="微软雅黑"/>
                <w:bCs/>
                <w:kern w:val="2"/>
                <w:sz w:val="18"/>
                <w:szCs w:val="18"/>
              </w:rPr>
            </w:r>
          </w:p>
          <w:p w14:paraId="011A90B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480" w:type="dxa"/>
            <w:tcBorders>
              <w:tl2br w:val="nil"/>
              <w:tr2bl w:val="nil"/>
            </w:tcBorders>
            <w:vAlign w:val="center"/>
          </w:tcPr>
          <w:p w14:paraId="66A83B9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lang w:val="en-US" w:eastAsia="zh-CN"/>
              </w:rPr>
            </w:r>
          </w:p>
        </w:tc>
        <w:tc>
          <w:tcPr>
            <w:tcW w:w="465" w:type="dxa"/>
            <w:tcBorders>
              <w:tl2br w:val="nil"/>
              <w:tr2bl w:val="nil"/>
            </w:tcBorders>
            <w:vAlign w:val="center"/>
          </w:tcPr>
          <w:p w14:paraId="66DFFB16">
            <w:pPr>
              <w:spacing w:after="0" w:line="220" w:lineRule="atLeast"/>
              <w:jc w:val="center"/>
              <w:rPr>
                <w:rFonts w:ascii="微软雅黑" w:hAnsi="微软雅黑" w:cs="微软雅黑"/>
                <w:bCs/>
                <w:kern w:val="2"/>
                <w:sz w:val="18"/>
                <w:szCs w:val="18"/>
              </w:rPr>
            </w:pPr>
            <w:r/>
          </w:p>
        </w:tc>
        <w:tc>
          <w:tcPr>
            <w:tcW w:w="1270" w:type="dxa"/>
            <w:tcBorders>
              <w:tl2br w:val="nil"/>
              <w:tr2bl w:val="nil"/>
            </w:tcBorders>
            <w:vAlign w:val="center"/>
          </w:tcPr>
          <w:p w14:paraId="756D7585">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590" w:type="dxa"/>
            <w:tcBorders>
              <w:tl2br w:val="nil"/>
              <w:tr2bl w:val="nil"/>
            </w:tcBorders>
            <w:vAlign w:val="center"/>
          </w:tcPr>
          <w:p w14:paraId="2A8406F4">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740" w:type="dxa"/>
            <w:tcBorders>
              <w:tl2br w:val="nil"/>
              <w:tr2bl w:val="nil"/>
            </w:tcBorders>
            <w:vAlign w:val="center"/>
          </w:tcPr>
          <w:p w14:paraId="4A722D48">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2828" w:type="dxa"/>
            <w:tcBorders>
              <w:tl2br w:val="nil"/>
              <w:tr2bl w:val="nil"/>
            </w:tcBorders>
            <w:vAlign w:val="center"/>
          </w:tcPr>
          <w:p w14:paraId="3A6AFB4B">
            <w:pPr>
              <w:numPr>
                <w:ilvl w:val="255"/>
                <w:numId w:val="0"/>
              </w:numPr>
              <w:adjustRightInd/>
              <w:snapToGrid/>
              <w:spacing w:after="0"/>
              <w:jc w:val="center"/>
              <w:rPr>
                <w:rFonts w:ascii="微软雅黑" w:hAnsi="微软雅黑" w:cs="微软雅黑"/>
                <w:bCs/>
                <w:color w:val="0000FF"/>
                <w:kern w:val="2"/>
                <w:sz w:val="18"/>
                <w:szCs w:val="18"/>
                <w:u w:val="single"/>
              </w:rPr>
            </w:pPr>
            <w:r>
              <w:rPr>
                <w:rFonts w:hint="eastAsia" w:ascii="微软雅黑" w:hAnsi="微软雅黑" w:cs="微软雅黑"/>
                <w:bCs/>
                <w:kern w:val="2"/>
                <w:sz w:val="18"/>
                <w:szCs w:val="18"/>
                <w:lang w:bidi="ar"/>
              </w:rPr>
            </w:r>
          </w:p>
        </w:tc>
        <w:tc>
          <w:tcPr>
            <w:tcW w:w="796" w:type="dxa"/>
            <w:tcBorders>
              <w:tl2br w:val="nil"/>
              <w:tr2bl w:val="nil"/>
            </w:tcBorders>
            <w:vAlign w:val="center"/>
          </w:tcPr>
          <w:p w14:paraId="76B0F201">
            <w:pPr>
              <w:spacing w:after="0"/>
              <w:jc w:val="center"/>
              <w:rPr>
                <w:rFonts w:ascii="微软雅黑" w:hAnsi="微软雅黑" w:cs="微软雅黑"/>
                <w:bCs/>
                <w:kern w:val="2"/>
                <w:sz w:val="18"/>
                <w:szCs w:val="18"/>
              </w:rPr>
            </w:pPr>
            <w:r>
              <w:rPr>
                <w:rFonts w:hint="eastAsia" w:ascii="微软雅黑" w:hAnsi="微软雅黑" w:cs="微软雅黑"/>
                <w:bCs/>
                <w:kern w:val="2"/>
                <w:sz w:val="18"/>
                <w:szCs w:val="18"/>
              </w:rPr>
            </w:r>
          </w:p>
        </w:tc>
      </w:tr>
    </w:tbl>
    <w:p w14:paraId="5B59E083">
      <w:pPr>
        <w:adjustRightInd/>
        <w:snapToGrid/>
        <w:spacing w:before="200" w:line="220" w:lineRule="atLeast"/>
        <w:jc w:val="both"/>
        <w:rPr>
          <w:rFonts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*突变频率是指在该位点所有等位基因中，突变基因所占的百分比。上述基因变异及相应靶向药物的详细解析请见“基因变异解析”和“靶向/免疫药物用药提示解析”。</w:t>
      </w:r>
      <w:bookmarkEnd w:id="24"/>
      <w:bookmarkEnd w:id="25"/>
    </w:p>
    <w:p w14:paraId="2668A933">
      <w:pPr>
        <w:adjustRightInd/>
        <w:snapToGrid/>
        <w:spacing w:before="200" w:after="0" w:line="220" w:lineRule="atLeast"/>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0DEDFDDC">
      <w:pPr>
        <w:rPr>
          <w:rFonts w:ascii="微软雅黑" w:hAnsi="微软雅黑"/>
          <w:b/>
          <w:color w:val="00C4D8"/>
          <w:sz w:val="28"/>
          <w:szCs w:val="28"/>
        </w:rPr>
      </w:pPr>
      <w:r>
        <w:rPr>
          <w:rFonts w:hint="eastAsia" w:ascii="微软雅黑" w:hAnsi="微软雅黑"/>
          <w:b/>
          <w:color w:val="00C4D8"/>
          <w:sz w:val="28"/>
          <w:szCs w:val="28"/>
        </w:rPr>
        <w:br w:type="page"/>
      </w:r>
    </w:p>
    <w:p w14:paraId="3C70DC8D">
      <w:pPr>
        <w:spacing w:after="240" w:afterLines="100"/>
        <w:jc w:val="both"/>
        <w:outlineLvl w:val="2"/>
        <w:rPr>
          <w:rFonts w:ascii="微软雅黑" w:hAnsi="微软雅黑"/>
          <w:b/>
          <w:color w:val="00C4D8"/>
          <w:sz w:val="28"/>
          <w:szCs w:val="28"/>
        </w:rPr>
      </w:pPr>
      <w:bookmarkStart w:id="26" w:name="_Toc163825598"/>
      <w:r>
        <w:rPr>
          <w:rFonts w:hint="eastAsia" w:ascii="微软雅黑" w:hAnsi="微软雅黑"/>
          <w:b/>
          <w:color w:val="00C4D8"/>
          <w:sz w:val="28"/>
          <w:szCs w:val="28"/>
        </w:rPr>
        <w:t>1.2 其它潜在获益上市药物提示*</w:t>
      </w:r>
      <w:bookmarkEnd w:id="26"/>
    </w:p>
    <w:p w14:paraId="07BF2DD7">
      <w:pPr>
        <w:spacing w:after="240" w:afterLines="100"/>
        <w:jc w:val="both"/>
        <w:rPr>
          <w:rFonts w:ascii="微软雅黑" w:hAnsi="微软雅黑"/>
          <w:b/>
          <w:color w:val="00C4D8"/>
          <w:sz w:val="21"/>
          <w:szCs w:val="21"/>
        </w:rPr>
      </w:pPr>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5"/>
        <w:tblW w:w="8523" w:type="dxa"/>
        <w:tblInd w:w="74"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Layout w:type="fixed"/>
        <w:tblCellMar>
          <w:top w:w="0" w:type="dxa"/>
          <w:left w:w="108" w:type="dxa"/>
          <w:bottom w:w="0" w:type="dxa"/>
          <w:right w:w="108" w:type="dxa"/>
        </w:tblCellMar>
      </w:tblPr>
      <w:tblGrid>
        <w:gridCol w:w="1814"/>
        <w:gridCol w:w="1759"/>
        <w:gridCol w:w="4950"/>
      </w:tblGrid>
      <w:tr w14:paraId="53A351B8">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1814" w:type="dxa"/>
            <w:tcBorders>
              <w:top w:val="single" w:color="000000" w:sz="8" w:space="0"/>
              <w:left w:val="single" w:color="000000" w:sz="8" w:space="0"/>
              <w:bottom w:val="single" w:color="auto" w:sz="4" w:space="0"/>
              <w:right w:val="single" w:color="000000" w:sz="6" w:space="0"/>
            </w:tcBorders>
            <w:shd w:val="clear" w:color="auto" w:fill="00C4D8"/>
            <w:vAlign w:val="center"/>
          </w:tcPr>
          <w:p w14:paraId="2386DDDB">
            <w:pPr>
              <w:spacing w:after="0"/>
              <w:jc w:val="center"/>
              <w:rPr>
                <w:rFonts w:ascii="微软雅黑" w:hAnsi="微软雅黑" w:cs="微软雅黑"/>
                <w:b/>
                <w:color w:val="FFFFFF"/>
                <w:kern w:val="2"/>
              </w:rPr>
            </w:pPr>
            <w:r>
              <w:rPr>
                <w:rFonts w:hint="eastAsia" w:ascii="微软雅黑" w:hAnsi="微软雅黑" w:cs="微软雅黑"/>
                <w:b/>
                <w:color w:val="FFFFFF"/>
                <w:kern w:val="2"/>
                <w:lang w:bidi="ar"/>
              </w:rPr>
              <w:t>药物名称</w:t>
            </w:r>
          </w:p>
        </w:tc>
        <w:tc>
          <w:tcPr>
            <w:tcW w:w="1759" w:type="dxa"/>
            <w:tcBorders>
              <w:top w:val="single" w:color="000000" w:sz="8" w:space="0"/>
              <w:left w:val="single" w:color="000000" w:sz="6" w:space="0"/>
              <w:bottom w:val="single" w:color="auto" w:sz="4" w:space="0"/>
              <w:right w:val="single" w:color="000000" w:sz="6" w:space="0"/>
            </w:tcBorders>
            <w:shd w:val="clear" w:color="auto" w:fill="00C4D8"/>
            <w:vAlign w:val="center"/>
          </w:tcPr>
          <w:p w14:paraId="3BCC78AB">
            <w:pPr>
              <w:spacing w:after="0"/>
              <w:jc w:val="center"/>
              <w:rPr>
                <w:rFonts w:ascii="微软雅黑" w:hAnsi="微软雅黑" w:cs="微软雅黑"/>
                <w:b/>
                <w:color w:val="FFFFFF"/>
                <w:kern w:val="2"/>
              </w:rPr>
            </w:pPr>
            <w:r>
              <w:rPr>
                <w:rFonts w:hint="eastAsia" w:ascii="微软雅黑" w:hAnsi="微软雅黑" w:cs="微软雅黑"/>
                <w:b/>
                <w:color w:val="FFFFFF"/>
                <w:kern w:val="2"/>
                <w:lang w:bidi="ar"/>
              </w:rPr>
              <w:t>相关基因</w:t>
            </w:r>
          </w:p>
        </w:tc>
        <w:tc>
          <w:tcPr>
            <w:tcW w:w="4950" w:type="dxa"/>
            <w:tcBorders>
              <w:top w:val="single" w:color="000000" w:sz="8" w:space="0"/>
              <w:left w:val="single" w:color="000000" w:sz="6" w:space="0"/>
              <w:bottom w:val="single" w:color="auto" w:sz="4" w:space="0"/>
              <w:right w:val="single" w:color="000000" w:sz="8" w:space="0"/>
            </w:tcBorders>
            <w:shd w:val="clear" w:color="auto" w:fill="00C4D8"/>
            <w:vAlign w:val="center"/>
          </w:tcPr>
          <w:p w14:paraId="51FE29DB">
            <w:pPr>
              <w:spacing w:after="0"/>
              <w:jc w:val="center"/>
              <w:rPr>
                <w:rFonts w:ascii="微软雅黑" w:hAnsi="微软雅黑" w:cs="微软雅黑"/>
                <w:b/>
                <w:color w:val="FFFFFF"/>
                <w:kern w:val="2"/>
              </w:rPr>
            </w:pPr>
            <w:r>
              <w:rPr>
                <w:rFonts w:hint="eastAsia" w:ascii="微软雅黑" w:hAnsi="微软雅黑" w:cs="微软雅黑"/>
                <w:b/>
                <w:color w:val="FFFFFF"/>
                <w:kern w:val="2"/>
                <w:lang w:bidi="ar"/>
              </w:rPr>
              <w:t>药物介绍</w:t>
            </w:r>
          </w:p>
        </w:tc>
      </w:tr>
      <w:tr w14:paraId="4531C8A6">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1814" w:type="dxa"/>
            <w:tcBorders>
              <w:top w:val="single" w:color="auto" w:sz="4" w:space="0"/>
              <w:bottom w:val="single" w:color="000000" w:sz="8" w:space="0"/>
              <w:right w:val="single" w:color="000000" w:sz="4" w:space="0"/>
            </w:tcBorders>
            <w:vAlign w:val="center"/>
          </w:tcPr>
          <w:p w14:paraId="2569C491">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【待人工填写：相关药物介绍】</w:t>
            </w:r>
          </w:p>
          <w:p w14:paraId="4F322FA3">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38301B1D">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tc>
        <w:tc>
          <w:tcPr>
            <w:tcW w:w="1759" w:type="dxa"/>
            <w:tcBorders>
              <w:top w:val="single" w:color="auto" w:sz="4" w:space="0"/>
              <w:left w:val="single" w:color="000000" w:sz="4" w:space="0"/>
              <w:bottom w:val="single" w:color="000000" w:sz="8" w:space="0"/>
              <w:right w:val="single" w:color="000000" w:sz="4" w:space="0"/>
            </w:tcBorders>
            <w:vAlign w:val="center"/>
          </w:tcPr>
          <w:p w14:paraId="3AB81684">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tc>
        <w:tc>
          <w:tcPr>
            <w:tcW w:w="4950" w:type="dxa"/>
            <w:tcBorders>
              <w:top w:val="single" w:color="auto" w:sz="4" w:space="0"/>
              <w:left w:val="single" w:color="000000" w:sz="4" w:space="0"/>
              <w:bottom w:val="single" w:color="000000" w:sz="8" w:space="0"/>
            </w:tcBorders>
            <w:vAlign w:val="center"/>
          </w:tcPr>
          <w:p w14:paraId="186A6262">
            <w:pPr>
              <w:spacing w:after="0"/>
              <w:ind w:firstLine="420"/>
              <w:jc w:val="both"/>
              <w:rPr>
                <w:rFonts w:ascii="微软雅黑" w:hAnsi="微软雅黑" w:cs="微软雅黑"/>
                <w:kern w:val="2"/>
                <w:sz w:val="21"/>
                <w:szCs w:val="21"/>
                <w:lang w:bidi="ar"/>
              </w:rPr>
            </w:pPr>
            <w:r>
              <w:rPr>
                <w:rFonts w:hint="eastAsia" w:ascii="微软雅黑" w:hAnsi="微软雅黑" w:cs="微软雅黑"/>
                <w:kern w:val="2"/>
                <w:sz w:val="21"/>
                <w:szCs w:val="21"/>
                <w:lang w:bidi="ar"/>
              </w:rPr>
            </w:r>
          </w:p>
        </w:tc>
      </w:tr>
      <w:tr w14:paraId="4971A54F">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1814" w:type="dxa"/>
            <w:vAlign w:val="center"/>
          </w:tcPr>
          <w:p w14:paraId="66D25659">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785E0F3F">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733D0F90">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tc>
        <w:tc>
          <w:tcPr>
            <w:tcW w:w="1759" w:type="dxa"/>
            <w:vAlign w:val="center"/>
          </w:tcPr>
          <w:p w14:paraId="35B8CA5C">
            <w:pPr>
              <w:spacing w:after="0"/>
              <w:jc w:val="center"/>
              <w:rPr>
                <w:rFonts w:ascii="微软雅黑" w:hAnsi="微软雅黑" w:cs="微软雅黑"/>
                <w:kern w:val="2"/>
                <w:sz w:val="21"/>
                <w:szCs w:val="21"/>
              </w:rPr>
            </w:pPr>
            <w:r>
              <w:rPr>
                <w:rFonts w:hint="eastAsia" w:ascii="微软雅黑" w:hAnsi="微软雅黑" w:cs="微软雅黑"/>
                <w:kern w:val="2"/>
                <w:sz w:val="21"/>
                <w:szCs w:val="21"/>
              </w:rPr>
            </w:r>
          </w:p>
        </w:tc>
        <w:tc>
          <w:tcPr>
            <w:tcW w:w="4950" w:type="dxa"/>
            <w:vAlign w:val="center"/>
          </w:tcPr>
          <w:p w14:paraId="4765BF34">
            <w:pPr>
              <w:spacing w:after="0"/>
              <w:ind w:firstLine="420" w:firstLineChars="200"/>
              <w:jc w:val="both"/>
              <w:rPr>
                <w:rFonts w:ascii="微软雅黑" w:hAnsi="微软雅黑" w:cs="微软雅黑"/>
                <w:kern w:val="2"/>
                <w:sz w:val="21"/>
                <w:szCs w:val="21"/>
              </w:rPr>
            </w:pPr>
            <w:r>
              <w:rPr>
                <w:rFonts w:hint="eastAsia" w:ascii="微软雅黑" w:hAnsi="微软雅黑" w:cs="微软雅黑"/>
                <w:kern w:val="2"/>
                <w:sz w:val="21"/>
                <w:szCs w:val="21"/>
              </w:rPr>
            </w:r>
            <w:r>
              <w:rPr>
                <w:rFonts w:hint="eastAsia" w:ascii="微软雅黑" w:hAnsi="微软雅黑" w:cs="微软雅黑"/>
                <w:kern w:val="2"/>
                <w:sz w:val="21"/>
                <w:szCs w:val="21"/>
                <w:lang w:bidi="ar"/>
              </w:rPr>
            </w:r>
          </w:p>
        </w:tc>
      </w:tr>
      <w:tr w14:paraId="1797DDC1">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cantSplit/>
          <w:trHeight w:val="2371" w:hRule="atLeast"/>
        </w:trPr>
        <w:tc>
          <w:tcPr>
            <w:tcW w:w="1814" w:type="dxa"/>
            <w:vAlign w:val="center"/>
          </w:tcPr>
          <w:p w14:paraId="3D23BB72">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762F6693">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6298682B">
            <w:pPr>
              <w:spacing w:after="0"/>
              <w:jc w:val="center"/>
              <w:rPr>
                <w:rFonts w:ascii="微软雅黑" w:hAnsi="微软雅黑" w:cs="Times New Roman"/>
                <w:bCs/>
                <w:kern w:val="2"/>
                <w:sz w:val="21"/>
                <w:szCs w:val="21"/>
              </w:rPr>
            </w:pPr>
            <w:r>
              <w:rPr>
                <w:rFonts w:hint="eastAsia" w:ascii="微软雅黑" w:hAnsi="微软雅黑" w:cs="微软雅黑"/>
                <w:kern w:val="2"/>
                <w:sz w:val="21"/>
                <w:szCs w:val="21"/>
                <w:lang w:bidi="ar"/>
              </w:rPr>
            </w:r>
          </w:p>
        </w:tc>
        <w:tc>
          <w:tcPr>
            <w:tcW w:w="1759" w:type="dxa"/>
            <w:vAlign w:val="center"/>
          </w:tcPr>
          <w:p w14:paraId="39F28334">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18C6F9E0">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405E3C54">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4280F470">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4469F4BC">
            <w:pPr>
              <w:spacing w:after="0"/>
              <w:jc w:val="center"/>
              <w:rPr>
                <w:rFonts w:ascii="微软雅黑" w:hAnsi="微软雅黑" w:cs="微软雅黑"/>
                <w:kern w:val="2"/>
                <w:sz w:val="21"/>
                <w:szCs w:val="24"/>
              </w:rPr>
            </w:pPr>
            <w:r>
              <w:rPr>
                <w:rFonts w:hint="eastAsia" w:ascii="微软雅黑" w:hAnsi="微软雅黑" w:cs="微软雅黑"/>
                <w:kern w:val="2"/>
                <w:sz w:val="21"/>
                <w:szCs w:val="21"/>
                <w:lang w:bidi="ar"/>
              </w:rPr>
            </w:r>
          </w:p>
        </w:tc>
        <w:tc>
          <w:tcPr>
            <w:tcW w:w="4950" w:type="dxa"/>
            <w:vAlign w:val="center"/>
          </w:tcPr>
          <w:p w14:paraId="518A3393">
            <w:pPr>
              <w:spacing w:after="0"/>
              <w:ind w:firstLine="420" w:firstLineChars="200"/>
              <w:jc w:val="both"/>
              <w:rPr>
                <w:rFonts w:ascii="微软雅黑" w:hAnsi="微软雅黑" w:cs="微软雅黑"/>
                <w:kern w:val="2"/>
                <w:sz w:val="21"/>
                <w:szCs w:val="21"/>
                <w:lang w:bidi="ar"/>
              </w:rPr>
            </w:pPr>
            <w:r>
              <w:rPr>
                <w:rFonts w:hint="eastAsia" w:ascii="微软雅黑" w:hAnsi="微软雅黑" w:cs="微软雅黑"/>
                <w:kern w:val="2"/>
                <w:sz w:val="21"/>
                <w:szCs w:val="21"/>
                <w:lang w:bidi="ar"/>
              </w:rPr>
            </w:r>
            <w:r>
              <w:rPr>
                <w:rFonts w:hint="eastAsia" w:ascii="微软雅黑" w:hAnsi="微软雅黑" w:cs="微软雅黑"/>
                <w:kern w:val="2"/>
                <w:sz w:val="21"/>
                <w:szCs w:val="21"/>
              </w:rPr>
            </w:r>
            <w:r>
              <w:rPr>
                <w:rFonts w:hint="eastAsia" w:ascii="微软雅黑" w:hAnsi="微软雅黑" w:cs="微软雅黑"/>
                <w:kern w:val="2"/>
                <w:sz w:val="21"/>
                <w:szCs w:val="21"/>
                <w:lang w:bidi="ar"/>
              </w:rPr>
            </w:r>
          </w:p>
        </w:tc>
      </w:tr>
      <w:tr w14:paraId="0E337CF0">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cantSplit/>
          <w:trHeight w:val="23" w:hRule="atLeast"/>
        </w:trPr>
        <w:tc>
          <w:tcPr>
            <w:tcW w:w="1814" w:type="dxa"/>
            <w:vAlign w:val="center"/>
          </w:tcPr>
          <w:p w14:paraId="51C5F2F5">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12804E4C">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p w14:paraId="389058FA">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r>
          </w:p>
        </w:tc>
        <w:tc>
          <w:tcPr>
            <w:tcW w:w="1759" w:type="dxa"/>
            <w:vAlign w:val="center"/>
          </w:tcPr>
          <w:p w14:paraId="31F6D282">
            <w:pPr>
              <w:spacing w:after="0"/>
              <w:jc w:val="center"/>
              <w:rPr>
                <w:rFonts w:ascii="微软雅黑" w:hAnsi="微软雅黑" w:cs="微软雅黑"/>
                <w:kern w:val="2"/>
                <w:sz w:val="21"/>
                <w:szCs w:val="24"/>
              </w:rPr>
            </w:pPr>
            <w:r>
              <w:rPr>
                <w:rFonts w:hint="eastAsia" w:ascii="微软雅黑" w:hAnsi="微软雅黑" w:cs="微软雅黑"/>
                <w:kern w:val="2"/>
                <w:sz w:val="21"/>
                <w:szCs w:val="21"/>
              </w:rPr>
            </w:r>
          </w:p>
        </w:tc>
        <w:tc>
          <w:tcPr>
            <w:tcW w:w="4950" w:type="dxa"/>
            <w:vAlign w:val="center"/>
          </w:tcPr>
          <w:p w14:paraId="757BF99D">
            <w:pPr>
              <w:spacing w:after="0"/>
              <w:ind w:firstLine="420" w:firstLineChars="200"/>
              <w:jc w:val="both"/>
              <w:rPr>
                <w:rFonts w:ascii="微软雅黑" w:hAnsi="微软雅黑" w:cs="微软雅黑"/>
                <w:kern w:val="2"/>
                <w:sz w:val="21"/>
                <w:szCs w:val="21"/>
                <w:lang w:bidi="ar"/>
              </w:rPr>
            </w:pPr>
            <w:r>
              <w:rPr>
                <w:rFonts w:hint="eastAsia" w:ascii="微软雅黑" w:hAnsi="微软雅黑" w:cs="微软雅黑"/>
                <w:kern w:val="2"/>
                <w:sz w:val="21"/>
                <w:szCs w:val="21"/>
                <w:lang w:bidi="ar"/>
              </w:rPr>
            </w:r>
            <w:r>
              <w:rPr>
                <w:rFonts w:hint="eastAsia" w:ascii="微软雅黑" w:hAnsi="微软雅黑" w:cs="微软雅黑"/>
                <w:kern w:val="2"/>
                <w:sz w:val="21"/>
                <w:szCs w:val="21"/>
              </w:rPr>
            </w:r>
          </w:p>
        </w:tc>
      </w:tr>
    </w:tbl>
    <w:p w14:paraId="789E63D9">
      <w:pPr>
        <w:rPr>
          <w:rFonts w:ascii="微软雅黑" w:hAnsi="微软雅黑"/>
          <w:b/>
          <w:color w:val="00C4D8"/>
          <w:sz w:val="32"/>
          <w:szCs w:val="32"/>
        </w:rPr>
      </w:pPr>
      <w:r>
        <w:rPr>
          <w:rFonts w:hint="eastAsia" w:ascii="微软雅黑" w:hAnsi="微软雅黑"/>
          <w:b/>
          <w:color w:val="00C4D8"/>
          <w:sz w:val="32"/>
          <w:szCs w:val="32"/>
        </w:rPr>
        <w:br w:type="page"/>
      </w:r>
    </w:p>
    <w:p w14:paraId="247E09FA">
      <w:pPr>
        <w:spacing w:after="240" w:afterLines="100"/>
        <w:jc w:val="both"/>
        <w:outlineLvl w:val="1"/>
        <w:rPr>
          <w:rFonts w:ascii="微软雅黑" w:hAnsi="微软雅黑"/>
          <w:b/>
          <w:color w:val="00C4D8"/>
          <w:sz w:val="32"/>
          <w:szCs w:val="32"/>
        </w:rPr>
      </w:pPr>
      <w:bookmarkStart w:id="27" w:name="_Toc163825599"/>
      <w:r>
        <w:rPr>
          <w:rFonts w:hint="eastAsia" w:ascii="微软雅黑" w:hAnsi="微软雅黑"/>
          <w:b/>
          <w:color w:val="00C4D8"/>
          <w:sz w:val="32"/>
          <w:szCs w:val="32"/>
        </w:rPr>
        <w:t>2. 遗传性肿瘤风险提示</w:t>
      </w:r>
      <w:bookmarkEnd w:id="27"/>
    </w:p>
    <w:tbl>
      <w:tblPr>
        <w:tblStyle w:val="15"/>
        <w:tblW w:w="8852"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Layout w:type="fixed"/>
        <w:tblCellMar>
          <w:top w:w="0" w:type="dxa"/>
          <w:left w:w="108" w:type="dxa"/>
          <w:bottom w:w="0" w:type="dxa"/>
          <w:right w:w="108" w:type="dxa"/>
        </w:tblCellMar>
      </w:tblPr>
      <w:tblGrid>
        <w:gridCol w:w="1179"/>
        <w:gridCol w:w="1605"/>
        <w:gridCol w:w="1001"/>
        <w:gridCol w:w="1449"/>
        <w:gridCol w:w="1524"/>
        <w:gridCol w:w="794"/>
        <w:gridCol w:w="1300"/>
      </w:tblGrid>
      <w:tr w14:paraId="453F25A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0" w:type="dxa"/>
            <w:left w:w="108" w:type="dxa"/>
            <w:bottom w:w="0" w:type="dxa"/>
            <w:right w:w="108" w:type="dxa"/>
          </w:tblCellMar>
        </w:tblPrEx>
        <w:trPr>
          <w:trHeight w:val="454" w:hRule="exact"/>
          <w:jc w:val="center"/>
        </w:trPr>
        <w:tc>
          <w:tcPr>
            <w:tcW w:w="1179" w:type="dxa"/>
            <w:vMerge w:val="restart"/>
            <w:tcBorders>
              <w:bottom w:val="single" w:color="000000" w:themeColor="text1" w:sz="4" w:space="0"/>
              <w:right w:val="single" w:color="000000" w:themeColor="text1" w:sz="4" w:space="0"/>
            </w:tcBorders>
            <w:shd w:val="clear" w:color="auto" w:fill="00C4D8"/>
            <w:vAlign w:val="center"/>
          </w:tcPr>
          <w:p w14:paraId="3E02EE07">
            <w:pPr>
              <w:spacing w:after="0"/>
              <w:jc w:val="center"/>
              <w:rPr>
                <w:kern w:val="2"/>
              </w:rPr>
            </w:pPr>
            <w:r>
              <w:rPr>
                <w:rFonts w:hint="eastAsia" w:ascii="微软雅黑" w:hAnsi="微软雅黑"/>
                <w:b/>
                <w:color w:val="FFFFFF" w:themeColor="background1"/>
                <w:kern w:val="2"/>
                <w:sz w:val="24"/>
                <w:szCs w:val="24"/>
                <w14:textFill>
                  <w14:solidFill>
                    <w14:schemeClr w14:val="bg1"/>
                  </w14:solidFill>
                </w14:textFill>
              </w:rPr>
              <w:t>基因</w:t>
            </w:r>
            <w:r>
              <w:rPr>
                <w:rFonts w:ascii="微软雅黑" w:hAnsi="微软雅黑"/>
                <w:b/>
                <w:color w:val="FFFFFF" w:themeColor="background1"/>
                <w:kern w:val="2"/>
                <w:sz w:val="24"/>
                <w:szCs w:val="24"/>
                <w14:textFill>
                  <w14:solidFill>
                    <w14:schemeClr w14:val="bg1"/>
                  </w14:solidFill>
                </w14:textFill>
              </w:rPr>
              <w:t>名称</w:t>
            </w:r>
          </w:p>
        </w:tc>
        <w:tc>
          <w:tcPr>
            <w:tcW w:w="1605" w:type="dxa"/>
            <w:vMerge w:val="restart"/>
            <w:tcBorders>
              <w:right w:val="single" w:color="000000" w:themeColor="text1" w:sz="4" w:space="0"/>
            </w:tcBorders>
            <w:shd w:val="clear" w:color="auto" w:fill="00C4D8"/>
            <w:vAlign w:val="center"/>
          </w:tcPr>
          <w:p w14:paraId="62007D33">
            <w:pPr>
              <w:spacing w:after="0"/>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转录本号</w:t>
            </w:r>
          </w:p>
        </w:tc>
        <w:tc>
          <w:tcPr>
            <w:tcW w:w="1001" w:type="dxa"/>
            <w:vMerge w:val="restart"/>
            <w:tcBorders>
              <w:right w:val="single" w:color="000000" w:themeColor="text1" w:sz="4" w:space="0"/>
            </w:tcBorders>
            <w:shd w:val="clear" w:color="auto" w:fill="00C4D8"/>
            <w:vAlign w:val="center"/>
          </w:tcPr>
          <w:p w14:paraId="013123D4">
            <w:pPr>
              <w:spacing w:after="0"/>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染色体</w:t>
            </w:r>
          </w:p>
        </w:tc>
        <w:tc>
          <w:tcPr>
            <w:tcW w:w="2973" w:type="dxa"/>
            <w:gridSpan w:val="2"/>
            <w:tcBorders>
              <w:left w:val="single" w:color="000000" w:themeColor="text1" w:sz="4" w:space="0"/>
              <w:bottom w:val="single" w:color="000000" w:themeColor="text1" w:sz="4" w:space="0"/>
              <w:right w:val="single" w:color="000000" w:themeColor="text1" w:sz="4" w:space="0"/>
            </w:tcBorders>
            <w:shd w:val="clear" w:color="auto" w:fill="00C4D8"/>
            <w:vAlign w:val="center"/>
          </w:tcPr>
          <w:p w14:paraId="63C3773E">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794" w:type="dxa"/>
            <w:vMerge w:val="restart"/>
            <w:tcBorders>
              <w:left w:val="single" w:color="000000" w:themeColor="text1" w:sz="4" w:space="0"/>
              <w:bottom w:val="single" w:color="000000" w:themeColor="text1" w:sz="4" w:space="0"/>
            </w:tcBorders>
            <w:shd w:val="clear" w:color="auto" w:fill="00C4D8"/>
            <w:vAlign w:val="center"/>
          </w:tcPr>
          <w:p w14:paraId="00AEA39E">
            <w:pPr>
              <w:spacing w:after="0"/>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基因型</w:t>
            </w:r>
          </w:p>
        </w:tc>
        <w:tc>
          <w:tcPr>
            <w:tcW w:w="1300" w:type="dxa"/>
            <w:vMerge w:val="restart"/>
            <w:tcBorders>
              <w:left w:val="single" w:color="000000" w:themeColor="text1" w:sz="4" w:space="0"/>
            </w:tcBorders>
            <w:shd w:val="clear" w:color="auto" w:fill="00C4D8"/>
            <w:vAlign w:val="center"/>
          </w:tcPr>
          <w:p w14:paraId="7FEFBB43">
            <w:pPr>
              <w:spacing w:after="0"/>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突变类型</w:t>
            </w:r>
          </w:p>
        </w:tc>
      </w:tr>
      <w:tr w14:paraId="08DA5D6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0" w:type="dxa"/>
            <w:left w:w="108" w:type="dxa"/>
            <w:bottom w:w="0" w:type="dxa"/>
            <w:right w:w="108" w:type="dxa"/>
          </w:tblCellMar>
        </w:tblPrEx>
        <w:trPr>
          <w:trHeight w:val="451" w:hRule="exact"/>
          <w:jc w:val="center"/>
        </w:trPr>
        <w:tc>
          <w:tcPr>
            <w:tcW w:w="1179" w:type="dxa"/>
            <w:vMerge w:val="continue"/>
            <w:tcBorders>
              <w:top w:val="single" w:color="000000" w:themeColor="text1" w:sz="4" w:space="0"/>
              <w:bottom w:val="single" w:color="000000" w:themeColor="text1" w:sz="8" w:space="0"/>
              <w:right w:val="single" w:color="000000" w:themeColor="text1" w:sz="4" w:space="0"/>
            </w:tcBorders>
            <w:shd w:val="clear" w:color="auto" w:fill="00C4D8"/>
            <w:vAlign w:val="center"/>
          </w:tcPr>
          <w:p w14:paraId="4A3D3C97">
            <w:pPr>
              <w:adjustRightInd/>
              <w:snapToGrid/>
              <w:spacing w:after="0" w:line="220" w:lineRule="atLeast"/>
              <w:jc w:val="center"/>
              <w:rPr>
                <w:kern w:val="2"/>
              </w:rPr>
            </w:pPr>
          </w:p>
        </w:tc>
        <w:tc>
          <w:tcPr>
            <w:tcW w:w="1605" w:type="dxa"/>
            <w:vMerge w:val="continue"/>
            <w:tcBorders>
              <w:bottom w:val="single" w:color="000000" w:themeColor="text1" w:sz="8" w:space="0"/>
              <w:right w:val="single" w:color="000000" w:themeColor="text1" w:sz="4" w:space="0"/>
            </w:tcBorders>
            <w:shd w:val="clear" w:color="auto" w:fill="00C4D8"/>
            <w:vAlign w:val="center"/>
          </w:tcPr>
          <w:p w14:paraId="37C70714">
            <w:pPr>
              <w:adjustRightInd/>
              <w:snapToGrid/>
              <w:spacing w:after="0" w:line="220" w:lineRule="atLeast"/>
              <w:jc w:val="center"/>
              <w:rPr>
                <w:rFonts w:ascii="微软雅黑" w:hAnsi="微软雅黑"/>
                <w:color w:val="FFFFFF" w:themeColor="background1"/>
                <w:kern w:val="2"/>
                <w:sz w:val="24"/>
                <w:szCs w:val="24"/>
                <w14:textFill>
                  <w14:solidFill>
                    <w14:schemeClr w14:val="bg1"/>
                  </w14:solidFill>
                </w14:textFill>
              </w:rPr>
            </w:pPr>
          </w:p>
        </w:tc>
        <w:tc>
          <w:tcPr>
            <w:tcW w:w="1001" w:type="dxa"/>
            <w:vMerge w:val="continue"/>
            <w:tcBorders>
              <w:bottom w:val="single" w:color="000000" w:themeColor="text1" w:sz="8" w:space="0"/>
              <w:right w:val="single" w:color="000000" w:themeColor="text1" w:sz="4" w:space="0"/>
            </w:tcBorders>
            <w:shd w:val="clear" w:color="auto" w:fill="00C4D8"/>
            <w:vAlign w:val="center"/>
          </w:tcPr>
          <w:p w14:paraId="14A68F9B">
            <w:pPr>
              <w:adjustRightInd/>
              <w:snapToGrid/>
              <w:spacing w:after="0" w:line="220" w:lineRule="atLeast"/>
              <w:jc w:val="center"/>
              <w:rPr>
                <w:rFonts w:ascii="微软雅黑" w:hAnsi="微软雅黑"/>
                <w:color w:val="FFFFFF" w:themeColor="background1"/>
                <w:kern w:val="2"/>
                <w:sz w:val="24"/>
                <w:szCs w:val="24"/>
                <w14:textFill>
                  <w14:solidFill>
                    <w14:schemeClr w14:val="bg1"/>
                  </w14:solidFill>
                </w14:textFill>
              </w:rPr>
            </w:pPr>
          </w:p>
        </w:tc>
        <w:tc>
          <w:tcPr>
            <w:tcW w:w="1449" w:type="dxa"/>
            <w:tcBorders>
              <w:top w:val="single" w:color="000000" w:themeColor="text1" w:sz="4" w:space="0"/>
              <w:left w:val="single" w:color="000000" w:themeColor="text1" w:sz="4" w:space="0"/>
              <w:bottom w:val="single" w:color="000000" w:themeColor="text1" w:sz="8" w:space="0"/>
              <w:right w:val="single" w:color="000000" w:themeColor="text1" w:sz="4" w:space="0"/>
            </w:tcBorders>
            <w:shd w:val="clear" w:color="auto" w:fill="00C4D8"/>
            <w:vAlign w:val="center"/>
          </w:tcPr>
          <w:p w14:paraId="2A4CD0E4">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碱基</w:t>
            </w:r>
            <w:r>
              <w:rPr>
                <w:rFonts w:ascii="微软雅黑" w:hAnsi="微软雅黑"/>
                <w:b/>
                <w:color w:val="FFFFFF" w:themeColor="background1"/>
                <w:kern w:val="2"/>
                <w:sz w:val="24"/>
                <w:szCs w:val="24"/>
                <w14:textFill>
                  <w14:solidFill>
                    <w14:schemeClr w14:val="bg1"/>
                  </w14:solidFill>
                </w14:textFill>
              </w:rPr>
              <w:t>突变</w:t>
            </w:r>
          </w:p>
        </w:tc>
        <w:tc>
          <w:tcPr>
            <w:tcW w:w="1524" w:type="dxa"/>
            <w:tcBorders>
              <w:top w:val="single" w:color="000000" w:themeColor="text1" w:sz="4" w:space="0"/>
              <w:left w:val="single" w:color="000000" w:themeColor="text1" w:sz="4" w:space="0"/>
              <w:bottom w:val="single" w:color="000000" w:themeColor="text1" w:sz="8" w:space="0"/>
              <w:right w:val="single" w:color="000000" w:themeColor="text1" w:sz="4" w:space="0"/>
            </w:tcBorders>
            <w:shd w:val="clear" w:color="auto" w:fill="00C4D8"/>
            <w:vAlign w:val="center"/>
          </w:tcPr>
          <w:p w14:paraId="1721CB4E">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氨基酸</w:t>
            </w:r>
            <w:r>
              <w:rPr>
                <w:rFonts w:ascii="微软雅黑" w:hAnsi="微软雅黑"/>
                <w:b/>
                <w:color w:val="FFFFFF" w:themeColor="background1"/>
                <w:kern w:val="2"/>
                <w:sz w:val="24"/>
                <w:szCs w:val="24"/>
                <w14:textFill>
                  <w14:solidFill>
                    <w14:schemeClr w14:val="bg1"/>
                  </w14:solidFill>
                </w14:textFill>
              </w:rPr>
              <w:t>突变</w:t>
            </w:r>
          </w:p>
        </w:tc>
        <w:tc>
          <w:tcPr>
            <w:tcW w:w="794" w:type="dxa"/>
            <w:vMerge w:val="continue"/>
            <w:tcBorders>
              <w:top w:val="single" w:color="000000" w:themeColor="text1" w:sz="4" w:space="0"/>
              <w:left w:val="single" w:color="000000" w:themeColor="text1" w:sz="4" w:space="0"/>
              <w:bottom w:val="single" w:color="000000" w:themeColor="text1" w:sz="8" w:space="0"/>
            </w:tcBorders>
            <w:shd w:val="clear" w:color="auto" w:fill="00C4D8"/>
            <w:vAlign w:val="center"/>
          </w:tcPr>
          <w:p w14:paraId="27A56CB9">
            <w:pPr>
              <w:adjustRightInd/>
              <w:snapToGrid/>
              <w:spacing w:after="0" w:line="220" w:lineRule="atLeast"/>
              <w:jc w:val="center"/>
              <w:rPr>
                <w:rFonts w:ascii="微软雅黑" w:hAnsi="微软雅黑"/>
                <w:color w:val="FFFFFF" w:themeColor="background1"/>
                <w:kern w:val="2"/>
                <w:sz w:val="24"/>
                <w:szCs w:val="24"/>
                <w14:textFill>
                  <w14:solidFill>
                    <w14:schemeClr w14:val="bg1"/>
                  </w14:solidFill>
                </w14:textFill>
              </w:rPr>
            </w:pPr>
          </w:p>
        </w:tc>
        <w:tc>
          <w:tcPr>
            <w:tcW w:w="1300" w:type="dxa"/>
            <w:vMerge w:val="continue"/>
            <w:tcBorders>
              <w:left w:val="single" w:color="000000" w:themeColor="text1" w:sz="4" w:space="0"/>
              <w:bottom w:val="single" w:color="000000" w:themeColor="text1" w:sz="8" w:space="0"/>
            </w:tcBorders>
            <w:shd w:val="clear" w:color="auto" w:fill="00C4D8"/>
            <w:vAlign w:val="center"/>
          </w:tcPr>
          <w:p w14:paraId="75AE10E5">
            <w:pPr>
              <w:adjustRightInd/>
              <w:snapToGrid/>
              <w:spacing w:after="0" w:line="220" w:lineRule="atLeast"/>
              <w:jc w:val="center"/>
              <w:rPr>
                <w:rFonts w:ascii="微软雅黑" w:hAnsi="微软雅黑"/>
                <w:color w:val="FFFFFF" w:themeColor="background1"/>
                <w:kern w:val="2"/>
                <w:sz w:val="24"/>
                <w:szCs w:val="24"/>
                <w14:textFill>
                  <w14:solidFill>
                    <w14:schemeClr w14:val="bg1"/>
                  </w14:solidFill>
                </w14:textFill>
              </w:rPr>
            </w:pPr>
          </w:p>
        </w:tc>
      </w:tr>
      <w:tr w14:paraId="6DAF69F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0" w:type="dxa"/>
            <w:left w:w="108" w:type="dxa"/>
            <w:bottom w:w="0" w:type="dxa"/>
            <w:right w:w="108" w:type="dxa"/>
          </w:tblCellMar>
        </w:tblPrEx>
        <w:trPr>
          <w:trHeight w:val="454" w:hRule="atLeast"/>
          <w:jc w:val="center"/>
        </w:trPr>
        <w:tc>
          <w:tcPr>
            <w:tcW w:w="1179" w:type="dxa"/>
            <w:tcBorders>
              <w:top w:val="single" w:color="000000" w:themeColor="text1" w:sz="2" w:space="0"/>
              <w:left w:val="single" w:color="000000" w:themeColor="text1" w:sz="8" w:space="0"/>
              <w:bottom w:val="single" w:color="000000" w:themeColor="text1" w:sz="2" w:space="0"/>
              <w:right w:val="single" w:color="000000" w:themeColor="text1" w:sz="4" w:space="0"/>
            </w:tcBorders>
            <w:vAlign w:val="center"/>
          </w:tcPr>
          <w:p w14:paraId="0C965B75">
            <w:pPr>
              <w:spacing w:after="0"/>
              <w:jc w:val="center"/>
              <w:rPr>
                <w:rFonts w:ascii="微软雅黑" w:hAnsi="微软雅黑" w:cs="微软雅黑"/>
                <w:kern w:val="2"/>
                <w:sz w:val="21"/>
                <w:szCs w:val="21"/>
              </w:rPr>
            </w:pPr>
            <w:r>
              <w:rPr>
                <w:rFonts w:hint="eastAsia" w:ascii="微软雅黑" w:hAnsi="微软雅黑" w:cs="微软雅黑"/>
                <w:kern w:val="2"/>
                <w:sz w:val="21"/>
                <w:szCs w:val="21"/>
              </w:rPr>
              <w:t>BRCA1</w:t>
            </w:r>
          </w:p>
        </w:tc>
        <w:tc>
          <w:tcPr>
            <w:tcW w:w="1605"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7F96DF96">
            <w:pPr>
              <w:spacing w:after="0"/>
              <w:jc w:val="center"/>
              <w:rPr>
                <w:rFonts w:ascii="微软雅黑" w:hAnsi="微软雅黑" w:cs="微软雅黑"/>
                <w:kern w:val="2"/>
                <w:sz w:val="21"/>
                <w:szCs w:val="21"/>
              </w:rPr>
            </w:pPr>
            <w:r>
              <w:rPr>
                <w:rFonts w:hint="eastAsia" w:ascii="微软雅黑" w:hAnsi="微软雅黑" w:cs="微软雅黑"/>
                <w:kern w:val="2"/>
                <w:sz w:val="21"/>
                <w:szCs w:val="21"/>
              </w:rPr>
              <w:t>NM_007294.4</w:t>
            </w:r>
          </w:p>
        </w:tc>
        <w:tc>
          <w:tcPr>
            <w:tcW w:w="1001"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3BA38B9C">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17</w:t>
            </w:r>
          </w:p>
        </w:tc>
        <w:tc>
          <w:tcPr>
            <w:tcW w:w="1449"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6895E3A8">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152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46D918EF">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79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61E09CD1">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c>
          <w:tcPr>
            <w:tcW w:w="1300" w:type="dxa"/>
            <w:tcBorders>
              <w:top w:val="single" w:color="000000" w:themeColor="text1" w:sz="2" w:space="0"/>
              <w:left w:val="single" w:color="000000" w:themeColor="text1" w:sz="4" w:space="0"/>
              <w:bottom w:val="single" w:color="000000" w:themeColor="text1" w:sz="2" w:space="0"/>
              <w:right w:val="single" w:color="000000" w:themeColor="text1" w:sz="8" w:space="0"/>
            </w:tcBorders>
            <w:vAlign w:val="center"/>
          </w:tcPr>
          <w:p w14:paraId="380A32CB">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r>
      <w:tr w14:paraId="6C34585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0" w:type="dxa"/>
            <w:left w:w="108" w:type="dxa"/>
            <w:bottom w:w="0" w:type="dxa"/>
            <w:right w:w="108" w:type="dxa"/>
          </w:tblCellMar>
        </w:tblPrEx>
        <w:trPr>
          <w:trHeight w:val="454" w:hRule="atLeast"/>
          <w:jc w:val="center"/>
        </w:trPr>
        <w:tc>
          <w:tcPr>
            <w:tcW w:w="1179" w:type="dxa"/>
            <w:tcBorders>
              <w:top w:val="single" w:color="000000" w:themeColor="text1" w:sz="2" w:space="0"/>
              <w:left w:val="single" w:color="000000" w:themeColor="text1" w:sz="8" w:space="0"/>
              <w:bottom w:val="single" w:color="000000" w:themeColor="text1" w:sz="2" w:space="0"/>
              <w:right w:val="single" w:color="000000" w:themeColor="text1" w:sz="4" w:space="0"/>
            </w:tcBorders>
            <w:vAlign w:val="center"/>
          </w:tcPr>
          <w:p w14:paraId="337A2232">
            <w:pPr>
              <w:spacing w:after="0"/>
              <w:jc w:val="center"/>
              <w:rPr>
                <w:rFonts w:ascii="微软雅黑" w:hAnsi="微软雅黑" w:cs="微软雅黑"/>
                <w:kern w:val="2"/>
                <w:sz w:val="21"/>
                <w:szCs w:val="21"/>
              </w:rPr>
            </w:pPr>
            <w:r>
              <w:rPr>
                <w:rFonts w:hint="eastAsia" w:ascii="微软雅黑" w:hAnsi="微软雅黑" w:cs="微软雅黑"/>
                <w:kern w:val="2"/>
                <w:sz w:val="21"/>
                <w:szCs w:val="21"/>
              </w:rPr>
              <w:t>BRCA2</w:t>
            </w:r>
          </w:p>
        </w:tc>
        <w:tc>
          <w:tcPr>
            <w:tcW w:w="1605"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3AD45F88">
            <w:pPr>
              <w:spacing w:after="0"/>
              <w:jc w:val="center"/>
              <w:rPr>
                <w:rFonts w:ascii="微软雅黑" w:hAnsi="微软雅黑" w:cs="微软雅黑"/>
                <w:kern w:val="2"/>
                <w:sz w:val="21"/>
                <w:szCs w:val="21"/>
              </w:rPr>
            </w:pPr>
            <w:r>
              <w:rPr>
                <w:rFonts w:hint="eastAsia" w:ascii="微软雅黑" w:hAnsi="微软雅黑" w:cs="微软雅黑"/>
                <w:kern w:val="2"/>
                <w:sz w:val="21"/>
                <w:szCs w:val="21"/>
              </w:rPr>
              <w:t>NM_000059.4</w:t>
            </w:r>
          </w:p>
        </w:tc>
        <w:tc>
          <w:tcPr>
            <w:tcW w:w="1001"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614C0A1B">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13</w:t>
            </w:r>
          </w:p>
        </w:tc>
        <w:tc>
          <w:tcPr>
            <w:tcW w:w="1449"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6F4FC2D5">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152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5C296874">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79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24BB77FA">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c>
          <w:tcPr>
            <w:tcW w:w="1300" w:type="dxa"/>
            <w:tcBorders>
              <w:top w:val="single" w:color="000000" w:themeColor="text1" w:sz="2" w:space="0"/>
              <w:left w:val="single" w:color="000000" w:themeColor="text1" w:sz="4" w:space="0"/>
              <w:bottom w:val="single" w:color="000000" w:themeColor="text1" w:sz="2" w:space="0"/>
              <w:right w:val="single" w:color="000000" w:themeColor="text1" w:sz="8" w:space="0"/>
            </w:tcBorders>
            <w:vAlign w:val="center"/>
          </w:tcPr>
          <w:p w14:paraId="01D0371D">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r>
      <w:tr w14:paraId="64808B55">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0" w:type="dxa"/>
            <w:left w:w="108" w:type="dxa"/>
            <w:bottom w:w="0" w:type="dxa"/>
            <w:right w:w="108" w:type="dxa"/>
          </w:tblCellMar>
        </w:tblPrEx>
        <w:trPr>
          <w:trHeight w:val="454" w:hRule="atLeast"/>
          <w:jc w:val="center"/>
        </w:trPr>
        <w:tc>
          <w:tcPr>
            <w:tcW w:w="1179" w:type="dxa"/>
            <w:tcBorders>
              <w:top w:val="single" w:color="000000" w:themeColor="text1" w:sz="2" w:space="0"/>
              <w:left w:val="single" w:color="000000" w:themeColor="text1" w:sz="8" w:space="0"/>
              <w:bottom w:val="single" w:color="000000" w:themeColor="text1" w:sz="2" w:space="0"/>
              <w:right w:val="single" w:color="000000" w:themeColor="text1" w:sz="4" w:space="0"/>
            </w:tcBorders>
            <w:vAlign w:val="center"/>
          </w:tcPr>
          <w:p w14:paraId="0BEBFF9A">
            <w:pPr>
              <w:spacing w:after="0"/>
              <w:jc w:val="center"/>
              <w:rPr>
                <w:rFonts w:ascii="微软雅黑" w:hAnsi="微软雅黑" w:cs="微软雅黑"/>
                <w:kern w:val="2"/>
                <w:sz w:val="21"/>
                <w:szCs w:val="21"/>
              </w:rPr>
            </w:pPr>
            <w:r>
              <w:rPr>
                <w:rFonts w:hint="eastAsia" w:ascii="微软雅黑" w:hAnsi="微软雅黑" w:cs="微软雅黑"/>
                <w:kern w:val="2"/>
                <w:sz w:val="21"/>
                <w:szCs w:val="21"/>
              </w:rPr>
              <w:t>EPCAM</w:t>
            </w:r>
          </w:p>
        </w:tc>
        <w:tc>
          <w:tcPr>
            <w:tcW w:w="1605"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00497851">
            <w:pPr>
              <w:spacing w:after="0"/>
              <w:jc w:val="center"/>
              <w:rPr>
                <w:rFonts w:ascii="微软雅黑" w:hAnsi="微软雅黑" w:cs="微软雅黑"/>
                <w:kern w:val="2"/>
                <w:sz w:val="21"/>
                <w:szCs w:val="21"/>
              </w:rPr>
            </w:pPr>
            <w:r>
              <w:rPr>
                <w:rFonts w:hint="eastAsia" w:ascii="微软雅黑" w:hAnsi="微软雅黑" w:cs="微软雅黑"/>
                <w:kern w:val="2"/>
                <w:sz w:val="21"/>
                <w:szCs w:val="21"/>
              </w:rPr>
              <w:t>NM_002354.2</w:t>
            </w:r>
          </w:p>
        </w:tc>
        <w:tc>
          <w:tcPr>
            <w:tcW w:w="1001"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0D3290C4">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2</w:t>
            </w:r>
          </w:p>
        </w:tc>
        <w:tc>
          <w:tcPr>
            <w:tcW w:w="1449"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5410C6AD">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152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4C91C163">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79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0EF0BD04">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c>
          <w:tcPr>
            <w:tcW w:w="1300" w:type="dxa"/>
            <w:tcBorders>
              <w:top w:val="single" w:color="000000" w:themeColor="text1" w:sz="2" w:space="0"/>
              <w:left w:val="single" w:color="000000" w:themeColor="text1" w:sz="4" w:space="0"/>
              <w:bottom w:val="single" w:color="000000" w:themeColor="text1" w:sz="2" w:space="0"/>
              <w:right w:val="single" w:color="000000" w:themeColor="text1" w:sz="8" w:space="0"/>
            </w:tcBorders>
            <w:vAlign w:val="center"/>
          </w:tcPr>
          <w:p w14:paraId="25312628">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r>
      <w:tr w14:paraId="358A809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0" w:type="dxa"/>
            <w:left w:w="108" w:type="dxa"/>
            <w:bottom w:w="0" w:type="dxa"/>
            <w:right w:w="108" w:type="dxa"/>
          </w:tblCellMar>
        </w:tblPrEx>
        <w:trPr>
          <w:trHeight w:val="454" w:hRule="atLeast"/>
          <w:jc w:val="center"/>
        </w:trPr>
        <w:tc>
          <w:tcPr>
            <w:tcW w:w="1179" w:type="dxa"/>
            <w:tcBorders>
              <w:top w:val="single" w:color="000000" w:themeColor="text1" w:sz="2" w:space="0"/>
              <w:left w:val="single" w:color="000000" w:themeColor="text1" w:sz="8" w:space="0"/>
              <w:bottom w:val="single" w:color="000000" w:themeColor="text1" w:sz="2" w:space="0"/>
              <w:right w:val="single" w:color="000000" w:themeColor="text1" w:sz="4" w:space="0"/>
            </w:tcBorders>
            <w:vAlign w:val="center"/>
          </w:tcPr>
          <w:p w14:paraId="46DC558C">
            <w:pPr>
              <w:spacing w:after="0"/>
              <w:jc w:val="center"/>
              <w:rPr>
                <w:rFonts w:ascii="微软雅黑" w:hAnsi="微软雅黑" w:cs="微软雅黑"/>
                <w:kern w:val="2"/>
                <w:sz w:val="21"/>
                <w:szCs w:val="21"/>
              </w:rPr>
            </w:pPr>
            <w:r>
              <w:rPr>
                <w:rFonts w:hint="eastAsia" w:ascii="微软雅黑" w:hAnsi="微软雅黑" w:cs="微软雅黑"/>
                <w:kern w:val="2"/>
                <w:sz w:val="21"/>
                <w:szCs w:val="21"/>
              </w:rPr>
              <w:t>MSH2</w:t>
            </w:r>
          </w:p>
        </w:tc>
        <w:tc>
          <w:tcPr>
            <w:tcW w:w="1605"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7D463D97">
            <w:pPr>
              <w:spacing w:after="0"/>
              <w:jc w:val="center"/>
              <w:rPr>
                <w:rFonts w:ascii="微软雅黑" w:hAnsi="微软雅黑" w:cs="微软雅黑"/>
                <w:kern w:val="2"/>
                <w:sz w:val="21"/>
                <w:szCs w:val="21"/>
              </w:rPr>
            </w:pPr>
            <w:r>
              <w:rPr>
                <w:rFonts w:hint="eastAsia" w:ascii="微软雅黑" w:hAnsi="微软雅黑" w:cs="微软雅黑"/>
                <w:kern w:val="2"/>
                <w:sz w:val="21"/>
                <w:szCs w:val="21"/>
              </w:rPr>
              <w:t>NM_000251.3</w:t>
            </w:r>
          </w:p>
        </w:tc>
        <w:tc>
          <w:tcPr>
            <w:tcW w:w="1001"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6E8D3BA8">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2</w:t>
            </w:r>
          </w:p>
        </w:tc>
        <w:tc>
          <w:tcPr>
            <w:tcW w:w="1449"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352AE566">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152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6DDBF994">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79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1D1CD5FE">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c>
          <w:tcPr>
            <w:tcW w:w="1300" w:type="dxa"/>
            <w:tcBorders>
              <w:top w:val="single" w:color="000000" w:themeColor="text1" w:sz="2" w:space="0"/>
              <w:left w:val="single" w:color="000000" w:themeColor="text1" w:sz="4" w:space="0"/>
              <w:bottom w:val="single" w:color="000000" w:themeColor="text1" w:sz="2" w:space="0"/>
              <w:right w:val="single" w:color="000000" w:themeColor="text1" w:sz="8" w:space="0"/>
            </w:tcBorders>
            <w:vAlign w:val="center"/>
          </w:tcPr>
          <w:p w14:paraId="6B87BD1C">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r>
      <w:tr w14:paraId="351628C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0" w:type="dxa"/>
            <w:left w:w="108" w:type="dxa"/>
            <w:bottom w:w="0" w:type="dxa"/>
            <w:right w:w="108" w:type="dxa"/>
          </w:tblCellMar>
        </w:tblPrEx>
        <w:trPr>
          <w:trHeight w:val="454" w:hRule="atLeast"/>
          <w:jc w:val="center"/>
        </w:trPr>
        <w:tc>
          <w:tcPr>
            <w:tcW w:w="1179" w:type="dxa"/>
            <w:tcBorders>
              <w:top w:val="single" w:color="000000" w:themeColor="text1" w:sz="2" w:space="0"/>
              <w:left w:val="single" w:color="000000" w:themeColor="text1" w:sz="8" w:space="0"/>
              <w:bottom w:val="single" w:color="000000" w:themeColor="text1" w:sz="2" w:space="0"/>
              <w:right w:val="single" w:color="000000" w:themeColor="text1" w:sz="4" w:space="0"/>
            </w:tcBorders>
            <w:vAlign w:val="center"/>
          </w:tcPr>
          <w:p w14:paraId="69A9EACC">
            <w:pPr>
              <w:spacing w:after="0"/>
              <w:jc w:val="center"/>
              <w:rPr>
                <w:rFonts w:ascii="微软雅黑" w:hAnsi="微软雅黑" w:cs="微软雅黑"/>
                <w:kern w:val="2"/>
                <w:sz w:val="21"/>
                <w:szCs w:val="21"/>
              </w:rPr>
            </w:pPr>
            <w:r>
              <w:rPr>
                <w:rFonts w:hint="eastAsia" w:ascii="微软雅黑" w:hAnsi="微软雅黑" w:cs="微软雅黑"/>
                <w:kern w:val="2"/>
                <w:sz w:val="21"/>
                <w:szCs w:val="21"/>
              </w:rPr>
              <w:t>MSH6</w:t>
            </w:r>
          </w:p>
        </w:tc>
        <w:tc>
          <w:tcPr>
            <w:tcW w:w="1605"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52BA1D08">
            <w:pPr>
              <w:spacing w:after="0"/>
              <w:jc w:val="center"/>
              <w:rPr>
                <w:rFonts w:ascii="微软雅黑" w:hAnsi="微软雅黑" w:cs="微软雅黑"/>
                <w:kern w:val="2"/>
                <w:sz w:val="21"/>
                <w:szCs w:val="21"/>
              </w:rPr>
            </w:pPr>
            <w:r>
              <w:rPr>
                <w:rFonts w:hint="eastAsia" w:ascii="微软雅黑" w:hAnsi="微软雅黑" w:cs="微软雅黑"/>
                <w:kern w:val="2"/>
                <w:sz w:val="21"/>
                <w:szCs w:val="21"/>
              </w:rPr>
              <w:t>NM_000179.3</w:t>
            </w:r>
          </w:p>
        </w:tc>
        <w:tc>
          <w:tcPr>
            <w:tcW w:w="1001"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2FD70120">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2</w:t>
            </w:r>
          </w:p>
        </w:tc>
        <w:tc>
          <w:tcPr>
            <w:tcW w:w="1449"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0F77C2BB">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152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1D41D187">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79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4A0C6AA4">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c>
          <w:tcPr>
            <w:tcW w:w="1300" w:type="dxa"/>
            <w:tcBorders>
              <w:top w:val="single" w:color="000000" w:themeColor="text1" w:sz="2" w:space="0"/>
              <w:left w:val="single" w:color="000000" w:themeColor="text1" w:sz="4" w:space="0"/>
              <w:bottom w:val="single" w:color="000000" w:themeColor="text1" w:sz="2" w:space="0"/>
              <w:right w:val="single" w:color="000000" w:themeColor="text1" w:sz="8" w:space="0"/>
            </w:tcBorders>
            <w:vAlign w:val="center"/>
          </w:tcPr>
          <w:p w14:paraId="3B438E8E">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r>
      <w:tr w14:paraId="5EC9E2B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0" w:type="dxa"/>
            <w:left w:w="108" w:type="dxa"/>
            <w:bottom w:w="0" w:type="dxa"/>
            <w:right w:w="108" w:type="dxa"/>
          </w:tblCellMar>
        </w:tblPrEx>
        <w:trPr>
          <w:trHeight w:val="454" w:hRule="atLeast"/>
          <w:jc w:val="center"/>
        </w:trPr>
        <w:tc>
          <w:tcPr>
            <w:tcW w:w="1179" w:type="dxa"/>
            <w:tcBorders>
              <w:top w:val="single" w:color="000000" w:themeColor="text1" w:sz="2" w:space="0"/>
              <w:left w:val="single" w:color="000000" w:themeColor="text1" w:sz="8" w:space="0"/>
              <w:bottom w:val="single" w:color="000000" w:themeColor="text1" w:sz="2" w:space="0"/>
              <w:right w:val="single" w:color="000000" w:themeColor="text1" w:sz="4" w:space="0"/>
            </w:tcBorders>
            <w:vAlign w:val="center"/>
          </w:tcPr>
          <w:p w14:paraId="2A3C8D90">
            <w:pPr>
              <w:spacing w:after="0"/>
              <w:jc w:val="center"/>
              <w:rPr>
                <w:rFonts w:ascii="微软雅黑" w:hAnsi="微软雅黑" w:cs="微软雅黑"/>
                <w:kern w:val="2"/>
                <w:sz w:val="21"/>
                <w:szCs w:val="21"/>
              </w:rPr>
            </w:pPr>
            <w:r>
              <w:rPr>
                <w:rFonts w:hint="eastAsia" w:ascii="微软雅黑" w:hAnsi="微软雅黑" w:cs="微软雅黑"/>
                <w:kern w:val="2"/>
                <w:sz w:val="21"/>
                <w:szCs w:val="21"/>
              </w:rPr>
              <w:t>MLH1</w:t>
            </w:r>
          </w:p>
        </w:tc>
        <w:tc>
          <w:tcPr>
            <w:tcW w:w="1605"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5F9153F9">
            <w:pPr>
              <w:spacing w:after="0"/>
              <w:jc w:val="center"/>
              <w:rPr>
                <w:rFonts w:ascii="微软雅黑" w:hAnsi="微软雅黑" w:cs="微软雅黑"/>
                <w:kern w:val="2"/>
                <w:sz w:val="21"/>
                <w:szCs w:val="21"/>
              </w:rPr>
            </w:pPr>
            <w:r>
              <w:rPr>
                <w:rFonts w:hint="eastAsia" w:ascii="微软雅黑" w:hAnsi="微软雅黑" w:cs="微软雅黑"/>
                <w:kern w:val="2"/>
                <w:sz w:val="21"/>
                <w:szCs w:val="21"/>
              </w:rPr>
              <w:t>NM_000249.4</w:t>
            </w:r>
          </w:p>
        </w:tc>
        <w:tc>
          <w:tcPr>
            <w:tcW w:w="1001"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66741DD7">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3</w:t>
            </w:r>
          </w:p>
        </w:tc>
        <w:tc>
          <w:tcPr>
            <w:tcW w:w="1449"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2003A6FA">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152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5FE75D22">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79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3C0BE072">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c>
          <w:tcPr>
            <w:tcW w:w="1300" w:type="dxa"/>
            <w:tcBorders>
              <w:top w:val="single" w:color="000000" w:themeColor="text1" w:sz="2" w:space="0"/>
              <w:left w:val="single" w:color="000000" w:themeColor="text1" w:sz="4" w:space="0"/>
              <w:bottom w:val="single" w:color="000000" w:themeColor="text1" w:sz="2" w:space="0"/>
              <w:right w:val="single" w:color="000000" w:themeColor="text1" w:sz="8" w:space="0"/>
            </w:tcBorders>
            <w:vAlign w:val="center"/>
          </w:tcPr>
          <w:p w14:paraId="64D784DC">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r>
      <w:tr w14:paraId="2328D28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0" w:type="dxa"/>
            <w:left w:w="108" w:type="dxa"/>
            <w:bottom w:w="0" w:type="dxa"/>
            <w:right w:w="108" w:type="dxa"/>
          </w:tblCellMar>
        </w:tblPrEx>
        <w:trPr>
          <w:trHeight w:val="454" w:hRule="atLeast"/>
          <w:jc w:val="center"/>
        </w:trPr>
        <w:tc>
          <w:tcPr>
            <w:tcW w:w="1179" w:type="dxa"/>
            <w:tcBorders>
              <w:top w:val="single" w:color="000000" w:themeColor="text1" w:sz="2" w:space="0"/>
              <w:left w:val="single" w:color="000000" w:themeColor="text1" w:sz="8" w:space="0"/>
              <w:bottom w:val="single" w:color="000000" w:themeColor="text1" w:sz="2" w:space="0"/>
              <w:right w:val="single" w:color="000000" w:themeColor="text1" w:sz="4" w:space="0"/>
            </w:tcBorders>
            <w:vAlign w:val="center"/>
          </w:tcPr>
          <w:p w14:paraId="270FC3A6">
            <w:pPr>
              <w:spacing w:after="0"/>
              <w:jc w:val="center"/>
              <w:rPr>
                <w:rFonts w:ascii="微软雅黑" w:hAnsi="微软雅黑" w:cs="微软雅黑"/>
                <w:kern w:val="2"/>
                <w:sz w:val="21"/>
                <w:szCs w:val="21"/>
              </w:rPr>
            </w:pPr>
            <w:r>
              <w:rPr>
                <w:rFonts w:hint="eastAsia" w:ascii="微软雅黑" w:hAnsi="微软雅黑" w:cs="微软雅黑"/>
                <w:kern w:val="2"/>
                <w:sz w:val="21"/>
                <w:szCs w:val="21"/>
              </w:rPr>
              <w:t>PMS2</w:t>
            </w:r>
          </w:p>
        </w:tc>
        <w:tc>
          <w:tcPr>
            <w:tcW w:w="1605"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76928E9A">
            <w:pPr>
              <w:spacing w:after="0"/>
              <w:jc w:val="center"/>
              <w:rPr>
                <w:rFonts w:ascii="微软雅黑" w:hAnsi="微软雅黑" w:cs="微软雅黑"/>
                <w:kern w:val="2"/>
                <w:sz w:val="21"/>
                <w:szCs w:val="21"/>
              </w:rPr>
            </w:pPr>
            <w:r>
              <w:rPr>
                <w:rFonts w:hint="eastAsia" w:ascii="微软雅黑" w:hAnsi="微软雅黑" w:cs="微软雅黑"/>
                <w:kern w:val="2"/>
                <w:sz w:val="21"/>
                <w:szCs w:val="21"/>
              </w:rPr>
              <w:t>NM_000535.7</w:t>
            </w:r>
          </w:p>
        </w:tc>
        <w:tc>
          <w:tcPr>
            <w:tcW w:w="1001"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4CEEC82F">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7</w:t>
            </w:r>
          </w:p>
        </w:tc>
        <w:tc>
          <w:tcPr>
            <w:tcW w:w="1449"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7247ACF6">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152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202D809A">
            <w:pPr>
              <w:spacing w:after="0"/>
              <w:jc w:val="center"/>
              <w:rPr>
                <w:rFonts w:ascii="微软雅黑" w:hAnsi="微软雅黑" w:cs="微软雅黑"/>
                <w:kern w:val="2"/>
                <w:sz w:val="21"/>
                <w:szCs w:val="21"/>
              </w:rPr>
            </w:pPr>
            <w:r>
              <w:rPr>
                <w:rFonts w:hint="eastAsia" w:ascii="微软雅黑" w:hAnsi="微软雅黑" w:cs="微软雅黑"/>
                <w:kern w:val="2"/>
                <w:sz w:val="21"/>
                <w:szCs w:val="21"/>
              </w:rPr>
              <w:t>未检出</w:t>
            </w:r>
          </w:p>
        </w:tc>
        <w:tc>
          <w:tcPr>
            <w:tcW w:w="794" w:type="dxa"/>
            <w:tcBorders>
              <w:top w:val="single" w:color="000000" w:themeColor="text1" w:sz="2" w:space="0"/>
              <w:left w:val="single" w:color="000000" w:themeColor="text1" w:sz="4" w:space="0"/>
              <w:bottom w:val="single" w:color="000000" w:themeColor="text1" w:sz="2" w:space="0"/>
              <w:right w:val="single" w:color="000000" w:themeColor="text1" w:sz="4" w:space="0"/>
            </w:tcBorders>
            <w:vAlign w:val="center"/>
          </w:tcPr>
          <w:p w14:paraId="73C9F5AA">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c>
          <w:tcPr>
            <w:tcW w:w="1300" w:type="dxa"/>
            <w:tcBorders>
              <w:top w:val="single" w:color="000000" w:themeColor="text1" w:sz="2" w:space="0"/>
              <w:left w:val="single" w:color="000000" w:themeColor="text1" w:sz="4" w:space="0"/>
              <w:bottom w:val="single" w:color="000000" w:themeColor="text1" w:sz="2" w:space="0"/>
              <w:right w:val="single" w:color="000000" w:themeColor="text1" w:sz="8" w:space="0"/>
            </w:tcBorders>
            <w:vAlign w:val="center"/>
          </w:tcPr>
          <w:p w14:paraId="723A9F37">
            <w:pPr>
              <w:spacing w:after="0"/>
              <w:jc w:val="center"/>
              <w:rPr>
                <w:rFonts w:ascii="微软雅黑" w:hAnsi="微软雅黑" w:cs="微软雅黑"/>
                <w:kern w:val="2"/>
                <w:sz w:val="21"/>
                <w:szCs w:val="21"/>
              </w:rPr>
            </w:pPr>
            <w:r>
              <w:rPr>
                <w:rFonts w:hint="eastAsia" w:ascii="微软雅黑" w:hAnsi="微软雅黑" w:cs="微软雅黑"/>
                <w:kern w:val="2"/>
                <w:sz w:val="21"/>
                <w:szCs w:val="21"/>
              </w:rPr>
              <w:t>--</w:t>
            </w:r>
          </w:p>
        </w:tc>
      </w:tr>
    </w:tbl>
    <w:p w14:paraId="1411FDA3">
      <w:pPr>
        <w:adjustRightInd/>
        <w:snapToGrid/>
        <w:spacing w:before="80" w:after="80" w:line="220" w:lineRule="atLeast"/>
        <w:jc w:val="both"/>
        <w:rPr>
          <w:rFonts w:ascii="微软雅黑" w:hAnsi="微软雅黑"/>
          <w:color w:val="000000"/>
          <w:sz w:val="18"/>
          <w:szCs w:val="18"/>
        </w:rPr>
      </w:pPr>
      <w:r>
        <w:rPr>
          <w:rFonts w:hint="eastAsia" w:ascii="微软雅黑" w:hAnsi="微软雅黑" w:cs="Times New Roman"/>
          <w:kern w:val="2"/>
          <w:sz w:val="21"/>
          <w:szCs w:val="21"/>
        </w:rPr>
        <w:t>*</w:t>
      </w:r>
      <w:r>
        <w:rPr>
          <w:rFonts w:hint="eastAsia" w:ascii="微软雅黑" w:hAnsi="微软雅黑"/>
          <w:sz w:val="18"/>
          <w:szCs w:val="18"/>
        </w:rPr>
        <w:t>上表中只列出千人频率在0.05以下的胚系非同义突变，变异的临床意义判断解读规则参考美国医学遗传学和基因组学学会（ACMG）相关指南。对上述致病突变、疑似致病突变的详细解读，请见“基因变异解析”。</w:t>
      </w:r>
    </w:p>
    <w:p w14:paraId="5788BA61">
      <w:pPr>
        <w:numPr>
          <w:ilvl w:val="255"/>
          <w:numId w:val="0"/>
        </w:numPr>
        <w:spacing w:after="0"/>
        <w:rPr>
          <w:rFonts w:ascii="微软雅黑" w:hAnsi="微软雅黑"/>
          <w:b/>
          <w:bCs/>
          <w:color w:val="000000"/>
          <w:sz w:val="21"/>
          <w:szCs w:val="21"/>
        </w:rPr>
      </w:pPr>
    </w:p>
    <w:p w14:paraId="46D218CD">
      <w:pPr>
        <w:adjustRightInd/>
        <w:snapToGrid/>
        <w:spacing w:after="80" w:line="220" w:lineRule="atLeast"/>
        <w:jc w:val="both"/>
        <w:rPr>
          <w:rFonts w:ascii="微软雅黑" w:hAnsi="微软雅黑"/>
          <w:b/>
          <w:bCs/>
          <w:color w:val="000000"/>
          <w:sz w:val="21"/>
          <w:szCs w:val="21"/>
        </w:rPr>
      </w:pPr>
      <w:r>
        <w:rPr>
          <w:rFonts w:hint="eastAsia" w:ascii="微软雅黑" w:hAnsi="微软雅黑"/>
          <w:b/>
          <w:bCs/>
          <w:color w:val="000000"/>
          <w:sz w:val="21"/>
          <w:szCs w:val="21"/>
        </w:rPr>
        <w:t xml:space="preserve">结果解读： </w:t>
      </w:r>
    </w:p>
    <w:p w14:paraId="54149EA3">
      <w:pPr>
        <w:spacing w:after="0"/>
        <w:ind w:firstLine="420" w:firstLineChars="200"/>
        <w:jc w:val="both"/>
        <w:rPr>
          <w:rFonts w:ascii="微软雅黑" w:hAnsi="微软雅黑" w:cs="微软雅黑"/>
          <w:sz w:val="21"/>
        </w:rPr>
      </w:pPr>
      <w:r>
        <w:rPr>
          <w:rFonts w:ascii="微软雅黑" w:hAnsi="微软雅黑" w:cs="微软雅黑"/>
          <w:sz w:val="21"/>
        </w:rPr>
        <w:t>在本次检测范围内，未在您的样本中检出遗传性肿瘤相关的致病突变/疑似致病突变</w:t>
      </w:r>
      <w:r>
        <w:rPr>
          <w:rFonts w:hint="eastAsia" w:ascii="微软雅黑" w:hAnsi="微软雅黑" w:cs="微软雅黑"/>
          <w:sz w:val="21"/>
        </w:rPr>
        <w:t>。</w:t>
      </w:r>
    </w:p>
    <w:p w14:paraId="3FCB258D">
      <w:pPr>
        <w:spacing w:after="0"/>
        <w:ind w:firstLine="420" w:firstLineChars="200"/>
        <w:jc w:val="both"/>
        <w:rPr>
          <w:rFonts w:ascii="微软雅黑" w:hAnsi="微软雅黑" w:cs="微软雅黑"/>
          <w:sz w:val="21"/>
        </w:rPr>
      </w:pPr>
      <w:r>
        <w:rPr>
          <w:rFonts w:ascii="微软雅黑" w:hAnsi="微软雅黑" w:cs="微软雅黑"/>
          <w:sz w:val="21"/>
        </w:rPr>
        <w:t>此检测结果并不能排除受检者罹患遗传性肿瘤的风险，不排除在检测范围之外存在其他未知致病突变的可能，以上解读基于我们目前对遗传性肿瘤相关致病基因的认识。本检测机构有更全面的遗传性肿瘤检测产品，如果您有家族癌症遗传史，可联系脉络医学做进一步的检测。</w:t>
      </w:r>
    </w:p>
    <w:p w14:paraId="2BAC3C5C">
      <w:pPr>
        <w:numPr>
          <w:ilvl w:val="255"/>
          <w:numId w:val="0"/>
        </w:numPr>
        <w:spacing w:after="0"/>
        <w:jc w:val="both"/>
        <w:rPr>
          <w:rFonts w:ascii="微软雅黑" w:hAnsi="微软雅黑" w:cs="Arial Unicode MS"/>
          <w:b/>
          <w:bCs/>
          <w:kern w:val="2"/>
          <w:sz w:val="18"/>
          <w:szCs w:val="18"/>
        </w:rPr>
      </w:pPr>
    </w:p>
    <w:p w14:paraId="04314423">
      <w:pPr>
        <w:numPr>
          <w:ilvl w:val="255"/>
          <w:numId w:val="0"/>
        </w:numPr>
        <w:spacing w:before="80" w:after="0"/>
        <w:jc w:val="both"/>
        <w:rPr>
          <w:rFonts w:ascii="微软雅黑" w:hAnsi="微软雅黑" w:cs="Arial Unicode MS"/>
          <w:b/>
          <w:bCs/>
          <w:kern w:val="2"/>
          <w:sz w:val="18"/>
          <w:szCs w:val="18"/>
        </w:rPr>
      </w:pPr>
      <w:r>
        <w:rPr>
          <w:rFonts w:hint="eastAsia" w:ascii="微软雅黑" w:hAnsi="微软雅黑" w:cs="Arial Unicode MS"/>
          <w:b/>
          <w:bCs/>
          <w:kern w:val="2"/>
          <w:sz w:val="18"/>
          <w:szCs w:val="18"/>
        </w:rPr>
        <w:t>说明：</w:t>
      </w:r>
    </w:p>
    <w:p w14:paraId="6F6DEEBF">
      <w:pPr>
        <w:numPr>
          <w:ilvl w:val="0"/>
          <w:numId w:val="8"/>
        </w:numPr>
        <w:spacing w:after="0"/>
        <w:jc w:val="both"/>
        <w:rPr>
          <w:rFonts w:ascii="微软雅黑" w:hAnsi="微软雅黑" w:cs="Arial Unicode MS"/>
          <w:kern w:val="2"/>
          <w:sz w:val="21"/>
          <w:szCs w:val="21"/>
        </w:rPr>
      </w:pPr>
      <w:r>
        <w:rPr>
          <w:rFonts w:hint="eastAsia" w:ascii="微软雅黑" w:hAnsi="微软雅黑" w:cs="Arial Unicode MS"/>
          <w:kern w:val="2"/>
          <w:sz w:val="21"/>
          <w:szCs w:val="21"/>
        </w:rPr>
        <w:t>纯合：同一位点上的两个等位基因有相同的基因型。</w:t>
      </w:r>
    </w:p>
    <w:p w14:paraId="44FDD66C">
      <w:pPr>
        <w:numPr>
          <w:ilvl w:val="0"/>
          <w:numId w:val="8"/>
        </w:numPr>
        <w:spacing w:after="0"/>
        <w:jc w:val="both"/>
        <w:rPr>
          <w:rFonts w:ascii="微软雅黑" w:hAnsi="微软雅黑" w:cs="Arial Unicode MS"/>
          <w:kern w:val="2"/>
          <w:sz w:val="21"/>
          <w:szCs w:val="21"/>
        </w:rPr>
      </w:pPr>
      <w:r>
        <w:rPr>
          <w:rFonts w:hint="eastAsia" w:ascii="微软雅黑" w:hAnsi="微软雅黑" w:cs="Arial Unicode MS"/>
          <w:kern w:val="2"/>
          <w:sz w:val="21"/>
          <w:szCs w:val="21"/>
        </w:rPr>
        <w:t>杂合：同一位点上的两个等位基因有不同的基因型。</w:t>
      </w:r>
    </w:p>
    <w:p w14:paraId="2ABD3458">
      <w:pPr>
        <w:numPr>
          <w:ilvl w:val="0"/>
          <w:numId w:val="8"/>
        </w:numPr>
        <w:spacing w:after="0"/>
        <w:jc w:val="both"/>
        <w:rPr>
          <w:rFonts w:ascii="微软雅黑" w:hAnsi="微软雅黑" w:cs="Arial Unicode MS"/>
          <w:kern w:val="2"/>
          <w:sz w:val="21"/>
          <w:szCs w:val="21"/>
        </w:rPr>
      </w:pPr>
      <w:r>
        <w:rPr>
          <w:rFonts w:hint="eastAsia" w:ascii="微软雅黑" w:hAnsi="微软雅黑" w:cs="Arial Unicode MS"/>
          <w:kern w:val="2"/>
          <w:sz w:val="21"/>
          <w:szCs w:val="21"/>
        </w:rPr>
        <w:t>致病突变：当前科研进展证明可能导致肿瘤的突变，提示您具有较高的患癌风险。</w:t>
      </w:r>
    </w:p>
    <w:p w14:paraId="026D3A35">
      <w:pPr>
        <w:numPr>
          <w:ilvl w:val="0"/>
          <w:numId w:val="8"/>
        </w:numPr>
        <w:spacing w:after="0"/>
        <w:jc w:val="both"/>
        <w:rPr>
          <w:rFonts w:ascii="微软雅黑" w:hAnsi="微软雅黑" w:cs="Arial Unicode MS"/>
          <w:kern w:val="2"/>
          <w:sz w:val="21"/>
          <w:szCs w:val="21"/>
        </w:rPr>
      </w:pPr>
      <w:r>
        <w:rPr>
          <w:rFonts w:hint="eastAsia" w:ascii="微软雅黑" w:hAnsi="微软雅黑" w:cs="Arial Unicode MS"/>
          <w:kern w:val="2"/>
          <w:sz w:val="21"/>
          <w:szCs w:val="21"/>
        </w:rPr>
        <w:t>疑似致病突变：当前科研进展证明百分之九十可能导致肿瘤的突变，提示您可能有一定的患癌风险。</w:t>
      </w:r>
    </w:p>
    <w:p w14:paraId="618A1593">
      <w:pPr>
        <w:numPr>
          <w:ilvl w:val="0"/>
          <w:numId w:val="8"/>
        </w:numPr>
        <w:spacing w:after="0"/>
        <w:jc w:val="both"/>
        <w:rPr>
          <w:rFonts w:ascii="微软雅黑" w:hAnsi="微软雅黑" w:cs="Arial Unicode MS"/>
          <w:kern w:val="2"/>
          <w:sz w:val="21"/>
          <w:szCs w:val="21"/>
        </w:rPr>
      </w:pPr>
      <w:r>
        <w:rPr>
          <w:rFonts w:hint="eastAsia" w:ascii="微软雅黑" w:hAnsi="微软雅黑" w:cs="Arial Unicode MS"/>
          <w:kern w:val="2"/>
          <w:sz w:val="21"/>
          <w:szCs w:val="21"/>
        </w:rPr>
        <w:t>临床意义未明突变：当前科研进展不能确定该突变是否致癌。</w:t>
      </w:r>
    </w:p>
    <w:p w14:paraId="03F87B45">
      <w:pPr>
        <w:numPr>
          <w:ilvl w:val="0"/>
          <w:numId w:val="8"/>
        </w:numPr>
        <w:spacing w:after="0"/>
        <w:jc w:val="both"/>
        <w:rPr>
          <w:rFonts w:ascii="微软雅黑" w:hAnsi="微软雅黑" w:cs="Arial Unicode MS"/>
          <w:kern w:val="2"/>
          <w:sz w:val="21"/>
          <w:szCs w:val="21"/>
        </w:rPr>
      </w:pPr>
      <w:r>
        <w:rPr>
          <w:rFonts w:hint="eastAsia" w:ascii="微软雅黑" w:hAnsi="微软雅黑" w:cs="Arial Unicode MS"/>
          <w:kern w:val="2"/>
          <w:sz w:val="21"/>
          <w:szCs w:val="21"/>
        </w:rPr>
        <w:t>良性突变：当前科研进展证明该突变为不会导致肿瘤的突变，提示您的癌症发生风险和正常人一致。</w:t>
      </w:r>
    </w:p>
    <w:p w14:paraId="05BF545B">
      <w:pPr>
        <w:numPr>
          <w:ilvl w:val="0"/>
          <w:numId w:val="8"/>
        </w:numPr>
        <w:adjustRightInd/>
        <w:snapToGrid/>
        <w:spacing w:after="0"/>
        <w:jc w:val="both"/>
        <w:rPr>
          <w:rFonts w:ascii="微软雅黑" w:hAnsi="微软雅黑" w:cs="Arial Unicode MS"/>
          <w:kern w:val="2"/>
          <w:sz w:val="21"/>
          <w:szCs w:val="21"/>
        </w:rPr>
      </w:pPr>
      <w:r>
        <w:rPr>
          <w:rFonts w:hint="eastAsia" w:ascii="微软雅黑" w:hAnsi="微软雅黑" w:cs="Arial Unicode MS"/>
          <w:kern w:val="2"/>
          <w:sz w:val="21"/>
          <w:szCs w:val="21"/>
        </w:rPr>
        <w:t>疑似良性突变：当前科研进展证明百分之九十不会导致肿瘤的突变，提示您的癌症发生风险可能和正常人一致。</w:t>
      </w:r>
      <w:r>
        <w:rPr>
          <w:rFonts w:ascii="微软雅黑" w:hAnsi="微软雅黑" w:cs="Arial Unicode MS"/>
          <w:kern w:val="2"/>
          <w:sz w:val="21"/>
          <w:szCs w:val="21"/>
        </w:rPr>
        <w:br w:type="page"/>
      </w:r>
    </w:p>
    <w:p w14:paraId="130DA2E3">
      <w:pPr>
        <w:spacing w:after="240" w:afterLines="100"/>
        <w:jc w:val="both"/>
        <w:outlineLvl w:val="1"/>
        <w:rPr>
          <w:rFonts w:ascii="微软雅黑" w:hAnsi="微软雅黑"/>
          <w:b/>
          <w:color w:val="00C4D8"/>
          <w:sz w:val="32"/>
          <w:szCs w:val="32"/>
        </w:rPr>
      </w:pPr>
      <w:bookmarkStart w:id="28" w:name="_Toc163825600"/>
      <w:r>
        <w:rPr>
          <w:rFonts w:hint="eastAsia" w:ascii="微软雅黑" w:hAnsi="微软雅黑"/>
          <w:b/>
          <w:color w:val="00C4D8"/>
          <w:sz w:val="32"/>
          <w:szCs w:val="32"/>
        </w:rPr>
        <w:t>3. 基因变异分析</w:t>
      </w:r>
      <w:bookmarkEnd w:id="28"/>
    </w:p>
    <w:p w14:paraId="023C9CBB">
      <w:pPr>
        <w:numPr>
          <w:ilvl w:val="0"/>
          <w:numId w:val="9"/>
        </w:numPr>
        <w:jc w:val="both"/>
        <w:rPr>
          <w:rFonts w:ascii="微软雅黑" w:hAnsi="微软雅黑" w:cs="微软雅黑"/>
          <w:sz w:val="21"/>
          <w:szCs w:val="21"/>
        </w:rPr>
      </w:pPr>
      <w:bookmarkStart w:id="29" w:name="_Toc25465"/>
      <w:r>
        <w:rPr>
          <w:rFonts w:hint="eastAsia" w:ascii="微软雅黑" w:hAnsi="微软雅黑" w:cs="微软雅黑"/>
          <w:sz w:val="21"/>
          <w:szCs w:val="21"/>
        </w:rPr>
        <w:t>在本次检测范围内，检出体细胞变异：4个，</w:t>
      </w:r>
      <w:bookmarkStart w:id="30" w:name="OLE_LINK8"/>
      <w:r>
        <w:rPr>
          <w:rFonts w:hint="eastAsia" w:ascii="微软雅黑" w:hAnsi="微软雅黑" w:cs="微软雅黑"/>
          <w:sz w:val="21"/>
          <w:szCs w:val="21"/>
        </w:rPr>
        <w:t>致病/疑似致病</w:t>
      </w:r>
      <w:bookmarkStart w:id="31" w:name="OLE_LINK12"/>
      <w:r>
        <w:rPr>
          <w:rFonts w:hint="eastAsia" w:ascii="微软雅黑" w:hAnsi="微软雅黑" w:cs="微软雅黑"/>
          <w:sz w:val="21"/>
          <w:szCs w:val="21"/>
        </w:rPr>
        <w:t>胚系</w:t>
      </w:r>
      <w:bookmarkEnd w:id="31"/>
      <w:r>
        <w:rPr>
          <w:rFonts w:hint="eastAsia" w:ascii="微软雅黑" w:hAnsi="微软雅黑" w:cs="微软雅黑"/>
          <w:sz w:val="21"/>
          <w:szCs w:val="21"/>
        </w:rPr>
        <w:t>变异</w:t>
      </w:r>
      <w:bookmarkEnd w:id="30"/>
      <w:r>
        <w:rPr>
          <w:rFonts w:hint="eastAsia" w:ascii="微软雅黑" w:hAnsi="微软雅黑" w:cs="微软雅黑"/>
          <w:sz w:val="21"/>
          <w:szCs w:val="21"/>
        </w:rPr>
        <w:t>：0个；其中与靶向/免疫药物相关的体细胞变异：4个，胚系变异：0个。（下面红色标注的为有对应靶向/免疫药物的基因变异。）</w:t>
      </w:r>
    </w:p>
    <w:p w14:paraId="2CF0B48F">
      <w:pPr>
        <w:spacing w:before="240" w:beforeLines="100" w:after="240" w:afterLines="100"/>
        <w:jc w:val="both"/>
        <w:outlineLvl w:val="2"/>
        <w:rPr>
          <w:rFonts w:ascii="微软雅黑" w:hAnsi="微软雅黑"/>
          <w:b/>
          <w:color w:val="00C4D8"/>
          <w:sz w:val="28"/>
          <w:szCs w:val="28"/>
        </w:rPr>
      </w:pPr>
      <w:bookmarkStart w:id="32" w:name="_Toc163825601"/>
      <w:r>
        <w:rPr>
          <w:rFonts w:hint="eastAsia" w:ascii="微软雅黑" w:hAnsi="微软雅黑"/>
          <w:b/>
          <w:color w:val="00C4D8"/>
          <w:sz w:val="28"/>
          <w:szCs w:val="28"/>
        </w:rPr>
        <w:t>3.1 体细胞基因变异解析</w:t>
      </w:r>
      <w:bookmarkEnd w:id="32"/>
    </w:p>
    <w:p w14:paraId="41E2CE52">
      <w:pPr>
        <w:spacing w:before="200"/>
        <w:jc w:val="both"/>
        <w:rPr>
          <w:rFonts w:ascii="微软雅黑" w:hAnsi="微软雅黑" w:cs="微软雅黑"/>
          <w:b/>
          <w:color w:val="FF0000"/>
          <w:sz w:val="24"/>
          <w:u w:val="single"/>
        </w:rPr>
      </w:pPr>
      <w:r>
        <w:rPr>
          <w:rFonts w:ascii="Wingdings" w:hAnsi="Wingdings" w:eastAsia="Wingdings" w:cs="Wingdings"/>
          <w:sz w:val="24"/>
        </w:rPr>
        <w:t>【3.1 体细胞变异解析 · 草稿未填：请按本例检出的每个体细胞变异，逐条补全变异描述/基因机制/临床意义】</w:t>
      </w:r>
      <w:r>
        <w:rPr>
          <w:rFonts w:hint="eastAsia" w:ascii="Wingdings" w:hAnsi="Wingdings" w:eastAsia="宋体" w:cs="Wingdings"/>
          <w:sz w:val="24"/>
        </w:rPr>
      </w:r>
      <w:r>
        <w:rPr>
          <w:rFonts w:hint="eastAsia" w:ascii="微软雅黑" w:hAnsi="微软雅黑" w:eastAsia="宋体" w:cs="微软雅黑"/>
          <w:b/>
          <w:color w:val="FF0000"/>
          <w:sz w:val="24"/>
          <w:u w:val="single"/>
        </w:rPr>
      </w:r>
      <w:r>
        <w:rPr>
          <w:rFonts w:ascii="微软雅黑" w:hAnsi="微软雅黑" w:cs="微软雅黑"/>
          <w:b/>
          <w:color w:val="FF0000"/>
          <w:sz w:val="24"/>
          <w:u w:val="single"/>
        </w:rPr>
      </w:r>
      <w:r>
        <w:rPr>
          <w:rFonts w:hint="eastAsia" w:ascii="微软雅黑" w:hAnsi="微软雅黑" w:cs="微软雅黑"/>
          <w:b/>
          <w:color w:val="FF0000"/>
          <w:sz w:val="24"/>
          <w:u w:val="single"/>
          <w:lang w:eastAsia="zh-CN"/>
        </w:rPr>
      </w:r>
      <w:r>
        <w:rPr>
          <w:rFonts w:hint="eastAsia" w:ascii="微软雅黑" w:hAnsi="微软雅黑" w:cs="微软雅黑"/>
          <w:b/>
          <w:color w:val="FF0000"/>
          <w:sz w:val="24"/>
          <w:u w:val="single"/>
        </w:rPr>
      </w:r>
    </w:p>
    <w:p w14:paraId="270E97F4">
      <w:pPr>
        <w:spacing w:before="260" w:after="260"/>
        <w:jc w:val="both"/>
        <w:outlineLvl w:val="2"/>
        <w:rPr>
          <w:rFonts w:ascii="微软雅黑" w:hAnsi="微软雅黑"/>
          <w:b/>
          <w:color w:val="00C4D8"/>
          <w:sz w:val="28"/>
          <w:szCs w:val="28"/>
        </w:rPr>
      </w:pPr>
      <w:bookmarkStart w:id="33" w:name="_Toc163825602"/>
      <w:r>
        <w:rPr>
          <w:rFonts w:hint="eastAsia" w:ascii="微软雅黑" w:hAnsi="微软雅黑"/>
          <w:b/>
          <w:color w:val="00C4D8"/>
          <w:sz w:val="28"/>
          <w:szCs w:val="28"/>
        </w:rPr>
        <w:t>3.2 遗传性肿瘤相关基因变异解析</w:t>
      </w:r>
      <w:bookmarkEnd w:id="33"/>
    </w:p>
    <w:p w14:paraId="5B2B629C">
      <w:pPr>
        <w:ind w:firstLine="420" w:firstLineChars="200"/>
        <w:jc w:val="both"/>
        <w:rPr>
          <w:rFonts w:ascii="微软雅黑" w:hAnsi="微软雅黑" w:cs="Times New Roman"/>
          <w:bCs/>
          <w:kern w:val="2"/>
          <w:sz w:val="21"/>
          <w:szCs w:val="21"/>
        </w:rPr>
      </w:pPr>
      <w:r>
        <w:rPr>
          <w:rFonts w:hint="eastAsia" w:ascii="微软雅黑" w:hAnsi="微软雅黑" w:cs="Times New Roman"/>
          <w:bCs/>
          <w:kern w:val="2"/>
          <w:sz w:val="21"/>
          <w:szCs w:val="21"/>
        </w:rPr>
        <w:t>无。</w:t>
      </w:r>
    </w:p>
    <w:p w14:paraId="68C8A079">
      <w:p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br w:type="page"/>
      </w:r>
    </w:p>
    <w:p w14:paraId="170B5A5E">
      <w:pPr>
        <w:spacing w:after="240" w:afterLines="100"/>
        <w:jc w:val="both"/>
        <w:outlineLvl w:val="1"/>
        <w:rPr>
          <w:rFonts w:ascii="微软雅黑" w:hAnsi="微软雅黑"/>
          <w:b/>
          <w:color w:val="00C4D8"/>
          <w:sz w:val="32"/>
          <w:szCs w:val="32"/>
        </w:rPr>
      </w:pPr>
      <w:bookmarkStart w:id="34" w:name="_Toc163825603"/>
      <w:r>
        <w:rPr>
          <w:rFonts w:hint="eastAsia" w:ascii="微软雅黑" w:hAnsi="微软雅黑"/>
          <w:b/>
          <w:color w:val="00C4D8"/>
          <w:sz w:val="32"/>
          <w:szCs w:val="32"/>
        </w:rPr>
        <w:t>4. 靶向/免疫药物用药提示解析</w:t>
      </w:r>
      <w:bookmarkEnd w:id="34"/>
    </w:p>
    <w:p w14:paraId="146ECBE5">
      <w:pPr>
        <w:numPr>
          <w:ilvl w:val="255"/>
          <w:numId w:val="0"/>
        </w:numPr>
        <w:spacing w:before="240" w:beforeLines="100" w:after="240" w:afterLines="100"/>
        <w:jc w:val="both"/>
        <w:outlineLvl w:val="2"/>
        <w:rPr>
          <w:rFonts w:ascii="微软雅黑" w:hAnsi="微软雅黑"/>
          <w:b/>
          <w:color w:val="00C4D8"/>
          <w:sz w:val="28"/>
          <w:szCs w:val="28"/>
        </w:rPr>
      </w:pPr>
      <w:bookmarkStart w:id="35" w:name="_Toc163825604"/>
      <w:r>
        <w:rPr>
          <w:rFonts w:hint="eastAsia" w:ascii="微软雅黑" w:hAnsi="微软雅黑"/>
          <w:b/>
          <w:color w:val="00C4D8"/>
          <w:sz w:val="28"/>
          <w:szCs w:val="28"/>
        </w:rPr>
        <w:t>4.1 潜在获益靶向/免疫药物解析</w:t>
      </w:r>
      <w:bookmarkEnd w:id="35"/>
    </w:p>
    <w:p w14:paraId="547BCCB0">
      <w:pPr>
        <w:numPr>
          <w:ilvl w:val="0"/>
          <w:numId w:val="10"/>
        </w:numPr>
        <w:spacing w:before="200"/>
        <w:jc w:val="both"/>
        <w:rPr>
          <w:rStyle w:val="21"/>
          <w:rFonts w:ascii="微软雅黑" w:hAnsi="微软雅黑" w:cs="微软雅黑"/>
          <w:b/>
          <w:bCs/>
          <w:color w:val="FF0000"/>
          <w:sz w:val="24"/>
          <w:szCs w:val="24"/>
          <w:u w:val="none"/>
        </w:rPr>
      </w:pPr>
      <w:r>
        <w:rPr>
          <w:rFonts w:hint="eastAsia" w:ascii="微软雅黑" w:hAnsi="微软雅黑" w:cs="微软雅黑"/>
          <w:b/>
          <w:color w:val="FF0000"/>
          <w:sz w:val="24"/>
        </w:rPr>
        <w:t>【4.1 潜在获益药物解析 · 草稿未填：请按本例变异对应的靶向/免疫药物，逐条补全药物机制与证据】</w:t>
      </w:r>
      <w:r>
        <w:rPr>
          <w:rFonts w:ascii="微软雅黑" w:hAnsi="微软雅黑" w:cs="微软雅黑"/>
          <w:b/>
          <w:color w:val="FF0000"/>
          <w:sz w:val="24"/>
        </w:rPr>
      </w:r>
      <w:r>
        <w:rPr>
          <w:rFonts w:hint="eastAsia" w:ascii="微软雅黑" w:hAnsi="微软雅黑" w:cs="微软雅黑"/>
          <w:b/>
          <w:color w:val="FF0000"/>
          <w:sz w:val="24"/>
          <w:lang w:eastAsia="zh-CN"/>
        </w:rPr>
      </w:r>
      <w:r>
        <w:rPr>
          <w:rFonts w:hint="eastAsia" w:ascii="微软雅黑" w:hAnsi="微软雅黑" w:cs="微软雅黑"/>
          <w:b/>
          <w:color w:val="FF0000"/>
          <w:sz w:val="24"/>
        </w:rPr>
      </w:r>
      <w:r>
        <w:rPr>
          <w:rFonts w:hint="eastAsia" w:ascii="微软雅黑" w:hAnsi="微软雅黑" w:cs="微软雅黑"/>
          <w:b/>
          <w:color w:val="FF0000"/>
          <w:sz w:val="24"/>
          <w:lang w:val="en-US" w:eastAsia="zh-CN"/>
        </w:rPr>
      </w:r>
      <w:r>
        <w:rPr>
          <w:rFonts w:hint="eastAsia" w:ascii="微软雅黑" w:hAnsi="微软雅黑" w:cs="微软雅黑"/>
          <w:b/>
          <w:color w:val="FF0000"/>
          <w:sz w:val="24"/>
        </w:rPr>
      </w:r>
      <w:r>
        <w:rPr>
          <w:rFonts w:ascii="微软雅黑" w:hAnsi="微软雅黑" w:cs="微软雅黑"/>
          <w:b/>
          <w:color w:val="FF0000"/>
          <w:sz w:val="24"/>
        </w:rPr>
      </w:r>
      <w:r>
        <w:rPr>
          <w:rFonts w:hint="eastAsia" w:ascii="微软雅黑" w:hAnsi="微软雅黑" w:cs="微软雅黑"/>
          <w:b/>
          <w:color w:val="FF0000"/>
          <w:sz w:val="24"/>
        </w:rPr>
      </w:r>
      <w:r>
        <w:rPr>
          <w:rStyle w:val="21"/>
          <w:rFonts w:hint="eastAsia" w:ascii="微软雅黑" w:hAnsi="微软雅黑" w:cs="微软雅黑"/>
          <w:b/>
          <w:bCs/>
          <w:color w:val="FF0000"/>
          <w:sz w:val="24"/>
          <w:szCs w:val="24"/>
          <w:u w:val="none"/>
        </w:rPr>
      </w:r>
    </w:p>
    <w:p w14:paraId="19ADC735">
      <w:pPr>
        <w:numPr>
          <w:ilvl w:val="255"/>
          <w:numId w:val="0"/>
        </w:numPr>
        <w:spacing w:before="240" w:beforeLines="100" w:after="240" w:afterLines="100"/>
        <w:jc w:val="both"/>
        <w:outlineLvl w:val="2"/>
        <w:rPr>
          <w:rFonts w:ascii="微软雅黑" w:hAnsi="微软雅黑"/>
          <w:b/>
          <w:color w:val="00C4D8"/>
          <w:sz w:val="28"/>
          <w:szCs w:val="28"/>
        </w:rPr>
      </w:pPr>
      <w:bookmarkStart w:id="36" w:name="_Toc163825605"/>
      <w:r>
        <w:rPr>
          <w:rFonts w:hint="eastAsia" w:ascii="微软雅黑" w:hAnsi="微软雅黑"/>
          <w:b/>
          <w:color w:val="00C4D8"/>
          <w:sz w:val="28"/>
          <w:szCs w:val="28"/>
        </w:rPr>
        <w:t>4.2 潜在负相关靶向/免疫药物解析</w:t>
      </w:r>
      <w:bookmarkEnd w:id="29"/>
      <w:bookmarkEnd w:id="36"/>
      <w:bookmarkStart w:id="37" w:name="_Toc30904"/>
    </w:p>
    <w:p w14:paraId="239D2A5B">
      <w:pPr>
        <w:ind w:firstLine="420" w:firstLineChars="200"/>
        <w:jc w:val="both"/>
        <w:rPr>
          <w:rFonts w:ascii="微软雅黑" w:hAnsi="微软雅黑" w:cs="微软雅黑"/>
          <w:sz w:val="21"/>
        </w:rPr>
      </w:pPr>
      <w:r>
        <w:rPr>
          <w:rFonts w:hint="eastAsia" w:ascii="微软雅黑" w:hAnsi="微软雅黑" w:cs="Times New Roman"/>
          <w:bCs/>
          <w:kern w:val="2"/>
          <w:sz w:val="21"/>
          <w:szCs w:val="21"/>
        </w:rPr>
        <w:t>无。</w:t>
      </w:r>
    </w:p>
    <w:p w14:paraId="33B985F4">
      <w:pPr>
        <w:ind w:firstLine="720" w:firstLineChars="200"/>
        <w:jc w:val="both"/>
        <w:rPr>
          <w:rFonts w:ascii="微软雅黑" w:hAnsi="微软雅黑"/>
          <w:b/>
          <w:sz w:val="36"/>
          <w:szCs w:val="36"/>
        </w:rPr>
      </w:pPr>
      <w:r>
        <w:rPr>
          <w:rFonts w:ascii="微软雅黑" w:hAnsi="微软雅黑"/>
          <w:b/>
          <w:sz w:val="36"/>
          <w:szCs w:val="36"/>
        </w:rPr>
        <w:br w:type="page"/>
      </w:r>
    </w:p>
    <w:p w14:paraId="30DAB6FE">
      <w:pPr>
        <w:spacing w:after="240" w:afterLines="100"/>
        <w:jc w:val="both"/>
        <w:outlineLvl w:val="1"/>
        <w:rPr>
          <w:rFonts w:ascii="微软雅黑" w:hAnsi="微软雅黑"/>
          <w:b/>
          <w:color w:val="00C4D8"/>
          <w:sz w:val="32"/>
          <w:szCs w:val="32"/>
        </w:rPr>
      </w:pPr>
      <w:bookmarkStart w:id="38" w:name="_Toc163825606"/>
      <w:r>
        <w:rPr>
          <w:rFonts w:hint="eastAsia" w:ascii="微软雅黑" w:hAnsi="微软雅黑"/>
          <w:b/>
          <w:color w:val="00C4D8"/>
          <w:sz w:val="32"/>
          <w:szCs w:val="32"/>
        </w:rPr>
        <w:t>5. 参考文献</w:t>
      </w:r>
      <w:bookmarkEnd w:id="38"/>
    </w:p>
    <w:p w14:paraId="33680D47">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17916723 PI3Kgamma is a key regulator of inflammatory responses and cardiovascular homeostasis.</w:t>
      </w:r>
    </w:p>
    <w:p w14:paraId="55183C77">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17877460 Effects of Oncogenic p110alpha Subunit Mutations on the Lipid Kinase Activity of Phosphoinositide 3-kinase.</w:t>
      </w:r>
    </w:p>
    <w:p w14:paraId="58E759E2">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19697359 Frequent PIK3CA Gene Amplification and Its Clinical Significance in Colorectal Cancer.</w:t>
      </w:r>
    </w:p>
    <w:p w14:paraId="189ADCC6">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15467468 Oncogenic mutations of PIK3CA in human cancers.</w:t>
      </w:r>
    </w:p>
    <w:p w14:paraId="569F6014">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18516290 PIK3CA Mutation in Colorectal Cancer: Relationship With Genetic and Epigenetic Alterations.</w:t>
      </w:r>
    </w:p>
    <w:p w14:paraId="1162E5D5">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30205045 The Genomic Landscape of Endocrine-Resistant Advanced Breast Cancers.</w:t>
      </w:r>
    </w:p>
    <w:p w14:paraId="292A4B4F">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20664172 Deregulation of the PI3K and KRAS signaling pathways in human cancer cells determines their response to everolimus.</w:t>
      </w:r>
    </w:p>
    <w:p w14:paraId="271DA277">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23066039 PIK3CA mutation H1047R is associated with response to PI3K/AKT/mTOR signaling pathway inhibitors in early-phase clinical trials.</w:t>
      </w:r>
    </w:p>
    <w:p w14:paraId="3F9A5555">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25902899 Phase I combination of pazopanib and everolimus in PIK3CA mutation positive/PTEN loss patients with advanced solid tumors refractory to standard therapy.</w:t>
      </w:r>
    </w:p>
    <w:p w14:paraId="62CA960F">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NCT01430572 https://clinicaltrials.gov.</w:t>
      </w:r>
    </w:p>
    <w:p w14:paraId="254B3AC5">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NCT02688881 https://clinicaltrials.gov.</w:t>
      </w:r>
    </w:p>
    <w:p w14:paraId="0405CFD1">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25320628 Combined Antiangiogenic and Mammalian Target of Rapamycin Inhibitor Targeted Therapy in Metaplastic Breast Cancer Harboring a PIK3CA Mutation.</w:t>
      </w:r>
    </w:p>
    <w:p w14:paraId="6A3252D6">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NCT03297606 https://clinicaltrials.gov.</w:t>
      </w:r>
    </w:p>
    <w:p w14:paraId="2E67FF3D">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24608574 Characterization of the novel and specific PI3K inhibitor NVP-BYL719 and development of the patient stratification strategy for clinical trials.</w:t>
      </w:r>
    </w:p>
    <w:p w14:paraId="6C71274D">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23903756 mTORC1 inhibition is required for sensitivity to PI3K p110 inhibitors in PIK3CA-mutant breast cancer.</w:t>
      </w:r>
    </w:p>
    <w:p w14:paraId="014D07DD">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NCT01219699 https://clinicaltrials.gov.</w:t>
      </w:r>
    </w:p>
    <w:p w14:paraId="7CB87861">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37256976 Capivasertib in Hormone Receptor-Positive Advanced Breast Cancer.</w:t>
      </w:r>
    </w:p>
    <w:p w14:paraId="6E480214">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NCT04305496 https://clinicaltrials.gov.</w:t>
      </w:r>
    </w:p>
    <w:p w14:paraId="0BBCA85F">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19029981 Effective use of PI3K and MEK inhibitors to treat mutant Kras G12D and PIK3CA H1047R murine lung cancers.</w:t>
      </w:r>
    </w:p>
    <w:p w14:paraId="37536105">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26627007 Identification of Variant-Specific Functions of PIK3CA by Rapid Phenotyping of Rare Mutations.</w:t>
      </w:r>
    </w:p>
    <w:p w14:paraId="2F9229CC">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NCT01833169 https://clinicaltrials.gov.</w:t>
      </w:r>
    </w:p>
    <w:p w14:paraId="25006D3A">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25172762 Taselisib, a selective inhibitor of PIK3CA, is highly effective on PIK3CA-mutated and HER2/neu amplified uterine serous carcinoma in vitro and in vivo.</w:t>
      </w:r>
    </w:p>
    <w:p w14:paraId="6890C575">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2014 AACR Abstract 915 Expanded biomarker results from a phase I dose escalation study of GDC-0032, a beta isoform-sparing PI3K inhibitor.</w:t>
      </w:r>
    </w:p>
    <w:p w14:paraId="65BF1EDF">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2015 AACR Abstract PD5-2 Ph1b study of the PI3K inhibitor taselisib (GDC-0032) in combination with letrozole in patients with hormone receptor-positive advanced breast cancer.</w:t>
      </w:r>
    </w:p>
    <w:p w14:paraId="782D1092">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NCT02465060 https://clinicaltrials.gov.</w:t>
      </w:r>
    </w:p>
    <w:p w14:paraId="5046164A">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35133871 Phase II Study of Copanlisib in Patients With Tumors With PIK3CA Mutations: Results From the NCI-MATCH ECOG-ACRIN Trial (EAY131) Subprotocol Z1F.</w:t>
      </w:r>
    </w:p>
    <w:p w14:paraId="0279863C">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NCT04317105 https://clinicaltrials.gov.</w:t>
      </w:r>
    </w:p>
    <w:p w14:paraId="6E9E2067">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NCT05300048 https://clinicaltrials.gov.</w:t>
      </w:r>
    </w:p>
    <w:p w14:paraId="7ED025A8">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NCT04073680 https://clinicaltrials.gov.</w:t>
      </w:r>
    </w:p>
    <w:p w14:paraId="32C6087B">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NCT03006172 https://clinicaltrials.gov.</w:t>
      </w:r>
    </w:p>
    <w:p w14:paraId="71DAA5EC">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NCT04191499 https://clinicaltrials.gov.</w:t>
      </w:r>
    </w:p>
    <w:p w14:paraId="3FF080BF">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NCT05216432 https://clinicaltrials.gov.</w:t>
      </w:r>
    </w:p>
    <w:p w14:paraId="675ED06C">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CTR20210445 http://www.chinadrugtrials.org.cn</w:t>
      </w:r>
    </w:p>
    <w:p w14:paraId="41D85322">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9065402 Activation of beta-catenin-Tcf signaling in colon cancer by mutations in beta-catenin or APC.</w:t>
      </w:r>
    </w:p>
    <w:p w14:paraId="1BFF6778">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12408868 The beta-catenin/TCF-4 complex imposes a crypt progenitor phenotype on colorectal cancer cells.</w:t>
      </w:r>
    </w:p>
    <w:p w14:paraId="4717F72E">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10213486 Beta-catenin mutations are frequent in hepatocellular carcinomas but absent in adenomas induced by diethylnitrosamine in B6C3F1 mice.</w:t>
      </w:r>
    </w:p>
    <w:p w14:paraId="26220F8F">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9635572 Activation of the beta-catenin gene in primary hepatocellular carcinomas by somatic alterations involving exon 3.</w:t>
      </w:r>
    </w:p>
    <w:p w14:paraId="4BFFF1C3">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27543871 β-Catenin accumulation and S33F mutation of CTNNB1 gene in colorectal cancer in Saudi Arabia.</w:t>
      </w:r>
    </w:p>
    <w:p w14:paraId="01A7819D">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10347231 The ubiquitin-proteasome pathway and serine kinase activity modulate adenomatous polyposis coli protein-mediated regulation of beta-catenin-lymphocyte enhancer-binding factor signaling.</w:t>
      </w:r>
    </w:p>
    <w:p w14:paraId="775E30BC">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9671767 Somatic mutations of the beta-catenin gene are frequent in mouse and human hepatocellular carcinomas.</w:t>
      </w:r>
    </w:p>
    <w:p w14:paraId="04C00512">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31992589 Phase II Trial of Cabozantinib in Recurrent/Metastatic Endometrial Cancer: A Study of the Princess Margaret, Chicago, and California Consortia (NCI9322/PHL86).</w:t>
      </w:r>
    </w:p>
    <w:p w14:paraId="357B4AA6">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NCT01935934 https://clinicaltrials.gov.</w:t>
      </w:r>
    </w:p>
    <w:p w14:paraId="729CEA13">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28881160 Effective treatment of aggressive fibromatosis with celecoxib guided by genetic testing.</w:t>
      </w:r>
    </w:p>
    <w:p w14:paraId="6172ABDC">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NCT01458067 https://clinicaltrials.gov.</w:t>
      </w:r>
    </w:p>
    <w:p w14:paraId="7B8B766C">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35247924 A Phase I Study Investigating AZD8186, a Potent and Selective Inhibitor of PI3K, in Patients with Advanced Solid Tumors.</w:t>
      </w:r>
    </w:p>
    <w:p w14:paraId="35421AC8">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14557489 Regulation of PTEN (phosphatase and tensin homolog deleted on omosome 10) expression by estradioland progesterone in human endometrium.</w:t>
      </w:r>
    </w:p>
    <w:p w14:paraId="6D5023D4">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15843377 Phosphorylation of human p53 at serine 46 determines promoter selection and whether apoptosis isattenuated or amplified.</w:t>
      </w:r>
    </w:p>
    <w:p w14:paraId="143E11D2">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19221500 PTEN and p53 are required for hypoxia induced expression of maspin in glioblastoma cells.</w:t>
      </w:r>
    </w:p>
    <w:p w14:paraId="22FE5786">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17604717 AKT/PKB signaling: navigating downstream.</w:t>
      </w:r>
    </w:p>
    <w:p w14:paraId="73F18AFE">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18288938 Advances of AKT pathway in human oncogenesis and as a target for anti-cancer drug discovery.</w:t>
      </w:r>
    </w:p>
    <w:p w14:paraId="13557021">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10866302 Functional evaluation of PTEN missense mutations using in vitro phosphoinositide phosphatase assay.</w:t>
      </w:r>
    </w:p>
    <w:p w14:paraId="1A9F4BB7">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19437103 PTEN regulates angiogenesis through PI3K/Akt/VEGF signaling pathway in human pancreatic cancer cells.</w:t>
      </w:r>
    </w:p>
    <w:p w14:paraId="283C6E1C">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9865913 PTEN mutation in endometrial cancers is associated with favorable clinical and pathologic characteristics</w:t>
      </w:r>
    </w:p>
    <w:p w14:paraId="30497D1E">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26114084 PTEN sequence analysis in endometrial hyperplasia and endometrial carcinoma in Slovak women.</w:t>
      </w:r>
    </w:p>
    <w:p w14:paraId="6F113FEB">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22662154 Genotype-dependent efficacy of a dual PI3K/mTOR inhibitor, NVP-BEZ235, and an mTOR inhibitor, RAD001, in endometrial carcinomas.</w:t>
      </w:r>
    </w:p>
    <w:p w14:paraId="73525D7A">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23471917 An inducible knockout mouse to model the cell-autonomous role of PTEN in initiating endometrial, prostate and thyroid neoplasias.</w:t>
      </w:r>
    </w:p>
    <w:p w14:paraId="034DF855">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17496901 The AKT-mTOR pathway plays a critical role in the development of leiomyosarcomas.</w:t>
      </w:r>
    </w:p>
    <w:p w14:paraId="2334FC92">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NCT02449538 https://clinicaltrials.gov.</w:t>
      </w:r>
    </w:p>
    <w:p w14:paraId="303D616B">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29401002 Phosphatidylinositol 3-Kinase α-Selective Inhibition With Alpelisib (BYL719) in PIK3CA-Altered Solid Tumors: Results From the First-in-Human Study.</w:t>
      </w:r>
    </w:p>
    <w:p w14:paraId="6BD932C1">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NCT04251533 https://clinicaltrials.gov.</w:t>
      </w:r>
    </w:p>
    <w:p w14:paraId="121DBD84">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 xml:space="preserve">PMID: 10866302 Functional evaluation of PTEN missense mutations using in vitro phosphoinositide phosphatase assay. </w:t>
      </w:r>
    </w:p>
    <w:p w14:paraId="53BD516A">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2014 ASCO Abstract 2019 Phase II trial of the phosphatidyinositol-3 kinase (PI3K) inhibitor buparlisib(BKM120) in recurrent glioblastoma.</w:t>
      </w:r>
    </w:p>
    <w:p w14:paraId="0AEC91AD">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18606717 Identification and characterization of NVP-BEZ235, a new orally available dual phosphatidylinositol 3-kinase/mammalian target of rapamycin inhibitor with potent in vivo antitumor activity.</w:t>
      </w:r>
    </w:p>
    <w:p w14:paraId="306B13B4">
      <w:pPr>
        <w:numPr>
          <w:ilvl w:val="0"/>
          <w:numId w:val="12"/>
        </w:numPr>
        <w:spacing w:after="0" w:line="312" w:lineRule="auto"/>
        <w:jc w:val="both"/>
        <w:rPr>
          <w:rFonts w:ascii="Calibri" w:hAnsi="Calibri" w:eastAsia="宋体" w:cs="Calibri"/>
          <w:sz w:val="21"/>
          <w:szCs w:val="21"/>
        </w:rPr>
      </w:pPr>
      <w:r>
        <w:rPr>
          <w:rFonts w:hint="eastAsia" w:ascii="Calibri" w:hAnsi="Calibri" w:eastAsia="宋体" w:cs="Calibri"/>
          <w:sz w:val="21"/>
          <w:szCs w:val="21"/>
        </w:rPr>
        <w:t>PMID: 20049735 Synthetic lethal targeting of PTEN mutant cells with PARP inhibitors.</w:t>
      </w:r>
    </w:p>
    <w:p w14:paraId="38999DC2">
      <w:pPr>
        <w:numPr>
          <w:ilvl w:val="0"/>
          <w:numId w:val="1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NCT04042831 https://clinicaltrials.gov.</w:t>
      </w:r>
    </w:p>
    <w:p w14:paraId="79815772">
      <w:pPr>
        <w:numPr>
          <w:ilvl w:val="0"/>
          <w:numId w:val="1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NCT03209401 https://clinicaltrials.gov.</w:t>
      </w:r>
    </w:p>
    <w:p w14:paraId="3A358DF2">
      <w:pPr>
        <w:numPr>
          <w:ilvl w:val="0"/>
          <w:numId w:val="1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NCT04740190 https://clinicaltrials.gov.</w:t>
      </w:r>
    </w:p>
    <w:p w14:paraId="2BA8253C">
      <w:pPr>
        <w:numPr>
          <w:ilvl w:val="0"/>
          <w:numId w:val="1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 xml:space="preserve">NCT02401347 </w:t>
      </w:r>
      <w:r>
        <w:rPr>
          <w:rFonts w:hint="eastAsia" w:ascii="Calibri" w:hAnsi="Calibri" w:eastAsia="宋体" w:cs="Calibri"/>
          <w:sz w:val="21"/>
          <w:szCs w:val="21"/>
        </w:rPr>
        <w:fldChar w:fldCharType="begin"/>
      </w:r>
      <w:r>
        <w:rPr>
          <w:rFonts w:hint="eastAsia" w:ascii="Calibri" w:hAnsi="Calibri" w:eastAsia="宋体" w:cs="Calibri"/>
          <w:sz w:val="21"/>
          <w:szCs w:val="21"/>
        </w:rPr>
        <w:instrText xml:space="preserve"> HYPERLINK "https://clinicaltrials.gov." </w:instrText>
      </w:r>
      <w:r>
        <w:rPr>
          <w:rFonts w:hint="eastAsia" w:ascii="Calibri" w:hAnsi="Calibri" w:eastAsia="宋体" w:cs="Calibri"/>
          <w:sz w:val="21"/>
          <w:szCs w:val="21"/>
        </w:rPr>
        <w:fldChar w:fldCharType="separate"/>
      </w:r>
      <w:r>
        <w:rPr>
          <w:rFonts w:hint="eastAsia" w:ascii="Calibri" w:hAnsi="Calibri" w:eastAsia="宋体" w:cs="Calibri"/>
          <w:sz w:val="21"/>
          <w:szCs w:val="21"/>
        </w:rPr>
        <w:t>https://clinicaltrials.gov.</w:t>
      </w:r>
      <w:r>
        <w:rPr>
          <w:rFonts w:hint="eastAsia" w:ascii="Calibri" w:hAnsi="Calibri" w:eastAsia="宋体" w:cs="Calibri"/>
          <w:sz w:val="21"/>
          <w:szCs w:val="21"/>
        </w:rPr>
        <w:fldChar w:fldCharType="end"/>
      </w:r>
    </w:p>
    <w:p w14:paraId="48FF28A7">
      <w:pPr>
        <w:numPr>
          <w:ilvl w:val="0"/>
          <w:numId w:val="12"/>
        </w:numPr>
        <w:spacing w:after="0" w:line="312" w:lineRule="auto"/>
        <w:jc w:val="both"/>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PMID: 16432179 Cancer-specific mutations in PIK3CA are oncogenic in vivo.</w:t>
      </w:r>
    </w:p>
    <w:p w14:paraId="012B6F6D">
      <w:pPr>
        <w:numPr>
          <w:ilvl w:val="0"/>
          <w:numId w:val="12"/>
        </w:numPr>
        <w:spacing w:after="0" w:line="312" w:lineRule="auto"/>
        <w:jc w:val="both"/>
        <w:rPr>
          <w:rFonts w:ascii="Calibri" w:hAnsi="Calibri" w:eastAsia="宋体" w:cs="Calibri"/>
          <w:color w:val="auto"/>
          <w:sz w:val="21"/>
          <w:szCs w:val="21"/>
        </w:rPr>
      </w:pPr>
      <w:r>
        <w:rPr>
          <w:rFonts w:hint="default" w:ascii="Calibri" w:hAnsi="Calibri" w:eastAsia="宋体" w:cs="Calibri"/>
          <w:sz w:val="21"/>
          <w:szCs w:val="21"/>
          <w:lang w:val="en-US" w:eastAsia="zh-CN"/>
        </w:rPr>
        <w:t>PMID:17376864 Rare cancer-specific mutati</w:t>
      </w:r>
      <w:r>
        <w:rPr>
          <w:rFonts w:hint="default" w:eastAsia="宋体" w:cs="Calibri" w:asciiTheme="minorAscii" w:hAnsiTheme="minorAscii"/>
          <w:color w:val="auto"/>
          <w:kern w:val="0"/>
          <w:sz w:val="21"/>
          <w:szCs w:val="21"/>
          <w:lang w:val="en-US" w:eastAsia="zh-CN"/>
        </w:rPr>
        <w:t>ons in PIK3CA show gain of function.</w:t>
      </w:r>
    </w:p>
    <w:p w14:paraId="0E6B23BB">
      <w:pPr>
        <w:numPr>
          <w:ilvl w:val="0"/>
          <w:numId w:val="12"/>
        </w:numPr>
        <w:spacing w:after="0" w:line="312" w:lineRule="auto"/>
        <w:jc w:val="both"/>
        <w:rPr>
          <w:rFonts w:ascii="Calibri" w:hAnsi="Calibri" w:eastAsia="宋体" w:cs="Calibri"/>
          <w:sz w:val="21"/>
          <w:szCs w:val="21"/>
        </w:rPr>
      </w:pPr>
      <w:r>
        <w:rPr>
          <w:rFonts w:hint="default" w:eastAsia="宋体" w:cs="Calibri" w:asciiTheme="minorAscii" w:hAnsiTheme="minorAscii"/>
          <w:color w:val="auto"/>
          <w:kern w:val="0"/>
          <w:sz w:val="21"/>
          <w:szCs w:val="21"/>
          <w:lang w:val="en-US" w:eastAsia="zh-CN"/>
        </w:rPr>
        <w:t>PMID: 26627007 Identification of Variant-Specific Functions of PIK3CA by Rapid Phenotyping of Rare Mutations.</w:t>
      </w:r>
    </w:p>
    <w:p w14:paraId="50E0AD98">
      <w:pPr>
        <w:spacing w:after="0" w:line="312" w:lineRule="auto"/>
        <w:jc w:val="both"/>
        <w:rPr>
          <w:rFonts w:ascii="Calibri" w:hAnsi="Calibri" w:eastAsia="宋体" w:cs="Calibri"/>
          <w:sz w:val="21"/>
          <w:szCs w:val="21"/>
        </w:rPr>
      </w:pPr>
    </w:p>
    <w:p w14:paraId="046B88C5">
      <w:pPr>
        <w:spacing w:after="0"/>
        <w:rPr>
          <w:rFonts w:ascii="微软雅黑" w:hAnsi="微软雅黑"/>
          <w:b/>
          <w:sz w:val="36"/>
          <w:szCs w:val="36"/>
        </w:rPr>
      </w:pPr>
      <w:r>
        <w:rPr>
          <w:rFonts w:hint="eastAsia" w:ascii="微软雅黑" w:hAnsi="微软雅黑"/>
          <w:b/>
          <w:sz w:val="36"/>
          <w:szCs w:val="36"/>
        </w:rPr>
        <w:br w:type="page"/>
      </w:r>
    </w:p>
    <w:p w14:paraId="38998824">
      <w:pPr>
        <w:spacing w:after="0" w:line="312" w:lineRule="auto"/>
        <w:jc w:val="center"/>
        <w:outlineLvl w:val="0"/>
        <w:rPr>
          <w:rFonts w:ascii="微软雅黑" w:hAnsi="微软雅黑"/>
          <w:b/>
          <w:sz w:val="36"/>
          <w:szCs w:val="36"/>
        </w:rPr>
      </w:pPr>
      <w:bookmarkStart w:id="39" w:name="_Toc163825607"/>
      <w:r>
        <w:rPr>
          <w:rFonts w:hint="eastAsia" w:ascii="微软雅黑" w:hAnsi="微软雅黑"/>
          <w:b/>
          <w:sz w:val="36"/>
          <w:szCs w:val="36"/>
        </w:rPr>
        <w:t>第四部分：附录</w:t>
      </w:r>
      <w:bookmarkEnd w:id="37"/>
      <w:bookmarkEnd w:id="39"/>
    </w:p>
    <w:p w14:paraId="4AAA9792">
      <w:pPr>
        <w:spacing w:before="200"/>
        <w:outlineLvl w:val="1"/>
        <w:rPr>
          <w:rFonts w:ascii="微软雅黑" w:hAnsi="微软雅黑"/>
          <w:b/>
          <w:sz w:val="32"/>
          <w:szCs w:val="32"/>
        </w:rPr>
      </w:pPr>
      <w:bookmarkStart w:id="40" w:name="_Toc9694"/>
      <w:bookmarkStart w:id="41" w:name="_Toc163825608"/>
      <w:r>
        <w:rPr>
          <w:rFonts w:hint="eastAsia" w:ascii="微软雅黑" w:hAnsi="微软雅黑"/>
          <w:b/>
          <w:sz w:val="32"/>
          <w:szCs w:val="32"/>
        </w:rPr>
        <w:t>1. 子宫内膜癌分型</w:t>
      </w:r>
      <w:bookmarkEnd w:id="40"/>
      <w:bookmarkStart w:id="42" w:name="OLE_LINK10"/>
      <w:r>
        <w:rPr>
          <w:rFonts w:hint="eastAsia" w:ascii="微软雅黑" w:hAnsi="微软雅黑"/>
          <w:b/>
          <w:sz w:val="32"/>
          <w:szCs w:val="32"/>
        </w:rPr>
        <w:t>与林奇综合征</w:t>
      </w:r>
      <w:bookmarkEnd w:id="41"/>
    </w:p>
    <w:p w14:paraId="58D7E01B">
      <w:pPr>
        <w:spacing w:before="200"/>
        <w:rPr>
          <w:rFonts w:ascii="微软雅黑" w:hAnsi="微软雅黑"/>
          <w:b/>
          <w:sz w:val="28"/>
          <w:szCs w:val="28"/>
        </w:rPr>
      </w:pPr>
      <w:r>
        <w:rPr>
          <w:rFonts w:hint="eastAsia" w:ascii="微软雅黑" w:hAnsi="微软雅黑"/>
          <w:b/>
          <w:sz w:val="28"/>
          <w:szCs w:val="28"/>
        </w:rPr>
        <w:t>1.1 子宫内膜癌传统分型</w:t>
      </w:r>
    </w:p>
    <w:p w14:paraId="32D91A90">
      <w:pPr>
        <w:spacing w:after="0" w:line="288"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子宫内膜癌的传统分型包括Bokhman分型和WHO组织学分型。</w:t>
      </w:r>
    </w:p>
    <w:p w14:paraId="739998C2">
      <w:pPr>
        <w:spacing w:after="0" w:line="288" w:lineRule="auto"/>
        <w:jc w:val="both"/>
        <w:rPr>
          <w:rFonts w:ascii="微软雅黑" w:hAnsi="微软雅黑" w:cs="微软雅黑"/>
          <w:b/>
          <w:bCs/>
          <w:sz w:val="24"/>
          <w:szCs w:val="24"/>
        </w:rPr>
      </w:pPr>
      <w:r>
        <w:rPr>
          <w:rFonts w:hint="eastAsia" w:ascii="微软雅黑" w:hAnsi="微软雅黑" w:cs="微软雅黑"/>
          <w:b/>
          <w:bCs/>
          <w:sz w:val="24"/>
          <w:szCs w:val="24"/>
        </w:rPr>
        <w:t>1.1.1 Bokhman分型</w:t>
      </w:r>
    </w:p>
    <w:p w14:paraId="03767A8A">
      <w:pPr>
        <w:spacing w:after="0" w:line="288"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Bokhman分型中，根据发病机制和生物学行为特点，将子宫内膜癌分为雌激素依赖型（Ⅰ型）和非雌激素依赖型（Ⅱ型）</w:t>
      </w:r>
      <w:r>
        <w:rPr>
          <w:rFonts w:hint="eastAsia" w:ascii="微软雅黑" w:hAnsi="微软雅黑" w:cs="微软雅黑"/>
          <w:sz w:val="21"/>
          <w:szCs w:val="21"/>
          <w:vertAlign w:val="superscript"/>
        </w:rPr>
        <w:t>[1]</w:t>
      </w:r>
      <w:r>
        <w:rPr>
          <w:rFonts w:hint="eastAsia" w:ascii="微软雅黑" w:hAnsi="微软雅黑" w:cs="微软雅黑"/>
          <w:sz w:val="21"/>
          <w:szCs w:val="21"/>
        </w:rPr>
        <w:t>。Ⅰ型约占80%，表达雌孕激素受体，为子宫内膜样腺癌，通常预后良好。Ⅱ型占15%～20%，最常见的病理类型为浆液性和透明细胞癌，临床上多呈侵袭性进展，恶性程度高，预后差。从分子角度看，两种类型的子宫内膜癌遗传特征不同：Ⅰ型子宫内膜癌常见突变或异常表达的基因如下，RAS突变（0～25%）、PI3K/Akt/mTOR信号通路改变、PTEN失活（30%～80%）、卫星不稳定性和β-catenin基因突变（20%～50%）；Ⅱ型子宫内膜癌最常见的两种基因变化是HER2基因扩增（17%～30%）和TP53基因突变（0～90%）</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610A8DE5">
      <w:pPr>
        <w:spacing w:after="0" w:line="288" w:lineRule="auto"/>
        <w:ind w:left="420"/>
        <w:jc w:val="center"/>
        <w:rPr>
          <w:rFonts w:ascii="微软雅黑" w:hAnsi="微软雅黑" w:cs="微软雅黑"/>
          <w:sz w:val="21"/>
          <w:szCs w:val="21"/>
        </w:rPr>
      </w:pPr>
      <w:r>
        <w:rPr>
          <w:rFonts w:hint="eastAsia" w:ascii="微软雅黑" w:hAnsi="微软雅黑" w:cs="微软雅黑"/>
          <w:sz w:val="21"/>
          <w:szCs w:val="21"/>
        </w:rPr>
        <w:t>表1 不同组织学子宫内膜癌的分子分类</w:t>
      </w:r>
    </w:p>
    <w:p w14:paraId="6C0540F5">
      <w:pPr>
        <w:spacing w:after="0" w:line="288" w:lineRule="auto"/>
        <w:jc w:val="center"/>
        <w:rPr>
          <w:rFonts w:ascii="微软雅黑" w:hAnsi="微软雅黑" w:cs="微软雅黑"/>
          <w:sz w:val="21"/>
          <w:szCs w:val="21"/>
        </w:rPr>
      </w:pPr>
      <w:r>
        <w:drawing>
          <wp:inline distT="0" distB="0" distL="114300" distR="114300">
            <wp:extent cx="4975860" cy="2461895"/>
            <wp:effectExtent l="0" t="0" r="15240" b="14605"/>
            <wp:docPr id="10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图片 2"/>
                    <pic:cNvPicPr>
                      <a:picLocks noChangeAspect="1"/>
                    </pic:cNvPicPr>
                  </pic:nvPicPr>
                  <pic:blipFill>
                    <a:blip r:embed="rId20"/>
                    <a:srcRect b="5347"/>
                    <a:stretch>
                      <a:fillRect/>
                    </a:stretch>
                  </pic:blipFill>
                  <pic:spPr>
                    <a:xfrm>
                      <a:off x="0" y="0"/>
                      <a:ext cx="4975860" cy="2461895"/>
                    </a:xfrm>
                    <a:prstGeom prst="rect">
                      <a:avLst/>
                    </a:prstGeom>
                    <a:noFill/>
                    <a:ln w="9525">
                      <a:noFill/>
                    </a:ln>
                  </pic:spPr>
                </pic:pic>
              </a:graphicData>
            </a:graphic>
          </wp:inline>
        </w:drawing>
      </w:r>
    </w:p>
    <w:p w14:paraId="688E39DE">
      <w:pPr>
        <w:spacing w:after="0" w:line="288" w:lineRule="auto"/>
        <w:jc w:val="both"/>
        <w:rPr>
          <w:rFonts w:ascii="微软雅黑" w:hAnsi="微软雅黑" w:cs="微软雅黑"/>
          <w:b/>
          <w:bCs/>
          <w:sz w:val="24"/>
          <w:szCs w:val="24"/>
        </w:rPr>
      </w:pPr>
      <w:r>
        <w:rPr>
          <w:rFonts w:hint="eastAsia" w:ascii="微软雅黑" w:hAnsi="微软雅黑" w:cs="微软雅黑"/>
          <w:b/>
          <w:bCs/>
          <w:sz w:val="24"/>
          <w:szCs w:val="24"/>
        </w:rPr>
        <w:t>1.1.2 WHO组织学分型</w:t>
      </w:r>
    </w:p>
    <w:p w14:paraId="4ACB12EE">
      <w:pPr>
        <w:spacing w:after="0" w:line="288"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WHO组织学分型将子宫体恶性肿瘤分为上皮性癌（包括内膜样腺癌、透明细胞癌、黏液性癌、鳞状上皮细胞癌、移行细胞癌、小细胞癌和未分化癌）、混合性上皮和间充质恶性肿瘤（如癌肉瘤）、间充质恶性肿瘤（如子宫内膜基质和平滑肌恶性肿瘤）、妊娠滋养细胞肿瘤和其它恶性肿瘤</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4CCF63E1">
      <w:pPr>
        <w:spacing w:after="0" w:line="288"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传统的Bokhman分型和WHO组织学分型意义重大，为子宫内膜癌研究提供了框架，尤其是相关分子学特征的研究，但其局限性也日益突出。如Bokhman分型对子宫内膜癌亚型之间的分类不准确</w:t>
      </w:r>
      <w:r>
        <w:rPr>
          <w:rFonts w:hint="eastAsia" w:ascii="微软雅黑" w:hAnsi="微软雅黑" w:cs="微软雅黑"/>
          <w:sz w:val="21"/>
          <w:szCs w:val="21"/>
          <w:vertAlign w:val="superscript"/>
        </w:rPr>
        <w:t>[4]</w:t>
      </w:r>
      <w:r>
        <w:rPr>
          <w:rFonts w:hint="eastAsia" w:ascii="微软雅黑" w:hAnsi="微软雅黑" w:cs="微软雅黑"/>
          <w:sz w:val="21"/>
          <w:szCs w:val="21"/>
        </w:rPr>
        <w:t>。近年的研究发现，子宫内膜癌是生物、临床形态学和基因群异质性的肿瘤。传统分型未考虑其异质性，因此，对预后的预测价值非常有限。而子宫内膜癌分子分型的提出，给这种异质性肿瘤实现准确分型带来了希望</w:t>
      </w:r>
      <w:r>
        <w:rPr>
          <w:rFonts w:hint="eastAsia" w:ascii="微软雅黑" w:hAnsi="微软雅黑" w:cs="微软雅黑"/>
          <w:sz w:val="21"/>
          <w:szCs w:val="21"/>
          <w:vertAlign w:val="superscript"/>
        </w:rPr>
        <w:t>[5]</w:t>
      </w:r>
      <w:r>
        <w:rPr>
          <w:rFonts w:hint="eastAsia" w:ascii="微软雅黑" w:hAnsi="微软雅黑" w:cs="微软雅黑"/>
          <w:sz w:val="21"/>
          <w:szCs w:val="21"/>
        </w:rPr>
        <w:t>。</w:t>
      </w:r>
    </w:p>
    <w:p w14:paraId="098EFB14">
      <w:pPr>
        <w:spacing w:before="200"/>
        <w:rPr>
          <w:rFonts w:ascii="微软雅黑" w:hAnsi="微软雅黑"/>
          <w:b/>
          <w:sz w:val="28"/>
          <w:szCs w:val="28"/>
        </w:rPr>
      </w:pPr>
      <w:r>
        <w:rPr>
          <w:rFonts w:hint="eastAsia" w:ascii="微软雅黑" w:hAnsi="微软雅黑"/>
          <w:b/>
          <w:sz w:val="28"/>
          <w:szCs w:val="28"/>
        </w:rPr>
        <w:t>1.2子宫内膜癌分子分型</w:t>
      </w:r>
    </w:p>
    <w:p w14:paraId="01DE1C22">
      <w:pPr>
        <w:spacing w:after="0" w:line="288"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2014年，美国癌症基因组谱研究中心（TCGA）通过全基因组和转录组的分析，并结合二代测序、DNA甲基化分析、反相蛋白质阵列和MSI分析，将子宫内膜癌分为4个基因组型：（1）POLE超突变型；（2）MSI高突变型；（3）低拷贝数组（CN-L）；（4）高拷贝数组（CN-H）。该分子分型同时提供相关预后信息：POLE超突变组具有最佳的无进展生存率，而CN-H组最差，微卫星不稳定高突变组和CN-L组则具有中等的生存曲线</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FD7177D">
      <w:pPr>
        <w:spacing w:after="0" w:line="288" w:lineRule="auto"/>
        <w:jc w:val="center"/>
        <w:rPr>
          <w:rFonts w:ascii="微软雅黑" w:hAnsi="微软雅黑" w:cs="微软雅黑"/>
          <w:sz w:val="21"/>
          <w:szCs w:val="21"/>
        </w:rPr>
      </w:pPr>
      <w:r>
        <w:drawing>
          <wp:inline distT="0" distB="0" distL="114300" distR="114300">
            <wp:extent cx="4504055" cy="3044190"/>
            <wp:effectExtent l="0" t="0" r="10795" b="3810"/>
            <wp:docPr id="10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图片 3"/>
                    <pic:cNvPicPr>
                      <a:picLocks noChangeAspect="1"/>
                    </pic:cNvPicPr>
                  </pic:nvPicPr>
                  <pic:blipFill>
                    <a:blip r:embed="rId21"/>
                    <a:srcRect t="4463"/>
                    <a:stretch>
                      <a:fillRect/>
                    </a:stretch>
                  </pic:blipFill>
                  <pic:spPr>
                    <a:xfrm>
                      <a:off x="0" y="0"/>
                      <a:ext cx="4504055" cy="3044190"/>
                    </a:xfrm>
                    <a:prstGeom prst="rect">
                      <a:avLst/>
                    </a:prstGeom>
                    <a:noFill/>
                    <a:ln w="9525">
                      <a:noFill/>
                    </a:ln>
                  </pic:spPr>
                </pic:pic>
              </a:graphicData>
            </a:graphic>
          </wp:inline>
        </w:drawing>
      </w:r>
    </w:p>
    <w:p w14:paraId="74C7505B">
      <w:pPr>
        <w:spacing w:after="0" w:line="288" w:lineRule="auto"/>
        <w:ind w:firstLine="420" w:firstLineChars="200"/>
        <w:jc w:val="center"/>
        <w:rPr>
          <w:rFonts w:ascii="微软雅黑" w:hAnsi="微软雅黑" w:cs="微软雅黑"/>
          <w:sz w:val="21"/>
          <w:szCs w:val="21"/>
        </w:rPr>
      </w:pPr>
      <w:r>
        <w:rPr>
          <w:rFonts w:hint="eastAsia" w:ascii="微软雅黑" w:hAnsi="微软雅黑" w:cs="微软雅黑"/>
          <w:sz w:val="21"/>
          <w:szCs w:val="21"/>
        </w:rPr>
        <w:t>图1 子宫内膜癌四种新基因组类别分子和基因组异质性</w:t>
      </w:r>
    </w:p>
    <w:p w14:paraId="7DCCCB91">
      <w:pPr>
        <w:adjustRightInd/>
        <w:snapToGrid/>
        <w:spacing w:after="0"/>
        <w:ind w:firstLine="420" w:firstLineChars="200"/>
        <w:jc w:val="both"/>
        <w:rPr>
          <w:rFonts w:ascii="微软雅黑" w:hAnsi="微软雅黑"/>
          <w:kern w:val="2"/>
          <w:sz w:val="21"/>
          <w:szCs w:val="21"/>
        </w:rPr>
      </w:pPr>
      <w:r>
        <w:rPr>
          <w:rFonts w:hint="eastAsia" w:ascii="微软雅黑" w:hAnsi="微软雅黑"/>
          <w:kern w:val="2"/>
          <w:sz w:val="21"/>
          <w:szCs w:val="21"/>
        </w:rPr>
        <w:t>2022子宫肿瘤NCCN指出，根据POLE基因突变、错配修复（MMR）/MSI和p53表达确定的4种不同的临床预后的临床重要分子亚型，其判断流程图3，携带POLE基因热点突变的患者，多为子宫内膜样癌，同时包含一部分透明细胞癌，该类患者属于POLE超突变型，该类患者对于PD-1/PD-L1免疫检查点抑制剂敏感，预后较好。不携带POLE基因热点突变的患者推荐继续进行DNA MMR蛋白/微卫星不稳定性（MSI）检测，MSI-H的患者为MSI高突变型，该类患者多为子宫内膜样癌，同时包含一部分透明细胞癌，该类患者对于PD-1/PD-L1免疫检查点抑制剂敏感，预后居中。不携带POLE基因热点突变且微卫星稳定型（</w:t>
      </w:r>
      <w:r>
        <w:rPr>
          <w:rFonts w:ascii="微软雅黑" w:hAnsi="微软雅黑"/>
          <w:kern w:val="2"/>
          <w:sz w:val="21"/>
          <w:szCs w:val="21"/>
        </w:rPr>
        <w:t>MSS</w:t>
      </w:r>
      <w:r>
        <w:rPr>
          <w:rFonts w:hint="eastAsia" w:ascii="微软雅黑" w:hAnsi="微软雅黑"/>
          <w:kern w:val="2"/>
          <w:sz w:val="21"/>
          <w:szCs w:val="21"/>
        </w:rPr>
        <w:t>）患者继续进行TP53基因</w:t>
      </w:r>
      <w:bookmarkStart w:id="43" w:name="OLE_LINK4"/>
      <w:bookmarkStart w:id="44" w:name="OLE_LINK6"/>
      <w:r>
        <w:rPr>
          <w:rFonts w:hint="eastAsia" w:ascii="微软雅黑" w:hAnsi="微软雅黑"/>
          <w:kern w:val="2"/>
          <w:sz w:val="21"/>
          <w:szCs w:val="21"/>
        </w:rPr>
        <w:t>突变</w:t>
      </w:r>
      <w:bookmarkEnd w:id="43"/>
      <w:bookmarkEnd w:id="44"/>
      <w:r>
        <w:rPr>
          <w:rFonts w:hint="eastAsia" w:ascii="微软雅黑" w:hAnsi="微软雅黑"/>
          <w:kern w:val="2"/>
          <w:sz w:val="21"/>
          <w:szCs w:val="21"/>
        </w:rPr>
        <w:t>及拷贝数检测，TP53基因拷贝数正常的患者，多为子宫内膜样癌，同时包含一部分透明细胞癌，属于低拷贝数型，预后居中；TP53基因突变及拷贝数扩增的患者，浆液性癌概率大于子宫内膜样癌，该类患者预后较差</w:t>
      </w:r>
      <w:r>
        <w:rPr>
          <w:rFonts w:hint="eastAsia" w:ascii="微软雅黑" w:hAnsi="微软雅黑"/>
          <w:kern w:val="2"/>
          <w:sz w:val="21"/>
          <w:szCs w:val="21"/>
          <w:vertAlign w:val="superscript"/>
        </w:rPr>
        <w:t>[6,7]</w:t>
      </w:r>
      <w:r>
        <w:rPr>
          <w:rFonts w:hint="eastAsia" w:ascii="微软雅黑" w:hAnsi="微软雅黑"/>
          <w:kern w:val="2"/>
          <w:sz w:val="21"/>
          <w:szCs w:val="21"/>
        </w:rPr>
        <w:t>。</w:t>
      </w:r>
    </w:p>
    <w:p w14:paraId="5B265C48">
      <w:pPr>
        <w:adjustRightInd/>
        <w:snapToGrid/>
        <w:spacing w:after="0"/>
        <w:ind w:firstLine="440" w:firstLineChars="200"/>
        <w:jc w:val="center"/>
        <w:rPr>
          <w:rFonts w:ascii="微软雅黑" w:hAnsi="微软雅黑"/>
          <w:kern w:val="2"/>
          <w:sz w:val="21"/>
          <w:szCs w:val="21"/>
        </w:rPr>
      </w:pPr>
      <w:r>
        <w:drawing>
          <wp:inline distT="0" distB="0" distL="114300" distR="114300">
            <wp:extent cx="4091305" cy="2879725"/>
            <wp:effectExtent l="0" t="0" r="4445" b="15875"/>
            <wp:docPr id="1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图片 1"/>
                    <pic:cNvPicPr>
                      <a:picLocks noChangeAspect="1"/>
                    </pic:cNvPicPr>
                  </pic:nvPicPr>
                  <pic:blipFill>
                    <a:blip r:embed="rId22"/>
                    <a:stretch>
                      <a:fillRect/>
                    </a:stretch>
                  </pic:blipFill>
                  <pic:spPr>
                    <a:xfrm>
                      <a:off x="0" y="0"/>
                      <a:ext cx="4091305" cy="2879725"/>
                    </a:xfrm>
                    <a:prstGeom prst="rect">
                      <a:avLst/>
                    </a:prstGeom>
                    <a:noFill/>
                    <a:ln>
                      <a:noFill/>
                    </a:ln>
                  </pic:spPr>
                </pic:pic>
              </a:graphicData>
            </a:graphic>
          </wp:inline>
        </w:drawing>
      </w:r>
    </w:p>
    <w:p w14:paraId="268545AF">
      <w:pPr>
        <w:adjustRightInd/>
        <w:snapToGrid/>
        <w:spacing w:after="0"/>
        <w:ind w:firstLine="420" w:firstLineChars="200"/>
        <w:jc w:val="center"/>
        <w:rPr>
          <w:rFonts w:ascii="微软雅黑" w:hAnsi="微软雅黑"/>
          <w:kern w:val="2"/>
          <w:sz w:val="21"/>
          <w:szCs w:val="21"/>
        </w:rPr>
      </w:pPr>
      <w:r>
        <w:rPr>
          <w:rFonts w:hint="eastAsia" w:ascii="微软雅黑" w:hAnsi="微软雅黑"/>
          <w:kern w:val="2"/>
          <w:sz w:val="21"/>
          <w:szCs w:val="21"/>
        </w:rPr>
        <w:t>图3 子宫内膜癌分子分析检测与判断标准</w:t>
      </w:r>
    </w:p>
    <w:p w14:paraId="2CBD2852">
      <w:pPr>
        <w:pStyle w:val="50"/>
        <w:numPr>
          <w:ilvl w:val="255"/>
          <w:numId w:val="0"/>
        </w:numPr>
        <w:spacing w:after="0"/>
        <w:ind w:firstLine="420" w:firstLineChars="200"/>
        <w:jc w:val="both"/>
        <w:rPr>
          <w:rFonts w:ascii="微软雅黑" w:hAnsi="微软雅黑"/>
          <w:kern w:val="2"/>
          <w:sz w:val="21"/>
          <w:szCs w:val="21"/>
        </w:rPr>
      </w:pPr>
      <w:r>
        <w:rPr>
          <w:rFonts w:hint="eastAsia" w:ascii="微软雅黑" w:hAnsi="微软雅黑"/>
          <w:kern w:val="2"/>
          <w:sz w:val="21"/>
          <w:szCs w:val="21"/>
        </w:rPr>
        <w:t>2020年世界卫生组织（WHO）对子宫内膜癌病理学类型进行了修订，并整合了子宫内膜癌的分子分型。子宫内膜样癌非特指型（non otherwise-specified，NOS）：POLE超突变型内膜样癌（POLE-ultramutated endometrioid carcinoma）、错配修复缺陷型内膜样癌（mismatch repair-deficient endometrioid carcinoma）、p53突变型内膜样癌（p53-mutated endometrioid carcinoma）、无特异性分子谱的内膜样癌（no-specific molecular profile endometrioid carcinoma）</w:t>
      </w:r>
      <w:r>
        <w:rPr>
          <w:rFonts w:hint="eastAsia" w:ascii="微软雅黑" w:hAnsi="微软雅黑"/>
          <w:kern w:val="2"/>
          <w:sz w:val="21"/>
          <w:szCs w:val="21"/>
          <w:vertAlign w:val="superscript"/>
        </w:rPr>
        <w:t>[9]</w:t>
      </w:r>
      <w:r>
        <w:rPr>
          <w:rFonts w:hint="eastAsia" w:ascii="微软雅黑" w:hAnsi="微软雅黑"/>
          <w:kern w:val="2"/>
          <w:sz w:val="21"/>
          <w:szCs w:val="21"/>
        </w:rPr>
        <w:t>。</w:t>
      </w:r>
    </w:p>
    <w:p w14:paraId="48352011">
      <w:pPr>
        <w:pStyle w:val="50"/>
        <w:spacing w:before="200"/>
        <w:ind w:firstLine="0" w:firstLineChars="0"/>
        <w:rPr>
          <w:rFonts w:ascii="微软雅黑" w:hAnsi="微软雅黑"/>
          <w:b/>
          <w:sz w:val="24"/>
          <w:szCs w:val="24"/>
        </w:rPr>
      </w:pPr>
      <w:r>
        <w:rPr>
          <w:rFonts w:hint="eastAsia" w:ascii="微软雅黑" w:hAnsi="微软雅黑"/>
          <w:b/>
          <w:sz w:val="24"/>
          <w:szCs w:val="24"/>
        </w:rPr>
        <w:t>各分型重要突变简述</w:t>
      </w:r>
    </w:p>
    <w:p w14:paraId="17547AE2">
      <w:pPr>
        <w:pStyle w:val="50"/>
        <w:spacing w:after="0" w:line="288" w:lineRule="auto"/>
        <w:ind w:firstLine="0" w:firstLineChars="0"/>
        <w:jc w:val="both"/>
        <w:rPr>
          <w:rFonts w:ascii="微软雅黑" w:hAnsi="微软雅黑" w:cs="微软雅黑"/>
          <w:b/>
          <w:bCs/>
          <w:sz w:val="21"/>
          <w:szCs w:val="21"/>
        </w:rPr>
      </w:pPr>
      <w:r>
        <w:rPr>
          <w:rFonts w:hint="eastAsia" w:ascii="微软雅黑" w:hAnsi="微软雅黑" w:cs="微软雅黑"/>
          <w:b/>
          <w:bCs/>
          <w:sz w:val="21"/>
          <w:szCs w:val="21"/>
        </w:rPr>
        <w:t>1 POLE超突变型</w:t>
      </w:r>
    </w:p>
    <w:p w14:paraId="09BDB50D">
      <w:pPr>
        <w:pStyle w:val="50"/>
        <w:spacing w:after="0"/>
        <w:jc w:val="both"/>
        <w:rPr>
          <w:rFonts w:ascii="微软雅黑" w:hAnsi="微软雅黑"/>
          <w:kern w:val="2"/>
          <w:sz w:val="21"/>
          <w:szCs w:val="21"/>
        </w:rPr>
      </w:pPr>
      <w:r>
        <w:rPr>
          <w:rFonts w:hint="eastAsia" w:ascii="微软雅黑" w:hAnsi="微软雅黑"/>
          <w:kern w:val="2"/>
          <w:sz w:val="21"/>
          <w:szCs w:val="21"/>
        </w:rPr>
        <w:t>POLE超突变型常见于7%的子宫内膜癌，均为微卫星稳定病例。研究表明POLE突变是各级子宫内膜癌预后良好的独立因素</w:t>
      </w:r>
      <w:r>
        <w:rPr>
          <w:rFonts w:hint="eastAsia" w:ascii="微软雅黑" w:hAnsi="微软雅黑"/>
          <w:kern w:val="2"/>
          <w:sz w:val="21"/>
          <w:szCs w:val="21"/>
          <w:vertAlign w:val="superscript"/>
        </w:rPr>
        <w:t>[2,7]</w:t>
      </w:r>
      <w:r>
        <w:rPr>
          <w:rFonts w:hint="eastAsia" w:ascii="微软雅黑" w:hAnsi="微软雅黑"/>
          <w:kern w:val="2"/>
          <w:sz w:val="21"/>
          <w:szCs w:val="21"/>
        </w:rPr>
        <w:t>。POLE型内膜癌特点为：有POLE核酸外切酶区域发生高变异率和热点突变，低体细胞拷贝数（SCNAs），非常高的基因突变率，PTEN、PIK3R1、PIK3CA、FBXW7、KRAS突变频率高、预后较其它分型好。</w:t>
      </w:r>
    </w:p>
    <w:p w14:paraId="3A77EE0B">
      <w:pPr>
        <w:pStyle w:val="50"/>
        <w:spacing w:after="0" w:line="288" w:lineRule="auto"/>
        <w:ind w:firstLine="0" w:firstLineChars="0"/>
        <w:jc w:val="both"/>
        <w:rPr>
          <w:rFonts w:ascii="微软雅黑" w:hAnsi="微软雅黑" w:cs="微软雅黑"/>
          <w:b/>
          <w:bCs/>
          <w:sz w:val="21"/>
          <w:szCs w:val="21"/>
        </w:rPr>
      </w:pPr>
      <w:r>
        <w:rPr>
          <w:rFonts w:hint="eastAsia" w:ascii="微软雅黑" w:hAnsi="微软雅黑" w:cs="微软雅黑"/>
          <w:b/>
          <w:bCs/>
          <w:sz w:val="21"/>
          <w:szCs w:val="21"/>
        </w:rPr>
        <w:t>2 MSI高突变型</w:t>
      </w:r>
    </w:p>
    <w:p w14:paraId="47361291">
      <w:pPr>
        <w:pStyle w:val="50"/>
        <w:spacing w:after="0"/>
        <w:jc w:val="both"/>
        <w:rPr>
          <w:rFonts w:ascii="微软雅黑" w:hAnsi="微软雅黑"/>
          <w:kern w:val="2"/>
          <w:sz w:val="21"/>
          <w:szCs w:val="21"/>
        </w:rPr>
      </w:pPr>
      <w:r>
        <w:rPr>
          <w:rFonts w:hint="eastAsia" w:ascii="微软雅黑" w:hAnsi="微软雅黑"/>
          <w:kern w:val="2"/>
          <w:sz w:val="21"/>
          <w:szCs w:val="21"/>
        </w:rPr>
        <w:t>MSI高突变型在子宫内膜样癌组织中表现更为明显，并通常预示更好的临床分期。MSI型内膜癌特点为MLH1启动子甲基化导致MSI，高基因突变率（较MSS肿瘤高出10倍左右），低SCNAs，RPL22移码缺失，KRAS、PTEN高突变率。</w:t>
      </w:r>
    </w:p>
    <w:p w14:paraId="42942503">
      <w:pPr>
        <w:pStyle w:val="50"/>
        <w:spacing w:after="0" w:line="288" w:lineRule="auto"/>
        <w:ind w:firstLine="0" w:firstLineChars="0"/>
        <w:jc w:val="both"/>
        <w:rPr>
          <w:rFonts w:ascii="微软雅黑" w:hAnsi="微软雅黑" w:cs="微软雅黑"/>
          <w:b/>
          <w:bCs/>
          <w:sz w:val="21"/>
          <w:szCs w:val="21"/>
        </w:rPr>
      </w:pPr>
      <w:r>
        <w:rPr>
          <w:rFonts w:hint="eastAsia" w:ascii="微软雅黑" w:hAnsi="微软雅黑" w:cs="微软雅黑"/>
          <w:b/>
          <w:bCs/>
          <w:sz w:val="21"/>
          <w:szCs w:val="21"/>
        </w:rPr>
        <w:t>3 低拷贝数型</w:t>
      </w:r>
    </w:p>
    <w:p w14:paraId="007FBD73">
      <w:pPr>
        <w:pStyle w:val="50"/>
        <w:spacing w:after="0"/>
        <w:jc w:val="both"/>
        <w:rPr>
          <w:rFonts w:ascii="微软雅黑" w:hAnsi="微软雅黑"/>
          <w:kern w:val="2"/>
          <w:sz w:val="21"/>
          <w:szCs w:val="21"/>
        </w:rPr>
      </w:pPr>
      <w:r>
        <w:rPr>
          <w:rFonts w:hint="eastAsia" w:ascii="微软雅黑" w:hAnsi="微软雅黑"/>
          <w:kern w:val="2"/>
          <w:sz w:val="21"/>
          <w:szCs w:val="21"/>
        </w:rPr>
        <w:t>低拷贝数型在肿瘤中广泛存在，通过分析SCNAs可能找出新的肿瘤驱动基因，某种肿瘤重要的SCNAs通常也存在于其它类型肿瘤。低拷贝数型子宫内膜癌包括分级为1～2级、微卫星稳定的内膜样癌，基因突变率低，CTNNB1变异频率非常高（52%）。</w:t>
      </w:r>
    </w:p>
    <w:p w14:paraId="1C0277A4">
      <w:pPr>
        <w:pStyle w:val="50"/>
        <w:spacing w:after="0" w:line="288" w:lineRule="auto"/>
        <w:ind w:firstLine="0" w:firstLineChars="0"/>
        <w:jc w:val="both"/>
        <w:rPr>
          <w:rFonts w:ascii="微软雅黑" w:hAnsi="微软雅黑" w:cs="微软雅黑"/>
          <w:b/>
          <w:bCs/>
          <w:sz w:val="21"/>
          <w:szCs w:val="21"/>
        </w:rPr>
      </w:pPr>
      <w:r>
        <w:rPr>
          <w:rFonts w:hint="eastAsia" w:ascii="微软雅黑" w:hAnsi="微软雅黑" w:cs="微软雅黑"/>
          <w:b/>
          <w:bCs/>
          <w:sz w:val="21"/>
          <w:szCs w:val="21"/>
        </w:rPr>
        <w:t>4 高拷贝数型</w:t>
      </w:r>
    </w:p>
    <w:p w14:paraId="2F0A333F">
      <w:pPr>
        <w:ind w:firstLine="420" w:firstLineChars="200"/>
        <w:jc w:val="both"/>
        <w:rPr>
          <w:rFonts w:ascii="微软雅黑" w:hAnsi="微软雅黑"/>
          <w:kern w:val="2"/>
          <w:sz w:val="21"/>
          <w:szCs w:val="21"/>
        </w:rPr>
      </w:pPr>
      <w:r>
        <w:rPr>
          <w:rFonts w:hint="eastAsia" w:ascii="微软雅黑" w:hAnsi="微软雅黑"/>
          <w:kern w:val="2"/>
          <w:sz w:val="21"/>
          <w:szCs w:val="21"/>
        </w:rPr>
        <w:t>该类型包括所有的浆液性癌和1/4组织学上3级内膜样癌，其分子特点包括：高SCNAs，低基因突变率。在该型内膜癌中绝大部分病例有TP53 突变（90%），FBXW7 和 PPP2R1A 也均达到22%，罕见的PTEN及KRAS突变，预后较其它分型差。说明该分类中的内膜样癌有着与浆液性癌相近突变基因谱系，对这些病例采用与浆液性癌相似的治疗手段可能会使患者更加受益</w:t>
      </w:r>
      <w:r>
        <w:rPr>
          <w:rFonts w:hint="eastAsia" w:ascii="微软雅黑" w:hAnsi="微软雅黑"/>
          <w:kern w:val="2"/>
          <w:sz w:val="21"/>
          <w:szCs w:val="21"/>
          <w:vertAlign w:val="superscript"/>
        </w:rPr>
        <w:t>[10]</w:t>
      </w:r>
      <w:r>
        <w:rPr>
          <w:rFonts w:hint="eastAsia" w:ascii="微软雅黑" w:hAnsi="微软雅黑"/>
          <w:kern w:val="2"/>
          <w:sz w:val="21"/>
          <w:szCs w:val="21"/>
        </w:rPr>
        <w:t>。</w:t>
      </w:r>
    </w:p>
    <w:p w14:paraId="6ED608DB">
      <w:pPr>
        <w:spacing w:after="0"/>
        <w:jc w:val="center"/>
        <w:rPr>
          <w:rFonts w:ascii="微软雅黑" w:hAnsi="微软雅黑"/>
          <w:kern w:val="2"/>
          <w:sz w:val="21"/>
          <w:szCs w:val="21"/>
        </w:rPr>
      </w:pPr>
      <w:r>
        <w:drawing>
          <wp:inline distT="0" distB="0" distL="0" distR="0">
            <wp:extent cx="5267325" cy="2409825"/>
            <wp:effectExtent l="0" t="0" r="9525" b="9525"/>
            <wp:docPr id="1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图片 1"/>
                    <pic:cNvPicPr>
                      <a:picLocks noChangeAspect="1"/>
                    </pic:cNvPicPr>
                  </pic:nvPicPr>
                  <pic:blipFill>
                    <a:blip r:embed="rId23"/>
                    <a:stretch>
                      <a:fillRect/>
                    </a:stretch>
                  </pic:blipFill>
                  <pic:spPr>
                    <a:xfrm>
                      <a:off x="0" y="0"/>
                      <a:ext cx="5267325" cy="2409825"/>
                    </a:xfrm>
                    <a:prstGeom prst="rect">
                      <a:avLst/>
                    </a:prstGeom>
                  </pic:spPr>
                </pic:pic>
              </a:graphicData>
            </a:graphic>
          </wp:inline>
        </w:drawing>
      </w:r>
    </w:p>
    <w:p w14:paraId="3E9A761A">
      <w:pPr>
        <w:spacing w:after="0"/>
        <w:jc w:val="center"/>
        <w:rPr>
          <w:rFonts w:ascii="微软雅黑" w:hAnsi="微软雅黑"/>
          <w:kern w:val="2"/>
          <w:sz w:val="21"/>
          <w:szCs w:val="21"/>
        </w:rPr>
      </w:pPr>
      <w:r>
        <w:rPr>
          <w:rFonts w:hint="eastAsia" w:ascii="微软雅黑" w:hAnsi="微软雅黑"/>
          <w:kern w:val="2"/>
          <w:sz w:val="21"/>
          <w:szCs w:val="21"/>
        </w:rPr>
        <w:t>图4 各分型基因突变频率</w:t>
      </w:r>
      <w:r>
        <w:rPr>
          <w:rFonts w:hint="eastAsia" w:ascii="微软雅黑" w:hAnsi="微软雅黑"/>
          <w:kern w:val="2"/>
          <w:sz w:val="21"/>
          <w:szCs w:val="21"/>
          <w:vertAlign w:val="superscript"/>
        </w:rPr>
        <w:t>[8]</w:t>
      </w:r>
    </w:p>
    <w:p w14:paraId="76AF7FB3">
      <w:pPr>
        <w:spacing w:before="200"/>
        <w:rPr>
          <w:rFonts w:ascii="微软雅黑" w:hAnsi="微软雅黑"/>
          <w:b/>
          <w:sz w:val="28"/>
          <w:szCs w:val="28"/>
        </w:rPr>
      </w:pPr>
      <w:r>
        <w:rPr>
          <w:rFonts w:hint="eastAsia" w:ascii="微软雅黑" w:hAnsi="微软雅黑"/>
          <w:b/>
          <w:sz w:val="28"/>
          <w:szCs w:val="28"/>
        </w:rPr>
        <w:t>1.3 林奇综合征与子宫内膜癌</w:t>
      </w:r>
    </w:p>
    <w:p w14:paraId="0648F848">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林奇综合征（Lynch Syndrome，LS）是一种常染色体显性遗传性癌症易感性综合征，既往被称为遗传性非息肉病性结直肠癌（hereditary non-polyposis colorectal cancer，HNPCC）。通常，林奇综合征的患者患多种肿瘤的风险增加，包括结直肠癌、子宫内膜癌、卵巢癌、胃癌、泌尿系统肿瘤、脑胶质瘤、消化系统肿瘤（胆囊、胆道、胰腺、小肠）等。因此，在患有林奇综合征的家族中，子宫内膜癌和卵巢癌可以视为“前哨”肿瘤，提示患者存在并发更多肿瘤的可能。</w:t>
      </w:r>
    </w:p>
    <w:p w14:paraId="11467828">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一般人群中，女性发生子宫内膜癌的终生风险是3%，而因基因突变患有林奇综合征的女性，发生子宫内膜癌的风险是27%-71%</w:t>
      </w:r>
      <w:r>
        <w:rPr>
          <w:rFonts w:hint="eastAsia" w:ascii="微软雅黑" w:hAnsi="微软雅黑"/>
          <w:kern w:val="2"/>
          <w:sz w:val="21"/>
          <w:szCs w:val="21"/>
          <w:vertAlign w:val="superscript"/>
        </w:rPr>
        <w:t>[11]</w:t>
      </w:r>
      <w:r>
        <w:rPr>
          <w:rFonts w:hint="eastAsia" w:ascii="微软雅黑" w:hAnsi="微软雅黑"/>
          <w:kern w:val="2"/>
          <w:sz w:val="21"/>
          <w:szCs w:val="21"/>
        </w:rPr>
        <w:t>。与患子宫内膜癌女性的平均发病年龄（大于60岁）相比，患有林奇综合征的女性发生子宫内膜癌的年龄多在46-54岁，小于40岁女性中有20%诊断患有林奇综合征</w:t>
      </w:r>
      <w:r>
        <w:rPr>
          <w:rFonts w:hint="eastAsia" w:ascii="微软雅黑" w:hAnsi="微软雅黑"/>
          <w:kern w:val="2"/>
          <w:sz w:val="21"/>
          <w:szCs w:val="21"/>
          <w:vertAlign w:val="superscript"/>
        </w:rPr>
        <w:t>[11]</w:t>
      </w:r>
      <w:r>
        <w:rPr>
          <w:rFonts w:hint="eastAsia" w:ascii="微软雅黑" w:hAnsi="微软雅黑"/>
          <w:kern w:val="2"/>
          <w:sz w:val="21"/>
          <w:szCs w:val="21"/>
        </w:rPr>
        <w:t>。从临床表现看，林奇综合征相关的子宫内膜癌与常见的散发子宫内膜癌的表现相似。但是就组织学特点而言，林奇综合征相关的子宫内膜癌有显著的自身特点，总的来说包括以下3点：</w:t>
      </w:r>
    </w:p>
    <w:p w14:paraId="4101B35D">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（1）组织学上呈现多样化，包括子宫内膜样与非子宫内膜样的组织类型。其中透明细胞癌、子宫内膜浆液性癌、未分化癌、癌肉瘤属于非子宫内膜样的林奇综合征相关的子宫内膜癌</w:t>
      </w:r>
      <w:r>
        <w:rPr>
          <w:rFonts w:hint="eastAsia" w:ascii="微软雅黑" w:hAnsi="微软雅黑"/>
          <w:kern w:val="2"/>
          <w:sz w:val="21"/>
          <w:szCs w:val="21"/>
          <w:vertAlign w:val="superscript"/>
        </w:rPr>
        <w:t>[12-14]</w:t>
      </w:r>
      <w:r>
        <w:rPr>
          <w:rFonts w:hint="eastAsia" w:ascii="微软雅黑" w:hAnsi="微软雅黑"/>
          <w:kern w:val="2"/>
          <w:sz w:val="21"/>
          <w:szCs w:val="21"/>
        </w:rPr>
        <w:t>，但子宫内膜浆液性癌较少见</w:t>
      </w:r>
      <w:r>
        <w:rPr>
          <w:rFonts w:hint="eastAsia" w:ascii="微软雅黑" w:hAnsi="微软雅黑"/>
          <w:kern w:val="2"/>
          <w:sz w:val="21"/>
          <w:szCs w:val="21"/>
          <w:vertAlign w:val="superscript"/>
        </w:rPr>
        <w:t>[15]</w:t>
      </w:r>
      <w:r>
        <w:rPr>
          <w:rFonts w:hint="eastAsia" w:ascii="微软雅黑" w:hAnsi="微软雅黑"/>
          <w:kern w:val="2"/>
          <w:sz w:val="21"/>
          <w:szCs w:val="21"/>
        </w:rPr>
        <w:t>。相反，那些由于MLH1甲基化引起微卫星不稳定而导致的散发子宫内膜癌多是子宫内模样的组织类型，尤其是国际妇产科联盟（FIGO）分期中的II期和III期，发生率可达96%</w:t>
      </w:r>
      <w:r>
        <w:rPr>
          <w:rFonts w:hint="eastAsia" w:ascii="微软雅黑" w:hAnsi="微软雅黑"/>
          <w:kern w:val="2"/>
          <w:sz w:val="21"/>
          <w:szCs w:val="21"/>
          <w:vertAlign w:val="superscript"/>
        </w:rPr>
        <w:t>[13]</w:t>
      </w:r>
      <w:r>
        <w:rPr>
          <w:rFonts w:hint="eastAsia" w:ascii="微软雅黑" w:hAnsi="微软雅黑"/>
          <w:kern w:val="2"/>
          <w:sz w:val="21"/>
          <w:szCs w:val="21"/>
        </w:rPr>
        <w:t>。</w:t>
      </w:r>
    </w:p>
    <w:p w14:paraId="771B6EE3">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（2）由于高度的微卫星不稳定，其微观特点包括分化差、黏液样分化、印戒细胞样分化、混杂的肿瘤组织、肿瘤细胞以骨髓胶质类型生长、肿瘤易于浸润淋巴结、肿瘤在向周围及深部进展时表现出 Crohn 样的炎症浸润</w:t>
      </w:r>
      <w:r>
        <w:rPr>
          <w:rFonts w:hint="eastAsia" w:ascii="微软雅黑" w:hAnsi="微软雅黑"/>
          <w:kern w:val="2"/>
          <w:sz w:val="21"/>
          <w:szCs w:val="21"/>
          <w:vertAlign w:val="superscript"/>
        </w:rPr>
        <w:t>[16]</w:t>
      </w:r>
      <w:r>
        <w:rPr>
          <w:rFonts w:hint="eastAsia" w:ascii="微软雅黑" w:hAnsi="微软雅黑"/>
          <w:kern w:val="2"/>
          <w:sz w:val="21"/>
          <w:szCs w:val="21"/>
        </w:rPr>
        <w:t>。</w:t>
      </w:r>
    </w:p>
    <w:p w14:paraId="60356CED">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（3）林奇综合征相关的子宫内膜癌多位于子宫下段。研究表明发生于子宫下段的肿瘤，34%都表现为较高的微卫星不稳定水平，而这其中29%证实是来自患有林奇综合征的女性</w:t>
      </w:r>
      <w:r>
        <w:rPr>
          <w:rFonts w:hint="eastAsia" w:ascii="微软雅黑" w:hAnsi="微软雅黑"/>
          <w:kern w:val="2"/>
          <w:sz w:val="21"/>
          <w:szCs w:val="21"/>
          <w:vertAlign w:val="superscript"/>
        </w:rPr>
        <w:t>[17]</w:t>
      </w:r>
      <w:r>
        <w:rPr>
          <w:rFonts w:hint="eastAsia" w:ascii="微软雅黑" w:hAnsi="微软雅黑"/>
          <w:kern w:val="2"/>
          <w:sz w:val="21"/>
          <w:szCs w:val="21"/>
        </w:rPr>
        <w:t>。从基因学角度分析，多是由于MSH2基因突变引起</w:t>
      </w:r>
      <w:r>
        <w:rPr>
          <w:rFonts w:hint="eastAsia" w:ascii="微软雅黑" w:hAnsi="微软雅黑"/>
          <w:kern w:val="2"/>
          <w:sz w:val="21"/>
          <w:szCs w:val="21"/>
          <w:vertAlign w:val="superscript"/>
        </w:rPr>
        <w:t>[18]</w:t>
      </w:r>
      <w:r>
        <w:rPr>
          <w:rFonts w:hint="eastAsia" w:ascii="微软雅黑" w:hAnsi="微软雅黑"/>
          <w:kern w:val="2"/>
          <w:sz w:val="21"/>
          <w:szCs w:val="21"/>
        </w:rPr>
        <w:t>。另外，在林奇综合征患者中，单纯增生与伴有或不伴有不典型增生的复杂增生都属于子宫内膜癌的癌前病变</w:t>
      </w:r>
      <w:r>
        <w:rPr>
          <w:rFonts w:hint="eastAsia" w:ascii="微软雅黑" w:hAnsi="微软雅黑"/>
          <w:kern w:val="2"/>
          <w:sz w:val="21"/>
          <w:szCs w:val="21"/>
          <w:vertAlign w:val="superscript"/>
        </w:rPr>
        <w:t>[19]</w:t>
      </w:r>
      <w:r>
        <w:rPr>
          <w:rFonts w:hint="eastAsia" w:ascii="微软雅黑" w:hAnsi="微软雅黑"/>
          <w:kern w:val="2"/>
          <w:sz w:val="21"/>
          <w:szCs w:val="21"/>
        </w:rPr>
        <w:t>。</w:t>
      </w:r>
    </w:p>
    <w:p w14:paraId="01FF5803">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基于对筛查费用问题的考虑，在权衡了可能的费用和效益的情况下，目前形成了4种筛查策略：</w:t>
      </w:r>
    </w:p>
    <w:p w14:paraId="1C97A109">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（1）对符合阿姆斯特丹标准的女性进行全基因测序；</w:t>
      </w:r>
    </w:p>
    <w:p w14:paraId="2C23493F">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（2）对所有患子宫内膜癌患者进行全基因测序；</w:t>
      </w:r>
    </w:p>
    <w:p w14:paraId="314131AB">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（3）对60岁以下患有子宫内膜癌的女性进行全基因测序；</w:t>
      </w:r>
    </w:p>
    <w:p w14:paraId="00151F15">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（4）对所有女性进行免疫组织化学分析，如果蛋白表达缺失，则进行单基因测序。其中第4种策略是成本效果最高的方案</w:t>
      </w:r>
      <w:r>
        <w:rPr>
          <w:rFonts w:hint="eastAsia" w:ascii="微软雅黑" w:hAnsi="微软雅黑"/>
          <w:kern w:val="2"/>
          <w:sz w:val="21"/>
          <w:szCs w:val="21"/>
          <w:vertAlign w:val="superscript"/>
        </w:rPr>
        <w:t>[20]</w:t>
      </w:r>
      <w:r>
        <w:rPr>
          <w:rFonts w:hint="eastAsia" w:ascii="微软雅黑" w:hAnsi="微软雅黑"/>
          <w:kern w:val="2"/>
          <w:sz w:val="21"/>
          <w:szCs w:val="21"/>
        </w:rPr>
        <w:t>。</w:t>
      </w:r>
    </w:p>
    <w:p w14:paraId="0C7627EE">
      <w:pPr>
        <w:spacing w:after="0"/>
        <w:ind w:firstLine="420" w:firstLineChars="200"/>
        <w:jc w:val="both"/>
        <w:rPr>
          <w:rFonts w:ascii="微软雅黑" w:hAnsi="微软雅黑"/>
          <w:kern w:val="2"/>
          <w:sz w:val="21"/>
          <w:szCs w:val="21"/>
        </w:rPr>
      </w:pPr>
      <w:r>
        <w:rPr>
          <w:rFonts w:hint="eastAsia" w:ascii="微软雅黑" w:hAnsi="微软雅黑"/>
          <w:kern w:val="2"/>
          <w:sz w:val="21"/>
          <w:szCs w:val="21"/>
        </w:rPr>
        <w:t>综上，对以子宫内膜癌为首发肿瘤的林奇综合征患者，免疫组织化学分析是一种简易、快速、节约的初筛手段。然而，当发现蛋白表达缺失时，基因检测将是最佳选择。</w:t>
      </w:r>
    </w:p>
    <w:p w14:paraId="1559463B">
      <w:pPr>
        <w:spacing w:after="0"/>
        <w:rPr>
          <w:rFonts w:ascii="微软雅黑" w:hAnsi="微软雅黑"/>
          <w:b/>
          <w:kern w:val="2"/>
          <w:sz w:val="21"/>
          <w:szCs w:val="21"/>
        </w:rPr>
      </w:pPr>
    </w:p>
    <w:p w14:paraId="509E9BDE">
      <w:pPr>
        <w:spacing w:after="0"/>
        <w:rPr>
          <w:rFonts w:ascii="微软雅黑" w:hAnsi="微软雅黑"/>
          <w:b/>
          <w:kern w:val="2"/>
          <w:sz w:val="21"/>
          <w:szCs w:val="21"/>
        </w:rPr>
      </w:pPr>
      <w:r>
        <w:rPr>
          <w:rFonts w:hint="eastAsia" w:ascii="微软雅黑" w:hAnsi="微软雅黑"/>
          <w:b/>
          <w:kern w:val="2"/>
          <w:sz w:val="21"/>
          <w:szCs w:val="21"/>
        </w:rPr>
        <w:t>参考文献：</w:t>
      </w:r>
    </w:p>
    <w:p w14:paraId="2D69822B">
      <w:pPr>
        <w:numPr>
          <w:ilvl w:val="0"/>
          <w:numId w:val="13"/>
        </w:numPr>
        <w:spacing w:after="0" w:line="288" w:lineRule="auto"/>
        <w:jc w:val="both"/>
        <w:rPr>
          <w:rFonts w:ascii="微软雅黑" w:hAnsi="微软雅黑" w:cs="微软雅黑"/>
          <w:sz w:val="18"/>
          <w:szCs w:val="18"/>
        </w:rPr>
      </w:pPr>
      <w:r>
        <w:rPr>
          <w:rFonts w:hint="eastAsia" w:ascii="微软雅黑" w:hAnsi="微软雅黑" w:cs="微软雅黑"/>
          <w:sz w:val="18"/>
          <w:szCs w:val="18"/>
        </w:rPr>
        <w:t>Bokhman J V. Two pathogenetic types of endometrial carcinoma[J]. Gynecologic Oncology, 1983, 15(1):10-17.</w:t>
      </w:r>
    </w:p>
    <w:p w14:paraId="3BD92CA6">
      <w:pPr>
        <w:numPr>
          <w:ilvl w:val="0"/>
          <w:numId w:val="13"/>
        </w:numPr>
        <w:spacing w:after="0" w:line="288" w:lineRule="auto"/>
        <w:jc w:val="both"/>
        <w:rPr>
          <w:rFonts w:ascii="微软雅黑" w:hAnsi="微软雅黑" w:cs="微软雅黑"/>
          <w:sz w:val="18"/>
          <w:szCs w:val="18"/>
        </w:rPr>
      </w:pPr>
      <w:r>
        <w:rPr>
          <w:rFonts w:hint="eastAsia" w:ascii="微软雅黑" w:hAnsi="微软雅黑" w:cs="微软雅黑"/>
          <w:sz w:val="18"/>
          <w:szCs w:val="18"/>
        </w:rPr>
        <w:t>Morice Philippe,Leary Alexandra,Creutzberg Carien et al. Endometrial cancer.[J] .Lancet, 2016, 387(10023): 1094-1108.</w:t>
      </w:r>
    </w:p>
    <w:p w14:paraId="2B3A172B">
      <w:pPr>
        <w:numPr>
          <w:ilvl w:val="0"/>
          <w:numId w:val="13"/>
        </w:numPr>
        <w:spacing w:after="0" w:line="288" w:lineRule="auto"/>
        <w:jc w:val="both"/>
        <w:rPr>
          <w:rFonts w:ascii="微软雅黑" w:hAnsi="微软雅黑" w:cs="微软雅黑"/>
          <w:sz w:val="18"/>
          <w:szCs w:val="18"/>
        </w:rPr>
      </w:pPr>
      <w:r>
        <w:rPr>
          <w:rFonts w:hint="eastAsia" w:ascii="微软雅黑" w:hAnsi="微软雅黑" w:cs="微软雅黑"/>
          <w:sz w:val="18"/>
          <w:szCs w:val="18"/>
        </w:rPr>
        <w:t>Tavassoli F. Pathology and Genetics. Tumours of the breast and female genital organs[J]. Peritoneal Tumours, 2003.</w:t>
      </w:r>
    </w:p>
    <w:p w14:paraId="7188B5AB">
      <w:pPr>
        <w:numPr>
          <w:ilvl w:val="0"/>
          <w:numId w:val="13"/>
        </w:numPr>
        <w:spacing w:after="0" w:line="288" w:lineRule="auto"/>
        <w:jc w:val="both"/>
        <w:rPr>
          <w:rFonts w:ascii="微软雅黑" w:hAnsi="微软雅黑" w:cs="微软雅黑"/>
          <w:sz w:val="18"/>
          <w:szCs w:val="18"/>
        </w:rPr>
      </w:pPr>
      <w:r>
        <w:rPr>
          <w:rFonts w:hint="eastAsia" w:ascii="微软雅黑" w:hAnsi="微软雅黑" w:cs="微软雅黑"/>
          <w:sz w:val="18"/>
          <w:szCs w:val="18"/>
        </w:rPr>
        <w:t>Kandoth C, Schultz N, Cherniack A D, et al. Integrated genomic characterization of endometrial carcinoma.[J]. Nature, 2015, 497(7447):67.</w:t>
      </w:r>
    </w:p>
    <w:p w14:paraId="44AD2F76">
      <w:pPr>
        <w:numPr>
          <w:ilvl w:val="0"/>
          <w:numId w:val="13"/>
        </w:numPr>
        <w:spacing w:after="0" w:line="288" w:lineRule="auto"/>
        <w:jc w:val="both"/>
        <w:rPr>
          <w:rFonts w:ascii="微软雅黑" w:hAnsi="微软雅黑" w:cs="微软雅黑"/>
          <w:sz w:val="18"/>
          <w:szCs w:val="18"/>
        </w:rPr>
      </w:pPr>
      <w:r>
        <w:rPr>
          <w:rFonts w:hint="eastAsia" w:ascii="微软雅黑" w:hAnsi="微软雅黑" w:cs="微软雅黑"/>
          <w:sz w:val="18"/>
          <w:szCs w:val="18"/>
        </w:rPr>
        <w:t>Dedes K J, Wetterskog D, Ashworth A, et al. Emerging therapeutic targets in endometrial cancer[J]. Nature Reviews Clinical Oncology, 2011, 8(5):261.</w:t>
      </w:r>
    </w:p>
    <w:p w14:paraId="00ACD63A">
      <w:pPr>
        <w:numPr>
          <w:ilvl w:val="0"/>
          <w:numId w:val="13"/>
        </w:numPr>
        <w:spacing w:after="0" w:line="288" w:lineRule="auto"/>
        <w:jc w:val="both"/>
        <w:rPr>
          <w:rFonts w:ascii="微软雅黑" w:hAnsi="微软雅黑" w:cs="微软雅黑"/>
          <w:sz w:val="18"/>
          <w:szCs w:val="18"/>
        </w:rPr>
      </w:pPr>
      <w:r>
        <w:rPr>
          <w:rFonts w:hint="eastAsia" w:ascii="微软雅黑" w:hAnsi="微软雅黑" w:cs="微软雅黑"/>
          <w:sz w:val="18"/>
          <w:szCs w:val="18"/>
        </w:rPr>
        <w:t>《NCCN Guidelines Version 1. 2022-Uterine Neoplasms》</w:t>
      </w:r>
    </w:p>
    <w:p w14:paraId="27120BDA">
      <w:pPr>
        <w:numPr>
          <w:ilvl w:val="0"/>
          <w:numId w:val="13"/>
        </w:numPr>
        <w:spacing w:after="0" w:line="288" w:lineRule="auto"/>
        <w:jc w:val="both"/>
        <w:rPr>
          <w:rFonts w:ascii="微软雅黑" w:hAnsi="微软雅黑" w:cs="微软雅黑"/>
          <w:sz w:val="18"/>
          <w:szCs w:val="18"/>
        </w:rPr>
      </w:pPr>
      <w:r>
        <w:rPr>
          <w:rFonts w:ascii="微软雅黑" w:hAnsi="微软雅黑" w:cs="微软雅黑"/>
          <w:sz w:val="18"/>
          <w:szCs w:val="18"/>
        </w:rPr>
        <w:t>Murali R, Delair DF, Bean SM, et al. Evolving roles of histologic evaluation and molecular/genomic profiling in the management of endometrial cancer. J Natl Compr Canc Netw 2018;16:201-209.</w:t>
      </w:r>
    </w:p>
    <w:p w14:paraId="1AFE80DA">
      <w:pPr>
        <w:numPr>
          <w:ilvl w:val="0"/>
          <w:numId w:val="13"/>
        </w:numPr>
        <w:spacing w:after="0" w:line="288" w:lineRule="auto"/>
        <w:jc w:val="both"/>
        <w:rPr>
          <w:rFonts w:ascii="微软雅黑" w:hAnsi="微软雅黑" w:cs="微软雅黑"/>
          <w:sz w:val="18"/>
          <w:szCs w:val="18"/>
        </w:rPr>
      </w:pPr>
      <w:r>
        <w:rPr>
          <w:rFonts w:hint="eastAsia" w:ascii="微软雅黑" w:hAnsi="微软雅黑" w:cs="微软雅黑"/>
          <w:sz w:val="18"/>
          <w:szCs w:val="18"/>
        </w:rPr>
        <w:t>The Cancer Genome Atlas (TCGA) Research Network; Kandoth C, Schultz N, Cherniack AD, et al. Integrated genomic characterization of endometrial carcinoma. Nature 2013;497:67-73.</w:t>
      </w:r>
    </w:p>
    <w:p w14:paraId="027401C5">
      <w:pPr>
        <w:numPr>
          <w:ilvl w:val="0"/>
          <w:numId w:val="13"/>
        </w:numPr>
        <w:spacing w:after="0" w:line="288" w:lineRule="auto"/>
        <w:jc w:val="both"/>
        <w:rPr>
          <w:rFonts w:ascii="微软雅黑" w:hAnsi="微软雅黑" w:cs="微软雅黑"/>
          <w:sz w:val="18"/>
          <w:szCs w:val="18"/>
        </w:rPr>
      </w:pPr>
      <w:r>
        <w:rPr>
          <w:rFonts w:hint="eastAsia" w:ascii="微软雅黑" w:hAnsi="微软雅黑" w:cs="微软雅黑"/>
          <w:sz w:val="18"/>
          <w:szCs w:val="18"/>
        </w:rPr>
        <w:t>佚名. 子宫内膜癌诊断与治疗指南(2021年版)[J]. 中国癌症杂志 2021年31卷6期, 501-512页, ISTIC PKU CSCD CA, 2021.</w:t>
      </w:r>
    </w:p>
    <w:p w14:paraId="0E7A50DB">
      <w:pPr>
        <w:spacing w:after="0" w:line="288" w:lineRule="auto"/>
        <w:jc w:val="both"/>
        <w:rPr>
          <w:rFonts w:ascii="微软雅黑" w:hAnsi="微软雅黑" w:cs="微软雅黑"/>
          <w:sz w:val="18"/>
          <w:szCs w:val="18"/>
        </w:rPr>
      </w:pPr>
      <w:r>
        <w:rPr>
          <w:rFonts w:hint="eastAsia" w:ascii="微软雅黑" w:hAnsi="微软雅黑" w:cs="微软雅黑"/>
          <w:sz w:val="18"/>
          <w:szCs w:val="18"/>
        </w:rPr>
        <w:t>[10]Rajmohan Murali, Robert A Soslow, Britta Weigelt</w:t>
      </w:r>
      <w:r>
        <w:rPr>
          <w:rFonts w:ascii="微软雅黑" w:hAnsi="微软雅黑" w:cs="微软雅黑"/>
          <w:sz w:val="18"/>
          <w:szCs w:val="18"/>
        </w:rPr>
        <w:t>, et al.</w:t>
      </w:r>
      <w:r>
        <w:rPr>
          <w:rFonts w:hint="eastAsia" w:ascii="微软雅黑" w:hAnsi="微软雅黑" w:cs="微软雅黑"/>
          <w:sz w:val="18"/>
          <w:szCs w:val="18"/>
        </w:rPr>
        <w:t>Classification of endometrial carcinoma: more than two types.Lancet Oncol. 2014 Jun;15(7):e268-78.</w:t>
      </w:r>
    </w:p>
    <w:p w14:paraId="4D42789F">
      <w:pPr>
        <w:spacing w:after="0" w:line="288" w:lineRule="auto"/>
        <w:jc w:val="both"/>
        <w:rPr>
          <w:rFonts w:ascii="微软雅黑" w:hAnsi="微软雅黑" w:cs="微软雅黑"/>
          <w:sz w:val="18"/>
          <w:szCs w:val="18"/>
        </w:rPr>
      </w:pPr>
      <w:r>
        <w:rPr>
          <w:rFonts w:ascii="微软雅黑" w:hAnsi="微软雅黑" w:cs="微软雅黑"/>
          <w:sz w:val="18"/>
          <w:szCs w:val="18"/>
        </w:rPr>
        <w:t>[1</w:t>
      </w:r>
      <w:r>
        <w:rPr>
          <w:rFonts w:hint="eastAsia" w:ascii="微软雅黑" w:hAnsi="微软雅黑" w:cs="微软雅黑"/>
          <w:sz w:val="18"/>
          <w:szCs w:val="18"/>
        </w:rPr>
        <w:t>1</w:t>
      </w:r>
      <w:r>
        <w:rPr>
          <w:rFonts w:ascii="微软雅黑" w:hAnsi="微软雅黑" w:cs="微软雅黑"/>
          <w:sz w:val="18"/>
          <w:szCs w:val="18"/>
        </w:rPr>
        <w:t>] Barrow E, Robinson L, Alduaij W, et al. Cumulative lifetime incidence of extracolonic cancers in Lynch syndrome: a report of 121 families with proven mutations. Clin Genet. 2009. 75(2): 141-149</w:t>
      </w:r>
      <w:r>
        <w:rPr>
          <w:rFonts w:hint="eastAsia" w:ascii="微软雅黑" w:hAnsi="微软雅黑" w:cs="微软雅黑"/>
          <w:sz w:val="18"/>
          <w:szCs w:val="18"/>
        </w:rPr>
        <w:t>.</w:t>
      </w:r>
    </w:p>
    <w:p w14:paraId="48511745">
      <w:pPr>
        <w:spacing w:after="0" w:line="288" w:lineRule="auto"/>
        <w:jc w:val="both"/>
        <w:rPr>
          <w:rFonts w:ascii="微软雅黑" w:hAnsi="微软雅黑" w:cs="微软雅黑"/>
          <w:sz w:val="18"/>
          <w:szCs w:val="18"/>
        </w:rPr>
      </w:pPr>
      <w:r>
        <w:rPr>
          <w:rFonts w:ascii="微软雅黑" w:hAnsi="微软雅黑" w:cs="微软雅黑"/>
          <w:sz w:val="18"/>
          <w:szCs w:val="18"/>
        </w:rPr>
        <w:t>[</w:t>
      </w:r>
      <w:r>
        <w:rPr>
          <w:rFonts w:hint="eastAsia" w:ascii="微软雅黑" w:hAnsi="微软雅黑" w:cs="微软雅黑"/>
          <w:sz w:val="18"/>
          <w:szCs w:val="18"/>
        </w:rPr>
        <w:t>12</w:t>
      </w:r>
      <w:r>
        <w:rPr>
          <w:rFonts w:ascii="微软雅黑" w:hAnsi="微软雅黑" w:cs="微软雅黑"/>
          <w:sz w:val="18"/>
          <w:szCs w:val="18"/>
        </w:rPr>
        <w:t>] Carcangiu ML, Radice P, Casalini P, et al. Lynch syndrome-related endometrial carcinomas show a high frequency of nonendometrioid types and of high FIGO grade endometrioid types. Int J Surg Pathol. 2010. 18(1): 21-26.</w:t>
      </w:r>
    </w:p>
    <w:p w14:paraId="590032AF">
      <w:pPr>
        <w:spacing w:after="0" w:line="288" w:lineRule="auto"/>
        <w:jc w:val="both"/>
        <w:rPr>
          <w:rFonts w:ascii="微软雅黑" w:hAnsi="微软雅黑" w:cs="微软雅黑"/>
          <w:sz w:val="18"/>
          <w:szCs w:val="18"/>
        </w:rPr>
      </w:pPr>
      <w:r>
        <w:rPr>
          <w:rFonts w:ascii="微软雅黑" w:hAnsi="微软雅黑" w:cs="微软雅黑"/>
          <w:sz w:val="18"/>
          <w:szCs w:val="18"/>
        </w:rPr>
        <w:t>[</w:t>
      </w:r>
      <w:r>
        <w:rPr>
          <w:rFonts w:hint="eastAsia" w:ascii="微软雅黑" w:hAnsi="微软雅黑" w:cs="微软雅黑"/>
          <w:sz w:val="18"/>
          <w:szCs w:val="18"/>
        </w:rPr>
        <w:t>13</w:t>
      </w:r>
      <w:r>
        <w:rPr>
          <w:rFonts w:ascii="微软雅黑" w:hAnsi="微软雅黑" w:cs="微软雅黑"/>
          <w:sz w:val="18"/>
          <w:szCs w:val="18"/>
        </w:rPr>
        <w:t>] Broaddus RR, Lynch HT, Chen LM, et al. Pathologic features of endometrial carcinoma associated with HNPCC: a comparison with sporadic endometrial carcinoma. Cancer. 2006. 106(1): 87-94.</w:t>
      </w:r>
    </w:p>
    <w:p w14:paraId="5BCE678C">
      <w:pPr>
        <w:spacing w:after="0" w:line="288" w:lineRule="auto"/>
        <w:jc w:val="both"/>
        <w:rPr>
          <w:rFonts w:ascii="微软雅黑" w:hAnsi="微软雅黑" w:cs="微软雅黑"/>
          <w:sz w:val="18"/>
          <w:szCs w:val="18"/>
        </w:rPr>
      </w:pPr>
      <w:r>
        <w:rPr>
          <w:rFonts w:ascii="微软雅黑" w:hAnsi="微软雅黑" w:cs="微软雅黑"/>
          <w:sz w:val="18"/>
          <w:szCs w:val="18"/>
        </w:rPr>
        <w:t>[</w:t>
      </w:r>
      <w:r>
        <w:rPr>
          <w:rFonts w:hint="eastAsia" w:ascii="微软雅黑" w:hAnsi="微软雅黑" w:cs="微软雅黑"/>
          <w:sz w:val="18"/>
          <w:szCs w:val="18"/>
        </w:rPr>
        <w:t>14</w:t>
      </w:r>
      <w:r>
        <w:rPr>
          <w:rFonts w:ascii="微软雅黑" w:hAnsi="微软雅黑" w:cs="微软雅黑"/>
          <w:sz w:val="18"/>
          <w:szCs w:val="18"/>
        </w:rPr>
        <w:t>] South SA, Hutton M, Farrell C, et al. Uterine carcinosarcoma associated with hereditary nonpolyposis colorectal cancer. Obstet Gynecol. 2007. 110(2 Pt 2): 543-545.</w:t>
      </w:r>
    </w:p>
    <w:p w14:paraId="24DF6EB4">
      <w:pPr>
        <w:spacing w:after="0" w:line="288" w:lineRule="auto"/>
        <w:jc w:val="both"/>
        <w:rPr>
          <w:rFonts w:ascii="微软雅黑" w:hAnsi="微软雅黑" w:cs="微软雅黑"/>
          <w:sz w:val="18"/>
          <w:szCs w:val="18"/>
        </w:rPr>
      </w:pP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 Pennington KP, Walsh T, Lee M, et al. BRCA1, TP53, and CHEK2 germline mutations in uterine serous carcinoma. Cancer. 2013. 119(2): 332-338.</w:t>
      </w:r>
    </w:p>
    <w:p w14:paraId="18EE2277">
      <w:pPr>
        <w:spacing w:after="0" w:line="288" w:lineRule="auto"/>
        <w:jc w:val="both"/>
        <w:rPr>
          <w:rFonts w:ascii="微软雅黑" w:hAnsi="微软雅黑" w:cs="微软雅黑"/>
          <w:sz w:val="18"/>
          <w:szCs w:val="18"/>
        </w:rPr>
      </w:pPr>
      <w:r>
        <w:rPr>
          <w:rFonts w:ascii="微软雅黑" w:hAnsi="微软雅黑" w:cs="微软雅黑"/>
          <w:sz w:val="18"/>
          <w:szCs w:val="18"/>
        </w:rPr>
        <w:t>[</w:t>
      </w:r>
      <w:r>
        <w:rPr>
          <w:rFonts w:hint="eastAsia" w:ascii="微软雅黑" w:hAnsi="微软雅黑" w:cs="微软雅黑"/>
          <w:sz w:val="18"/>
          <w:szCs w:val="18"/>
        </w:rPr>
        <w:t>16</w:t>
      </w:r>
      <w:r>
        <w:rPr>
          <w:rFonts w:ascii="微软雅黑" w:hAnsi="微软雅黑" w:cs="微软雅黑"/>
          <w:sz w:val="18"/>
          <w:szCs w:val="18"/>
        </w:rPr>
        <w:t>] Wong A, Ngeow J. Hereditary Syndromes Manifesting as Endometrial Carcinoma: How Can Pathological Features Aid Risk Assessment?. Biomed Res Int. 2015. 2015: 219012.</w:t>
      </w:r>
    </w:p>
    <w:p w14:paraId="6D0002C9">
      <w:pPr>
        <w:spacing w:after="0" w:line="288" w:lineRule="auto"/>
        <w:jc w:val="both"/>
        <w:rPr>
          <w:rFonts w:ascii="微软雅黑" w:hAnsi="微软雅黑" w:cs="微软雅黑"/>
          <w:sz w:val="18"/>
          <w:szCs w:val="18"/>
        </w:rPr>
      </w:pPr>
      <w:r>
        <w:rPr>
          <w:rFonts w:ascii="微软雅黑" w:hAnsi="微软雅黑" w:cs="微软雅黑"/>
          <w:sz w:val="18"/>
          <w:szCs w:val="18"/>
        </w:rPr>
        <w:t>[</w:t>
      </w:r>
      <w:r>
        <w:rPr>
          <w:rFonts w:hint="eastAsia" w:ascii="微软雅黑" w:hAnsi="微软雅黑" w:cs="微软雅黑"/>
          <w:sz w:val="18"/>
          <w:szCs w:val="18"/>
        </w:rPr>
        <w:t>17</w:t>
      </w:r>
      <w:r>
        <w:rPr>
          <w:rFonts w:ascii="微软雅黑" w:hAnsi="微软雅黑" w:cs="微软雅黑"/>
          <w:sz w:val="18"/>
          <w:szCs w:val="18"/>
        </w:rPr>
        <w:t>] Westin SN, Lacour RA, Urbauer DL, et al. Carcinoma of the lower uterine segment: a newly described association with Lynch syndrome. J Clin Oncol. 2008. 26(36):5965-5971.</w:t>
      </w:r>
    </w:p>
    <w:p w14:paraId="202B3A7E">
      <w:pPr>
        <w:spacing w:after="0" w:line="288" w:lineRule="auto"/>
        <w:jc w:val="both"/>
        <w:rPr>
          <w:rFonts w:ascii="微软雅黑" w:hAnsi="微软雅黑" w:cs="微软雅黑"/>
          <w:sz w:val="18"/>
          <w:szCs w:val="18"/>
        </w:rPr>
      </w:pPr>
      <w:r>
        <w:rPr>
          <w:rFonts w:ascii="微软雅黑" w:hAnsi="微软雅黑" w:cs="微软雅黑"/>
          <w:sz w:val="18"/>
          <w:szCs w:val="18"/>
        </w:rPr>
        <w:t>[</w:t>
      </w:r>
      <w:r>
        <w:rPr>
          <w:rFonts w:hint="eastAsia" w:ascii="微软雅黑" w:hAnsi="微软雅黑" w:cs="微软雅黑"/>
          <w:sz w:val="18"/>
          <w:szCs w:val="18"/>
        </w:rPr>
        <w:t>18</w:t>
      </w:r>
      <w:r>
        <w:rPr>
          <w:rFonts w:ascii="微软雅黑" w:hAnsi="微软雅黑" w:cs="微软雅黑"/>
          <w:sz w:val="18"/>
          <w:szCs w:val="18"/>
        </w:rPr>
        <w:t>] Bonadona V1, Bonaïti B, Olschwang S, et al. Cancer risks associated with germline mutations in MLH1, MSH2, and MSH6 genes in Lynch syndrome. JAMA. 2011. 305(22): 2304-2310.</w:t>
      </w:r>
    </w:p>
    <w:p w14:paraId="4C0E20B6">
      <w:pPr>
        <w:spacing w:after="0" w:line="288" w:lineRule="auto"/>
        <w:jc w:val="both"/>
        <w:rPr>
          <w:rFonts w:ascii="微软雅黑" w:hAnsi="微软雅黑" w:cs="微软雅黑"/>
          <w:sz w:val="18"/>
          <w:szCs w:val="18"/>
        </w:rPr>
      </w:pPr>
      <w:r>
        <w:rPr>
          <w:rFonts w:ascii="微软雅黑" w:hAnsi="微软雅黑" w:cs="微软雅黑"/>
          <w:sz w:val="18"/>
          <w:szCs w:val="18"/>
        </w:rPr>
        <w:t>[</w:t>
      </w:r>
      <w:r>
        <w:rPr>
          <w:rFonts w:hint="eastAsia" w:ascii="微软雅黑" w:hAnsi="微软雅黑" w:cs="微软雅黑"/>
          <w:sz w:val="18"/>
          <w:szCs w:val="18"/>
        </w:rPr>
        <w:t>19</w:t>
      </w:r>
      <w:r>
        <w:rPr>
          <w:rFonts w:ascii="微软雅黑" w:hAnsi="微软雅黑" w:cs="微软雅黑"/>
          <w:sz w:val="18"/>
          <w:szCs w:val="18"/>
        </w:rPr>
        <w:t>] Huang M, Djordjevic B, Yates MS, et al. Molecular pathogenesis of endometrial cancers in patients with Lynch syndrome. Cancer. 2013. 119(16): 3027-3033.</w:t>
      </w:r>
    </w:p>
    <w:p w14:paraId="6B97374F">
      <w:pPr>
        <w:spacing w:after="0" w:line="288" w:lineRule="auto"/>
        <w:jc w:val="both"/>
        <w:rPr>
          <w:rFonts w:ascii="微软雅黑" w:hAnsi="微软雅黑" w:cs="微软雅黑"/>
          <w:sz w:val="18"/>
          <w:szCs w:val="18"/>
        </w:rPr>
      </w:pPr>
      <w:r>
        <w:rPr>
          <w:rFonts w:ascii="微软雅黑" w:hAnsi="微软雅黑" w:cs="微软雅黑"/>
          <w:sz w:val="18"/>
          <w:szCs w:val="18"/>
        </w:rPr>
        <w:t>[</w:t>
      </w:r>
      <w:r>
        <w:rPr>
          <w:rFonts w:hint="eastAsia" w:ascii="微软雅黑" w:hAnsi="微软雅黑" w:cs="微软雅黑"/>
          <w:sz w:val="18"/>
          <w:szCs w:val="18"/>
        </w:rPr>
        <w:t>20</w:t>
      </w:r>
      <w:r>
        <w:rPr>
          <w:rFonts w:ascii="微软雅黑" w:hAnsi="微软雅黑" w:cs="微软雅黑"/>
          <w:sz w:val="18"/>
          <w:szCs w:val="18"/>
        </w:rPr>
        <w:t>] Ferguson SE, Aronson M, Pollett A, et al. Performance characteristics of screening strategies for Lynch syndrome in unselected women with newly diagnosed endometrial cancer who have undergone universal germline mutation testing. Cancer.2014. 120(24): 3932-3939.</w:t>
      </w:r>
    </w:p>
    <w:bookmarkEnd w:id="42"/>
    <w:p w14:paraId="5C64ABDE">
      <w:pPr>
        <w:spacing w:after="120" w:afterLines="50"/>
        <w:ind w:firstLine="420" w:firstLineChars="200"/>
        <w:rPr>
          <w:rFonts w:ascii="微软雅黑" w:hAnsi="微软雅黑"/>
          <w:kern w:val="2"/>
          <w:sz w:val="21"/>
          <w:szCs w:val="21"/>
        </w:rPr>
      </w:pPr>
      <w:r>
        <w:rPr>
          <w:rFonts w:hint="eastAsia" w:ascii="微软雅黑" w:hAnsi="微软雅黑"/>
          <w:kern w:val="2"/>
          <w:sz w:val="21"/>
          <w:szCs w:val="21"/>
        </w:rPr>
        <w:br w:type="page"/>
      </w:r>
    </w:p>
    <w:p w14:paraId="3FA2EAAA">
      <w:pPr>
        <w:spacing w:before="200"/>
        <w:outlineLvl w:val="1"/>
        <w:rPr>
          <w:rFonts w:ascii="Calibri" w:hAnsi="Calibri" w:cs="Calibri"/>
          <w:bCs/>
          <w:sz w:val="24"/>
          <w:szCs w:val="24"/>
        </w:rPr>
      </w:pPr>
      <w:r>
        <w:rPr>
          <w:rFonts w:hint="eastAsia" w:ascii="微软雅黑" w:hAnsi="微软雅黑"/>
          <w:b/>
          <w:sz w:val="32"/>
          <w:szCs w:val="32"/>
        </w:rPr>
        <w:t xml:space="preserve">2. </w:t>
      </w:r>
      <w:bookmarkStart w:id="45" w:name="_Toc28136"/>
      <w:bookmarkStart w:id="46" w:name="_Toc163825609"/>
      <w:r>
        <w:rPr>
          <w:rFonts w:hint="eastAsia" w:ascii="微软雅黑" w:hAnsi="微软雅黑"/>
          <w:b/>
          <w:sz w:val="32"/>
          <w:szCs w:val="32"/>
        </w:rPr>
        <w:t>基因检测列表</w:t>
      </w:r>
      <w:bookmarkEnd w:id="45"/>
      <w:bookmarkEnd w:id="46"/>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834C8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3" w:hRule="atLeast"/>
        </w:trPr>
        <w:tc>
          <w:tcPr>
            <w:tcW w:w="8985" w:type="dxa"/>
            <w:gridSpan w:val="7"/>
            <w:vAlign w:val="center"/>
          </w:tcPr>
          <w:p w14:paraId="79FEA8B6">
            <w:pPr>
              <w:adjustRightInd/>
              <w:snapToGrid/>
              <w:spacing w:after="0"/>
              <w:jc w:val="center"/>
              <w:rPr>
                <w:rFonts w:asciiTheme="minorHAnsi" w:hAnsiTheme="minorHAnsi" w:cstheme="minorHAnsi"/>
                <w:b/>
                <w:bCs/>
                <w:kern w:val="2"/>
                <w:sz w:val="28"/>
                <w:szCs w:val="28"/>
              </w:rPr>
            </w:pPr>
            <w:r>
              <w:rPr>
                <w:rFonts w:ascii="Calibri" w:hAnsi="Calibri" w:cs="Calibri"/>
                <w:b/>
                <w:bCs w:val="0"/>
                <w:sz w:val="28"/>
                <w:szCs w:val="28"/>
              </w:rPr>
              <w:t>Gene List for MLseq (n=</w:t>
            </w:r>
            <w:r>
              <w:rPr>
                <w:rFonts w:hint="eastAsia" w:ascii="Calibri" w:hAnsi="Calibri" w:cs="Calibri"/>
                <w:b/>
                <w:bCs w:val="0"/>
                <w:sz w:val="28"/>
                <w:szCs w:val="28"/>
              </w:rPr>
              <w:t>2</w:t>
            </w:r>
            <w:r>
              <w:rPr>
                <w:rFonts w:hint="eastAsia" w:ascii="Calibri" w:hAnsi="Calibri" w:cs="Calibri"/>
                <w:b/>
                <w:bCs w:val="0"/>
                <w:sz w:val="28"/>
                <w:szCs w:val="28"/>
                <w:lang w:val="en-US" w:eastAsia="zh-CN"/>
              </w:rPr>
              <w:t>9</w:t>
            </w:r>
            <w:r>
              <w:rPr>
                <w:rFonts w:ascii="Calibri" w:hAnsi="Calibri" w:cs="Calibri"/>
                <w:b/>
                <w:bCs w:val="0"/>
                <w:sz w:val="28"/>
                <w:szCs w:val="28"/>
              </w:rPr>
              <w:t>)</w:t>
            </w:r>
          </w:p>
        </w:tc>
      </w:tr>
      <w:tr w14:paraId="001C9C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0" w:hRule="atLeast"/>
        </w:trPr>
        <w:tc>
          <w:tcPr>
            <w:tcW w:w="1283" w:type="dxa"/>
            <w:shd w:val="clear" w:color="auto" w:fill="auto"/>
            <w:vAlign w:val="center"/>
          </w:tcPr>
          <w:p w14:paraId="6B2C6F34">
            <w:pPr>
              <w:spacing w:after="0"/>
              <w:jc w:val="center"/>
              <w:rPr>
                <w:rFonts w:ascii="Calibri" w:hAnsi="Calibri" w:cs="Calibri"/>
                <w:b w:val="0"/>
                <w:bCs w:val="0"/>
                <w:sz w:val="24"/>
                <w:szCs w:val="24"/>
              </w:rPr>
            </w:pPr>
            <w:r>
              <w:rPr>
                <w:rFonts w:hint="eastAsia" w:ascii="Calibri" w:hAnsi="Calibri" w:cs="Calibri"/>
                <w:b w:val="0"/>
                <w:bCs w:val="0"/>
                <w:sz w:val="24"/>
                <w:szCs w:val="24"/>
                <w:lang w:bidi="ar"/>
              </w:rPr>
              <w:t>AKT1</w:t>
            </w:r>
          </w:p>
        </w:tc>
        <w:tc>
          <w:tcPr>
            <w:tcW w:w="1283" w:type="dxa"/>
            <w:shd w:val="clear" w:color="auto" w:fill="auto"/>
            <w:vAlign w:val="center"/>
          </w:tcPr>
          <w:p w14:paraId="562EFDF5">
            <w:pPr>
              <w:spacing w:after="0"/>
              <w:jc w:val="center"/>
              <w:rPr>
                <w:rFonts w:ascii="Calibri" w:hAnsi="Calibri" w:cs="Calibri"/>
                <w:bCs/>
                <w:sz w:val="24"/>
                <w:szCs w:val="24"/>
              </w:rPr>
            </w:pPr>
            <w:r>
              <w:rPr>
                <w:rFonts w:hint="eastAsia" w:ascii="Calibri" w:hAnsi="Calibri" w:cs="Calibri"/>
                <w:bCs/>
                <w:sz w:val="24"/>
                <w:szCs w:val="24"/>
                <w:lang w:bidi="ar"/>
              </w:rPr>
              <w:t>ARID1A</w:t>
            </w:r>
          </w:p>
        </w:tc>
        <w:tc>
          <w:tcPr>
            <w:tcW w:w="1283" w:type="dxa"/>
            <w:shd w:val="clear" w:color="auto" w:fill="auto"/>
            <w:vAlign w:val="center"/>
          </w:tcPr>
          <w:p w14:paraId="1FB3F9AE">
            <w:pPr>
              <w:spacing w:after="0"/>
              <w:jc w:val="center"/>
              <w:rPr>
                <w:rFonts w:ascii="Calibri" w:hAnsi="Calibri" w:cs="Calibri"/>
                <w:bCs/>
                <w:sz w:val="24"/>
                <w:szCs w:val="24"/>
              </w:rPr>
            </w:pPr>
            <w:r>
              <w:rPr>
                <w:rFonts w:hint="eastAsia" w:ascii="Calibri" w:hAnsi="Calibri" w:cs="Calibri"/>
                <w:bCs/>
                <w:sz w:val="24"/>
                <w:szCs w:val="24"/>
                <w:lang w:bidi="ar"/>
              </w:rPr>
              <w:t>BRCA1</w:t>
            </w:r>
          </w:p>
        </w:tc>
        <w:tc>
          <w:tcPr>
            <w:tcW w:w="1283" w:type="dxa"/>
            <w:shd w:val="clear" w:color="auto" w:fill="auto"/>
            <w:vAlign w:val="center"/>
          </w:tcPr>
          <w:p w14:paraId="7AE54382">
            <w:pPr>
              <w:spacing w:after="0"/>
              <w:jc w:val="center"/>
              <w:rPr>
                <w:rFonts w:ascii="Calibri" w:hAnsi="Calibri" w:cs="Calibri"/>
                <w:bCs/>
                <w:sz w:val="24"/>
                <w:szCs w:val="24"/>
              </w:rPr>
            </w:pPr>
            <w:r>
              <w:rPr>
                <w:rFonts w:hint="eastAsia" w:ascii="Calibri" w:hAnsi="Calibri" w:cs="Calibri"/>
                <w:bCs/>
                <w:sz w:val="24"/>
                <w:szCs w:val="24"/>
                <w:lang w:bidi="ar"/>
              </w:rPr>
              <w:t>BRCA2</w:t>
            </w:r>
          </w:p>
        </w:tc>
        <w:tc>
          <w:tcPr>
            <w:tcW w:w="1283" w:type="dxa"/>
            <w:shd w:val="clear" w:color="auto" w:fill="auto"/>
            <w:vAlign w:val="center"/>
          </w:tcPr>
          <w:p w14:paraId="1D869CF7">
            <w:pPr>
              <w:spacing w:after="0"/>
              <w:jc w:val="center"/>
              <w:rPr>
                <w:rFonts w:ascii="Calibri" w:hAnsi="Calibri" w:cs="Calibri"/>
                <w:bCs/>
                <w:sz w:val="24"/>
                <w:szCs w:val="24"/>
              </w:rPr>
            </w:pPr>
            <w:r>
              <w:rPr>
                <w:rFonts w:hint="eastAsia" w:ascii="Calibri" w:hAnsi="Calibri" w:cs="Calibri"/>
                <w:bCs/>
                <w:sz w:val="24"/>
                <w:szCs w:val="24"/>
              </w:rPr>
              <w:t>CCNE1</w:t>
            </w:r>
          </w:p>
        </w:tc>
        <w:tc>
          <w:tcPr>
            <w:tcW w:w="1283" w:type="dxa"/>
            <w:shd w:val="clear" w:color="auto" w:fill="auto"/>
            <w:vAlign w:val="center"/>
          </w:tcPr>
          <w:p w14:paraId="799823DB">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CHEK2</w:t>
            </w:r>
          </w:p>
        </w:tc>
        <w:tc>
          <w:tcPr>
            <w:tcW w:w="1287" w:type="dxa"/>
            <w:shd w:val="clear" w:color="auto" w:fill="auto"/>
            <w:vAlign w:val="center"/>
          </w:tcPr>
          <w:p w14:paraId="053B8615">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CTNNB1</w:t>
            </w:r>
          </w:p>
        </w:tc>
      </w:tr>
      <w:tr w14:paraId="332B41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0" w:hRule="atLeast"/>
        </w:trPr>
        <w:tc>
          <w:tcPr>
            <w:tcW w:w="1283" w:type="dxa"/>
            <w:shd w:val="clear" w:color="auto" w:fill="F1F1F1"/>
            <w:vAlign w:val="center"/>
          </w:tcPr>
          <w:p w14:paraId="67E13257">
            <w:pPr>
              <w:spacing w:after="0"/>
              <w:jc w:val="center"/>
              <w:rPr>
                <w:rFonts w:hint="eastAsia" w:ascii="Calibri" w:hAnsi="Calibri" w:cs="Calibri"/>
                <w:b w:val="0"/>
                <w:bCs w:val="0"/>
                <w:sz w:val="24"/>
                <w:szCs w:val="24"/>
                <w:lang w:val="en-US" w:eastAsia="zh-CN" w:bidi="ar"/>
              </w:rPr>
            </w:pPr>
            <w:r>
              <w:rPr>
                <w:rFonts w:hint="eastAsia" w:ascii="Calibri" w:hAnsi="Calibri" w:cs="Calibri"/>
                <w:b w:val="0"/>
                <w:bCs w:val="0"/>
                <w:sz w:val="24"/>
                <w:szCs w:val="24"/>
                <w:lang w:bidi="ar"/>
              </w:rPr>
              <w:t>EGFR</w:t>
            </w:r>
          </w:p>
        </w:tc>
        <w:tc>
          <w:tcPr>
            <w:tcW w:w="1283" w:type="dxa"/>
            <w:shd w:val="clear" w:color="auto" w:fill="F1F1F1"/>
            <w:vAlign w:val="center"/>
          </w:tcPr>
          <w:p w14:paraId="0C39C6D9">
            <w:pPr>
              <w:spacing w:after="0"/>
              <w:jc w:val="center"/>
              <w:rPr>
                <w:rFonts w:hint="eastAsia" w:ascii="Calibri" w:hAnsi="Calibri" w:cs="Calibri"/>
                <w:b w:val="0"/>
                <w:bCs w:val="0"/>
                <w:sz w:val="24"/>
                <w:szCs w:val="24"/>
                <w:lang w:val="en-US" w:eastAsia="zh-CN" w:bidi="ar"/>
              </w:rPr>
            </w:pPr>
            <w:r>
              <w:rPr>
                <w:rFonts w:hint="eastAsia" w:ascii="Calibri" w:hAnsi="Calibri" w:cs="Calibri"/>
                <w:b w:val="0"/>
                <w:bCs w:val="0"/>
                <w:sz w:val="24"/>
                <w:szCs w:val="24"/>
                <w:lang w:bidi="ar"/>
              </w:rPr>
              <w:t>EPCAM</w:t>
            </w:r>
          </w:p>
        </w:tc>
        <w:tc>
          <w:tcPr>
            <w:tcW w:w="1283" w:type="dxa"/>
            <w:shd w:val="clear" w:color="auto" w:fill="F1F1F1"/>
            <w:vAlign w:val="center"/>
          </w:tcPr>
          <w:p w14:paraId="69F8E683">
            <w:pPr>
              <w:spacing w:after="0"/>
              <w:jc w:val="center"/>
              <w:rPr>
                <w:rFonts w:hint="eastAsia" w:ascii="Calibri" w:hAnsi="Calibri" w:cs="Calibri"/>
                <w:b w:val="0"/>
                <w:bCs w:val="0"/>
                <w:sz w:val="24"/>
                <w:szCs w:val="24"/>
                <w:lang w:val="en-US" w:eastAsia="zh-CN" w:bidi="ar"/>
              </w:rPr>
            </w:pPr>
            <w:r>
              <w:rPr>
                <w:rFonts w:hint="eastAsia" w:ascii="Calibri" w:hAnsi="Calibri" w:cs="Calibri"/>
                <w:b w:val="0"/>
                <w:bCs w:val="0"/>
                <w:sz w:val="24"/>
                <w:szCs w:val="24"/>
                <w:lang w:bidi="ar"/>
              </w:rPr>
              <w:t>ERBB2</w:t>
            </w:r>
          </w:p>
        </w:tc>
        <w:tc>
          <w:tcPr>
            <w:tcW w:w="1283" w:type="dxa"/>
            <w:shd w:val="clear" w:color="auto" w:fill="F1F1F1"/>
            <w:vAlign w:val="center"/>
          </w:tcPr>
          <w:p w14:paraId="7A67570E">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FBXW7</w:t>
            </w:r>
          </w:p>
        </w:tc>
        <w:tc>
          <w:tcPr>
            <w:tcW w:w="1283" w:type="dxa"/>
            <w:shd w:val="clear" w:color="auto" w:fill="F1F1F1"/>
            <w:vAlign w:val="center"/>
          </w:tcPr>
          <w:p w14:paraId="1923F5B9">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FGFR2</w:t>
            </w:r>
          </w:p>
        </w:tc>
        <w:tc>
          <w:tcPr>
            <w:tcW w:w="1283" w:type="dxa"/>
            <w:shd w:val="clear" w:color="auto" w:fill="F1F1F1"/>
            <w:vAlign w:val="center"/>
          </w:tcPr>
          <w:p w14:paraId="22D456E2">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HRAS</w:t>
            </w:r>
          </w:p>
        </w:tc>
        <w:tc>
          <w:tcPr>
            <w:tcW w:w="1287" w:type="dxa"/>
            <w:shd w:val="clear" w:color="auto" w:fill="F1F1F1"/>
            <w:vAlign w:val="center"/>
          </w:tcPr>
          <w:p w14:paraId="0F89D864">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KRAS</w:t>
            </w:r>
          </w:p>
        </w:tc>
      </w:tr>
      <w:tr w14:paraId="32EBFB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0" w:hRule="atLeast"/>
        </w:trPr>
        <w:tc>
          <w:tcPr>
            <w:tcW w:w="1283" w:type="dxa"/>
            <w:shd w:val="clear" w:color="auto" w:fill="auto"/>
            <w:vAlign w:val="center"/>
          </w:tcPr>
          <w:p w14:paraId="78230F27">
            <w:pPr>
              <w:spacing w:after="0"/>
              <w:jc w:val="center"/>
              <w:rPr>
                <w:rFonts w:ascii="Calibri" w:hAnsi="Calibri" w:eastAsia="微软雅黑" w:cs="Calibri"/>
                <w:b w:val="0"/>
                <w:bCs w:val="0"/>
                <w:sz w:val="24"/>
                <w:szCs w:val="24"/>
                <w:lang w:val="en-US" w:eastAsia="zh-CN" w:bidi="ar-SA"/>
              </w:rPr>
            </w:pPr>
            <w:r>
              <w:rPr>
                <w:rFonts w:hint="eastAsia" w:ascii="Calibri" w:hAnsi="Calibri" w:cs="Calibri"/>
                <w:bCs/>
                <w:sz w:val="24"/>
                <w:szCs w:val="24"/>
                <w:lang w:bidi="ar"/>
              </w:rPr>
              <w:t>MLH1</w:t>
            </w:r>
          </w:p>
        </w:tc>
        <w:tc>
          <w:tcPr>
            <w:tcW w:w="1283" w:type="dxa"/>
            <w:shd w:val="clear" w:color="auto" w:fill="auto"/>
            <w:vAlign w:val="center"/>
          </w:tcPr>
          <w:p w14:paraId="0B1CF095">
            <w:pPr>
              <w:spacing w:after="0"/>
              <w:jc w:val="center"/>
              <w:rPr>
                <w:rFonts w:ascii="Calibri" w:hAnsi="Calibri" w:eastAsia="微软雅黑" w:cs="Calibri"/>
                <w:b w:val="0"/>
                <w:bCs w:val="0"/>
                <w:sz w:val="24"/>
                <w:szCs w:val="24"/>
                <w:lang w:val="en-US" w:eastAsia="zh-CN" w:bidi="ar-SA"/>
              </w:rPr>
            </w:pPr>
            <w:r>
              <w:rPr>
                <w:rFonts w:hint="eastAsia" w:ascii="Calibri" w:hAnsi="Calibri" w:cs="Calibri"/>
                <w:b w:val="0"/>
                <w:bCs w:val="0"/>
                <w:sz w:val="24"/>
                <w:szCs w:val="24"/>
                <w:lang w:bidi="ar"/>
              </w:rPr>
              <w:t>MSH2</w:t>
            </w:r>
          </w:p>
        </w:tc>
        <w:tc>
          <w:tcPr>
            <w:tcW w:w="1283" w:type="dxa"/>
            <w:shd w:val="clear" w:color="auto" w:fill="auto"/>
            <w:vAlign w:val="center"/>
          </w:tcPr>
          <w:p w14:paraId="19A8E0D8">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MSH6</w:t>
            </w:r>
          </w:p>
        </w:tc>
        <w:tc>
          <w:tcPr>
            <w:tcW w:w="1283" w:type="dxa"/>
            <w:shd w:val="clear" w:color="auto" w:fill="auto"/>
            <w:vAlign w:val="center"/>
          </w:tcPr>
          <w:p w14:paraId="608F1B6A">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NRAS</w:t>
            </w:r>
          </w:p>
        </w:tc>
        <w:tc>
          <w:tcPr>
            <w:tcW w:w="1283" w:type="dxa"/>
            <w:shd w:val="clear" w:color="auto" w:fill="auto"/>
            <w:vAlign w:val="center"/>
          </w:tcPr>
          <w:p w14:paraId="24288C54">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NTRK1</w:t>
            </w:r>
          </w:p>
        </w:tc>
        <w:tc>
          <w:tcPr>
            <w:tcW w:w="1283" w:type="dxa"/>
            <w:shd w:val="clear" w:color="auto" w:fill="auto"/>
            <w:vAlign w:val="center"/>
          </w:tcPr>
          <w:p w14:paraId="1230549A">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NTRK2</w:t>
            </w:r>
          </w:p>
        </w:tc>
        <w:tc>
          <w:tcPr>
            <w:tcW w:w="1287" w:type="dxa"/>
            <w:shd w:val="clear" w:color="auto" w:fill="auto"/>
            <w:vAlign w:val="center"/>
          </w:tcPr>
          <w:p w14:paraId="66089E80">
            <w:pPr>
              <w:spacing w:after="0"/>
              <w:jc w:val="center"/>
              <w:rPr>
                <w:rFonts w:ascii="Calibri" w:hAnsi="Calibri" w:eastAsia="微软雅黑" w:cs="Calibri"/>
                <w:bCs/>
                <w:sz w:val="24"/>
                <w:szCs w:val="24"/>
                <w:lang w:val="en-US" w:eastAsia="zh-CN" w:bidi="ar-SA"/>
              </w:rPr>
            </w:pPr>
            <w:r>
              <w:rPr>
                <w:rFonts w:hint="eastAsia" w:ascii="Calibri" w:hAnsi="Calibri" w:cs="Calibri"/>
                <w:bCs/>
                <w:sz w:val="24"/>
                <w:szCs w:val="24"/>
                <w:lang w:bidi="ar"/>
              </w:rPr>
              <w:t>NTRK3</w:t>
            </w:r>
          </w:p>
        </w:tc>
      </w:tr>
      <w:tr w14:paraId="5AF04A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0" w:hRule="atLeast"/>
        </w:trPr>
        <w:tc>
          <w:tcPr>
            <w:tcW w:w="1283" w:type="dxa"/>
            <w:shd w:val="clear" w:color="auto" w:fill="F1F1F1"/>
            <w:vAlign w:val="center"/>
          </w:tcPr>
          <w:p w14:paraId="54F9D434">
            <w:pPr>
              <w:spacing w:after="0"/>
              <w:jc w:val="center"/>
              <w:rPr>
                <w:rFonts w:ascii="Calibri" w:hAnsi="Calibri" w:eastAsia="微软雅黑" w:cs="Calibri"/>
                <w:b w:val="0"/>
                <w:bCs w:val="0"/>
                <w:sz w:val="24"/>
                <w:szCs w:val="24"/>
                <w:lang w:val="en-US" w:eastAsia="zh-CN" w:bidi="ar-SA"/>
              </w:rPr>
            </w:pPr>
            <w:r>
              <w:rPr>
                <w:rFonts w:hint="eastAsia" w:ascii="Calibri" w:hAnsi="Calibri" w:cs="Calibri"/>
                <w:bCs/>
                <w:sz w:val="24"/>
                <w:szCs w:val="24"/>
                <w:lang w:bidi="ar"/>
              </w:rPr>
              <w:t>PIK3CA</w:t>
            </w:r>
          </w:p>
        </w:tc>
        <w:tc>
          <w:tcPr>
            <w:tcW w:w="1283" w:type="dxa"/>
            <w:shd w:val="clear" w:color="auto" w:fill="F1F1F1"/>
            <w:vAlign w:val="center"/>
          </w:tcPr>
          <w:p w14:paraId="133A5C10">
            <w:pPr>
              <w:spacing w:after="0"/>
              <w:jc w:val="center"/>
              <w:rPr>
                <w:rFonts w:hint="eastAsia" w:ascii="Calibri" w:hAnsi="Calibri" w:eastAsia="微软雅黑" w:cs="Calibri"/>
                <w:b w:val="0"/>
                <w:bCs w:val="0"/>
                <w:sz w:val="24"/>
                <w:szCs w:val="24"/>
                <w:lang w:val="en-US" w:eastAsia="zh-CN" w:bidi="ar-SA"/>
              </w:rPr>
            </w:pPr>
            <w:r>
              <w:rPr>
                <w:rFonts w:hint="eastAsia" w:ascii="Calibri" w:hAnsi="Calibri" w:cs="Calibri"/>
                <w:b w:val="0"/>
                <w:bCs w:val="0"/>
                <w:sz w:val="24"/>
                <w:szCs w:val="24"/>
                <w:lang w:bidi="ar"/>
              </w:rPr>
              <w:t>PMS2</w:t>
            </w:r>
          </w:p>
        </w:tc>
        <w:tc>
          <w:tcPr>
            <w:tcW w:w="1283" w:type="dxa"/>
            <w:shd w:val="clear" w:color="auto" w:fill="F1F1F1"/>
            <w:vAlign w:val="center"/>
          </w:tcPr>
          <w:p w14:paraId="6BAEEDAE">
            <w:pPr>
              <w:spacing w:after="0"/>
              <w:jc w:val="center"/>
              <w:rPr>
                <w:rFonts w:hint="eastAsia" w:ascii="Calibri" w:hAnsi="Calibri" w:eastAsia="微软雅黑" w:cs="Calibri"/>
                <w:bCs/>
                <w:sz w:val="24"/>
                <w:szCs w:val="24"/>
                <w:lang w:val="en-US" w:eastAsia="zh-CN" w:bidi="ar-SA"/>
              </w:rPr>
            </w:pPr>
            <w:r>
              <w:rPr>
                <w:rFonts w:hint="eastAsia" w:ascii="Calibri" w:hAnsi="Calibri" w:cs="Calibri"/>
                <w:bCs/>
                <w:sz w:val="24"/>
                <w:szCs w:val="24"/>
                <w:lang w:bidi="ar"/>
              </w:rPr>
              <w:t>POLD1</w:t>
            </w:r>
          </w:p>
        </w:tc>
        <w:tc>
          <w:tcPr>
            <w:tcW w:w="1283" w:type="dxa"/>
            <w:shd w:val="clear" w:color="auto" w:fill="F1F1F1"/>
            <w:vAlign w:val="center"/>
          </w:tcPr>
          <w:p w14:paraId="14309DB2">
            <w:pPr>
              <w:spacing w:after="0"/>
              <w:jc w:val="center"/>
              <w:rPr>
                <w:rFonts w:hint="eastAsia" w:ascii="Calibri" w:hAnsi="Calibri" w:eastAsia="微软雅黑" w:cs="Calibri"/>
                <w:bCs/>
                <w:sz w:val="24"/>
                <w:szCs w:val="24"/>
                <w:lang w:val="en-US" w:eastAsia="zh-CN" w:bidi="ar-SA"/>
              </w:rPr>
            </w:pPr>
            <w:r>
              <w:rPr>
                <w:rFonts w:hint="eastAsia" w:ascii="Calibri" w:hAnsi="Calibri" w:cs="Calibri"/>
                <w:bCs/>
                <w:sz w:val="24"/>
                <w:szCs w:val="24"/>
                <w:lang w:bidi="ar"/>
              </w:rPr>
              <w:t>POLE</w:t>
            </w:r>
          </w:p>
        </w:tc>
        <w:tc>
          <w:tcPr>
            <w:tcW w:w="1283" w:type="dxa"/>
            <w:shd w:val="clear" w:color="auto" w:fill="F1F1F1"/>
            <w:vAlign w:val="center"/>
          </w:tcPr>
          <w:p w14:paraId="2EA9D5CF">
            <w:pPr>
              <w:spacing w:after="0"/>
              <w:jc w:val="center"/>
              <w:rPr>
                <w:rFonts w:hint="eastAsia" w:ascii="Calibri" w:hAnsi="Calibri" w:eastAsia="微软雅黑" w:cs="Calibri"/>
                <w:bCs/>
                <w:sz w:val="24"/>
                <w:szCs w:val="24"/>
                <w:lang w:val="en-US" w:eastAsia="zh-CN" w:bidi="ar-SA"/>
              </w:rPr>
            </w:pPr>
            <w:r>
              <w:rPr>
                <w:rFonts w:hint="eastAsia" w:ascii="Calibri" w:hAnsi="Calibri" w:cs="Calibri"/>
                <w:bCs/>
                <w:sz w:val="24"/>
                <w:szCs w:val="24"/>
                <w:lang w:bidi="ar"/>
              </w:rPr>
              <w:t>PTEN</w:t>
            </w:r>
          </w:p>
        </w:tc>
        <w:tc>
          <w:tcPr>
            <w:tcW w:w="1283" w:type="dxa"/>
            <w:shd w:val="clear" w:color="auto" w:fill="F1F1F1"/>
            <w:vAlign w:val="center"/>
          </w:tcPr>
          <w:p w14:paraId="68AC4B01">
            <w:pPr>
              <w:spacing w:after="0"/>
              <w:jc w:val="center"/>
              <w:rPr>
                <w:rFonts w:ascii="Calibri" w:hAnsi="Calibri" w:eastAsia="微软雅黑" w:cs="Calibri"/>
                <w:bCs/>
                <w:sz w:val="24"/>
                <w:szCs w:val="24"/>
                <w:lang w:val="en-US" w:eastAsia="zh-CN" w:bidi="ar-SA"/>
              </w:rPr>
            </w:pPr>
            <w:r>
              <w:rPr>
                <w:rFonts w:hint="eastAsia" w:ascii="Calibri" w:hAnsi="Calibri" w:eastAsia="微软雅黑" w:cs="Calibri"/>
                <w:bCs/>
                <w:sz w:val="24"/>
                <w:szCs w:val="24"/>
                <w:lang w:val="en-US" w:eastAsia="zh-CN" w:bidi="ar-SA"/>
              </w:rPr>
              <w:t>SMARCA4</w:t>
            </w:r>
          </w:p>
        </w:tc>
        <w:tc>
          <w:tcPr>
            <w:tcW w:w="1287" w:type="dxa"/>
            <w:shd w:val="clear" w:color="auto" w:fill="F1F1F1"/>
            <w:vAlign w:val="center"/>
          </w:tcPr>
          <w:p w14:paraId="39EEEFDF">
            <w:pPr>
              <w:spacing w:after="0"/>
              <w:jc w:val="center"/>
              <w:rPr>
                <w:rFonts w:ascii="Calibri" w:hAnsi="Calibri" w:eastAsia="微软雅黑" w:cs="Calibri"/>
                <w:bCs/>
                <w:sz w:val="24"/>
                <w:szCs w:val="24"/>
                <w:lang w:val="en-US" w:eastAsia="zh-CN" w:bidi="ar-SA"/>
              </w:rPr>
            </w:pPr>
            <w:r>
              <w:rPr>
                <w:rFonts w:hint="eastAsia" w:ascii="Calibri" w:hAnsi="Calibri" w:eastAsia="微软雅黑" w:cs="Calibri"/>
                <w:bCs/>
                <w:sz w:val="24"/>
                <w:szCs w:val="24"/>
                <w:lang w:val="en-US" w:eastAsia="zh-CN" w:bidi="ar-SA"/>
              </w:rPr>
              <w:t>SMARCB1</w:t>
            </w:r>
          </w:p>
        </w:tc>
      </w:tr>
      <w:tr w14:paraId="43E14A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0" w:hRule="atLeast"/>
        </w:trPr>
        <w:tc>
          <w:tcPr>
            <w:tcW w:w="1283" w:type="dxa"/>
            <w:shd w:val="clear" w:color="auto" w:fill="auto"/>
            <w:vAlign w:val="center"/>
          </w:tcPr>
          <w:p w14:paraId="27B12C69">
            <w:pPr>
              <w:spacing w:after="0"/>
              <w:jc w:val="center"/>
              <w:rPr>
                <w:rFonts w:hint="eastAsia" w:ascii="Calibri" w:hAnsi="Calibri" w:eastAsia="微软雅黑" w:cs="Calibri"/>
                <w:b w:val="0"/>
                <w:bCs w:val="0"/>
                <w:sz w:val="24"/>
                <w:szCs w:val="24"/>
                <w:lang w:val="en-US" w:eastAsia="zh-CN" w:bidi="ar-SA"/>
              </w:rPr>
            </w:pPr>
            <w:r>
              <w:rPr>
                <w:rFonts w:hint="eastAsia" w:ascii="Calibri" w:hAnsi="Calibri" w:cs="Calibri"/>
                <w:bCs/>
                <w:sz w:val="24"/>
                <w:szCs w:val="24"/>
                <w:lang w:bidi="ar"/>
              </w:rPr>
              <w:t>TP53</w:t>
            </w:r>
          </w:p>
        </w:tc>
        <w:tc>
          <w:tcPr>
            <w:tcW w:w="1283" w:type="dxa"/>
            <w:shd w:val="clear" w:color="auto" w:fill="auto"/>
            <w:vAlign w:val="center"/>
          </w:tcPr>
          <w:p w14:paraId="4A12829E">
            <w:pPr>
              <w:spacing w:after="0"/>
              <w:jc w:val="center"/>
              <w:rPr>
                <w:rFonts w:hint="eastAsia" w:ascii="Calibri" w:hAnsi="Calibri" w:eastAsia="微软雅黑" w:cs="Calibri"/>
                <w:bCs/>
                <w:sz w:val="24"/>
                <w:szCs w:val="24"/>
                <w:lang w:val="en-US" w:eastAsia="zh-CN" w:bidi="ar-SA"/>
              </w:rPr>
            </w:pPr>
          </w:p>
        </w:tc>
        <w:tc>
          <w:tcPr>
            <w:tcW w:w="1283" w:type="dxa"/>
            <w:shd w:val="clear" w:color="auto" w:fill="auto"/>
            <w:vAlign w:val="center"/>
          </w:tcPr>
          <w:p w14:paraId="6A5DFED2">
            <w:pPr>
              <w:spacing w:after="0"/>
              <w:jc w:val="center"/>
              <w:rPr>
                <w:rFonts w:hint="eastAsia" w:ascii="Calibri" w:hAnsi="Calibri" w:eastAsia="微软雅黑" w:cs="Calibri"/>
                <w:bCs/>
                <w:sz w:val="24"/>
                <w:szCs w:val="24"/>
                <w:lang w:val="en-US" w:eastAsia="zh-CN" w:bidi="ar-SA"/>
              </w:rPr>
            </w:pPr>
          </w:p>
        </w:tc>
        <w:tc>
          <w:tcPr>
            <w:tcW w:w="1283" w:type="dxa"/>
            <w:shd w:val="clear" w:color="auto" w:fill="auto"/>
            <w:vAlign w:val="center"/>
          </w:tcPr>
          <w:p w14:paraId="46A7A15A">
            <w:pPr>
              <w:spacing w:after="0"/>
              <w:jc w:val="center"/>
              <w:rPr>
                <w:rFonts w:hint="eastAsia" w:ascii="Calibri" w:hAnsi="Calibri" w:eastAsia="微软雅黑" w:cs="Calibri"/>
                <w:bCs/>
                <w:sz w:val="24"/>
                <w:szCs w:val="24"/>
                <w:lang w:val="en-US" w:eastAsia="zh-CN" w:bidi="ar-SA"/>
              </w:rPr>
            </w:pPr>
          </w:p>
        </w:tc>
        <w:tc>
          <w:tcPr>
            <w:tcW w:w="1283" w:type="dxa"/>
            <w:shd w:val="clear" w:color="auto" w:fill="auto"/>
            <w:vAlign w:val="center"/>
          </w:tcPr>
          <w:p w14:paraId="7B08FB40">
            <w:pPr>
              <w:spacing w:after="0"/>
              <w:jc w:val="center"/>
              <w:rPr>
                <w:rFonts w:hint="eastAsia" w:ascii="Calibri" w:hAnsi="Calibri" w:eastAsia="微软雅黑" w:cs="Calibri"/>
                <w:bCs/>
                <w:sz w:val="24"/>
                <w:szCs w:val="24"/>
                <w:lang w:val="en-US" w:eastAsia="zh-CN" w:bidi="ar-SA"/>
              </w:rPr>
            </w:pPr>
          </w:p>
        </w:tc>
        <w:tc>
          <w:tcPr>
            <w:tcW w:w="1283" w:type="dxa"/>
            <w:shd w:val="clear" w:color="auto" w:fill="auto"/>
            <w:vAlign w:val="center"/>
          </w:tcPr>
          <w:p w14:paraId="519860EB">
            <w:pPr>
              <w:jc w:val="center"/>
              <w:rPr>
                <w:rFonts w:ascii="Calibri" w:hAnsi="Calibri" w:eastAsia="微软雅黑" w:cs="Calibri"/>
                <w:bCs/>
                <w:sz w:val="24"/>
                <w:szCs w:val="24"/>
                <w:lang w:val="en-US" w:eastAsia="zh-CN" w:bidi="ar-SA"/>
              </w:rPr>
            </w:pPr>
          </w:p>
        </w:tc>
        <w:tc>
          <w:tcPr>
            <w:tcW w:w="1287" w:type="dxa"/>
            <w:shd w:val="clear" w:color="auto" w:fill="auto"/>
            <w:vAlign w:val="center"/>
          </w:tcPr>
          <w:p w14:paraId="7569DA60">
            <w:pPr>
              <w:jc w:val="center"/>
              <w:rPr>
                <w:rFonts w:ascii="Calibri" w:hAnsi="Calibri" w:eastAsia="微软雅黑" w:cs="Calibri"/>
                <w:bCs/>
                <w:sz w:val="24"/>
                <w:szCs w:val="24"/>
                <w:lang w:val="en-US" w:eastAsia="zh-CN" w:bidi="ar-SA"/>
              </w:rPr>
            </w:pPr>
          </w:p>
        </w:tc>
      </w:tr>
    </w:tbl>
    <w:p w14:paraId="1300E100">
      <w:pPr>
        <w:adjustRightInd/>
        <w:snapToGrid/>
        <w:spacing w:before="200"/>
        <w:rPr>
          <w:rFonts w:ascii="微软雅黑" w:hAnsi="微软雅黑"/>
          <w:b/>
          <w:color w:val="00C4D8"/>
          <w:sz w:val="28"/>
          <w:szCs w:val="28"/>
        </w:rPr>
      </w:pPr>
      <w:r>
        <w:rPr>
          <w:rFonts w:hint="eastAsia" w:ascii="微软雅黑" w:hAnsi="微软雅黑"/>
          <w:b/>
          <w:color w:val="00C4D8"/>
          <w:sz w:val="28"/>
          <w:szCs w:val="28"/>
        </w:rPr>
        <w:br w:type="page"/>
      </w:r>
    </w:p>
    <w:p w14:paraId="1530CDBE">
      <w:pPr>
        <w:adjustRightInd/>
        <w:snapToGrid/>
        <w:spacing w:before="320" w:after="8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147F6699">
      <w:pPr>
        <w:pStyle w:val="13"/>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7842E941">
      <w:pPr>
        <w:adjustRightInd/>
        <w:snapToGrid/>
        <w:spacing w:before="320" w:after="80"/>
        <w:rPr>
          <w:rFonts w:ascii="微软雅黑" w:hAnsi="微软雅黑"/>
          <w:b/>
          <w:color w:val="00C4D8"/>
          <w:sz w:val="28"/>
          <w:szCs w:val="28"/>
        </w:rPr>
      </w:pPr>
      <w:r>
        <w:rPr>
          <w:rFonts w:hint="eastAsia" w:ascii="微软雅黑" w:hAnsi="微软雅黑"/>
          <w:b/>
          <w:color w:val="00C4D8"/>
          <w:sz w:val="28"/>
          <w:szCs w:val="28"/>
        </w:rPr>
        <w:t>高通量测序局限性</w:t>
      </w:r>
    </w:p>
    <w:p w14:paraId="19D7E363">
      <w:pPr>
        <w:pStyle w:val="13"/>
        <w:adjustRightInd/>
        <w:snapToGrid/>
        <w:spacing w:before="60" w:beforeAutospacing="0" w:after="60" w:afterAutospacing="0" w:line="288"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w:t>
      </w:r>
    </w:p>
    <w:p w14:paraId="5005EFC7">
      <w:pPr>
        <w:pStyle w:val="13"/>
        <w:adjustRightInd/>
        <w:snapToGrid/>
        <w:spacing w:before="60" w:beforeAutospacing="0" w:after="60" w:afterAutospacing="0" w:line="288" w:lineRule="auto"/>
        <w:jc w:val="both"/>
        <w:rPr>
          <w:rFonts w:ascii="微软雅黑" w:hAnsi="微软雅黑" w:cs="微软雅黑"/>
          <w:sz w:val="21"/>
          <w:szCs w:val="21"/>
        </w:rPr>
      </w:pPr>
      <w:r>
        <w:rPr>
          <w:rFonts w:hint="eastAsia" w:ascii="微软雅黑" w:hAnsi="微软雅黑" w:cs="微软雅黑"/>
          <w:sz w:val="21"/>
          <w:szCs w:val="21"/>
        </w:rPr>
        <w:t>2. 血浆中循环DNA源自病灶部位细胞释放入血液，并非所有病变细胞的变异都能释放入血，因此血浆中可检测到的变异可能无法完全反映病灶部位全部细胞变异情况。</w:t>
      </w:r>
    </w:p>
    <w:p w14:paraId="53913103">
      <w:pPr>
        <w:pStyle w:val="13"/>
        <w:adjustRightInd/>
        <w:snapToGrid/>
        <w:spacing w:before="60" w:beforeAutospacing="0" w:after="60" w:afterAutospacing="0" w:line="288"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0673926E">
      <w:pPr>
        <w:pStyle w:val="13"/>
        <w:adjustRightInd/>
        <w:snapToGrid/>
        <w:spacing w:before="60" w:beforeAutospacing="0" w:after="60" w:afterAutospacing="0" w:line="288"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0DBF679C">
      <w:pPr>
        <w:pStyle w:val="13"/>
        <w:adjustRightInd/>
        <w:snapToGrid/>
        <w:spacing w:before="60" w:beforeAutospacing="0" w:after="60" w:afterAutospacing="0" w:line="288" w:lineRule="auto"/>
        <w:jc w:val="both"/>
        <w:rPr>
          <w:rFonts w:ascii="微软雅黑" w:hAnsi="微软雅黑" w:cs="微软雅黑"/>
          <w:sz w:val="21"/>
          <w:szCs w:val="21"/>
        </w:rPr>
      </w:pPr>
      <w:r>
        <w:rPr>
          <w:rFonts w:ascii="微软雅黑" w:hAnsi="微软雅黑" w:cs="微软雅黑"/>
          <w:sz w:val="21"/>
          <w:szCs w:val="21"/>
        </w:rPr>
        <w:t>5.</w:t>
      </w:r>
      <w:r>
        <w:rPr>
          <w:rFonts w:hint="eastAsia" w:ascii="微软雅黑" w:hAnsi="微软雅黑" w:cs="微软雅黑"/>
          <w:sz w:val="21"/>
          <w:szCs w:val="21"/>
        </w:rPr>
        <w:t>部分基因与药物对应关系，目前仅限于临床试验科学研究阶段，尚未进入临床指南，需临床医生酌情参考。</w:t>
      </w:r>
    </w:p>
    <w:p w14:paraId="4098CE94">
      <w:pPr>
        <w:adjustRightInd/>
        <w:snapToGrid/>
        <w:spacing w:after="0"/>
        <w:rPr>
          <w:rFonts w:ascii="微软雅黑" w:hAnsi="微软雅黑"/>
          <w:b/>
          <w:color w:val="00C4D8"/>
          <w:sz w:val="28"/>
          <w:szCs w:val="28"/>
        </w:rPr>
      </w:pPr>
    </w:p>
    <w:p w14:paraId="1E0795F4">
      <w:pPr>
        <w:rPr>
          <w:rFonts w:hint="eastAsia" w:ascii="微软雅黑" w:hAnsi="微软雅黑"/>
          <w:b/>
          <w:color w:val="00C4D8"/>
          <w:sz w:val="28"/>
          <w:szCs w:val="28"/>
        </w:rPr>
      </w:pPr>
      <w:r>
        <w:rPr>
          <w:rFonts w:hint="eastAsia" w:ascii="微软雅黑" w:hAnsi="微软雅黑"/>
          <w:b/>
          <w:color w:val="00C4D8"/>
          <w:sz w:val="28"/>
          <w:szCs w:val="28"/>
        </w:rPr>
        <w:br w:type="page"/>
      </w:r>
    </w:p>
    <w:p w14:paraId="772CF4D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4B7F3B6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6D9CF106">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2252F061">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2E947652">
      <w:pPr>
        <w:spacing w:line="300" w:lineRule="auto"/>
        <w:ind w:firstLine="420" w:firstLineChars="200"/>
        <w:jc w:val="both"/>
        <w:rPr>
          <w:sz w:val="21"/>
          <w:szCs w:val="21"/>
        </w:rPr>
      </w:pPr>
    </w:p>
    <w:p w14:paraId="56D32D19">
      <w:pPr>
        <w:spacing w:line="300" w:lineRule="auto"/>
        <w:ind w:firstLine="420" w:firstLineChars="200"/>
        <w:jc w:val="both"/>
        <w:rPr>
          <w:sz w:val="21"/>
          <w:szCs w:val="21"/>
        </w:rPr>
      </w:pPr>
    </w:p>
    <w:p w14:paraId="4345CCC7">
      <w:pPr>
        <w:spacing w:line="300" w:lineRule="auto"/>
        <w:ind w:firstLine="420" w:firstLineChars="200"/>
        <w:jc w:val="both"/>
        <w:rPr>
          <w:sz w:val="21"/>
          <w:szCs w:val="21"/>
        </w:rPr>
      </w:pPr>
    </w:p>
    <w:p w14:paraId="74891900">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3098DECC">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1A4BDF40">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r>
        <w:rPr>
          <w:sz w:val="21"/>
          <w:szCs w:val="21"/>
        </w:rPr>
        <w:drawing>
          <wp:anchor distT="0" distB="0" distL="114300" distR="114300" simplePos="0" relativeHeight="251665408" behindDoc="0" locked="0" layoutInCell="1" allowOverlap="1">
            <wp:simplePos x="0" y="0"/>
            <wp:positionH relativeFrom="column">
              <wp:posOffset>3727450</wp:posOffset>
            </wp:positionH>
            <wp:positionV relativeFrom="paragraph">
              <wp:posOffset>-641350</wp:posOffset>
            </wp:positionV>
            <wp:extent cx="1292860" cy="1292225"/>
            <wp:effectExtent l="0" t="0" r="2540" b="3175"/>
            <wp:wrapSquare wrapText="bothSides"/>
            <wp:docPr id="102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descr="IMG_256"/>
                    <pic:cNvPicPr>
                      <a:picLocks noChangeAspect="1"/>
                    </pic:cNvPicPr>
                  </pic:nvPicPr>
                  <pic:blipFill>
                    <a:blip r:embed="rId24"/>
                    <a:stretch>
                      <a:fillRect/>
                    </a:stretch>
                  </pic:blipFill>
                  <pic:spPr>
                    <a:xfrm>
                      <a:off x="0" y="0"/>
                      <a:ext cx="1292860" cy="1292225"/>
                    </a:xfrm>
                    <a:prstGeom prst="rect">
                      <a:avLst/>
                    </a:prstGeom>
                    <a:solidFill>
                      <a:srgbClr val="79CED5"/>
                    </a:solidFill>
                    <a:ln w="9525">
                      <a:noFill/>
                    </a:ln>
                  </pic:spPr>
                </pic:pic>
              </a:graphicData>
            </a:graphic>
          </wp:anchor>
        </w:drawing>
      </w:r>
    </w:p>
    <w:p w14:paraId="146098BB">
      <w:pPr>
        <w:ind w:firstLine="360" w:firstLineChars="200"/>
        <w:rPr>
          <w:rFonts w:ascii="微软雅黑" w:hAnsi="微软雅黑" w:cs="微软雅黑"/>
          <w:sz w:val="18"/>
          <w:szCs w:val="18"/>
        </w:rPr>
      </w:pPr>
      <w:r>
        <w:rPr>
          <w:rFonts w:hint="eastAsia" w:ascii="微软雅黑" w:hAnsi="微软雅黑" w:cs="微软雅黑"/>
          <w:sz w:val="18"/>
          <w:szCs w:val="18"/>
        </w:rPr>
        <w:t>网站：www.marvelbio.com</w:t>
      </w:r>
    </w:p>
    <w:p w14:paraId="17F45F62">
      <w:pPr>
        <w:spacing w:line="300" w:lineRule="auto"/>
        <w:ind w:firstLine="420" w:firstLineChars="200"/>
        <w:jc w:val="both"/>
        <w:rPr>
          <w:sz w:val="21"/>
          <w:szCs w:val="21"/>
        </w:rPr>
      </w:pPr>
    </w:p>
    <w:p w14:paraId="2B0B2BFA">
      <w:pPr>
        <w:spacing w:after="0"/>
        <w:ind w:firstLine="420" w:firstLineChars="200"/>
        <w:jc w:val="both"/>
        <w:rPr>
          <w:rFonts w:ascii="微软雅黑" w:hAnsi="微软雅黑"/>
          <w:kern w:val="2"/>
          <w:sz w:val="21"/>
          <w:szCs w:val="21"/>
        </w:rPr>
      </w:pPr>
    </w:p>
    <w:p w14:paraId="43E6535C">
      <w:pPr>
        <w:adjustRightInd/>
        <w:snapToGrid/>
        <w:spacing w:after="0"/>
        <w:rPr>
          <w:rFonts w:ascii="微软雅黑" w:hAnsi="微软雅黑"/>
        </w:rPr>
        <w:sectPr>
          <w:footerReference r:id="rId8" w:type="default"/>
          <w:pgSz w:w="11906" w:h="16838"/>
          <w:pgMar w:top="1440" w:right="1800" w:bottom="1440" w:left="1800" w:header="709" w:footer="708" w:gutter="0"/>
          <w:cols w:space="708" w:num="1"/>
          <w:docGrid w:linePitch="360" w:charSpace="0"/>
        </w:sectPr>
      </w:pPr>
    </w:p>
    <w:bookmarkEnd w:id="13"/>
    <w:bookmarkEnd w:id="14"/>
    <w:p w14:paraId="763247A5">
      <w:pPr>
        <w:spacing w:after="0"/>
        <w:jc w:val="center"/>
      </w:pPr>
      <w:r>
        <w:drawing>
          <wp:anchor distT="0" distB="0" distL="114300" distR="114300" simplePos="0" relativeHeight="251672576" behindDoc="0" locked="0" layoutInCell="1" allowOverlap="1">
            <wp:simplePos x="0" y="0"/>
            <wp:positionH relativeFrom="column">
              <wp:posOffset>-465455</wp:posOffset>
            </wp:positionH>
            <wp:positionV relativeFrom="paragraph">
              <wp:posOffset>-977900</wp:posOffset>
            </wp:positionV>
            <wp:extent cx="7567930" cy="10687050"/>
            <wp:effectExtent l="0" t="0" r="13970" b="0"/>
            <wp:wrapSquare wrapText="bothSides"/>
            <wp:docPr id="1021" name="图片 3" descr="微信图片_2023020715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descr="微信图片_20230207154001"/>
                    <pic:cNvPicPr>
                      <a:picLocks noChangeAspect="1"/>
                    </pic:cNvPicPr>
                  </pic:nvPicPr>
                  <pic:blipFill>
                    <a:blip r:embed="rId25"/>
                    <a:stretch>
                      <a:fillRect/>
                    </a:stretch>
                  </pic:blipFill>
                  <pic:spPr>
                    <a:xfrm>
                      <a:off x="0" y="0"/>
                      <a:ext cx="7567930" cy="10687050"/>
                    </a:xfrm>
                    <a:prstGeom prst="rect">
                      <a:avLst/>
                    </a:prstGeom>
                  </pic:spPr>
                </pic:pic>
              </a:graphicData>
            </a:graphic>
          </wp:anchor>
        </w:drawing>
      </w:r>
      <w:r>
        <mc:AlternateContent>
          <mc:Choice Requires="wps">
            <w:drawing>
              <wp:anchor distT="0" distB="0" distL="114300" distR="114300" simplePos="0" relativeHeight="251670528" behindDoc="0" locked="0" layoutInCell="1" allowOverlap="1">
                <wp:simplePos x="0" y="0"/>
                <wp:positionH relativeFrom="column">
                  <wp:posOffset>1631315</wp:posOffset>
                </wp:positionH>
                <wp:positionV relativeFrom="paragraph">
                  <wp:posOffset>-881380</wp:posOffset>
                </wp:positionV>
                <wp:extent cx="1394460" cy="224790"/>
                <wp:effectExtent l="12700" t="12700" r="21590" b="29210"/>
                <wp:wrapNone/>
                <wp:docPr id="1022" name="矩形 20"/>
                <wp:cNvGraphicFramePr/>
                <a:graphic xmlns:a="http://schemas.openxmlformats.org/drawingml/2006/main">
                  <a:graphicData uri="http://schemas.microsoft.com/office/word/2010/wordprocessingShape">
                    <wps:wsp>
                      <wps:cNvSpPr/>
                      <wps:spPr>
                        <a:xfrm>
                          <a:off x="2088515" y="8698230"/>
                          <a:ext cx="1394460" cy="2247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0" o:spid="_x0000_s1026" o:spt="1" style="position:absolute;left:0pt;margin-left:128.45pt;margin-top:-69.4pt;height:17.7pt;width:109.8pt;z-index:251670528;v-text-anchor:middle;mso-width-relative:page;mso-height-relative:page;" fillcolor="#FFFFFF [3212]" filled="t" stroked="t" coordsize="21600,21600" o:gfxdata="UEsDBAoAAAAAAIdO4kAAAAAAAAAAAAAAAAAEAAAAZHJzL1BLAwQUAAAACACHTuJAn3/hWN0AAAAN&#10;AQAADwAAAGRycy9kb3ducmV2LnhtbE2PwW7CMAyG75P2DpEn7QZJoXSsa8ph0iR2GnQIOJo2S6s1&#10;SdUEWvb0M6ftaPvT7+/PVqNp2UX1vnFWQjQVwJQtXdVYLWH3+TZZAvMBbYWts0rCVXlY5fd3GaaV&#10;G+xWXYqgGYVYn6KEOoQu5dyXtTLop65Tlm5frjcYaOw1r3ocKNy0fCZEwg02lj7U2KnXWpXfxdlI&#10;2Fz17mfsDu+6/MBhv94ci/UxlvLxIRIvwIIawx8MN31Sh5ycTu5sK89aCbNF8kyohEk0X1IJQuKn&#10;ZAHsdFuJeQw8z/j/FvkvUEsDBBQAAAAIAIdO4kA+KEA9cAIAAO0EAAAOAAAAZHJzL2Uyb0RvYy54&#10;bWytVEtu2zAQ3RfoHQjuG8mKnNhG5MCI4aJA0AZIi65pirIE8FeS/qSXKdBdD9HjFL1GHyklTtIu&#10;sqgX9Ixm+GbmzQwvLg9Kkp1wvjO6oqOTnBKhuak7vanop4+rNxNKfGC6ZtJoUdE74enl/PWri72d&#10;icK0RtbCEYBoP9vbirYh2FmWed4KxfyJsULD2BinWIDqNlnt2B7oSmZFnp9le+Nq6wwX3uPrsjfS&#10;AdG9BNA0TcfF0vCtEjr0qE5IFlCSbzvr6Txl2zSChw9N40UgsqKoNKQTQSCv45nNL9hs45htOz6k&#10;wF6SwrOaFOs0gj5ALVlgZOu6v6BUx53xpgkn3KisLyQxgipG+TNubltmRaoFVHv7QLr/f7D8/e7G&#10;ka7GJORFQYlmCj3//e3Hr5/fSZH42Vs/g9utvXFgK2oeYiz20DgV/1EGOVS0yCeT8WhMyV1FJ2fT&#10;SXE68CsOgXA4jE6nZXkG6jk8iqI8nyaH7IhknQ9vhVEkChV16F+ile2ufUB0uN67xMDeyK5edVIm&#10;xW3WV9KRHUOvV+kX24srT9ykJntEH5d5TIRhghtMDkRlwYLXG0qY3GA1eHAp9pPb/mVBYpJL5ts+&#10;mYQw5CI1UjqSGKW1qe/QBGf66fSWrzrcv2Y+3DCHcUSiWNjwAUcjDbI3g0RJa9zXf32P/pgSWCnZ&#10;Y7xR2Zctc4IS+U5jfqajsgRsSEo5PkeriXtsWT+26K26MmB1hKfB8iRG/yDvxcYZ9Rl7vYhRYWKa&#10;I3bP4aBchX7t8DJwsVgkN+yAZeFa31oewWMXtVlsg2m61O0jOwNp2ILU0WFj45o91pPX8ZWa/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ff+FY3QAAAA0BAAAPAAAAAAAAAAEAIAAAACIAAABkcnMv&#10;ZG93bnJldi54bWxQSwECFAAUAAAACACHTuJAPihAPXACAADtBAAADgAAAAAAAAABACAAAAAsAQAA&#10;ZHJzL2Uyb0RvYy54bWxQSwUGAAAAAAYABgBZAQAADgYAAAAA&#10;">
                <v:fill on="t" focussize="0,0"/>
                <v:stroke weight="2pt" color="#FFFFFF [3212]" joinstyle="round"/>
                <v:imagedata o:title=""/>
                <o:lock v:ext="edit" aspectratio="f"/>
              </v:rect>
            </w:pict>
          </mc:Fallback>
        </mc:AlternateContent>
      </w:r>
    </w:p>
    <w:sectPr>
      <w:headerReference r:id="rId10" w:type="first"/>
      <w:footerReference r:id="rId11" w:type="default"/>
      <w:headerReference r:id="rId9" w:type="even"/>
      <w:pgSz w:w="11906" w:h="16838"/>
      <w:pgMar w:top="720" w:right="720" w:bottom="720" w:left="720" w:header="709"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幼圆">
    <w:altName w:val="宋体"/>
    <w:panose1 w:val="0201050906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8F35D">
    <w:pPr>
      <w:pStyle w:val="8"/>
      <w:jc w:val="center"/>
      <w:rPr>
        <w:sz w:val="21"/>
        <w:szCs w:val="21"/>
      </w:rPr>
    </w:pPr>
  </w:p>
  <w:p w14:paraId="1F2C7F79">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04367">
    <w:pPr>
      <w:pStyle w:val="8"/>
      <w:jc w:val="center"/>
      <w:rPr>
        <w:sz w:val="21"/>
        <w:szCs w:val="21"/>
      </w:rPr>
    </w:pPr>
  </w:p>
  <w:p w14:paraId="403F131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7E024">
    <w:pPr>
      <w:pStyle w:val="8"/>
      <w:pBdr>
        <w:top w:val="single" w:color="auto" w:sz="4" w:space="0"/>
      </w:pBdr>
      <w:jc w:val="center"/>
      <w:rPr>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02A19F3D">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wE/cNEBAAClAwAADgAAAGRycy9lMm9Eb2MueG1srVPBjtMwEL0j8Q+W&#10;7zTZil2VqOkKVC1CQoC0ywe4jtNYsj2Wx23SH4A/4MSFO9/V72DsJF20XPbAxZnxzDzPezNZ3w7W&#10;sKMKqMHV/GpRcqachEa7fc2/Pty9WnGGUbhGGHCq5ieF/Hbz8sW695VaQgemUYERiMOq9zXvYvRV&#10;UaDslBW4AK8cBVsIVkRyw75ogugJ3ZpiWZY3RQ+h8QGkQqTb7RjkE2J4DiC0rZZqC/JglYsjalBG&#10;RKKEnfbIN7nbtlUyfm5bVJGZmhPTmE96hOxdOovNWlT7IHyn5dSCeE4LTzhZoR09eoHaiijYIeh/&#10;oKyWARDauJBgi5FIVoRYXJVPtLnvhFeZC0mN/iI6/j9Y+en4JTDd0CbccOaEpYmff3w///x9/vWN&#10;vU769B4rSrv3lBiHdzBQ7nyPdJloD22w6UuEGMVJ3dNFXTVEJlPRarlalRSSFJsdwi8ey33A+F6B&#10;ZcmoeaDxZVXF8SPGMXVOSa85uNPG5BEax/qav7leXueCS4TAjUu5Ki/DBJMoja0nKw67YeK5g+ZE&#10;NHtaiJo72n/OzAdHeqfdmY0wG7vJSPjo3x4i9ZPbTKgjFNFLDk0vE502La3H337Oevy7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ql5uc8AAAAFAQAADwAAAAAAAAABACAAAAAiAAAAZHJzL2Rv&#10;d25yZXYueG1sUEsBAhQAFAAAAAgAh07iQGMBP3DRAQAApQMAAA4AAAAAAAAAAQAgAAAAHgEAAGRy&#10;cy9lMm9Eb2MueG1sUEsFBgAAAAAGAAYAWQEAAGEFAAAAAA==&#10;">
              <v:fill on="f" focussize="0,0"/>
              <v:stroke on="f"/>
              <v:imagedata o:title=""/>
              <o:lock v:ext="edit" aspectratio="f"/>
              <v:textbox inset="0mm,0mm,0mm,0mm" style="mso-fit-shape-to-text:t;">
                <w:txbxContent>
                  <w:p w14:paraId="02A19F3D">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0EE5611E">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C969B">
    <w:pPr>
      <w:pStyle w:val="8"/>
      <w:pBdr>
        <w:top w:val="single" w:color="auto" w:sz="4" w:space="0"/>
      </w:pBdr>
      <w:jc w:val="center"/>
      <w:rPr>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3B9862F4">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12</w:t>
                          </w:r>
                          <w:r>
                            <w:rPr>
                              <w:rFonts w:hint="eastAsia"/>
                              <w:sz w:val="21"/>
                              <w:szCs w:val="21"/>
                            </w:rPr>
                            <w:fldChar w:fldCharType="end"/>
                          </w:r>
                        </w:p>
                      </w:txbxContent>
                    </wps:txbx>
                    <wps:bodyPr wrap="none" lIns="0" tIns="0" rIns="0" bIns="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xpF9dEBAAClAwAADgAAAGRycy9lMm9Eb2MueG1srVPNjtMwEL4j8Q6W&#10;7zTZSAshqrtaVC1CQoC08ACu4zSW/CeP26QvAG/AiQt3nqvPwdhJumi57GEvzoxn5vN830zWN6PR&#10;5CgDKGcZvVqVlEgrXKvsntFvX+9e1ZRA5Lbl2lnJ6EkCvdm8fLEefCMr1zvdykAQxEIzeEb7GH1T&#10;FCB6aTisnJcWg50Lhkd0w75oAx8Q3eiiKsvXxeBC64MTEgBvt1OQzojhKYCu65SQWycORto4oQap&#10;eURK0CsPdJO77Top4ueuAxmJZhSZxnziI2jv0lls1rzZB+57JeYW+FNaeMTJcGXx0QvUlkdODkH9&#10;B2WUCA5cF1fCmWIikhVBFlflI23ue+5l5oJSg7+IDs8HKz4dvwSiWkarN5RYbnDi558/zr/+nH9/&#10;J3XSZ/DQYNq9x8Q4vnMjbs1yD3iZaI9dMOmLhAjGUd3TRV05RiJSUV3VdYkhgbHFQfziodwHiO+l&#10;MyQZjAYcX1aVHz9CnFKXlPSadXdK6zxCbcnA6Nvr6joXXCIIrm3KlXkZZphEaWo9WXHcjTPPnWtP&#10;SHPAhWDU4v5Toj9Y1DvtzmKExdjNRsIHf3uI2E9uM6FOUEgvOTi9THTetLQe//o56+Hv2vw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ql5uc8AAAAFAQAADwAAAAAAAAABACAAAAAiAAAAZHJzL2Rv&#10;d25yZXYueG1sUEsBAhQAFAAAAAgAh07iQK8aRfXRAQAApQMAAA4AAAAAAAAAAQAgAAAAHgEAAGRy&#10;cy9lMm9Eb2MueG1sUEsFBgAAAAAGAAYAWQEAAGEFAAAAAA==&#10;">
              <v:fill on="f" focussize="0,0"/>
              <v:stroke on="f"/>
              <v:imagedata o:title=""/>
              <o:lock v:ext="edit" aspectratio="f"/>
              <v:textbox inset="0mm,0mm,0mm,0mm" style="mso-fit-shape-to-text:t;">
                <w:txbxContent>
                  <w:p w14:paraId="3B9862F4">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12</w:t>
                    </w:r>
                    <w:r>
                      <w:rPr>
                        <w:rFonts w:hint="eastAsia"/>
                        <w:sz w:val="21"/>
                        <w:szCs w:val="21"/>
                      </w:rPr>
                      <w:fldChar w:fldCharType="end"/>
                    </w:r>
                  </w:p>
                </w:txbxContent>
              </v:textbox>
            </v:shape>
          </w:pict>
        </mc:Fallback>
      </mc:AlternateContent>
    </w:r>
  </w:p>
  <w:p w14:paraId="6C2850F5">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FBF22">
    <w:pPr>
      <w:pStyle w:val="8"/>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4D2D7D4">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16</w:t>
                          </w:r>
                          <w:r>
                            <w:rPr>
                              <w:rFonts w:hint="eastAsia"/>
                              <w:sz w:val="18"/>
                            </w:rPr>
                            <w:fldChar w:fldCharType="end"/>
                          </w:r>
                        </w:p>
                      </w:txbxContent>
                    </wps:txbx>
                    <wps:bodyPr wrap="none" lIns="0" tIns="0" rIns="0" bIns="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MWVMtEBAACmAwAADgAAAGRycy9lMm9Eb2MueG1srVNLbtswEN0X6B0I&#10;7mvJAlK4gukghZGiQJEWSHMAmqIsAvyBQ1vyBZobdNVN9z2Xz9EhJdtBsskiG3KGM3yc92a4vB6M&#10;JnsZQDnL6HxWUiKtcI2yW0Yfft5+WFACkduGa2clowcJ9Hr1/t2y97WsXOd0IwNBEAt17xntYvR1&#10;UYDopOEwc15aDLYuGB7RDduiCbxHdKOLqiw/Fr0LjQ9OSAA8XY9BOiGG1wC6tlVCrp3YGWnjiBqk&#10;5hEpQac80FWutm2liN/bFmQkmlFkGvOKj6C9SWuxWvJ6G7jvlJhK4K8p4Rknw5XFR89Qax452QX1&#10;AsooERy4Ns6EM8VIJCuCLOblM23uO+5l5oJSgz+LDm8HK+72PwJRDaMV9t1ygx0//n48/vl3/PuL&#10;zLNAvYca8+49ZsbhsxtwbJJw6RzwMPEe2mDSjowIxlHew1leOUQi0qVFtViUGBIYOzmIU1yu+wDx&#10;i3SGJIPRgP3LsvL9N4hj6iklvWbdrdI691Bb0jP66aq6yhfOEQTXNuXKPA0TzKX0ZMVhM0x8Nq45&#10;IM0eJ4JRix+AEv3VouBpeE5GOBmbyUj44G92EevJZSbUEQrpJQfbl4lOo5bm46mfsy7fa/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ql5uc8AAAAFAQAADwAAAAAAAAABACAAAAAiAAAAZHJzL2Rv&#10;d25yZXYueG1sUEsBAhQAFAAAAAgAh07iQFTFlTLRAQAApgMAAA4AAAAAAAAAAQAgAAAAHgEAAGRy&#10;cy9lMm9Eb2MueG1sUEsFBgAAAAAGAAYAWQEAAGEFAAAAAA==&#10;">
              <v:fill on="f" focussize="0,0"/>
              <v:stroke on="f"/>
              <v:imagedata o:title=""/>
              <o:lock v:ext="edit" aspectratio="f"/>
              <v:textbox inset="0mm,0mm,0mm,0mm" style="mso-fit-shape-to-text:t;">
                <w:txbxContent>
                  <w:p w14:paraId="64D2D7D4">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16</w:t>
                    </w:r>
                    <w:r>
                      <w:rPr>
                        <w:rFonts w:hint="eastAsia"/>
                        <w:sz w:val="18"/>
                      </w:rPr>
                      <w:fldChar w:fldCharType="end"/>
                    </w:r>
                  </w:p>
                </w:txbxContent>
              </v:textbox>
            </v:shape>
          </w:pict>
        </mc:Fallback>
      </mc:AlternateContent>
    </w:r>
  </w:p>
  <w:p w14:paraId="599CBFE2">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3F4AE">
    <w:pPr>
      <w:pStyle w:val="9"/>
    </w:pPr>
    <w:r>
      <w:drawing>
        <wp:anchor distT="0" distB="0" distL="114300" distR="114300" simplePos="0" relativeHeight="251670528" behindDoc="0" locked="0" layoutInCell="1" allowOverlap="1">
          <wp:simplePos x="0" y="0"/>
          <wp:positionH relativeFrom="column">
            <wp:posOffset>34290</wp:posOffset>
          </wp:positionH>
          <wp:positionV relativeFrom="paragraph">
            <wp:posOffset>149860</wp:posOffset>
          </wp:positionV>
          <wp:extent cx="1176020" cy="316865"/>
          <wp:effectExtent l="0" t="0" r="5715" b="7620"/>
          <wp:wrapNone/>
          <wp:docPr id="1433968016" name="图片 143396801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8016" name="图片 1433968016" descr="捕获1"/>
                  <pic:cNvPicPr>
                    <a:picLocks noChangeAspect="1"/>
                  </pic:cNvPicPr>
                </pic:nvPicPr>
                <pic:blipFill>
                  <a:blip r:embed="rId1">
                    <a:extLst>
                      <a:ext uri="{28A0092B-C50C-407E-A947-70E740481C1C}">
                        <a14:useLocalDpi xmlns:a14="http://schemas.microsoft.com/office/drawing/2010/main" val="0"/>
                      </a:ext>
                    </a:extLst>
                  </a:blip>
                  <a:srcRect b="-3521"/>
                  <a:stretch>
                    <a:fillRect/>
                  </a:stretch>
                </pic:blipFill>
                <pic:spPr>
                  <a:xfrm>
                    <a:off x="0" y="0"/>
                    <a:ext cx="1181328" cy="318050"/>
                  </a:xfrm>
                  <a:prstGeom prst="rect">
                    <a:avLst/>
                  </a:prstGeom>
                </pic:spPr>
              </pic:pic>
            </a:graphicData>
          </a:graphic>
        </wp:anchor>
      </w:drawing>
    </w:r>
  </w:p>
  <w:p w14:paraId="59B8B848">
    <w:pPr>
      <w:pStyle w:val="9"/>
      <w:wordWrap w:val="0"/>
    </w:pPr>
    <w:r>
      <w:drawing>
        <wp:anchor distT="0" distB="0" distL="114300" distR="114300" simplePos="0" relativeHeight="251669504" behindDoc="1" locked="0" layoutInCell="1" allowOverlap="1">
          <wp:simplePos x="0" y="0"/>
          <wp:positionH relativeFrom="margin">
            <wp:posOffset>769620</wp:posOffset>
          </wp:positionH>
          <wp:positionV relativeFrom="margin">
            <wp:posOffset>1937385</wp:posOffset>
          </wp:positionV>
          <wp:extent cx="3599815" cy="3599815"/>
          <wp:effectExtent l="0" t="0" r="0" b="0"/>
          <wp:wrapNone/>
          <wp:docPr id="467807131"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07131"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rPr>
      <w:t xml:space="preserve">              姓名：{{ patient_name }}                科技服务人类健康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2C87B">
    <w:pPr>
      <w:pStyle w:val="9"/>
    </w:pPr>
    <w:r>
      <w:drawing>
        <wp:anchor distT="0" distB="0" distL="114300" distR="114300" simplePos="0" relativeHeight="25166643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4"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63E85">
    <w:pPr>
      <w:pStyle w:val="9"/>
    </w:pPr>
    <w:r>
      <w:drawing>
        <wp:anchor distT="0" distB="0" distL="114300" distR="114300" simplePos="0" relativeHeight="251665408" behindDoc="1" locked="0" layoutInCell="0" allowOverlap="1">
          <wp:simplePos x="0" y="0"/>
          <wp:positionH relativeFrom="margin">
            <wp:align>center</wp:align>
          </wp:positionH>
          <wp:positionV relativeFrom="margin">
            <wp:align>center</wp:align>
          </wp:positionV>
          <wp:extent cx="5255895" cy="4579620"/>
          <wp:effectExtent l="0" t="0" r="1905" b="11430"/>
          <wp:wrapNone/>
          <wp:docPr id="2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404F0D"/>
    <w:multiLevelType w:val="singleLevel"/>
    <w:tmpl w:val="BE404F0D"/>
    <w:lvl w:ilvl="0" w:tentative="0">
      <w:start w:val="1"/>
      <w:numFmt w:val="decimal"/>
      <w:suff w:val="space"/>
      <w:lvlText w:val="%1."/>
      <w:lvlJc w:val="left"/>
    </w:lvl>
  </w:abstractNum>
  <w:abstractNum w:abstractNumId="1">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2">
    <w:nsid w:val="DE823987"/>
    <w:multiLevelType w:val="singleLevel"/>
    <w:tmpl w:val="DE823987"/>
    <w:lvl w:ilvl="0" w:tentative="0">
      <w:start w:val="1"/>
      <w:numFmt w:val="decimal"/>
      <w:lvlText w:val="[%1]"/>
      <w:lvlJc w:val="left"/>
      <w:pPr>
        <w:tabs>
          <w:tab w:val="left" w:pos="312"/>
        </w:tabs>
      </w:pPr>
    </w:lvl>
  </w:abstractNum>
  <w:abstractNum w:abstractNumId="3">
    <w:nsid w:val="03A4CF87"/>
    <w:multiLevelType w:val="singleLevel"/>
    <w:tmpl w:val="03A4CF87"/>
    <w:lvl w:ilvl="0" w:tentative="0">
      <w:start w:val="1"/>
      <w:numFmt w:val="decimal"/>
      <w:suff w:val="nothing"/>
      <w:lvlText w:val="%1、"/>
      <w:lvlJc w:val="left"/>
    </w:lvl>
  </w:abstractNum>
  <w:abstractNum w:abstractNumId="4">
    <w:nsid w:val="20FA1379"/>
    <w:multiLevelType w:val="singleLevel"/>
    <w:tmpl w:val="20FA1379"/>
    <w:lvl w:ilvl="0" w:tentative="0">
      <w:start w:val="1"/>
      <w:numFmt w:val="decimal"/>
      <w:suff w:val="space"/>
      <w:lvlText w:val="%1."/>
      <w:lvlJc w:val="left"/>
    </w:lvl>
  </w:abstractNum>
  <w:abstractNum w:abstractNumId="5">
    <w:nsid w:val="4CA821EB"/>
    <w:multiLevelType w:val="singleLevel"/>
    <w:tmpl w:val="4CA821EB"/>
    <w:lvl w:ilvl="0" w:tentative="0">
      <w:start w:val="1"/>
      <w:numFmt w:val="decimal"/>
      <w:suff w:val="space"/>
      <w:lvlText w:val="%1."/>
      <w:lvlJc w:val="left"/>
    </w:lvl>
  </w:abstractNum>
  <w:abstractNum w:abstractNumId="6">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7">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8">
    <w:nsid w:val="598C05CF"/>
    <w:multiLevelType w:val="singleLevel"/>
    <w:tmpl w:val="598C05CF"/>
    <w:lvl w:ilvl="0" w:tentative="0">
      <w:start w:val="1"/>
      <w:numFmt w:val="decimal"/>
      <w:suff w:val="nothing"/>
      <w:lvlText w:val="（%1）"/>
      <w:lvlJc w:val="left"/>
    </w:lvl>
  </w:abstractNum>
  <w:abstractNum w:abstractNumId="9">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0">
    <w:nsid w:val="6D7B7A28"/>
    <w:multiLevelType w:val="singleLevel"/>
    <w:tmpl w:val="6D7B7A28"/>
    <w:lvl w:ilvl="0" w:tentative="0">
      <w:start w:val="1"/>
      <w:numFmt w:val="decimal"/>
      <w:suff w:val="space"/>
      <w:lvlText w:val="[%1]"/>
      <w:lvlJc w:val="left"/>
    </w:lvl>
  </w:abstractNum>
  <w:abstractNum w:abstractNumId="11">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78AFFE8A"/>
    <w:multiLevelType w:val="singleLevel"/>
    <w:tmpl w:val="78AFFE8A"/>
    <w:lvl w:ilvl="0" w:tentative="0">
      <w:start w:val="1"/>
      <w:numFmt w:val="bullet"/>
      <w:lvlText w:val=""/>
      <w:lvlJc w:val="left"/>
      <w:pPr>
        <w:ind w:left="420" w:hanging="420"/>
      </w:pPr>
      <w:rPr>
        <w:rFonts w:hint="default" w:ascii="Wingdings" w:hAnsi="Wingdings"/>
      </w:rPr>
    </w:lvl>
  </w:abstractNum>
  <w:num w:numId="1">
    <w:abstractNumId w:val="3"/>
  </w:num>
  <w:num w:numId="2">
    <w:abstractNumId w:val="0"/>
  </w:num>
  <w:num w:numId="3">
    <w:abstractNumId w:val="1"/>
  </w:num>
  <w:num w:numId="4">
    <w:abstractNumId w:val="5"/>
  </w:num>
  <w:num w:numId="5">
    <w:abstractNumId w:val="11"/>
  </w:num>
  <w:num w:numId="6">
    <w:abstractNumId w:val="9"/>
  </w:num>
  <w:num w:numId="7">
    <w:abstractNumId w:val="2"/>
  </w:num>
  <w:num w:numId="8">
    <w:abstractNumId w:val="8"/>
  </w:num>
  <w:num w:numId="9">
    <w:abstractNumId w:val="6"/>
  </w:num>
  <w:num w:numId="10">
    <w:abstractNumId w:val="12"/>
  </w:num>
  <w:num w:numId="11">
    <w:abstractNumId w:val="7"/>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2E01"/>
    <w:rsid w:val="00013370"/>
    <w:rsid w:val="000139F5"/>
    <w:rsid w:val="00014CA9"/>
    <w:rsid w:val="000164C7"/>
    <w:rsid w:val="00017FDA"/>
    <w:rsid w:val="00021BC6"/>
    <w:rsid w:val="00021EB4"/>
    <w:rsid w:val="0002255E"/>
    <w:rsid w:val="0002343E"/>
    <w:rsid w:val="0002355E"/>
    <w:rsid w:val="00025126"/>
    <w:rsid w:val="000267F5"/>
    <w:rsid w:val="0002753C"/>
    <w:rsid w:val="00027934"/>
    <w:rsid w:val="00033691"/>
    <w:rsid w:val="00034934"/>
    <w:rsid w:val="000349D5"/>
    <w:rsid w:val="00035026"/>
    <w:rsid w:val="000353FC"/>
    <w:rsid w:val="00036CCB"/>
    <w:rsid w:val="00037C01"/>
    <w:rsid w:val="00041C6F"/>
    <w:rsid w:val="000446AA"/>
    <w:rsid w:val="000459B2"/>
    <w:rsid w:val="000459B7"/>
    <w:rsid w:val="000505BB"/>
    <w:rsid w:val="00050D4B"/>
    <w:rsid w:val="000515CC"/>
    <w:rsid w:val="0005160C"/>
    <w:rsid w:val="00051681"/>
    <w:rsid w:val="000566EA"/>
    <w:rsid w:val="00057A52"/>
    <w:rsid w:val="00057FA4"/>
    <w:rsid w:val="0006170D"/>
    <w:rsid w:val="00061A74"/>
    <w:rsid w:val="0006260F"/>
    <w:rsid w:val="00063AD9"/>
    <w:rsid w:val="0006504A"/>
    <w:rsid w:val="0006577C"/>
    <w:rsid w:val="000658B7"/>
    <w:rsid w:val="00066E14"/>
    <w:rsid w:val="000715A7"/>
    <w:rsid w:val="00076911"/>
    <w:rsid w:val="00076947"/>
    <w:rsid w:val="00076EE4"/>
    <w:rsid w:val="00081028"/>
    <w:rsid w:val="00081F82"/>
    <w:rsid w:val="000821B6"/>
    <w:rsid w:val="00082C5E"/>
    <w:rsid w:val="00083BB9"/>
    <w:rsid w:val="00084E83"/>
    <w:rsid w:val="00085AAB"/>
    <w:rsid w:val="000861E0"/>
    <w:rsid w:val="00086411"/>
    <w:rsid w:val="00086593"/>
    <w:rsid w:val="0009132B"/>
    <w:rsid w:val="0009370A"/>
    <w:rsid w:val="00093718"/>
    <w:rsid w:val="000937B5"/>
    <w:rsid w:val="0009446B"/>
    <w:rsid w:val="00094C62"/>
    <w:rsid w:val="00094FBA"/>
    <w:rsid w:val="0009641F"/>
    <w:rsid w:val="000965C3"/>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6A6"/>
    <w:rsid w:val="000E7F60"/>
    <w:rsid w:val="000E7F79"/>
    <w:rsid w:val="000F03A5"/>
    <w:rsid w:val="000F085F"/>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07D4E"/>
    <w:rsid w:val="0011253D"/>
    <w:rsid w:val="00113C0C"/>
    <w:rsid w:val="001141EC"/>
    <w:rsid w:val="0011438A"/>
    <w:rsid w:val="001155D6"/>
    <w:rsid w:val="001156C7"/>
    <w:rsid w:val="00116046"/>
    <w:rsid w:val="0011691D"/>
    <w:rsid w:val="00116A46"/>
    <w:rsid w:val="00117040"/>
    <w:rsid w:val="001206F7"/>
    <w:rsid w:val="0012087D"/>
    <w:rsid w:val="00121010"/>
    <w:rsid w:val="001227BE"/>
    <w:rsid w:val="00122BA4"/>
    <w:rsid w:val="0012476B"/>
    <w:rsid w:val="00125B8A"/>
    <w:rsid w:val="001304F9"/>
    <w:rsid w:val="001308A3"/>
    <w:rsid w:val="00131162"/>
    <w:rsid w:val="00131A69"/>
    <w:rsid w:val="001326B3"/>
    <w:rsid w:val="001336B9"/>
    <w:rsid w:val="00135662"/>
    <w:rsid w:val="00135FE5"/>
    <w:rsid w:val="0013618C"/>
    <w:rsid w:val="001416F2"/>
    <w:rsid w:val="001425F7"/>
    <w:rsid w:val="0014318A"/>
    <w:rsid w:val="00144E22"/>
    <w:rsid w:val="00145FFA"/>
    <w:rsid w:val="001465AD"/>
    <w:rsid w:val="00150110"/>
    <w:rsid w:val="00150E4A"/>
    <w:rsid w:val="0015112F"/>
    <w:rsid w:val="001516C0"/>
    <w:rsid w:val="001519FA"/>
    <w:rsid w:val="00151AEF"/>
    <w:rsid w:val="001526C5"/>
    <w:rsid w:val="00152A48"/>
    <w:rsid w:val="00153D49"/>
    <w:rsid w:val="001566C9"/>
    <w:rsid w:val="00156C65"/>
    <w:rsid w:val="00160357"/>
    <w:rsid w:val="0016313D"/>
    <w:rsid w:val="0016350D"/>
    <w:rsid w:val="00165B7D"/>
    <w:rsid w:val="00166811"/>
    <w:rsid w:val="00170A35"/>
    <w:rsid w:val="00172A27"/>
    <w:rsid w:val="00172C7E"/>
    <w:rsid w:val="00172F4E"/>
    <w:rsid w:val="0017407B"/>
    <w:rsid w:val="001746CE"/>
    <w:rsid w:val="00174DC5"/>
    <w:rsid w:val="00174E3E"/>
    <w:rsid w:val="001755C0"/>
    <w:rsid w:val="001764A6"/>
    <w:rsid w:val="00181E02"/>
    <w:rsid w:val="00183BF8"/>
    <w:rsid w:val="00183E2A"/>
    <w:rsid w:val="001842EA"/>
    <w:rsid w:val="00184E3C"/>
    <w:rsid w:val="001857B6"/>
    <w:rsid w:val="00191D00"/>
    <w:rsid w:val="001921A1"/>
    <w:rsid w:val="00192D62"/>
    <w:rsid w:val="0019415E"/>
    <w:rsid w:val="001945F9"/>
    <w:rsid w:val="00194816"/>
    <w:rsid w:val="00194AA4"/>
    <w:rsid w:val="00194D9E"/>
    <w:rsid w:val="001958C0"/>
    <w:rsid w:val="00196185"/>
    <w:rsid w:val="00196221"/>
    <w:rsid w:val="00197B15"/>
    <w:rsid w:val="001A0886"/>
    <w:rsid w:val="001A1F1E"/>
    <w:rsid w:val="001A1FE4"/>
    <w:rsid w:val="001A31A4"/>
    <w:rsid w:val="001A72E0"/>
    <w:rsid w:val="001B22DC"/>
    <w:rsid w:val="001B2BD4"/>
    <w:rsid w:val="001B2FB7"/>
    <w:rsid w:val="001B3D0C"/>
    <w:rsid w:val="001B4304"/>
    <w:rsid w:val="001B66E2"/>
    <w:rsid w:val="001B6945"/>
    <w:rsid w:val="001B74E6"/>
    <w:rsid w:val="001C166C"/>
    <w:rsid w:val="001C1FE5"/>
    <w:rsid w:val="001C3348"/>
    <w:rsid w:val="001C5121"/>
    <w:rsid w:val="001C56E8"/>
    <w:rsid w:val="001C7E8C"/>
    <w:rsid w:val="001D0048"/>
    <w:rsid w:val="001D030E"/>
    <w:rsid w:val="001D1AA0"/>
    <w:rsid w:val="001D23D5"/>
    <w:rsid w:val="001D4A23"/>
    <w:rsid w:val="001D5537"/>
    <w:rsid w:val="001D5AF9"/>
    <w:rsid w:val="001D60E2"/>
    <w:rsid w:val="001D672E"/>
    <w:rsid w:val="001D7B07"/>
    <w:rsid w:val="001E101D"/>
    <w:rsid w:val="001E1B37"/>
    <w:rsid w:val="001E1CEF"/>
    <w:rsid w:val="001E4284"/>
    <w:rsid w:val="001E4288"/>
    <w:rsid w:val="001E4BE6"/>
    <w:rsid w:val="001E4DF3"/>
    <w:rsid w:val="001E51CF"/>
    <w:rsid w:val="001E563B"/>
    <w:rsid w:val="001F164B"/>
    <w:rsid w:val="001F1938"/>
    <w:rsid w:val="001F2F96"/>
    <w:rsid w:val="001F37BD"/>
    <w:rsid w:val="001F4B28"/>
    <w:rsid w:val="001F6DA1"/>
    <w:rsid w:val="0020109B"/>
    <w:rsid w:val="00201AF5"/>
    <w:rsid w:val="0020214F"/>
    <w:rsid w:val="002023F4"/>
    <w:rsid w:val="002027C5"/>
    <w:rsid w:val="00203B99"/>
    <w:rsid w:val="002048E5"/>
    <w:rsid w:val="00206335"/>
    <w:rsid w:val="002104F7"/>
    <w:rsid w:val="00210BCF"/>
    <w:rsid w:val="00210D66"/>
    <w:rsid w:val="00212891"/>
    <w:rsid w:val="00213785"/>
    <w:rsid w:val="00213E8C"/>
    <w:rsid w:val="00213FE8"/>
    <w:rsid w:val="00214B3C"/>
    <w:rsid w:val="00214D4C"/>
    <w:rsid w:val="00214FC8"/>
    <w:rsid w:val="002169EB"/>
    <w:rsid w:val="00216C94"/>
    <w:rsid w:val="00216D7A"/>
    <w:rsid w:val="0022010D"/>
    <w:rsid w:val="0022030E"/>
    <w:rsid w:val="00221E3D"/>
    <w:rsid w:val="00223942"/>
    <w:rsid w:val="002242C7"/>
    <w:rsid w:val="002245A6"/>
    <w:rsid w:val="00224DF7"/>
    <w:rsid w:val="0022504C"/>
    <w:rsid w:val="00225FAF"/>
    <w:rsid w:val="0022749C"/>
    <w:rsid w:val="00230A0E"/>
    <w:rsid w:val="00230D3F"/>
    <w:rsid w:val="0023162C"/>
    <w:rsid w:val="002355A5"/>
    <w:rsid w:val="002356B5"/>
    <w:rsid w:val="00236204"/>
    <w:rsid w:val="00237436"/>
    <w:rsid w:val="002408CA"/>
    <w:rsid w:val="00240F95"/>
    <w:rsid w:val="0024276F"/>
    <w:rsid w:val="00242A80"/>
    <w:rsid w:val="00244620"/>
    <w:rsid w:val="00245DB5"/>
    <w:rsid w:val="00247556"/>
    <w:rsid w:val="00250009"/>
    <w:rsid w:val="00252D9F"/>
    <w:rsid w:val="00253944"/>
    <w:rsid w:val="00253A6B"/>
    <w:rsid w:val="00254842"/>
    <w:rsid w:val="00254A13"/>
    <w:rsid w:val="00255ABB"/>
    <w:rsid w:val="00257463"/>
    <w:rsid w:val="002615F8"/>
    <w:rsid w:val="00261755"/>
    <w:rsid w:val="00262AB2"/>
    <w:rsid w:val="00263259"/>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7E6"/>
    <w:rsid w:val="00281F4A"/>
    <w:rsid w:val="002820BD"/>
    <w:rsid w:val="0028239E"/>
    <w:rsid w:val="00282B8B"/>
    <w:rsid w:val="00282BA9"/>
    <w:rsid w:val="00282C08"/>
    <w:rsid w:val="00283055"/>
    <w:rsid w:val="00284AC2"/>
    <w:rsid w:val="00285852"/>
    <w:rsid w:val="00285FF6"/>
    <w:rsid w:val="00286AF0"/>
    <w:rsid w:val="00286C29"/>
    <w:rsid w:val="0028778D"/>
    <w:rsid w:val="00290AE6"/>
    <w:rsid w:val="00291403"/>
    <w:rsid w:val="00292DC7"/>
    <w:rsid w:val="002933E6"/>
    <w:rsid w:val="00293EB2"/>
    <w:rsid w:val="00294E59"/>
    <w:rsid w:val="0029619A"/>
    <w:rsid w:val="002964A6"/>
    <w:rsid w:val="002A0335"/>
    <w:rsid w:val="002A13BE"/>
    <w:rsid w:val="002A15A5"/>
    <w:rsid w:val="002A187F"/>
    <w:rsid w:val="002A35A0"/>
    <w:rsid w:val="002A59AF"/>
    <w:rsid w:val="002A6107"/>
    <w:rsid w:val="002A61D3"/>
    <w:rsid w:val="002A6827"/>
    <w:rsid w:val="002A7F29"/>
    <w:rsid w:val="002B00ED"/>
    <w:rsid w:val="002B086B"/>
    <w:rsid w:val="002B1D7B"/>
    <w:rsid w:val="002B3308"/>
    <w:rsid w:val="002B3DB3"/>
    <w:rsid w:val="002B41AF"/>
    <w:rsid w:val="002B7E54"/>
    <w:rsid w:val="002C04D9"/>
    <w:rsid w:val="002C14F8"/>
    <w:rsid w:val="002C1EAA"/>
    <w:rsid w:val="002C2BE2"/>
    <w:rsid w:val="002C55D1"/>
    <w:rsid w:val="002C5ACD"/>
    <w:rsid w:val="002C707F"/>
    <w:rsid w:val="002C7313"/>
    <w:rsid w:val="002D0388"/>
    <w:rsid w:val="002D17B1"/>
    <w:rsid w:val="002D2249"/>
    <w:rsid w:val="002D3F81"/>
    <w:rsid w:val="002D4FAE"/>
    <w:rsid w:val="002D7488"/>
    <w:rsid w:val="002E005B"/>
    <w:rsid w:val="002E1536"/>
    <w:rsid w:val="002E404F"/>
    <w:rsid w:val="002E54DE"/>
    <w:rsid w:val="002E6DFA"/>
    <w:rsid w:val="002E7F6A"/>
    <w:rsid w:val="002F0805"/>
    <w:rsid w:val="002F0954"/>
    <w:rsid w:val="002F2AAC"/>
    <w:rsid w:val="002F2E5D"/>
    <w:rsid w:val="002F3043"/>
    <w:rsid w:val="002F3D78"/>
    <w:rsid w:val="002F3FA4"/>
    <w:rsid w:val="002F680E"/>
    <w:rsid w:val="002F6D25"/>
    <w:rsid w:val="002F75CC"/>
    <w:rsid w:val="002F75D5"/>
    <w:rsid w:val="00301E7A"/>
    <w:rsid w:val="00302A8B"/>
    <w:rsid w:val="00303FDF"/>
    <w:rsid w:val="003053D1"/>
    <w:rsid w:val="00305886"/>
    <w:rsid w:val="003058A0"/>
    <w:rsid w:val="003059EA"/>
    <w:rsid w:val="00305D35"/>
    <w:rsid w:val="003065E8"/>
    <w:rsid w:val="00306F54"/>
    <w:rsid w:val="0030705B"/>
    <w:rsid w:val="003102E9"/>
    <w:rsid w:val="00310302"/>
    <w:rsid w:val="003110BA"/>
    <w:rsid w:val="00311933"/>
    <w:rsid w:val="00312A3C"/>
    <w:rsid w:val="0031380D"/>
    <w:rsid w:val="00315603"/>
    <w:rsid w:val="0031583D"/>
    <w:rsid w:val="00315BF8"/>
    <w:rsid w:val="0031730C"/>
    <w:rsid w:val="00320CD5"/>
    <w:rsid w:val="003223B7"/>
    <w:rsid w:val="00323B43"/>
    <w:rsid w:val="003241A5"/>
    <w:rsid w:val="003243B3"/>
    <w:rsid w:val="003247EA"/>
    <w:rsid w:val="00324822"/>
    <w:rsid w:val="00324A5A"/>
    <w:rsid w:val="00324DAD"/>
    <w:rsid w:val="003254F7"/>
    <w:rsid w:val="0032640D"/>
    <w:rsid w:val="0033030B"/>
    <w:rsid w:val="00330D56"/>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3D4"/>
    <w:rsid w:val="00350D34"/>
    <w:rsid w:val="003512B5"/>
    <w:rsid w:val="00351488"/>
    <w:rsid w:val="003524E5"/>
    <w:rsid w:val="003544D8"/>
    <w:rsid w:val="00355B55"/>
    <w:rsid w:val="00356B88"/>
    <w:rsid w:val="0036168F"/>
    <w:rsid w:val="00361C52"/>
    <w:rsid w:val="0036349B"/>
    <w:rsid w:val="003634B9"/>
    <w:rsid w:val="00364B58"/>
    <w:rsid w:val="00365043"/>
    <w:rsid w:val="00365136"/>
    <w:rsid w:val="00365ED9"/>
    <w:rsid w:val="00371662"/>
    <w:rsid w:val="00371ED9"/>
    <w:rsid w:val="00372B08"/>
    <w:rsid w:val="00372DCF"/>
    <w:rsid w:val="00373A5C"/>
    <w:rsid w:val="00373ECC"/>
    <w:rsid w:val="003750E5"/>
    <w:rsid w:val="00377884"/>
    <w:rsid w:val="003807E5"/>
    <w:rsid w:val="00383B29"/>
    <w:rsid w:val="00384648"/>
    <w:rsid w:val="00386176"/>
    <w:rsid w:val="0039033C"/>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3504"/>
    <w:rsid w:val="003B486D"/>
    <w:rsid w:val="003B788A"/>
    <w:rsid w:val="003C181A"/>
    <w:rsid w:val="003C39FF"/>
    <w:rsid w:val="003C4563"/>
    <w:rsid w:val="003C45CB"/>
    <w:rsid w:val="003C47EE"/>
    <w:rsid w:val="003C4887"/>
    <w:rsid w:val="003C6342"/>
    <w:rsid w:val="003C6F67"/>
    <w:rsid w:val="003D005F"/>
    <w:rsid w:val="003D13C3"/>
    <w:rsid w:val="003D3458"/>
    <w:rsid w:val="003D37D8"/>
    <w:rsid w:val="003D3BA4"/>
    <w:rsid w:val="003D55A5"/>
    <w:rsid w:val="003D5627"/>
    <w:rsid w:val="003D6573"/>
    <w:rsid w:val="003D6BCB"/>
    <w:rsid w:val="003E001B"/>
    <w:rsid w:val="003E10B2"/>
    <w:rsid w:val="003E1C0B"/>
    <w:rsid w:val="003E1DF4"/>
    <w:rsid w:val="003E21AC"/>
    <w:rsid w:val="003E2ED0"/>
    <w:rsid w:val="003E343D"/>
    <w:rsid w:val="003E471E"/>
    <w:rsid w:val="003E665B"/>
    <w:rsid w:val="003E70C6"/>
    <w:rsid w:val="003E7A5A"/>
    <w:rsid w:val="003F0CF0"/>
    <w:rsid w:val="003F0E9B"/>
    <w:rsid w:val="003F1015"/>
    <w:rsid w:val="003F2721"/>
    <w:rsid w:val="003F30A8"/>
    <w:rsid w:val="003F44FF"/>
    <w:rsid w:val="003F6563"/>
    <w:rsid w:val="00400E24"/>
    <w:rsid w:val="00401F8A"/>
    <w:rsid w:val="004031B3"/>
    <w:rsid w:val="00404EDB"/>
    <w:rsid w:val="00406E1F"/>
    <w:rsid w:val="00406E76"/>
    <w:rsid w:val="00410286"/>
    <w:rsid w:val="00411150"/>
    <w:rsid w:val="00412386"/>
    <w:rsid w:val="0041436F"/>
    <w:rsid w:val="0041611C"/>
    <w:rsid w:val="0041745F"/>
    <w:rsid w:val="00420B92"/>
    <w:rsid w:val="0042280A"/>
    <w:rsid w:val="0042295E"/>
    <w:rsid w:val="00422A18"/>
    <w:rsid w:val="00423904"/>
    <w:rsid w:val="00424F43"/>
    <w:rsid w:val="00426133"/>
    <w:rsid w:val="00426868"/>
    <w:rsid w:val="00431415"/>
    <w:rsid w:val="00433286"/>
    <w:rsid w:val="00433D82"/>
    <w:rsid w:val="00434D23"/>
    <w:rsid w:val="00435680"/>
    <w:rsid w:val="004358AB"/>
    <w:rsid w:val="00435FD0"/>
    <w:rsid w:val="00437B9E"/>
    <w:rsid w:val="00441F61"/>
    <w:rsid w:val="004432CF"/>
    <w:rsid w:val="00443E1E"/>
    <w:rsid w:val="004447B3"/>
    <w:rsid w:val="00446273"/>
    <w:rsid w:val="00453240"/>
    <w:rsid w:val="0045373F"/>
    <w:rsid w:val="0045446F"/>
    <w:rsid w:val="0045462B"/>
    <w:rsid w:val="00455263"/>
    <w:rsid w:val="0045645B"/>
    <w:rsid w:val="00460A97"/>
    <w:rsid w:val="00460BC7"/>
    <w:rsid w:val="00463ECF"/>
    <w:rsid w:val="004654B4"/>
    <w:rsid w:val="00465D3E"/>
    <w:rsid w:val="004675B4"/>
    <w:rsid w:val="00467FB9"/>
    <w:rsid w:val="004705CF"/>
    <w:rsid w:val="00470A8D"/>
    <w:rsid w:val="004714E6"/>
    <w:rsid w:val="0047358B"/>
    <w:rsid w:val="00474ACC"/>
    <w:rsid w:val="00474BC5"/>
    <w:rsid w:val="004764EC"/>
    <w:rsid w:val="00476530"/>
    <w:rsid w:val="00476CEC"/>
    <w:rsid w:val="00480BAE"/>
    <w:rsid w:val="004813C8"/>
    <w:rsid w:val="004814D7"/>
    <w:rsid w:val="00483136"/>
    <w:rsid w:val="0048353D"/>
    <w:rsid w:val="004837AC"/>
    <w:rsid w:val="00484AAB"/>
    <w:rsid w:val="004851D7"/>
    <w:rsid w:val="00491563"/>
    <w:rsid w:val="004919AF"/>
    <w:rsid w:val="004955FC"/>
    <w:rsid w:val="004A1433"/>
    <w:rsid w:val="004A31E5"/>
    <w:rsid w:val="004A3A02"/>
    <w:rsid w:val="004A4DE0"/>
    <w:rsid w:val="004A5266"/>
    <w:rsid w:val="004A5434"/>
    <w:rsid w:val="004A60CA"/>
    <w:rsid w:val="004A64B2"/>
    <w:rsid w:val="004A6E47"/>
    <w:rsid w:val="004A74D1"/>
    <w:rsid w:val="004A7834"/>
    <w:rsid w:val="004B02F8"/>
    <w:rsid w:val="004B2309"/>
    <w:rsid w:val="004B2474"/>
    <w:rsid w:val="004B31F6"/>
    <w:rsid w:val="004B33CA"/>
    <w:rsid w:val="004B3768"/>
    <w:rsid w:val="004B47B0"/>
    <w:rsid w:val="004B4BE4"/>
    <w:rsid w:val="004B50D0"/>
    <w:rsid w:val="004B5C08"/>
    <w:rsid w:val="004B5F31"/>
    <w:rsid w:val="004B681D"/>
    <w:rsid w:val="004B7A06"/>
    <w:rsid w:val="004B7B19"/>
    <w:rsid w:val="004C081F"/>
    <w:rsid w:val="004C11E4"/>
    <w:rsid w:val="004C1382"/>
    <w:rsid w:val="004C1E72"/>
    <w:rsid w:val="004C2154"/>
    <w:rsid w:val="004C2CCC"/>
    <w:rsid w:val="004C4D1D"/>
    <w:rsid w:val="004C4D72"/>
    <w:rsid w:val="004C547F"/>
    <w:rsid w:val="004C789F"/>
    <w:rsid w:val="004C797E"/>
    <w:rsid w:val="004D2113"/>
    <w:rsid w:val="004D3488"/>
    <w:rsid w:val="004D42C9"/>
    <w:rsid w:val="004D4708"/>
    <w:rsid w:val="004D581B"/>
    <w:rsid w:val="004D7C68"/>
    <w:rsid w:val="004E0A98"/>
    <w:rsid w:val="004E22C3"/>
    <w:rsid w:val="004E2945"/>
    <w:rsid w:val="004E3508"/>
    <w:rsid w:val="004E4378"/>
    <w:rsid w:val="004E6959"/>
    <w:rsid w:val="004E792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763"/>
    <w:rsid w:val="00503801"/>
    <w:rsid w:val="00503AC1"/>
    <w:rsid w:val="005049F4"/>
    <w:rsid w:val="005055A6"/>
    <w:rsid w:val="00505AC6"/>
    <w:rsid w:val="0050603D"/>
    <w:rsid w:val="00507297"/>
    <w:rsid w:val="00510FAF"/>
    <w:rsid w:val="005111A0"/>
    <w:rsid w:val="00511601"/>
    <w:rsid w:val="005137AA"/>
    <w:rsid w:val="00515B88"/>
    <w:rsid w:val="0051612D"/>
    <w:rsid w:val="00521709"/>
    <w:rsid w:val="005220F8"/>
    <w:rsid w:val="00522928"/>
    <w:rsid w:val="00523040"/>
    <w:rsid w:val="0052370A"/>
    <w:rsid w:val="00523DE0"/>
    <w:rsid w:val="00524BAB"/>
    <w:rsid w:val="00525910"/>
    <w:rsid w:val="00525DE2"/>
    <w:rsid w:val="00526632"/>
    <w:rsid w:val="00526C14"/>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F6B"/>
    <w:rsid w:val="0055610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698D"/>
    <w:rsid w:val="00577DA8"/>
    <w:rsid w:val="00581533"/>
    <w:rsid w:val="005824D1"/>
    <w:rsid w:val="00585B97"/>
    <w:rsid w:val="005901B0"/>
    <w:rsid w:val="00590735"/>
    <w:rsid w:val="00591622"/>
    <w:rsid w:val="00591742"/>
    <w:rsid w:val="00591FBB"/>
    <w:rsid w:val="00595F2B"/>
    <w:rsid w:val="00596D75"/>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389F"/>
    <w:rsid w:val="005B4103"/>
    <w:rsid w:val="005B47C8"/>
    <w:rsid w:val="005B53B5"/>
    <w:rsid w:val="005B54B3"/>
    <w:rsid w:val="005B7BE8"/>
    <w:rsid w:val="005C0233"/>
    <w:rsid w:val="005C05B9"/>
    <w:rsid w:val="005C0B4A"/>
    <w:rsid w:val="005C1F3B"/>
    <w:rsid w:val="005C2410"/>
    <w:rsid w:val="005C4CD1"/>
    <w:rsid w:val="005C5162"/>
    <w:rsid w:val="005C56CE"/>
    <w:rsid w:val="005C5A65"/>
    <w:rsid w:val="005C5D77"/>
    <w:rsid w:val="005C62BE"/>
    <w:rsid w:val="005C76CB"/>
    <w:rsid w:val="005D0ED1"/>
    <w:rsid w:val="005D374C"/>
    <w:rsid w:val="005D6BCA"/>
    <w:rsid w:val="005E0C0D"/>
    <w:rsid w:val="005E1174"/>
    <w:rsid w:val="005E1842"/>
    <w:rsid w:val="005E2C66"/>
    <w:rsid w:val="005E3A14"/>
    <w:rsid w:val="005E3F17"/>
    <w:rsid w:val="005E40D8"/>
    <w:rsid w:val="005E4CAF"/>
    <w:rsid w:val="005E5B85"/>
    <w:rsid w:val="005E6E4D"/>
    <w:rsid w:val="005E7B91"/>
    <w:rsid w:val="005F0FA7"/>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6844"/>
    <w:rsid w:val="006179D2"/>
    <w:rsid w:val="006204FE"/>
    <w:rsid w:val="00620661"/>
    <w:rsid w:val="006248E8"/>
    <w:rsid w:val="00624F63"/>
    <w:rsid w:val="006253A1"/>
    <w:rsid w:val="0062556F"/>
    <w:rsid w:val="0062577E"/>
    <w:rsid w:val="0062768D"/>
    <w:rsid w:val="00627C54"/>
    <w:rsid w:val="00627CF1"/>
    <w:rsid w:val="006309B1"/>
    <w:rsid w:val="00631BF9"/>
    <w:rsid w:val="0063201C"/>
    <w:rsid w:val="006321A4"/>
    <w:rsid w:val="00632B86"/>
    <w:rsid w:val="00633896"/>
    <w:rsid w:val="006359E4"/>
    <w:rsid w:val="006366B5"/>
    <w:rsid w:val="0064087F"/>
    <w:rsid w:val="00640C22"/>
    <w:rsid w:val="00640E46"/>
    <w:rsid w:val="00645AE3"/>
    <w:rsid w:val="0064670F"/>
    <w:rsid w:val="00647D05"/>
    <w:rsid w:val="00650136"/>
    <w:rsid w:val="006507A9"/>
    <w:rsid w:val="00650D67"/>
    <w:rsid w:val="00652235"/>
    <w:rsid w:val="006533FF"/>
    <w:rsid w:val="00653873"/>
    <w:rsid w:val="00655DDE"/>
    <w:rsid w:val="006571E4"/>
    <w:rsid w:val="0066004C"/>
    <w:rsid w:val="006603B5"/>
    <w:rsid w:val="00661C24"/>
    <w:rsid w:val="00661F1A"/>
    <w:rsid w:val="006646D3"/>
    <w:rsid w:val="0066593D"/>
    <w:rsid w:val="0066655F"/>
    <w:rsid w:val="00666C3B"/>
    <w:rsid w:val="00667696"/>
    <w:rsid w:val="00667845"/>
    <w:rsid w:val="00667E56"/>
    <w:rsid w:val="00671EED"/>
    <w:rsid w:val="00672E27"/>
    <w:rsid w:val="0067389F"/>
    <w:rsid w:val="006742D1"/>
    <w:rsid w:val="00674624"/>
    <w:rsid w:val="00677F2D"/>
    <w:rsid w:val="00680CD3"/>
    <w:rsid w:val="0068113F"/>
    <w:rsid w:val="00681C62"/>
    <w:rsid w:val="00682302"/>
    <w:rsid w:val="00682B78"/>
    <w:rsid w:val="00682E46"/>
    <w:rsid w:val="006830A5"/>
    <w:rsid w:val="006849C3"/>
    <w:rsid w:val="006857B9"/>
    <w:rsid w:val="006861C4"/>
    <w:rsid w:val="0068768C"/>
    <w:rsid w:val="006906BB"/>
    <w:rsid w:val="00690E39"/>
    <w:rsid w:val="00692006"/>
    <w:rsid w:val="00692024"/>
    <w:rsid w:val="0069238A"/>
    <w:rsid w:val="00692F91"/>
    <w:rsid w:val="00693D18"/>
    <w:rsid w:val="00693ECB"/>
    <w:rsid w:val="00696A09"/>
    <w:rsid w:val="00696CDB"/>
    <w:rsid w:val="00697A1F"/>
    <w:rsid w:val="00697B4B"/>
    <w:rsid w:val="006A009C"/>
    <w:rsid w:val="006A0544"/>
    <w:rsid w:val="006A0FD9"/>
    <w:rsid w:val="006A113A"/>
    <w:rsid w:val="006A1B9A"/>
    <w:rsid w:val="006A30A1"/>
    <w:rsid w:val="006A35D0"/>
    <w:rsid w:val="006A3753"/>
    <w:rsid w:val="006A3E46"/>
    <w:rsid w:val="006A3F02"/>
    <w:rsid w:val="006A50F9"/>
    <w:rsid w:val="006A5EE3"/>
    <w:rsid w:val="006A5FD8"/>
    <w:rsid w:val="006A617B"/>
    <w:rsid w:val="006A6DA0"/>
    <w:rsid w:val="006A7406"/>
    <w:rsid w:val="006B04E3"/>
    <w:rsid w:val="006B2152"/>
    <w:rsid w:val="006B2986"/>
    <w:rsid w:val="006B31F6"/>
    <w:rsid w:val="006B32E6"/>
    <w:rsid w:val="006B3A69"/>
    <w:rsid w:val="006B3C99"/>
    <w:rsid w:val="006B67B1"/>
    <w:rsid w:val="006C043F"/>
    <w:rsid w:val="006C0581"/>
    <w:rsid w:val="006C08E5"/>
    <w:rsid w:val="006C1223"/>
    <w:rsid w:val="006C2425"/>
    <w:rsid w:val="006C257D"/>
    <w:rsid w:val="006C25F9"/>
    <w:rsid w:val="006C396F"/>
    <w:rsid w:val="006C4783"/>
    <w:rsid w:val="006C5585"/>
    <w:rsid w:val="006C6640"/>
    <w:rsid w:val="006D14C1"/>
    <w:rsid w:val="006D1541"/>
    <w:rsid w:val="006D1910"/>
    <w:rsid w:val="006D1EC5"/>
    <w:rsid w:val="006D2B1E"/>
    <w:rsid w:val="006D6BB7"/>
    <w:rsid w:val="006D6CB5"/>
    <w:rsid w:val="006D7230"/>
    <w:rsid w:val="006D7B65"/>
    <w:rsid w:val="006E163F"/>
    <w:rsid w:val="006E1BF8"/>
    <w:rsid w:val="006E1CFF"/>
    <w:rsid w:val="006E2374"/>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C84"/>
    <w:rsid w:val="00703D88"/>
    <w:rsid w:val="00705234"/>
    <w:rsid w:val="00707706"/>
    <w:rsid w:val="007104AD"/>
    <w:rsid w:val="00710843"/>
    <w:rsid w:val="0071094D"/>
    <w:rsid w:val="00710B6A"/>
    <w:rsid w:val="00710EB1"/>
    <w:rsid w:val="007115F3"/>
    <w:rsid w:val="00711A1F"/>
    <w:rsid w:val="00711DF7"/>
    <w:rsid w:val="0071367D"/>
    <w:rsid w:val="0072040A"/>
    <w:rsid w:val="00720599"/>
    <w:rsid w:val="0072237F"/>
    <w:rsid w:val="00724FFC"/>
    <w:rsid w:val="007272D7"/>
    <w:rsid w:val="00727B14"/>
    <w:rsid w:val="00730077"/>
    <w:rsid w:val="00732658"/>
    <w:rsid w:val="00733C83"/>
    <w:rsid w:val="0073789A"/>
    <w:rsid w:val="00737D16"/>
    <w:rsid w:val="00742015"/>
    <w:rsid w:val="0074214B"/>
    <w:rsid w:val="00742A3E"/>
    <w:rsid w:val="007436FA"/>
    <w:rsid w:val="0074372C"/>
    <w:rsid w:val="00745782"/>
    <w:rsid w:val="00745C76"/>
    <w:rsid w:val="00746082"/>
    <w:rsid w:val="007464F3"/>
    <w:rsid w:val="0074793C"/>
    <w:rsid w:val="00747F58"/>
    <w:rsid w:val="00750936"/>
    <w:rsid w:val="00750D5C"/>
    <w:rsid w:val="00751E3B"/>
    <w:rsid w:val="00751E83"/>
    <w:rsid w:val="0075230D"/>
    <w:rsid w:val="00752EC6"/>
    <w:rsid w:val="007543A3"/>
    <w:rsid w:val="00754737"/>
    <w:rsid w:val="007557DD"/>
    <w:rsid w:val="00755CD1"/>
    <w:rsid w:val="00756605"/>
    <w:rsid w:val="00756E5B"/>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3152"/>
    <w:rsid w:val="0077415F"/>
    <w:rsid w:val="00775405"/>
    <w:rsid w:val="00777321"/>
    <w:rsid w:val="007802EE"/>
    <w:rsid w:val="00781165"/>
    <w:rsid w:val="007818D9"/>
    <w:rsid w:val="007844C1"/>
    <w:rsid w:val="00784B33"/>
    <w:rsid w:val="00784F91"/>
    <w:rsid w:val="0078503D"/>
    <w:rsid w:val="007900B5"/>
    <w:rsid w:val="0079045E"/>
    <w:rsid w:val="00790F02"/>
    <w:rsid w:val="00791430"/>
    <w:rsid w:val="00791CCC"/>
    <w:rsid w:val="00793714"/>
    <w:rsid w:val="00794D76"/>
    <w:rsid w:val="00795341"/>
    <w:rsid w:val="007961A7"/>
    <w:rsid w:val="00796338"/>
    <w:rsid w:val="00796670"/>
    <w:rsid w:val="00796E21"/>
    <w:rsid w:val="00796F19"/>
    <w:rsid w:val="00797DB6"/>
    <w:rsid w:val="00797E67"/>
    <w:rsid w:val="007A0464"/>
    <w:rsid w:val="007A0814"/>
    <w:rsid w:val="007A1370"/>
    <w:rsid w:val="007A1D42"/>
    <w:rsid w:val="007A2560"/>
    <w:rsid w:val="007A2CA2"/>
    <w:rsid w:val="007A30CC"/>
    <w:rsid w:val="007A314B"/>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E115B"/>
    <w:rsid w:val="007E18DB"/>
    <w:rsid w:val="007E288F"/>
    <w:rsid w:val="007E49EE"/>
    <w:rsid w:val="007E5039"/>
    <w:rsid w:val="007E5DAD"/>
    <w:rsid w:val="007E7B45"/>
    <w:rsid w:val="007F0802"/>
    <w:rsid w:val="007F1A1B"/>
    <w:rsid w:val="007F234A"/>
    <w:rsid w:val="007F2CC2"/>
    <w:rsid w:val="007F3D3F"/>
    <w:rsid w:val="007F4260"/>
    <w:rsid w:val="007F4491"/>
    <w:rsid w:val="007F4776"/>
    <w:rsid w:val="007F4CCC"/>
    <w:rsid w:val="007F65EC"/>
    <w:rsid w:val="007F7FCE"/>
    <w:rsid w:val="00800191"/>
    <w:rsid w:val="00800B5D"/>
    <w:rsid w:val="00801F4B"/>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185"/>
    <w:rsid w:val="008164AD"/>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537"/>
    <w:rsid w:val="00851F0B"/>
    <w:rsid w:val="00856C5E"/>
    <w:rsid w:val="00857F8B"/>
    <w:rsid w:val="00860E23"/>
    <w:rsid w:val="00861A16"/>
    <w:rsid w:val="00862034"/>
    <w:rsid w:val="00862A41"/>
    <w:rsid w:val="00862C68"/>
    <w:rsid w:val="00863021"/>
    <w:rsid w:val="00865EED"/>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BD3"/>
    <w:rsid w:val="00891ED5"/>
    <w:rsid w:val="00892782"/>
    <w:rsid w:val="00894851"/>
    <w:rsid w:val="00895F3C"/>
    <w:rsid w:val="00895F55"/>
    <w:rsid w:val="00896713"/>
    <w:rsid w:val="008977A1"/>
    <w:rsid w:val="008A1F6F"/>
    <w:rsid w:val="008A224A"/>
    <w:rsid w:val="008A22F8"/>
    <w:rsid w:val="008A2765"/>
    <w:rsid w:val="008A2B26"/>
    <w:rsid w:val="008A4E30"/>
    <w:rsid w:val="008A4E94"/>
    <w:rsid w:val="008A4F91"/>
    <w:rsid w:val="008A5820"/>
    <w:rsid w:val="008A5E6E"/>
    <w:rsid w:val="008A6690"/>
    <w:rsid w:val="008A70CB"/>
    <w:rsid w:val="008A7F2E"/>
    <w:rsid w:val="008B11F4"/>
    <w:rsid w:val="008B1AA8"/>
    <w:rsid w:val="008B1E5A"/>
    <w:rsid w:val="008B3087"/>
    <w:rsid w:val="008B3296"/>
    <w:rsid w:val="008B365E"/>
    <w:rsid w:val="008B5A80"/>
    <w:rsid w:val="008B7726"/>
    <w:rsid w:val="008B78CB"/>
    <w:rsid w:val="008C0B68"/>
    <w:rsid w:val="008C0BFF"/>
    <w:rsid w:val="008C0ED6"/>
    <w:rsid w:val="008C4BFB"/>
    <w:rsid w:val="008C78D5"/>
    <w:rsid w:val="008D0E0E"/>
    <w:rsid w:val="008D1508"/>
    <w:rsid w:val="008D382A"/>
    <w:rsid w:val="008D4513"/>
    <w:rsid w:val="008D463C"/>
    <w:rsid w:val="008D4DCE"/>
    <w:rsid w:val="008D4DD7"/>
    <w:rsid w:val="008D6039"/>
    <w:rsid w:val="008D64AF"/>
    <w:rsid w:val="008D6C12"/>
    <w:rsid w:val="008D7AB9"/>
    <w:rsid w:val="008E0ED2"/>
    <w:rsid w:val="008E1926"/>
    <w:rsid w:val="008E2591"/>
    <w:rsid w:val="008E2A68"/>
    <w:rsid w:val="008E38A1"/>
    <w:rsid w:val="008E4074"/>
    <w:rsid w:val="008E4077"/>
    <w:rsid w:val="008E416A"/>
    <w:rsid w:val="008E5DD6"/>
    <w:rsid w:val="008E6531"/>
    <w:rsid w:val="008E6C4C"/>
    <w:rsid w:val="008E74A0"/>
    <w:rsid w:val="008F332A"/>
    <w:rsid w:val="008F4BB6"/>
    <w:rsid w:val="008F5D36"/>
    <w:rsid w:val="008F6EB2"/>
    <w:rsid w:val="008F741B"/>
    <w:rsid w:val="008F7509"/>
    <w:rsid w:val="008F7690"/>
    <w:rsid w:val="00900643"/>
    <w:rsid w:val="00900A62"/>
    <w:rsid w:val="00901BCA"/>
    <w:rsid w:val="00903305"/>
    <w:rsid w:val="0090421A"/>
    <w:rsid w:val="00904A1D"/>
    <w:rsid w:val="00905121"/>
    <w:rsid w:val="00905186"/>
    <w:rsid w:val="00906D59"/>
    <w:rsid w:val="00910DAE"/>
    <w:rsid w:val="00911566"/>
    <w:rsid w:val="00911C5A"/>
    <w:rsid w:val="00911D94"/>
    <w:rsid w:val="0091205A"/>
    <w:rsid w:val="0091299E"/>
    <w:rsid w:val="00912FA0"/>
    <w:rsid w:val="00914F22"/>
    <w:rsid w:val="009150E9"/>
    <w:rsid w:val="00915111"/>
    <w:rsid w:val="00916AF8"/>
    <w:rsid w:val="00917AD0"/>
    <w:rsid w:val="00920E38"/>
    <w:rsid w:val="00922FA9"/>
    <w:rsid w:val="00925041"/>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D7F"/>
    <w:rsid w:val="009627F4"/>
    <w:rsid w:val="00963945"/>
    <w:rsid w:val="0096472C"/>
    <w:rsid w:val="009647DD"/>
    <w:rsid w:val="00964E65"/>
    <w:rsid w:val="00965C2B"/>
    <w:rsid w:val="009672C6"/>
    <w:rsid w:val="0096792F"/>
    <w:rsid w:val="00967B0E"/>
    <w:rsid w:val="00970026"/>
    <w:rsid w:val="009712C1"/>
    <w:rsid w:val="00972BE9"/>
    <w:rsid w:val="00972F29"/>
    <w:rsid w:val="00973044"/>
    <w:rsid w:val="00976201"/>
    <w:rsid w:val="00976464"/>
    <w:rsid w:val="009765BE"/>
    <w:rsid w:val="0097677B"/>
    <w:rsid w:val="009767FD"/>
    <w:rsid w:val="00980914"/>
    <w:rsid w:val="00982C6E"/>
    <w:rsid w:val="00982F2E"/>
    <w:rsid w:val="00983C73"/>
    <w:rsid w:val="00984954"/>
    <w:rsid w:val="0098668F"/>
    <w:rsid w:val="00986CC2"/>
    <w:rsid w:val="009929BE"/>
    <w:rsid w:val="00994EFF"/>
    <w:rsid w:val="00994F1D"/>
    <w:rsid w:val="009955B8"/>
    <w:rsid w:val="00996302"/>
    <w:rsid w:val="009967C8"/>
    <w:rsid w:val="009971FC"/>
    <w:rsid w:val="009974EE"/>
    <w:rsid w:val="00997A1E"/>
    <w:rsid w:val="009A0277"/>
    <w:rsid w:val="009A1972"/>
    <w:rsid w:val="009A1CDB"/>
    <w:rsid w:val="009A27F2"/>
    <w:rsid w:val="009A3177"/>
    <w:rsid w:val="009A4338"/>
    <w:rsid w:val="009A443C"/>
    <w:rsid w:val="009A5457"/>
    <w:rsid w:val="009A6957"/>
    <w:rsid w:val="009B03F2"/>
    <w:rsid w:val="009B0C36"/>
    <w:rsid w:val="009B1A2C"/>
    <w:rsid w:val="009B1CF4"/>
    <w:rsid w:val="009B32FB"/>
    <w:rsid w:val="009B5BA3"/>
    <w:rsid w:val="009B5D64"/>
    <w:rsid w:val="009B602B"/>
    <w:rsid w:val="009B6581"/>
    <w:rsid w:val="009B6C80"/>
    <w:rsid w:val="009B7AA0"/>
    <w:rsid w:val="009C0260"/>
    <w:rsid w:val="009C12AB"/>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5123"/>
    <w:rsid w:val="009F703E"/>
    <w:rsid w:val="00A00A23"/>
    <w:rsid w:val="00A00F4C"/>
    <w:rsid w:val="00A01748"/>
    <w:rsid w:val="00A01C7F"/>
    <w:rsid w:val="00A03385"/>
    <w:rsid w:val="00A03DB9"/>
    <w:rsid w:val="00A04F50"/>
    <w:rsid w:val="00A06640"/>
    <w:rsid w:val="00A06D2C"/>
    <w:rsid w:val="00A07631"/>
    <w:rsid w:val="00A07824"/>
    <w:rsid w:val="00A10F2E"/>
    <w:rsid w:val="00A11D5B"/>
    <w:rsid w:val="00A120DE"/>
    <w:rsid w:val="00A13038"/>
    <w:rsid w:val="00A144B2"/>
    <w:rsid w:val="00A161DC"/>
    <w:rsid w:val="00A16F3D"/>
    <w:rsid w:val="00A170DA"/>
    <w:rsid w:val="00A17112"/>
    <w:rsid w:val="00A20477"/>
    <w:rsid w:val="00A21647"/>
    <w:rsid w:val="00A24BEE"/>
    <w:rsid w:val="00A25E61"/>
    <w:rsid w:val="00A26233"/>
    <w:rsid w:val="00A27536"/>
    <w:rsid w:val="00A31A0D"/>
    <w:rsid w:val="00A32D90"/>
    <w:rsid w:val="00A33A60"/>
    <w:rsid w:val="00A3519E"/>
    <w:rsid w:val="00A35376"/>
    <w:rsid w:val="00A37E8A"/>
    <w:rsid w:val="00A41316"/>
    <w:rsid w:val="00A42966"/>
    <w:rsid w:val="00A47014"/>
    <w:rsid w:val="00A473B5"/>
    <w:rsid w:val="00A538A5"/>
    <w:rsid w:val="00A539B9"/>
    <w:rsid w:val="00A53BEB"/>
    <w:rsid w:val="00A53E62"/>
    <w:rsid w:val="00A540E1"/>
    <w:rsid w:val="00A55AF5"/>
    <w:rsid w:val="00A55FAC"/>
    <w:rsid w:val="00A60522"/>
    <w:rsid w:val="00A61E4D"/>
    <w:rsid w:val="00A62C5D"/>
    <w:rsid w:val="00A63270"/>
    <w:rsid w:val="00A63AE6"/>
    <w:rsid w:val="00A64DD0"/>
    <w:rsid w:val="00A67061"/>
    <w:rsid w:val="00A6715C"/>
    <w:rsid w:val="00A70F9A"/>
    <w:rsid w:val="00A71301"/>
    <w:rsid w:val="00A71EDA"/>
    <w:rsid w:val="00A73FB3"/>
    <w:rsid w:val="00A7573C"/>
    <w:rsid w:val="00A757A8"/>
    <w:rsid w:val="00A75E47"/>
    <w:rsid w:val="00A7627B"/>
    <w:rsid w:val="00A80231"/>
    <w:rsid w:val="00A811F4"/>
    <w:rsid w:val="00A81C6D"/>
    <w:rsid w:val="00A82723"/>
    <w:rsid w:val="00A85C74"/>
    <w:rsid w:val="00A8690A"/>
    <w:rsid w:val="00A873D0"/>
    <w:rsid w:val="00A874BC"/>
    <w:rsid w:val="00A91004"/>
    <w:rsid w:val="00A92860"/>
    <w:rsid w:val="00A938B7"/>
    <w:rsid w:val="00A938C2"/>
    <w:rsid w:val="00A940EC"/>
    <w:rsid w:val="00A942D2"/>
    <w:rsid w:val="00A945BA"/>
    <w:rsid w:val="00AA0758"/>
    <w:rsid w:val="00AA1758"/>
    <w:rsid w:val="00AA1CAE"/>
    <w:rsid w:val="00AA2AF9"/>
    <w:rsid w:val="00AA2DBF"/>
    <w:rsid w:val="00AA4597"/>
    <w:rsid w:val="00AA4E6B"/>
    <w:rsid w:val="00AB0880"/>
    <w:rsid w:val="00AB13BB"/>
    <w:rsid w:val="00AB2297"/>
    <w:rsid w:val="00AB2CE6"/>
    <w:rsid w:val="00AB7A64"/>
    <w:rsid w:val="00AB7A79"/>
    <w:rsid w:val="00AC0E94"/>
    <w:rsid w:val="00AC1244"/>
    <w:rsid w:val="00AC1A5F"/>
    <w:rsid w:val="00AC4336"/>
    <w:rsid w:val="00AC47D3"/>
    <w:rsid w:val="00AC4F8D"/>
    <w:rsid w:val="00AC53CB"/>
    <w:rsid w:val="00AC653B"/>
    <w:rsid w:val="00AC6C4A"/>
    <w:rsid w:val="00AC7446"/>
    <w:rsid w:val="00AD127F"/>
    <w:rsid w:val="00AD1FEA"/>
    <w:rsid w:val="00AD262B"/>
    <w:rsid w:val="00AD3121"/>
    <w:rsid w:val="00AD462D"/>
    <w:rsid w:val="00AD4AF6"/>
    <w:rsid w:val="00AD67E9"/>
    <w:rsid w:val="00AD7935"/>
    <w:rsid w:val="00AD7D15"/>
    <w:rsid w:val="00AE058D"/>
    <w:rsid w:val="00AE0A80"/>
    <w:rsid w:val="00AE1430"/>
    <w:rsid w:val="00AE30ED"/>
    <w:rsid w:val="00AE4F32"/>
    <w:rsid w:val="00AE4F6A"/>
    <w:rsid w:val="00AE5281"/>
    <w:rsid w:val="00AE5A49"/>
    <w:rsid w:val="00AE62B9"/>
    <w:rsid w:val="00AE6B4C"/>
    <w:rsid w:val="00AE7675"/>
    <w:rsid w:val="00AF2F1F"/>
    <w:rsid w:val="00AF507E"/>
    <w:rsid w:val="00AF538F"/>
    <w:rsid w:val="00AF5F1A"/>
    <w:rsid w:val="00AF64DA"/>
    <w:rsid w:val="00AF67E5"/>
    <w:rsid w:val="00B00F0A"/>
    <w:rsid w:val="00B021BF"/>
    <w:rsid w:val="00B02A3E"/>
    <w:rsid w:val="00B02A6B"/>
    <w:rsid w:val="00B03FA2"/>
    <w:rsid w:val="00B04125"/>
    <w:rsid w:val="00B0549A"/>
    <w:rsid w:val="00B05C51"/>
    <w:rsid w:val="00B06BB6"/>
    <w:rsid w:val="00B07670"/>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6556"/>
    <w:rsid w:val="00B27FD5"/>
    <w:rsid w:val="00B30A53"/>
    <w:rsid w:val="00B30BDF"/>
    <w:rsid w:val="00B317C5"/>
    <w:rsid w:val="00B32646"/>
    <w:rsid w:val="00B32D89"/>
    <w:rsid w:val="00B331D1"/>
    <w:rsid w:val="00B341A3"/>
    <w:rsid w:val="00B34E88"/>
    <w:rsid w:val="00B3518F"/>
    <w:rsid w:val="00B362EF"/>
    <w:rsid w:val="00B371DD"/>
    <w:rsid w:val="00B37F8C"/>
    <w:rsid w:val="00B429B6"/>
    <w:rsid w:val="00B42E87"/>
    <w:rsid w:val="00B4431E"/>
    <w:rsid w:val="00B44ACB"/>
    <w:rsid w:val="00B44D5E"/>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01"/>
    <w:rsid w:val="00BC0370"/>
    <w:rsid w:val="00BC1ACB"/>
    <w:rsid w:val="00BC2523"/>
    <w:rsid w:val="00BC28C6"/>
    <w:rsid w:val="00BC460D"/>
    <w:rsid w:val="00BC53DF"/>
    <w:rsid w:val="00BC69C9"/>
    <w:rsid w:val="00BC7C6F"/>
    <w:rsid w:val="00BD012A"/>
    <w:rsid w:val="00BD1B7B"/>
    <w:rsid w:val="00BD23C3"/>
    <w:rsid w:val="00BD3088"/>
    <w:rsid w:val="00BD3303"/>
    <w:rsid w:val="00BD363D"/>
    <w:rsid w:val="00BD47BA"/>
    <w:rsid w:val="00BD592E"/>
    <w:rsid w:val="00BD6E71"/>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559B"/>
    <w:rsid w:val="00C35806"/>
    <w:rsid w:val="00C37164"/>
    <w:rsid w:val="00C374C3"/>
    <w:rsid w:val="00C4154F"/>
    <w:rsid w:val="00C424AD"/>
    <w:rsid w:val="00C42E59"/>
    <w:rsid w:val="00C432F2"/>
    <w:rsid w:val="00C43375"/>
    <w:rsid w:val="00C45917"/>
    <w:rsid w:val="00C478FE"/>
    <w:rsid w:val="00C47A6C"/>
    <w:rsid w:val="00C47B41"/>
    <w:rsid w:val="00C60570"/>
    <w:rsid w:val="00C610E6"/>
    <w:rsid w:val="00C62319"/>
    <w:rsid w:val="00C63836"/>
    <w:rsid w:val="00C63F81"/>
    <w:rsid w:val="00C642AD"/>
    <w:rsid w:val="00C64822"/>
    <w:rsid w:val="00C66DBF"/>
    <w:rsid w:val="00C67372"/>
    <w:rsid w:val="00C67532"/>
    <w:rsid w:val="00C7064E"/>
    <w:rsid w:val="00C71D1F"/>
    <w:rsid w:val="00C72460"/>
    <w:rsid w:val="00C751B2"/>
    <w:rsid w:val="00C75D65"/>
    <w:rsid w:val="00C80373"/>
    <w:rsid w:val="00C82657"/>
    <w:rsid w:val="00C831BB"/>
    <w:rsid w:val="00C833A4"/>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CA4"/>
    <w:rsid w:val="00C97DC2"/>
    <w:rsid w:val="00CA1205"/>
    <w:rsid w:val="00CA3177"/>
    <w:rsid w:val="00CA3BD2"/>
    <w:rsid w:val="00CA44F8"/>
    <w:rsid w:val="00CA5DC9"/>
    <w:rsid w:val="00CA725D"/>
    <w:rsid w:val="00CA7BA9"/>
    <w:rsid w:val="00CB02CA"/>
    <w:rsid w:val="00CB0DF9"/>
    <w:rsid w:val="00CB1FDA"/>
    <w:rsid w:val="00CB20AD"/>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D80"/>
    <w:rsid w:val="00CE1F89"/>
    <w:rsid w:val="00CE35FB"/>
    <w:rsid w:val="00CE3F84"/>
    <w:rsid w:val="00CE4A9C"/>
    <w:rsid w:val="00CE4DC9"/>
    <w:rsid w:val="00CE5B1B"/>
    <w:rsid w:val="00CE7118"/>
    <w:rsid w:val="00CE77B9"/>
    <w:rsid w:val="00CE79F2"/>
    <w:rsid w:val="00CF0F18"/>
    <w:rsid w:val="00CF17C8"/>
    <w:rsid w:val="00CF2DE8"/>
    <w:rsid w:val="00CF3778"/>
    <w:rsid w:val="00CF4C05"/>
    <w:rsid w:val="00CF504E"/>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17B72"/>
    <w:rsid w:val="00D20A78"/>
    <w:rsid w:val="00D212BF"/>
    <w:rsid w:val="00D23204"/>
    <w:rsid w:val="00D238EF"/>
    <w:rsid w:val="00D24AE8"/>
    <w:rsid w:val="00D256E2"/>
    <w:rsid w:val="00D25C16"/>
    <w:rsid w:val="00D264EE"/>
    <w:rsid w:val="00D26741"/>
    <w:rsid w:val="00D30AE9"/>
    <w:rsid w:val="00D31D50"/>
    <w:rsid w:val="00D32561"/>
    <w:rsid w:val="00D33AA4"/>
    <w:rsid w:val="00D33E78"/>
    <w:rsid w:val="00D361E7"/>
    <w:rsid w:val="00D419D4"/>
    <w:rsid w:val="00D41FEA"/>
    <w:rsid w:val="00D42083"/>
    <w:rsid w:val="00D424EE"/>
    <w:rsid w:val="00D43127"/>
    <w:rsid w:val="00D43DD9"/>
    <w:rsid w:val="00D45E41"/>
    <w:rsid w:val="00D47084"/>
    <w:rsid w:val="00D47BE5"/>
    <w:rsid w:val="00D53E22"/>
    <w:rsid w:val="00D546BB"/>
    <w:rsid w:val="00D54ECE"/>
    <w:rsid w:val="00D54FC3"/>
    <w:rsid w:val="00D56142"/>
    <w:rsid w:val="00D56842"/>
    <w:rsid w:val="00D5718A"/>
    <w:rsid w:val="00D57EF0"/>
    <w:rsid w:val="00D57EF2"/>
    <w:rsid w:val="00D61A18"/>
    <w:rsid w:val="00D631B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3EC1"/>
    <w:rsid w:val="00D8638A"/>
    <w:rsid w:val="00D864BC"/>
    <w:rsid w:val="00D871E8"/>
    <w:rsid w:val="00D87EC7"/>
    <w:rsid w:val="00D94501"/>
    <w:rsid w:val="00D955B3"/>
    <w:rsid w:val="00D979BB"/>
    <w:rsid w:val="00D97FF3"/>
    <w:rsid w:val="00DA0ED0"/>
    <w:rsid w:val="00DA1658"/>
    <w:rsid w:val="00DA2367"/>
    <w:rsid w:val="00DA440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69B"/>
    <w:rsid w:val="00DD1F39"/>
    <w:rsid w:val="00DD39C0"/>
    <w:rsid w:val="00DD4B7F"/>
    <w:rsid w:val="00DE0F74"/>
    <w:rsid w:val="00DE19E7"/>
    <w:rsid w:val="00DE2F57"/>
    <w:rsid w:val="00DE3C3D"/>
    <w:rsid w:val="00DE4C8C"/>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07BE0"/>
    <w:rsid w:val="00E13A26"/>
    <w:rsid w:val="00E13B60"/>
    <w:rsid w:val="00E15E91"/>
    <w:rsid w:val="00E1615E"/>
    <w:rsid w:val="00E16665"/>
    <w:rsid w:val="00E16BEC"/>
    <w:rsid w:val="00E16CCE"/>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3"/>
    <w:rsid w:val="00E50F3D"/>
    <w:rsid w:val="00E51883"/>
    <w:rsid w:val="00E5344D"/>
    <w:rsid w:val="00E53B0D"/>
    <w:rsid w:val="00E540E6"/>
    <w:rsid w:val="00E541B8"/>
    <w:rsid w:val="00E54592"/>
    <w:rsid w:val="00E61617"/>
    <w:rsid w:val="00E64FC7"/>
    <w:rsid w:val="00E6652B"/>
    <w:rsid w:val="00E67CEF"/>
    <w:rsid w:val="00E71304"/>
    <w:rsid w:val="00E73299"/>
    <w:rsid w:val="00E7485B"/>
    <w:rsid w:val="00E74CE5"/>
    <w:rsid w:val="00E74E86"/>
    <w:rsid w:val="00E769D3"/>
    <w:rsid w:val="00E77A95"/>
    <w:rsid w:val="00E77C7E"/>
    <w:rsid w:val="00E8346C"/>
    <w:rsid w:val="00E83DA8"/>
    <w:rsid w:val="00E84511"/>
    <w:rsid w:val="00E8479E"/>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2F8F"/>
    <w:rsid w:val="00EA3D96"/>
    <w:rsid w:val="00EA3E7A"/>
    <w:rsid w:val="00EA43C5"/>
    <w:rsid w:val="00EA4458"/>
    <w:rsid w:val="00EA55CF"/>
    <w:rsid w:val="00EA579B"/>
    <w:rsid w:val="00EA59DC"/>
    <w:rsid w:val="00EA6A8B"/>
    <w:rsid w:val="00EA6E58"/>
    <w:rsid w:val="00EB0B35"/>
    <w:rsid w:val="00EB1084"/>
    <w:rsid w:val="00EB305D"/>
    <w:rsid w:val="00EB4037"/>
    <w:rsid w:val="00EB4321"/>
    <w:rsid w:val="00EB489C"/>
    <w:rsid w:val="00EB5956"/>
    <w:rsid w:val="00EB5C9D"/>
    <w:rsid w:val="00EB69B2"/>
    <w:rsid w:val="00EB7944"/>
    <w:rsid w:val="00EC1146"/>
    <w:rsid w:val="00EC2579"/>
    <w:rsid w:val="00EC2B8F"/>
    <w:rsid w:val="00EC5596"/>
    <w:rsid w:val="00EC5E5B"/>
    <w:rsid w:val="00EC624B"/>
    <w:rsid w:val="00EC62AB"/>
    <w:rsid w:val="00EC653B"/>
    <w:rsid w:val="00EC690D"/>
    <w:rsid w:val="00EC6DAA"/>
    <w:rsid w:val="00EC73C9"/>
    <w:rsid w:val="00EC7B83"/>
    <w:rsid w:val="00EC7D64"/>
    <w:rsid w:val="00ED04EA"/>
    <w:rsid w:val="00ED1C60"/>
    <w:rsid w:val="00ED3A6B"/>
    <w:rsid w:val="00ED3EC9"/>
    <w:rsid w:val="00ED52F1"/>
    <w:rsid w:val="00ED5694"/>
    <w:rsid w:val="00ED6792"/>
    <w:rsid w:val="00ED6F2B"/>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11161"/>
    <w:rsid w:val="00F1116F"/>
    <w:rsid w:val="00F1157C"/>
    <w:rsid w:val="00F122EA"/>
    <w:rsid w:val="00F12994"/>
    <w:rsid w:val="00F13545"/>
    <w:rsid w:val="00F14593"/>
    <w:rsid w:val="00F15F80"/>
    <w:rsid w:val="00F16463"/>
    <w:rsid w:val="00F16934"/>
    <w:rsid w:val="00F17248"/>
    <w:rsid w:val="00F20036"/>
    <w:rsid w:val="00F2012D"/>
    <w:rsid w:val="00F20757"/>
    <w:rsid w:val="00F20FB2"/>
    <w:rsid w:val="00F2146E"/>
    <w:rsid w:val="00F22258"/>
    <w:rsid w:val="00F222F9"/>
    <w:rsid w:val="00F23C37"/>
    <w:rsid w:val="00F241AC"/>
    <w:rsid w:val="00F241F6"/>
    <w:rsid w:val="00F27441"/>
    <w:rsid w:val="00F31BDC"/>
    <w:rsid w:val="00F31D15"/>
    <w:rsid w:val="00F3350F"/>
    <w:rsid w:val="00F342A2"/>
    <w:rsid w:val="00F359FC"/>
    <w:rsid w:val="00F37538"/>
    <w:rsid w:val="00F37EA6"/>
    <w:rsid w:val="00F41081"/>
    <w:rsid w:val="00F43B19"/>
    <w:rsid w:val="00F43FC6"/>
    <w:rsid w:val="00F449D1"/>
    <w:rsid w:val="00F44C7B"/>
    <w:rsid w:val="00F46558"/>
    <w:rsid w:val="00F50548"/>
    <w:rsid w:val="00F51AB5"/>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1F8A"/>
    <w:rsid w:val="00F9283A"/>
    <w:rsid w:val="00F93684"/>
    <w:rsid w:val="00F93B12"/>
    <w:rsid w:val="00F96708"/>
    <w:rsid w:val="00FA1A3D"/>
    <w:rsid w:val="00FA1B46"/>
    <w:rsid w:val="00FA20DE"/>
    <w:rsid w:val="00FA298E"/>
    <w:rsid w:val="00FA2C06"/>
    <w:rsid w:val="00FA40F1"/>
    <w:rsid w:val="00FA4834"/>
    <w:rsid w:val="00FA5142"/>
    <w:rsid w:val="00FA5878"/>
    <w:rsid w:val="00FA5A4F"/>
    <w:rsid w:val="00FA5D14"/>
    <w:rsid w:val="00FA6470"/>
    <w:rsid w:val="00FB1316"/>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443C"/>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2CE0"/>
    <w:rsid w:val="00FF363C"/>
    <w:rsid w:val="00FF4531"/>
    <w:rsid w:val="00FF71E1"/>
    <w:rsid w:val="00FF7AC9"/>
    <w:rsid w:val="01000AA4"/>
    <w:rsid w:val="01034F02"/>
    <w:rsid w:val="010E03D1"/>
    <w:rsid w:val="01117969"/>
    <w:rsid w:val="0113521D"/>
    <w:rsid w:val="01154B27"/>
    <w:rsid w:val="0116333C"/>
    <w:rsid w:val="011B6375"/>
    <w:rsid w:val="011E5744"/>
    <w:rsid w:val="012260A7"/>
    <w:rsid w:val="01261495"/>
    <w:rsid w:val="01293651"/>
    <w:rsid w:val="01343FD7"/>
    <w:rsid w:val="01394E85"/>
    <w:rsid w:val="01422901"/>
    <w:rsid w:val="015131D8"/>
    <w:rsid w:val="015A5D9F"/>
    <w:rsid w:val="015D773D"/>
    <w:rsid w:val="015F7724"/>
    <w:rsid w:val="016A796D"/>
    <w:rsid w:val="016E7B0E"/>
    <w:rsid w:val="017129A6"/>
    <w:rsid w:val="01747DBA"/>
    <w:rsid w:val="017D38BD"/>
    <w:rsid w:val="01812819"/>
    <w:rsid w:val="018361B2"/>
    <w:rsid w:val="01837B46"/>
    <w:rsid w:val="0187556E"/>
    <w:rsid w:val="018C01E6"/>
    <w:rsid w:val="018C3327"/>
    <w:rsid w:val="01925274"/>
    <w:rsid w:val="019E081A"/>
    <w:rsid w:val="01A75273"/>
    <w:rsid w:val="01A775B4"/>
    <w:rsid w:val="01AD7004"/>
    <w:rsid w:val="01B65DC8"/>
    <w:rsid w:val="01C114A2"/>
    <w:rsid w:val="01C4722F"/>
    <w:rsid w:val="01C744FB"/>
    <w:rsid w:val="01C95D3A"/>
    <w:rsid w:val="01D21A2D"/>
    <w:rsid w:val="01D373A3"/>
    <w:rsid w:val="01E63124"/>
    <w:rsid w:val="01F26BA1"/>
    <w:rsid w:val="01F41B8F"/>
    <w:rsid w:val="01F77B89"/>
    <w:rsid w:val="01FB7D73"/>
    <w:rsid w:val="02071A61"/>
    <w:rsid w:val="02153AAC"/>
    <w:rsid w:val="021615E2"/>
    <w:rsid w:val="02164A71"/>
    <w:rsid w:val="02186EC2"/>
    <w:rsid w:val="021B4775"/>
    <w:rsid w:val="02272F70"/>
    <w:rsid w:val="022C0DB7"/>
    <w:rsid w:val="02321605"/>
    <w:rsid w:val="02421F19"/>
    <w:rsid w:val="024E262A"/>
    <w:rsid w:val="024E6D41"/>
    <w:rsid w:val="024F272E"/>
    <w:rsid w:val="025100C3"/>
    <w:rsid w:val="02551605"/>
    <w:rsid w:val="025518AC"/>
    <w:rsid w:val="027267D8"/>
    <w:rsid w:val="02773733"/>
    <w:rsid w:val="02800AF1"/>
    <w:rsid w:val="028058C4"/>
    <w:rsid w:val="02881E3B"/>
    <w:rsid w:val="028B6646"/>
    <w:rsid w:val="028D3650"/>
    <w:rsid w:val="028E6791"/>
    <w:rsid w:val="02993E45"/>
    <w:rsid w:val="029B7527"/>
    <w:rsid w:val="029F312F"/>
    <w:rsid w:val="02A6500C"/>
    <w:rsid w:val="02AB3B74"/>
    <w:rsid w:val="02AD60E1"/>
    <w:rsid w:val="02B4371E"/>
    <w:rsid w:val="02B448BA"/>
    <w:rsid w:val="02B842F0"/>
    <w:rsid w:val="02BB6A9D"/>
    <w:rsid w:val="02BE0A9F"/>
    <w:rsid w:val="02BE6A19"/>
    <w:rsid w:val="02C24BF1"/>
    <w:rsid w:val="02CB619B"/>
    <w:rsid w:val="02CE6E0B"/>
    <w:rsid w:val="02D21428"/>
    <w:rsid w:val="02DA4630"/>
    <w:rsid w:val="02E02BE4"/>
    <w:rsid w:val="02E15E67"/>
    <w:rsid w:val="02E62E08"/>
    <w:rsid w:val="02E811D9"/>
    <w:rsid w:val="02F01686"/>
    <w:rsid w:val="02F520F7"/>
    <w:rsid w:val="03084449"/>
    <w:rsid w:val="0311419B"/>
    <w:rsid w:val="03144B94"/>
    <w:rsid w:val="0318290B"/>
    <w:rsid w:val="031C25B0"/>
    <w:rsid w:val="0331155C"/>
    <w:rsid w:val="03392D38"/>
    <w:rsid w:val="033C0E47"/>
    <w:rsid w:val="033D7371"/>
    <w:rsid w:val="033E2109"/>
    <w:rsid w:val="03445519"/>
    <w:rsid w:val="034F484F"/>
    <w:rsid w:val="03552602"/>
    <w:rsid w:val="03552770"/>
    <w:rsid w:val="03553147"/>
    <w:rsid w:val="03555A73"/>
    <w:rsid w:val="035937A7"/>
    <w:rsid w:val="035E3BEB"/>
    <w:rsid w:val="03685054"/>
    <w:rsid w:val="0369389C"/>
    <w:rsid w:val="037426D5"/>
    <w:rsid w:val="03795BF7"/>
    <w:rsid w:val="037B5E26"/>
    <w:rsid w:val="037E2A9C"/>
    <w:rsid w:val="0381265D"/>
    <w:rsid w:val="038275CB"/>
    <w:rsid w:val="03896EAB"/>
    <w:rsid w:val="038A5E22"/>
    <w:rsid w:val="03AA7C3A"/>
    <w:rsid w:val="03B87EBB"/>
    <w:rsid w:val="03BA618F"/>
    <w:rsid w:val="03BD58B2"/>
    <w:rsid w:val="03C83A42"/>
    <w:rsid w:val="03D1698B"/>
    <w:rsid w:val="03D24147"/>
    <w:rsid w:val="03DA2433"/>
    <w:rsid w:val="03E84447"/>
    <w:rsid w:val="03EA2651"/>
    <w:rsid w:val="03EA705B"/>
    <w:rsid w:val="03F2199C"/>
    <w:rsid w:val="040979F3"/>
    <w:rsid w:val="040A1E3A"/>
    <w:rsid w:val="040D2707"/>
    <w:rsid w:val="040D378E"/>
    <w:rsid w:val="040D70FF"/>
    <w:rsid w:val="04106B87"/>
    <w:rsid w:val="0418143E"/>
    <w:rsid w:val="041A5946"/>
    <w:rsid w:val="041C3604"/>
    <w:rsid w:val="0421531A"/>
    <w:rsid w:val="0431648C"/>
    <w:rsid w:val="04336182"/>
    <w:rsid w:val="04430A25"/>
    <w:rsid w:val="044F7921"/>
    <w:rsid w:val="045277AA"/>
    <w:rsid w:val="045E6226"/>
    <w:rsid w:val="04644440"/>
    <w:rsid w:val="0469439E"/>
    <w:rsid w:val="047137BF"/>
    <w:rsid w:val="04723E86"/>
    <w:rsid w:val="047A693D"/>
    <w:rsid w:val="047C1514"/>
    <w:rsid w:val="048B6D9A"/>
    <w:rsid w:val="0495155B"/>
    <w:rsid w:val="04974587"/>
    <w:rsid w:val="049B2379"/>
    <w:rsid w:val="049B7CCC"/>
    <w:rsid w:val="049C320B"/>
    <w:rsid w:val="049D6808"/>
    <w:rsid w:val="04A048D9"/>
    <w:rsid w:val="04AC6382"/>
    <w:rsid w:val="04B57B8C"/>
    <w:rsid w:val="04B86D61"/>
    <w:rsid w:val="04CE5695"/>
    <w:rsid w:val="04DA126C"/>
    <w:rsid w:val="04DD5D12"/>
    <w:rsid w:val="04E522AF"/>
    <w:rsid w:val="04E674E3"/>
    <w:rsid w:val="04E92909"/>
    <w:rsid w:val="04F04546"/>
    <w:rsid w:val="04F76334"/>
    <w:rsid w:val="04FA7349"/>
    <w:rsid w:val="04FD5B13"/>
    <w:rsid w:val="04FF50A9"/>
    <w:rsid w:val="0501672F"/>
    <w:rsid w:val="050326FA"/>
    <w:rsid w:val="05052DAE"/>
    <w:rsid w:val="050C6EAA"/>
    <w:rsid w:val="05117756"/>
    <w:rsid w:val="051C33AA"/>
    <w:rsid w:val="051C33CF"/>
    <w:rsid w:val="051D44D1"/>
    <w:rsid w:val="052122D1"/>
    <w:rsid w:val="052A09A2"/>
    <w:rsid w:val="052C1C5A"/>
    <w:rsid w:val="05307B75"/>
    <w:rsid w:val="053C3F35"/>
    <w:rsid w:val="054144F3"/>
    <w:rsid w:val="05585A93"/>
    <w:rsid w:val="056A503F"/>
    <w:rsid w:val="056F35CA"/>
    <w:rsid w:val="05803122"/>
    <w:rsid w:val="05840AE4"/>
    <w:rsid w:val="058D053D"/>
    <w:rsid w:val="05972C1F"/>
    <w:rsid w:val="05990487"/>
    <w:rsid w:val="05AC7196"/>
    <w:rsid w:val="05B35240"/>
    <w:rsid w:val="05B6224D"/>
    <w:rsid w:val="05B7314F"/>
    <w:rsid w:val="05DD4BBB"/>
    <w:rsid w:val="05E72A7E"/>
    <w:rsid w:val="05EF4A89"/>
    <w:rsid w:val="05F15E65"/>
    <w:rsid w:val="05F3071E"/>
    <w:rsid w:val="05F41A51"/>
    <w:rsid w:val="05F62C6A"/>
    <w:rsid w:val="05F7601A"/>
    <w:rsid w:val="06024341"/>
    <w:rsid w:val="0604359C"/>
    <w:rsid w:val="06073135"/>
    <w:rsid w:val="06083ED4"/>
    <w:rsid w:val="060B7347"/>
    <w:rsid w:val="060F2738"/>
    <w:rsid w:val="0614393D"/>
    <w:rsid w:val="06170F0C"/>
    <w:rsid w:val="061C518A"/>
    <w:rsid w:val="061C6DD5"/>
    <w:rsid w:val="062555FD"/>
    <w:rsid w:val="0631195A"/>
    <w:rsid w:val="06380A36"/>
    <w:rsid w:val="063D1289"/>
    <w:rsid w:val="06474246"/>
    <w:rsid w:val="06484CC7"/>
    <w:rsid w:val="06547A53"/>
    <w:rsid w:val="06617519"/>
    <w:rsid w:val="06674A26"/>
    <w:rsid w:val="066A6113"/>
    <w:rsid w:val="067404C7"/>
    <w:rsid w:val="06776C4C"/>
    <w:rsid w:val="067872B1"/>
    <w:rsid w:val="06791CFE"/>
    <w:rsid w:val="068C0C5A"/>
    <w:rsid w:val="068C5825"/>
    <w:rsid w:val="06912FBA"/>
    <w:rsid w:val="06916BED"/>
    <w:rsid w:val="06923EF3"/>
    <w:rsid w:val="06967C9E"/>
    <w:rsid w:val="069C2099"/>
    <w:rsid w:val="069D7C6B"/>
    <w:rsid w:val="069F3BC7"/>
    <w:rsid w:val="06AE70E8"/>
    <w:rsid w:val="06B156A8"/>
    <w:rsid w:val="06B32592"/>
    <w:rsid w:val="06CA03E0"/>
    <w:rsid w:val="06CB59BE"/>
    <w:rsid w:val="06CC677D"/>
    <w:rsid w:val="06CD6DFA"/>
    <w:rsid w:val="06D01FD2"/>
    <w:rsid w:val="06D43393"/>
    <w:rsid w:val="06D50D6C"/>
    <w:rsid w:val="06DC68F3"/>
    <w:rsid w:val="06DD77F1"/>
    <w:rsid w:val="06E2659F"/>
    <w:rsid w:val="06E62D1C"/>
    <w:rsid w:val="06EE2609"/>
    <w:rsid w:val="06F27F7C"/>
    <w:rsid w:val="06FB0E58"/>
    <w:rsid w:val="06FF7B9A"/>
    <w:rsid w:val="070256E2"/>
    <w:rsid w:val="070332CA"/>
    <w:rsid w:val="070839A2"/>
    <w:rsid w:val="070B6605"/>
    <w:rsid w:val="071076C3"/>
    <w:rsid w:val="07131CDD"/>
    <w:rsid w:val="07137D4C"/>
    <w:rsid w:val="07156FCF"/>
    <w:rsid w:val="07182D2E"/>
    <w:rsid w:val="071A4CE9"/>
    <w:rsid w:val="072174B5"/>
    <w:rsid w:val="07237085"/>
    <w:rsid w:val="07267620"/>
    <w:rsid w:val="072D19D2"/>
    <w:rsid w:val="072F71BC"/>
    <w:rsid w:val="073A60B8"/>
    <w:rsid w:val="07477021"/>
    <w:rsid w:val="07487AE7"/>
    <w:rsid w:val="074958E1"/>
    <w:rsid w:val="074A7D29"/>
    <w:rsid w:val="07502EB3"/>
    <w:rsid w:val="07536B69"/>
    <w:rsid w:val="075370D0"/>
    <w:rsid w:val="07591FC8"/>
    <w:rsid w:val="0759513E"/>
    <w:rsid w:val="075B1A62"/>
    <w:rsid w:val="075D6594"/>
    <w:rsid w:val="076650CA"/>
    <w:rsid w:val="077330C8"/>
    <w:rsid w:val="07744F43"/>
    <w:rsid w:val="077C705F"/>
    <w:rsid w:val="078669C3"/>
    <w:rsid w:val="07866B35"/>
    <w:rsid w:val="07871B09"/>
    <w:rsid w:val="078F2096"/>
    <w:rsid w:val="07950B26"/>
    <w:rsid w:val="079819AC"/>
    <w:rsid w:val="07A20860"/>
    <w:rsid w:val="07AA4314"/>
    <w:rsid w:val="07B0105B"/>
    <w:rsid w:val="07B5554B"/>
    <w:rsid w:val="07C37573"/>
    <w:rsid w:val="07D00CD0"/>
    <w:rsid w:val="07D0196D"/>
    <w:rsid w:val="07D478A0"/>
    <w:rsid w:val="07D653C6"/>
    <w:rsid w:val="07D75C90"/>
    <w:rsid w:val="07DA460A"/>
    <w:rsid w:val="07E00BE7"/>
    <w:rsid w:val="07E81453"/>
    <w:rsid w:val="07EA0FE6"/>
    <w:rsid w:val="080B2DBA"/>
    <w:rsid w:val="08100464"/>
    <w:rsid w:val="08216DD1"/>
    <w:rsid w:val="08262A58"/>
    <w:rsid w:val="08267839"/>
    <w:rsid w:val="08357F0C"/>
    <w:rsid w:val="08376208"/>
    <w:rsid w:val="083B741B"/>
    <w:rsid w:val="083E3C37"/>
    <w:rsid w:val="08407561"/>
    <w:rsid w:val="08436726"/>
    <w:rsid w:val="08491DF8"/>
    <w:rsid w:val="084A35F6"/>
    <w:rsid w:val="08500BB3"/>
    <w:rsid w:val="08525A89"/>
    <w:rsid w:val="08562311"/>
    <w:rsid w:val="08594974"/>
    <w:rsid w:val="085F360E"/>
    <w:rsid w:val="086E5A65"/>
    <w:rsid w:val="086E612A"/>
    <w:rsid w:val="08746F6A"/>
    <w:rsid w:val="087B18F3"/>
    <w:rsid w:val="08844E22"/>
    <w:rsid w:val="088B1DB2"/>
    <w:rsid w:val="089D4136"/>
    <w:rsid w:val="089D6FE9"/>
    <w:rsid w:val="08A34599"/>
    <w:rsid w:val="08A85267"/>
    <w:rsid w:val="08AC5B4B"/>
    <w:rsid w:val="08AE3ADD"/>
    <w:rsid w:val="08BE7C80"/>
    <w:rsid w:val="08C812E5"/>
    <w:rsid w:val="08C81750"/>
    <w:rsid w:val="08D739D4"/>
    <w:rsid w:val="08DF7E93"/>
    <w:rsid w:val="08E16B58"/>
    <w:rsid w:val="08E41D65"/>
    <w:rsid w:val="08E77E2A"/>
    <w:rsid w:val="08E92EA7"/>
    <w:rsid w:val="08F812F3"/>
    <w:rsid w:val="09015F47"/>
    <w:rsid w:val="09021123"/>
    <w:rsid w:val="090331E8"/>
    <w:rsid w:val="09072AAD"/>
    <w:rsid w:val="091709C3"/>
    <w:rsid w:val="0918007D"/>
    <w:rsid w:val="091E4A6C"/>
    <w:rsid w:val="09222C4F"/>
    <w:rsid w:val="09244FD6"/>
    <w:rsid w:val="09273F84"/>
    <w:rsid w:val="09371E95"/>
    <w:rsid w:val="09383E5F"/>
    <w:rsid w:val="093E6FB6"/>
    <w:rsid w:val="094316BD"/>
    <w:rsid w:val="0948672F"/>
    <w:rsid w:val="094A6690"/>
    <w:rsid w:val="094F3D88"/>
    <w:rsid w:val="09545C9C"/>
    <w:rsid w:val="09572E7B"/>
    <w:rsid w:val="09585588"/>
    <w:rsid w:val="095D4A5B"/>
    <w:rsid w:val="096412DC"/>
    <w:rsid w:val="09680114"/>
    <w:rsid w:val="097430E9"/>
    <w:rsid w:val="09743821"/>
    <w:rsid w:val="097D01A9"/>
    <w:rsid w:val="097F3354"/>
    <w:rsid w:val="0981329E"/>
    <w:rsid w:val="098B21E0"/>
    <w:rsid w:val="098E3A7F"/>
    <w:rsid w:val="098E4889"/>
    <w:rsid w:val="09915DBE"/>
    <w:rsid w:val="09A5269A"/>
    <w:rsid w:val="09AF2690"/>
    <w:rsid w:val="09B374A6"/>
    <w:rsid w:val="09B54E75"/>
    <w:rsid w:val="09C13E54"/>
    <w:rsid w:val="09C34736"/>
    <w:rsid w:val="09D23A6B"/>
    <w:rsid w:val="09DD3DA2"/>
    <w:rsid w:val="09DF000E"/>
    <w:rsid w:val="09E53166"/>
    <w:rsid w:val="09E65B16"/>
    <w:rsid w:val="09E72E05"/>
    <w:rsid w:val="09F16A78"/>
    <w:rsid w:val="09FF3501"/>
    <w:rsid w:val="0A046B3E"/>
    <w:rsid w:val="0A07526E"/>
    <w:rsid w:val="0A0B663A"/>
    <w:rsid w:val="0A1132C0"/>
    <w:rsid w:val="0A184B4C"/>
    <w:rsid w:val="0A1A2070"/>
    <w:rsid w:val="0A1F0101"/>
    <w:rsid w:val="0A283ED3"/>
    <w:rsid w:val="0A2B579E"/>
    <w:rsid w:val="0A2C57AA"/>
    <w:rsid w:val="0A33520B"/>
    <w:rsid w:val="0A3E3F41"/>
    <w:rsid w:val="0A3F4106"/>
    <w:rsid w:val="0A4135A5"/>
    <w:rsid w:val="0A43571D"/>
    <w:rsid w:val="0A504CF3"/>
    <w:rsid w:val="0A5928BF"/>
    <w:rsid w:val="0A660AB5"/>
    <w:rsid w:val="0A683173"/>
    <w:rsid w:val="0A6F565E"/>
    <w:rsid w:val="0A77271E"/>
    <w:rsid w:val="0A786C09"/>
    <w:rsid w:val="0A7C5DFC"/>
    <w:rsid w:val="0A802A4C"/>
    <w:rsid w:val="0A805ABD"/>
    <w:rsid w:val="0A8B7E6C"/>
    <w:rsid w:val="0A93356F"/>
    <w:rsid w:val="0A993FFD"/>
    <w:rsid w:val="0A9A2A54"/>
    <w:rsid w:val="0A9F68DF"/>
    <w:rsid w:val="0AA8674A"/>
    <w:rsid w:val="0AA9427D"/>
    <w:rsid w:val="0AA948DE"/>
    <w:rsid w:val="0AAA5618"/>
    <w:rsid w:val="0AAD7FFB"/>
    <w:rsid w:val="0AC93A93"/>
    <w:rsid w:val="0ACC14AF"/>
    <w:rsid w:val="0AD10D8B"/>
    <w:rsid w:val="0AD215CE"/>
    <w:rsid w:val="0ADA57AF"/>
    <w:rsid w:val="0ADB0AA2"/>
    <w:rsid w:val="0ADE1EB6"/>
    <w:rsid w:val="0ADF27E4"/>
    <w:rsid w:val="0AE06DB4"/>
    <w:rsid w:val="0AE37862"/>
    <w:rsid w:val="0B0039A6"/>
    <w:rsid w:val="0B035DA7"/>
    <w:rsid w:val="0B056186"/>
    <w:rsid w:val="0B0D6C7C"/>
    <w:rsid w:val="0B114DF3"/>
    <w:rsid w:val="0B16594F"/>
    <w:rsid w:val="0B204075"/>
    <w:rsid w:val="0B244435"/>
    <w:rsid w:val="0B2856CD"/>
    <w:rsid w:val="0B305B36"/>
    <w:rsid w:val="0B341279"/>
    <w:rsid w:val="0B3D253C"/>
    <w:rsid w:val="0B467373"/>
    <w:rsid w:val="0B4C4707"/>
    <w:rsid w:val="0B4D2FAD"/>
    <w:rsid w:val="0B52745A"/>
    <w:rsid w:val="0B5C2874"/>
    <w:rsid w:val="0B5E4357"/>
    <w:rsid w:val="0B636DB0"/>
    <w:rsid w:val="0B663358"/>
    <w:rsid w:val="0B785985"/>
    <w:rsid w:val="0B7E74F7"/>
    <w:rsid w:val="0B8B0C13"/>
    <w:rsid w:val="0B8E49BE"/>
    <w:rsid w:val="0B8E6260"/>
    <w:rsid w:val="0B97544D"/>
    <w:rsid w:val="0B99372D"/>
    <w:rsid w:val="0BA457DB"/>
    <w:rsid w:val="0BA62A94"/>
    <w:rsid w:val="0BAE4BD8"/>
    <w:rsid w:val="0BAE5749"/>
    <w:rsid w:val="0BBC4E0C"/>
    <w:rsid w:val="0BCB6B38"/>
    <w:rsid w:val="0BD3443B"/>
    <w:rsid w:val="0BD71ADE"/>
    <w:rsid w:val="0BDA6621"/>
    <w:rsid w:val="0BDA6FE2"/>
    <w:rsid w:val="0BE45AB5"/>
    <w:rsid w:val="0BE51381"/>
    <w:rsid w:val="0BEF777B"/>
    <w:rsid w:val="0BF407C6"/>
    <w:rsid w:val="0BF549A2"/>
    <w:rsid w:val="0BFE5AAE"/>
    <w:rsid w:val="0BFF234A"/>
    <w:rsid w:val="0C0631FC"/>
    <w:rsid w:val="0C085299"/>
    <w:rsid w:val="0C0A0E68"/>
    <w:rsid w:val="0C0A7254"/>
    <w:rsid w:val="0C11029A"/>
    <w:rsid w:val="0C1A1EB2"/>
    <w:rsid w:val="0C1E558E"/>
    <w:rsid w:val="0C1F3D70"/>
    <w:rsid w:val="0C220706"/>
    <w:rsid w:val="0C2C56AC"/>
    <w:rsid w:val="0C322DE7"/>
    <w:rsid w:val="0C344DB1"/>
    <w:rsid w:val="0C381C0F"/>
    <w:rsid w:val="0C3D1EB8"/>
    <w:rsid w:val="0C3F42BF"/>
    <w:rsid w:val="0C482C87"/>
    <w:rsid w:val="0C573D52"/>
    <w:rsid w:val="0C617DBB"/>
    <w:rsid w:val="0C6246F1"/>
    <w:rsid w:val="0C6371DB"/>
    <w:rsid w:val="0C684D5E"/>
    <w:rsid w:val="0C707EA4"/>
    <w:rsid w:val="0C721436"/>
    <w:rsid w:val="0C812C0F"/>
    <w:rsid w:val="0C8E6F0A"/>
    <w:rsid w:val="0C931A6C"/>
    <w:rsid w:val="0C977B32"/>
    <w:rsid w:val="0C9F709D"/>
    <w:rsid w:val="0CA21888"/>
    <w:rsid w:val="0CA36703"/>
    <w:rsid w:val="0CA74F5F"/>
    <w:rsid w:val="0CAD237C"/>
    <w:rsid w:val="0CAD4720"/>
    <w:rsid w:val="0CAF462A"/>
    <w:rsid w:val="0CB02FBC"/>
    <w:rsid w:val="0CB12CBA"/>
    <w:rsid w:val="0CB23716"/>
    <w:rsid w:val="0CB30801"/>
    <w:rsid w:val="0CBA37FC"/>
    <w:rsid w:val="0CC53EFF"/>
    <w:rsid w:val="0CC82022"/>
    <w:rsid w:val="0CCD48BE"/>
    <w:rsid w:val="0CCF017E"/>
    <w:rsid w:val="0CD93CA3"/>
    <w:rsid w:val="0CDC3E79"/>
    <w:rsid w:val="0CDF24ED"/>
    <w:rsid w:val="0CE53290"/>
    <w:rsid w:val="0CEC253E"/>
    <w:rsid w:val="0CEE0C06"/>
    <w:rsid w:val="0CEF7C95"/>
    <w:rsid w:val="0CF14D78"/>
    <w:rsid w:val="0CFA5504"/>
    <w:rsid w:val="0D0C2EF6"/>
    <w:rsid w:val="0D0F3015"/>
    <w:rsid w:val="0D121916"/>
    <w:rsid w:val="0D2922BB"/>
    <w:rsid w:val="0D2B65E4"/>
    <w:rsid w:val="0D2F5971"/>
    <w:rsid w:val="0D310074"/>
    <w:rsid w:val="0D334859"/>
    <w:rsid w:val="0D344F79"/>
    <w:rsid w:val="0D4271A2"/>
    <w:rsid w:val="0D461695"/>
    <w:rsid w:val="0D4C74BF"/>
    <w:rsid w:val="0D4D65BC"/>
    <w:rsid w:val="0D526440"/>
    <w:rsid w:val="0D55628B"/>
    <w:rsid w:val="0D5E0852"/>
    <w:rsid w:val="0D5E46CA"/>
    <w:rsid w:val="0D664983"/>
    <w:rsid w:val="0D6C2CAB"/>
    <w:rsid w:val="0D756EF9"/>
    <w:rsid w:val="0D767F50"/>
    <w:rsid w:val="0D80414E"/>
    <w:rsid w:val="0D823428"/>
    <w:rsid w:val="0D885D2E"/>
    <w:rsid w:val="0D92542A"/>
    <w:rsid w:val="0DA958AD"/>
    <w:rsid w:val="0DAC1F33"/>
    <w:rsid w:val="0DB05C0C"/>
    <w:rsid w:val="0DB246F6"/>
    <w:rsid w:val="0DB25A22"/>
    <w:rsid w:val="0DB31D06"/>
    <w:rsid w:val="0DBD0218"/>
    <w:rsid w:val="0DCB103A"/>
    <w:rsid w:val="0DD45041"/>
    <w:rsid w:val="0DDE335D"/>
    <w:rsid w:val="0DE13D73"/>
    <w:rsid w:val="0DE45E46"/>
    <w:rsid w:val="0DE70B64"/>
    <w:rsid w:val="0DE71CD7"/>
    <w:rsid w:val="0DE86186"/>
    <w:rsid w:val="0DF32A7B"/>
    <w:rsid w:val="0E031A61"/>
    <w:rsid w:val="0E090370"/>
    <w:rsid w:val="0E105B64"/>
    <w:rsid w:val="0E106E6D"/>
    <w:rsid w:val="0E1A3F0C"/>
    <w:rsid w:val="0E206074"/>
    <w:rsid w:val="0E216F47"/>
    <w:rsid w:val="0E2E5AE8"/>
    <w:rsid w:val="0E3750DA"/>
    <w:rsid w:val="0E3A65CA"/>
    <w:rsid w:val="0E3B2427"/>
    <w:rsid w:val="0E404A8F"/>
    <w:rsid w:val="0E4D5CB6"/>
    <w:rsid w:val="0E5209AC"/>
    <w:rsid w:val="0E55390F"/>
    <w:rsid w:val="0E615669"/>
    <w:rsid w:val="0E6567FC"/>
    <w:rsid w:val="0E672D1E"/>
    <w:rsid w:val="0E6A7DAE"/>
    <w:rsid w:val="0E77198B"/>
    <w:rsid w:val="0E7972BD"/>
    <w:rsid w:val="0E7A4FA0"/>
    <w:rsid w:val="0E7F3708"/>
    <w:rsid w:val="0E824F94"/>
    <w:rsid w:val="0E8328AF"/>
    <w:rsid w:val="0E8473E5"/>
    <w:rsid w:val="0E865963"/>
    <w:rsid w:val="0E8807AB"/>
    <w:rsid w:val="0E8A625E"/>
    <w:rsid w:val="0E993E06"/>
    <w:rsid w:val="0E9F0A79"/>
    <w:rsid w:val="0EAD05D0"/>
    <w:rsid w:val="0EB34B03"/>
    <w:rsid w:val="0EB37C4E"/>
    <w:rsid w:val="0EBA4920"/>
    <w:rsid w:val="0EC34862"/>
    <w:rsid w:val="0EC47F65"/>
    <w:rsid w:val="0EC53EA5"/>
    <w:rsid w:val="0EC80724"/>
    <w:rsid w:val="0ECC5050"/>
    <w:rsid w:val="0ED00247"/>
    <w:rsid w:val="0ED04206"/>
    <w:rsid w:val="0ED344E9"/>
    <w:rsid w:val="0ED91C40"/>
    <w:rsid w:val="0EDB2ED3"/>
    <w:rsid w:val="0EE470B9"/>
    <w:rsid w:val="0EF67123"/>
    <w:rsid w:val="0EFD76DC"/>
    <w:rsid w:val="0F015D2A"/>
    <w:rsid w:val="0F026AA1"/>
    <w:rsid w:val="0F0419EB"/>
    <w:rsid w:val="0F050205"/>
    <w:rsid w:val="0F0C25BC"/>
    <w:rsid w:val="0F107B3D"/>
    <w:rsid w:val="0F144DA6"/>
    <w:rsid w:val="0F1829AB"/>
    <w:rsid w:val="0F1B0121"/>
    <w:rsid w:val="0F204627"/>
    <w:rsid w:val="0F2357E3"/>
    <w:rsid w:val="0F264A0E"/>
    <w:rsid w:val="0F2703DF"/>
    <w:rsid w:val="0F2743CB"/>
    <w:rsid w:val="0F2F2EC8"/>
    <w:rsid w:val="0F3126FC"/>
    <w:rsid w:val="0F381C1E"/>
    <w:rsid w:val="0F3B634D"/>
    <w:rsid w:val="0F426631"/>
    <w:rsid w:val="0F4627D5"/>
    <w:rsid w:val="0F491D07"/>
    <w:rsid w:val="0F4E54DC"/>
    <w:rsid w:val="0F5A67CC"/>
    <w:rsid w:val="0F5F2B9F"/>
    <w:rsid w:val="0F5F50D5"/>
    <w:rsid w:val="0F60110D"/>
    <w:rsid w:val="0F740C55"/>
    <w:rsid w:val="0F776F44"/>
    <w:rsid w:val="0F777EF4"/>
    <w:rsid w:val="0F7B533A"/>
    <w:rsid w:val="0F81030D"/>
    <w:rsid w:val="0F817840"/>
    <w:rsid w:val="0F833ADF"/>
    <w:rsid w:val="0F890491"/>
    <w:rsid w:val="0F923BF1"/>
    <w:rsid w:val="0F93199F"/>
    <w:rsid w:val="0F9C5147"/>
    <w:rsid w:val="0FAC53B1"/>
    <w:rsid w:val="0FB820C5"/>
    <w:rsid w:val="0FBA645B"/>
    <w:rsid w:val="0FBA7FD3"/>
    <w:rsid w:val="0FBB4CBD"/>
    <w:rsid w:val="0FC30926"/>
    <w:rsid w:val="0FC94CC2"/>
    <w:rsid w:val="0FC970EB"/>
    <w:rsid w:val="0FE40651"/>
    <w:rsid w:val="0FE5264B"/>
    <w:rsid w:val="0FF92A78"/>
    <w:rsid w:val="10066694"/>
    <w:rsid w:val="100D704E"/>
    <w:rsid w:val="101A3BE9"/>
    <w:rsid w:val="101A7ACA"/>
    <w:rsid w:val="101D7D07"/>
    <w:rsid w:val="10232F27"/>
    <w:rsid w:val="10246EEB"/>
    <w:rsid w:val="10265FA2"/>
    <w:rsid w:val="102B0279"/>
    <w:rsid w:val="102B5C1A"/>
    <w:rsid w:val="10323E6E"/>
    <w:rsid w:val="1032571C"/>
    <w:rsid w:val="10372E26"/>
    <w:rsid w:val="10581ABD"/>
    <w:rsid w:val="105871F4"/>
    <w:rsid w:val="106061FE"/>
    <w:rsid w:val="10692871"/>
    <w:rsid w:val="106C0556"/>
    <w:rsid w:val="106C2D6C"/>
    <w:rsid w:val="107E447F"/>
    <w:rsid w:val="108517A9"/>
    <w:rsid w:val="10872771"/>
    <w:rsid w:val="10891ABD"/>
    <w:rsid w:val="10953945"/>
    <w:rsid w:val="109E4479"/>
    <w:rsid w:val="109E5D2C"/>
    <w:rsid w:val="10A23286"/>
    <w:rsid w:val="10A73DA4"/>
    <w:rsid w:val="10A81D75"/>
    <w:rsid w:val="10AB3A57"/>
    <w:rsid w:val="10AE5913"/>
    <w:rsid w:val="10AE76C3"/>
    <w:rsid w:val="10B8437E"/>
    <w:rsid w:val="10B85545"/>
    <w:rsid w:val="10B8577C"/>
    <w:rsid w:val="10BA025E"/>
    <w:rsid w:val="10C41966"/>
    <w:rsid w:val="10C5247C"/>
    <w:rsid w:val="10C613F9"/>
    <w:rsid w:val="10C67E56"/>
    <w:rsid w:val="10CA27EF"/>
    <w:rsid w:val="10CA5CE4"/>
    <w:rsid w:val="10CB2E6B"/>
    <w:rsid w:val="10D34DD2"/>
    <w:rsid w:val="10D802C2"/>
    <w:rsid w:val="10D96428"/>
    <w:rsid w:val="10DE1874"/>
    <w:rsid w:val="10EF0669"/>
    <w:rsid w:val="10F75C8F"/>
    <w:rsid w:val="10FA2C0C"/>
    <w:rsid w:val="110944DE"/>
    <w:rsid w:val="110C2F58"/>
    <w:rsid w:val="110F70A0"/>
    <w:rsid w:val="111C139C"/>
    <w:rsid w:val="111C73DA"/>
    <w:rsid w:val="111D58B2"/>
    <w:rsid w:val="111E393A"/>
    <w:rsid w:val="1120032D"/>
    <w:rsid w:val="1120501A"/>
    <w:rsid w:val="113849FC"/>
    <w:rsid w:val="11391ACF"/>
    <w:rsid w:val="113A1A91"/>
    <w:rsid w:val="113F5C5C"/>
    <w:rsid w:val="11432F32"/>
    <w:rsid w:val="1144045E"/>
    <w:rsid w:val="1144165B"/>
    <w:rsid w:val="11445C75"/>
    <w:rsid w:val="114530A5"/>
    <w:rsid w:val="114609BC"/>
    <w:rsid w:val="11564DD7"/>
    <w:rsid w:val="115D0314"/>
    <w:rsid w:val="115D7388"/>
    <w:rsid w:val="11644735"/>
    <w:rsid w:val="116D40D3"/>
    <w:rsid w:val="116E602A"/>
    <w:rsid w:val="11702E82"/>
    <w:rsid w:val="11724925"/>
    <w:rsid w:val="118245D3"/>
    <w:rsid w:val="118934A9"/>
    <w:rsid w:val="118B0482"/>
    <w:rsid w:val="118C35FC"/>
    <w:rsid w:val="1192785D"/>
    <w:rsid w:val="119414E5"/>
    <w:rsid w:val="119E2297"/>
    <w:rsid w:val="119E4D16"/>
    <w:rsid w:val="119E7FCA"/>
    <w:rsid w:val="119F086A"/>
    <w:rsid w:val="119F1E73"/>
    <w:rsid w:val="11A009A4"/>
    <w:rsid w:val="11A0517C"/>
    <w:rsid w:val="11A2471F"/>
    <w:rsid w:val="11A83883"/>
    <w:rsid w:val="11A961BA"/>
    <w:rsid w:val="11BC2CA1"/>
    <w:rsid w:val="11BD2616"/>
    <w:rsid w:val="11C82925"/>
    <w:rsid w:val="11C955BB"/>
    <w:rsid w:val="11CB0AE9"/>
    <w:rsid w:val="11CE710E"/>
    <w:rsid w:val="11D95689"/>
    <w:rsid w:val="11DD2943"/>
    <w:rsid w:val="11E01389"/>
    <w:rsid w:val="11E61974"/>
    <w:rsid w:val="11EE5B0E"/>
    <w:rsid w:val="11F128D9"/>
    <w:rsid w:val="11F53ECE"/>
    <w:rsid w:val="11F66391"/>
    <w:rsid w:val="11F70C4B"/>
    <w:rsid w:val="11FA67ED"/>
    <w:rsid w:val="11FC3413"/>
    <w:rsid w:val="12035F16"/>
    <w:rsid w:val="120657A3"/>
    <w:rsid w:val="12096398"/>
    <w:rsid w:val="120B0362"/>
    <w:rsid w:val="12101990"/>
    <w:rsid w:val="121D7177"/>
    <w:rsid w:val="122762A2"/>
    <w:rsid w:val="12331667"/>
    <w:rsid w:val="123358FC"/>
    <w:rsid w:val="123432C2"/>
    <w:rsid w:val="12345201"/>
    <w:rsid w:val="1236204F"/>
    <w:rsid w:val="12401626"/>
    <w:rsid w:val="124257A7"/>
    <w:rsid w:val="124D605F"/>
    <w:rsid w:val="124D74D3"/>
    <w:rsid w:val="12500840"/>
    <w:rsid w:val="1255140E"/>
    <w:rsid w:val="125561F8"/>
    <w:rsid w:val="125620A7"/>
    <w:rsid w:val="125735A8"/>
    <w:rsid w:val="126013C2"/>
    <w:rsid w:val="126804A0"/>
    <w:rsid w:val="12683A12"/>
    <w:rsid w:val="12687246"/>
    <w:rsid w:val="126A58AD"/>
    <w:rsid w:val="12713C50"/>
    <w:rsid w:val="12723F3D"/>
    <w:rsid w:val="127F1866"/>
    <w:rsid w:val="12851EC5"/>
    <w:rsid w:val="1286029B"/>
    <w:rsid w:val="12876D9B"/>
    <w:rsid w:val="12952DF5"/>
    <w:rsid w:val="129D0B47"/>
    <w:rsid w:val="129E2FE7"/>
    <w:rsid w:val="12A44003"/>
    <w:rsid w:val="12A55E02"/>
    <w:rsid w:val="12AD4130"/>
    <w:rsid w:val="12B04A66"/>
    <w:rsid w:val="12B07A6D"/>
    <w:rsid w:val="12BF44FB"/>
    <w:rsid w:val="12C118C2"/>
    <w:rsid w:val="12C83DA0"/>
    <w:rsid w:val="12CD5F04"/>
    <w:rsid w:val="12D40754"/>
    <w:rsid w:val="12D61A24"/>
    <w:rsid w:val="12DD4BEB"/>
    <w:rsid w:val="12DF15BF"/>
    <w:rsid w:val="12E0534B"/>
    <w:rsid w:val="12E110C3"/>
    <w:rsid w:val="12F86B39"/>
    <w:rsid w:val="12FD11AC"/>
    <w:rsid w:val="12FF674C"/>
    <w:rsid w:val="130A6064"/>
    <w:rsid w:val="130C65B6"/>
    <w:rsid w:val="1318693F"/>
    <w:rsid w:val="13191B44"/>
    <w:rsid w:val="131D3809"/>
    <w:rsid w:val="13226F4E"/>
    <w:rsid w:val="132F733B"/>
    <w:rsid w:val="13357ED8"/>
    <w:rsid w:val="13377B7E"/>
    <w:rsid w:val="13424A2D"/>
    <w:rsid w:val="13532127"/>
    <w:rsid w:val="13555633"/>
    <w:rsid w:val="13601443"/>
    <w:rsid w:val="1360506C"/>
    <w:rsid w:val="136B6FEA"/>
    <w:rsid w:val="136E4917"/>
    <w:rsid w:val="13702B73"/>
    <w:rsid w:val="137432B1"/>
    <w:rsid w:val="13785584"/>
    <w:rsid w:val="137912FC"/>
    <w:rsid w:val="137C7329"/>
    <w:rsid w:val="1384206A"/>
    <w:rsid w:val="138959E3"/>
    <w:rsid w:val="1393060F"/>
    <w:rsid w:val="139342CC"/>
    <w:rsid w:val="1394650B"/>
    <w:rsid w:val="13960F01"/>
    <w:rsid w:val="13963A94"/>
    <w:rsid w:val="13986405"/>
    <w:rsid w:val="139B17F3"/>
    <w:rsid w:val="13A132F3"/>
    <w:rsid w:val="13A30426"/>
    <w:rsid w:val="13AD282B"/>
    <w:rsid w:val="13B0647F"/>
    <w:rsid w:val="13B23977"/>
    <w:rsid w:val="13B43EE9"/>
    <w:rsid w:val="13B92C6F"/>
    <w:rsid w:val="13BE2EE9"/>
    <w:rsid w:val="13C140AF"/>
    <w:rsid w:val="13CC1D73"/>
    <w:rsid w:val="13CE0A53"/>
    <w:rsid w:val="13D053C0"/>
    <w:rsid w:val="13DE609A"/>
    <w:rsid w:val="13DF7959"/>
    <w:rsid w:val="13E51C7D"/>
    <w:rsid w:val="13F866C4"/>
    <w:rsid w:val="13FA460B"/>
    <w:rsid w:val="13FF79E1"/>
    <w:rsid w:val="140A24FB"/>
    <w:rsid w:val="140A7638"/>
    <w:rsid w:val="140E7395"/>
    <w:rsid w:val="140F6753"/>
    <w:rsid w:val="1411521B"/>
    <w:rsid w:val="141573DC"/>
    <w:rsid w:val="142C50A8"/>
    <w:rsid w:val="142F6BBF"/>
    <w:rsid w:val="14316C02"/>
    <w:rsid w:val="143E1CCC"/>
    <w:rsid w:val="1449681A"/>
    <w:rsid w:val="14501E45"/>
    <w:rsid w:val="1453137B"/>
    <w:rsid w:val="14627FE2"/>
    <w:rsid w:val="1467586C"/>
    <w:rsid w:val="146E4ABA"/>
    <w:rsid w:val="147120DD"/>
    <w:rsid w:val="1475188E"/>
    <w:rsid w:val="147D4FFB"/>
    <w:rsid w:val="147D7A4A"/>
    <w:rsid w:val="148F2A0B"/>
    <w:rsid w:val="1494012E"/>
    <w:rsid w:val="14971C2E"/>
    <w:rsid w:val="14A34452"/>
    <w:rsid w:val="14AE58F0"/>
    <w:rsid w:val="14B54304"/>
    <w:rsid w:val="14C35CF5"/>
    <w:rsid w:val="14CC211D"/>
    <w:rsid w:val="14D502F7"/>
    <w:rsid w:val="14D52FB3"/>
    <w:rsid w:val="14DB0312"/>
    <w:rsid w:val="14DD72FC"/>
    <w:rsid w:val="14DF6A82"/>
    <w:rsid w:val="14E0652B"/>
    <w:rsid w:val="14EA1DC3"/>
    <w:rsid w:val="14EE24DA"/>
    <w:rsid w:val="14EE691B"/>
    <w:rsid w:val="15012F3B"/>
    <w:rsid w:val="150812B9"/>
    <w:rsid w:val="1509523C"/>
    <w:rsid w:val="150A7544"/>
    <w:rsid w:val="150E1073"/>
    <w:rsid w:val="150F3CBC"/>
    <w:rsid w:val="151249E3"/>
    <w:rsid w:val="15170E0E"/>
    <w:rsid w:val="15187430"/>
    <w:rsid w:val="15224F31"/>
    <w:rsid w:val="15284AD6"/>
    <w:rsid w:val="152A4FA3"/>
    <w:rsid w:val="15394FB9"/>
    <w:rsid w:val="1539688F"/>
    <w:rsid w:val="153B6FDB"/>
    <w:rsid w:val="154E39E4"/>
    <w:rsid w:val="1550622B"/>
    <w:rsid w:val="155479CE"/>
    <w:rsid w:val="155538F9"/>
    <w:rsid w:val="15575C37"/>
    <w:rsid w:val="15586FA1"/>
    <w:rsid w:val="15597AA8"/>
    <w:rsid w:val="155F51E9"/>
    <w:rsid w:val="15661EB8"/>
    <w:rsid w:val="15665E58"/>
    <w:rsid w:val="15671D54"/>
    <w:rsid w:val="1568454B"/>
    <w:rsid w:val="1568737D"/>
    <w:rsid w:val="1568787A"/>
    <w:rsid w:val="156B3B06"/>
    <w:rsid w:val="156C3862"/>
    <w:rsid w:val="156C6126"/>
    <w:rsid w:val="1573515B"/>
    <w:rsid w:val="15762316"/>
    <w:rsid w:val="1577181E"/>
    <w:rsid w:val="157E35DE"/>
    <w:rsid w:val="15804EBD"/>
    <w:rsid w:val="158612C9"/>
    <w:rsid w:val="158A5A97"/>
    <w:rsid w:val="158F05DF"/>
    <w:rsid w:val="158F51DB"/>
    <w:rsid w:val="158F660F"/>
    <w:rsid w:val="15915022"/>
    <w:rsid w:val="15947001"/>
    <w:rsid w:val="159927DE"/>
    <w:rsid w:val="159D75D2"/>
    <w:rsid w:val="159E25B4"/>
    <w:rsid w:val="15A72264"/>
    <w:rsid w:val="15A907F9"/>
    <w:rsid w:val="15AC65C8"/>
    <w:rsid w:val="15B8435D"/>
    <w:rsid w:val="15C03A3F"/>
    <w:rsid w:val="15C94DE8"/>
    <w:rsid w:val="15CE592F"/>
    <w:rsid w:val="15CF1A96"/>
    <w:rsid w:val="15D1088D"/>
    <w:rsid w:val="15D55514"/>
    <w:rsid w:val="15DC1C27"/>
    <w:rsid w:val="15E57F65"/>
    <w:rsid w:val="15F10400"/>
    <w:rsid w:val="15F26461"/>
    <w:rsid w:val="15F5110D"/>
    <w:rsid w:val="16014DE9"/>
    <w:rsid w:val="1612286F"/>
    <w:rsid w:val="16153907"/>
    <w:rsid w:val="161821C4"/>
    <w:rsid w:val="161920E5"/>
    <w:rsid w:val="161B0832"/>
    <w:rsid w:val="161B24FD"/>
    <w:rsid w:val="161D2412"/>
    <w:rsid w:val="16275E8D"/>
    <w:rsid w:val="162E4724"/>
    <w:rsid w:val="162E75CC"/>
    <w:rsid w:val="1638549E"/>
    <w:rsid w:val="16396008"/>
    <w:rsid w:val="163D48AD"/>
    <w:rsid w:val="16436B43"/>
    <w:rsid w:val="1648511F"/>
    <w:rsid w:val="164D5A29"/>
    <w:rsid w:val="16506BA1"/>
    <w:rsid w:val="16533C5B"/>
    <w:rsid w:val="165A678A"/>
    <w:rsid w:val="1662251B"/>
    <w:rsid w:val="166353D6"/>
    <w:rsid w:val="166C1111"/>
    <w:rsid w:val="166D6251"/>
    <w:rsid w:val="167367A8"/>
    <w:rsid w:val="16773EC7"/>
    <w:rsid w:val="16785B0E"/>
    <w:rsid w:val="167D0261"/>
    <w:rsid w:val="167D2BBD"/>
    <w:rsid w:val="167F18DC"/>
    <w:rsid w:val="16852D9F"/>
    <w:rsid w:val="16873CB4"/>
    <w:rsid w:val="169721C5"/>
    <w:rsid w:val="169D782C"/>
    <w:rsid w:val="16A5395E"/>
    <w:rsid w:val="16AE1A74"/>
    <w:rsid w:val="16BA3A50"/>
    <w:rsid w:val="16BA6388"/>
    <w:rsid w:val="16BF0399"/>
    <w:rsid w:val="16C136E5"/>
    <w:rsid w:val="16C32D02"/>
    <w:rsid w:val="16CA5722"/>
    <w:rsid w:val="16CC7181"/>
    <w:rsid w:val="16CF7BB0"/>
    <w:rsid w:val="16D91A13"/>
    <w:rsid w:val="16E20D0F"/>
    <w:rsid w:val="16E66CA8"/>
    <w:rsid w:val="16E74267"/>
    <w:rsid w:val="16E872BA"/>
    <w:rsid w:val="16EB67CA"/>
    <w:rsid w:val="16EF108C"/>
    <w:rsid w:val="16F54963"/>
    <w:rsid w:val="16F551C2"/>
    <w:rsid w:val="16FB56FA"/>
    <w:rsid w:val="16FB575D"/>
    <w:rsid w:val="16FC11B9"/>
    <w:rsid w:val="170F61FF"/>
    <w:rsid w:val="1715439C"/>
    <w:rsid w:val="17175166"/>
    <w:rsid w:val="17237FEF"/>
    <w:rsid w:val="172546A2"/>
    <w:rsid w:val="172C72D4"/>
    <w:rsid w:val="172D79C2"/>
    <w:rsid w:val="172E17ED"/>
    <w:rsid w:val="173377DC"/>
    <w:rsid w:val="17337B5F"/>
    <w:rsid w:val="17352EBC"/>
    <w:rsid w:val="1738205A"/>
    <w:rsid w:val="173D1359"/>
    <w:rsid w:val="17442D2C"/>
    <w:rsid w:val="174664FE"/>
    <w:rsid w:val="17537CA5"/>
    <w:rsid w:val="175A7FF6"/>
    <w:rsid w:val="1760452F"/>
    <w:rsid w:val="17625946"/>
    <w:rsid w:val="17667DE9"/>
    <w:rsid w:val="1768411F"/>
    <w:rsid w:val="176D493C"/>
    <w:rsid w:val="17732C32"/>
    <w:rsid w:val="1775690B"/>
    <w:rsid w:val="17787115"/>
    <w:rsid w:val="177B2BB7"/>
    <w:rsid w:val="17822E75"/>
    <w:rsid w:val="17853EA3"/>
    <w:rsid w:val="178F7A55"/>
    <w:rsid w:val="179304E7"/>
    <w:rsid w:val="179630FC"/>
    <w:rsid w:val="179A55EB"/>
    <w:rsid w:val="179B5E47"/>
    <w:rsid w:val="17A27073"/>
    <w:rsid w:val="17AE4F2B"/>
    <w:rsid w:val="17B210DB"/>
    <w:rsid w:val="17BF0C75"/>
    <w:rsid w:val="17C0638A"/>
    <w:rsid w:val="17C41E47"/>
    <w:rsid w:val="17C84046"/>
    <w:rsid w:val="17CA7A35"/>
    <w:rsid w:val="17D10BC6"/>
    <w:rsid w:val="17DC17FF"/>
    <w:rsid w:val="17E4392C"/>
    <w:rsid w:val="17E627A3"/>
    <w:rsid w:val="17E7416E"/>
    <w:rsid w:val="17E84E03"/>
    <w:rsid w:val="17EA4556"/>
    <w:rsid w:val="17EB1DF7"/>
    <w:rsid w:val="17EB6C6C"/>
    <w:rsid w:val="17EC59DF"/>
    <w:rsid w:val="17EE041B"/>
    <w:rsid w:val="17F2058C"/>
    <w:rsid w:val="17FA21C3"/>
    <w:rsid w:val="18014A83"/>
    <w:rsid w:val="180C7D7C"/>
    <w:rsid w:val="180F40A4"/>
    <w:rsid w:val="181E2472"/>
    <w:rsid w:val="182147E3"/>
    <w:rsid w:val="18242AC3"/>
    <w:rsid w:val="182461FD"/>
    <w:rsid w:val="18282CED"/>
    <w:rsid w:val="1831425C"/>
    <w:rsid w:val="18362F57"/>
    <w:rsid w:val="18374D95"/>
    <w:rsid w:val="18377F23"/>
    <w:rsid w:val="183D08D3"/>
    <w:rsid w:val="183F34DF"/>
    <w:rsid w:val="18417789"/>
    <w:rsid w:val="18433D8E"/>
    <w:rsid w:val="18453242"/>
    <w:rsid w:val="184876E5"/>
    <w:rsid w:val="184C017C"/>
    <w:rsid w:val="18531B14"/>
    <w:rsid w:val="18537302"/>
    <w:rsid w:val="185B4060"/>
    <w:rsid w:val="185D6FC5"/>
    <w:rsid w:val="186172E6"/>
    <w:rsid w:val="187934FE"/>
    <w:rsid w:val="1880365D"/>
    <w:rsid w:val="188428B3"/>
    <w:rsid w:val="188474B4"/>
    <w:rsid w:val="18887947"/>
    <w:rsid w:val="188E1A98"/>
    <w:rsid w:val="189126C4"/>
    <w:rsid w:val="189704A2"/>
    <w:rsid w:val="189B29BB"/>
    <w:rsid w:val="189B6BD6"/>
    <w:rsid w:val="189C7F66"/>
    <w:rsid w:val="18A216BF"/>
    <w:rsid w:val="18A24E51"/>
    <w:rsid w:val="18BA6619"/>
    <w:rsid w:val="18BB0498"/>
    <w:rsid w:val="18C71DE4"/>
    <w:rsid w:val="18CB7379"/>
    <w:rsid w:val="18CC58A4"/>
    <w:rsid w:val="18D31008"/>
    <w:rsid w:val="18DD62F2"/>
    <w:rsid w:val="18E75636"/>
    <w:rsid w:val="18E854F3"/>
    <w:rsid w:val="18E91842"/>
    <w:rsid w:val="18F058DD"/>
    <w:rsid w:val="18F91D29"/>
    <w:rsid w:val="18FD0A62"/>
    <w:rsid w:val="1904279F"/>
    <w:rsid w:val="190D3B2E"/>
    <w:rsid w:val="19107D49"/>
    <w:rsid w:val="19134653"/>
    <w:rsid w:val="19144E2B"/>
    <w:rsid w:val="191A3BD1"/>
    <w:rsid w:val="191A4CBC"/>
    <w:rsid w:val="191C59B6"/>
    <w:rsid w:val="191D6A2C"/>
    <w:rsid w:val="191D74DE"/>
    <w:rsid w:val="191E1C0D"/>
    <w:rsid w:val="19215EB2"/>
    <w:rsid w:val="19311722"/>
    <w:rsid w:val="19371D12"/>
    <w:rsid w:val="193D69C1"/>
    <w:rsid w:val="193F7F05"/>
    <w:rsid w:val="19600CEA"/>
    <w:rsid w:val="19603BCA"/>
    <w:rsid w:val="19604376"/>
    <w:rsid w:val="196640D0"/>
    <w:rsid w:val="19676254"/>
    <w:rsid w:val="19680184"/>
    <w:rsid w:val="197762DD"/>
    <w:rsid w:val="198401E2"/>
    <w:rsid w:val="19856055"/>
    <w:rsid w:val="19876666"/>
    <w:rsid w:val="19893F54"/>
    <w:rsid w:val="199209CD"/>
    <w:rsid w:val="199255CE"/>
    <w:rsid w:val="1998735D"/>
    <w:rsid w:val="199873FA"/>
    <w:rsid w:val="19A24E9A"/>
    <w:rsid w:val="19AD10E1"/>
    <w:rsid w:val="19AD40D0"/>
    <w:rsid w:val="19B06CF9"/>
    <w:rsid w:val="19B31062"/>
    <w:rsid w:val="19BB1301"/>
    <w:rsid w:val="19BC79A6"/>
    <w:rsid w:val="19BE68EB"/>
    <w:rsid w:val="19C2439E"/>
    <w:rsid w:val="19C649A6"/>
    <w:rsid w:val="19C829ED"/>
    <w:rsid w:val="19CA0E91"/>
    <w:rsid w:val="19CF31E2"/>
    <w:rsid w:val="19D23F6D"/>
    <w:rsid w:val="19D46AC4"/>
    <w:rsid w:val="19D8640D"/>
    <w:rsid w:val="19D93B4A"/>
    <w:rsid w:val="19DF6B35"/>
    <w:rsid w:val="19E5751B"/>
    <w:rsid w:val="19E92925"/>
    <w:rsid w:val="19EB40DE"/>
    <w:rsid w:val="19EC54E5"/>
    <w:rsid w:val="19EF19B2"/>
    <w:rsid w:val="19F14964"/>
    <w:rsid w:val="19F523B3"/>
    <w:rsid w:val="19F629F7"/>
    <w:rsid w:val="19F636A6"/>
    <w:rsid w:val="19F80B8C"/>
    <w:rsid w:val="19FB7BD9"/>
    <w:rsid w:val="1A001D24"/>
    <w:rsid w:val="1A003428"/>
    <w:rsid w:val="1A063266"/>
    <w:rsid w:val="1A085294"/>
    <w:rsid w:val="1A0A45F5"/>
    <w:rsid w:val="1A0F1A8D"/>
    <w:rsid w:val="1A13263D"/>
    <w:rsid w:val="1A15108C"/>
    <w:rsid w:val="1A151B41"/>
    <w:rsid w:val="1A1F03D7"/>
    <w:rsid w:val="1A2C531A"/>
    <w:rsid w:val="1A354779"/>
    <w:rsid w:val="1A3B5A89"/>
    <w:rsid w:val="1A4872A0"/>
    <w:rsid w:val="1A495585"/>
    <w:rsid w:val="1A501008"/>
    <w:rsid w:val="1A622AE9"/>
    <w:rsid w:val="1A62657A"/>
    <w:rsid w:val="1A6461E7"/>
    <w:rsid w:val="1A663942"/>
    <w:rsid w:val="1A6E4170"/>
    <w:rsid w:val="1A704706"/>
    <w:rsid w:val="1A7171D0"/>
    <w:rsid w:val="1A7943CF"/>
    <w:rsid w:val="1A7F3F3B"/>
    <w:rsid w:val="1A806D88"/>
    <w:rsid w:val="1A826AE1"/>
    <w:rsid w:val="1A8567D8"/>
    <w:rsid w:val="1A871D8D"/>
    <w:rsid w:val="1A8D68F6"/>
    <w:rsid w:val="1A8E14B0"/>
    <w:rsid w:val="1A8F4943"/>
    <w:rsid w:val="1A8F689D"/>
    <w:rsid w:val="1A9609E5"/>
    <w:rsid w:val="1A96157B"/>
    <w:rsid w:val="1AAC1FB7"/>
    <w:rsid w:val="1AAC3509"/>
    <w:rsid w:val="1AB10777"/>
    <w:rsid w:val="1ABD6363"/>
    <w:rsid w:val="1ACC7820"/>
    <w:rsid w:val="1ACF3BD5"/>
    <w:rsid w:val="1AD36C77"/>
    <w:rsid w:val="1AD43364"/>
    <w:rsid w:val="1AD54B3A"/>
    <w:rsid w:val="1AD65B4A"/>
    <w:rsid w:val="1AD81069"/>
    <w:rsid w:val="1ADC4833"/>
    <w:rsid w:val="1AED2FF5"/>
    <w:rsid w:val="1AED666D"/>
    <w:rsid w:val="1B0C1946"/>
    <w:rsid w:val="1B0C1E2D"/>
    <w:rsid w:val="1B23419A"/>
    <w:rsid w:val="1B2A329C"/>
    <w:rsid w:val="1B2A461E"/>
    <w:rsid w:val="1B2D35DC"/>
    <w:rsid w:val="1B327020"/>
    <w:rsid w:val="1B330055"/>
    <w:rsid w:val="1B3501FE"/>
    <w:rsid w:val="1B3F73D4"/>
    <w:rsid w:val="1B440441"/>
    <w:rsid w:val="1B457AD2"/>
    <w:rsid w:val="1B465451"/>
    <w:rsid w:val="1B507C38"/>
    <w:rsid w:val="1B527A4C"/>
    <w:rsid w:val="1B5B644C"/>
    <w:rsid w:val="1B6224CC"/>
    <w:rsid w:val="1B623B62"/>
    <w:rsid w:val="1B684659"/>
    <w:rsid w:val="1B732C90"/>
    <w:rsid w:val="1B7A128B"/>
    <w:rsid w:val="1B874DE5"/>
    <w:rsid w:val="1B883625"/>
    <w:rsid w:val="1B883FAD"/>
    <w:rsid w:val="1B9000CE"/>
    <w:rsid w:val="1B972930"/>
    <w:rsid w:val="1B99619E"/>
    <w:rsid w:val="1BA54E27"/>
    <w:rsid w:val="1BC040C6"/>
    <w:rsid w:val="1BC41784"/>
    <w:rsid w:val="1BC57206"/>
    <w:rsid w:val="1BCD10ED"/>
    <w:rsid w:val="1BCD1315"/>
    <w:rsid w:val="1BCE3550"/>
    <w:rsid w:val="1BD63A9D"/>
    <w:rsid w:val="1BDA5409"/>
    <w:rsid w:val="1BDD0676"/>
    <w:rsid w:val="1BE20386"/>
    <w:rsid w:val="1BE2647B"/>
    <w:rsid w:val="1BE626CD"/>
    <w:rsid w:val="1BE870E9"/>
    <w:rsid w:val="1BEB5C42"/>
    <w:rsid w:val="1BF427A7"/>
    <w:rsid w:val="1BFA1F9F"/>
    <w:rsid w:val="1BFA4B83"/>
    <w:rsid w:val="1BFB025B"/>
    <w:rsid w:val="1BFF5967"/>
    <w:rsid w:val="1C0C23F2"/>
    <w:rsid w:val="1C110535"/>
    <w:rsid w:val="1C1247A4"/>
    <w:rsid w:val="1C1918CE"/>
    <w:rsid w:val="1C19661F"/>
    <w:rsid w:val="1C196BB0"/>
    <w:rsid w:val="1C2C2524"/>
    <w:rsid w:val="1C311E38"/>
    <w:rsid w:val="1C32400D"/>
    <w:rsid w:val="1C3D4055"/>
    <w:rsid w:val="1C541CC1"/>
    <w:rsid w:val="1C616883"/>
    <w:rsid w:val="1C6335EB"/>
    <w:rsid w:val="1C6465C2"/>
    <w:rsid w:val="1C6B3411"/>
    <w:rsid w:val="1C7328C8"/>
    <w:rsid w:val="1C7B5ECD"/>
    <w:rsid w:val="1C8325F9"/>
    <w:rsid w:val="1C894DEE"/>
    <w:rsid w:val="1C8B2ACB"/>
    <w:rsid w:val="1C8B46C8"/>
    <w:rsid w:val="1C8D07CB"/>
    <w:rsid w:val="1C923766"/>
    <w:rsid w:val="1C984EE8"/>
    <w:rsid w:val="1CA73630"/>
    <w:rsid w:val="1CA77CA6"/>
    <w:rsid w:val="1CA81192"/>
    <w:rsid w:val="1CA8494E"/>
    <w:rsid w:val="1CAD2F7E"/>
    <w:rsid w:val="1CAD7244"/>
    <w:rsid w:val="1CAE19ED"/>
    <w:rsid w:val="1CB20885"/>
    <w:rsid w:val="1CCA277A"/>
    <w:rsid w:val="1CCF3633"/>
    <w:rsid w:val="1CD54A37"/>
    <w:rsid w:val="1CD557F5"/>
    <w:rsid w:val="1CEB6307"/>
    <w:rsid w:val="1CED7D03"/>
    <w:rsid w:val="1CF15192"/>
    <w:rsid w:val="1CF441FF"/>
    <w:rsid w:val="1CFC5D88"/>
    <w:rsid w:val="1D006D59"/>
    <w:rsid w:val="1D0127BE"/>
    <w:rsid w:val="1D016C1D"/>
    <w:rsid w:val="1D021748"/>
    <w:rsid w:val="1D024D26"/>
    <w:rsid w:val="1D063C00"/>
    <w:rsid w:val="1D0640F7"/>
    <w:rsid w:val="1D1678E5"/>
    <w:rsid w:val="1D1B6577"/>
    <w:rsid w:val="1D2406F0"/>
    <w:rsid w:val="1D26257A"/>
    <w:rsid w:val="1D276E07"/>
    <w:rsid w:val="1D280BC4"/>
    <w:rsid w:val="1D2868BD"/>
    <w:rsid w:val="1D2A0F41"/>
    <w:rsid w:val="1D30500D"/>
    <w:rsid w:val="1D3B768B"/>
    <w:rsid w:val="1D3F6725"/>
    <w:rsid w:val="1D440BCC"/>
    <w:rsid w:val="1D46278D"/>
    <w:rsid w:val="1D4D3DFA"/>
    <w:rsid w:val="1D576751"/>
    <w:rsid w:val="1D59467E"/>
    <w:rsid w:val="1D5A2821"/>
    <w:rsid w:val="1D672A4E"/>
    <w:rsid w:val="1D7D64BA"/>
    <w:rsid w:val="1D815CDA"/>
    <w:rsid w:val="1D81772B"/>
    <w:rsid w:val="1D8463EC"/>
    <w:rsid w:val="1D92643A"/>
    <w:rsid w:val="1D97051E"/>
    <w:rsid w:val="1D977DB1"/>
    <w:rsid w:val="1D9D241A"/>
    <w:rsid w:val="1DA916B6"/>
    <w:rsid w:val="1DAA26DF"/>
    <w:rsid w:val="1DB8221E"/>
    <w:rsid w:val="1DC64084"/>
    <w:rsid w:val="1DC95B95"/>
    <w:rsid w:val="1DCA411D"/>
    <w:rsid w:val="1DD13638"/>
    <w:rsid w:val="1DD75A65"/>
    <w:rsid w:val="1DE21090"/>
    <w:rsid w:val="1DE636A6"/>
    <w:rsid w:val="1DEC6532"/>
    <w:rsid w:val="1DF06A4B"/>
    <w:rsid w:val="1DF24184"/>
    <w:rsid w:val="1DF53E6A"/>
    <w:rsid w:val="1DF863F1"/>
    <w:rsid w:val="1DF9010B"/>
    <w:rsid w:val="1DFC71C2"/>
    <w:rsid w:val="1DFE4AC7"/>
    <w:rsid w:val="1E090E74"/>
    <w:rsid w:val="1E160478"/>
    <w:rsid w:val="1E174012"/>
    <w:rsid w:val="1E201B9E"/>
    <w:rsid w:val="1E2969B0"/>
    <w:rsid w:val="1E2C58E8"/>
    <w:rsid w:val="1E302101"/>
    <w:rsid w:val="1E356802"/>
    <w:rsid w:val="1E4140C4"/>
    <w:rsid w:val="1E457A84"/>
    <w:rsid w:val="1E477CAA"/>
    <w:rsid w:val="1E4E698A"/>
    <w:rsid w:val="1E501303"/>
    <w:rsid w:val="1E510621"/>
    <w:rsid w:val="1E5A46A2"/>
    <w:rsid w:val="1E5C2FFA"/>
    <w:rsid w:val="1E5D4451"/>
    <w:rsid w:val="1E6A458D"/>
    <w:rsid w:val="1E707ECB"/>
    <w:rsid w:val="1E754686"/>
    <w:rsid w:val="1E77272C"/>
    <w:rsid w:val="1E7A2AF8"/>
    <w:rsid w:val="1E7B42A7"/>
    <w:rsid w:val="1E7E6C67"/>
    <w:rsid w:val="1E7F6D59"/>
    <w:rsid w:val="1E8038FE"/>
    <w:rsid w:val="1E846C40"/>
    <w:rsid w:val="1E8C2A85"/>
    <w:rsid w:val="1E974220"/>
    <w:rsid w:val="1EAC2A66"/>
    <w:rsid w:val="1EAD01E0"/>
    <w:rsid w:val="1EB33877"/>
    <w:rsid w:val="1EB505D5"/>
    <w:rsid w:val="1EB71AAF"/>
    <w:rsid w:val="1EBD4244"/>
    <w:rsid w:val="1EBE6BB8"/>
    <w:rsid w:val="1EC401B4"/>
    <w:rsid w:val="1EC60772"/>
    <w:rsid w:val="1EC71923"/>
    <w:rsid w:val="1EC827D8"/>
    <w:rsid w:val="1EC90BC0"/>
    <w:rsid w:val="1ECE5AEC"/>
    <w:rsid w:val="1ECF44C6"/>
    <w:rsid w:val="1ECF7115"/>
    <w:rsid w:val="1EDA17E8"/>
    <w:rsid w:val="1EDB25FB"/>
    <w:rsid w:val="1EDB599C"/>
    <w:rsid w:val="1EDC0C0C"/>
    <w:rsid w:val="1EE86DC4"/>
    <w:rsid w:val="1EF50984"/>
    <w:rsid w:val="1EFA066B"/>
    <w:rsid w:val="1EFA5BA2"/>
    <w:rsid w:val="1EFD2727"/>
    <w:rsid w:val="1EFF2FFD"/>
    <w:rsid w:val="1F08229B"/>
    <w:rsid w:val="1F0D16B6"/>
    <w:rsid w:val="1F195934"/>
    <w:rsid w:val="1F266CA2"/>
    <w:rsid w:val="1F2B2044"/>
    <w:rsid w:val="1F336040"/>
    <w:rsid w:val="1F3E2D61"/>
    <w:rsid w:val="1F3E4E26"/>
    <w:rsid w:val="1F43738D"/>
    <w:rsid w:val="1F550426"/>
    <w:rsid w:val="1F571E5C"/>
    <w:rsid w:val="1F5E63C4"/>
    <w:rsid w:val="1F6527E6"/>
    <w:rsid w:val="1F687F48"/>
    <w:rsid w:val="1F6D7606"/>
    <w:rsid w:val="1F6E289C"/>
    <w:rsid w:val="1F706188"/>
    <w:rsid w:val="1F782A88"/>
    <w:rsid w:val="1F7C7347"/>
    <w:rsid w:val="1F816C9C"/>
    <w:rsid w:val="1F836756"/>
    <w:rsid w:val="1F836E19"/>
    <w:rsid w:val="1F8751DB"/>
    <w:rsid w:val="1F8A7B93"/>
    <w:rsid w:val="1F8C3631"/>
    <w:rsid w:val="1F8E5D53"/>
    <w:rsid w:val="1F943979"/>
    <w:rsid w:val="1F9B5C6E"/>
    <w:rsid w:val="1F9E53FC"/>
    <w:rsid w:val="1FA11E56"/>
    <w:rsid w:val="1FA64A5F"/>
    <w:rsid w:val="1FAA5737"/>
    <w:rsid w:val="1FAF67D1"/>
    <w:rsid w:val="1FB05328"/>
    <w:rsid w:val="1FB13DAD"/>
    <w:rsid w:val="1FBC46E8"/>
    <w:rsid w:val="1FBD5768"/>
    <w:rsid w:val="1FBE4C66"/>
    <w:rsid w:val="1FC728E7"/>
    <w:rsid w:val="1FCE2229"/>
    <w:rsid w:val="1FD13F4A"/>
    <w:rsid w:val="1FD95DFF"/>
    <w:rsid w:val="1FEA50EC"/>
    <w:rsid w:val="1FEC2DF0"/>
    <w:rsid w:val="1FF04855"/>
    <w:rsid w:val="1FF155EF"/>
    <w:rsid w:val="1FF66134"/>
    <w:rsid w:val="2000527E"/>
    <w:rsid w:val="20060F10"/>
    <w:rsid w:val="20133217"/>
    <w:rsid w:val="201B7739"/>
    <w:rsid w:val="201D3AB4"/>
    <w:rsid w:val="201E3884"/>
    <w:rsid w:val="201E78A4"/>
    <w:rsid w:val="20200F01"/>
    <w:rsid w:val="20266642"/>
    <w:rsid w:val="20335368"/>
    <w:rsid w:val="204641FE"/>
    <w:rsid w:val="204D5AC6"/>
    <w:rsid w:val="204E2E60"/>
    <w:rsid w:val="20551875"/>
    <w:rsid w:val="20617180"/>
    <w:rsid w:val="20653E0F"/>
    <w:rsid w:val="207A2A98"/>
    <w:rsid w:val="207D1139"/>
    <w:rsid w:val="207D288D"/>
    <w:rsid w:val="20803CC9"/>
    <w:rsid w:val="20814ED2"/>
    <w:rsid w:val="20866BEF"/>
    <w:rsid w:val="208C08C0"/>
    <w:rsid w:val="208E145F"/>
    <w:rsid w:val="20911FDA"/>
    <w:rsid w:val="20A50E03"/>
    <w:rsid w:val="20A81A3E"/>
    <w:rsid w:val="20AE0CDD"/>
    <w:rsid w:val="20B130A1"/>
    <w:rsid w:val="20B25FDB"/>
    <w:rsid w:val="20B738FF"/>
    <w:rsid w:val="20CC09F8"/>
    <w:rsid w:val="20CD0D99"/>
    <w:rsid w:val="20D12C1B"/>
    <w:rsid w:val="20ED7BC8"/>
    <w:rsid w:val="20EE5EF7"/>
    <w:rsid w:val="20F33515"/>
    <w:rsid w:val="20FF23F1"/>
    <w:rsid w:val="21031F98"/>
    <w:rsid w:val="2106222A"/>
    <w:rsid w:val="210B41CE"/>
    <w:rsid w:val="21132D8F"/>
    <w:rsid w:val="21197683"/>
    <w:rsid w:val="212504BC"/>
    <w:rsid w:val="212878ED"/>
    <w:rsid w:val="21342B62"/>
    <w:rsid w:val="213870A1"/>
    <w:rsid w:val="213F4182"/>
    <w:rsid w:val="21450638"/>
    <w:rsid w:val="214528CC"/>
    <w:rsid w:val="214670E4"/>
    <w:rsid w:val="21477155"/>
    <w:rsid w:val="215435B5"/>
    <w:rsid w:val="21627A7F"/>
    <w:rsid w:val="216734F4"/>
    <w:rsid w:val="216C3D38"/>
    <w:rsid w:val="216F5CB3"/>
    <w:rsid w:val="21715339"/>
    <w:rsid w:val="21762ED6"/>
    <w:rsid w:val="21790EF4"/>
    <w:rsid w:val="217C0E4E"/>
    <w:rsid w:val="2189428A"/>
    <w:rsid w:val="218B0B78"/>
    <w:rsid w:val="21920C54"/>
    <w:rsid w:val="2192704E"/>
    <w:rsid w:val="219A58D6"/>
    <w:rsid w:val="219B730E"/>
    <w:rsid w:val="21A23CC1"/>
    <w:rsid w:val="21A24300"/>
    <w:rsid w:val="21A31376"/>
    <w:rsid w:val="21B456B3"/>
    <w:rsid w:val="21BC533E"/>
    <w:rsid w:val="21BF15BD"/>
    <w:rsid w:val="21C66437"/>
    <w:rsid w:val="21C94078"/>
    <w:rsid w:val="21CC5CAA"/>
    <w:rsid w:val="21CD2655"/>
    <w:rsid w:val="21D83BA6"/>
    <w:rsid w:val="21D96423"/>
    <w:rsid w:val="21E16EC7"/>
    <w:rsid w:val="21EA2BDF"/>
    <w:rsid w:val="21F66939"/>
    <w:rsid w:val="21FA5127"/>
    <w:rsid w:val="21FC49E1"/>
    <w:rsid w:val="21FD5C71"/>
    <w:rsid w:val="21FF65AB"/>
    <w:rsid w:val="220474E4"/>
    <w:rsid w:val="22085BA6"/>
    <w:rsid w:val="220D7240"/>
    <w:rsid w:val="220E73F2"/>
    <w:rsid w:val="22125273"/>
    <w:rsid w:val="221466F3"/>
    <w:rsid w:val="221F7903"/>
    <w:rsid w:val="222021B9"/>
    <w:rsid w:val="22241384"/>
    <w:rsid w:val="22280ABD"/>
    <w:rsid w:val="222B2989"/>
    <w:rsid w:val="222C5506"/>
    <w:rsid w:val="222D7A93"/>
    <w:rsid w:val="22345C93"/>
    <w:rsid w:val="223C610E"/>
    <w:rsid w:val="2248021D"/>
    <w:rsid w:val="224D22D1"/>
    <w:rsid w:val="2250687B"/>
    <w:rsid w:val="2251179F"/>
    <w:rsid w:val="22540F67"/>
    <w:rsid w:val="2256273C"/>
    <w:rsid w:val="225A7B63"/>
    <w:rsid w:val="2268071D"/>
    <w:rsid w:val="22761828"/>
    <w:rsid w:val="227A1D32"/>
    <w:rsid w:val="227C3EE9"/>
    <w:rsid w:val="22805DB8"/>
    <w:rsid w:val="2286017C"/>
    <w:rsid w:val="228F35EA"/>
    <w:rsid w:val="22923CC4"/>
    <w:rsid w:val="229B39E3"/>
    <w:rsid w:val="22BD3D12"/>
    <w:rsid w:val="22C03066"/>
    <w:rsid w:val="22C64F86"/>
    <w:rsid w:val="22D0193B"/>
    <w:rsid w:val="22DB35FA"/>
    <w:rsid w:val="22DC5803"/>
    <w:rsid w:val="22E36C68"/>
    <w:rsid w:val="22F21A94"/>
    <w:rsid w:val="22F32E79"/>
    <w:rsid w:val="22FA1939"/>
    <w:rsid w:val="22FC1804"/>
    <w:rsid w:val="22FF421D"/>
    <w:rsid w:val="23002B05"/>
    <w:rsid w:val="230774BC"/>
    <w:rsid w:val="230B6414"/>
    <w:rsid w:val="23112EAB"/>
    <w:rsid w:val="23223DEE"/>
    <w:rsid w:val="23297221"/>
    <w:rsid w:val="232F2D19"/>
    <w:rsid w:val="232F4A33"/>
    <w:rsid w:val="2336538C"/>
    <w:rsid w:val="23384460"/>
    <w:rsid w:val="233C5AA7"/>
    <w:rsid w:val="23486320"/>
    <w:rsid w:val="23497AFB"/>
    <w:rsid w:val="23624E4D"/>
    <w:rsid w:val="23674683"/>
    <w:rsid w:val="23743CB3"/>
    <w:rsid w:val="23763610"/>
    <w:rsid w:val="237A782D"/>
    <w:rsid w:val="23812232"/>
    <w:rsid w:val="238558CC"/>
    <w:rsid w:val="2388438A"/>
    <w:rsid w:val="239003C6"/>
    <w:rsid w:val="239007B8"/>
    <w:rsid w:val="23944058"/>
    <w:rsid w:val="23947259"/>
    <w:rsid w:val="239B3FD3"/>
    <w:rsid w:val="239E0C32"/>
    <w:rsid w:val="23A63BF3"/>
    <w:rsid w:val="23AD1388"/>
    <w:rsid w:val="23B1431C"/>
    <w:rsid w:val="23B5295E"/>
    <w:rsid w:val="23B865EC"/>
    <w:rsid w:val="23BA609B"/>
    <w:rsid w:val="23C670F6"/>
    <w:rsid w:val="23D45DCE"/>
    <w:rsid w:val="23D742A4"/>
    <w:rsid w:val="23E641AD"/>
    <w:rsid w:val="23E9569E"/>
    <w:rsid w:val="23ED60DA"/>
    <w:rsid w:val="23F50553"/>
    <w:rsid w:val="23F67E3F"/>
    <w:rsid w:val="23F724F4"/>
    <w:rsid w:val="23F73C78"/>
    <w:rsid w:val="23FF0B9F"/>
    <w:rsid w:val="23FF283C"/>
    <w:rsid w:val="24061787"/>
    <w:rsid w:val="240717E1"/>
    <w:rsid w:val="240750E0"/>
    <w:rsid w:val="24083CFE"/>
    <w:rsid w:val="24084702"/>
    <w:rsid w:val="24101DD0"/>
    <w:rsid w:val="241B2F2C"/>
    <w:rsid w:val="242552B4"/>
    <w:rsid w:val="242F5267"/>
    <w:rsid w:val="24332D85"/>
    <w:rsid w:val="24353EBD"/>
    <w:rsid w:val="243779AF"/>
    <w:rsid w:val="243A66DB"/>
    <w:rsid w:val="243B3D24"/>
    <w:rsid w:val="243E461F"/>
    <w:rsid w:val="24443B26"/>
    <w:rsid w:val="24587254"/>
    <w:rsid w:val="245C7745"/>
    <w:rsid w:val="24635A73"/>
    <w:rsid w:val="24637E78"/>
    <w:rsid w:val="2464597C"/>
    <w:rsid w:val="246613C1"/>
    <w:rsid w:val="246D138E"/>
    <w:rsid w:val="24722619"/>
    <w:rsid w:val="247B5E2A"/>
    <w:rsid w:val="248A4ABD"/>
    <w:rsid w:val="248C1E2C"/>
    <w:rsid w:val="248F3F16"/>
    <w:rsid w:val="2494675D"/>
    <w:rsid w:val="249527A6"/>
    <w:rsid w:val="24A30866"/>
    <w:rsid w:val="24A46095"/>
    <w:rsid w:val="24A7366F"/>
    <w:rsid w:val="24A8230B"/>
    <w:rsid w:val="24B77911"/>
    <w:rsid w:val="24C128D5"/>
    <w:rsid w:val="24C47680"/>
    <w:rsid w:val="24C60C5A"/>
    <w:rsid w:val="24CD14A7"/>
    <w:rsid w:val="24CD536B"/>
    <w:rsid w:val="24D17434"/>
    <w:rsid w:val="24D82962"/>
    <w:rsid w:val="24D96EF2"/>
    <w:rsid w:val="24DC74DF"/>
    <w:rsid w:val="24DD6CC8"/>
    <w:rsid w:val="24E65C5C"/>
    <w:rsid w:val="24E74B69"/>
    <w:rsid w:val="24E762A9"/>
    <w:rsid w:val="24F92191"/>
    <w:rsid w:val="24FA20E7"/>
    <w:rsid w:val="24FA4069"/>
    <w:rsid w:val="24FD4671"/>
    <w:rsid w:val="25007288"/>
    <w:rsid w:val="25030F4F"/>
    <w:rsid w:val="250345E2"/>
    <w:rsid w:val="25060B63"/>
    <w:rsid w:val="25072559"/>
    <w:rsid w:val="25122956"/>
    <w:rsid w:val="25163644"/>
    <w:rsid w:val="251C6A1C"/>
    <w:rsid w:val="251D5BAE"/>
    <w:rsid w:val="251D7794"/>
    <w:rsid w:val="252A3048"/>
    <w:rsid w:val="252B27A1"/>
    <w:rsid w:val="252B5B2A"/>
    <w:rsid w:val="253A08E9"/>
    <w:rsid w:val="25446C32"/>
    <w:rsid w:val="254C75E3"/>
    <w:rsid w:val="25536979"/>
    <w:rsid w:val="25590B6F"/>
    <w:rsid w:val="255B7171"/>
    <w:rsid w:val="25610320"/>
    <w:rsid w:val="2561056D"/>
    <w:rsid w:val="256E7C33"/>
    <w:rsid w:val="25750D12"/>
    <w:rsid w:val="2588335E"/>
    <w:rsid w:val="25974352"/>
    <w:rsid w:val="259A3CFE"/>
    <w:rsid w:val="259F4BE7"/>
    <w:rsid w:val="25A34146"/>
    <w:rsid w:val="25AC5561"/>
    <w:rsid w:val="25AE5E0D"/>
    <w:rsid w:val="25B15262"/>
    <w:rsid w:val="25BF0648"/>
    <w:rsid w:val="25CB0046"/>
    <w:rsid w:val="25CB0FBC"/>
    <w:rsid w:val="25D56734"/>
    <w:rsid w:val="25D954DE"/>
    <w:rsid w:val="25DF629E"/>
    <w:rsid w:val="25E24086"/>
    <w:rsid w:val="25E760AE"/>
    <w:rsid w:val="25EB1AA8"/>
    <w:rsid w:val="25F4629E"/>
    <w:rsid w:val="25F63DA7"/>
    <w:rsid w:val="25F70FF4"/>
    <w:rsid w:val="25FD4E60"/>
    <w:rsid w:val="25FF3899"/>
    <w:rsid w:val="2604539D"/>
    <w:rsid w:val="2609650F"/>
    <w:rsid w:val="260D4EBA"/>
    <w:rsid w:val="26175752"/>
    <w:rsid w:val="261E4978"/>
    <w:rsid w:val="262125D9"/>
    <w:rsid w:val="262616B4"/>
    <w:rsid w:val="26262109"/>
    <w:rsid w:val="26385374"/>
    <w:rsid w:val="26396367"/>
    <w:rsid w:val="263E1159"/>
    <w:rsid w:val="2643125E"/>
    <w:rsid w:val="264705D7"/>
    <w:rsid w:val="264C5827"/>
    <w:rsid w:val="26536B43"/>
    <w:rsid w:val="26595066"/>
    <w:rsid w:val="26657243"/>
    <w:rsid w:val="26677D23"/>
    <w:rsid w:val="266D191D"/>
    <w:rsid w:val="268805F2"/>
    <w:rsid w:val="26893325"/>
    <w:rsid w:val="268D30FB"/>
    <w:rsid w:val="268D51E2"/>
    <w:rsid w:val="268E6C86"/>
    <w:rsid w:val="268E7090"/>
    <w:rsid w:val="26937A85"/>
    <w:rsid w:val="26962B04"/>
    <w:rsid w:val="269B7EFC"/>
    <w:rsid w:val="269D3FDB"/>
    <w:rsid w:val="269D649E"/>
    <w:rsid w:val="26A12458"/>
    <w:rsid w:val="26A21F67"/>
    <w:rsid w:val="26AC1596"/>
    <w:rsid w:val="26AD459B"/>
    <w:rsid w:val="26B54CBA"/>
    <w:rsid w:val="26B73016"/>
    <w:rsid w:val="26BA5294"/>
    <w:rsid w:val="26BE19EF"/>
    <w:rsid w:val="26BE31A4"/>
    <w:rsid w:val="26C773B6"/>
    <w:rsid w:val="26CE7BEA"/>
    <w:rsid w:val="26D1527F"/>
    <w:rsid w:val="26D43532"/>
    <w:rsid w:val="26E3780F"/>
    <w:rsid w:val="26E7427E"/>
    <w:rsid w:val="26F66212"/>
    <w:rsid w:val="26F86CAF"/>
    <w:rsid w:val="26FB3FA9"/>
    <w:rsid w:val="26FB67A0"/>
    <w:rsid w:val="26FC4A2E"/>
    <w:rsid w:val="26FE55FB"/>
    <w:rsid w:val="270B2945"/>
    <w:rsid w:val="270F561E"/>
    <w:rsid w:val="271A7A51"/>
    <w:rsid w:val="272A5429"/>
    <w:rsid w:val="272B5AA5"/>
    <w:rsid w:val="27381988"/>
    <w:rsid w:val="273D3956"/>
    <w:rsid w:val="27420F57"/>
    <w:rsid w:val="274364E0"/>
    <w:rsid w:val="27441EF5"/>
    <w:rsid w:val="27473793"/>
    <w:rsid w:val="275132C2"/>
    <w:rsid w:val="275206D3"/>
    <w:rsid w:val="27537E21"/>
    <w:rsid w:val="27577862"/>
    <w:rsid w:val="27592CF0"/>
    <w:rsid w:val="27690B67"/>
    <w:rsid w:val="276B33E2"/>
    <w:rsid w:val="276C70B6"/>
    <w:rsid w:val="27770E36"/>
    <w:rsid w:val="277D0BE7"/>
    <w:rsid w:val="278A0904"/>
    <w:rsid w:val="27905283"/>
    <w:rsid w:val="279C775D"/>
    <w:rsid w:val="27A557CC"/>
    <w:rsid w:val="27A56782"/>
    <w:rsid w:val="27AB1F74"/>
    <w:rsid w:val="27AE3812"/>
    <w:rsid w:val="27B35C75"/>
    <w:rsid w:val="27B449FF"/>
    <w:rsid w:val="27B61FC5"/>
    <w:rsid w:val="27B95AC0"/>
    <w:rsid w:val="27BA52CE"/>
    <w:rsid w:val="27BB3FB9"/>
    <w:rsid w:val="27BB4DAB"/>
    <w:rsid w:val="27BD7F15"/>
    <w:rsid w:val="27C052F3"/>
    <w:rsid w:val="27C76ED0"/>
    <w:rsid w:val="27C86978"/>
    <w:rsid w:val="27D415C8"/>
    <w:rsid w:val="27D50283"/>
    <w:rsid w:val="27DB24B5"/>
    <w:rsid w:val="27DB3D47"/>
    <w:rsid w:val="27EE6E34"/>
    <w:rsid w:val="27F03E2A"/>
    <w:rsid w:val="27FF7BCA"/>
    <w:rsid w:val="28004CCF"/>
    <w:rsid w:val="2801446D"/>
    <w:rsid w:val="280411BA"/>
    <w:rsid w:val="280D3806"/>
    <w:rsid w:val="28122D9C"/>
    <w:rsid w:val="28140A2F"/>
    <w:rsid w:val="28176004"/>
    <w:rsid w:val="28215D92"/>
    <w:rsid w:val="282C6598"/>
    <w:rsid w:val="282F5B2E"/>
    <w:rsid w:val="283211BF"/>
    <w:rsid w:val="28341F69"/>
    <w:rsid w:val="2836227D"/>
    <w:rsid w:val="283959FD"/>
    <w:rsid w:val="283F7DFB"/>
    <w:rsid w:val="284A0149"/>
    <w:rsid w:val="284A6581"/>
    <w:rsid w:val="284D3B90"/>
    <w:rsid w:val="284F1E1A"/>
    <w:rsid w:val="2851192A"/>
    <w:rsid w:val="285901B6"/>
    <w:rsid w:val="285919D0"/>
    <w:rsid w:val="285B181C"/>
    <w:rsid w:val="28656CAE"/>
    <w:rsid w:val="28704635"/>
    <w:rsid w:val="28712546"/>
    <w:rsid w:val="287C18DD"/>
    <w:rsid w:val="287C5933"/>
    <w:rsid w:val="287E4FF7"/>
    <w:rsid w:val="288007AC"/>
    <w:rsid w:val="288737CB"/>
    <w:rsid w:val="28885D2E"/>
    <w:rsid w:val="289F091A"/>
    <w:rsid w:val="28A40771"/>
    <w:rsid w:val="28A504A9"/>
    <w:rsid w:val="28A5476B"/>
    <w:rsid w:val="28AA0CC0"/>
    <w:rsid w:val="28AC23AD"/>
    <w:rsid w:val="28BB69F6"/>
    <w:rsid w:val="28C64CF9"/>
    <w:rsid w:val="28C667A9"/>
    <w:rsid w:val="28C87B2B"/>
    <w:rsid w:val="28D252DE"/>
    <w:rsid w:val="28D4262F"/>
    <w:rsid w:val="28D86F23"/>
    <w:rsid w:val="28E11001"/>
    <w:rsid w:val="28E41035"/>
    <w:rsid w:val="28EF0462"/>
    <w:rsid w:val="28EF6720"/>
    <w:rsid w:val="28F06365"/>
    <w:rsid w:val="28F22101"/>
    <w:rsid w:val="28F66332"/>
    <w:rsid w:val="28F668F2"/>
    <w:rsid w:val="28FA4F22"/>
    <w:rsid w:val="28FE231D"/>
    <w:rsid w:val="28FE6CAE"/>
    <w:rsid w:val="29006102"/>
    <w:rsid w:val="29041045"/>
    <w:rsid w:val="2906111A"/>
    <w:rsid w:val="29084C1E"/>
    <w:rsid w:val="2914376D"/>
    <w:rsid w:val="29143C0C"/>
    <w:rsid w:val="29270FD5"/>
    <w:rsid w:val="29275B38"/>
    <w:rsid w:val="29295687"/>
    <w:rsid w:val="292B1877"/>
    <w:rsid w:val="29305CE7"/>
    <w:rsid w:val="29306E9C"/>
    <w:rsid w:val="29316FF2"/>
    <w:rsid w:val="29341E48"/>
    <w:rsid w:val="29416969"/>
    <w:rsid w:val="2942121D"/>
    <w:rsid w:val="29433604"/>
    <w:rsid w:val="29452A76"/>
    <w:rsid w:val="294922EE"/>
    <w:rsid w:val="294B0169"/>
    <w:rsid w:val="294F1E5A"/>
    <w:rsid w:val="294F692F"/>
    <w:rsid w:val="29502469"/>
    <w:rsid w:val="295631EF"/>
    <w:rsid w:val="29574245"/>
    <w:rsid w:val="296055B0"/>
    <w:rsid w:val="29705EF8"/>
    <w:rsid w:val="2973228F"/>
    <w:rsid w:val="29772C0F"/>
    <w:rsid w:val="297C7ABB"/>
    <w:rsid w:val="29834D8D"/>
    <w:rsid w:val="29856B6A"/>
    <w:rsid w:val="298669CB"/>
    <w:rsid w:val="298D290D"/>
    <w:rsid w:val="2992359A"/>
    <w:rsid w:val="29993BAA"/>
    <w:rsid w:val="299F4222"/>
    <w:rsid w:val="29A12CAE"/>
    <w:rsid w:val="29A2742D"/>
    <w:rsid w:val="29A755DD"/>
    <w:rsid w:val="29AA562F"/>
    <w:rsid w:val="29B02FF9"/>
    <w:rsid w:val="29B060A3"/>
    <w:rsid w:val="29BA790B"/>
    <w:rsid w:val="29BD2725"/>
    <w:rsid w:val="29C813FF"/>
    <w:rsid w:val="29C844E5"/>
    <w:rsid w:val="29D70375"/>
    <w:rsid w:val="29DA27BD"/>
    <w:rsid w:val="29E23280"/>
    <w:rsid w:val="29EE6781"/>
    <w:rsid w:val="29FB3EB8"/>
    <w:rsid w:val="2A0E67EA"/>
    <w:rsid w:val="2A0E7538"/>
    <w:rsid w:val="2A145151"/>
    <w:rsid w:val="2A150B5D"/>
    <w:rsid w:val="2A19456D"/>
    <w:rsid w:val="2A25545E"/>
    <w:rsid w:val="2A264F50"/>
    <w:rsid w:val="2A2D4EC2"/>
    <w:rsid w:val="2A30050E"/>
    <w:rsid w:val="2A302958"/>
    <w:rsid w:val="2A3949BC"/>
    <w:rsid w:val="2A454796"/>
    <w:rsid w:val="2A5E5153"/>
    <w:rsid w:val="2A6B011A"/>
    <w:rsid w:val="2A6B6038"/>
    <w:rsid w:val="2A6B7798"/>
    <w:rsid w:val="2A6F4C41"/>
    <w:rsid w:val="2A745B3F"/>
    <w:rsid w:val="2A752D39"/>
    <w:rsid w:val="2A7774A8"/>
    <w:rsid w:val="2A791755"/>
    <w:rsid w:val="2A803D5B"/>
    <w:rsid w:val="2A913B28"/>
    <w:rsid w:val="2A932034"/>
    <w:rsid w:val="2A9628E5"/>
    <w:rsid w:val="2A9E343B"/>
    <w:rsid w:val="2A9E35FE"/>
    <w:rsid w:val="2AAE116A"/>
    <w:rsid w:val="2AB56202"/>
    <w:rsid w:val="2AB948A9"/>
    <w:rsid w:val="2ABA24CE"/>
    <w:rsid w:val="2ABB764E"/>
    <w:rsid w:val="2ABC0090"/>
    <w:rsid w:val="2ABC4089"/>
    <w:rsid w:val="2AC046A1"/>
    <w:rsid w:val="2ACE1866"/>
    <w:rsid w:val="2AD12BB9"/>
    <w:rsid w:val="2AD257C7"/>
    <w:rsid w:val="2ADF359E"/>
    <w:rsid w:val="2AE13EFE"/>
    <w:rsid w:val="2AE632C3"/>
    <w:rsid w:val="2AEA3FC1"/>
    <w:rsid w:val="2AEF38F4"/>
    <w:rsid w:val="2AF5617E"/>
    <w:rsid w:val="2AFD06C9"/>
    <w:rsid w:val="2AFF65C0"/>
    <w:rsid w:val="2B01673A"/>
    <w:rsid w:val="2B06511F"/>
    <w:rsid w:val="2B0749EE"/>
    <w:rsid w:val="2B09636A"/>
    <w:rsid w:val="2B096F0E"/>
    <w:rsid w:val="2B0E2F50"/>
    <w:rsid w:val="2B0F16AC"/>
    <w:rsid w:val="2B113FD3"/>
    <w:rsid w:val="2B1737E4"/>
    <w:rsid w:val="2B1B2F6C"/>
    <w:rsid w:val="2B1C00D1"/>
    <w:rsid w:val="2B2200CE"/>
    <w:rsid w:val="2B247A52"/>
    <w:rsid w:val="2B2C313E"/>
    <w:rsid w:val="2B2D68D9"/>
    <w:rsid w:val="2B355630"/>
    <w:rsid w:val="2B357DD6"/>
    <w:rsid w:val="2B3C6FF0"/>
    <w:rsid w:val="2B3E19B8"/>
    <w:rsid w:val="2B4112D1"/>
    <w:rsid w:val="2B456A06"/>
    <w:rsid w:val="2B4941D5"/>
    <w:rsid w:val="2B4A2365"/>
    <w:rsid w:val="2B4B0310"/>
    <w:rsid w:val="2B554CED"/>
    <w:rsid w:val="2B587185"/>
    <w:rsid w:val="2B5C0A99"/>
    <w:rsid w:val="2B61581B"/>
    <w:rsid w:val="2B6B750C"/>
    <w:rsid w:val="2B7A0CF6"/>
    <w:rsid w:val="2B867321"/>
    <w:rsid w:val="2B8A0AC2"/>
    <w:rsid w:val="2B8A0B04"/>
    <w:rsid w:val="2B932B42"/>
    <w:rsid w:val="2B9409B1"/>
    <w:rsid w:val="2B9A6040"/>
    <w:rsid w:val="2B9D6992"/>
    <w:rsid w:val="2B9E2E72"/>
    <w:rsid w:val="2BA24B00"/>
    <w:rsid w:val="2BA95E3C"/>
    <w:rsid w:val="2BAB04F2"/>
    <w:rsid w:val="2BB84850"/>
    <w:rsid w:val="2BB858A9"/>
    <w:rsid w:val="2BBA40BD"/>
    <w:rsid w:val="2BDA2D80"/>
    <w:rsid w:val="2BDE02E7"/>
    <w:rsid w:val="2BE07E6D"/>
    <w:rsid w:val="2BE76A07"/>
    <w:rsid w:val="2BE772F2"/>
    <w:rsid w:val="2BEA6B43"/>
    <w:rsid w:val="2BEE40D1"/>
    <w:rsid w:val="2BF05480"/>
    <w:rsid w:val="2BF10171"/>
    <w:rsid w:val="2BF649AD"/>
    <w:rsid w:val="2BFB77B1"/>
    <w:rsid w:val="2C041C52"/>
    <w:rsid w:val="2C071743"/>
    <w:rsid w:val="2C074642"/>
    <w:rsid w:val="2C111809"/>
    <w:rsid w:val="2C1125C1"/>
    <w:rsid w:val="2C116303"/>
    <w:rsid w:val="2C18391D"/>
    <w:rsid w:val="2C210D0B"/>
    <w:rsid w:val="2C214A48"/>
    <w:rsid w:val="2C2D2D0D"/>
    <w:rsid w:val="2C314CA9"/>
    <w:rsid w:val="2C315E50"/>
    <w:rsid w:val="2C381451"/>
    <w:rsid w:val="2C3C0865"/>
    <w:rsid w:val="2C4952A0"/>
    <w:rsid w:val="2C500175"/>
    <w:rsid w:val="2C561EEC"/>
    <w:rsid w:val="2C583D4C"/>
    <w:rsid w:val="2C605945"/>
    <w:rsid w:val="2C6631F9"/>
    <w:rsid w:val="2C675FED"/>
    <w:rsid w:val="2C6D26C6"/>
    <w:rsid w:val="2C6D59A7"/>
    <w:rsid w:val="2C7374C1"/>
    <w:rsid w:val="2C7E31EF"/>
    <w:rsid w:val="2C7F319C"/>
    <w:rsid w:val="2C80691D"/>
    <w:rsid w:val="2C855E82"/>
    <w:rsid w:val="2C942FC4"/>
    <w:rsid w:val="2C98644D"/>
    <w:rsid w:val="2CA07839"/>
    <w:rsid w:val="2CA44196"/>
    <w:rsid w:val="2CB10B57"/>
    <w:rsid w:val="2CBE5720"/>
    <w:rsid w:val="2CC633AC"/>
    <w:rsid w:val="2CCE6BEB"/>
    <w:rsid w:val="2CCF1BFC"/>
    <w:rsid w:val="2CD15D7C"/>
    <w:rsid w:val="2CD27F43"/>
    <w:rsid w:val="2CD83F18"/>
    <w:rsid w:val="2CD930DF"/>
    <w:rsid w:val="2CDD4252"/>
    <w:rsid w:val="2CE30931"/>
    <w:rsid w:val="2CF536E5"/>
    <w:rsid w:val="2CF57205"/>
    <w:rsid w:val="2D0D39D2"/>
    <w:rsid w:val="2D0D51A5"/>
    <w:rsid w:val="2D103090"/>
    <w:rsid w:val="2D153B5F"/>
    <w:rsid w:val="2D2C0B67"/>
    <w:rsid w:val="2D2F3655"/>
    <w:rsid w:val="2D340A1E"/>
    <w:rsid w:val="2D37452E"/>
    <w:rsid w:val="2D44383F"/>
    <w:rsid w:val="2D471513"/>
    <w:rsid w:val="2D4F15F3"/>
    <w:rsid w:val="2D506162"/>
    <w:rsid w:val="2D5307AA"/>
    <w:rsid w:val="2D555E2C"/>
    <w:rsid w:val="2D57396F"/>
    <w:rsid w:val="2D5C786C"/>
    <w:rsid w:val="2D5D7C70"/>
    <w:rsid w:val="2D612F29"/>
    <w:rsid w:val="2D687FBF"/>
    <w:rsid w:val="2D6E268B"/>
    <w:rsid w:val="2D6F2144"/>
    <w:rsid w:val="2D7035A6"/>
    <w:rsid w:val="2D725241"/>
    <w:rsid w:val="2D73258F"/>
    <w:rsid w:val="2D8660EB"/>
    <w:rsid w:val="2D8A352C"/>
    <w:rsid w:val="2D913E2D"/>
    <w:rsid w:val="2D924434"/>
    <w:rsid w:val="2D9354C8"/>
    <w:rsid w:val="2D9545C8"/>
    <w:rsid w:val="2D956B41"/>
    <w:rsid w:val="2D970330"/>
    <w:rsid w:val="2D9E07C0"/>
    <w:rsid w:val="2DA113D1"/>
    <w:rsid w:val="2DA22C7F"/>
    <w:rsid w:val="2DAC1C8A"/>
    <w:rsid w:val="2DAD4092"/>
    <w:rsid w:val="2DB610E1"/>
    <w:rsid w:val="2DB65CA6"/>
    <w:rsid w:val="2DBC0E3D"/>
    <w:rsid w:val="2DBC70EA"/>
    <w:rsid w:val="2DC22B81"/>
    <w:rsid w:val="2DCE6534"/>
    <w:rsid w:val="2DDD2378"/>
    <w:rsid w:val="2DEE7ED1"/>
    <w:rsid w:val="2DFE3326"/>
    <w:rsid w:val="2E013E72"/>
    <w:rsid w:val="2E030034"/>
    <w:rsid w:val="2E0308AA"/>
    <w:rsid w:val="2E2240CB"/>
    <w:rsid w:val="2E226E79"/>
    <w:rsid w:val="2E272ECE"/>
    <w:rsid w:val="2E286A7B"/>
    <w:rsid w:val="2E291E44"/>
    <w:rsid w:val="2E30164A"/>
    <w:rsid w:val="2E432015"/>
    <w:rsid w:val="2E470981"/>
    <w:rsid w:val="2E4A7EB5"/>
    <w:rsid w:val="2E5471BA"/>
    <w:rsid w:val="2E556B12"/>
    <w:rsid w:val="2E597CFD"/>
    <w:rsid w:val="2E5A5B48"/>
    <w:rsid w:val="2E606113"/>
    <w:rsid w:val="2E606C1E"/>
    <w:rsid w:val="2E62371F"/>
    <w:rsid w:val="2E703995"/>
    <w:rsid w:val="2E7210C1"/>
    <w:rsid w:val="2E7F0623"/>
    <w:rsid w:val="2E804132"/>
    <w:rsid w:val="2E813A2E"/>
    <w:rsid w:val="2E826852"/>
    <w:rsid w:val="2E880A65"/>
    <w:rsid w:val="2E8D47B0"/>
    <w:rsid w:val="2E95258D"/>
    <w:rsid w:val="2E9A2256"/>
    <w:rsid w:val="2EA65357"/>
    <w:rsid w:val="2EBB774A"/>
    <w:rsid w:val="2EC417C1"/>
    <w:rsid w:val="2EC575AF"/>
    <w:rsid w:val="2ECC6859"/>
    <w:rsid w:val="2ECF76A4"/>
    <w:rsid w:val="2ED45A4B"/>
    <w:rsid w:val="2ED87E48"/>
    <w:rsid w:val="2EE027E8"/>
    <w:rsid w:val="2EE56B5D"/>
    <w:rsid w:val="2EEC727C"/>
    <w:rsid w:val="2EED2BC6"/>
    <w:rsid w:val="2EF52DE8"/>
    <w:rsid w:val="2EF830F5"/>
    <w:rsid w:val="2F013486"/>
    <w:rsid w:val="2F0B2713"/>
    <w:rsid w:val="2F104282"/>
    <w:rsid w:val="2F1E2387"/>
    <w:rsid w:val="2F281646"/>
    <w:rsid w:val="2F2A5E74"/>
    <w:rsid w:val="2F2B2F97"/>
    <w:rsid w:val="2F2D40FC"/>
    <w:rsid w:val="2F2E358C"/>
    <w:rsid w:val="2F30212C"/>
    <w:rsid w:val="2F324AB7"/>
    <w:rsid w:val="2F3457A4"/>
    <w:rsid w:val="2F370831"/>
    <w:rsid w:val="2F3A3B2A"/>
    <w:rsid w:val="2F3C29C6"/>
    <w:rsid w:val="2F3E6D36"/>
    <w:rsid w:val="2F402335"/>
    <w:rsid w:val="2F4402C4"/>
    <w:rsid w:val="2F456409"/>
    <w:rsid w:val="2F504E63"/>
    <w:rsid w:val="2F5B11C3"/>
    <w:rsid w:val="2F5B6411"/>
    <w:rsid w:val="2F6E1D2E"/>
    <w:rsid w:val="2F73618E"/>
    <w:rsid w:val="2F79396A"/>
    <w:rsid w:val="2F797559"/>
    <w:rsid w:val="2F7A7919"/>
    <w:rsid w:val="2F7D48AF"/>
    <w:rsid w:val="2F7E6257"/>
    <w:rsid w:val="2F89354E"/>
    <w:rsid w:val="2F90404C"/>
    <w:rsid w:val="2F905AFD"/>
    <w:rsid w:val="2F98732F"/>
    <w:rsid w:val="2F99658C"/>
    <w:rsid w:val="2F9A3D52"/>
    <w:rsid w:val="2F9A6806"/>
    <w:rsid w:val="2F9A7834"/>
    <w:rsid w:val="2F9E2200"/>
    <w:rsid w:val="2FA013A8"/>
    <w:rsid w:val="2FA573B5"/>
    <w:rsid w:val="2FA70441"/>
    <w:rsid w:val="2FAB0126"/>
    <w:rsid w:val="2FB51A39"/>
    <w:rsid w:val="2FBC2429"/>
    <w:rsid w:val="2FBC77C5"/>
    <w:rsid w:val="2FC20F7C"/>
    <w:rsid w:val="2FC2361D"/>
    <w:rsid w:val="2FC67D85"/>
    <w:rsid w:val="2FC975D6"/>
    <w:rsid w:val="2FCA6370"/>
    <w:rsid w:val="2FCF34F0"/>
    <w:rsid w:val="2FD92F9C"/>
    <w:rsid w:val="2FDC1075"/>
    <w:rsid w:val="2FDF18A2"/>
    <w:rsid w:val="2FE87F55"/>
    <w:rsid w:val="2FEE0683"/>
    <w:rsid w:val="2FFB6B19"/>
    <w:rsid w:val="2FFC3D0B"/>
    <w:rsid w:val="30052628"/>
    <w:rsid w:val="300B0116"/>
    <w:rsid w:val="300E2B2E"/>
    <w:rsid w:val="301922F4"/>
    <w:rsid w:val="301969DF"/>
    <w:rsid w:val="301D5C97"/>
    <w:rsid w:val="30221655"/>
    <w:rsid w:val="3029679C"/>
    <w:rsid w:val="3046300D"/>
    <w:rsid w:val="30525C04"/>
    <w:rsid w:val="305B6C67"/>
    <w:rsid w:val="30724BD7"/>
    <w:rsid w:val="30753D88"/>
    <w:rsid w:val="307A24E3"/>
    <w:rsid w:val="307B2954"/>
    <w:rsid w:val="307B625B"/>
    <w:rsid w:val="307B7537"/>
    <w:rsid w:val="307D06ED"/>
    <w:rsid w:val="30826653"/>
    <w:rsid w:val="308876E8"/>
    <w:rsid w:val="308E2433"/>
    <w:rsid w:val="309077B8"/>
    <w:rsid w:val="309B2C14"/>
    <w:rsid w:val="309C63C4"/>
    <w:rsid w:val="309E2198"/>
    <w:rsid w:val="30AA0EAB"/>
    <w:rsid w:val="30AC3E30"/>
    <w:rsid w:val="30B1584F"/>
    <w:rsid w:val="30B874AF"/>
    <w:rsid w:val="30BB321C"/>
    <w:rsid w:val="30BC02DB"/>
    <w:rsid w:val="30BC4CA1"/>
    <w:rsid w:val="30C35BF7"/>
    <w:rsid w:val="30C97954"/>
    <w:rsid w:val="30CB2B36"/>
    <w:rsid w:val="30CF4E08"/>
    <w:rsid w:val="30D12AEF"/>
    <w:rsid w:val="30E1650B"/>
    <w:rsid w:val="30F15BD9"/>
    <w:rsid w:val="30F433A7"/>
    <w:rsid w:val="30FD467C"/>
    <w:rsid w:val="31022189"/>
    <w:rsid w:val="310224D9"/>
    <w:rsid w:val="310F7552"/>
    <w:rsid w:val="311851E2"/>
    <w:rsid w:val="3119625B"/>
    <w:rsid w:val="311C422B"/>
    <w:rsid w:val="31253BBB"/>
    <w:rsid w:val="31272E77"/>
    <w:rsid w:val="312A6A01"/>
    <w:rsid w:val="312C0910"/>
    <w:rsid w:val="3138243A"/>
    <w:rsid w:val="313D69A6"/>
    <w:rsid w:val="31441B75"/>
    <w:rsid w:val="314B6C8B"/>
    <w:rsid w:val="31566DE9"/>
    <w:rsid w:val="315930F7"/>
    <w:rsid w:val="315C4093"/>
    <w:rsid w:val="316372F0"/>
    <w:rsid w:val="31665B97"/>
    <w:rsid w:val="31694BBF"/>
    <w:rsid w:val="31793204"/>
    <w:rsid w:val="317A4C4A"/>
    <w:rsid w:val="318F374A"/>
    <w:rsid w:val="319121DA"/>
    <w:rsid w:val="3198270C"/>
    <w:rsid w:val="31A11CF2"/>
    <w:rsid w:val="31A60CC5"/>
    <w:rsid w:val="31A8160E"/>
    <w:rsid w:val="31A821D5"/>
    <w:rsid w:val="31A9644C"/>
    <w:rsid w:val="31AD0696"/>
    <w:rsid w:val="31B0361A"/>
    <w:rsid w:val="31B4437A"/>
    <w:rsid w:val="31B7580C"/>
    <w:rsid w:val="31B90B4A"/>
    <w:rsid w:val="31BF720A"/>
    <w:rsid w:val="31C01EAF"/>
    <w:rsid w:val="31C22D72"/>
    <w:rsid w:val="31C6292A"/>
    <w:rsid w:val="31C70115"/>
    <w:rsid w:val="31CC0BCE"/>
    <w:rsid w:val="31CF7B6C"/>
    <w:rsid w:val="31D26A8E"/>
    <w:rsid w:val="31D8766E"/>
    <w:rsid w:val="31ED6A17"/>
    <w:rsid w:val="31F14A27"/>
    <w:rsid w:val="31F225A3"/>
    <w:rsid w:val="31F462C5"/>
    <w:rsid w:val="31F46DFF"/>
    <w:rsid w:val="31F47F17"/>
    <w:rsid w:val="31FD606F"/>
    <w:rsid w:val="31FE3095"/>
    <w:rsid w:val="32010CB0"/>
    <w:rsid w:val="3203570D"/>
    <w:rsid w:val="32056815"/>
    <w:rsid w:val="32076DDC"/>
    <w:rsid w:val="320C2CAA"/>
    <w:rsid w:val="320C75CB"/>
    <w:rsid w:val="321052FF"/>
    <w:rsid w:val="321429DC"/>
    <w:rsid w:val="32195A0B"/>
    <w:rsid w:val="321B036C"/>
    <w:rsid w:val="321B5F1A"/>
    <w:rsid w:val="321F2A45"/>
    <w:rsid w:val="3223097F"/>
    <w:rsid w:val="32261E1F"/>
    <w:rsid w:val="322A37B4"/>
    <w:rsid w:val="322D542D"/>
    <w:rsid w:val="323A47B5"/>
    <w:rsid w:val="323C6649"/>
    <w:rsid w:val="32404947"/>
    <w:rsid w:val="3246371D"/>
    <w:rsid w:val="32481C53"/>
    <w:rsid w:val="32534F3F"/>
    <w:rsid w:val="32587538"/>
    <w:rsid w:val="325A5F30"/>
    <w:rsid w:val="32624467"/>
    <w:rsid w:val="326472A0"/>
    <w:rsid w:val="326552F3"/>
    <w:rsid w:val="32677FEB"/>
    <w:rsid w:val="326D1DE7"/>
    <w:rsid w:val="326E4DBC"/>
    <w:rsid w:val="32711769"/>
    <w:rsid w:val="32782A14"/>
    <w:rsid w:val="329D462F"/>
    <w:rsid w:val="32A33F35"/>
    <w:rsid w:val="32A37382"/>
    <w:rsid w:val="32A744D6"/>
    <w:rsid w:val="32A86384"/>
    <w:rsid w:val="32AF2577"/>
    <w:rsid w:val="32B1065A"/>
    <w:rsid w:val="32B725DE"/>
    <w:rsid w:val="32B76FB3"/>
    <w:rsid w:val="32BA13F0"/>
    <w:rsid w:val="32C96AA6"/>
    <w:rsid w:val="32D51102"/>
    <w:rsid w:val="32E11D32"/>
    <w:rsid w:val="32E178B9"/>
    <w:rsid w:val="32ED3AC2"/>
    <w:rsid w:val="32F15533"/>
    <w:rsid w:val="32F96C6C"/>
    <w:rsid w:val="32FE4D30"/>
    <w:rsid w:val="3300464B"/>
    <w:rsid w:val="330D797A"/>
    <w:rsid w:val="33157A1B"/>
    <w:rsid w:val="3316338D"/>
    <w:rsid w:val="33164C7B"/>
    <w:rsid w:val="33222341"/>
    <w:rsid w:val="332247EE"/>
    <w:rsid w:val="33264087"/>
    <w:rsid w:val="33303ADA"/>
    <w:rsid w:val="33304D4E"/>
    <w:rsid w:val="3335581C"/>
    <w:rsid w:val="333C14F9"/>
    <w:rsid w:val="333D0B2E"/>
    <w:rsid w:val="333D18A4"/>
    <w:rsid w:val="33433299"/>
    <w:rsid w:val="335D7B0F"/>
    <w:rsid w:val="335F3C12"/>
    <w:rsid w:val="336046AB"/>
    <w:rsid w:val="33706042"/>
    <w:rsid w:val="3378039E"/>
    <w:rsid w:val="337D5DCB"/>
    <w:rsid w:val="33804682"/>
    <w:rsid w:val="338547A8"/>
    <w:rsid w:val="338652D4"/>
    <w:rsid w:val="339562DA"/>
    <w:rsid w:val="33966E70"/>
    <w:rsid w:val="33995376"/>
    <w:rsid w:val="33AB0CCD"/>
    <w:rsid w:val="33B02D84"/>
    <w:rsid w:val="33B201E6"/>
    <w:rsid w:val="33B53954"/>
    <w:rsid w:val="33BA6B04"/>
    <w:rsid w:val="33BB381F"/>
    <w:rsid w:val="33C148CD"/>
    <w:rsid w:val="33C265B1"/>
    <w:rsid w:val="33C7251F"/>
    <w:rsid w:val="33C92EFD"/>
    <w:rsid w:val="33D05886"/>
    <w:rsid w:val="33D668AA"/>
    <w:rsid w:val="33DD4B8C"/>
    <w:rsid w:val="33E07E9D"/>
    <w:rsid w:val="33E36F2F"/>
    <w:rsid w:val="33E8271A"/>
    <w:rsid w:val="33EC5FD0"/>
    <w:rsid w:val="33FD213A"/>
    <w:rsid w:val="33FF5449"/>
    <w:rsid w:val="340C0534"/>
    <w:rsid w:val="3422756E"/>
    <w:rsid w:val="34307EFD"/>
    <w:rsid w:val="3432626E"/>
    <w:rsid w:val="344904D9"/>
    <w:rsid w:val="344F280E"/>
    <w:rsid w:val="344F3BB9"/>
    <w:rsid w:val="3456437D"/>
    <w:rsid w:val="34686B9F"/>
    <w:rsid w:val="346D0CE7"/>
    <w:rsid w:val="34753EA7"/>
    <w:rsid w:val="347C0E09"/>
    <w:rsid w:val="347D024D"/>
    <w:rsid w:val="347E6F6B"/>
    <w:rsid w:val="348B1391"/>
    <w:rsid w:val="348E7C44"/>
    <w:rsid w:val="348F7DF7"/>
    <w:rsid w:val="34950208"/>
    <w:rsid w:val="34AB7BC0"/>
    <w:rsid w:val="34AC6B5B"/>
    <w:rsid w:val="34B41D3C"/>
    <w:rsid w:val="34BC5F12"/>
    <w:rsid w:val="34BC75FC"/>
    <w:rsid w:val="34BF33D6"/>
    <w:rsid w:val="34C25FE4"/>
    <w:rsid w:val="34C93E4B"/>
    <w:rsid w:val="34CA0115"/>
    <w:rsid w:val="34CC7593"/>
    <w:rsid w:val="34D07431"/>
    <w:rsid w:val="34D35F77"/>
    <w:rsid w:val="34D420C1"/>
    <w:rsid w:val="34D85E6D"/>
    <w:rsid w:val="34D97E2C"/>
    <w:rsid w:val="34DF325D"/>
    <w:rsid w:val="34E67CAE"/>
    <w:rsid w:val="34E97AB3"/>
    <w:rsid w:val="34EA3509"/>
    <w:rsid w:val="34ED6E81"/>
    <w:rsid w:val="34F006AB"/>
    <w:rsid w:val="34F57464"/>
    <w:rsid w:val="34F86F65"/>
    <w:rsid w:val="34FA3C06"/>
    <w:rsid w:val="34FB4805"/>
    <w:rsid w:val="34FC250D"/>
    <w:rsid w:val="35015A50"/>
    <w:rsid w:val="350727B3"/>
    <w:rsid w:val="350B3EA1"/>
    <w:rsid w:val="350D4E11"/>
    <w:rsid w:val="3511756F"/>
    <w:rsid w:val="35182160"/>
    <w:rsid w:val="351E2E66"/>
    <w:rsid w:val="352073D1"/>
    <w:rsid w:val="353A5A3B"/>
    <w:rsid w:val="354743B8"/>
    <w:rsid w:val="35531EC8"/>
    <w:rsid w:val="355A7648"/>
    <w:rsid w:val="35600FAC"/>
    <w:rsid w:val="3564627D"/>
    <w:rsid w:val="356F2B78"/>
    <w:rsid w:val="35710A55"/>
    <w:rsid w:val="35770CE3"/>
    <w:rsid w:val="357F736D"/>
    <w:rsid w:val="35862E44"/>
    <w:rsid w:val="35946F23"/>
    <w:rsid w:val="359A5F14"/>
    <w:rsid w:val="359B080E"/>
    <w:rsid w:val="359F1026"/>
    <w:rsid w:val="359F51FF"/>
    <w:rsid w:val="35A23F35"/>
    <w:rsid w:val="35A36FBA"/>
    <w:rsid w:val="35AA3AA3"/>
    <w:rsid w:val="35C46BF7"/>
    <w:rsid w:val="35C66639"/>
    <w:rsid w:val="35CB3A3B"/>
    <w:rsid w:val="35D93E96"/>
    <w:rsid w:val="35DC0DBF"/>
    <w:rsid w:val="35DC161E"/>
    <w:rsid w:val="35DD7439"/>
    <w:rsid w:val="35DF2FFE"/>
    <w:rsid w:val="35E2744D"/>
    <w:rsid w:val="35EA52AE"/>
    <w:rsid w:val="35EE7EAD"/>
    <w:rsid w:val="35F1191C"/>
    <w:rsid w:val="35F64D86"/>
    <w:rsid w:val="35F856B4"/>
    <w:rsid w:val="35FB1BCF"/>
    <w:rsid w:val="35FB2608"/>
    <w:rsid w:val="3603307D"/>
    <w:rsid w:val="36062B73"/>
    <w:rsid w:val="360D763C"/>
    <w:rsid w:val="360E4F38"/>
    <w:rsid w:val="36121410"/>
    <w:rsid w:val="361216AE"/>
    <w:rsid w:val="36236D88"/>
    <w:rsid w:val="3628055D"/>
    <w:rsid w:val="362B0040"/>
    <w:rsid w:val="362C6B6A"/>
    <w:rsid w:val="362C7769"/>
    <w:rsid w:val="3637518B"/>
    <w:rsid w:val="363B3CB2"/>
    <w:rsid w:val="363C023B"/>
    <w:rsid w:val="364137BE"/>
    <w:rsid w:val="36460A22"/>
    <w:rsid w:val="364A0A9B"/>
    <w:rsid w:val="36550EF4"/>
    <w:rsid w:val="36561F76"/>
    <w:rsid w:val="3658194D"/>
    <w:rsid w:val="365E3DA1"/>
    <w:rsid w:val="366303CE"/>
    <w:rsid w:val="3667497C"/>
    <w:rsid w:val="367F4324"/>
    <w:rsid w:val="367F4B4E"/>
    <w:rsid w:val="36852411"/>
    <w:rsid w:val="368B4415"/>
    <w:rsid w:val="368C1D01"/>
    <w:rsid w:val="369F7BC5"/>
    <w:rsid w:val="36A84787"/>
    <w:rsid w:val="36A95F07"/>
    <w:rsid w:val="36AB1D57"/>
    <w:rsid w:val="36B53CEF"/>
    <w:rsid w:val="36B950A6"/>
    <w:rsid w:val="36BA580E"/>
    <w:rsid w:val="36C00BAF"/>
    <w:rsid w:val="36C616C3"/>
    <w:rsid w:val="36C72C7E"/>
    <w:rsid w:val="36CA3120"/>
    <w:rsid w:val="36D07FCD"/>
    <w:rsid w:val="36D77B40"/>
    <w:rsid w:val="36DA1356"/>
    <w:rsid w:val="36DA79E1"/>
    <w:rsid w:val="36DD6410"/>
    <w:rsid w:val="36DE1FB5"/>
    <w:rsid w:val="36DF65F8"/>
    <w:rsid w:val="36EF51A6"/>
    <w:rsid w:val="36F4160F"/>
    <w:rsid w:val="36FE0306"/>
    <w:rsid w:val="36FE65A8"/>
    <w:rsid w:val="36FF0668"/>
    <w:rsid w:val="370A2D9A"/>
    <w:rsid w:val="370F1247"/>
    <w:rsid w:val="370F7816"/>
    <w:rsid w:val="37111B7E"/>
    <w:rsid w:val="371511B8"/>
    <w:rsid w:val="371A4A20"/>
    <w:rsid w:val="371B5CAA"/>
    <w:rsid w:val="371C155A"/>
    <w:rsid w:val="37226B81"/>
    <w:rsid w:val="372A446F"/>
    <w:rsid w:val="372B4914"/>
    <w:rsid w:val="372B56D0"/>
    <w:rsid w:val="372E3F96"/>
    <w:rsid w:val="37322D3E"/>
    <w:rsid w:val="373C2837"/>
    <w:rsid w:val="37412BB9"/>
    <w:rsid w:val="374D4675"/>
    <w:rsid w:val="374E46CA"/>
    <w:rsid w:val="375A3FD6"/>
    <w:rsid w:val="375E1589"/>
    <w:rsid w:val="37634AC3"/>
    <w:rsid w:val="376C01A6"/>
    <w:rsid w:val="37702599"/>
    <w:rsid w:val="377A4E1C"/>
    <w:rsid w:val="377C2B8E"/>
    <w:rsid w:val="37886ED0"/>
    <w:rsid w:val="378E6FCC"/>
    <w:rsid w:val="379240DE"/>
    <w:rsid w:val="37986B32"/>
    <w:rsid w:val="379B453A"/>
    <w:rsid w:val="37AC25C7"/>
    <w:rsid w:val="37AE76DC"/>
    <w:rsid w:val="37B05F3F"/>
    <w:rsid w:val="37B064F4"/>
    <w:rsid w:val="37B24051"/>
    <w:rsid w:val="37CE77EC"/>
    <w:rsid w:val="37D62258"/>
    <w:rsid w:val="37D74B55"/>
    <w:rsid w:val="37E4576F"/>
    <w:rsid w:val="37E54462"/>
    <w:rsid w:val="37E83263"/>
    <w:rsid w:val="37EA406E"/>
    <w:rsid w:val="380879C6"/>
    <w:rsid w:val="380D7404"/>
    <w:rsid w:val="381379C0"/>
    <w:rsid w:val="38183636"/>
    <w:rsid w:val="381F74DA"/>
    <w:rsid w:val="382C5EBB"/>
    <w:rsid w:val="382F7886"/>
    <w:rsid w:val="383031AF"/>
    <w:rsid w:val="38380036"/>
    <w:rsid w:val="383C6ED8"/>
    <w:rsid w:val="38405493"/>
    <w:rsid w:val="38407334"/>
    <w:rsid w:val="38450BB9"/>
    <w:rsid w:val="38481F16"/>
    <w:rsid w:val="384E7D53"/>
    <w:rsid w:val="3851201C"/>
    <w:rsid w:val="385775AE"/>
    <w:rsid w:val="38674698"/>
    <w:rsid w:val="386A621E"/>
    <w:rsid w:val="386B0E24"/>
    <w:rsid w:val="386F48F8"/>
    <w:rsid w:val="38763214"/>
    <w:rsid w:val="387A4A23"/>
    <w:rsid w:val="388D0308"/>
    <w:rsid w:val="3894610C"/>
    <w:rsid w:val="389F5542"/>
    <w:rsid w:val="38A46A48"/>
    <w:rsid w:val="38A53ACF"/>
    <w:rsid w:val="38A67955"/>
    <w:rsid w:val="38A93982"/>
    <w:rsid w:val="38C05153"/>
    <w:rsid w:val="38C71AA4"/>
    <w:rsid w:val="38C72F18"/>
    <w:rsid w:val="38C8604C"/>
    <w:rsid w:val="38CC7F9C"/>
    <w:rsid w:val="38D6348B"/>
    <w:rsid w:val="38DE382B"/>
    <w:rsid w:val="38E452E6"/>
    <w:rsid w:val="38EA77BA"/>
    <w:rsid w:val="38EE5228"/>
    <w:rsid w:val="38F82B3F"/>
    <w:rsid w:val="38FA1014"/>
    <w:rsid w:val="39043CCC"/>
    <w:rsid w:val="39071036"/>
    <w:rsid w:val="39085FA1"/>
    <w:rsid w:val="390F63C3"/>
    <w:rsid w:val="3915784C"/>
    <w:rsid w:val="39190BF3"/>
    <w:rsid w:val="392016CB"/>
    <w:rsid w:val="39227193"/>
    <w:rsid w:val="39277236"/>
    <w:rsid w:val="39284021"/>
    <w:rsid w:val="392F5450"/>
    <w:rsid w:val="39304B00"/>
    <w:rsid w:val="39316051"/>
    <w:rsid w:val="39350C4A"/>
    <w:rsid w:val="39404BF2"/>
    <w:rsid w:val="394335CF"/>
    <w:rsid w:val="39470660"/>
    <w:rsid w:val="394D7D75"/>
    <w:rsid w:val="39573FFB"/>
    <w:rsid w:val="395868EB"/>
    <w:rsid w:val="396477DD"/>
    <w:rsid w:val="39647FE9"/>
    <w:rsid w:val="396935D0"/>
    <w:rsid w:val="3971312A"/>
    <w:rsid w:val="397523E2"/>
    <w:rsid w:val="39766666"/>
    <w:rsid w:val="39795027"/>
    <w:rsid w:val="397B0C39"/>
    <w:rsid w:val="39822C77"/>
    <w:rsid w:val="39843AB3"/>
    <w:rsid w:val="399340FF"/>
    <w:rsid w:val="39973752"/>
    <w:rsid w:val="399B5556"/>
    <w:rsid w:val="39AE3ABA"/>
    <w:rsid w:val="39AE67CE"/>
    <w:rsid w:val="39AF0D0E"/>
    <w:rsid w:val="39B00731"/>
    <w:rsid w:val="39B47737"/>
    <w:rsid w:val="39B54950"/>
    <w:rsid w:val="39B834B2"/>
    <w:rsid w:val="39BE5EBB"/>
    <w:rsid w:val="39C038A7"/>
    <w:rsid w:val="39D90DA7"/>
    <w:rsid w:val="39D9157E"/>
    <w:rsid w:val="39E32302"/>
    <w:rsid w:val="39EF4BAF"/>
    <w:rsid w:val="3A0B73B8"/>
    <w:rsid w:val="3A1136B5"/>
    <w:rsid w:val="3A131D9F"/>
    <w:rsid w:val="3A1522CD"/>
    <w:rsid w:val="3A152A5B"/>
    <w:rsid w:val="3A1E3F9C"/>
    <w:rsid w:val="3A1F2379"/>
    <w:rsid w:val="3A200D88"/>
    <w:rsid w:val="3A29174D"/>
    <w:rsid w:val="3A29708C"/>
    <w:rsid w:val="3A2C3028"/>
    <w:rsid w:val="3A2D1722"/>
    <w:rsid w:val="3A317D8E"/>
    <w:rsid w:val="3A381BC6"/>
    <w:rsid w:val="3A3A07E1"/>
    <w:rsid w:val="3A4B0181"/>
    <w:rsid w:val="3A4C6472"/>
    <w:rsid w:val="3A4F49E1"/>
    <w:rsid w:val="3A5B199F"/>
    <w:rsid w:val="3A5F16E8"/>
    <w:rsid w:val="3A694759"/>
    <w:rsid w:val="3A6D5330"/>
    <w:rsid w:val="3A744FF0"/>
    <w:rsid w:val="3A74542A"/>
    <w:rsid w:val="3A797CAF"/>
    <w:rsid w:val="3A7F10DC"/>
    <w:rsid w:val="3A802EC6"/>
    <w:rsid w:val="3A845B9D"/>
    <w:rsid w:val="3A8B71DA"/>
    <w:rsid w:val="3A8C150B"/>
    <w:rsid w:val="3A8E1F71"/>
    <w:rsid w:val="3A8E5A01"/>
    <w:rsid w:val="3A9372EC"/>
    <w:rsid w:val="3A94636F"/>
    <w:rsid w:val="3A96519E"/>
    <w:rsid w:val="3A9747FD"/>
    <w:rsid w:val="3A9F412B"/>
    <w:rsid w:val="3AA6188F"/>
    <w:rsid w:val="3AA819EA"/>
    <w:rsid w:val="3AAA2C3D"/>
    <w:rsid w:val="3AAC55D9"/>
    <w:rsid w:val="3AAD7C7F"/>
    <w:rsid w:val="3AAF011E"/>
    <w:rsid w:val="3AB9266A"/>
    <w:rsid w:val="3ABA3BF1"/>
    <w:rsid w:val="3ABB02C8"/>
    <w:rsid w:val="3ABD7009"/>
    <w:rsid w:val="3AC764B0"/>
    <w:rsid w:val="3AD76973"/>
    <w:rsid w:val="3AE15353"/>
    <w:rsid w:val="3AE35814"/>
    <w:rsid w:val="3AE5356F"/>
    <w:rsid w:val="3AE80C0E"/>
    <w:rsid w:val="3AE94761"/>
    <w:rsid w:val="3AE96BE3"/>
    <w:rsid w:val="3AEE5702"/>
    <w:rsid w:val="3AEF3ACE"/>
    <w:rsid w:val="3B09043E"/>
    <w:rsid w:val="3B090622"/>
    <w:rsid w:val="3B0C02A7"/>
    <w:rsid w:val="3B115415"/>
    <w:rsid w:val="3B1F4CB4"/>
    <w:rsid w:val="3B261813"/>
    <w:rsid w:val="3B321BD6"/>
    <w:rsid w:val="3B3C613D"/>
    <w:rsid w:val="3B3E33F2"/>
    <w:rsid w:val="3B445B48"/>
    <w:rsid w:val="3B480E44"/>
    <w:rsid w:val="3B4F0A10"/>
    <w:rsid w:val="3B530501"/>
    <w:rsid w:val="3B532BF1"/>
    <w:rsid w:val="3B5700EE"/>
    <w:rsid w:val="3B653D90"/>
    <w:rsid w:val="3B656327"/>
    <w:rsid w:val="3B690C5D"/>
    <w:rsid w:val="3B6B1CA8"/>
    <w:rsid w:val="3B6C2E65"/>
    <w:rsid w:val="3B713FA0"/>
    <w:rsid w:val="3B772E7D"/>
    <w:rsid w:val="3B78114C"/>
    <w:rsid w:val="3B7D4D62"/>
    <w:rsid w:val="3B83521D"/>
    <w:rsid w:val="3B85291C"/>
    <w:rsid w:val="3B8D7160"/>
    <w:rsid w:val="3B942EED"/>
    <w:rsid w:val="3BA06E18"/>
    <w:rsid w:val="3BA07CA2"/>
    <w:rsid w:val="3BA41E03"/>
    <w:rsid w:val="3BAA43EA"/>
    <w:rsid w:val="3BAB3F7E"/>
    <w:rsid w:val="3BAD731A"/>
    <w:rsid w:val="3BB00691"/>
    <w:rsid w:val="3BB5381A"/>
    <w:rsid w:val="3BC7718F"/>
    <w:rsid w:val="3BCD610E"/>
    <w:rsid w:val="3BD94C0A"/>
    <w:rsid w:val="3BDB6F58"/>
    <w:rsid w:val="3BDD28E9"/>
    <w:rsid w:val="3BED6921"/>
    <w:rsid w:val="3BFA0BEA"/>
    <w:rsid w:val="3BFF539C"/>
    <w:rsid w:val="3C035F20"/>
    <w:rsid w:val="3C055388"/>
    <w:rsid w:val="3C110554"/>
    <w:rsid w:val="3C111D1A"/>
    <w:rsid w:val="3C1C0729"/>
    <w:rsid w:val="3C1F1522"/>
    <w:rsid w:val="3C215ABD"/>
    <w:rsid w:val="3C254591"/>
    <w:rsid w:val="3C2578BF"/>
    <w:rsid w:val="3C283C94"/>
    <w:rsid w:val="3C2A0E0F"/>
    <w:rsid w:val="3C2B3276"/>
    <w:rsid w:val="3C324C46"/>
    <w:rsid w:val="3C360249"/>
    <w:rsid w:val="3C3C7C59"/>
    <w:rsid w:val="3C3E0A30"/>
    <w:rsid w:val="3C417FEA"/>
    <w:rsid w:val="3C42102B"/>
    <w:rsid w:val="3C480A20"/>
    <w:rsid w:val="3C48412C"/>
    <w:rsid w:val="3C4B7616"/>
    <w:rsid w:val="3C4E6434"/>
    <w:rsid w:val="3C4F3F08"/>
    <w:rsid w:val="3C600F11"/>
    <w:rsid w:val="3C613251"/>
    <w:rsid w:val="3C68127C"/>
    <w:rsid w:val="3C6950A0"/>
    <w:rsid w:val="3C6D020C"/>
    <w:rsid w:val="3C6F5587"/>
    <w:rsid w:val="3C767612"/>
    <w:rsid w:val="3C7D04F1"/>
    <w:rsid w:val="3C8128FC"/>
    <w:rsid w:val="3C862492"/>
    <w:rsid w:val="3C8A1D00"/>
    <w:rsid w:val="3CA23378"/>
    <w:rsid w:val="3CA459E1"/>
    <w:rsid w:val="3CAA2A1C"/>
    <w:rsid w:val="3CAB1E2E"/>
    <w:rsid w:val="3CAC4991"/>
    <w:rsid w:val="3CBD1A78"/>
    <w:rsid w:val="3CC16300"/>
    <w:rsid w:val="3CC227C4"/>
    <w:rsid w:val="3CC80A7A"/>
    <w:rsid w:val="3CCB491A"/>
    <w:rsid w:val="3CD25A74"/>
    <w:rsid w:val="3CD5594E"/>
    <w:rsid w:val="3CEC6EE0"/>
    <w:rsid w:val="3CF736D1"/>
    <w:rsid w:val="3D036BE1"/>
    <w:rsid w:val="3D083B65"/>
    <w:rsid w:val="3D144506"/>
    <w:rsid w:val="3D151C81"/>
    <w:rsid w:val="3D154375"/>
    <w:rsid w:val="3D187001"/>
    <w:rsid w:val="3D192BB2"/>
    <w:rsid w:val="3D1C4721"/>
    <w:rsid w:val="3D215AB9"/>
    <w:rsid w:val="3D251A59"/>
    <w:rsid w:val="3D3360CD"/>
    <w:rsid w:val="3D347DD4"/>
    <w:rsid w:val="3D3E5EDB"/>
    <w:rsid w:val="3D4634DB"/>
    <w:rsid w:val="3D4B049C"/>
    <w:rsid w:val="3D515CA1"/>
    <w:rsid w:val="3D522512"/>
    <w:rsid w:val="3D5D0737"/>
    <w:rsid w:val="3D607E80"/>
    <w:rsid w:val="3D613CE4"/>
    <w:rsid w:val="3D6737E3"/>
    <w:rsid w:val="3D724552"/>
    <w:rsid w:val="3D727B66"/>
    <w:rsid w:val="3D736C38"/>
    <w:rsid w:val="3D847457"/>
    <w:rsid w:val="3D8643A0"/>
    <w:rsid w:val="3D911DB1"/>
    <w:rsid w:val="3D92217A"/>
    <w:rsid w:val="3D927146"/>
    <w:rsid w:val="3D977081"/>
    <w:rsid w:val="3D982F0B"/>
    <w:rsid w:val="3D9D2E3A"/>
    <w:rsid w:val="3D9E5D35"/>
    <w:rsid w:val="3DA271D2"/>
    <w:rsid w:val="3DA70690"/>
    <w:rsid w:val="3DA8275D"/>
    <w:rsid w:val="3DAB4D47"/>
    <w:rsid w:val="3DAE690E"/>
    <w:rsid w:val="3DB565AC"/>
    <w:rsid w:val="3DB71D00"/>
    <w:rsid w:val="3DBB0761"/>
    <w:rsid w:val="3DBC5E5C"/>
    <w:rsid w:val="3DC91AF3"/>
    <w:rsid w:val="3E0400D3"/>
    <w:rsid w:val="3E063A50"/>
    <w:rsid w:val="3E097FB6"/>
    <w:rsid w:val="3E1A59F2"/>
    <w:rsid w:val="3E2B2567"/>
    <w:rsid w:val="3E2F3B0E"/>
    <w:rsid w:val="3E3059C5"/>
    <w:rsid w:val="3E3873A2"/>
    <w:rsid w:val="3E3D5E24"/>
    <w:rsid w:val="3E3E0066"/>
    <w:rsid w:val="3E5A3954"/>
    <w:rsid w:val="3E5D2903"/>
    <w:rsid w:val="3E6051E5"/>
    <w:rsid w:val="3E620C79"/>
    <w:rsid w:val="3E6E343F"/>
    <w:rsid w:val="3E71194D"/>
    <w:rsid w:val="3E7850E5"/>
    <w:rsid w:val="3E7940FA"/>
    <w:rsid w:val="3E7A6E5D"/>
    <w:rsid w:val="3E7A7ECB"/>
    <w:rsid w:val="3E915399"/>
    <w:rsid w:val="3E97244A"/>
    <w:rsid w:val="3E9B7063"/>
    <w:rsid w:val="3E9E5179"/>
    <w:rsid w:val="3EB922C9"/>
    <w:rsid w:val="3EBB0C62"/>
    <w:rsid w:val="3EBD6A71"/>
    <w:rsid w:val="3EC27EF5"/>
    <w:rsid w:val="3EC36CDE"/>
    <w:rsid w:val="3EC547DA"/>
    <w:rsid w:val="3EC65A73"/>
    <w:rsid w:val="3ECB3E90"/>
    <w:rsid w:val="3ED459AF"/>
    <w:rsid w:val="3ED74A40"/>
    <w:rsid w:val="3EDA4EE1"/>
    <w:rsid w:val="3EDB3C53"/>
    <w:rsid w:val="3EE0670A"/>
    <w:rsid w:val="3EE64ACA"/>
    <w:rsid w:val="3EEE5A41"/>
    <w:rsid w:val="3EF853E0"/>
    <w:rsid w:val="3F021EB3"/>
    <w:rsid w:val="3F080E90"/>
    <w:rsid w:val="3F0B3970"/>
    <w:rsid w:val="3F0E2A92"/>
    <w:rsid w:val="3F1A2538"/>
    <w:rsid w:val="3F352BD8"/>
    <w:rsid w:val="3F3D425B"/>
    <w:rsid w:val="3F4263FD"/>
    <w:rsid w:val="3F4654D6"/>
    <w:rsid w:val="3F473ED8"/>
    <w:rsid w:val="3F4D3175"/>
    <w:rsid w:val="3F54627F"/>
    <w:rsid w:val="3F5751CD"/>
    <w:rsid w:val="3F5D7BA0"/>
    <w:rsid w:val="3F632CDC"/>
    <w:rsid w:val="3F67664D"/>
    <w:rsid w:val="3F6A7005"/>
    <w:rsid w:val="3F6C5E88"/>
    <w:rsid w:val="3F6F3DB6"/>
    <w:rsid w:val="3F7D67BC"/>
    <w:rsid w:val="3F816AD6"/>
    <w:rsid w:val="3F8C7B20"/>
    <w:rsid w:val="3F8D0033"/>
    <w:rsid w:val="3F8F486E"/>
    <w:rsid w:val="3F906A1E"/>
    <w:rsid w:val="3F967363"/>
    <w:rsid w:val="3FA36635"/>
    <w:rsid w:val="3FAB00E6"/>
    <w:rsid w:val="3FAC61A4"/>
    <w:rsid w:val="3FB53538"/>
    <w:rsid w:val="3FB6105E"/>
    <w:rsid w:val="3FBE399E"/>
    <w:rsid w:val="3FBF4565"/>
    <w:rsid w:val="3FCB3A33"/>
    <w:rsid w:val="3FCE3E91"/>
    <w:rsid w:val="3FDB4FCE"/>
    <w:rsid w:val="3FE32D99"/>
    <w:rsid w:val="3FE536F1"/>
    <w:rsid w:val="3FE936E4"/>
    <w:rsid w:val="3FF36977"/>
    <w:rsid w:val="3FF83425"/>
    <w:rsid w:val="3FF90371"/>
    <w:rsid w:val="3FFC237A"/>
    <w:rsid w:val="3FFE6E2D"/>
    <w:rsid w:val="400105AB"/>
    <w:rsid w:val="40010DD8"/>
    <w:rsid w:val="4001490F"/>
    <w:rsid w:val="400D1567"/>
    <w:rsid w:val="401656C8"/>
    <w:rsid w:val="401732FD"/>
    <w:rsid w:val="40201E4B"/>
    <w:rsid w:val="40271FE7"/>
    <w:rsid w:val="403F48E2"/>
    <w:rsid w:val="403F5EB1"/>
    <w:rsid w:val="404021EF"/>
    <w:rsid w:val="40433823"/>
    <w:rsid w:val="40464F67"/>
    <w:rsid w:val="40483DF9"/>
    <w:rsid w:val="404E0CD4"/>
    <w:rsid w:val="405041D0"/>
    <w:rsid w:val="40526FD9"/>
    <w:rsid w:val="40532D51"/>
    <w:rsid w:val="405A74EE"/>
    <w:rsid w:val="405C1B2C"/>
    <w:rsid w:val="405C4B2A"/>
    <w:rsid w:val="40604B12"/>
    <w:rsid w:val="40614B91"/>
    <w:rsid w:val="40617FD4"/>
    <w:rsid w:val="40746C96"/>
    <w:rsid w:val="407A316D"/>
    <w:rsid w:val="407B5BA2"/>
    <w:rsid w:val="407F30CF"/>
    <w:rsid w:val="40A0213D"/>
    <w:rsid w:val="40A44D18"/>
    <w:rsid w:val="40AD4C57"/>
    <w:rsid w:val="40B170DC"/>
    <w:rsid w:val="40B86408"/>
    <w:rsid w:val="40C13D45"/>
    <w:rsid w:val="40C2069C"/>
    <w:rsid w:val="40C92412"/>
    <w:rsid w:val="40CC6620"/>
    <w:rsid w:val="40CF1057"/>
    <w:rsid w:val="40DA3114"/>
    <w:rsid w:val="40DD5234"/>
    <w:rsid w:val="40DF4951"/>
    <w:rsid w:val="40E02AF3"/>
    <w:rsid w:val="40E340D5"/>
    <w:rsid w:val="40FA3516"/>
    <w:rsid w:val="41003FFC"/>
    <w:rsid w:val="41030C52"/>
    <w:rsid w:val="4107732A"/>
    <w:rsid w:val="41080274"/>
    <w:rsid w:val="410F3404"/>
    <w:rsid w:val="4110479E"/>
    <w:rsid w:val="411651FB"/>
    <w:rsid w:val="412A6926"/>
    <w:rsid w:val="412C59EA"/>
    <w:rsid w:val="41336C85"/>
    <w:rsid w:val="413B0B54"/>
    <w:rsid w:val="414A17A4"/>
    <w:rsid w:val="414F2480"/>
    <w:rsid w:val="414F68E7"/>
    <w:rsid w:val="415168EB"/>
    <w:rsid w:val="4155125D"/>
    <w:rsid w:val="41594397"/>
    <w:rsid w:val="41726549"/>
    <w:rsid w:val="417326C2"/>
    <w:rsid w:val="4173417F"/>
    <w:rsid w:val="41792A94"/>
    <w:rsid w:val="41842500"/>
    <w:rsid w:val="418D7AA6"/>
    <w:rsid w:val="41974705"/>
    <w:rsid w:val="41A809DE"/>
    <w:rsid w:val="41A80D1D"/>
    <w:rsid w:val="41B23F03"/>
    <w:rsid w:val="41B4325B"/>
    <w:rsid w:val="41B810BD"/>
    <w:rsid w:val="41B92D5F"/>
    <w:rsid w:val="41C30AC1"/>
    <w:rsid w:val="41CF482D"/>
    <w:rsid w:val="41D103D1"/>
    <w:rsid w:val="41D2400B"/>
    <w:rsid w:val="41EC1B71"/>
    <w:rsid w:val="41F220DD"/>
    <w:rsid w:val="41F51055"/>
    <w:rsid w:val="41F604FB"/>
    <w:rsid w:val="41F635D9"/>
    <w:rsid w:val="41F84348"/>
    <w:rsid w:val="41FC0035"/>
    <w:rsid w:val="41FD7E2A"/>
    <w:rsid w:val="41FF26E1"/>
    <w:rsid w:val="41FF4F3E"/>
    <w:rsid w:val="42035840"/>
    <w:rsid w:val="42041029"/>
    <w:rsid w:val="42056F06"/>
    <w:rsid w:val="4212642F"/>
    <w:rsid w:val="421A47A7"/>
    <w:rsid w:val="42271A94"/>
    <w:rsid w:val="42307779"/>
    <w:rsid w:val="42336B9B"/>
    <w:rsid w:val="423F618D"/>
    <w:rsid w:val="42432908"/>
    <w:rsid w:val="424A11CF"/>
    <w:rsid w:val="42512FA8"/>
    <w:rsid w:val="425542C3"/>
    <w:rsid w:val="425A03C6"/>
    <w:rsid w:val="425D7555"/>
    <w:rsid w:val="425F75A1"/>
    <w:rsid w:val="42647420"/>
    <w:rsid w:val="4273617F"/>
    <w:rsid w:val="427654B5"/>
    <w:rsid w:val="427C547A"/>
    <w:rsid w:val="428302A1"/>
    <w:rsid w:val="42884F34"/>
    <w:rsid w:val="42892025"/>
    <w:rsid w:val="428E5447"/>
    <w:rsid w:val="429118D4"/>
    <w:rsid w:val="429204BF"/>
    <w:rsid w:val="429442C4"/>
    <w:rsid w:val="42947A10"/>
    <w:rsid w:val="429D33CD"/>
    <w:rsid w:val="42A0243A"/>
    <w:rsid w:val="42A076F6"/>
    <w:rsid w:val="42A13221"/>
    <w:rsid w:val="42A175E8"/>
    <w:rsid w:val="42B20943"/>
    <w:rsid w:val="42B27237"/>
    <w:rsid w:val="42B33AA9"/>
    <w:rsid w:val="42B45D29"/>
    <w:rsid w:val="42B557AA"/>
    <w:rsid w:val="42B85263"/>
    <w:rsid w:val="42BF03F6"/>
    <w:rsid w:val="42C763B7"/>
    <w:rsid w:val="42CB763C"/>
    <w:rsid w:val="42D80A8C"/>
    <w:rsid w:val="42DE08DC"/>
    <w:rsid w:val="42DE5D0A"/>
    <w:rsid w:val="42DF0235"/>
    <w:rsid w:val="42E24A99"/>
    <w:rsid w:val="42E278AA"/>
    <w:rsid w:val="42E77C84"/>
    <w:rsid w:val="42F071FD"/>
    <w:rsid w:val="42F1364A"/>
    <w:rsid w:val="42F303F2"/>
    <w:rsid w:val="42FA6DD9"/>
    <w:rsid w:val="42FC0536"/>
    <w:rsid w:val="42FC7924"/>
    <w:rsid w:val="42FE6F5E"/>
    <w:rsid w:val="430515C8"/>
    <w:rsid w:val="43064C6B"/>
    <w:rsid w:val="430D540A"/>
    <w:rsid w:val="43185DBF"/>
    <w:rsid w:val="432B6713"/>
    <w:rsid w:val="432D21A5"/>
    <w:rsid w:val="43304584"/>
    <w:rsid w:val="433208B4"/>
    <w:rsid w:val="433C633D"/>
    <w:rsid w:val="434340B0"/>
    <w:rsid w:val="43457AC3"/>
    <w:rsid w:val="4347218F"/>
    <w:rsid w:val="434D7F2B"/>
    <w:rsid w:val="435114A2"/>
    <w:rsid w:val="4354307F"/>
    <w:rsid w:val="4354460D"/>
    <w:rsid w:val="4355168C"/>
    <w:rsid w:val="43553066"/>
    <w:rsid w:val="435E0A0D"/>
    <w:rsid w:val="43602E3E"/>
    <w:rsid w:val="436239D7"/>
    <w:rsid w:val="43641046"/>
    <w:rsid w:val="436C208A"/>
    <w:rsid w:val="436E6BCB"/>
    <w:rsid w:val="43783A36"/>
    <w:rsid w:val="437864C9"/>
    <w:rsid w:val="4389702C"/>
    <w:rsid w:val="438A22B3"/>
    <w:rsid w:val="438C1219"/>
    <w:rsid w:val="438D5417"/>
    <w:rsid w:val="43927D34"/>
    <w:rsid w:val="43932033"/>
    <w:rsid w:val="4393636B"/>
    <w:rsid w:val="43936C76"/>
    <w:rsid w:val="43A27FB9"/>
    <w:rsid w:val="43B104BA"/>
    <w:rsid w:val="43B14918"/>
    <w:rsid w:val="43B509B9"/>
    <w:rsid w:val="43B57349"/>
    <w:rsid w:val="43C350C4"/>
    <w:rsid w:val="43D10B33"/>
    <w:rsid w:val="43D82C64"/>
    <w:rsid w:val="43E61F4C"/>
    <w:rsid w:val="43EC504E"/>
    <w:rsid w:val="43EC5E80"/>
    <w:rsid w:val="43F23261"/>
    <w:rsid w:val="43F42111"/>
    <w:rsid w:val="440943A4"/>
    <w:rsid w:val="440D658F"/>
    <w:rsid w:val="44105CAA"/>
    <w:rsid w:val="44115F9B"/>
    <w:rsid w:val="44133845"/>
    <w:rsid w:val="4414797E"/>
    <w:rsid w:val="44162ABC"/>
    <w:rsid w:val="44191241"/>
    <w:rsid w:val="441C493B"/>
    <w:rsid w:val="441E5CDF"/>
    <w:rsid w:val="44203F7A"/>
    <w:rsid w:val="442455AB"/>
    <w:rsid w:val="44247312"/>
    <w:rsid w:val="44250560"/>
    <w:rsid w:val="442868BA"/>
    <w:rsid w:val="442E7AD1"/>
    <w:rsid w:val="44307178"/>
    <w:rsid w:val="44321122"/>
    <w:rsid w:val="44330DD2"/>
    <w:rsid w:val="44337033"/>
    <w:rsid w:val="44343293"/>
    <w:rsid w:val="44343978"/>
    <w:rsid w:val="44421112"/>
    <w:rsid w:val="44476729"/>
    <w:rsid w:val="444A1EBF"/>
    <w:rsid w:val="444C6312"/>
    <w:rsid w:val="444C7693"/>
    <w:rsid w:val="444D1CAF"/>
    <w:rsid w:val="444D7E03"/>
    <w:rsid w:val="44526098"/>
    <w:rsid w:val="445E1629"/>
    <w:rsid w:val="44615A3C"/>
    <w:rsid w:val="446B58C7"/>
    <w:rsid w:val="446B5938"/>
    <w:rsid w:val="446B6059"/>
    <w:rsid w:val="4473322C"/>
    <w:rsid w:val="4485766D"/>
    <w:rsid w:val="44872606"/>
    <w:rsid w:val="448929B0"/>
    <w:rsid w:val="44912AB2"/>
    <w:rsid w:val="449D4DF6"/>
    <w:rsid w:val="44A25BB4"/>
    <w:rsid w:val="44A85847"/>
    <w:rsid w:val="44AD1609"/>
    <w:rsid w:val="44B772C6"/>
    <w:rsid w:val="44C67CDD"/>
    <w:rsid w:val="44CF069D"/>
    <w:rsid w:val="44D501D8"/>
    <w:rsid w:val="44DB3FF8"/>
    <w:rsid w:val="44DB62BE"/>
    <w:rsid w:val="44F63DD2"/>
    <w:rsid w:val="44FD4C7D"/>
    <w:rsid w:val="44FF09FF"/>
    <w:rsid w:val="45015462"/>
    <w:rsid w:val="45017505"/>
    <w:rsid w:val="45026D22"/>
    <w:rsid w:val="450A3A3B"/>
    <w:rsid w:val="450E7541"/>
    <w:rsid w:val="450E7C74"/>
    <w:rsid w:val="45117E97"/>
    <w:rsid w:val="45184106"/>
    <w:rsid w:val="453E73C7"/>
    <w:rsid w:val="453F2AE1"/>
    <w:rsid w:val="454B2144"/>
    <w:rsid w:val="45530CD8"/>
    <w:rsid w:val="4557120B"/>
    <w:rsid w:val="45592BB7"/>
    <w:rsid w:val="456E6DD6"/>
    <w:rsid w:val="45761235"/>
    <w:rsid w:val="457A012D"/>
    <w:rsid w:val="458077DA"/>
    <w:rsid w:val="4582656F"/>
    <w:rsid w:val="458C43C8"/>
    <w:rsid w:val="459969AE"/>
    <w:rsid w:val="459A2FF4"/>
    <w:rsid w:val="459D60CB"/>
    <w:rsid w:val="45A94B02"/>
    <w:rsid w:val="45AB4518"/>
    <w:rsid w:val="45B7628F"/>
    <w:rsid w:val="45B854EC"/>
    <w:rsid w:val="45BF653B"/>
    <w:rsid w:val="45C34E0F"/>
    <w:rsid w:val="45C45D1E"/>
    <w:rsid w:val="45C624CA"/>
    <w:rsid w:val="45CB5A8C"/>
    <w:rsid w:val="45D205C8"/>
    <w:rsid w:val="45D729FC"/>
    <w:rsid w:val="45D8158C"/>
    <w:rsid w:val="45DB1E5D"/>
    <w:rsid w:val="45DB35A8"/>
    <w:rsid w:val="45DD3AAE"/>
    <w:rsid w:val="45DE5E06"/>
    <w:rsid w:val="45E52077"/>
    <w:rsid w:val="45EA6F27"/>
    <w:rsid w:val="45ED0FB0"/>
    <w:rsid w:val="45F07997"/>
    <w:rsid w:val="45F137EC"/>
    <w:rsid w:val="46002E54"/>
    <w:rsid w:val="4602094A"/>
    <w:rsid w:val="460847D7"/>
    <w:rsid w:val="46101164"/>
    <w:rsid w:val="46113492"/>
    <w:rsid w:val="46245E40"/>
    <w:rsid w:val="463B5B7D"/>
    <w:rsid w:val="463F42D6"/>
    <w:rsid w:val="46427217"/>
    <w:rsid w:val="464E3C5D"/>
    <w:rsid w:val="464F7D86"/>
    <w:rsid w:val="46596149"/>
    <w:rsid w:val="466C0F23"/>
    <w:rsid w:val="466D0551"/>
    <w:rsid w:val="467227A4"/>
    <w:rsid w:val="46794231"/>
    <w:rsid w:val="467E0492"/>
    <w:rsid w:val="468C2D77"/>
    <w:rsid w:val="46920AC3"/>
    <w:rsid w:val="4696077F"/>
    <w:rsid w:val="469818E5"/>
    <w:rsid w:val="46991F50"/>
    <w:rsid w:val="46AB11F1"/>
    <w:rsid w:val="46AC3A58"/>
    <w:rsid w:val="46B27EBA"/>
    <w:rsid w:val="46BD2CD2"/>
    <w:rsid w:val="46BF24C7"/>
    <w:rsid w:val="46C422B2"/>
    <w:rsid w:val="46C706EC"/>
    <w:rsid w:val="46D1677D"/>
    <w:rsid w:val="46D55E10"/>
    <w:rsid w:val="46D55F87"/>
    <w:rsid w:val="46DE4824"/>
    <w:rsid w:val="46EB783F"/>
    <w:rsid w:val="46F30DEA"/>
    <w:rsid w:val="46F33F81"/>
    <w:rsid w:val="46F34946"/>
    <w:rsid w:val="46F6410B"/>
    <w:rsid w:val="46F77125"/>
    <w:rsid w:val="46F95C33"/>
    <w:rsid w:val="46FD732B"/>
    <w:rsid w:val="47023AC5"/>
    <w:rsid w:val="47096704"/>
    <w:rsid w:val="470A7F25"/>
    <w:rsid w:val="471072A6"/>
    <w:rsid w:val="47170634"/>
    <w:rsid w:val="471B0229"/>
    <w:rsid w:val="471C5C4A"/>
    <w:rsid w:val="471F3E06"/>
    <w:rsid w:val="47247E84"/>
    <w:rsid w:val="47282D5E"/>
    <w:rsid w:val="472B5E9A"/>
    <w:rsid w:val="47373C65"/>
    <w:rsid w:val="473804EA"/>
    <w:rsid w:val="473A30A4"/>
    <w:rsid w:val="473B3BD5"/>
    <w:rsid w:val="47407038"/>
    <w:rsid w:val="47420D99"/>
    <w:rsid w:val="47460402"/>
    <w:rsid w:val="47463930"/>
    <w:rsid w:val="474850A7"/>
    <w:rsid w:val="474D01AC"/>
    <w:rsid w:val="474D4D2C"/>
    <w:rsid w:val="474E5F4D"/>
    <w:rsid w:val="47502C34"/>
    <w:rsid w:val="47536552"/>
    <w:rsid w:val="47571308"/>
    <w:rsid w:val="47577C78"/>
    <w:rsid w:val="475B7A87"/>
    <w:rsid w:val="47641BBA"/>
    <w:rsid w:val="47643C7B"/>
    <w:rsid w:val="476D18FE"/>
    <w:rsid w:val="4771071A"/>
    <w:rsid w:val="47717EB5"/>
    <w:rsid w:val="47723ABC"/>
    <w:rsid w:val="477838BD"/>
    <w:rsid w:val="47A113F7"/>
    <w:rsid w:val="47A477BE"/>
    <w:rsid w:val="47AD2D46"/>
    <w:rsid w:val="47AD3C04"/>
    <w:rsid w:val="47C4505B"/>
    <w:rsid w:val="47C56083"/>
    <w:rsid w:val="47C931FF"/>
    <w:rsid w:val="47CA16E7"/>
    <w:rsid w:val="47D93702"/>
    <w:rsid w:val="47E32C0C"/>
    <w:rsid w:val="47E40BA9"/>
    <w:rsid w:val="47EC18AB"/>
    <w:rsid w:val="47F306E7"/>
    <w:rsid w:val="47F508D6"/>
    <w:rsid w:val="47F7289F"/>
    <w:rsid w:val="48062B15"/>
    <w:rsid w:val="480A5DF7"/>
    <w:rsid w:val="481A14B1"/>
    <w:rsid w:val="481D2907"/>
    <w:rsid w:val="482310B8"/>
    <w:rsid w:val="48233009"/>
    <w:rsid w:val="48270AB4"/>
    <w:rsid w:val="484C0768"/>
    <w:rsid w:val="484C75F2"/>
    <w:rsid w:val="484D36E3"/>
    <w:rsid w:val="484D71E0"/>
    <w:rsid w:val="48515B17"/>
    <w:rsid w:val="485216E6"/>
    <w:rsid w:val="4852697C"/>
    <w:rsid w:val="4854064F"/>
    <w:rsid w:val="485633DE"/>
    <w:rsid w:val="48576D3B"/>
    <w:rsid w:val="485E2F72"/>
    <w:rsid w:val="48697684"/>
    <w:rsid w:val="486D73BC"/>
    <w:rsid w:val="48745650"/>
    <w:rsid w:val="48747251"/>
    <w:rsid w:val="487565D5"/>
    <w:rsid w:val="48761CDD"/>
    <w:rsid w:val="487D5ACA"/>
    <w:rsid w:val="487F0B87"/>
    <w:rsid w:val="488033E4"/>
    <w:rsid w:val="48833564"/>
    <w:rsid w:val="488345BD"/>
    <w:rsid w:val="48884507"/>
    <w:rsid w:val="4889199F"/>
    <w:rsid w:val="488C60AF"/>
    <w:rsid w:val="48952EC9"/>
    <w:rsid w:val="48981BB3"/>
    <w:rsid w:val="489B5DB3"/>
    <w:rsid w:val="48A205AA"/>
    <w:rsid w:val="48A2523B"/>
    <w:rsid w:val="48B037A1"/>
    <w:rsid w:val="48B82F78"/>
    <w:rsid w:val="48BD6512"/>
    <w:rsid w:val="48BE60F0"/>
    <w:rsid w:val="48C208A7"/>
    <w:rsid w:val="48C4093B"/>
    <w:rsid w:val="48CC27C2"/>
    <w:rsid w:val="48CD21A8"/>
    <w:rsid w:val="48D13921"/>
    <w:rsid w:val="48D71360"/>
    <w:rsid w:val="48E16542"/>
    <w:rsid w:val="48E21116"/>
    <w:rsid w:val="48E43B0D"/>
    <w:rsid w:val="48E82F63"/>
    <w:rsid w:val="48EE084A"/>
    <w:rsid w:val="48EE094E"/>
    <w:rsid w:val="48F63655"/>
    <w:rsid w:val="48F644C0"/>
    <w:rsid w:val="4903356A"/>
    <w:rsid w:val="490725CF"/>
    <w:rsid w:val="49192C24"/>
    <w:rsid w:val="491D2AE3"/>
    <w:rsid w:val="49212655"/>
    <w:rsid w:val="493F4CB3"/>
    <w:rsid w:val="4941541E"/>
    <w:rsid w:val="4942586A"/>
    <w:rsid w:val="49443AA4"/>
    <w:rsid w:val="494728D7"/>
    <w:rsid w:val="49512D0C"/>
    <w:rsid w:val="49524E19"/>
    <w:rsid w:val="49550428"/>
    <w:rsid w:val="495B4F30"/>
    <w:rsid w:val="49652F7B"/>
    <w:rsid w:val="49704481"/>
    <w:rsid w:val="4975322A"/>
    <w:rsid w:val="4976589F"/>
    <w:rsid w:val="497939FB"/>
    <w:rsid w:val="497E1C96"/>
    <w:rsid w:val="498367B9"/>
    <w:rsid w:val="4984066A"/>
    <w:rsid w:val="499A514A"/>
    <w:rsid w:val="499B65FE"/>
    <w:rsid w:val="49A0329F"/>
    <w:rsid w:val="49A4062D"/>
    <w:rsid w:val="49A74582"/>
    <w:rsid w:val="49AA1C33"/>
    <w:rsid w:val="49AD51D4"/>
    <w:rsid w:val="49B82D35"/>
    <w:rsid w:val="49B97D27"/>
    <w:rsid w:val="49BB48A4"/>
    <w:rsid w:val="49BC54C3"/>
    <w:rsid w:val="49BD1725"/>
    <w:rsid w:val="49BE3444"/>
    <w:rsid w:val="49BE419C"/>
    <w:rsid w:val="49C31876"/>
    <w:rsid w:val="49CC09F7"/>
    <w:rsid w:val="49D37B43"/>
    <w:rsid w:val="49D431AD"/>
    <w:rsid w:val="49DC6A01"/>
    <w:rsid w:val="49E85300"/>
    <w:rsid w:val="49EF00B3"/>
    <w:rsid w:val="49EF5898"/>
    <w:rsid w:val="49F3532E"/>
    <w:rsid w:val="4A0335F4"/>
    <w:rsid w:val="4A0536CF"/>
    <w:rsid w:val="4A0856E1"/>
    <w:rsid w:val="4A0B1594"/>
    <w:rsid w:val="4A125F02"/>
    <w:rsid w:val="4A1B791E"/>
    <w:rsid w:val="4A215D8D"/>
    <w:rsid w:val="4A2231B7"/>
    <w:rsid w:val="4A2420E4"/>
    <w:rsid w:val="4A281305"/>
    <w:rsid w:val="4A28756B"/>
    <w:rsid w:val="4A2A204F"/>
    <w:rsid w:val="4A2A551A"/>
    <w:rsid w:val="4A2E487F"/>
    <w:rsid w:val="4A351B6D"/>
    <w:rsid w:val="4A353E46"/>
    <w:rsid w:val="4A3F0F81"/>
    <w:rsid w:val="4A3F645F"/>
    <w:rsid w:val="4A495518"/>
    <w:rsid w:val="4A4A101D"/>
    <w:rsid w:val="4A4A2F07"/>
    <w:rsid w:val="4A4E3855"/>
    <w:rsid w:val="4A577DAC"/>
    <w:rsid w:val="4A58325F"/>
    <w:rsid w:val="4A5D3923"/>
    <w:rsid w:val="4A626CDA"/>
    <w:rsid w:val="4A680C90"/>
    <w:rsid w:val="4A8130E0"/>
    <w:rsid w:val="4A834233"/>
    <w:rsid w:val="4A835DFF"/>
    <w:rsid w:val="4A8B129B"/>
    <w:rsid w:val="4A8C758B"/>
    <w:rsid w:val="4A8D3238"/>
    <w:rsid w:val="4A963684"/>
    <w:rsid w:val="4A98411A"/>
    <w:rsid w:val="4AA018E5"/>
    <w:rsid w:val="4AA21396"/>
    <w:rsid w:val="4AA77375"/>
    <w:rsid w:val="4AAA603E"/>
    <w:rsid w:val="4AAA6AC3"/>
    <w:rsid w:val="4AAE56C4"/>
    <w:rsid w:val="4AB3002E"/>
    <w:rsid w:val="4AB76BD1"/>
    <w:rsid w:val="4AB840ED"/>
    <w:rsid w:val="4AC06F02"/>
    <w:rsid w:val="4AC35DE1"/>
    <w:rsid w:val="4AC97AEB"/>
    <w:rsid w:val="4ACA31A4"/>
    <w:rsid w:val="4ACB645E"/>
    <w:rsid w:val="4AD933DC"/>
    <w:rsid w:val="4AE0491C"/>
    <w:rsid w:val="4AE575A4"/>
    <w:rsid w:val="4AE65DF2"/>
    <w:rsid w:val="4AE7656F"/>
    <w:rsid w:val="4AEC002A"/>
    <w:rsid w:val="4AEC19A2"/>
    <w:rsid w:val="4AEC7724"/>
    <w:rsid w:val="4AF33166"/>
    <w:rsid w:val="4B026CA3"/>
    <w:rsid w:val="4B157580"/>
    <w:rsid w:val="4B161358"/>
    <w:rsid w:val="4B22408F"/>
    <w:rsid w:val="4B2652EA"/>
    <w:rsid w:val="4B2A4E17"/>
    <w:rsid w:val="4B3723B1"/>
    <w:rsid w:val="4B3840A4"/>
    <w:rsid w:val="4B4659D9"/>
    <w:rsid w:val="4B553081"/>
    <w:rsid w:val="4B582D53"/>
    <w:rsid w:val="4B6010CC"/>
    <w:rsid w:val="4B6F44F5"/>
    <w:rsid w:val="4B723675"/>
    <w:rsid w:val="4B7645F1"/>
    <w:rsid w:val="4B801781"/>
    <w:rsid w:val="4B925D3C"/>
    <w:rsid w:val="4B9462D2"/>
    <w:rsid w:val="4B9D6640"/>
    <w:rsid w:val="4BA72908"/>
    <w:rsid w:val="4BAB6053"/>
    <w:rsid w:val="4BB752CB"/>
    <w:rsid w:val="4BBA394F"/>
    <w:rsid w:val="4BBB5FF0"/>
    <w:rsid w:val="4BC226BA"/>
    <w:rsid w:val="4BD87959"/>
    <w:rsid w:val="4BD905AE"/>
    <w:rsid w:val="4BDB5933"/>
    <w:rsid w:val="4BE07B8E"/>
    <w:rsid w:val="4BE5384F"/>
    <w:rsid w:val="4BE81D25"/>
    <w:rsid w:val="4BEA5A65"/>
    <w:rsid w:val="4C015CE5"/>
    <w:rsid w:val="4C03562B"/>
    <w:rsid w:val="4C053861"/>
    <w:rsid w:val="4C0A0997"/>
    <w:rsid w:val="4C1621F8"/>
    <w:rsid w:val="4C2971B3"/>
    <w:rsid w:val="4C4A33BA"/>
    <w:rsid w:val="4C572146"/>
    <w:rsid w:val="4C62110E"/>
    <w:rsid w:val="4C6F0F2E"/>
    <w:rsid w:val="4C786216"/>
    <w:rsid w:val="4C7B0BBA"/>
    <w:rsid w:val="4C7C74AD"/>
    <w:rsid w:val="4C7E2EC0"/>
    <w:rsid w:val="4C7F17DB"/>
    <w:rsid w:val="4C804EDD"/>
    <w:rsid w:val="4C850611"/>
    <w:rsid w:val="4C891FD4"/>
    <w:rsid w:val="4C8E331F"/>
    <w:rsid w:val="4C8F240F"/>
    <w:rsid w:val="4C925FDC"/>
    <w:rsid w:val="4C927406"/>
    <w:rsid w:val="4C951AAA"/>
    <w:rsid w:val="4C956F98"/>
    <w:rsid w:val="4C965495"/>
    <w:rsid w:val="4C9C37DC"/>
    <w:rsid w:val="4CA0513E"/>
    <w:rsid w:val="4CA82907"/>
    <w:rsid w:val="4CAF0A3F"/>
    <w:rsid w:val="4CB6521C"/>
    <w:rsid w:val="4CC07B16"/>
    <w:rsid w:val="4CC4452E"/>
    <w:rsid w:val="4CCC7A70"/>
    <w:rsid w:val="4CCE615D"/>
    <w:rsid w:val="4CD75C9B"/>
    <w:rsid w:val="4CD8053D"/>
    <w:rsid w:val="4CE0771A"/>
    <w:rsid w:val="4CE15EBE"/>
    <w:rsid w:val="4CE24E82"/>
    <w:rsid w:val="4CE65B9E"/>
    <w:rsid w:val="4CE85285"/>
    <w:rsid w:val="4D002440"/>
    <w:rsid w:val="4D0F49C6"/>
    <w:rsid w:val="4D164C16"/>
    <w:rsid w:val="4D3A507C"/>
    <w:rsid w:val="4D423F8D"/>
    <w:rsid w:val="4D464617"/>
    <w:rsid w:val="4D481F81"/>
    <w:rsid w:val="4D4D3AC4"/>
    <w:rsid w:val="4D6422CE"/>
    <w:rsid w:val="4D6457F8"/>
    <w:rsid w:val="4D6F0825"/>
    <w:rsid w:val="4D765E90"/>
    <w:rsid w:val="4D79793A"/>
    <w:rsid w:val="4D7B0DE2"/>
    <w:rsid w:val="4D7C38CE"/>
    <w:rsid w:val="4D7F0282"/>
    <w:rsid w:val="4D7F3E2F"/>
    <w:rsid w:val="4D883E68"/>
    <w:rsid w:val="4D8B36C9"/>
    <w:rsid w:val="4D8D4AEA"/>
    <w:rsid w:val="4D8E0619"/>
    <w:rsid w:val="4D935985"/>
    <w:rsid w:val="4D94292A"/>
    <w:rsid w:val="4D971655"/>
    <w:rsid w:val="4D9726C9"/>
    <w:rsid w:val="4D974044"/>
    <w:rsid w:val="4D9A0E92"/>
    <w:rsid w:val="4DA5163C"/>
    <w:rsid w:val="4DA71108"/>
    <w:rsid w:val="4DAF1937"/>
    <w:rsid w:val="4DB60D55"/>
    <w:rsid w:val="4DB72B71"/>
    <w:rsid w:val="4DB94512"/>
    <w:rsid w:val="4DC26E44"/>
    <w:rsid w:val="4DC2732D"/>
    <w:rsid w:val="4DD5457B"/>
    <w:rsid w:val="4DD86EB1"/>
    <w:rsid w:val="4DDD5BDB"/>
    <w:rsid w:val="4DDD67FA"/>
    <w:rsid w:val="4DE034A0"/>
    <w:rsid w:val="4DED16FF"/>
    <w:rsid w:val="4DF02E3D"/>
    <w:rsid w:val="4DF92F05"/>
    <w:rsid w:val="4DFE612C"/>
    <w:rsid w:val="4E024E30"/>
    <w:rsid w:val="4E046CBF"/>
    <w:rsid w:val="4E062567"/>
    <w:rsid w:val="4E084842"/>
    <w:rsid w:val="4E1C2A26"/>
    <w:rsid w:val="4E241889"/>
    <w:rsid w:val="4E333460"/>
    <w:rsid w:val="4E3407C4"/>
    <w:rsid w:val="4E3E1313"/>
    <w:rsid w:val="4E40739F"/>
    <w:rsid w:val="4E416FD6"/>
    <w:rsid w:val="4E462BDB"/>
    <w:rsid w:val="4E472DE4"/>
    <w:rsid w:val="4E487C6D"/>
    <w:rsid w:val="4E4B07FF"/>
    <w:rsid w:val="4E4C150B"/>
    <w:rsid w:val="4E5351F5"/>
    <w:rsid w:val="4E5B1487"/>
    <w:rsid w:val="4E5B2789"/>
    <w:rsid w:val="4E5D0C0D"/>
    <w:rsid w:val="4E5E0AF6"/>
    <w:rsid w:val="4E5F3AFC"/>
    <w:rsid w:val="4E661B02"/>
    <w:rsid w:val="4E670D00"/>
    <w:rsid w:val="4E6B6CEB"/>
    <w:rsid w:val="4E6C7274"/>
    <w:rsid w:val="4E707558"/>
    <w:rsid w:val="4E713825"/>
    <w:rsid w:val="4E7C3A25"/>
    <w:rsid w:val="4E803BC9"/>
    <w:rsid w:val="4E8611FF"/>
    <w:rsid w:val="4E864B8C"/>
    <w:rsid w:val="4E8C4A83"/>
    <w:rsid w:val="4E8F777B"/>
    <w:rsid w:val="4E9257F6"/>
    <w:rsid w:val="4E930668"/>
    <w:rsid w:val="4E9355B1"/>
    <w:rsid w:val="4EA45F3C"/>
    <w:rsid w:val="4EA472EE"/>
    <w:rsid w:val="4EA73F0F"/>
    <w:rsid w:val="4EA74DC1"/>
    <w:rsid w:val="4EAC6F98"/>
    <w:rsid w:val="4EBA0122"/>
    <w:rsid w:val="4EC84A57"/>
    <w:rsid w:val="4ED223D5"/>
    <w:rsid w:val="4EE15FA0"/>
    <w:rsid w:val="4EE76D77"/>
    <w:rsid w:val="4EF00800"/>
    <w:rsid w:val="4EF0584B"/>
    <w:rsid w:val="4EF363EE"/>
    <w:rsid w:val="4EF93FB4"/>
    <w:rsid w:val="4F012C39"/>
    <w:rsid w:val="4F014124"/>
    <w:rsid w:val="4F0819F7"/>
    <w:rsid w:val="4F0C4DBB"/>
    <w:rsid w:val="4F10342B"/>
    <w:rsid w:val="4F112640"/>
    <w:rsid w:val="4F16653C"/>
    <w:rsid w:val="4F2054E7"/>
    <w:rsid w:val="4F292066"/>
    <w:rsid w:val="4F2A722C"/>
    <w:rsid w:val="4F2B64B3"/>
    <w:rsid w:val="4F4A2A0E"/>
    <w:rsid w:val="4F4D205C"/>
    <w:rsid w:val="4F4D54D4"/>
    <w:rsid w:val="4F4E2E4C"/>
    <w:rsid w:val="4F594BAC"/>
    <w:rsid w:val="4F671E21"/>
    <w:rsid w:val="4F691296"/>
    <w:rsid w:val="4F8E2E7F"/>
    <w:rsid w:val="4F934F18"/>
    <w:rsid w:val="4F9543D7"/>
    <w:rsid w:val="4F974400"/>
    <w:rsid w:val="4F9E1C40"/>
    <w:rsid w:val="4FA9337C"/>
    <w:rsid w:val="4FAA38E1"/>
    <w:rsid w:val="4FAA74BC"/>
    <w:rsid w:val="4FAD21A0"/>
    <w:rsid w:val="4FB22A89"/>
    <w:rsid w:val="4FB57A92"/>
    <w:rsid w:val="4FC14970"/>
    <w:rsid w:val="4FCE645E"/>
    <w:rsid w:val="4FD67164"/>
    <w:rsid w:val="4FD71B2F"/>
    <w:rsid w:val="4FD73749"/>
    <w:rsid w:val="4FDB79AB"/>
    <w:rsid w:val="4FE1143A"/>
    <w:rsid w:val="4FE575B6"/>
    <w:rsid w:val="4FE867DD"/>
    <w:rsid w:val="4FE8695D"/>
    <w:rsid w:val="4FEB1DB9"/>
    <w:rsid w:val="4FF4485A"/>
    <w:rsid w:val="4FFC0D0F"/>
    <w:rsid w:val="4FFE76BD"/>
    <w:rsid w:val="50081C01"/>
    <w:rsid w:val="500E68FD"/>
    <w:rsid w:val="501A4078"/>
    <w:rsid w:val="501D0D0A"/>
    <w:rsid w:val="50244588"/>
    <w:rsid w:val="5030075B"/>
    <w:rsid w:val="503E30D6"/>
    <w:rsid w:val="503F01B6"/>
    <w:rsid w:val="50453479"/>
    <w:rsid w:val="50487AB0"/>
    <w:rsid w:val="504B27F5"/>
    <w:rsid w:val="504F0A10"/>
    <w:rsid w:val="50511EA4"/>
    <w:rsid w:val="50554797"/>
    <w:rsid w:val="5055503F"/>
    <w:rsid w:val="505D3259"/>
    <w:rsid w:val="50691FB3"/>
    <w:rsid w:val="50735831"/>
    <w:rsid w:val="50832FD2"/>
    <w:rsid w:val="508B24C2"/>
    <w:rsid w:val="508C79B4"/>
    <w:rsid w:val="508F7B66"/>
    <w:rsid w:val="50934B61"/>
    <w:rsid w:val="509476F6"/>
    <w:rsid w:val="509A1CAD"/>
    <w:rsid w:val="509D475A"/>
    <w:rsid w:val="509E55BE"/>
    <w:rsid w:val="50A60630"/>
    <w:rsid w:val="50A92B77"/>
    <w:rsid w:val="50C64757"/>
    <w:rsid w:val="50CA2058"/>
    <w:rsid w:val="50CB2D47"/>
    <w:rsid w:val="50D328B1"/>
    <w:rsid w:val="50DD67EB"/>
    <w:rsid w:val="50E13959"/>
    <w:rsid w:val="50E13A61"/>
    <w:rsid w:val="50EA7ABA"/>
    <w:rsid w:val="50FC64B5"/>
    <w:rsid w:val="51030E69"/>
    <w:rsid w:val="51031C29"/>
    <w:rsid w:val="51067E2B"/>
    <w:rsid w:val="51090CE9"/>
    <w:rsid w:val="510C3DED"/>
    <w:rsid w:val="510D390E"/>
    <w:rsid w:val="510D63CE"/>
    <w:rsid w:val="510F3210"/>
    <w:rsid w:val="5110210C"/>
    <w:rsid w:val="511205ED"/>
    <w:rsid w:val="51154A22"/>
    <w:rsid w:val="51172734"/>
    <w:rsid w:val="51196AD5"/>
    <w:rsid w:val="511E35EB"/>
    <w:rsid w:val="51236638"/>
    <w:rsid w:val="51256043"/>
    <w:rsid w:val="5127138F"/>
    <w:rsid w:val="51383285"/>
    <w:rsid w:val="513E437B"/>
    <w:rsid w:val="513E6216"/>
    <w:rsid w:val="51420AA3"/>
    <w:rsid w:val="514A0F0E"/>
    <w:rsid w:val="51517DBD"/>
    <w:rsid w:val="51526BA7"/>
    <w:rsid w:val="51622DF4"/>
    <w:rsid w:val="517A44BB"/>
    <w:rsid w:val="517D5E7F"/>
    <w:rsid w:val="51852F7E"/>
    <w:rsid w:val="5186564C"/>
    <w:rsid w:val="51944855"/>
    <w:rsid w:val="51A03425"/>
    <w:rsid w:val="51A10EB8"/>
    <w:rsid w:val="51A673D8"/>
    <w:rsid w:val="51A7579F"/>
    <w:rsid w:val="51AB3A0D"/>
    <w:rsid w:val="51AE4770"/>
    <w:rsid w:val="51AF183E"/>
    <w:rsid w:val="51B5452F"/>
    <w:rsid w:val="51B70B81"/>
    <w:rsid w:val="51BD627C"/>
    <w:rsid w:val="51CE4776"/>
    <w:rsid w:val="51CF0430"/>
    <w:rsid w:val="51DD2D41"/>
    <w:rsid w:val="51E01C58"/>
    <w:rsid w:val="51E5197A"/>
    <w:rsid w:val="51E92E1B"/>
    <w:rsid w:val="51EE28D9"/>
    <w:rsid w:val="51F53F42"/>
    <w:rsid w:val="51F772D6"/>
    <w:rsid w:val="51F812E3"/>
    <w:rsid w:val="51FC2C95"/>
    <w:rsid w:val="52060743"/>
    <w:rsid w:val="520D024C"/>
    <w:rsid w:val="520D4383"/>
    <w:rsid w:val="5212481A"/>
    <w:rsid w:val="52140592"/>
    <w:rsid w:val="5217277F"/>
    <w:rsid w:val="521C1CD2"/>
    <w:rsid w:val="52287B99"/>
    <w:rsid w:val="52292192"/>
    <w:rsid w:val="522F4CFE"/>
    <w:rsid w:val="52393747"/>
    <w:rsid w:val="523F279B"/>
    <w:rsid w:val="52407CBD"/>
    <w:rsid w:val="52495D62"/>
    <w:rsid w:val="524D13AE"/>
    <w:rsid w:val="524E3A45"/>
    <w:rsid w:val="52500B67"/>
    <w:rsid w:val="52584348"/>
    <w:rsid w:val="52601648"/>
    <w:rsid w:val="526160CB"/>
    <w:rsid w:val="5263665F"/>
    <w:rsid w:val="52652009"/>
    <w:rsid w:val="52656676"/>
    <w:rsid w:val="526B59BC"/>
    <w:rsid w:val="52703130"/>
    <w:rsid w:val="52792B35"/>
    <w:rsid w:val="52811298"/>
    <w:rsid w:val="528E4742"/>
    <w:rsid w:val="529213C3"/>
    <w:rsid w:val="529349BF"/>
    <w:rsid w:val="52A04EE9"/>
    <w:rsid w:val="52A176C7"/>
    <w:rsid w:val="52A222A8"/>
    <w:rsid w:val="52A92BF7"/>
    <w:rsid w:val="52A9483A"/>
    <w:rsid w:val="52B023B2"/>
    <w:rsid w:val="52CB118B"/>
    <w:rsid w:val="52D16462"/>
    <w:rsid w:val="52D663B8"/>
    <w:rsid w:val="52DE6068"/>
    <w:rsid w:val="52E06EF1"/>
    <w:rsid w:val="52E114A9"/>
    <w:rsid w:val="52E92F06"/>
    <w:rsid w:val="52EB2ADA"/>
    <w:rsid w:val="530A729F"/>
    <w:rsid w:val="53176B7B"/>
    <w:rsid w:val="531C1C6D"/>
    <w:rsid w:val="531C6D53"/>
    <w:rsid w:val="531E66F5"/>
    <w:rsid w:val="53254FC2"/>
    <w:rsid w:val="532E5BC4"/>
    <w:rsid w:val="532F31A9"/>
    <w:rsid w:val="53311173"/>
    <w:rsid w:val="53344100"/>
    <w:rsid w:val="533472B4"/>
    <w:rsid w:val="53365FF0"/>
    <w:rsid w:val="5339727F"/>
    <w:rsid w:val="533C1AC2"/>
    <w:rsid w:val="5340543E"/>
    <w:rsid w:val="534227E1"/>
    <w:rsid w:val="534248D2"/>
    <w:rsid w:val="53433796"/>
    <w:rsid w:val="53461A44"/>
    <w:rsid w:val="534B7F1A"/>
    <w:rsid w:val="53542C10"/>
    <w:rsid w:val="535A6478"/>
    <w:rsid w:val="5368057D"/>
    <w:rsid w:val="536C7C6B"/>
    <w:rsid w:val="5372473F"/>
    <w:rsid w:val="53747117"/>
    <w:rsid w:val="537C6297"/>
    <w:rsid w:val="537D061F"/>
    <w:rsid w:val="5380421E"/>
    <w:rsid w:val="53833E8E"/>
    <w:rsid w:val="53844873"/>
    <w:rsid w:val="539D09BF"/>
    <w:rsid w:val="539E7612"/>
    <w:rsid w:val="53A17D59"/>
    <w:rsid w:val="53A550B6"/>
    <w:rsid w:val="53A771E4"/>
    <w:rsid w:val="53AC31DE"/>
    <w:rsid w:val="53B66053"/>
    <w:rsid w:val="53B9306E"/>
    <w:rsid w:val="53B979EB"/>
    <w:rsid w:val="53BD53B0"/>
    <w:rsid w:val="53C06877"/>
    <w:rsid w:val="53C44B1A"/>
    <w:rsid w:val="53CF6FA7"/>
    <w:rsid w:val="53D13BDA"/>
    <w:rsid w:val="53DB1453"/>
    <w:rsid w:val="53DD4C2D"/>
    <w:rsid w:val="53E71813"/>
    <w:rsid w:val="53EA00FD"/>
    <w:rsid w:val="53FA41CE"/>
    <w:rsid w:val="540E42EF"/>
    <w:rsid w:val="54106745"/>
    <w:rsid w:val="541D48AF"/>
    <w:rsid w:val="541F624A"/>
    <w:rsid w:val="5420094E"/>
    <w:rsid w:val="54291976"/>
    <w:rsid w:val="542E1A5D"/>
    <w:rsid w:val="542E29FA"/>
    <w:rsid w:val="5435005D"/>
    <w:rsid w:val="54387E3C"/>
    <w:rsid w:val="543E4779"/>
    <w:rsid w:val="544319C1"/>
    <w:rsid w:val="546C4517"/>
    <w:rsid w:val="54736F70"/>
    <w:rsid w:val="54877ACD"/>
    <w:rsid w:val="54880404"/>
    <w:rsid w:val="548E2032"/>
    <w:rsid w:val="54906F17"/>
    <w:rsid w:val="54926B83"/>
    <w:rsid w:val="549C5F3C"/>
    <w:rsid w:val="549E2C9A"/>
    <w:rsid w:val="54A218E0"/>
    <w:rsid w:val="54A45824"/>
    <w:rsid w:val="54AA6F8B"/>
    <w:rsid w:val="54AB5B02"/>
    <w:rsid w:val="54B4023E"/>
    <w:rsid w:val="54B55930"/>
    <w:rsid w:val="54B716A8"/>
    <w:rsid w:val="54C00FA4"/>
    <w:rsid w:val="54C11019"/>
    <w:rsid w:val="54C360A4"/>
    <w:rsid w:val="54C42DFE"/>
    <w:rsid w:val="54CA7E6E"/>
    <w:rsid w:val="54D12267"/>
    <w:rsid w:val="54DF1FEC"/>
    <w:rsid w:val="54DF34A6"/>
    <w:rsid w:val="54E2477F"/>
    <w:rsid w:val="54EB5204"/>
    <w:rsid w:val="54EF4AAC"/>
    <w:rsid w:val="54F07E95"/>
    <w:rsid w:val="550E098F"/>
    <w:rsid w:val="550F7266"/>
    <w:rsid w:val="551220E6"/>
    <w:rsid w:val="5513726A"/>
    <w:rsid w:val="551B4AD9"/>
    <w:rsid w:val="551F1164"/>
    <w:rsid w:val="55205FDE"/>
    <w:rsid w:val="55260E38"/>
    <w:rsid w:val="55284354"/>
    <w:rsid w:val="552B4D1F"/>
    <w:rsid w:val="552E4068"/>
    <w:rsid w:val="552E5882"/>
    <w:rsid w:val="552F0FF8"/>
    <w:rsid w:val="553834A6"/>
    <w:rsid w:val="554262DA"/>
    <w:rsid w:val="554455EE"/>
    <w:rsid w:val="55453AC3"/>
    <w:rsid w:val="554723C4"/>
    <w:rsid w:val="55496AAC"/>
    <w:rsid w:val="55503476"/>
    <w:rsid w:val="55561FDA"/>
    <w:rsid w:val="55562C1B"/>
    <w:rsid w:val="55590D16"/>
    <w:rsid w:val="555C27CF"/>
    <w:rsid w:val="55674E7D"/>
    <w:rsid w:val="556D4EFF"/>
    <w:rsid w:val="55702D78"/>
    <w:rsid w:val="55713A07"/>
    <w:rsid w:val="557C71F9"/>
    <w:rsid w:val="558025D6"/>
    <w:rsid w:val="55832828"/>
    <w:rsid w:val="558452A2"/>
    <w:rsid w:val="55866C75"/>
    <w:rsid w:val="559408CE"/>
    <w:rsid w:val="55971D20"/>
    <w:rsid w:val="55A45E33"/>
    <w:rsid w:val="55A84D94"/>
    <w:rsid w:val="55B10AB3"/>
    <w:rsid w:val="55B327C5"/>
    <w:rsid w:val="55B4733C"/>
    <w:rsid w:val="55B96784"/>
    <w:rsid w:val="55BB1AB9"/>
    <w:rsid w:val="55BD33F5"/>
    <w:rsid w:val="55C12EFE"/>
    <w:rsid w:val="55C33503"/>
    <w:rsid w:val="55C73976"/>
    <w:rsid w:val="55CB0B45"/>
    <w:rsid w:val="55CD0A90"/>
    <w:rsid w:val="55CF1CD0"/>
    <w:rsid w:val="55DF4956"/>
    <w:rsid w:val="55E069DD"/>
    <w:rsid w:val="55E2775C"/>
    <w:rsid w:val="55F860B4"/>
    <w:rsid w:val="55F860D6"/>
    <w:rsid w:val="55FE377C"/>
    <w:rsid w:val="5602771E"/>
    <w:rsid w:val="56057F4D"/>
    <w:rsid w:val="560C36D0"/>
    <w:rsid w:val="560C3C75"/>
    <w:rsid w:val="560E1B43"/>
    <w:rsid w:val="56121D37"/>
    <w:rsid w:val="56167959"/>
    <w:rsid w:val="561A1E51"/>
    <w:rsid w:val="561E39EC"/>
    <w:rsid w:val="56222892"/>
    <w:rsid w:val="56243838"/>
    <w:rsid w:val="562E2A72"/>
    <w:rsid w:val="562E5EA7"/>
    <w:rsid w:val="56342EC1"/>
    <w:rsid w:val="56350AD7"/>
    <w:rsid w:val="563D643E"/>
    <w:rsid w:val="56406905"/>
    <w:rsid w:val="564754BF"/>
    <w:rsid w:val="56491B68"/>
    <w:rsid w:val="564B5400"/>
    <w:rsid w:val="564E491C"/>
    <w:rsid w:val="56504935"/>
    <w:rsid w:val="56532AA2"/>
    <w:rsid w:val="56592DF1"/>
    <w:rsid w:val="565A22EB"/>
    <w:rsid w:val="56602CF9"/>
    <w:rsid w:val="566E686A"/>
    <w:rsid w:val="567517E7"/>
    <w:rsid w:val="56766BB5"/>
    <w:rsid w:val="567C719B"/>
    <w:rsid w:val="56804250"/>
    <w:rsid w:val="56826BB0"/>
    <w:rsid w:val="56934101"/>
    <w:rsid w:val="569D62EC"/>
    <w:rsid w:val="56AA58EC"/>
    <w:rsid w:val="56AC53B6"/>
    <w:rsid w:val="56B82D5F"/>
    <w:rsid w:val="56C92726"/>
    <w:rsid w:val="56CA56C3"/>
    <w:rsid w:val="56CB747D"/>
    <w:rsid w:val="56CC1025"/>
    <w:rsid w:val="56CF0F2B"/>
    <w:rsid w:val="56D0702A"/>
    <w:rsid w:val="56D107A3"/>
    <w:rsid w:val="56D75F10"/>
    <w:rsid w:val="56DC5A53"/>
    <w:rsid w:val="56E20180"/>
    <w:rsid w:val="56E26525"/>
    <w:rsid w:val="56EA79F3"/>
    <w:rsid w:val="56EE0AFE"/>
    <w:rsid w:val="56F94902"/>
    <w:rsid w:val="56F95387"/>
    <w:rsid w:val="56F95FA8"/>
    <w:rsid w:val="57072BD8"/>
    <w:rsid w:val="570A0099"/>
    <w:rsid w:val="570C0E1F"/>
    <w:rsid w:val="570C4269"/>
    <w:rsid w:val="570C4522"/>
    <w:rsid w:val="570C71A0"/>
    <w:rsid w:val="5710792F"/>
    <w:rsid w:val="5716106B"/>
    <w:rsid w:val="571A50BB"/>
    <w:rsid w:val="571C050D"/>
    <w:rsid w:val="571F140D"/>
    <w:rsid w:val="571F4A7E"/>
    <w:rsid w:val="57230E7B"/>
    <w:rsid w:val="572511AF"/>
    <w:rsid w:val="5726041F"/>
    <w:rsid w:val="5730176E"/>
    <w:rsid w:val="57334822"/>
    <w:rsid w:val="574053DD"/>
    <w:rsid w:val="574310C1"/>
    <w:rsid w:val="574C0DBA"/>
    <w:rsid w:val="57523590"/>
    <w:rsid w:val="57584D33"/>
    <w:rsid w:val="576169F2"/>
    <w:rsid w:val="57631674"/>
    <w:rsid w:val="576343BE"/>
    <w:rsid w:val="57647C5C"/>
    <w:rsid w:val="57655762"/>
    <w:rsid w:val="57671164"/>
    <w:rsid w:val="576C2E26"/>
    <w:rsid w:val="5774772D"/>
    <w:rsid w:val="577653C2"/>
    <w:rsid w:val="577D1680"/>
    <w:rsid w:val="577E2F3F"/>
    <w:rsid w:val="57805AF1"/>
    <w:rsid w:val="5780637F"/>
    <w:rsid w:val="578266F6"/>
    <w:rsid w:val="5783783F"/>
    <w:rsid w:val="579A4F94"/>
    <w:rsid w:val="57A06D04"/>
    <w:rsid w:val="57A504D8"/>
    <w:rsid w:val="57AC6B77"/>
    <w:rsid w:val="57AF76F1"/>
    <w:rsid w:val="57B629CF"/>
    <w:rsid w:val="57B63713"/>
    <w:rsid w:val="57B97CE8"/>
    <w:rsid w:val="57C01511"/>
    <w:rsid w:val="57C44E4E"/>
    <w:rsid w:val="57CE5193"/>
    <w:rsid w:val="57CF75F1"/>
    <w:rsid w:val="57D01635"/>
    <w:rsid w:val="57D222CD"/>
    <w:rsid w:val="57D37863"/>
    <w:rsid w:val="57D6190D"/>
    <w:rsid w:val="57DD0571"/>
    <w:rsid w:val="57E1604D"/>
    <w:rsid w:val="57E66F99"/>
    <w:rsid w:val="57F1517E"/>
    <w:rsid w:val="57F42D4B"/>
    <w:rsid w:val="57FA6187"/>
    <w:rsid w:val="57FE3992"/>
    <w:rsid w:val="58035075"/>
    <w:rsid w:val="580F1627"/>
    <w:rsid w:val="58123DB4"/>
    <w:rsid w:val="581A5CC0"/>
    <w:rsid w:val="581A61D6"/>
    <w:rsid w:val="581A7F84"/>
    <w:rsid w:val="581B0D4D"/>
    <w:rsid w:val="5820410A"/>
    <w:rsid w:val="582270EA"/>
    <w:rsid w:val="582E5452"/>
    <w:rsid w:val="58363FBA"/>
    <w:rsid w:val="583E06A5"/>
    <w:rsid w:val="58402F4C"/>
    <w:rsid w:val="5840683F"/>
    <w:rsid w:val="58407472"/>
    <w:rsid w:val="58473C05"/>
    <w:rsid w:val="58517E84"/>
    <w:rsid w:val="58601C45"/>
    <w:rsid w:val="586045B2"/>
    <w:rsid w:val="58621DB6"/>
    <w:rsid w:val="58635F96"/>
    <w:rsid w:val="58667140"/>
    <w:rsid w:val="58684412"/>
    <w:rsid w:val="58734218"/>
    <w:rsid w:val="58734EE8"/>
    <w:rsid w:val="5875165E"/>
    <w:rsid w:val="587578B0"/>
    <w:rsid w:val="58797795"/>
    <w:rsid w:val="587C5421"/>
    <w:rsid w:val="58862D6E"/>
    <w:rsid w:val="58890D8E"/>
    <w:rsid w:val="58905F13"/>
    <w:rsid w:val="58980A4E"/>
    <w:rsid w:val="589A1A15"/>
    <w:rsid w:val="589E636B"/>
    <w:rsid w:val="589F0489"/>
    <w:rsid w:val="58A12EE5"/>
    <w:rsid w:val="58A576EC"/>
    <w:rsid w:val="58B26AF8"/>
    <w:rsid w:val="58B34D7C"/>
    <w:rsid w:val="58C55D50"/>
    <w:rsid w:val="58C9070F"/>
    <w:rsid w:val="58CE125E"/>
    <w:rsid w:val="58D0518C"/>
    <w:rsid w:val="58D8157F"/>
    <w:rsid w:val="58E10245"/>
    <w:rsid w:val="58E53E6C"/>
    <w:rsid w:val="590002B0"/>
    <w:rsid w:val="590339B0"/>
    <w:rsid w:val="590D032B"/>
    <w:rsid w:val="591A2272"/>
    <w:rsid w:val="591C1CC5"/>
    <w:rsid w:val="5922062B"/>
    <w:rsid w:val="59220F83"/>
    <w:rsid w:val="59236770"/>
    <w:rsid w:val="592A2449"/>
    <w:rsid w:val="592E2BAC"/>
    <w:rsid w:val="592F372E"/>
    <w:rsid w:val="59304FAD"/>
    <w:rsid w:val="593065AF"/>
    <w:rsid w:val="594D15CA"/>
    <w:rsid w:val="594E2673"/>
    <w:rsid w:val="59557E4F"/>
    <w:rsid w:val="59577801"/>
    <w:rsid w:val="595F1E39"/>
    <w:rsid w:val="5960040B"/>
    <w:rsid w:val="59674FE3"/>
    <w:rsid w:val="596E4CCC"/>
    <w:rsid w:val="59734F35"/>
    <w:rsid w:val="597749B9"/>
    <w:rsid w:val="597A0175"/>
    <w:rsid w:val="5984115F"/>
    <w:rsid w:val="59843CDB"/>
    <w:rsid w:val="598D1577"/>
    <w:rsid w:val="599071D8"/>
    <w:rsid w:val="59921975"/>
    <w:rsid w:val="59924E85"/>
    <w:rsid w:val="599F37FD"/>
    <w:rsid w:val="59AC585D"/>
    <w:rsid w:val="59AE7AD6"/>
    <w:rsid w:val="59B63CDD"/>
    <w:rsid w:val="59C16D7B"/>
    <w:rsid w:val="59C639C8"/>
    <w:rsid w:val="59CC2CE6"/>
    <w:rsid w:val="59DA3E94"/>
    <w:rsid w:val="59DE1485"/>
    <w:rsid w:val="59DE2972"/>
    <w:rsid w:val="59EF2ADB"/>
    <w:rsid w:val="59F4339F"/>
    <w:rsid w:val="59FB0180"/>
    <w:rsid w:val="5A001EE4"/>
    <w:rsid w:val="5A021F90"/>
    <w:rsid w:val="5A040AB8"/>
    <w:rsid w:val="5A04530D"/>
    <w:rsid w:val="5A08520A"/>
    <w:rsid w:val="5A0C4761"/>
    <w:rsid w:val="5A100573"/>
    <w:rsid w:val="5A1C03A7"/>
    <w:rsid w:val="5A1F759B"/>
    <w:rsid w:val="5A2A58AC"/>
    <w:rsid w:val="5A2E4891"/>
    <w:rsid w:val="5A371615"/>
    <w:rsid w:val="5A3A17C2"/>
    <w:rsid w:val="5A3A2B60"/>
    <w:rsid w:val="5A45176A"/>
    <w:rsid w:val="5A49198F"/>
    <w:rsid w:val="5A580B92"/>
    <w:rsid w:val="5A58449A"/>
    <w:rsid w:val="5A6C4CE3"/>
    <w:rsid w:val="5A6C6925"/>
    <w:rsid w:val="5A804F0B"/>
    <w:rsid w:val="5A847B45"/>
    <w:rsid w:val="5A865A92"/>
    <w:rsid w:val="5A902FD6"/>
    <w:rsid w:val="5A914CDE"/>
    <w:rsid w:val="5A987886"/>
    <w:rsid w:val="5AA45122"/>
    <w:rsid w:val="5AA627A5"/>
    <w:rsid w:val="5AA64564"/>
    <w:rsid w:val="5AB07EF5"/>
    <w:rsid w:val="5AB32A4C"/>
    <w:rsid w:val="5AB641DC"/>
    <w:rsid w:val="5ABB35A3"/>
    <w:rsid w:val="5ABF7F38"/>
    <w:rsid w:val="5AC27634"/>
    <w:rsid w:val="5AC943FE"/>
    <w:rsid w:val="5AE43A97"/>
    <w:rsid w:val="5AED43AE"/>
    <w:rsid w:val="5AED45FF"/>
    <w:rsid w:val="5AF56BD0"/>
    <w:rsid w:val="5AFC0697"/>
    <w:rsid w:val="5B115B27"/>
    <w:rsid w:val="5B190158"/>
    <w:rsid w:val="5B1F3E5F"/>
    <w:rsid w:val="5B21778B"/>
    <w:rsid w:val="5B2C6D4A"/>
    <w:rsid w:val="5B395E6A"/>
    <w:rsid w:val="5B396BF6"/>
    <w:rsid w:val="5B443C46"/>
    <w:rsid w:val="5B4E0839"/>
    <w:rsid w:val="5B50470B"/>
    <w:rsid w:val="5B54779B"/>
    <w:rsid w:val="5B595267"/>
    <w:rsid w:val="5B5C2580"/>
    <w:rsid w:val="5B5F0FA9"/>
    <w:rsid w:val="5B611B88"/>
    <w:rsid w:val="5B6C400B"/>
    <w:rsid w:val="5B6E5785"/>
    <w:rsid w:val="5B722BA8"/>
    <w:rsid w:val="5B7311B3"/>
    <w:rsid w:val="5B787D84"/>
    <w:rsid w:val="5B7A4BED"/>
    <w:rsid w:val="5B7C4022"/>
    <w:rsid w:val="5B7C6694"/>
    <w:rsid w:val="5B7D7376"/>
    <w:rsid w:val="5B82126A"/>
    <w:rsid w:val="5B9D5AD5"/>
    <w:rsid w:val="5BA51BD8"/>
    <w:rsid w:val="5BA74225"/>
    <w:rsid w:val="5BAE7421"/>
    <w:rsid w:val="5BAE7D75"/>
    <w:rsid w:val="5BB4006A"/>
    <w:rsid w:val="5BB60ACF"/>
    <w:rsid w:val="5BB82598"/>
    <w:rsid w:val="5BB87120"/>
    <w:rsid w:val="5BBB3AEF"/>
    <w:rsid w:val="5BBE1B9C"/>
    <w:rsid w:val="5BBE25B6"/>
    <w:rsid w:val="5BBF1E75"/>
    <w:rsid w:val="5BC01362"/>
    <w:rsid w:val="5BC4103B"/>
    <w:rsid w:val="5BCB1B0B"/>
    <w:rsid w:val="5BCC3C8B"/>
    <w:rsid w:val="5BD14DFE"/>
    <w:rsid w:val="5BD64DFA"/>
    <w:rsid w:val="5BD93E74"/>
    <w:rsid w:val="5BDA04A4"/>
    <w:rsid w:val="5BE10DB9"/>
    <w:rsid w:val="5BE917BB"/>
    <w:rsid w:val="5BEA46EF"/>
    <w:rsid w:val="5BEE7326"/>
    <w:rsid w:val="5BFF4CBE"/>
    <w:rsid w:val="5C003684"/>
    <w:rsid w:val="5C0441FB"/>
    <w:rsid w:val="5C085B38"/>
    <w:rsid w:val="5C132B85"/>
    <w:rsid w:val="5C142E9E"/>
    <w:rsid w:val="5C147D25"/>
    <w:rsid w:val="5C28240E"/>
    <w:rsid w:val="5C2A3D84"/>
    <w:rsid w:val="5C2A6C04"/>
    <w:rsid w:val="5C300BE0"/>
    <w:rsid w:val="5C306E88"/>
    <w:rsid w:val="5C32399F"/>
    <w:rsid w:val="5C34360D"/>
    <w:rsid w:val="5C3D2152"/>
    <w:rsid w:val="5C466590"/>
    <w:rsid w:val="5C4F21C6"/>
    <w:rsid w:val="5C5617A7"/>
    <w:rsid w:val="5C566548"/>
    <w:rsid w:val="5C577139"/>
    <w:rsid w:val="5C593F34"/>
    <w:rsid w:val="5C5C2389"/>
    <w:rsid w:val="5C5D1F9E"/>
    <w:rsid w:val="5C5D4C9E"/>
    <w:rsid w:val="5C5D6CFA"/>
    <w:rsid w:val="5C642C52"/>
    <w:rsid w:val="5C720213"/>
    <w:rsid w:val="5C7E19F0"/>
    <w:rsid w:val="5C8148C0"/>
    <w:rsid w:val="5C8323E3"/>
    <w:rsid w:val="5C850E44"/>
    <w:rsid w:val="5C871960"/>
    <w:rsid w:val="5C885C7C"/>
    <w:rsid w:val="5C886FCB"/>
    <w:rsid w:val="5C893CE9"/>
    <w:rsid w:val="5C985F20"/>
    <w:rsid w:val="5CAA1EFE"/>
    <w:rsid w:val="5CAC5F69"/>
    <w:rsid w:val="5CB22FB1"/>
    <w:rsid w:val="5CB50AD7"/>
    <w:rsid w:val="5CB639C4"/>
    <w:rsid w:val="5CB8515E"/>
    <w:rsid w:val="5CC114B9"/>
    <w:rsid w:val="5CC219EE"/>
    <w:rsid w:val="5CCE13AD"/>
    <w:rsid w:val="5CD21D8B"/>
    <w:rsid w:val="5CD45F20"/>
    <w:rsid w:val="5CDE6522"/>
    <w:rsid w:val="5CFA350C"/>
    <w:rsid w:val="5CFA4828"/>
    <w:rsid w:val="5D0442B4"/>
    <w:rsid w:val="5D0546C0"/>
    <w:rsid w:val="5D1C0C44"/>
    <w:rsid w:val="5D1C7D7A"/>
    <w:rsid w:val="5D1D0A6F"/>
    <w:rsid w:val="5D2F0B20"/>
    <w:rsid w:val="5D301FF8"/>
    <w:rsid w:val="5D4834DC"/>
    <w:rsid w:val="5D5673EB"/>
    <w:rsid w:val="5D5B0C2B"/>
    <w:rsid w:val="5D6E7320"/>
    <w:rsid w:val="5D703876"/>
    <w:rsid w:val="5D7216B4"/>
    <w:rsid w:val="5D725061"/>
    <w:rsid w:val="5D731EE5"/>
    <w:rsid w:val="5D764528"/>
    <w:rsid w:val="5D7F2E44"/>
    <w:rsid w:val="5D81658B"/>
    <w:rsid w:val="5D89506F"/>
    <w:rsid w:val="5D8B5480"/>
    <w:rsid w:val="5D8D4C1F"/>
    <w:rsid w:val="5D916F3A"/>
    <w:rsid w:val="5D933FC9"/>
    <w:rsid w:val="5D986C3F"/>
    <w:rsid w:val="5DA07F76"/>
    <w:rsid w:val="5DA54ADE"/>
    <w:rsid w:val="5DA66154"/>
    <w:rsid w:val="5DA75EFB"/>
    <w:rsid w:val="5DB0491F"/>
    <w:rsid w:val="5DBE7B25"/>
    <w:rsid w:val="5DC4352B"/>
    <w:rsid w:val="5DC815E0"/>
    <w:rsid w:val="5DCA4203"/>
    <w:rsid w:val="5DCA4CDD"/>
    <w:rsid w:val="5DCA5FA9"/>
    <w:rsid w:val="5DCB231F"/>
    <w:rsid w:val="5DCE1C32"/>
    <w:rsid w:val="5DDB245E"/>
    <w:rsid w:val="5DE14BDB"/>
    <w:rsid w:val="5DE37927"/>
    <w:rsid w:val="5DE52CA6"/>
    <w:rsid w:val="5DED1F78"/>
    <w:rsid w:val="5DF51EC8"/>
    <w:rsid w:val="5DF72158"/>
    <w:rsid w:val="5DFD3274"/>
    <w:rsid w:val="5E007E70"/>
    <w:rsid w:val="5E013B22"/>
    <w:rsid w:val="5E033269"/>
    <w:rsid w:val="5E092E95"/>
    <w:rsid w:val="5E1251CA"/>
    <w:rsid w:val="5E180B15"/>
    <w:rsid w:val="5E1B5E39"/>
    <w:rsid w:val="5E211941"/>
    <w:rsid w:val="5E217C02"/>
    <w:rsid w:val="5E231D6D"/>
    <w:rsid w:val="5E260754"/>
    <w:rsid w:val="5E2E6353"/>
    <w:rsid w:val="5E3B0012"/>
    <w:rsid w:val="5E3D3EFE"/>
    <w:rsid w:val="5E40485E"/>
    <w:rsid w:val="5E465F6C"/>
    <w:rsid w:val="5E483C6E"/>
    <w:rsid w:val="5E5408E6"/>
    <w:rsid w:val="5E5B12F6"/>
    <w:rsid w:val="5E630FD3"/>
    <w:rsid w:val="5E775905"/>
    <w:rsid w:val="5E780516"/>
    <w:rsid w:val="5E7B4192"/>
    <w:rsid w:val="5E8064DA"/>
    <w:rsid w:val="5E813FC2"/>
    <w:rsid w:val="5E84475A"/>
    <w:rsid w:val="5E88297C"/>
    <w:rsid w:val="5E8B2C1C"/>
    <w:rsid w:val="5E91760B"/>
    <w:rsid w:val="5E920DD9"/>
    <w:rsid w:val="5E9B0B43"/>
    <w:rsid w:val="5EA613D5"/>
    <w:rsid w:val="5EA70098"/>
    <w:rsid w:val="5EAE71FB"/>
    <w:rsid w:val="5EB42E97"/>
    <w:rsid w:val="5EB73322"/>
    <w:rsid w:val="5EB739A6"/>
    <w:rsid w:val="5EBB50FE"/>
    <w:rsid w:val="5EBD3CCB"/>
    <w:rsid w:val="5EC176A2"/>
    <w:rsid w:val="5EC17F15"/>
    <w:rsid w:val="5EC54E79"/>
    <w:rsid w:val="5ECC6576"/>
    <w:rsid w:val="5ED245A4"/>
    <w:rsid w:val="5ED6607C"/>
    <w:rsid w:val="5ED708E8"/>
    <w:rsid w:val="5EDE7D17"/>
    <w:rsid w:val="5EE17A4E"/>
    <w:rsid w:val="5EEE6E29"/>
    <w:rsid w:val="5EEF1FCC"/>
    <w:rsid w:val="5EF30BA9"/>
    <w:rsid w:val="5EF42AA8"/>
    <w:rsid w:val="5EFA1E30"/>
    <w:rsid w:val="5EFC1977"/>
    <w:rsid w:val="5EFC5851"/>
    <w:rsid w:val="5EFF23F5"/>
    <w:rsid w:val="5F011C2B"/>
    <w:rsid w:val="5F0B282E"/>
    <w:rsid w:val="5F1114F6"/>
    <w:rsid w:val="5F1A6ABC"/>
    <w:rsid w:val="5F22591D"/>
    <w:rsid w:val="5F237081"/>
    <w:rsid w:val="5F251067"/>
    <w:rsid w:val="5F2E044E"/>
    <w:rsid w:val="5F2E347F"/>
    <w:rsid w:val="5F301DB0"/>
    <w:rsid w:val="5F343CEB"/>
    <w:rsid w:val="5F45504E"/>
    <w:rsid w:val="5F487F42"/>
    <w:rsid w:val="5F4A0DFC"/>
    <w:rsid w:val="5F4B048D"/>
    <w:rsid w:val="5F544EC5"/>
    <w:rsid w:val="5F640C49"/>
    <w:rsid w:val="5F680B49"/>
    <w:rsid w:val="5F685E6B"/>
    <w:rsid w:val="5F8C2A3C"/>
    <w:rsid w:val="5F8D5C67"/>
    <w:rsid w:val="5F9A63EF"/>
    <w:rsid w:val="5F9F1B9B"/>
    <w:rsid w:val="5FA666C0"/>
    <w:rsid w:val="5FBF7FE4"/>
    <w:rsid w:val="5FC31152"/>
    <w:rsid w:val="5FCB5B27"/>
    <w:rsid w:val="5FCC7C19"/>
    <w:rsid w:val="5FD41360"/>
    <w:rsid w:val="5FD73531"/>
    <w:rsid w:val="5FDD1E76"/>
    <w:rsid w:val="5FDD6D3D"/>
    <w:rsid w:val="5FE710C6"/>
    <w:rsid w:val="5FE85B6D"/>
    <w:rsid w:val="5FEC64B8"/>
    <w:rsid w:val="60042106"/>
    <w:rsid w:val="600812BD"/>
    <w:rsid w:val="60093DA7"/>
    <w:rsid w:val="60100714"/>
    <w:rsid w:val="60102FF2"/>
    <w:rsid w:val="601722C3"/>
    <w:rsid w:val="60224035"/>
    <w:rsid w:val="60224EC8"/>
    <w:rsid w:val="60232B90"/>
    <w:rsid w:val="60270E72"/>
    <w:rsid w:val="60341927"/>
    <w:rsid w:val="60343BAD"/>
    <w:rsid w:val="603446C0"/>
    <w:rsid w:val="603772B5"/>
    <w:rsid w:val="603C376C"/>
    <w:rsid w:val="603D23BD"/>
    <w:rsid w:val="603E59E8"/>
    <w:rsid w:val="60443CBE"/>
    <w:rsid w:val="60457440"/>
    <w:rsid w:val="604B04A8"/>
    <w:rsid w:val="605243AD"/>
    <w:rsid w:val="605A10E4"/>
    <w:rsid w:val="606558C1"/>
    <w:rsid w:val="60697CAB"/>
    <w:rsid w:val="607E46B6"/>
    <w:rsid w:val="6081336F"/>
    <w:rsid w:val="608C0C1C"/>
    <w:rsid w:val="608F077F"/>
    <w:rsid w:val="6093752A"/>
    <w:rsid w:val="609B70D6"/>
    <w:rsid w:val="60AD19BA"/>
    <w:rsid w:val="60AF0D9F"/>
    <w:rsid w:val="60AF11F6"/>
    <w:rsid w:val="60B4454F"/>
    <w:rsid w:val="60B66813"/>
    <w:rsid w:val="60BB7E2A"/>
    <w:rsid w:val="60C72C73"/>
    <w:rsid w:val="60CA6311"/>
    <w:rsid w:val="60CB3F45"/>
    <w:rsid w:val="60CF1AFD"/>
    <w:rsid w:val="60D02AC8"/>
    <w:rsid w:val="60D03CC1"/>
    <w:rsid w:val="60D43E8C"/>
    <w:rsid w:val="60E80F88"/>
    <w:rsid w:val="60E9472B"/>
    <w:rsid w:val="60ED3A7E"/>
    <w:rsid w:val="60F10570"/>
    <w:rsid w:val="60F12D55"/>
    <w:rsid w:val="60F475A1"/>
    <w:rsid w:val="6106379C"/>
    <w:rsid w:val="6106664F"/>
    <w:rsid w:val="610D0836"/>
    <w:rsid w:val="610E50CF"/>
    <w:rsid w:val="61164A61"/>
    <w:rsid w:val="611A0FC4"/>
    <w:rsid w:val="611F56BA"/>
    <w:rsid w:val="61217997"/>
    <w:rsid w:val="612762D1"/>
    <w:rsid w:val="61297180"/>
    <w:rsid w:val="612D1F8E"/>
    <w:rsid w:val="61332D71"/>
    <w:rsid w:val="61353AF4"/>
    <w:rsid w:val="613E225F"/>
    <w:rsid w:val="614B662B"/>
    <w:rsid w:val="61525294"/>
    <w:rsid w:val="61543D8E"/>
    <w:rsid w:val="615B4B91"/>
    <w:rsid w:val="615B769D"/>
    <w:rsid w:val="61675870"/>
    <w:rsid w:val="616A0468"/>
    <w:rsid w:val="616A04E3"/>
    <w:rsid w:val="61776C79"/>
    <w:rsid w:val="618345B8"/>
    <w:rsid w:val="61915C4C"/>
    <w:rsid w:val="61921253"/>
    <w:rsid w:val="61965AFD"/>
    <w:rsid w:val="619863BE"/>
    <w:rsid w:val="61A9093A"/>
    <w:rsid w:val="61B0165A"/>
    <w:rsid w:val="61BA0DBE"/>
    <w:rsid w:val="61BB129B"/>
    <w:rsid w:val="61BF1B9C"/>
    <w:rsid w:val="61C5647C"/>
    <w:rsid w:val="61C8645E"/>
    <w:rsid w:val="61CC7529"/>
    <w:rsid w:val="61D76EE6"/>
    <w:rsid w:val="61DD769D"/>
    <w:rsid w:val="61ED6F9F"/>
    <w:rsid w:val="61FD79F9"/>
    <w:rsid w:val="620418B1"/>
    <w:rsid w:val="620F037E"/>
    <w:rsid w:val="62140655"/>
    <w:rsid w:val="621C5810"/>
    <w:rsid w:val="62234110"/>
    <w:rsid w:val="62266C8F"/>
    <w:rsid w:val="622B7232"/>
    <w:rsid w:val="622E3471"/>
    <w:rsid w:val="623B0D93"/>
    <w:rsid w:val="62404185"/>
    <w:rsid w:val="624553FF"/>
    <w:rsid w:val="62465639"/>
    <w:rsid w:val="624857EC"/>
    <w:rsid w:val="62490ABF"/>
    <w:rsid w:val="62492FA9"/>
    <w:rsid w:val="624A694A"/>
    <w:rsid w:val="624F01A2"/>
    <w:rsid w:val="62512606"/>
    <w:rsid w:val="6258200D"/>
    <w:rsid w:val="626506B1"/>
    <w:rsid w:val="62753385"/>
    <w:rsid w:val="6278396C"/>
    <w:rsid w:val="62805714"/>
    <w:rsid w:val="62841C44"/>
    <w:rsid w:val="62873A04"/>
    <w:rsid w:val="62883E4D"/>
    <w:rsid w:val="62895EE3"/>
    <w:rsid w:val="628F40DF"/>
    <w:rsid w:val="628F5A13"/>
    <w:rsid w:val="629E5C56"/>
    <w:rsid w:val="62A129E2"/>
    <w:rsid w:val="62A163C6"/>
    <w:rsid w:val="62A20AD8"/>
    <w:rsid w:val="62A9399E"/>
    <w:rsid w:val="62AA649A"/>
    <w:rsid w:val="62B14FBC"/>
    <w:rsid w:val="62B272C4"/>
    <w:rsid w:val="62C650B2"/>
    <w:rsid w:val="62DC2125"/>
    <w:rsid w:val="62DF631C"/>
    <w:rsid w:val="62E26FB2"/>
    <w:rsid w:val="62E66B54"/>
    <w:rsid w:val="62E85B2C"/>
    <w:rsid w:val="62EA5E66"/>
    <w:rsid w:val="62EB3583"/>
    <w:rsid w:val="62EC25B6"/>
    <w:rsid w:val="62EE63FA"/>
    <w:rsid w:val="62EF4353"/>
    <w:rsid w:val="62F5650D"/>
    <w:rsid w:val="62FA08A4"/>
    <w:rsid w:val="63015F73"/>
    <w:rsid w:val="63056E88"/>
    <w:rsid w:val="630B4C49"/>
    <w:rsid w:val="631061C0"/>
    <w:rsid w:val="631458E7"/>
    <w:rsid w:val="63165CEC"/>
    <w:rsid w:val="631B4742"/>
    <w:rsid w:val="631E2E68"/>
    <w:rsid w:val="632223E3"/>
    <w:rsid w:val="63274BD2"/>
    <w:rsid w:val="632A32C4"/>
    <w:rsid w:val="632B74E9"/>
    <w:rsid w:val="632C317C"/>
    <w:rsid w:val="632E0072"/>
    <w:rsid w:val="63313945"/>
    <w:rsid w:val="634936CF"/>
    <w:rsid w:val="63493E13"/>
    <w:rsid w:val="634F6AC2"/>
    <w:rsid w:val="634F7357"/>
    <w:rsid w:val="635051A2"/>
    <w:rsid w:val="63563C38"/>
    <w:rsid w:val="63601FBD"/>
    <w:rsid w:val="636A6FDE"/>
    <w:rsid w:val="636D5CDC"/>
    <w:rsid w:val="63735631"/>
    <w:rsid w:val="637A7FA7"/>
    <w:rsid w:val="63805E03"/>
    <w:rsid w:val="638E407B"/>
    <w:rsid w:val="639233FE"/>
    <w:rsid w:val="6394137C"/>
    <w:rsid w:val="639B3127"/>
    <w:rsid w:val="63AD0015"/>
    <w:rsid w:val="63AF7176"/>
    <w:rsid w:val="63B25CB4"/>
    <w:rsid w:val="63BC4F80"/>
    <w:rsid w:val="63BD3EBA"/>
    <w:rsid w:val="63C012CD"/>
    <w:rsid w:val="63CC33E1"/>
    <w:rsid w:val="63D141F4"/>
    <w:rsid w:val="63EB2C6D"/>
    <w:rsid w:val="63EB7F74"/>
    <w:rsid w:val="63FA510E"/>
    <w:rsid w:val="640357AC"/>
    <w:rsid w:val="6410048D"/>
    <w:rsid w:val="64167749"/>
    <w:rsid w:val="641E2BAA"/>
    <w:rsid w:val="64230105"/>
    <w:rsid w:val="645531F8"/>
    <w:rsid w:val="64576B3B"/>
    <w:rsid w:val="64602CC2"/>
    <w:rsid w:val="646D1FCC"/>
    <w:rsid w:val="646D2CEC"/>
    <w:rsid w:val="647F3968"/>
    <w:rsid w:val="648A6CB8"/>
    <w:rsid w:val="648C0FFC"/>
    <w:rsid w:val="648F4BA5"/>
    <w:rsid w:val="649F1305"/>
    <w:rsid w:val="64A11995"/>
    <w:rsid w:val="64A35161"/>
    <w:rsid w:val="64AA08E2"/>
    <w:rsid w:val="64B34347"/>
    <w:rsid w:val="64B51D6B"/>
    <w:rsid w:val="64B5360F"/>
    <w:rsid w:val="64CD45D0"/>
    <w:rsid w:val="64D137CB"/>
    <w:rsid w:val="64D2127E"/>
    <w:rsid w:val="64D4770D"/>
    <w:rsid w:val="64EF23DB"/>
    <w:rsid w:val="64F04632"/>
    <w:rsid w:val="64FB4F7E"/>
    <w:rsid w:val="64FE2D8F"/>
    <w:rsid w:val="65023F11"/>
    <w:rsid w:val="65055B18"/>
    <w:rsid w:val="65056442"/>
    <w:rsid w:val="651574A6"/>
    <w:rsid w:val="652C1B48"/>
    <w:rsid w:val="652C7713"/>
    <w:rsid w:val="65324C98"/>
    <w:rsid w:val="65435DE9"/>
    <w:rsid w:val="65440122"/>
    <w:rsid w:val="6545091A"/>
    <w:rsid w:val="654E5711"/>
    <w:rsid w:val="654F7468"/>
    <w:rsid w:val="65547F98"/>
    <w:rsid w:val="65557E7F"/>
    <w:rsid w:val="655B6E58"/>
    <w:rsid w:val="65613080"/>
    <w:rsid w:val="6562292C"/>
    <w:rsid w:val="656877D7"/>
    <w:rsid w:val="656949D4"/>
    <w:rsid w:val="657103BF"/>
    <w:rsid w:val="65730FBE"/>
    <w:rsid w:val="65733CC1"/>
    <w:rsid w:val="657A7DD9"/>
    <w:rsid w:val="657B14C5"/>
    <w:rsid w:val="657C2FF7"/>
    <w:rsid w:val="65883D6C"/>
    <w:rsid w:val="6598590C"/>
    <w:rsid w:val="659B263B"/>
    <w:rsid w:val="659D3992"/>
    <w:rsid w:val="659E5C9F"/>
    <w:rsid w:val="65B34366"/>
    <w:rsid w:val="65B769E2"/>
    <w:rsid w:val="65BB1F95"/>
    <w:rsid w:val="65BC0ACE"/>
    <w:rsid w:val="65BC778B"/>
    <w:rsid w:val="65BE2525"/>
    <w:rsid w:val="65C317A3"/>
    <w:rsid w:val="65C71101"/>
    <w:rsid w:val="65CB31F2"/>
    <w:rsid w:val="65CE2C4F"/>
    <w:rsid w:val="65CF4023"/>
    <w:rsid w:val="65D33E68"/>
    <w:rsid w:val="65D6204D"/>
    <w:rsid w:val="65DD6770"/>
    <w:rsid w:val="65F646EE"/>
    <w:rsid w:val="65F93F8B"/>
    <w:rsid w:val="65FA1CCC"/>
    <w:rsid w:val="65FF6B8B"/>
    <w:rsid w:val="660D5BCF"/>
    <w:rsid w:val="660E4EA0"/>
    <w:rsid w:val="66126B8D"/>
    <w:rsid w:val="6616316D"/>
    <w:rsid w:val="661A47F4"/>
    <w:rsid w:val="66243CE2"/>
    <w:rsid w:val="662446C4"/>
    <w:rsid w:val="662F2D45"/>
    <w:rsid w:val="66326DE1"/>
    <w:rsid w:val="66347916"/>
    <w:rsid w:val="663E5786"/>
    <w:rsid w:val="66434BC3"/>
    <w:rsid w:val="66490E8D"/>
    <w:rsid w:val="664B3EDA"/>
    <w:rsid w:val="664E527A"/>
    <w:rsid w:val="664F7FFA"/>
    <w:rsid w:val="66532626"/>
    <w:rsid w:val="66575A56"/>
    <w:rsid w:val="665A1838"/>
    <w:rsid w:val="66614073"/>
    <w:rsid w:val="66650FCA"/>
    <w:rsid w:val="666903F4"/>
    <w:rsid w:val="666B40A1"/>
    <w:rsid w:val="667171F6"/>
    <w:rsid w:val="6676698F"/>
    <w:rsid w:val="66795F99"/>
    <w:rsid w:val="667F6A42"/>
    <w:rsid w:val="668048D9"/>
    <w:rsid w:val="66812F29"/>
    <w:rsid w:val="668F33AE"/>
    <w:rsid w:val="66971652"/>
    <w:rsid w:val="66A03469"/>
    <w:rsid w:val="66A45111"/>
    <w:rsid w:val="66AB0F78"/>
    <w:rsid w:val="66AC2E1F"/>
    <w:rsid w:val="66AC6B93"/>
    <w:rsid w:val="66B044DF"/>
    <w:rsid w:val="66B10737"/>
    <w:rsid w:val="66B76593"/>
    <w:rsid w:val="66B91549"/>
    <w:rsid w:val="66BC74EF"/>
    <w:rsid w:val="66CA0BF5"/>
    <w:rsid w:val="66D0175B"/>
    <w:rsid w:val="66D3058D"/>
    <w:rsid w:val="66DE0955"/>
    <w:rsid w:val="66E145B9"/>
    <w:rsid w:val="66E61081"/>
    <w:rsid w:val="66E804CE"/>
    <w:rsid w:val="66EB6F4E"/>
    <w:rsid w:val="66EE05C2"/>
    <w:rsid w:val="66F15868"/>
    <w:rsid w:val="66F77368"/>
    <w:rsid w:val="66FC75D8"/>
    <w:rsid w:val="66FC7FF6"/>
    <w:rsid w:val="66FE62A1"/>
    <w:rsid w:val="67015B23"/>
    <w:rsid w:val="67035F6C"/>
    <w:rsid w:val="67097888"/>
    <w:rsid w:val="670E4356"/>
    <w:rsid w:val="67126F93"/>
    <w:rsid w:val="6721456C"/>
    <w:rsid w:val="672C4A7D"/>
    <w:rsid w:val="67302BCA"/>
    <w:rsid w:val="67394D75"/>
    <w:rsid w:val="673E504C"/>
    <w:rsid w:val="673F1DF3"/>
    <w:rsid w:val="673F73A4"/>
    <w:rsid w:val="67514D62"/>
    <w:rsid w:val="675B12D0"/>
    <w:rsid w:val="675C7F85"/>
    <w:rsid w:val="67607D8E"/>
    <w:rsid w:val="676B7A40"/>
    <w:rsid w:val="676D753A"/>
    <w:rsid w:val="676E3D03"/>
    <w:rsid w:val="6770079F"/>
    <w:rsid w:val="6771125B"/>
    <w:rsid w:val="67713EF0"/>
    <w:rsid w:val="67757527"/>
    <w:rsid w:val="677608F0"/>
    <w:rsid w:val="67791777"/>
    <w:rsid w:val="678078AD"/>
    <w:rsid w:val="6784199D"/>
    <w:rsid w:val="67855140"/>
    <w:rsid w:val="6788685C"/>
    <w:rsid w:val="678B49FB"/>
    <w:rsid w:val="679B0239"/>
    <w:rsid w:val="679E34C8"/>
    <w:rsid w:val="67A54DF8"/>
    <w:rsid w:val="67B917F2"/>
    <w:rsid w:val="67BE6DA9"/>
    <w:rsid w:val="67C37549"/>
    <w:rsid w:val="67C5379F"/>
    <w:rsid w:val="67C87ECD"/>
    <w:rsid w:val="67D21925"/>
    <w:rsid w:val="67D25AB4"/>
    <w:rsid w:val="67D82672"/>
    <w:rsid w:val="67D8591C"/>
    <w:rsid w:val="67DB1D06"/>
    <w:rsid w:val="67E45AAF"/>
    <w:rsid w:val="67E62ACA"/>
    <w:rsid w:val="67E73FEA"/>
    <w:rsid w:val="67EA7992"/>
    <w:rsid w:val="67ED7463"/>
    <w:rsid w:val="67F36F5C"/>
    <w:rsid w:val="67F82F46"/>
    <w:rsid w:val="67FC6765"/>
    <w:rsid w:val="68045EB2"/>
    <w:rsid w:val="68065DF3"/>
    <w:rsid w:val="680B51D4"/>
    <w:rsid w:val="680C60B3"/>
    <w:rsid w:val="680E029D"/>
    <w:rsid w:val="680F213B"/>
    <w:rsid w:val="68142C42"/>
    <w:rsid w:val="681F0D60"/>
    <w:rsid w:val="68445D60"/>
    <w:rsid w:val="684504F7"/>
    <w:rsid w:val="684B7AE9"/>
    <w:rsid w:val="685932DA"/>
    <w:rsid w:val="68625555"/>
    <w:rsid w:val="686716E8"/>
    <w:rsid w:val="6868157E"/>
    <w:rsid w:val="6869150C"/>
    <w:rsid w:val="68733381"/>
    <w:rsid w:val="688820EB"/>
    <w:rsid w:val="6895591C"/>
    <w:rsid w:val="68A46231"/>
    <w:rsid w:val="68AE626E"/>
    <w:rsid w:val="68AF4719"/>
    <w:rsid w:val="68B25996"/>
    <w:rsid w:val="68B76844"/>
    <w:rsid w:val="68B77768"/>
    <w:rsid w:val="68BE7B04"/>
    <w:rsid w:val="68C005F4"/>
    <w:rsid w:val="68C048DA"/>
    <w:rsid w:val="68C879AD"/>
    <w:rsid w:val="68CB0E27"/>
    <w:rsid w:val="68CB5B4D"/>
    <w:rsid w:val="68CD05C0"/>
    <w:rsid w:val="68DA1ADE"/>
    <w:rsid w:val="68DE4FFE"/>
    <w:rsid w:val="68E1064A"/>
    <w:rsid w:val="68E30A1E"/>
    <w:rsid w:val="68E657DF"/>
    <w:rsid w:val="68E80DAB"/>
    <w:rsid w:val="68E81F24"/>
    <w:rsid w:val="68EA25C6"/>
    <w:rsid w:val="68EA4D20"/>
    <w:rsid w:val="68F91E38"/>
    <w:rsid w:val="6907004A"/>
    <w:rsid w:val="69096089"/>
    <w:rsid w:val="69112164"/>
    <w:rsid w:val="69164522"/>
    <w:rsid w:val="691E24B4"/>
    <w:rsid w:val="6922138F"/>
    <w:rsid w:val="69277042"/>
    <w:rsid w:val="692E0D2A"/>
    <w:rsid w:val="692E453D"/>
    <w:rsid w:val="69362BF6"/>
    <w:rsid w:val="693645BE"/>
    <w:rsid w:val="69377EB5"/>
    <w:rsid w:val="693A6EB9"/>
    <w:rsid w:val="69415B3F"/>
    <w:rsid w:val="694445C9"/>
    <w:rsid w:val="694F16AA"/>
    <w:rsid w:val="694F1A58"/>
    <w:rsid w:val="69605E3A"/>
    <w:rsid w:val="69614E2B"/>
    <w:rsid w:val="697C1812"/>
    <w:rsid w:val="698676C4"/>
    <w:rsid w:val="69881FB9"/>
    <w:rsid w:val="698D4CC4"/>
    <w:rsid w:val="69967F49"/>
    <w:rsid w:val="699871BB"/>
    <w:rsid w:val="699E38F8"/>
    <w:rsid w:val="69A022B3"/>
    <w:rsid w:val="69B31FE7"/>
    <w:rsid w:val="69B97B85"/>
    <w:rsid w:val="69BD4C13"/>
    <w:rsid w:val="69C03A0B"/>
    <w:rsid w:val="69C47331"/>
    <w:rsid w:val="69C9089E"/>
    <w:rsid w:val="69C97C6D"/>
    <w:rsid w:val="69CA13F4"/>
    <w:rsid w:val="69CB5314"/>
    <w:rsid w:val="69D76A3E"/>
    <w:rsid w:val="69DC23EF"/>
    <w:rsid w:val="69DE3C5D"/>
    <w:rsid w:val="69DF4B8A"/>
    <w:rsid w:val="69E77EE2"/>
    <w:rsid w:val="69F85C4B"/>
    <w:rsid w:val="69FE4A4A"/>
    <w:rsid w:val="6A0B06C0"/>
    <w:rsid w:val="6A134610"/>
    <w:rsid w:val="6A273DE2"/>
    <w:rsid w:val="6A281E10"/>
    <w:rsid w:val="6A323639"/>
    <w:rsid w:val="6A3928D2"/>
    <w:rsid w:val="6A3B0C88"/>
    <w:rsid w:val="6A407913"/>
    <w:rsid w:val="6A433D9F"/>
    <w:rsid w:val="6A4348DC"/>
    <w:rsid w:val="6A454BC7"/>
    <w:rsid w:val="6A472827"/>
    <w:rsid w:val="6A492614"/>
    <w:rsid w:val="6A4B337E"/>
    <w:rsid w:val="6A4C76CF"/>
    <w:rsid w:val="6A51215A"/>
    <w:rsid w:val="6A535578"/>
    <w:rsid w:val="6A577151"/>
    <w:rsid w:val="6A58386C"/>
    <w:rsid w:val="6A585349"/>
    <w:rsid w:val="6A5D1B89"/>
    <w:rsid w:val="6A5E634E"/>
    <w:rsid w:val="6A6130FA"/>
    <w:rsid w:val="6A656479"/>
    <w:rsid w:val="6A7005D2"/>
    <w:rsid w:val="6A704E74"/>
    <w:rsid w:val="6A705E29"/>
    <w:rsid w:val="6A73677C"/>
    <w:rsid w:val="6A7375EB"/>
    <w:rsid w:val="6A7B584F"/>
    <w:rsid w:val="6A7F28CF"/>
    <w:rsid w:val="6A83671B"/>
    <w:rsid w:val="6A8B5BB3"/>
    <w:rsid w:val="6A8C59BE"/>
    <w:rsid w:val="6A8D36DA"/>
    <w:rsid w:val="6A9A5533"/>
    <w:rsid w:val="6A9B2433"/>
    <w:rsid w:val="6A9B3240"/>
    <w:rsid w:val="6A9C3BAC"/>
    <w:rsid w:val="6AA229CE"/>
    <w:rsid w:val="6AA5044A"/>
    <w:rsid w:val="6AAE29D1"/>
    <w:rsid w:val="6AB5414F"/>
    <w:rsid w:val="6AB74671"/>
    <w:rsid w:val="6ABD3C20"/>
    <w:rsid w:val="6ABD42CA"/>
    <w:rsid w:val="6ABF3F35"/>
    <w:rsid w:val="6AC62028"/>
    <w:rsid w:val="6AC834D4"/>
    <w:rsid w:val="6ACE0F3B"/>
    <w:rsid w:val="6ACF53D8"/>
    <w:rsid w:val="6AD263A6"/>
    <w:rsid w:val="6ADA5212"/>
    <w:rsid w:val="6ADA5525"/>
    <w:rsid w:val="6AE2125C"/>
    <w:rsid w:val="6AE36E4D"/>
    <w:rsid w:val="6AE8003B"/>
    <w:rsid w:val="6AED1595"/>
    <w:rsid w:val="6AF27D6F"/>
    <w:rsid w:val="6AF740A8"/>
    <w:rsid w:val="6AFA049F"/>
    <w:rsid w:val="6AFB39B5"/>
    <w:rsid w:val="6AFC5C0F"/>
    <w:rsid w:val="6AFD14CE"/>
    <w:rsid w:val="6AFE54E3"/>
    <w:rsid w:val="6B013458"/>
    <w:rsid w:val="6B0B39F1"/>
    <w:rsid w:val="6B0C4581"/>
    <w:rsid w:val="6B0D0A5B"/>
    <w:rsid w:val="6B0F7774"/>
    <w:rsid w:val="6B111FAD"/>
    <w:rsid w:val="6B160A7F"/>
    <w:rsid w:val="6B164AA3"/>
    <w:rsid w:val="6B25190C"/>
    <w:rsid w:val="6B2C2F36"/>
    <w:rsid w:val="6B2C4B33"/>
    <w:rsid w:val="6B2F7B5D"/>
    <w:rsid w:val="6B3020CE"/>
    <w:rsid w:val="6B320270"/>
    <w:rsid w:val="6B343160"/>
    <w:rsid w:val="6B3E5B3C"/>
    <w:rsid w:val="6B415DB9"/>
    <w:rsid w:val="6B494526"/>
    <w:rsid w:val="6B4A7C33"/>
    <w:rsid w:val="6B4B2062"/>
    <w:rsid w:val="6B4E2552"/>
    <w:rsid w:val="6B4E448C"/>
    <w:rsid w:val="6B5B4551"/>
    <w:rsid w:val="6B5D1949"/>
    <w:rsid w:val="6B62131E"/>
    <w:rsid w:val="6B6543D6"/>
    <w:rsid w:val="6B6A2B79"/>
    <w:rsid w:val="6B6D47F0"/>
    <w:rsid w:val="6B755461"/>
    <w:rsid w:val="6B7B1AB7"/>
    <w:rsid w:val="6B8102FD"/>
    <w:rsid w:val="6B863480"/>
    <w:rsid w:val="6B8749D7"/>
    <w:rsid w:val="6B915241"/>
    <w:rsid w:val="6B933ACC"/>
    <w:rsid w:val="6B980574"/>
    <w:rsid w:val="6B9B21E9"/>
    <w:rsid w:val="6B9F5AF8"/>
    <w:rsid w:val="6BA306FC"/>
    <w:rsid w:val="6BA90059"/>
    <w:rsid w:val="6BA92193"/>
    <w:rsid w:val="6BAA0DE6"/>
    <w:rsid w:val="6BAE7FBC"/>
    <w:rsid w:val="6BBB5A2B"/>
    <w:rsid w:val="6BBD4C30"/>
    <w:rsid w:val="6BCE1DDA"/>
    <w:rsid w:val="6BCE5C02"/>
    <w:rsid w:val="6BD35646"/>
    <w:rsid w:val="6BD36536"/>
    <w:rsid w:val="6BD53A07"/>
    <w:rsid w:val="6BD7157B"/>
    <w:rsid w:val="6BD76F3B"/>
    <w:rsid w:val="6BE15C1C"/>
    <w:rsid w:val="6BE45C62"/>
    <w:rsid w:val="6BE54313"/>
    <w:rsid w:val="6BE61591"/>
    <w:rsid w:val="6BE858F2"/>
    <w:rsid w:val="6BE91E33"/>
    <w:rsid w:val="6BE929C6"/>
    <w:rsid w:val="6BEC7D5C"/>
    <w:rsid w:val="6BFC283C"/>
    <w:rsid w:val="6C00384F"/>
    <w:rsid w:val="6C0709BE"/>
    <w:rsid w:val="6C081484"/>
    <w:rsid w:val="6C172D01"/>
    <w:rsid w:val="6C184383"/>
    <w:rsid w:val="6C1C5B9E"/>
    <w:rsid w:val="6C2110E2"/>
    <w:rsid w:val="6C230889"/>
    <w:rsid w:val="6C267239"/>
    <w:rsid w:val="6C292D09"/>
    <w:rsid w:val="6C2C7B59"/>
    <w:rsid w:val="6C2F2C51"/>
    <w:rsid w:val="6C31561B"/>
    <w:rsid w:val="6C331744"/>
    <w:rsid w:val="6C334254"/>
    <w:rsid w:val="6C351A2E"/>
    <w:rsid w:val="6C352E09"/>
    <w:rsid w:val="6C3A7336"/>
    <w:rsid w:val="6C3B094A"/>
    <w:rsid w:val="6C3C5FC4"/>
    <w:rsid w:val="6C414B18"/>
    <w:rsid w:val="6C4872EF"/>
    <w:rsid w:val="6C4D6722"/>
    <w:rsid w:val="6C517895"/>
    <w:rsid w:val="6C5C6966"/>
    <w:rsid w:val="6C610B69"/>
    <w:rsid w:val="6C6560B2"/>
    <w:rsid w:val="6C657EEA"/>
    <w:rsid w:val="6C6665C9"/>
    <w:rsid w:val="6C6B5F18"/>
    <w:rsid w:val="6C6C3EF7"/>
    <w:rsid w:val="6C6D28EF"/>
    <w:rsid w:val="6C713FCC"/>
    <w:rsid w:val="6C723942"/>
    <w:rsid w:val="6C734F5E"/>
    <w:rsid w:val="6C780120"/>
    <w:rsid w:val="6C817422"/>
    <w:rsid w:val="6C8E39B6"/>
    <w:rsid w:val="6C970237"/>
    <w:rsid w:val="6C9767EA"/>
    <w:rsid w:val="6CA7396A"/>
    <w:rsid w:val="6CAD2A54"/>
    <w:rsid w:val="6CBA701C"/>
    <w:rsid w:val="6CC466C1"/>
    <w:rsid w:val="6CDB6E8A"/>
    <w:rsid w:val="6CE663E6"/>
    <w:rsid w:val="6CEB67B6"/>
    <w:rsid w:val="6CF05FCA"/>
    <w:rsid w:val="6CF7003C"/>
    <w:rsid w:val="6D055BFC"/>
    <w:rsid w:val="6D0A2365"/>
    <w:rsid w:val="6D1C7EA3"/>
    <w:rsid w:val="6D1F406B"/>
    <w:rsid w:val="6D1F6E89"/>
    <w:rsid w:val="6D214801"/>
    <w:rsid w:val="6D252530"/>
    <w:rsid w:val="6D343D13"/>
    <w:rsid w:val="6D3934C6"/>
    <w:rsid w:val="6D432A90"/>
    <w:rsid w:val="6D4C60A5"/>
    <w:rsid w:val="6D4F54EA"/>
    <w:rsid w:val="6D521202"/>
    <w:rsid w:val="6D535CB4"/>
    <w:rsid w:val="6D5422DC"/>
    <w:rsid w:val="6D5A0C79"/>
    <w:rsid w:val="6D5B3285"/>
    <w:rsid w:val="6D653C78"/>
    <w:rsid w:val="6D785A21"/>
    <w:rsid w:val="6D7B106D"/>
    <w:rsid w:val="6D81396D"/>
    <w:rsid w:val="6D830BDF"/>
    <w:rsid w:val="6D8567A0"/>
    <w:rsid w:val="6D8669D3"/>
    <w:rsid w:val="6D880D26"/>
    <w:rsid w:val="6D883AC4"/>
    <w:rsid w:val="6D8A0A18"/>
    <w:rsid w:val="6D8D66D3"/>
    <w:rsid w:val="6D8E6FF3"/>
    <w:rsid w:val="6D942F3E"/>
    <w:rsid w:val="6D9555C7"/>
    <w:rsid w:val="6D9B1E51"/>
    <w:rsid w:val="6DA22804"/>
    <w:rsid w:val="6DA5433C"/>
    <w:rsid w:val="6DA81947"/>
    <w:rsid w:val="6DAA508F"/>
    <w:rsid w:val="6DAC58E7"/>
    <w:rsid w:val="6DB20912"/>
    <w:rsid w:val="6DB26CA4"/>
    <w:rsid w:val="6DBE78AD"/>
    <w:rsid w:val="6DC520BA"/>
    <w:rsid w:val="6DC66B3E"/>
    <w:rsid w:val="6DC67B50"/>
    <w:rsid w:val="6DCF1313"/>
    <w:rsid w:val="6DCF6855"/>
    <w:rsid w:val="6DDC62F8"/>
    <w:rsid w:val="6DF02B61"/>
    <w:rsid w:val="6DFC3E73"/>
    <w:rsid w:val="6E043142"/>
    <w:rsid w:val="6E050A65"/>
    <w:rsid w:val="6E066977"/>
    <w:rsid w:val="6E113B4C"/>
    <w:rsid w:val="6E177EEE"/>
    <w:rsid w:val="6E193B2E"/>
    <w:rsid w:val="6E1C2AE8"/>
    <w:rsid w:val="6E2037AD"/>
    <w:rsid w:val="6E5C5829"/>
    <w:rsid w:val="6E5D4D84"/>
    <w:rsid w:val="6E5F5DE8"/>
    <w:rsid w:val="6E647D53"/>
    <w:rsid w:val="6E6A2E9D"/>
    <w:rsid w:val="6E711FBB"/>
    <w:rsid w:val="6E786F01"/>
    <w:rsid w:val="6E8126B3"/>
    <w:rsid w:val="6E827597"/>
    <w:rsid w:val="6E84361C"/>
    <w:rsid w:val="6E8A59FF"/>
    <w:rsid w:val="6E8F05AC"/>
    <w:rsid w:val="6E8F36E6"/>
    <w:rsid w:val="6E9055BE"/>
    <w:rsid w:val="6E973F61"/>
    <w:rsid w:val="6E981569"/>
    <w:rsid w:val="6E9A412D"/>
    <w:rsid w:val="6E9E14B7"/>
    <w:rsid w:val="6EA20697"/>
    <w:rsid w:val="6EAB316E"/>
    <w:rsid w:val="6EAD3F31"/>
    <w:rsid w:val="6EB07A50"/>
    <w:rsid w:val="6EB74396"/>
    <w:rsid w:val="6EBC7B8F"/>
    <w:rsid w:val="6EC028A6"/>
    <w:rsid w:val="6EC17AED"/>
    <w:rsid w:val="6EC66E4A"/>
    <w:rsid w:val="6EDE2734"/>
    <w:rsid w:val="6EE92B3D"/>
    <w:rsid w:val="6EEC120D"/>
    <w:rsid w:val="6EF33D55"/>
    <w:rsid w:val="6EF975D8"/>
    <w:rsid w:val="6EFE6137"/>
    <w:rsid w:val="6F054937"/>
    <w:rsid w:val="6F057D7E"/>
    <w:rsid w:val="6F12320F"/>
    <w:rsid w:val="6F156003"/>
    <w:rsid w:val="6F160A75"/>
    <w:rsid w:val="6F164806"/>
    <w:rsid w:val="6F1F0DD4"/>
    <w:rsid w:val="6F205976"/>
    <w:rsid w:val="6F274455"/>
    <w:rsid w:val="6F281F23"/>
    <w:rsid w:val="6F290A2A"/>
    <w:rsid w:val="6F3167E2"/>
    <w:rsid w:val="6F381CBF"/>
    <w:rsid w:val="6F4B46DF"/>
    <w:rsid w:val="6F556275"/>
    <w:rsid w:val="6F5F3BBC"/>
    <w:rsid w:val="6F5F4F8C"/>
    <w:rsid w:val="6F614293"/>
    <w:rsid w:val="6F65642D"/>
    <w:rsid w:val="6F693A71"/>
    <w:rsid w:val="6F7038BF"/>
    <w:rsid w:val="6F753D35"/>
    <w:rsid w:val="6F83428E"/>
    <w:rsid w:val="6F83471A"/>
    <w:rsid w:val="6F866866"/>
    <w:rsid w:val="6F885CC3"/>
    <w:rsid w:val="6F8C0909"/>
    <w:rsid w:val="6F997268"/>
    <w:rsid w:val="6F9B59F7"/>
    <w:rsid w:val="6FA211CF"/>
    <w:rsid w:val="6FA705AC"/>
    <w:rsid w:val="6FA72C68"/>
    <w:rsid w:val="6FA928C6"/>
    <w:rsid w:val="6FAC74C3"/>
    <w:rsid w:val="6FB47E2F"/>
    <w:rsid w:val="6FC30AAA"/>
    <w:rsid w:val="6FD40F09"/>
    <w:rsid w:val="6FD5305F"/>
    <w:rsid w:val="6FDC52CF"/>
    <w:rsid w:val="6FDF5208"/>
    <w:rsid w:val="6FDF7570"/>
    <w:rsid w:val="6FE5761E"/>
    <w:rsid w:val="6FE84A19"/>
    <w:rsid w:val="6FF170FD"/>
    <w:rsid w:val="6FF3325D"/>
    <w:rsid w:val="6FF40E2F"/>
    <w:rsid w:val="6FFC2C02"/>
    <w:rsid w:val="6FFE0433"/>
    <w:rsid w:val="6FFF5D43"/>
    <w:rsid w:val="700D5817"/>
    <w:rsid w:val="701339FA"/>
    <w:rsid w:val="7013431B"/>
    <w:rsid w:val="70191F52"/>
    <w:rsid w:val="701B6B38"/>
    <w:rsid w:val="701E40F5"/>
    <w:rsid w:val="702820CB"/>
    <w:rsid w:val="702B7754"/>
    <w:rsid w:val="70307666"/>
    <w:rsid w:val="70342DFB"/>
    <w:rsid w:val="703C7870"/>
    <w:rsid w:val="703F1A0F"/>
    <w:rsid w:val="7040755D"/>
    <w:rsid w:val="70413A40"/>
    <w:rsid w:val="70506BE3"/>
    <w:rsid w:val="70511032"/>
    <w:rsid w:val="7052073F"/>
    <w:rsid w:val="70654869"/>
    <w:rsid w:val="70667859"/>
    <w:rsid w:val="70674CCE"/>
    <w:rsid w:val="706C2EEF"/>
    <w:rsid w:val="70707E16"/>
    <w:rsid w:val="70762E93"/>
    <w:rsid w:val="707D4CAC"/>
    <w:rsid w:val="707F6F2F"/>
    <w:rsid w:val="70800ABC"/>
    <w:rsid w:val="70A14EE7"/>
    <w:rsid w:val="70AA155F"/>
    <w:rsid w:val="70AA56FD"/>
    <w:rsid w:val="70AB4E88"/>
    <w:rsid w:val="70AD4428"/>
    <w:rsid w:val="70B0372E"/>
    <w:rsid w:val="70B22515"/>
    <w:rsid w:val="70B2306D"/>
    <w:rsid w:val="70C1323B"/>
    <w:rsid w:val="70C86293"/>
    <w:rsid w:val="70CA78B5"/>
    <w:rsid w:val="70CB5CC9"/>
    <w:rsid w:val="70D478B4"/>
    <w:rsid w:val="70D84AC5"/>
    <w:rsid w:val="70DC3C93"/>
    <w:rsid w:val="70DF6207"/>
    <w:rsid w:val="70E63C74"/>
    <w:rsid w:val="70E812BA"/>
    <w:rsid w:val="70F704E0"/>
    <w:rsid w:val="70F735CA"/>
    <w:rsid w:val="71030730"/>
    <w:rsid w:val="710B5FC5"/>
    <w:rsid w:val="71104BF6"/>
    <w:rsid w:val="71192121"/>
    <w:rsid w:val="711B62CD"/>
    <w:rsid w:val="71277682"/>
    <w:rsid w:val="712C0B2C"/>
    <w:rsid w:val="71314DF1"/>
    <w:rsid w:val="71360015"/>
    <w:rsid w:val="713F1ABD"/>
    <w:rsid w:val="71431DFA"/>
    <w:rsid w:val="71434C23"/>
    <w:rsid w:val="71507477"/>
    <w:rsid w:val="71527D8E"/>
    <w:rsid w:val="71540961"/>
    <w:rsid w:val="715D387E"/>
    <w:rsid w:val="715E1F3E"/>
    <w:rsid w:val="716416FA"/>
    <w:rsid w:val="71695D1D"/>
    <w:rsid w:val="716C6E1E"/>
    <w:rsid w:val="716D4AF2"/>
    <w:rsid w:val="717B5AE0"/>
    <w:rsid w:val="718276B7"/>
    <w:rsid w:val="7185070D"/>
    <w:rsid w:val="71882F48"/>
    <w:rsid w:val="718A7056"/>
    <w:rsid w:val="719B0843"/>
    <w:rsid w:val="719E1613"/>
    <w:rsid w:val="719F7DF8"/>
    <w:rsid w:val="71A80ED0"/>
    <w:rsid w:val="71B06C24"/>
    <w:rsid w:val="71BB2D97"/>
    <w:rsid w:val="71BE5988"/>
    <w:rsid w:val="71D03BF0"/>
    <w:rsid w:val="71D34695"/>
    <w:rsid w:val="71D94B04"/>
    <w:rsid w:val="71E85FBC"/>
    <w:rsid w:val="71EA3A04"/>
    <w:rsid w:val="71EA3EA0"/>
    <w:rsid w:val="71F50D4D"/>
    <w:rsid w:val="71F6685F"/>
    <w:rsid w:val="71F66F14"/>
    <w:rsid w:val="71FF7E40"/>
    <w:rsid w:val="72031631"/>
    <w:rsid w:val="7203201F"/>
    <w:rsid w:val="72037883"/>
    <w:rsid w:val="72093C4E"/>
    <w:rsid w:val="721D04DB"/>
    <w:rsid w:val="721D72D4"/>
    <w:rsid w:val="7229460B"/>
    <w:rsid w:val="722B6536"/>
    <w:rsid w:val="722C07F6"/>
    <w:rsid w:val="7234778F"/>
    <w:rsid w:val="72377F03"/>
    <w:rsid w:val="7238577F"/>
    <w:rsid w:val="723D676B"/>
    <w:rsid w:val="72450E26"/>
    <w:rsid w:val="72451337"/>
    <w:rsid w:val="72453437"/>
    <w:rsid w:val="72497981"/>
    <w:rsid w:val="724A76CA"/>
    <w:rsid w:val="725216A4"/>
    <w:rsid w:val="72540B4F"/>
    <w:rsid w:val="725C7AA4"/>
    <w:rsid w:val="725D14C7"/>
    <w:rsid w:val="727163A7"/>
    <w:rsid w:val="72730387"/>
    <w:rsid w:val="72737FFD"/>
    <w:rsid w:val="727A42D9"/>
    <w:rsid w:val="727C53E4"/>
    <w:rsid w:val="72892F5B"/>
    <w:rsid w:val="728C1627"/>
    <w:rsid w:val="72956E0F"/>
    <w:rsid w:val="72A31DBD"/>
    <w:rsid w:val="72A51309"/>
    <w:rsid w:val="72A61F54"/>
    <w:rsid w:val="72AA639D"/>
    <w:rsid w:val="72B90A7A"/>
    <w:rsid w:val="72BE665B"/>
    <w:rsid w:val="72BF7786"/>
    <w:rsid w:val="72C37342"/>
    <w:rsid w:val="72C526D2"/>
    <w:rsid w:val="72CB3628"/>
    <w:rsid w:val="72CE60E3"/>
    <w:rsid w:val="72D0056D"/>
    <w:rsid w:val="72D37256"/>
    <w:rsid w:val="72D43254"/>
    <w:rsid w:val="72DF485A"/>
    <w:rsid w:val="72EA1602"/>
    <w:rsid w:val="72EB459F"/>
    <w:rsid w:val="72F70A82"/>
    <w:rsid w:val="72FC4DB3"/>
    <w:rsid w:val="73022D2D"/>
    <w:rsid w:val="730255D0"/>
    <w:rsid w:val="73073321"/>
    <w:rsid w:val="7309686F"/>
    <w:rsid w:val="730D15DB"/>
    <w:rsid w:val="731170B3"/>
    <w:rsid w:val="73170C9C"/>
    <w:rsid w:val="731D413A"/>
    <w:rsid w:val="732B0E40"/>
    <w:rsid w:val="732E4514"/>
    <w:rsid w:val="732F6F53"/>
    <w:rsid w:val="73311C06"/>
    <w:rsid w:val="73326672"/>
    <w:rsid w:val="7333556E"/>
    <w:rsid w:val="73363F44"/>
    <w:rsid w:val="73451F77"/>
    <w:rsid w:val="734E2D80"/>
    <w:rsid w:val="735936A6"/>
    <w:rsid w:val="73595705"/>
    <w:rsid w:val="735D6BB7"/>
    <w:rsid w:val="735F6D3B"/>
    <w:rsid w:val="73644BCD"/>
    <w:rsid w:val="736474C4"/>
    <w:rsid w:val="737003A5"/>
    <w:rsid w:val="73705D77"/>
    <w:rsid w:val="7380268B"/>
    <w:rsid w:val="73813DC5"/>
    <w:rsid w:val="73835C4B"/>
    <w:rsid w:val="738C0023"/>
    <w:rsid w:val="738C6491"/>
    <w:rsid w:val="738F5970"/>
    <w:rsid w:val="739252E3"/>
    <w:rsid w:val="73970B75"/>
    <w:rsid w:val="73996BE3"/>
    <w:rsid w:val="739A1C5D"/>
    <w:rsid w:val="73A75E93"/>
    <w:rsid w:val="73AD075C"/>
    <w:rsid w:val="73AD6CD2"/>
    <w:rsid w:val="73B00161"/>
    <w:rsid w:val="73B037FC"/>
    <w:rsid w:val="73B73C83"/>
    <w:rsid w:val="73BC418E"/>
    <w:rsid w:val="73BE562F"/>
    <w:rsid w:val="73BF733C"/>
    <w:rsid w:val="73CE6057"/>
    <w:rsid w:val="73D66388"/>
    <w:rsid w:val="73DE5AF1"/>
    <w:rsid w:val="73E17704"/>
    <w:rsid w:val="73EA6509"/>
    <w:rsid w:val="73EE128E"/>
    <w:rsid w:val="73F676A0"/>
    <w:rsid w:val="73F72F62"/>
    <w:rsid w:val="73FA637A"/>
    <w:rsid w:val="73FB163D"/>
    <w:rsid w:val="74104E43"/>
    <w:rsid w:val="74132DB7"/>
    <w:rsid w:val="74134D47"/>
    <w:rsid w:val="74143C2D"/>
    <w:rsid w:val="741962D5"/>
    <w:rsid w:val="741A11FE"/>
    <w:rsid w:val="741E1283"/>
    <w:rsid w:val="742122FC"/>
    <w:rsid w:val="74253D00"/>
    <w:rsid w:val="742A1EAF"/>
    <w:rsid w:val="744651BA"/>
    <w:rsid w:val="74493C73"/>
    <w:rsid w:val="744B5871"/>
    <w:rsid w:val="744C243B"/>
    <w:rsid w:val="74523467"/>
    <w:rsid w:val="745400EE"/>
    <w:rsid w:val="745703B7"/>
    <w:rsid w:val="745949F3"/>
    <w:rsid w:val="746671E5"/>
    <w:rsid w:val="74681AFA"/>
    <w:rsid w:val="746821B0"/>
    <w:rsid w:val="746A5998"/>
    <w:rsid w:val="74722C60"/>
    <w:rsid w:val="74736F42"/>
    <w:rsid w:val="74741CDF"/>
    <w:rsid w:val="74774628"/>
    <w:rsid w:val="7484187D"/>
    <w:rsid w:val="74862808"/>
    <w:rsid w:val="748A1283"/>
    <w:rsid w:val="748A428C"/>
    <w:rsid w:val="74926341"/>
    <w:rsid w:val="7494616F"/>
    <w:rsid w:val="74A556C7"/>
    <w:rsid w:val="74A964C0"/>
    <w:rsid w:val="74B04DFC"/>
    <w:rsid w:val="74B41C79"/>
    <w:rsid w:val="74B63DAF"/>
    <w:rsid w:val="74B92160"/>
    <w:rsid w:val="74BA1500"/>
    <w:rsid w:val="74BB2697"/>
    <w:rsid w:val="74BC3CE6"/>
    <w:rsid w:val="74C17342"/>
    <w:rsid w:val="74C45400"/>
    <w:rsid w:val="74C71DE3"/>
    <w:rsid w:val="74CD044A"/>
    <w:rsid w:val="74CE58DE"/>
    <w:rsid w:val="74D05290"/>
    <w:rsid w:val="74DA204C"/>
    <w:rsid w:val="74DC2CE1"/>
    <w:rsid w:val="74DC5151"/>
    <w:rsid w:val="74DE5869"/>
    <w:rsid w:val="74E60F92"/>
    <w:rsid w:val="74E65BD7"/>
    <w:rsid w:val="74EB785F"/>
    <w:rsid w:val="74F80234"/>
    <w:rsid w:val="74F8393F"/>
    <w:rsid w:val="74FE320A"/>
    <w:rsid w:val="750F4219"/>
    <w:rsid w:val="75155C46"/>
    <w:rsid w:val="7516167C"/>
    <w:rsid w:val="751E5CC1"/>
    <w:rsid w:val="7524501E"/>
    <w:rsid w:val="75246200"/>
    <w:rsid w:val="75262F5E"/>
    <w:rsid w:val="752E6C71"/>
    <w:rsid w:val="7533405C"/>
    <w:rsid w:val="753366A7"/>
    <w:rsid w:val="75364D96"/>
    <w:rsid w:val="7537404E"/>
    <w:rsid w:val="754D3905"/>
    <w:rsid w:val="75504CEB"/>
    <w:rsid w:val="75595538"/>
    <w:rsid w:val="755F3FB5"/>
    <w:rsid w:val="756010A4"/>
    <w:rsid w:val="75634420"/>
    <w:rsid w:val="756A479D"/>
    <w:rsid w:val="75784F5B"/>
    <w:rsid w:val="75793B90"/>
    <w:rsid w:val="757D4FA5"/>
    <w:rsid w:val="757D7F6B"/>
    <w:rsid w:val="758404A5"/>
    <w:rsid w:val="75843042"/>
    <w:rsid w:val="7584447D"/>
    <w:rsid w:val="75866FAE"/>
    <w:rsid w:val="758B53BD"/>
    <w:rsid w:val="758C654C"/>
    <w:rsid w:val="758D7824"/>
    <w:rsid w:val="75901986"/>
    <w:rsid w:val="7595509A"/>
    <w:rsid w:val="75957C88"/>
    <w:rsid w:val="759B3ACE"/>
    <w:rsid w:val="759E3B72"/>
    <w:rsid w:val="759F4E8E"/>
    <w:rsid w:val="75A37CE1"/>
    <w:rsid w:val="75A56A82"/>
    <w:rsid w:val="75AA4A94"/>
    <w:rsid w:val="75B3445F"/>
    <w:rsid w:val="75B4336E"/>
    <w:rsid w:val="75B57F15"/>
    <w:rsid w:val="75B96998"/>
    <w:rsid w:val="75BE3C46"/>
    <w:rsid w:val="75BF1E60"/>
    <w:rsid w:val="75BF3426"/>
    <w:rsid w:val="75CA2E5B"/>
    <w:rsid w:val="75CD2FF8"/>
    <w:rsid w:val="75CF7150"/>
    <w:rsid w:val="75D03F74"/>
    <w:rsid w:val="75D14936"/>
    <w:rsid w:val="75D704EE"/>
    <w:rsid w:val="75D96704"/>
    <w:rsid w:val="75E2200E"/>
    <w:rsid w:val="75E25A0B"/>
    <w:rsid w:val="75E71E1F"/>
    <w:rsid w:val="75EB25BF"/>
    <w:rsid w:val="75F06D49"/>
    <w:rsid w:val="75F27239"/>
    <w:rsid w:val="75F82BAA"/>
    <w:rsid w:val="75FA1275"/>
    <w:rsid w:val="75FF3203"/>
    <w:rsid w:val="75FF5346"/>
    <w:rsid w:val="76037E52"/>
    <w:rsid w:val="760E3F8A"/>
    <w:rsid w:val="761227D3"/>
    <w:rsid w:val="76143E0D"/>
    <w:rsid w:val="76146659"/>
    <w:rsid w:val="7619571F"/>
    <w:rsid w:val="7626761C"/>
    <w:rsid w:val="762C68DA"/>
    <w:rsid w:val="762D259F"/>
    <w:rsid w:val="763C4D10"/>
    <w:rsid w:val="76502DD4"/>
    <w:rsid w:val="76511622"/>
    <w:rsid w:val="76522A2B"/>
    <w:rsid w:val="76525BE7"/>
    <w:rsid w:val="76574F90"/>
    <w:rsid w:val="76597D50"/>
    <w:rsid w:val="76685F07"/>
    <w:rsid w:val="766A7EB7"/>
    <w:rsid w:val="766C1F88"/>
    <w:rsid w:val="766C2087"/>
    <w:rsid w:val="767108CB"/>
    <w:rsid w:val="76796294"/>
    <w:rsid w:val="76831851"/>
    <w:rsid w:val="7686376B"/>
    <w:rsid w:val="76930507"/>
    <w:rsid w:val="76AB2434"/>
    <w:rsid w:val="76B7699B"/>
    <w:rsid w:val="76BD0099"/>
    <w:rsid w:val="76DB3C2B"/>
    <w:rsid w:val="76DE7ECB"/>
    <w:rsid w:val="76E631F8"/>
    <w:rsid w:val="76EC2A32"/>
    <w:rsid w:val="76ED22FB"/>
    <w:rsid w:val="76F34D96"/>
    <w:rsid w:val="76F451D0"/>
    <w:rsid w:val="76F53948"/>
    <w:rsid w:val="76F71E94"/>
    <w:rsid w:val="77031716"/>
    <w:rsid w:val="77043B0C"/>
    <w:rsid w:val="770B7999"/>
    <w:rsid w:val="770C21B0"/>
    <w:rsid w:val="771352FF"/>
    <w:rsid w:val="771871D0"/>
    <w:rsid w:val="772848A0"/>
    <w:rsid w:val="77303B83"/>
    <w:rsid w:val="77303BA0"/>
    <w:rsid w:val="773A1F90"/>
    <w:rsid w:val="77447487"/>
    <w:rsid w:val="774550ED"/>
    <w:rsid w:val="775017B5"/>
    <w:rsid w:val="776A4462"/>
    <w:rsid w:val="776C58EB"/>
    <w:rsid w:val="77766FE8"/>
    <w:rsid w:val="77770FAF"/>
    <w:rsid w:val="7778661E"/>
    <w:rsid w:val="778C2824"/>
    <w:rsid w:val="77901BB9"/>
    <w:rsid w:val="77955F11"/>
    <w:rsid w:val="779F080F"/>
    <w:rsid w:val="77A64F39"/>
    <w:rsid w:val="77B72913"/>
    <w:rsid w:val="77B82C94"/>
    <w:rsid w:val="77CB22C3"/>
    <w:rsid w:val="77CE25A1"/>
    <w:rsid w:val="77D41ECA"/>
    <w:rsid w:val="77DF264A"/>
    <w:rsid w:val="77E42EC7"/>
    <w:rsid w:val="77E57F0B"/>
    <w:rsid w:val="77E90D03"/>
    <w:rsid w:val="77EF03CA"/>
    <w:rsid w:val="77F17961"/>
    <w:rsid w:val="77F3364E"/>
    <w:rsid w:val="77F41260"/>
    <w:rsid w:val="77F41E2D"/>
    <w:rsid w:val="77F47954"/>
    <w:rsid w:val="77F505E6"/>
    <w:rsid w:val="77F7163D"/>
    <w:rsid w:val="77F960BD"/>
    <w:rsid w:val="78033E56"/>
    <w:rsid w:val="780D62E4"/>
    <w:rsid w:val="78100284"/>
    <w:rsid w:val="78114144"/>
    <w:rsid w:val="781875F8"/>
    <w:rsid w:val="781D1A6E"/>
    <w:rsid w:val="781E1EAC"/>
    <w:rsid w:val="781F0409"/>
    <w:rsid w:val="78221362"/>
    <w:rsid w:val="782B48EA"/>
    <w:rsid w:val="783267CC"/>
    <w:rsid w:val="78433869"/>
    <w:rsid w:val="7847169E"/>
    <w:rsid w:val="784C3E42"/>
    <w:rsid w:val="784D612D"/>
    <w:rsid w:val="784E51A1"/>
    <w:rsid w:val="785504F4"/>
    <w:rsid w:val="78582AFE"/>
    <w:rsid w:val="785C22A1"/>
    <w:rsid w:val="785F4137"/>
    <w:rsid w:val="7864235D"/>
    <w:rsid w:val="7869082D"/>
    <w:rsid w:val="786F3A75"/>
    <w:rsid w:val="787A7B41"/>
    <w:rsid w:val="787F1907"/>
    <w:rsid w:val="788102DC"/>
    <w:rsid w:val="78850613"/>
    <w:rsid w:val="788B08E5"/>
    <w:rsid w:val="788C1975"/>
    <w:rsid w:val="78947572"/>
    <w:rsid w:val="78A0615C"/>
    <w:rsid w:val="78A51277"/>
    <w:rsid w:val="78A70D0E"/>
    <w:rsid w:val="78B63950"/>
    <w:rsid w:val="78B82234"/>
    <w:rsid w:val="78C25DE3"/>
    <w:rsid w:val="78C357ED"/>
    <w:rsid w:val="78E00F78"/>
    <w:rsid w:val="78E21BF7"/>
    <w:rsid w:val="78E75D22"/>
    <w:rsid w:val="78ED6DF0"/>
    <w:rsid w:val="78F66225"/>
    <w:rsid w:val="78F9006B"/>
    <w:rsid w:val="78F90B8C"/>
    <w:rsid w:val="78FE248C"/>
    <w:rsid w:val="78FE2C2C"/>
    <w:rsid w:val="790469F7"/>
    <w:rsid w:val="79086D07"/>
    <w:rsid w:val="790907D6"/>
    <w:rsid w:val="790B1ABE"/>
    <w:rsid w:val="791675BE"/>
    <w:rsid w:val="791712C7"/>
    <w:rsid w:val="791B7E5C"/>
    <w:rsid w:val="79295E21"/>
    <w:rsid w:val="79344625"/>
    <w:rsid w:val="793B765D"/>
    <w:rsid w:val="79425AB8"/>
    <w:rsid w:val="794700F0"/>
    <w:rsid w:val="794A5D98"/>
    <w:rsid w:val="794B7FDB"/>
    <w:rsid w:val="795337CF"/>
    <w:rsid w:val="795F21ED"/>
    <w:rsid w:val="797C0773"/>
    <w:rsid w:val="79803071"/>
    <w:rsid w:val="79825877"/>
    <w:rsid w:val="798515D3"/>
    <w:rsid w:val="798533BD"/>
    <w:rsid w:val="798A160A"/>
    <w:rsid w:val="798E57BB"/>
    <w:rsid w:val="799165BA"/>
    <w:rsid w:val="79932ACB"/>
    <w:rsid w:val="799C06C2"/>
    <w:rsid w:val="79A0469F"/>
    <w:rsid w:val="79A34E2E"/>
    <w:rsid w:val="79A50263"/>
    <w:rsid w:val="79A91FD6"/>
    <w:rsid w:val="79AE2F46"/>
    <w:rsid w:val="79B002F1"/>
    <w:rsid w:val="79B80D45"/>
    <w:rsid w:val="79C33EBF"/>
    <w:rsid w:val="79C95CA6"/>
    <w:rsid w:val="79CD6233"/>
    <w:rsid w:val="79CF40FD"/>
    <w:rsid w:val="79D374A8"/>
    <w:rsid w:val="79DB3ABD"/>
    <w:rsid w:val="79DC7E1C"/>
    <w:rsid w:val="79DD318A"/>
    <w:rsid w:val="79E0339C"/>
    <w:rsid w:val="79E3549E"/>
    <w:rsid w:val="79F80451"/>
    <w:rsid w:val="79F835B2"/>
    <w:rsid w:val="79FE73B0"/>
    <w:rsid w:val="7A0235AF"/>
    <w:rsid w:val="7A0E684F"/>
    <w:rsid w:val="7A10786F"/>
    <w:rsid w:val="7A1314E2"/>
    <w:rsid w:val="7A1464A9"/>
    <w:rsid w:val="7A1A0223"/>
    <w:rsid w:val="7A1C017C"/>
    <w:rsid w:val="7A235413"/>
    <w:rsid w:val="7A251260"/>
    <w:rsid w:val="7A44022D"/>
    <w:rsid w:val="7A4818A7"/>
    <w:rsid w:val="7A505444"/>
    <w:rsid w:val="7A505823"/>
    <w:rsid w:val="7A513F25"/>
    <w:rsid w:val="7A550538"/>
    <w:rsid w:val="7A566948"/>
    <w:rsid w:val="7A6F3C64"/>
    <w:rsid w:val="7A707676"/>
    <w:rsid w:val="7A780C27"/>
    <w:rsid w:val="7A7F469F"/>
    <w:rsid w:val="7A8157E9"/>
    <w:rsid w:val="7A820421"/>
    <w:rsid w:val="7A8238A9"/>
    <w:rsid w:val="7A8B4250"/>
    <w:rsid w:val="7A8C79DF"/>
    <w:rsid w:val="7A8F2FFF"/>
    <w:rsid w:val="7A9524C1"/>
    <w:rsid w:val="7A965A4A"/>
    <w:rsid w:val="7A966E28"/>
    <w:rsid w:val="7A996FD7"/>
    <w:rsid w:val="7A9D68A2"/>
    <w:rsid w:val="7AA20148"/>
    <w:rsid w:val="7AAB5CBA"/>
    <w:rsid w:val="7AAD560D"/>
    <w:rsid w:val="7AB07F8E"/>
    <w:rsid w:val="7AB62F88"/>
    <w:rsid w:val="7AC96B3F"/>
    <w:rsid w:val="7AD04630"/>
    <w:rsid w:val="7AD34433"/>
    <w:rsid w:val="7AD75152"/>
    <w:rsid w:val="7AD939F9"/>
    <w:rsid w:val="7AD9720F"/>
    <w:rsid w:val="7ADF1132"/>
    <w:rsid w:val="7AE01C12"/>
    <w:rsid w:val="7AE446F6"/>
    <w:rsid w:val="7AE627A3"/>
    <w:rsid w:val="7AE862A8"/>
    <w:rsid w:val="7AE87351"/>
    <w:rsid w:val="7AEC07A1"/>
    <w:rsid w:val="7AED3E49"/>
    <w:rsid w:val="7AEF3723"/>
    <w:rsid w:val="7AEF5FDF"/>
    <w:rsid w:val="7AF2569D"/>
    <w:rsid w:val="7B013CDD"/>
    <w:rsid w:val="7B064B40"/>
    <w:rsid w:val="7B0B27B2"/>
    <w:rsid w:val="7B13239D"/>
    <w:rsid w:val="7B1455B4"/>
    <w:rsid w:val="7B185A17"/>
    <w:rsid w:val="7B1E74DC"/>
    <w:rsid w:val="7B2241A5"/>
    <w:rsid w:val="7B2C7E4B"/>
    <w:rsid w:val="7B2E3DEE"/>
    <w:rsid w:val="7B2F16E9"/>
    <w:rsid w:val="7B3106A5"/>
    <w:rsid w:val="7B352E0A"/>
    <w:rsid w:val="7B39102A"/>
    <w:rsid w:val="7B3B6D5C"/>
    <w:rsid w:val="7B4573B5"/>
    <w:rsid w:val="7B490881"/>
    <w:rsid w:val="7B4B706E"/>
    <w:rsid w:val="7B511F2F"/>
    <w:rsid w:val="7B6F258D"/>
    <w:rsid w:val="7B7826CC"/>
    <w:rsid w:val="7B797E26"/>
    <w:rsid w:val="7B7E358A"/>
    <w:rsid w:val="7B847ABF"/>
    <w:rsid w:val="7B851555"/>
    <w:rsid w:val="7B95457F"/>
    <w:rsid w:val="7BA64F99"/>
    <w:rsid w:val="7BAC4AE8"/>
    <w:rsid w:val="7BB90926"/>
    <w:rsid w:val="7BC9071C"/>
    <w:rsid w:val="7BCB1B35"/>
    <w:rsid w:val="7BDD6A48"/>
    <w:rsid w:val="7BE72A2D"/>
    <w:rsid w:val="7BE75687"/>
    <w:rsid w:val="7BEB3FC6"/>
    <w:rsid w:val="7BFD220C"/>
    <w:rsid w:val="7BFF343E"/>
    <w:rsid w:val="7C135F1E"/>
    <w:rsid w:val="7C144705"/>
    <w:rsid w:val="7C156B31"/>
    <w:rsid w:val="7C214D28"/>
    <w:rsid w:val="7C215671"/>
    <w:rsid w:val="7C2830E1"/>
    <w:rsid w:val="7C2A550D"/>
    <w:rsid w:val="7C307CF3"/>
    <w:rsid w:val="7C342AF2"/>
    <w:rsid w:val="7C3C5FC3"/>
    <w:rsid w:val="7C3C70D6"/>
    <w:rsid w:val="7C3E56E8"/>
    <w:rsid w:val="7C3F4DBC"/>
    <w:rsid w:val="7C5F7D9A"/>
    <w:rsid w:val="7C657D9E"/>
    <w:rsid w:val="7C674BCB"/>
    <w:rsid w:val="7C68549E"/>
    <w:rsid w:val="7C74423B"/>
    <w:rsid w:val="7C75196D"/>
    <w:rsid w:val="7C7938E3"/>
    <w:rsid w:val="7C7D6467"/>
    <w:rsid w:val="7C7E0232"/>
    <w:rsid w:val="7C8568DA"/>
    <w:rsid w:val="7C862FC3"/>
    <w:rsid w:val="7C924A10"/>
    <w:rsid w:val="7C924E58"/>
    <w:rsid w:val="7CA9477F"/>
    <w:rsid w:val="7CAA06E4"/>
    <w:rsid w:val="7CB12211"/>
    <w:rsid w:val="7CB277BB"/>
    <w:rsid w:val="7CB400F8"/>
    <w:rsid w:val="7CB974BC"/>
    <w:rsid w:val="7CBB62AD"/>
    <w:rsid w:val="7CBB6663"/>
    <w:rsid w:val="7CBE3A2D"/>
    <w:rsid w:val="7CC44A2A"/>
    <w:rsid w:val="7CCB22A2"/>
    <w:rsid w:val="7CCE3FDE"/>
    <w:rsid w:val="7CD17CAD"/>
    <w:rsid w:val="7CD73DE6"/>
    <w:rsid w:val="7CD744DD"/>
    <w:rsid w:val="7CDC6574"/>
    <w:rsid w:val="7CDD5A8F"/>
    <w:rsid w:val="7CEA0114"/>
    <w:rsid w:val="7CEB6E22"/>
    <w:rsid w:val="7CF81D13"/>
    <w:rsid w:val="7CFD4D03"/>
    <w:rsid w:val="7CFE1D0E"/>
    <w:rsid w:val="7D0009C6"/>
    <w:rsid w:val="7D03643D"/>
    <w:rsid w:val="7D0600BE"/>
    <w:rsid w:val="7D094270"/>
    <w:rsid w:val="7D136216"/>
    <w:rsid w:val="7D161177"/>
    <w:rsid w:val="7D1F6988"/>
    <w:rsid w:val="7D1F7E82"/>
    <w:rsid w:val="7D2004D0"/>
    <w:rsid w:val="7D212A61"/>
    <w:rsid w:val="7D230048"/>
    <w:rsid w:val="7D256900"/>
    <w:rsid w:val="7D273EFB"/>
    <w:rsid w:val="7D2A3641"/>
    <w:rsid w:val="7D2D0C1A"/>
    <w:rsid w:val="7D3B7306"/>
    <w:rsid w:val="7D3D05CD"/>
    <w:rsid w:val="7D4F6073"/>
    <w:rsid w:val="7D537FF7"/>
    <w:rsid w:val="7D542550"/>
    <w:rsid w:val="7D5B0A4F"/>
    <w:rsid w:val="7D5D62F3"/>
    <w:rsid w:val="7D5E50AB"/>
    <w:rsid w:val="7D653D2D"/>
    <w:rsid w:val="7D687AFA"/>
    <w:rsid w:val="7D6B1234"/>
    <w:rsid w:val="7D6F1CD1"/>
    <w:rsid w:val="7D6F401F"/>
    <w:rsid w:val="7D710A8D"/>
    <w:rsid w:val="7D7131B8"/>
    <w:rsid w:val="7D746FF5"/>
    <w:rsid w:val="7D7A7694"/>
    <w:rsid w:val="7D7E07FB"/>
    <w:rsid w:val="7D920201"/>
    <w:rsid w:val="7D9A4050"/>
    <w:rsid w:val="7D9A6E32"/>
    <w:rsid w:val="7DA226A3"/>
    <w:rsid w:val="7DA51DD3"/>
    <w:rsid w:val="7DAB7A3E"/>
    <w:rsid w:val="7DAF0BF9"/>
    <w:rsid w:val="7DAF266D"/>
    <w:rsid w:val="7DAF2675"/>
    <w:rsid w:val="7DAF4D3E"/>
    <w:rsid w:val="7DC32881"/>
    <w:rsid w:val="7DC4006F"/>
    <w:rsid w:val="7DC610C0"/>
    <w:rsid w:val="7DD520D4"/>
    <w:rsid w:val="7DD53C6C"/>
    <w:rsid w:val="7DDC0106"/>
    <w:rsid w:val="7DE97142"/>
    <w:rsid w:val="7E0B0DDA"/>
    <w:rsid w:val="7E0E2E22"/>
    <w:rsid w:val="7E14412D"/>
    <w:rsid w:val="7E1E79AD"/>
    <w:rsid w:val="7E230927"/>
    <w:rsid w:val="7E245A9C"/>
    <w:rsid w:val="7E255407"/>
    <w:rsid w:val="7E2610CA"/>
    <w:rsid w:val="7E29168D"/>
    <w:rsid w:val="7E2941BB"/>
    <w:rsid w:val="7E2A2AA1"/>
    <w:rsid w:val="7E2B01DE"/>
    <w:rsid w:val="7E2D0687"/>
    <w:rsid w:val="7E2E3EDA"/>
    <w:rsid w:val="7E345B18"/>
    <w:rsid w:val="7E3617D2"/>
    <w:rsid w:val="7E37359E"/>
    <w:rsid w:val="7E383061"/>
    <w:rsid w:val="7E3D5CDC"/>
    <w:rsid w:val="7E3E61A7"/>
    <w:rsid w:val="7E3F00E6"/>
    <w:rsid w:val="7E4235EC"/>
    <w:rsid w:val="7E4450D3"/>
    <w:rsid w:val="7E4C1C34"/>
    <w:rsid w:val="7E4F6CD4"/>
    <w:rsid w:val="7E55260F"/>
    <w:rsid w:val="7E5637D7"/>
    <w:rsid w:val="7E5732F3"/>
    <w:rsid w:val="7E6A567E"/>
    <w:rsid w:val="7E7318ED"/>
    <w:rsid w:val="7E7B4290"/>
    <w:rsid w:val="7E7C03D8"/>
    <w:rsid w:val="7E7D0743"/>
    <w:rsid w:val="7E955D07"/>
    <w:rsid w:val="7EAC1B8E"/>
    <w:rsid w:val="7EB402B7"/>
    <w:rsid w:val="7EB71D4B"/>
    <w:rsid w:val="7EB91E58"/>
    <w:rsid w:val="7EC00A4B"/>
    <w:rsid w:val="7EC55A96"/>
    <w:rsid w:val="7EC728B2"/>
    <w:rsid w:val="7ECF3CC6"/>
    <w:rsid w:val="7ED56606"/>
    <w:rsid w:val="7ED67ADA"/>
    <w:rsid w:val="7ED9470C"/>
    <w:rsid w:val="7EDE76AE"/>
    <w:rsid w:val="7EE97D42"/>
    <w:rsid w:val="7EF64DC9"/>
    <w:rsid w:val="7EFF7D90"/>
    <w:rsid w:val="7F0A1B67"/>
    <w:rsid w:val="7F0D12F9"/>
    <w:rsid w:val="7F203EDD"/>
    <w:rsid w:val="7F231011"/>
    <w:rsid w:val="7F251081"/>
    <w:rsid w:val="7F267E37"/>
    <w:rsid w:val="7F2C0462"/>
    <w:rsid w:val="7F2C3A80"/>
    <w:rsid w:val="7F3274D3"/>
    <w:rsid w:val="7F363E6E"/>
    <w:rsid w:val="7F3A7506"/>
    <w:rsid w:val="7F435341"/>
    <w:rsid w:val="7F4B3309"/>
    <w:rsid w:val="7F4F0673"/>
    <w:rsid w:val="7F58028B"/>
    <w:rsid w:val="7F586AAB"/>
    <w:rsid w:val="7F5A3802"/>
    <w:rsid w:val="7F5F22DF"/>
    <w:rsid w:val="7F5F4056"/>
    <w:rsid w:val="7F6C5BA9"/>
    <w:rsid w:val="7F7C3EB5"/>
    <w:rsid w:val="7F811CF5"/>
    <w:rsid w:val="7F857C11"/>
    <w:rsid w:val="7F931842"/>
    <w:rsid w:val="7F9852DC"/>
    <w:rsid w:val="7F9D1ECE"/>
    <w:rsid w:val="7FA114E5"/>
    <w:rsid w:val="7FA426A6"/>
    <w:rsid w:val="7FA81745"/>
    <w:rsid w:val="7FB36445"/>
    <w:rsid w:val="7FB40601"/>
    <w:rsid w:val="7FB40E4D"/>
    <w:rsid w:val="7FB602CA"/>
    <w:rsid w:val="7FBD3935"/>
    <w:rsid w:val="7FC543CA"/>
    <w:rsid w:val="7FCA378E"/>
    <w:rsid w:val="7FCE400A"/>
    <w:rsid w:val="7FD67369"/>
    <w:rsid w:val="7FD770CE"/>
    <w:rsid w:val="7FDB4CAF"/>
    <w:rsid w:val="7FDF07D7"/>
    <w:rsid w:val="7FDF36DE"/>
    <w:rsid w:val="7FE85121"/>
    <w:rsid w:val="7FEE5939"/>
    <w:rsid w:val="7FEE6822"/>
    <w:rsid w:val="7FF151BF"/>
    <w:rsid w:val="7FFB7ED7"/>
    <w:rsid w:val="7FFD3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2"/>
    <w:basedOn w:val="1"/>
    <w:next w:val="1"/>
    <w:autoRedefine/>
    <w:semiHidden/>
    <w:unhideWhenUsed/>
    <w:qFormat/>
    <w:uiPriority w:val="9"/>
    <w:pPr>
      <w:spacing w:beforeAutospacing="1" w:after="0" w:afterAutospacing="1"/>
      <w:outlineLvl w:val="1"/>
    </w:pPr>
    <w:rPr>
      <w:rFonts w:hint="eastAsia" w:ascii="宋体" w:hAnsi="宋体" w:eastAsia="宋体" w:cs="Times New Roman"/>
      <w:b/>
      <w:bCs/>
      <w:sz w:val="36"/>
      <w:szCs w:val="36"/>
    </w:rPr>
  </w:style>
  <w:style w:type="paragraph" w:styleId="4">
    <w:name w:val="heading 4"/>
    <w:basedOn w:val="1"/>
    <w:next w:val="1"/>
    <w:autoRedefine/>
    <w:semiHidden/>
    <w:unhideWhenUsed/>
    <w:qFormat/>
    <w:uiPriority w:val="9"/>
    <w:pPr>
      <w:spacing w:beforeAutospacing="1" w:after="0" w:afterAutospacing="1"/>
      <w:outlineLvl w:val="3"/>
    </w:pPr>
    <w:rPr>
      <w:rFonts w:hint="eastAsia" w:ascii="宋体" w:hAnsi="宋体" w:eastAsia="宋体" w:cs="Times New Roman"/>
      <w:b/>
      <w:bCs/>
      <w:sz w:val="24"/>
      <w:szCs w:val="24"/>
    </w:rPr>
  </w:style>
  <w:style w:type="character" w:default="1" w:styleId="19">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semiHidden/>
    <w:unhideWhenUsed/>
    <w:qFormat/>
    <w:uiPriority w:val="99"/>
  </w:style>
  <w:style w:type="paragraph" w:styleId="6">
    <w:name w:val="toc 3"/>
    <w:basedOn w:val="1"/>
    <w:next w:val="1"/>
    <w:autoRedefine/>
    <w:unhideWhenUsed/>
    <w:qFormat/>
    <w:uiPriority w:val="39"/>
    <w:pPr>
      <w:tabs>
        <w:tab w:val="right" w:leader="dot" w:pos="8296"/>
      </w:tabs>
      <w:ind w:left="88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right"/>
    </w:pPr>
    <w:rPr>
      <w:rFonts w:ascii="幼圆" w:eastAsia="幼圆"/>
      <w:sz w:val="21"/>
      <w:szCs w:val="21"/>
    </w:rPr>
  </w:style>
  <w:style w:type="paragraph" w:styleId="10">
    <w:name w:val="toc 1"/>
    <w:basedOn w:val="1"/>
    <w:next w:val="1"/>
    <w:autoRedefine/>
    <w:unhideWhenUsed/>
    <w:qFormat/>
    <w:uiPriority w:val="39"/>
    <w:pPr>
      <w:tabs>
        <w:tab w:val="right" w:leader="dot" w:pos="8296"/>
      </w:tabs>
    </w:pPr>
    <w:rPr>
      <w:b/>
      <w:bCs/>
    </w:rPr>
  </w:style>
  <w:style w:type="paragraph" w:styleId="11">
    <w:name w:val="toc 2"/>
    <w:basedOn w:val="1"/>
    <w:next w:val="1"/>
    <w:autoRedefine/>
    <w:unhideWhenUsed/>
    <w:qFormat/>
    <w:uiPriority w:val="39"/>
    <w:pPr>
      <w:tabs>
        <w:tab w:val="right" w:leader="dot" w:pos="8296"/>
      </w:tabs>
      <w:spacing w:after="0"/>
      <w:ind w:left="141" w:leftChars="64"/>
    </w:pPr>
    <w:rPr>
      <w:rFonts w:ascii="微软雅黑" w:hAnsi="微软雅黑"/>
    </w:rPr>
  </w:style>
  <w:style w:type="paragraph" w:styleId="12">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3">
    <w:name w:val="Normal (Web)"/>
    <w:basedOn w:val="1"/>
    <w:autoRedefine/>
    <w:unhideWhenUsed/>
    <w:qFormat/>
    <w:uiPriority w:val="99"/>
    <w:pPr>
      <w:spacing w:beforeAutospacing="1" w:after="0" w:afterAutospacing="1"/>
    </w:pPr>
    <w:rPr>
      <w:rFonts w:cs="Times New Roman"/>
      <w:sz w:val="24"/>
    </w:rPr>
  </w:style>
  <w:style w:type="table" w:styleId="15">
    <w:name w:val="Table Grid"/>
    <w:basedOn w:val="14"/>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6">
    <w:name w:val="Light List Accent 3"/>
    <w:basedOn w:val="14"/>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7">
    <w:name w:val="Light List Accent 6"/>
    <w:basedOn w:val="14"/>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18">
    <w:name w:val="Light Grid Accent 6"/>
    <w:basedOn w:val="14"/>
    <w:autoRedefine/>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幼圆" w:hAnsi="Tahoma" w:eastAsia="幼圆" w:cstheme="minorBidi"/>
      <w:sz w:val="21"/>
      <w:szCs w:val="21"/>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4"/>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4"/>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2"/>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11"/>
    <w:basedOn w:val="19"/>
    <w:autoRedefine/>
    <w:qFormat/>
    <w:uiPriority w:val="0"/>
    <w:rPr>
      <w:rFonts w:hint="default" w:ascii="Times New Roman" w:hAnsi="Times New Roman" w:cs="Times New Roman"/>
      <w:color w:val="000000"/>
      <w:sz w:val="22"/>
      <w:szCs w:val="22"/>
      <w:u w:val="none"/>
    </w:rPr>
  </w:style>
  <w:style w:type="character" w:customStyle="1" w:styleId="46">
    <w:name w:val="font01"/>
    <w:basedOn w:val="19"/>
    <w:autoRedefine/>
    <w:qFormat/>
    <w:uiPriority w:val="0"/>
    <w:rPr>
      <w:rFonts w:hint="eastAsia" w:ascii="宋体" w:hAnsi="宋体" w:eastAsia="宋体" w:cs="宋体"/>
      <w:color w:val="000000"/>
      <w:sz w:val="22"/>
      <w:szCs w:val="22"/>
      <w:u w:val="none"/>
    </w:rPr>
  </w:style>
  <w:style w:type="paragraph" w:customStyle="1" w:styleId="47">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character" w:customStyle="1" w:styleId="48">
    <w:name w:val="fontstyle01"/>
    <w:basedOn w:val="19"/>
    <w:autoRedefine/>
    <w:qFormat/>
    <w:uiPriority w:val="0"/>
    <w:rPr>
      <w:rFonts w:ascii="Arial Unicode MS" w:hAnsi="Arial Unicode MS" w:eastAsia="Arial Unicode MS" w:cs="Arial Unicode MS"/>
      <w:color w:val="31849B"/>
      <w:sz w:val="24"/>
      <w:szCs w:val="24"/>
    </w:rPr>
  </w:style>
  <w:style w:type="character" w:customStyle="1" w:styleId="49">
    <w:name w:val="fontstyle21"/>
    <w:basedOn w:val="19"/>
    <w:autoRedefine/>
    <w:qFormat/>
    <w:uiPriority w:val="0"/>
    <w:rPr>
      <w:rFonts w:ascii="MicrosoftYaHei-Bold" w:hAnsi="MicrosoftYaHei-Bold" w:eastAsia="MicrosoftYaHei-Bold" w:cs="MicrosoftYaHei-Bold"/>
      <w:b/>
      <w:color w:val="444444"/>
      <w:sz w:val="18"/>
      <w:szCs w:val="18"/>
    </w:rPr>
  </w:style>
  <w:style w:type="paragraph" w:styleId="50">
    <w:name w:val="List Paragraph"/>
    <w:basedOn w:val="1"/>
    <w:autoRedefine/>
    <w:unhideWhenUsed/>
    <w:qFormat/>
    <w:uiPriority w:val="99"/>
    <w:pPr>
      <w:ind w:firstLine="420" w:firstLineChars="200"/>
    </w:pPr>
  </w:style>
  <w:style w:type="character" w:customStyle="1" w:styleId="51">
    <w:name w:val="15"/>
    <w:basedOn w:val="19"/>
    <w:autoRedefine/>
    <w:qFormat/>
    <w:uiPriority w:val="0"/>
    <w:rPr>
      <w:rFonts w:hint="default" w:ascii="Times New Roman" w:hAnsi="Times New Roman" w:cs="Times New Roman"/>
      <w:color w:val="800080"/>
      <w:u w:val="single"/>
    </w:rPr>
  </w:style>
  <w:style w:type="character" w:customStyle="1" w:styleId="52">
    <w:name w:val="16"/>
    <w:basedOn w:val="19"/>
    <w:autoRedefine/>
    <w:qFormat/>
    <w:uiPriority w:val="0"/>
    <w:rPr>
      <w:rFonts w:hint="default" w:ascii="Times New Roman" w:hAnsi="Times New Roman" w:cs="Times New Roman"/>
      <w:color w:val="0000FF"/>
      <w:u w:val="single"/>
    </w:rPr>
  </w:style>
  <w:style w:type="table" w:customStyle="1" w:styleId="53">
    <w:name w:val="Table Normal1"/>
    <w:autoRedefine/>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jpe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microsoft.com/office/2007/relationships/hdphoto" Target="media/image10.wdp"/><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F8EAC2-4F4C-4837-81D2-DB3A31676726}">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15844</Words>
  <Characters>22874</Characters>
  <Lines>178</Lines>
  <Paragraphs>50</Paragraphs>
  <TotalTime>8</TotalTime>
  <ScaleCrop>false</ScaleCrop>
  <LinksUpToDate>false</LinksUpToDate>
  <CharactersWithSpaces>23378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2024-04-12T06:38:00Z</dcterms:created>
  <dc:creator>Wonzer</dc:creator>
  <cp:lastModifiedBy>刘小暄儿～</cp:lastModifiedBy>
  <cp:lastPrinted>2016-10-03T08:25:00Z</cp:lastPrinted>
  <dcterms:modified xsi:type="dcterms:W3CDTF">2025-06-19T09:50:25Z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4AC79E60F007400D834F8A27A6CB53FC_13</vt:lpwstr>
  </property>
  <property fmtid="{D5CDD505-2E9C-101B-9397-08002B2CF9AE}" pid="4" name="KSOTemplateDocerSaveRecord">
    <vt:lpwstr>eyJoZGlkIjoiYjg5YTc3ZTFiNzFmNGE3NDEzYTI4OTgzOTk1NGM1OWMiLCJ1c2VySWQiOiIzMjA1NjY1MzgifQ==</vt:lpwstr>
  </property>
</Properties>
</file>