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pPr>
      <w:r>
        <w:rPr>
          <w:rFonts w:ascii="微软雅黑" w:hAnsi="微软雅黑"/>
          <w:b/>
          <w:color w:val="3D5E18"/>
          <w:sz w:val="32"/>
          <w:szCs w:val="32"/>
        </w:rPr>
        <w:br w:type="page"/>
      </w: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sz w:val="20"/>
          <w:szCs w:val="2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pPr>
    </w:p>
    <w:p>
      <w:pPr>
        <w:tabs>
          <w:tab w:val="left" w:pos="2312"/>
        </w:tabs>
        <w:spacing w:after="0" w:line="240" w:lineRule="atLeast"/>
        <w:rPr>
          <w:sz w:val="20"/>
          <w:szCs w:val="20"/>
        </w:rPr>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pPr>
                    </w:p>
                    <w:p>
                      <w:pPr>
                        <w:widowControl w:val="0"/>
                        <w:adjustRightInd/>
                        <w:snapToGrid/>
                        <w:spacing w:after="0" w:line="312" w:lineRule="auto"/>
                        <w:ind w:firstLine="420"/>
                        <w:jc w:val="both"/>
                        <w:rPr>
                          <w:rFonts w:ascii="微软雅黑" w:hAnsi="微软雅黑" w:cs="微软雅黑"/>
                          <w:sz w:val="21"/>
                          <w:szCs w:val="21"/>
                        </w:rPr>
                      </w:pPr>
                    </w:p>
                    <w:p>
                      <w:pPr>
                        <w:ind w:firstLine="420" w:firstLineChars="200"/>
                        <w:rPr>
                          <w:rFonts w:ascii="微软雅黑" w:hAnsi="微软雅黑" w:cs="微软雅黑"/>
                          <w:sz w:val="21"/>
                          <w:szCs w:val="21"/>
                        </w:rPr>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sectPr>
          <w:footerReference r:id="rId7" w:type="default"/>
          <w:pgSz w:w="11906" w:h="16838"/>
          <w:pgMar w:top="1440" w:right="1800" w:bottom="1440" w:left="1800" w:header="708" w:footer="708" w:gutter="0"/>
          <w:cols w:space="708" w:num="1"/>
          <w:docGrid w:linePitch="360" w:charSpace="0"/>
        </w:sectPr>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w:drawing>
              <wp:anchor distT="0" distB="0" distL="114300" distR="114300" simplePos="0" relativeHeight="251668480" behindDoc="1" locked="0" layoutInCell="1" allowOverlap="1">
                <wp:simplePos x="0" y="0"/>
                <wp:positionH relativeFrom="column">
                  <wp:posOffset>1189990</wp:posOffset>
                </wp:positionH>
                <wp:positionV relativeFrom="paragraph">
                  <wp:posOffset>1390650</wp:posOffset>
                </wp:positionV>
                <wp:extent cx="4450080" cy="7160895"/>
                <wp:effectExtent l="0" t="0" r="0" b="1905"/>
                <wp:wrapNone/>
                <wp:docPr id="91" name="文本框 91"/>
                <wp:cNvGraphicFramePr/>
                <a:graphic xmlns:a="http://schemas.openxmlformats.org/drawingml/2006/main">
                  <a:graphicData uri="http://schemas.microsoft.com/office/word/2010/wordprocessingShape">
                    <wps:wsp>
                      <wps:cNvSpPr txBox="1"/>
                      <wps:spPr>
                        <a:xfrm>
                          <a:off x="3307080" y="2169795"/>
                          <a:ext cx="4450080" cy="7160895"/>
                        </a:xfrm>
                        <a:prstGeom prst="rect">
                          <a:avLst/>
                        </a:prstGeom>
                        <a:solidFill>
                          <a:srgbClr val="FFFFFF"/>
                        </a:solidFill>
                        <a:ln w="6350">
                          <a:noFill/>
                        </a:ln>
                        <a:effectLst/>
                      </wps:spPr>
                      <wps:txb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93.7pt;margin-top:109.5pt;height:563.85pt;width:350.4pt;z-index:-251648000;mso-width-relative:page;mso-height-relative:page;" fillcolor="#FFFFFF" filled="t" stroked="f" coordsize="21600,21600" o:gfxdata="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aQ40dYAAAAMAQAADwAAAAAAAAABACAAAAAiAAAAZHJzL2Rvd25yZXYueG1sUEsB&#10;AhQAFAAAAAgAh07iQJaCFIppAgAAuAQAAA4AAAAAAAAAAQAgAAAAJQEAAGRycy9lMm9Eb2MueG1s&#10;UEsFBgAAAAAGAAYAWQEAAAAGAAAAAA==&#10;">
                <v:fill on="t" focussize="0,0"/>
                <v:stroke on="f" weight="0.5pt"/>
                <v:imagedata o:title=""/>
                <o:lock v:ext="edit" aspectratio="f"/>
                <v:textbox>
                  <w:txbxContent>
                    <w:p>
                      <w:pPr>
                        <w:keepNext w:val="0"/>
                        <w:keepLines w:val="0"/>
                        <w:pageBreakBefore w:val="0"/>
                        <w:widowControl/>
                        <w:tabs>
                          <w:tab w:val="left" w:pos="4200"/>
                        </w:tabs>
                        <w:kinsoku/>
                        <w:wordWrap/>
                        <w:overflowPunct/>
                        <w:topLinePunct w:val="0"/>
                        <w:autoSpaceDE/>
                        <w:autoSpaceDN/>
                        <w:bidi w:val="0"/>
                        <w:adjustRightInd w:val="0"/>
                        <w:snapToGrid w:val="0"/>
                        <w:spacing w:afterLines="50"/>
                        <w:textAlignment w:val="auto"/>
                        <w:rPr>
                          <w:rFonts w:asciiTheme="minorHAnsi"/>
                          <w:b/>
                          <w:bCs/>
                          <w:color w:val="00C4D8"/>
                          <w:sz w:val="32"/>
                          <w:szCs w:val="32"/>
                        </w:rPr>
                      </w:pPr>
                      <w:r>
                        <w:rPr>
                          <w:rFonts w:hint="eastAsia" w:asciiTheme="minorHAnsi"/>
                          <w:b/>
                          <w:bCs/>
                          <w:color w:val="00C4D8"/>
                          <w:sz w:val="32"/>
                          <w:szCs w:val="32"/>
                        </w:rPr>
                        <w:t>第一部分：基本信息</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患者及样本信息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r>
                        <w:rPr>
                          <w:rFonts w:hint="eastAsia" w:ascii="微软雅黑" w:hAnsi="微软雅黑" w:cs="微软雅黑"/>
                        </w:rPr>
                        <w:t>检测内容</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44"/>
                          <w:szCs w:val="44"/>
                        </w:rPr>
                      </w:pPr>
                      <w:r>
                        <w:rPr>
                          <w:rFonts w:hint="eastAsia" w:asciiTheme="minorHAnsi"/>
                          <w:b/>
                          <w:bCs/>
                          <w:color w:val="00C4D8"/>
                          <w:sz w:val="32"/>
                          <w:szCs w:val="32"/>
                        </w:rPr>
                        <w:t>第二部分：检测结果</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微软雅黑" w:hAnsi="微软雅黑" w:cs="微软雅黑"/>
                        </w:rPr>
                      </w:pPr>
                      <w:r>
                        <w:rPr>
                          <w:rFonts w:hint="eastAsia" w:ascii="微软雅黑" w:hAnsi="微软雅黑" w:cs="微软雅黑"/>
                        </w:rPr>
                        <w:t>检测结果小结</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rPr>
                        <w:t>2</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color w:val="FF0000"/>
                          <w:lang w:val="en-US" w:eastAsia="zh-CN"/>
                        </w:rPr>
                      </w:pPr>
                      <w:r>
                        <w:rPr>
                          <w:rFonts w:hint="eastAsia" w:ascii="微软雅黑" w:hAnsi="微软雅黑" w:cs="微软雅黑"/>
                          <w:color w:val="auto"/>
                          <w:sz w:val="22"/>
                          <w:szCs w:val="22"/>
                          <w:lang w:val="en-US" w:eastAsia="zh-CN"/>
                        </w:rPr>
                        <w:t>免疫疗效正相关/负相关/超进展基因检测结果</w:t>
                      </w:r>
                      <w:r>
                        <w:rPr>
                          <w:rFonts w:hint="eastAsia" w:ascii="微软雅黑" w:hAnsi="微软雅黑" w:cs="微软雅黑"/>
                          <w:color w:val="auto"/>
                          <w:sz w:val="22"/>
                          <w:szCs w:val="22"/>
                          <w:lang w:val="en-US" w:eastAsia="zh-CN"/>
                        </w:rPr>
                        <w:tab/>
                      </w:r>
                      <w:r>
                        <w:rPr>
                          <w:rFonts w:hint="eastAsia" w:ascii="微软雅黑" w:hAnsi="微软雅黑" w:cs="微软雅黑"/>
                          <w:lang w:val="en-US" w:eastAsia="zh-CN"/>
                        </w:rPr>
                        <w:t>14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highlight w:val="none"/>
                          <w:lang w:val="en-US" w:eastAsia="zh-CN"/>
                        </w:rPr>
                        <w:t>化疗药物相关检测结果</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18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检测结果说明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第三部分：基因变异及相应靶向/免疫药物解析</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基因变异解析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31</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靶向/免疫药物用药提示解析</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34</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阅读说明</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43</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asciiTheme="minorHAnsi"/>
                          <w:b/>
                          <w:bCs/>
                          <w:color w:val="00C4D8"/>
                          <w:sz w:val="32"/>
                          <w:szCs w:val="32"/>
                        </w:rPr>
                      </w:pPr>
                      <w:r>
                        <w:rPr>
                          <w:rFonts w:hint="eastAsia" w:asciiTheme="minorHAnsi"/>
                          <w:b/>
                          <w:bCs/>
                          <w:color w:val="00C4D8"/>
                          <w:sz w:val="32"/>
                          <w:szCs w:val="32"/>
                        </w:rPr>
                        <w:t>第四部分：附录</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常见问题解答</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46</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lang w:eastAsia="zh-CN"/>
                        </w:rPr>
                        <w:t>肺</w:t>
                      </w:r>
                      <w:r>
                        <w:rPr>
                          <w:rFonts w:hint="eastAsia" w:ascii="微软雅黑" w:hAnsi="微软雅黑" w:cs="微软雅黑"/>
                        </w:rPr>
                        <w:t>癌诊疗知识</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48</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癌症相关信号通路</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60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eastAsia="微软雅黑" w:cs="微软雅黑"/>
                          <w:lang w:val="en-US" w:eastAsia="zh-CN"/>
                        </w:rPr>
                      </w:pPr>
                      <w:r>
                        <w:rPr>
                          <w:rFonts w:hint="eastAsia" w:ascii="微软雅黑" w:hAnsi="微软雅黑" w:cs="微软雅黑"/>
                        </w:rPr>
                        <w:t>基因检测列表</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70</w:t>
                      </w:r>
                    </w:p>
                    <w:p>
                      <w:pPr>
                        <w:keepNext w:val="0"/>
                        <w:keepLines w:val="0"/>
                        <w:pageBreakBefore w:val="0"/>
                        <w:widowControl/>
                        <w:tabs>
                          <w:tab w:val="left" w:pos="2100"/>
                          <w:tab w:val="left" w:pos="4200"/>
                          <w:tab w:val="left" w:pos="6300"/>
                          <w:tab w:val="left" w:pos="7350"/>
                        </w:tabs>
                        <w:kinsoku/>
                        <w:wordWrap/>
                        <w:overflowPunct/>
                        <w:topLinePunct w:val="0"/>
                        <w:autoSpaceDE/>
                        <w:autoSpaceDN/>
                        <w:bidi w:val="0"/>
                        <w:adjustRightInd w:val="0"/>
                        <w:snapToGrid w:val="0"/>
                        <w:spacing w:after="0" w:line="288" w:lineRule="auto"/>
                        <w:textAlignment w:val="auto"/>
                        <w:rPr>
                          <w:rFonts w:hint="default" w:ascii="微软雅黑" w:hAnsi="微软雅黑" w:cs="微软雅黑"/>
                          <w:lang w:val="en-US" w:eastAsia="zh-CN"/>
                        </w:rPr>
                      </w:pPr>
                      <w:r>
                        <w:rPr>
                          <w:rFonts w:hint="eastAsia" w:ascii="微软雅黑" w:hAnsi="微软雅黑" w:cs="微软雅黑"/>
                        </w:rPr>
                        <w:t>参考文献</w:t>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ab/>
                      </w:r>
                      <w:r>
                        <w:rPr>
                          <w:rFonts w:hint="eastAsia" w:ascii="微软雅黑" w:hAnsi="微软雅黑" w:cs="微软雅黑"/>
                          <w:lang w:val="en-US" w:eastAsia="zh-CN"/>
                        </w:rPr>
                        <w:t>74</w:t>
                      </w:r>
                    </w:p>
                    <w:p>
                      <w:pPr>
                        <w:keepNext w:val="0"/>
                        <w:keepLines w:val="0"/>
                        <w:pageBreakBefore w:val="0"/>
                        <w:widowControl/>
                        <w:tabs>
                          <w:tab w:val="left" w:pos="2100"/>
                          <w:tab w:val="left" w:pos="4200"/>
                          <w:tab w:val="left" w:pos="6300"/>
                        </w:tabs>
                        <w:kinsoku/>
                        <w:wordWrap/>
                        <w:overflowPunct/>
                        <w:topLinePunct w:val="0"/>
                        <w:autoSpaceDE/>
                        <w:autoSpaceDN/>
                        <w:bidi w:val="0"/>
                        <w:adjustRightInd w:val="0"/>
                        <w:snapToGrid w:val="0"/>
                        <w:spacing w:after="0" w:line="288" w:lineRule="auto"/>
                        <w:textAlignment w:val="auto"/>
                        <w:rPr>
                          <w:rFonts w:hint="eastAsia" w:ascii="微软雅黑" w:hAnsi="微软雅黑" w:cs="微软雅黑"/>
                        </w:rPr>
                      </w:pPr>
                    </w:p>
                  </w:txbxContent>
                </v:textbox>
              </v:shape>
            </w:pict>
          </mc:Fallback>
        </mc:AlternateContent>
      </w:r>
      <w:r>
        <w:rPr>
          <w:sz w:val="24"/>
          <w:highlight w:val="none"/>
        </w:rPr>
        <mc:AlternateContent>
          <mc:Choice Requires="wps">
            <w:drawing>
              <wp:anchor distT="0" distB="0" distL="114300" distR="114300" simplePos="0" relativeHeight="251674624"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4624;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79744"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79744;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pPr>
                        <w:jc w:val="center"/>
                      </w:pPr>
                    </w:p>
                  </w:txbxContent>
                </v:textbox>
              </v:shape>
            </w:pict>
          </mc:Fallback>
        </mc:AlternateContent>
      </w:r>
      <w:r>
        <w:rPr>
          <w:b/>
          <w:bCs/>
          <w:color w:val="00C4D8"/>
          <w:sz w:val="44"/>
          <w:szCs w:val="44"/>
          <w:highlight w:val="none"/>
        </w:rPr>
        <w:t>目    录</w:t>
      </w:r>
    </w:p>
    <w:sdt>
      <w:sdtPr>
        <w:docPartObj>
          <w:docPartGallery w:val="Table of Contents"/>
        </w:docPartObj>
      </w:sdtPr>
      <w:sdtContent>
        <w:p>
          <w:r>
            <w:fldChar w:fldCharType="begin"/>
          </w:r>
          <w:r>
            <w:instrText xml:space="preserve"> TOC \o "1-3" \h \z \u </w:instrText>
          </w:r>
          <w:r>
            <w:fldChar w:fldCharType="separate"/>
          </w:r>
          <w:r>
            <w:fldChar w:fldCharType="end"/>
          </w:r>
        </w:p>
      </w:sdtContent>
    </w:sdt>
    <w:p>
      <w:pPr>
        <w:pStyle w:val="29"/>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highlight w:val="none"/>
                <w:lang w:val="en-US" w:eastAsia="zh-CN"/>
              </w:rPr>
            </w:pPr>
            <w:r>
              <w:rPr>
                <w:rFonts w:hint="eastAsia" w:ascii="微软雅黑" w:hAnsi="微软雅黑"/>
                <w:bCs/>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eastAsia" w:ascii="微软雅黑" w:hAnsi="微软雅黑" w:eastAsia="微软雅黑"/>
                <w:bCs/>
                <w:kern w:val="2"/>
                <w:sz w:val="24"/>
                <w:szCs w:val="24"/>
                <w:lang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Cs/>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1"/>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rPr>
              <w:t>{{ sample_id }}</w:t>
            </w:r>
            <w:r>
              <w:rPr>
                <w:rFonts w:hint="eastAsia" w:ascii="微软雅黑" w:hAnsi="微软雅黑"/>
                <w:bCs/>
                <w:kern w:val="2"/>
                <w:sz w:val="24"/>
                <w:szCs w:val="24"/>
                <w:lang w:val="en-US" w:eastAsia="zh-CN"/>
              </w:rPr>
            </w:r>
          </w:p>
        </w:tc>
      </w:tr>
      <w:bookmarkEnd w:id="40"/>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rPr>
          <w:rFonts w:ascii="微软雅黑" w:hAnsi="微软雅黑"/>
          <w:b/>
          <w:color w:val="3D5E18"/>
          <w:sz w:val="32"/>
          <w:szCs w:val="32"/>
        </w:rPr>
      </w:pPr>
      <w:r>
        <w:rPr>
          <w:rFonts w:ascii="微软雅黑" w:hAnsi="微软雅黑" w:eastAsia="微软雅黑" w:cs="OSTASS+åæä¸­å®"/>
          <w:color w:val="000000"/>
          <w:sz w:val="24"/>
          <w:szCs w:val="24"/>
          <w:lang w:eastAsia="zh-CN"/>
        </w:rPr>
        <w:br w:type="page"/>
      </w:r>
      <w:r>
        <w:rPr>
          <w:rFonts w:hint="eastAsia" w:ascii="微软雅黑" w:hAnsi="微软雅黑" w:eastAsia="微软雅黑"/>
          <w:sz w:val="28"/>
          <w:szCs w:val="28"/>
          <w:lang w:eastAsia="zh-CN"/>
        </w:rPr>
        <w:softHyphen/>
      </w:r>
      <w:r>
        <w:rPr>
          <w:rFonts w:hint="eastAsia" w:ascii="微软雅黑" w:hAnsi="微软雅黑" w:eastAsia="微软雅黑"/>
          <w:sz w:val="28"/>
          <w:szCs w:val="28"/>
          <w:lang w:eastAsia="zh-CN"/>
        </w:rPr>
        <w:softHyphen/>
      </w:r>
    </w:p>
    <w:p>
      <w:pPr>
        <w:pStyle w:val="29"/>
        <w:keepNext w:val="0"/>
        <w:keepLines w:val="0"/>
        <w:pageBreakBefore w:val="0"/>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val="0"/>
        <w:keepLines w:val="0"/>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t>本次检出体细胞变异：{{ total_variants_count }} 个；靶向药物相关变异：{{ drug_related_count }} 个。</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微软雅黑" w:hAnsi="微软雅黑"/>
          <w:b/>
          <w:bCs/>
          <w:sz w:val="18"/>
          <w:highlight w:val="none"/>
          <w:lang w:val="en-US" w:eastAsia="zh-CN"/>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1"/>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rPr>
          <w:rFonts w:ascii="微软雅黑" w:hAnsi="微软雅黑"/>
          <w:b/>
          <w:color w:val="00C4D8"/>
          <w:sz w:val="32"/>
          <w:szCs w:val="32"/>
        </w:rPr>
      </w:pPr>
      <w:r>
        <w:rPr>
          <w:rFonts w:hint="eastAsia" w:ascii="微软雅黑" w:hAnsi="微软雅黑"/>
          <w:b/>
          <w:color w:val="00C4D8"/>
          <w:sz w:val="32"/>
          <w:szCs w:val="32"/>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2"/>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line="220" w:lineRule="atLeast"/>
        <w:outlineLvl w:val="2"/>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2"/>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pPr>
      <w:r>
        <w:t>检测者：        审核者：        报告日期：{{ report_date }}</w:t>
      </w:r>
    </w:p>
    <w:p>
      <w:pPr>
        <w:adjustRightInd/>
        <w:snapToGrid/>
        <w:spacing w:after="0"/>
        <w:rPr>
          <w:rFonts w:ascii="微软雅黑" w:hAnsi="微软雅黑"/>
          <w:b/>
          <w:color w:val="00C4D8"/>
          <w:sz w:val="28"/>
          <w:szCs w:val="28"/>
        </w:rPr>
      </w:pPr>
    </w:p>
    <w:p>
      <w:pPr>
        <w:jc w:val="center"/>
        <w:outlineLvl w:val="0"/>
        <w:rPr>
          <w:rFonts w:ascii="微软雅黑" w:hAnsi="微软雅黑"/>
          <w:b/>
          <w:sz w:val="36"/>
          <w:szCs w:val="36"/>
        </w:rPr>
      </w:pPr>
      <w:r>
        <w:rPr>
          <w:rFonts w:hint="eastAsia" w:ascii="微软雅黑" w:hAnsi="微软雅黑"/>
          <w:b/>
          <w:sz w:val="36"/>
          <w:szCs w:val="36"/>
        </w:rPr>
        <w:br w:type="page"/>
      </w:r>
    </w:p>
    <w:p>
      <w:pPr>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pPr>
      <w:r>
        <w:rPr>
          <w:rFonts w:ascii="微软雅黑" w:hAnsi="微软雅黑" w:eastAsia="微软雅黑"/>
          <w:b w:val="0"/>
          <w:sz w:val="21"/>
        </w:rPr>
        <w:t>__PART3_MARKER__</w:t>
      </w:r>
    </w:p>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1"/>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pPr>
          </w:p>
        </w:tc>
      </w:tr>
    </w:tbl>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p>
    <w:p>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numPr>
          <w:ilvl w:val="0"/>
          <w:numId w:val="17"/>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pPr>
              <w:numPr>
                <w:ilvl w:val="0"/>
                <w:numId w:val="18"/>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pPr>
              <w:numPr>
                <w:ilvl w:val="0"/>
                <w:numId w:val="18"/>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pPr>
              <w:numPr>
                <w:ilvl w:val="0"/>
                <w:numId w:val="18"/>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pPr>
    </w:p>
    <w:p>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numPr>
                <w:ilvl w:val="0"/>
                <w:numId w:val="18"/>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spacing w:line="460" w:lineRule="exact"/>
        <w:ind w:firstLine="420" w:firstLineChars="200"/>
        <w:jc w:val="both"/>
        <w:rPr>
          <w:rFonts w:ascii="微软雅黑" w:hAnsi="微软雅黑" w:cs="微软雅黑"/>
          <w:sz w:val="21"/>
          <w:szCs w:val="21"/>
          <w:shd w:val="clear" w:color="auto" w:fill="FFFFFF"/>
        </w:rPr>
      </w:pPr>
    </w:p>
    <w:p>
      <w:pPr>
        <w:rPr>
          <w:rFonts w:ascii="微软雅黑" w:hAnsi="微软雅黑"/>
          <w:b/>
          <w:sz w:val="24"/>
          <w:szCs w:val="24"/>
        </w:rPr>
      </w:pPr>
      <w:r>
        <w:rPr>
          <w:rFonts w:hint="eastAsia" w:ascii="微软雅黑" w:hAnsi="微软雅黑"/>
          <w:b/>
          <w:sz w:val="24"/>
          <w:szCs w:val="24"/>
        </w:rPr>
        <w:br w:type="page"/>
      </w:r>
    </w:p>
    <w:bookmarkEnd w:id="280"/>
    <w:p>
      <w:pPr>
        <w:keepNext w:val="0"/>
        <w:keepLines w:val="0"/>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spacing w:line="312" w:lineRule="auto"/>
        <w:jc w:val="both"/>
        <w:outlineLvl w:val="1"/>
        <w:rPr>
          <w:rFonts w:ascii="微软雅黑" w:hAnsi="微软雅黑"/>
          <w:b/>
          <w:sz w:val="28"/>
          <w:szCs w:val="28"/>
        </w:rPr>
      </w:pPr>
      <w:r>
        <w:rPr>
          <w:rFonts w:hint="eastAsia" w:ascii="微软雅黑" w:hAnsi="微软雅黑"/>
          <w:b/>
          <w:sz w:val="28"/>
          <w:szCs w:val="28"/>
        </w:rPr>
        <w:br w:type="page"/>
      </w:r>
    </w:p>
    <w:p>
      <w:pPr>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1"/>
        <w:rPr>
          <w:rFonts w:ascii="微软雅黑" w:hAnsi="微软雅黑"/>
          <w:bCs/>
          <w:sz w:val="21"/>
          <w:szCs w:val="21"/>
        </w:rPr>
      </w:pPr>
    </w:p>
    <w:p>
      <w:pPr>
        <w:adjustRightInd/>
        <w:snapToGrid/>
        <w:spacing w:line="220" w:lineRule="atLeast"/>
        <w:jc w:val="center"/>
        <w:outlineLvl w:val="1"/>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PI3K/AKT Signaling Pathway</w:t>
      </w:r>
    </w:p>
    <w:p>
      <w:pPr>
        <w:adjustRightInd/>
        <w:snapToGrid/>
        <w:spacing w:after="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0"/>
        <w:jc w:val="both"/>
        <w:rPr>
          <w:rFonts w:ascii="微软雅黑" w:hAnsi="微软雅黑" w:cs="微软雅黑"/>
          <w:sz w:val="18"/>
          <w:szCs w:val="18"/>
        </w:rPr>
      </w:pPr>
      <w:r>
        <w:rPr>
          <w:rFonts w:ascii="微软雅黑" w:hAnsi="微软雅黑" w:cs="微软雅黑"/>
          <w:sz w:val="18"/>
          <w:szCs w:val="18"/>
        </w:rPr>
        <w:t>Cancer Cell. 2007 Aug;12（2）:104-107.</w:t>
      </w:r>
    </w:p>
    <w:p>
      <w:pPr>
        <w:adjustRightInd/>
        <w:snapToGrid/>
        <w:spacing w:after="0"/>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adjustRightInd/>
        <w:snapToGrid/>
        <w:spacing w:after="0"/>
        <w:jc w:val="both"/>
        <w:rPr>
          <w:rFonts w:ascii="微软雅黑" w:hAnsi="微软雅黑" w:cs="微软雅黑"/>
          <w:sz w:val="18"/>
          <w:szCs w:val="18"/>
        </w:rPr>
      </w:pPr>
      <w:r>
        <w:rPr>
          <w:rFonts w:ascii="微软雅黑" w:hAnsi="微软雅黑" w:cs="微软雅黑"/>
          <w:sz w:val="18"/>
          <w:szCs w:val="18"/>
        </w:rPr>
        <w:t xml:space="preserve">Front Oncol. 2014 Sep 23;4:252. </w:t>
      </w:r>
    </w:p>
    <w:p>
      <w:pPr>
        <w:adjustRightInd/>
        <w:snapToGrid/>
        <w:spacing w:after="0"/>
        <w:jc w:val="both"/>
        <w:rPr>
          <w:rFonts w:ascii="微软雅黑" w:hAnsi="微软雅黑" w:cs="微软雅黑"/>
          <w:sz w:val="18"/>
          <w:szCs w:val="18"/>
        </w:rPr>
      </w:pPr>
      <w:r>
        <w:rPr>
          <w:rFonts w:ascii="微软雅黑" w:hAnsi="微软雅黑" w:cs="微软雅黑"/>
          <w:sz w:val="18"/>
          <w:szCs w:val="18"/>
        </w:rPr>
        <w:t>Int J Oncol. 2014 Nov;45（5）:1793-801.</w:t>
      </w:r>
    </w:p>
    <w:p>
      <w:pPr>
        <w:adjustRightInd/>
        <w:snapToGrid/>
        <w:spacing w:line="220" w:lineRule="atLeast"/>
        <w:outlineLvl w:val="1"/>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1"/>
        <w:rPr>
          <w:rFonts w:ascii="微软雅黑" w:hAnsi="微软雅黑"/>
          <w:b/>
          <w:sz w:val="24"/>
          <w:szCs w:val="24"/>
        </w:rPr>
      </w:pPr>
    </w:p>
    <w:p>
      <w:pPr>
        <w:adjustRightInd/>
        <w:snapToGrid/>
        <w:spacing w:line="220" w:lineRule="atLeast"/>
        <w:jc w:val="center"/>
        <w:outlineLvl w:val="1"/>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sz w:val="18"/>
          <w:szCs w:val="18"/>
        </w:rPr>
        <w:t>MAPK/ERK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1"/>
        <w:rPr>
          <w:rFonts w:ascii="微软雅黑" w:hAnsi="微软雅黑"/>
          <w:b/>
          <w:sz w:val="24"/>
          <w:szCs w:val="24"/>
        </w:rPr>
      </w:pPr>
    </w:p>
    <w:p>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1"/>
      </w:pPr>
    </w:p>
    <w:p>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1"/>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p>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1"/>
        <w:rPr>
          <w:rFonts w:ascii="微软雅黑" w:hAnsi="微软雅黑"/>
          <w:b/>
          <w:sz w:val="24"/>
          <w:szCs w:val="24"/>
        </w:rPr>
      </w:pPr>
    </w:p>
    <w:p>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1"/>
        <w:rPr>
          <w:rFonts w:ascii="微软雅黑" w:hAnsi="微软雅黑"/>
          <w:b/>
          <w:sz w:val="24"/>
          <w:szCs w:val="24"/>
        </w:rPr>
      </w:pPr>
    </w:p>
    <w:p>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pPr>
      <w:r/>
    </w:p>
    <w:p>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pPr>
    </w:p>
    <w:p>
      <w:pPr>
        <w:adjustRightInd/>
        <w:snapToGrid/>
        <w:spacing w:after="40"/>
        <w:jc w:val="both"/>
        <w:rPr>
          <w:rFonts w:ascii="微软雅黑" w:hAnsi="微软雅黑" w:cs="微软雅黑"/>
          <w:b/>
          <w:bCs/>
          <w:sz w:val="18"/>
          <w:szCs w:val="18"/>
        </w:rPr>
      </w:pPr>
    </w:p>
    <w:p>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val="0"/>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420" w:firstLineChars="200"/>
        <w:rPr>
          <w:rFonts w:ascii="微软雅黑" w:hAnsi="微软雅黑" w:cs="微软雅黑"/>
          <w:sz w:val="18"/>
          <w:szCs w:val="18"/>
        </w:rPr>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pPr>
      <w:r>
        <w:rPr>
          <w:rFonts w:hint="eastAsia" w:ascii="微软雅黑" w:hAnsi="微软雅黑" w:cs="微软雅黑"/>
          <w:sz w:val="18"/>
          <w:szCs w:val="18"/>
        </w:rPr>
        <w:t>网站：www.marvelbio.com</w:t>
      </w:r>
    </w:p>
    <w:p>
      <w:pPr>
        <w:spacing w:line="300" w:lineRule="auto"/>
        <w:ind w:firstLine="420" w:firstLineChars="200"/>
        <w:jc w:val="both"/>
        <w:rPr>
          <w:sz w:val="21"/>
          <w:szCs w:val="21"/>
        </w:rPr>
      </w:pPr>
    </w:p>
    <w:p>
      <w:pPr>
        <w:spacing w:line="300" w:lineRule="auto"/>
        <w:ind w:firstLine="440" w:firstLineChars="200"/>
        <w:jc w:val="both"/>
        <w:rPr>
          <w:sz w:val="21"/>
          <w:szCs w:val="21"/>
        </w:rPr>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pPr>
    </w:p>
    <w:bookmarkEnd w:id="14"/>
    <w:bookmarkEnd w:id="15"/>
    <w:p>
      <w:pPr>
        <w:spacing w:after="0"/>
        <w:jc w:val="center"/>
        <w:rPr>
          <w:rFonts w:hint="eastAsia" w:eastAsia="微软雅黑"/>
          <w:lang w:eastAsia="zh-CN"/>
        </w:rPr>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