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immune_KRAS_result }}</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immune_KRAS_TP53_result }}</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 immune_DDR_result }}</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GENEKNOW00">
      <w:pPr>
        <w:spacing w:after="0"/>
      </w:pPr>
      <w:r>
        <w:t>{%p for section in gene_knowledge_sections %}</w:t>
      </w:r>
    </w:p>
    <w:p w14:paraId="GENEKNOW01">
      <w:pPr>
        <w:spacing w:after="0"/>
      </w:pPr>
      <w:r>
        <w:rPr>
          <w:rFonts w:hint="eastAsia" w:ascii="微软雅黑" w:hAnsi="微软雅黑" w:cs="微软雅黑"/>
          <w:b/>
          <w:color w:val="{{ section.header_color }}"/>
          <w:sz w:val="24"/>
          <w:u w:val="single"/>
        </w:rPr>
        <w:t>{{ section.header }}</w:t>
      </w:r>
    </w:p>
    <w:p w14:paraId="GENEKNOW02">
      <w:pPr>
        <w:spacing w:after="0"/>
      </w:pPr>
      <w:r>
        <w:rPr>
          <w:rFonts w:ascii="微软雅黑" w:hAnsi="微软雅黑" w:cs="微软雅黑"/>
          <w:b/>
        </w:rPr>
        <w:t>基因简介：</w:t>
      </w:r>
    </w:p>
    <w:p w14:paraId="GENEKNOW03">
      <w:pPr>
        <w:spacing w:after="0"/>
        <w:ind w:firstLine="400"/>
        <w:jc w:val="both"/>
        <w:rPr>
          <w:rFonts w:ascii="微软雅黑" w:hAnsi="微软雅黑" w:cs="微软雅黑"/>
          <w:sz w:val="21"/>
        </w:rPr>
      </w:pPr>
      <w:r>
        <w:rPr>
          <w:rFonts w:hint="eastAsia" w:ascii="微软雅黑" w:hAnsi="微软雅黑" w:cs="微软雅黑"/>
          <w:sz w:val="21"/>
        </w:rPr>
        <w:t>{{ section.intro }}</w:t>
      </w:r>
    </w:p>
    <w:p w14:paraId="GENEKNOW04">
      <w:pPr>
        <w:spacing w:after="0"/>
      </w:pPr>
      <w:r>
        <w:rPr>
          <w:rFonts w:ascii="微软雅黑" w:hAnsi="微软雅黑" w:cs="微软雅黑"/>
          <w:b/>
        </w:rPr>
        <w:t>基因变异说明：</w:t>
      </w:r>
    </w:p>
    <w:p w14:paraId="GENEKNOW05">
      <w:pPr>
        <w:spacing w:after="0"/>
        <w:ind w:firstLine="400"/>
        <w:jc w:val="both"/>
        <w:rPr>
          <w:rFonts w:ascii="微软雅黑" w:hAnsi="微软雅黑" w:cs="微软雅黑"/>
          <w:sz w:val="21"/>
        </w:rPr>
      </w:pPr>
      <w:r>
        <w:rPr>
          <w:rFonts w:hint="eastAsia" w:ascii="微软雅黑" w:hAnsi="微软雅黑" w:cs="微软雅黑"/>
          <w:sz w:val="21"/>
        </w:rPr>
        <w:t>{{ section.mutation_desc }}</w:t>
      </w:r>
    </w:p>
    <w:p w14:paraId="GENEKNOW06">
      <w:pPr>
        <w:spacing w:after="0"/>
      </w:pPr>
      <w:r>
        <w:rPr>
          <w:rFonts w:ascii="微软雅黑" w:hAnsi="微软雅黑" w:cs="微软雅黑"/>
          <w:b/>
        </w:rPr>
        <w:t>基因变异解析：</w:t>
      </w:r>
    </w:p>
    <w:p w14:paraId="GENEKNOW07">
      <w:pPr>
        <w:spacing w:after="0"/>
        <w:ind w:firstLine="400"/>
        <w:jc w:val="both"/>
        <w:rPr>
          <w:rFonts w:ascii="微软雅黑" w:hAnsi="微软雅黑" w:cs="微软雅黑"/>
          <w:sz w:val="21"/>
        </w:rPr>
      </w:pPr>
      <w:r>
        <w:rPr>
          <w:rFonts w:hint="eastAsia" w:ascii="微软雅黑" w:hAnsi="微软雅黑" w:cs="微软雅黑"/>
          <w:sz w:val="21"/>
        </w:rPr>
        <w:t>{{ section.mutation_analysis }}</w:t>
      </w:r>
    </w:p>
    <w:p w14:paraId="GENEKNOW99">
      <w:pPr>
        <w:spacing w:after="0"/>
      </w:pPr>
      <w:r>
        <w:t>{%p endfor %}</w:t>
      </w: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DRUGANA01">
      <w:pPr>
        <w:spacing w:after="0"/>
      </w:pPr>
      <w:r>
        <w:rPr>
          <w:rFonts w:hint="eastAsia" w:ascii="微软雅黑" w:hAnsi="微软雅黑" w:cs="微软雅黑"/>
          <w:b/>
          <w:sz w:val="24"/>
        </w:rPr>
        <w:t>潜在获益靶向/免疫药物解析</w:t>
      </w:r>
    </w:p>
    <w:p w14:paraId="DRUGANA02">
      <w:pPr>
        <w:spacing w:after="0"/>
      </w:pPr>
      <w:r>
        <w:t>{%p for drug in drug_analysis_sections %}</w:t>
      </w:r>
    </w:p>
    <w:p w14:paraId="DRUGANA03">
      <w:pPr>
        <w:spacing w:after="0"/>
      </w:pPr>
      <w:r>
        <w:t>{%p if drug.drug_type == "benefit" %}</w:t>
      </w:r>
    </w:p>
    <w:p w14:paraId="DRUGANA04">
      <w:pPr>
        <w:spacing w:after="0"/>
      </w:pPr>
      <w:r>
        <w:rPr>
          <w:rFonts w:hint="eastAsia" w:ascii="微软雅黑" w:hAnsi="微软雅黑" w:cs="微软雅黑"/>
          <w:b/>
          <w:color w:val="FF0000"/>
          <w:sz w:val="24"/>
        </w:rPr>
        <w:t>{{ drug.header }}</w:t>
      </w:r>
    </w:p>
    <w:p w14:paraId="DRUGANA05">
      <w:pPr>
        <w:spacing w:after="0"/>
      </w:pPr>
      <w:r>
        <w:rPr>
          <w:rFonts w:hint="eastAsia" w:ascii="微软雅黑" w:hAnsi="微软雅黑" w:cs="微软雅黑"/>
          <w:b/>
          <w:sz w:val="21"/>
        </w:rPr>
        <w:t>{{ drug.drug_name }}</w:t>
      </w:r>
    </w:p>
    <w:p w14:paraId="DRUGANA06">
      <w:pPr>
        <w:spacing w:after="0"/>
      </w:pPr>
      <w:r>
        <w:rPr>
          <w:rFonts w:ascii="微软雅黑" w:hAnsi="微软雅黑" w:cs="微软雅黑"/>
          <w:b/>
        </w:rPr>
        <w:t>基因变异与药物关联分析：</w:t>
      </w:r>
    </w:p>
    <w:p w14:paraId="DRUGANA07">
      <w:pPr>
        <w:spacing w:after="0"/>
        <w:ind w:firstLine="400"/>
        <w:jc w:val="both"/>
        <w:rPr>
          <w:rFonts w:ascii="微软雅黑" w:hAnsi="微软雅黑" w:cs="微软雅黑"/>
          <w:sz w:val="21"/>
        </w:rPr>
      </w:pPr>
      <w:r>
        <w:rPr>
          <w:rFonts w:hint="eastAsia" w:ascii="微软雅黑" w:hAnsi="微软雅黑" w:cs="微软雅黑"/>
          <w:sz w:val="21"/>
        </w:rPr>
        <w:t>{{ drug.relation }}</w:t>
      </w:r>
    </w:p>
    <w:p w14:paraId="DRUGANA08">
      <w:pPr>
        <w:spacing w:after="0"/>
      </w:pPr>
      <w:r>
        <w:rPr>
          <w:rFonts w:ascii="微软雅黑" w:hAnsi="微软雅黑" w:cs="微软雅黑"/>
          <w:b/>
        </w:rPr>
        <w:t>药物疗效临床解析：</w:t>
      </w:r>
    </w:p>
    <w:p w14:paraId="DRUGANA09">
      <w:pPr>
        <w:spacing w:after="0"/>
        <w:ind w:firstLine="400"/>
        <w:jc w:val="both"/>
        <w:rPr>
          <w:rFonts w:ascii="微软雅黑" w:hAnsi="微软雅黑" w:cs="微软雅黑"/>
          <w:sz w:val="21"/>
        </w:rPr>
      </w:pPr>
      <w:r>
        <w:rPr>
          <w:rFonts w:hint="eastAsia" w:ascii="微软雅黑" w:hAnsi="微软雅黑" w:cs="微软雅黑"/>
          <w:sz w:val="21"/>
        </w:rPr>
        <w:t>{{ drug.clinical }}</w:t>
      </w:r>
    </w:p>
    <w:p w14:paraId="DRUGANA10">
      <w:pPr>
        <w:spacing w:after="0"/>
      </w:pPr>
      <w:r>
        <w:t>{%p endif %}</w:t>
      </w:r>
    </w:p>
    <w:p w14:paraId="DRUGANA11">
      <w:pPr>
        <w:spacing w:after="0"/>
      </w:pPr>
      <w:r>
        <w:t>{%p endfor %}</w:t>
      </w:r>
    </w:p>
    <w:p w14:paraId="DRUGANA12">
      <w:pPr>
        <w:spacing w:after="0"/>
      </w:pPr>
    </w:p>
    <w:p w14:paraId="DRUGANA13">
      <w:pPr>
        <w:spacing w:after="0"/>
      </w:pPr>
      <w:r>
        <w:rPr>
          <w:rFonts w:hint="eastAsia" w:ascii="微软雅黑" w:hAnsi="微软雅黑" w:cs="微软雅黑"/>
          <w:b/>
          <w:sz w:val="24"/>
        </w:rPr>
        <w:t>潜在负相关靶向/免疫药物解析</w:t>
      </w:r>
    </w:p>
    <w:p w14:paraId="DRUGANA14">
      <w:pPr>
        <w:spacing w:after="0"/>
      </w:pPr>
      <w:r>
        <w:t>{%p for drug in drug_analysis_sections %}</w:t>
      </w:r>
    </w:p>
    <w:p w14:paraId="DRUGANA15">
      <w:pPr>
        <w:spacing w:after="0"/>
      </w:pPr>
      <w:r>
        <w:t>{%p if drug.drug_type == "caution" %}</w:t>
      </w:r>
    </w:p>
    <w:p w14:paraId="DRUGANA16">
      <w:pPr>
        <w:spacing w:after="0"/>
      </w:pPr>
      <w:r>
        <w:rPr>
          <w:rFonts w:hint="eastAsia" w:ascii="微软雅黑" w:hAnsi="微软雅黑" w:cs="微软雅黑"/>
          <w:b/>
          <w:color w:val="0000FF"/>
          <w:sz w:val="24"/>
        </w:rPr>
        <w:t>{{ drug.header }}</w:t>
      </w:r>
    </w:p>
    <w:p w14:paraId="DRUGANA19">
      <w:pPr>
        <w:spacing w:after="0"/>
      </w:pPr>
      <w:r>
        <w:rPr>
          <w:rFonts w:hint="eastAsia" w:ascii="微软雅黑" w:hAnsi="微软雅黑" w:cs="微软雅黑"/>
          <w:b/>
          <w:sz w:val="21"/>
        </w:rPr>
        <w:t>{{ drug.drug_name }}</w:t>
      </w:r>
    </w:p>
    <w:p w14:paraId="DRUGANA20">
      <w:pPr>
        <w:spacing w:after="0"/>
      </w:pPr>
      <w:r>
        <w:rPr>
          <w:rFonts w:ascii="微软雅黑" w:hAnsi="微软雅黑" w:cs="微软雅黑"/>
          <w:b/>
        </w:rPr>
        <w:t>基因变异与药物关联分析：</w:t>
      </w:r>
    </w:p>
    <w:p w14:paraId="DRUGANA21">
      <w:pPr>
        <w:spacing w:after="0"/>
        <w:ind w:firstLine="400"/>
        <w:jc w:val="both"/>
        <w:rPr>
          <w:rFonts w:ascii="微软雅黑" w:hAnsi="微软雅黑" w:cs="微软雅黑"/>
          <w:sz w:val="21"/>
        </w:rPr>
      </w:pPr>
      <w:r>
        <w:rPr>
          <w:rFonts w:hint="eastAsia" w:ascii="微软雅黑" w:hAnsi="微软雅黑" w:cs="微软雅黑"/>
          <w:sz w:val="21"/>
        </w:rPr>
        <w:t>{{ drug.relation }}</w:t>
      </w:r>
    </w:p>
    <w:p w14:paraId="DRUGANA22">
      <w:pPr>
        <w:spacing w:after="0"/>
      </w:pPr>
      <w:r>
        <w:rPr>
          <w:rFonts w:ascii="微软雅黑" w:hAnsi="微软雅黑" w:cs="微软雅黑"/>
          <w:b/>
        </w:rPr>
        <w:t>药物疗效临床解析：</w:t>
      </w:r>
    </w:p>
    <w:p w14:paraId="DRUGANA23">
      <w:pPr>
        <w:spacing w:after="0"/>
        <w:ind w:firstLine="400"/>
        <w:jc w:val="both"/>
        <w:rPr>
          <w:rFonts w:ascii="微软雅黑" w:hAnsi="微软雅黑" w:cs="微软雅黑"/>
          <w:sz w:val="21"/>
        </w:rPr>
      </w:pPr>
      <w:r>
        <w:rPr>
          <w:rFonts w:hint="eastAsia" w:ascii="微软雅黑" w:hAnsi="微软雅黑" w:cs="微软雅黑"/>
          <w:sz w:val="21"/>
        </w:rPr>
        <w:t>{{ drug.clinical }}</w:t>
      </w:r>
    </w:p>
    <w:p w14:paraId="DRUGANA17">
      <w:pPr>
        <w:spacing w:after="0"/>
      </w:pPr>
      <w:r>
        <w:t>{%p endif %}</w:t>
      </w:r>
    </w:p>
    <w:p w14:paraId="DRUGANA18">
      <w:pPr>
        <w:spacing w:after="0"/>
      </w:pPr>
      <w:r>
        <w:t>{%p endfor %}</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12307E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PMID:1338691 Somatic mutation of the APC gene in gastric</w:t>
      </w:r>
      <w:bookmarkStart w:id="219" w:name="_GoBack"/>
      <w:bookmarkEnd w:id="219"/>
      <w:r>
        <w:rPr>
          <w:rFonts w:hint="eastAsia" w:ascii="Calibri" w:hAnsi="Calibri" w:eastAsia="宋体" w:cs="Calibri"/>
          <w:sz w:val="21"/>
          <w:szCs w:val="21"/>
        </w:rPr>
        <w:t xml:space="preserve"> cancer: frequent mutations in very well differentiated adenocarcinoma and signet-ring cell carcinoma.</w:t>
      </w:r>
    </w:p>
    <w:p w14:paraId="56C92F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PMID:1423316 Frequent somatic mutations of the APC gene in human pancreatic cancer.</w:t>
      </w:r>
    </w:p>
    <w:p w14:paraId="2A7E6538">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PMID:7792600 A single ataxia telangiectasia gene with a product similar to PI-3 kinase.</w:t>
      </w:r>
    </w:p>
    <w:p w14:paraId="48811FA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PMID:8033082 Wild-type but not mutant APC associates with the microtubule cytoskeleton.</w:t>
      </w:r>
    </w:p>
    <w:p w14:paraId="6DD6F02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PMID:8698812 The adenomatous polyposis coli tumor suppressor protein localizes to plasma membrane sites involved in active cell migration.</w:t>
      </w:r>
    </w:p>
    <w:p w14:paraId="5A713A9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PMID:9700202 Huntingtin interacts with a family of WW domain proteins.</w:t>
      </w:r>
    </w:p>
    <w:p w14:paraId="1CC5A21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PMID:10612830 p53 website and analysis of p53 gene mutations in human cancer: forging a link between epidemiology and carcinogenesis.</w:t>
      </w:r>
    </w:p>
    <w:p w14:paraId="466CE2C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PMID:10656683 The APC-hDLG complex negatively regulates cell cycle progression from the G0/G1 to S phase.</w:t>
      </w:r>
    </w:p>
    <w:p w14:paraId="7D3062D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PMID:10959075 Wnt/beta-catenin signaling.</w:t>
      </w:r>
    </w:p>
    <w:p w14:paraId="76D38F1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PMID:12378616 Mutation analysis of APC gene in gastric cancer with microsatellite instability.</w:t>
      </w:r>
    </w:p>
    <w:p w14:paraId="0B7D5A79">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PMID:12619105 Significance of TP53 mutations in human cancer: a critical analysis of mutations at CpG dinucleotides.</w:t>
      </w:r>
    </w:p>
    <w:p w14:paraId="62EFA2A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PMID:12730288 An epigenetic road map for histone lysine methylation.</w:t>
      </w:r>
    </w:p>
    <w:p w14:paraId="630CE6D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PMID:16118227 Identification and characterization of a novel human histone H3 lysine 36-specific methyltransferase.</w:t>
      </w:r>
    </w:p>
    <w:p w14:paraId="6EC2AA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PMID:16618717 KRAS mutation status is predictive of response to cetuximab therapy in colorectal cancer.</w:t>
      </w:r>
    </w:p>
    <w:p w14:paraId="0B6A49F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PMID:17154180 EphA2 overexpression is associated with angiogenesis in ovarian cancer.</w:t>
      </w:r>
    </w:p>
    <w:p w14:paraId="4C6879C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PMID:17375050 Clinical relevance of KRAS mutation detection in metastatic colorectal cancer treated by Cetuximab plus chemotherapy.</w:t>
      </w:r>
    </w:p>
    <w:p w14:paraId="1A33305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PMID:17664471 Expression of epiregulin and amphiregulin and K-ras mutation status predict disease control in metastatic colorectal cancer patients treated with cetuximab.</w:t>
      </w:r>
    </w:p>
    <w:p w14:paraId="5CC0A4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PMID:18157086 Dynamic histone H3 methylation during gene induction: HYPB/Setd2 mediates all H3K36 trimethylation.</w:t>
      </w:r>
    </w:p>
    <w:p w14:paraId="64D56E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PMID:18593890 C-Myc is a critical mediator of the phenotypes of Apc loss in the intestine.</w:t>
      </w:r>
    </w:p>
    <w:p w14:paraId="032EA03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PMID:18621636 Association of K-ras mutational status and clinical outcomes in patients with metastatic colorectal cancer receiving panitumumab alone.</w:t>
      </w:r>
    </w:p>
    <w:p w14:paraId="738D0EB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PMID:19336573 High incidence of protein-truncating TP53 mutations in BRCA1-related breast cancer.</w:t>
      </w:r>
    </w:p>
    <w:p w14:paraId="4B27705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PMID:19401449 PI3K pathway activation mediates resistance to MEK inhibitors in KRAS mutant cancers.</w:t>
      </w:r>
    </w:p>
    <w:p w14:paraId="478F24B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PMID:19407794 Cytoplasmic functions of the tumour suppressor p53.</w:t>
      </w:r>
    </w:p>
    <w:p w14:paraId="274A2B7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PMID:19531623 Expression of the receptor tyrosine kinase EphA2 is increased in smokers and predicts poor survival in non-small cell lung cancer</w:t>
      </w:r>
    </w:p>
    <w:p w14:paraId="79C188E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PMID:19810096 Combination of p53 codon 72 polymorphism and inactive p53 mutation predicts chemosensitivity to 5-fluorouracil in colorectal cancer.</w:t>
      </w:r>
    </w:p>
    <w:p w14:paraId="1BDE8AD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PMID:20004998 ATM polymorphisms and risk of lung cancer among never smokers.</w:t>
      </w:r>
    </w:p>
    <w:p w14:paraId="1C5B3AE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PMID:20100961 Molecular mechanisms of resistance to cetuximab and panitumumab in colorectal cancer.</w:t>
      </w:r>
    </w:p>
    <w:p w14:paraId="226EC60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PMID:20215549 Phase I pharmacokinetic and pharmacodynamic study of the oral MAPK/ERK kinase inhibitor PD-0325901 in patients with advanced cancers.</w:t>
      </w:r>
    </w:p>
    <w:p w14:paraId="51D0FC6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PMID:20501857 Histone methyltransferase gene SETD2 is a novel tumor suppressor gene in clear cell renal cell carcinoma.</w:t>
      </w:r>
    </w:p>
    <w:p w14:paraId="0417577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PMID:20664172 Deregulation of the PI3K and KRAS signaling pathways in human cancer cells determines their response to everolimus.</w:t>
      </w:r>
    </w:p>
    <w:p w14:paraId="6749A8C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PMID:20944102 Evidence for a tumour suppressor function of SETD2 in human breast cancer: a new hypothesis.</w:t>
      </w:r>
    </w:p>
    <w:p w14:paraId="71CA533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PMID:21451123 A MEK inhibitor abrogates myeloproliferative disease in Kras mutant mice.</w:t>
      </w:r>
    </w:p>
    <w:p w14:paraId="1225B63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PMID:21728981 Anti-cancer peptides from ras-p21 and p53 proteins.</w:t>
      </w:r>
    </w:p>
    <w:p w14:paraId="2C31C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PMID:22753585 Phase I pharmacokinetic/pharmacodynamic study of MLN8237, an investigational, oral, selective aurora a kinase inhibitor, in patients with advanced solid tumors.</w:t>
      </w:r>
    </w:p>
    <w:p w14:paraId="2B46220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PMID:22810696 Comprehensive molecular characterization of human colon and rectal cancer.</w:t>
      </w:r>
    </w:p>
    <w:p w14:paraId="3CAF63B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PMID:22872685 Combination treatment in vitro with Nutlin, a small-molecule antagonist of MDM2, and pegylated interferon-α 2a specifically targets JAK2V617F-positive polycythemia vera cells.</w:t>
      </w:r>
    </w:p>
    <w:p w14:paraId="0117435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PMID:22965953 Targeting p53 in vivo: a first-in-human study with p53-targeting compound APR-246 in refractory hematologic malignancies and prostate cancer.</w:t>
      </w:r>
    </w:p>
    <w:p w14:paraId="618D131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PMID:23066310 KRAS mutation testing in metastatic colorectal cancer.</w:t>
      </w:r>
    </w:p>
    <w:p w14:paraId="23380B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PMID:23182985 Mutant KRAS codon 12 and 13 alleles in patients with metastatic colorectal cancer: assessment as prognostic and predictive biomarkers of response to panitumumab.</w:t>
      </w:r>
    </w:p>
    <w:p w14:paraId="0824BD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PMID:24170544 Modeling RAS phenotype in colorectal cancer uncovers novel molecular traits of RAS dependency and improves prediction of response to targeted agents in patients.</w:t>
      </w:r>
    </w:p>
    <w:p w14:paraId="2D55122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PMID:24200292 Exploiting APC function as a novel cancer therapy.</w:t>
      </w:r>
    </w:p>
    <w:p w14:paraId="7C70108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PMID:24509477 Identification of functional cooperative mutations of SETD2 in human acute leukemia.</w:t>
      </w:r>
    </w:p>
    <w:p w14:paraId="3D19691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PMID:24576621 Combination PI3K/MEK inhibition promotes tumor apoptosis and regression in PIK3CA wild-type, KRAS mutant colorectal cancer.</w:t>
      </w:r>
    </w:p>
    <w:p w14:paraId="71B5712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PMID:24838627 PRIMA-1, a mutant p53 reactivator, induces apoptosis and enhances chemotherapeutic cytotoxicity in pancreatic cancer cell lines.</w:t>
      </w:r>
    </w:p>
    <w:p w14:paraId="70B5F02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PMID:24857548 Gain-of-function mutant p53 promotes cell growth and cancer cell metabolism via inhibition of AMPK activation.</w:t>
      </w:r>
    </w:p>
    <w:p w14:paraId="21EBD47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PMID:25079552 Comprehensive molecular profiling of lung adenocarcinoma.</w:t>
      </w:r>
    </w:p>
    <w:p w14:paraId="58626D77">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PMID:25322874 Phase II study of selumetinib (AZD6244, ARRY-142886) plus irinotecan as second-line therapy in patients with K-RAS mutated colorectal cancer.</w:t>
      </w:r>
    </w:p>
    <w:p w14:paraId="0D01CBA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PMID:25987188 Aurora kinase A in gastrointestinal cancers: time to target.</w:t>
      </w:r>
    </w:p>
    <w:p w14:paraId="1EC065D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PMID:26086967 APR-246 overcomes resistance to cisplatin and doxorubicin in ovarian cancer cells.</w:t>
      </w:r>
    </w:p>
    <w:p w14:paraId="4EAA582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PMID:26282658 Randomized, Double-Blind Phase II Trial With Prospective Classification by ATM Protein Level to Evaluate the Efficacy and Tolerability of Olaparib Plus Paclitaxel in Patients With Recurrent or Metastatic Gastric Cancer.</w:t>
      </w:r>
    </w:p>
    <w:p w14:paraId="3BE81FC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PMID:26425688 TP53 Mutational Status and Prediction of Benefit from Adjuvant 5-Fluorouracil in Stage III Colon Cancer Patients.</w:t>
      </w:r>
    </w:p>
    <w:p w14:paraId="2504940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PMID:26452133 PRIMA-1met (APR-246) inhibits growth of colorectal cancer cells with different p53 status through distinct mechanisms.</w:t>
      </w:r>
    </w:p>
    <w:p w14:paraId="5717D9A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PMID:26510020 DNA-Repair Defects and Olaparib in Metastatic Prostate Cancer.</w:t>
      </w:r>
    </w:p>
    <w:p w14:paraId="408EC0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PMID:26666244 A phase I study of selumetinib (AZD6244/ARRY-142866), a MEK1/2 inhibitor, in combination with cetuximab in refractory solid tumors and KRAS mutant colorectal cancer.</w:t>
      </w:r>
    </w:p>
    <w:p w14:paraId="28EC2CE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PMID:26870698 Targeting of Mutant p53 and the Cellular Redox Balance by APR-246 as a Strategy for Efficient Cancer Therapy.</w:t>
      </w:r>
    </w:p>
    <w:p w14:paraId="6D639BE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PMID:27022037 Clinical Application of Poly(ADP-Ribose) Polymerase Inhibitors in High-Grade Serous Ovarian Cancer.</w:t>
      </w:r>
    </w:p>
    <w:p w14:paraId="0CD2D64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PMID:27097374 FANCI is a negative regulator of Akt activation.</w:t>
      </w:r>
    </w:p>
    <w:p w14:paraId="228CD56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PMID:27167191 Efficacy of the combination of MEK and CDK4/6 inhibitors in vitro and in vivo in KRAS mutant colorectal cancer models.</w:t>
      </w:r>
    </w:p>
    <w:p w14:paraId="213B0E1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PMID:27601554 Phase I Study Evaluating WEE1 Inhibitor AZD1775 As Monotherapy and in Combination With Gemcitabine, Cisplatin, or Carboplatin in Patients With Advanced Solid Tumors.</w:t>
      </w:r>
    </w:p>
    <w:p w14:paraId="7593E34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PMID:28165374 Evaluation of EphA2 and EphB4 as Targets for Image-Guided Colorectal Cancer Surgery.</w:t>
      </w:r>
    </w:p>
    <w:p w14:paraId="7CBA020A">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PMID:28544747 K-Ras mutation and amplification status is predictive of resistance and high basal pAKT is predictive of sensitivity to everolimus in biliary tract cancer cell lines.</w:t>
      </w:r>
    </w:p>
    <w:p w14:paraId="7CE97B51">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PMID:28966234 Emerging and Diverse Functions of the EphA2 Noncanonical Pathway in Cancer Progression</w:t>
      </w:r>
    </w:p>
    <w:p w14:paraId="40C862F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PMID:28978051 Mutational status of TP53 defines the efficacy of Wee1 inhibitor AZD1775 in KRAS-mutant non-small cell lung cancer.</w:t>
      </w:r>
    </w:p>
    <w:p w14:paraId="4FF6686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PMID:29285035 Biomarkers of Everolimus Sensitivity in Hormone Receptor-Positive Breast Cancer.</w:t>
      </w:r>
    </w:p>
    <w:p w14:paraId="7CF45B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PMID:29955114 Synthetic lethal therapies for cancer: what's next after PARP inhibitors?</w:t>
      </w:r>
    </w:p>
    <w:p w14:paraId="620B5D0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PMID:30262796 Comprehensive Analysis of Germline Variants in Mexican Patients with Hereditary Breast and Ovarian Cancer Susceptibility.</w:t>
      </w:r>
    </w:p>
    <w:p w14:paraId="2F864E4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PMID:30755439 Combined Aurora Kinase A (AURKA) and WEE1 Inhibition Demonstrates Synergistic Antitumor Effect in Squamous Cell Carcinoma of the Head and Neck.</w:t>
      </w:r>
    </w:p>
    <w:p w14:paraId="71B35C60">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PMID:31658756 Landscape of Germline Mutations in DNA Repair Genes for Breast Cancer in Latin America: Opportunities for PARP-Like Inhibitors and Immunotherapy.</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