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肿瘤自动化分析流程技术服务合同</w:t>
      </w:r>
    </w:p>
    <w:p>
      <w:r>
        <w:t>甲方（服务需求方）：某生物科技公司</w:t>
      </w:r>
    </w:p>
    <w:p>
      <w:r>
        <w:t>地址：_____________________________________________</w:t>
      </w:r>
    </w:p>
    <w:p>
      <w:r>
        <w:t>联系电话：__________________________________________</w:t>
      </w:r>
    </w:p>
    <w:p/>
    <w:p>
      <w:r>
        <w:t>乙方（服务提供方）：杨飞</w:t>
      </w:r>
    </w:p>
    <w:p>
      <w:r>
        <w:t>地址：_____________________________________________</w:t>
      </w:r>
    </w:p>
    <w:p>
      <w:r>
        <w:t>联系电话：__________________________________________</w:t>
      </w:r>
    </w:p>
    <w:p/>
    <w:p>
      <w:r>
        <w:t>鉴于甲乙双方在平等、自愿的基础上，就乙方为甲方提供肿瘤自动化分析流程技术服务事宜达成如下协议：</w:t>
      </w:r>
    </w:p>
    <w:p/>
    <w:p>
      <w:r>
        <w:rPr>
          <w:b/>
        </w:rPr>
        <w:t>一、服务内容与要求</w:t>
      </w:r>
    </w:p>
    <w:p>
      <w:r>
        <w:t>1.1 服务概述</w:t>
      </w:r>
    </w:p>
    <w:p>
      <w:r>
        <w:t>乙方负责为甲方搭建肿瘤自动化分析流程系统，采用成熟开源技术栈（Nextflow+nf-core、SENAITE、n8n、Metabase、MinIO等），实现从样本登记到分析报告的全流程自动化。</w:t>
      </w:r>
    </w:p>
    <w:p/>
    <w:p>
      <w:r>
        <w:t>1.2 服务分为五个阶段，具体内容如下：</w:t>
      </w:r>
    </w:p>
    <w:p/>
    <w:p>
      <w:r>
        <w:rPr>
          <w:b/>
        </w:rPr>
        <w:t>阶段一：对齐目标（第1-2周）</w:t>
      </w:r>
    </w:p>
    <w:p>
      <w:r>
        <w:t>• 目的：明确自动化范围，聚焦80%常见场景</w:t>
      </w:r>
    </w:p>
    <w:p>
      <w:r>
        <w:t>• 交付物：《一页MVP范围与成功标准》文档</w:t>
      </w:r>
    </w:p>
    <w:p>
      <w:r>
        <w:t>• 验收标准：范围与成功标准得到甲方书面确认</w:t>
      </w:r>
    </w:p>
    <w:p/>
    <w:p>
      <w:r>
        <w:rPr>
          <w:b/>
        </w:rPr>
        <w:t>阶段二：快速PoC演示（第3-7周）</w:t>
      </w:r>
    </w:p>
    <w:p>
      <w:r>
        <w:t>• 目的：使用开源技术栈端到端跑通1-2个样本，验证技术可行性</w:t>
      </w:r>
    </w:p>
    <w:p>
      <w:r>
        <w:t>• 交付物：PoC演示、样本结果、粗略成本估算</w:t>
      </w:r>
    </w:p>
    <w:p>
      <w:r>
        <w:t>• 验收标准：甲方确认看到结果并认可技术栈选型</w:t>
      </w:r>
    </w:p>
    <w:p/>
    <w:p>
      <w:r>
        <w:rPr>
          <w:b/>
        </w:rPr>
        <w:t>阶段三：MVP系统搭建（第8-17周）</w:t>
      </w:r>
    </w:p>
    <w:p>
      <w:r>
        <w:t>• 目的：搭建最小可用系统，实现进样→分析→报告→看板的完整流程</w:t>
      </w:r>
    </w:p>
    <w:p>
      <w:r>
        <w:t>• 核心模块包括：</w:t>
      </w:r>
    </w:p>
    <w:p>
      <w:r>
        <w:t xml:space="preserve">  ◦ 数据接入&amp;LIMS：样本登记、条码管理、落盘自动触发（SENAITE/openBIS + n8n）</w:t>
      </w:r>
    </w:p>
    <w:p>
      <w:r>
        <w:t xml:space="preserve">  ◦ 生信流程：体细胞变异检测、RNA表达分析（nf-core + Nextflow）</w:t>
      </w:r>
    </w:p>
    <w:p>
      <w:r>
        <w:t xml:space="preserve">  ◦ 报告&amp;看板：一键生成PDF/HTML报告、常用指标可视化（Jinja2+Pandoc、Metabase/Grafana）</w:t>
      </w:r>
    </w:p>
    <w:p>
      <w:r>
        <w:t xml:space="preserve">  ◦ 基础设施：容器化+队列管理、本地计算为主+云突发（Docker/Apptainer + SLURM/Nextflow）</w:t>
      </w:r>
    </w:p>
    <w:p>
      <w:r>
        <w:t>• 交付物：可运行的自动化系统、两条主要生信流程、一键报告功能、基础数据看板</w:t>
      </w:r>
    </w:p>
    <w:p>
      <w:r>
        <w:t>• 验收标准：≥10个样本稳定运行通过；TAT（周转时间）≤48小时；登记自动化率≥90%</w:t>
      </w:r>
    </w:p>
    <w:p/>
    <w:p>
      <w:r>
        <w:rPr>
          <w:b/>
        </w:rPr>
        <w:t>阶段四：安全合规与试运行（第18-22周）</w:t>
      </w:r>
    </w:p>
    <w:p>
      <w:r>
        <w:t>• 目的：完善账号权限管理、审计日志、数据备份，制定SOP并进行灰度上线</w:t>
      </w:r>
    </w:p>
    <w:p>
      <w:r>
        <w:t>• 安全合规模块：</w:t>
      </w:r>
    </w:p>
    <w:p>
      <w:r>
        <w:t xml:space="preserve">  ◦ 账号权限：Keycloak/LDAP集成</w:t>
      </w:r>
    </w:p>
    <w:p>
      <w:r>
        <w:t xml:space="preserve">  ◦ 审计与备份：操作日志记录、对象存储WORM模式</w:t>
      </w:r>
    </w:p>
    <w:p>
      <w:r>
        <w:t>• 交付物：权限管理系统、审计日志、备份恢复方案、SOP操作手册</w:t>
      </w:r>
    </w:p>
    <w:p>
      <w:r>
        <w:t>• 验收标准：通过合规检查；灰度期内系统运行稳定；完成一次备份恢复演练</w:t>
      </w:r>
    </w:p>
    <w:p/>
    <w:p>
      <w:r>
        <w:rPr>
          <w:b/>
        </w:rPr>
        <w:t>阶段五：上线与优化（第23-24周）</w:t>
      </w:r>
    </w:p>
    <w:p>
      <w:r>
        <w:t>• 目的：正式上线、扩展癌种/面板支持、实施成本优化</w:t>
      </w:r>
    </w:p>
    <w:p>
      <w:r>
        <w:t>• 可选扩展模块（根据需求）：</w:t>
      </w:r>
    </w:p>
    <w:p>
      <w:r>
        <w:t xml:space="preserve">  ◦ 病理影像分析（QuPath）</w:t>
      </w:r>
    </w:p>
    <w:p>
      <w:r>
        <w:t xml:space="preserve">  ◦ 质谱/蛋白组分析（OpenMS）</w:t>
      </w:r>
    </w:p>
    <w:p>
      <w:r>
        <w:t xml:space="preserve">  ◦ HLA/新抗原预测（OptiType）</w:t>
      </w:r>
    </w:p>
    <w:p>
      <w:r>
        <w:t>• 交付物：更多流程模板、自动QC机制、成本与容量监控告警</w:t>
      </w:r>
    </w:p>
    <w:p>
      <w:r>
        <w:t>• 验收标准：单位样本成本较基线下降≥20%；系统正式投入生产使用</w:t>
      </w:r>
    </w:p>
    <w:p/>
    <w:p>
      <w:r>
        <w:t>1.3 质量保证</w:t>
      </w:r>
    </w:p>
    <w:p>
      <w:r>
        <w:t>乙方应确保所提供系统的稳定性和可靠性，所有分析流程需通过标准样本验证，确保结果的准确性和可重复性。</w:t>
      </w:r>
    </w:p>
    <w:p/>
    <w:p>
      <w:r>
        <w:rPr>
          <w:b/>
        </w:rPr>
        <w:t>二、服务期限</w:t>
      </w:r>
    </w:p>
    <w:p>
      <w:r>
        <w:t>2.1 服务开始日期为：2025年11月14日</w:t>
      </w:r>
    </w:p>
    <w:p>
      <w:r>
        <w:t>2.2 服务完成日期为：2026年05月01日（共计24周，约6个月）</w:t>
      </w:r>
    </w:p>
    <w:p>
      <w:r>
        <w:t>2.3 如遇不可抗力或双方同意的其他情况，服务期限可以相应调整。</w:t>
      </w:r>
    </w:p>
    <w:p/>
    <w:p>
      <w:r>
        <w:rPr>
          <w:b/>
        </w:rPr>
        <w:t>三、服务费用与支付方式</w:t>
      </w:r>
    </w:p>
    <w:p>
      <w:r>
        <w:t>3.1 服务费用总额为：人民币壹万捌仟元整（¥18,000元），支付方式如下：</w:t>
      </w:r>
    </w:p>
    <w:p>
      <w:r>
        <w:t xml:space="preserve">    • 首付款（占总价的50%）：人民币玖仟元整（¥9,000元），在合同签订后7个工作日内支付；</w:t>
      </w:r>
    </w:p>
    <w:p>
      <w:r>
        <w:t xml:space="preserve">    • 尾款（占总价的50%）：人民币玖仟元整（¥9,000元），在阶段三MVP系统验收通过后7个工作日内支付。</w:t>
      </w:r>
    </w:p>
    <w:p/>
    <w:p>
      <w:r>
        <w:rPr>
          <w:b/>
        </w:rPr>
        <w:t>四、甲方责任</w:t>
      </w:r>
    </w:p>
    <w:p>
      <w:r>
        <w:t>4.1 甲方应按时支付乙方服务费用，并提供必要的协助与支持。</w:t>
      </w:r>
    </w:p>
    <w:p>
      <w:r>
        <w:t>4.2 甲方需及时向乙方提供肿瘤样本测序数据、相关技术文档及必要的测试环境，确保其准确性和可访问性。</w:t>
      </w:r>
    </w:p>
    <w:p>
      <w:r>
        <w:t>4.3 甲方应指定专人负责项目对接，及时反馈测试结果和需求变更。</w:t>
      </w:r>
    </w:p>
    <w:p>
      <w:r>
        <w:t>4.4 甲方需提供必要的硬件资源（服务器、存储等）或授权乙方使用云计算资源。</w:t>
      </w:r>
    </w:p>
    <w:p/>
    <w:p>
      <w:r>
        <w:rPr>
          <w:b/>
        </w:rPr>
        <w:t>五、乙方责任</w:t>
      </w:r>
    </w:p>
    <w:p>
      <w:r>
        <w:t>5.1 乙方应按照合同规定的服务内容和时间节点，按时保质完成各阶段工作。</w:t>
      </w:r>
    </w:p>
    <w:p>
      <w:r>
        <w:t>5.2 乙方需确保提供的系统架构合理、代码质量达标，并提供完整的技术文档和操作手册。</w:t>
      </w:r>
    </w:p>
    <w:p>
      <w:r>
        <w:t>5.3 乙方应对项目实施过程中接触到的甲方数据和商业信息严格保密。</w:t>
      </w:r>
    </w:p>
    <w:p>
      <w:r>
        <w:t>5.4 乙方需在项目验收后提供不少于1个月的免费技术支持和问题修复服务。</w:t>
      </w:r>
    </w:p>
    <w:p/>
    <w:p>
      <w:r>
        <w:rPr>
          <w:b/>
        </w:rPr>
        <w:t>六、验收标准</w:t>
      </w:r>
    </w:p>
    <w:p>
      <w:r>
        <w:t>6.1 各阶段验收按照第一条所述的各阶段验收标准执行。</w:t>
      </w:r>
    </w:p>
    <w:p>
      <w:r>
        <w:t>6.2 最终验收以阶段三（MVP系统搭建）的验收标准为主要依据，必须满足：</w:t>
      </w:r>
    </w:p>
    <w:p>
      <w:r>
        <w:t xml:space="preserve">    • 系统能够稳定处理≥10个样本</w:t>
      </w:r>
    </w:p>
    <w:p>
      <w:r>
        <w:t xml:space="preserve">    • TAT（周转时间）≤48小时</w:t>
      </w:r>
    </w:p>
    <w:p>
      <w:r>
        <w:t xml:space="preserve">    • 样本登记自动化率≥90%</w:t>
      </w:r>
    </w:p>
    <w:p>
      <w:r>
        <w:t xml:space="preserve">    • 生成的分析报告准确完整</w:t>
      </w:r>
    </w:p>
    <w:p>
      <w:r>
        <w:t>6.3 甲方应在乙方提交验收申请后5个工作日内完成验收，验收通过后出具书面验收确认函。</w:t>
      </w:r>
    </w:p>
    <w:p/>
    <w:p>
      <w:r>
        <w:rPr>
          <w:b/>
        </w:rPr>
        <w:t>七、违约责任</w:t>
      </w:r>
    </w:p>
    <w:p>
      <w:r>
        <w:t>7.1 如甲方未按时支付服务费用，应按拖欠金额的0.5%/日支付违约金。</w:t>
      </w:r>
    </w:p>
    <w:p>
      <w:r>
        <w:t>7.2 如乙方未按时完成服务或服务质量不符合验收标准，甲方有权要求乙方限期整改。整改后仍不合格的，甲方有权解除合同，乙方需退还已收取的首付款，并按首付款金额的30%支付违约金。</w:t>
      </w:r>
    </w:p>
    <w:p>
      <w:r>
        <w:t>7.3 因甲方原因（如未及时提供数据、环境等）导致项目延期的，乙方不承担违约责任，双方应协商调整服务期限。</w:t>
      </w:r>
    </w:p>
    <w:p/>
    <w:p>
      <w:r>
        <w:rPr>
          <w:b/>
        </w:rPr>
        <w:t>八、知识产权</w:t>
      </w:r>
    </w:p>
    <w:p>
      <w:r>
        <w:t>8.1 本项目开发的系统代码、文档等知识产权归甲方所有。</w:t>
      </w:r>
    </w:p>
    <w:p>
      <w:r>
        <w:t>8.2 项目使用的开源软件和第三方组件遵循其原有开源协议，不在本合同知识产权转让范围内。</w:t>
      </w:r>
    </w:p>
    <w:p>
      <w:r>
        <w:t>8.3 乙方保留将本项目的通用技术方案（不包含甲方专有数据和业务逻辑）用于其他项目的权利。</w:t>
      </w:r>
    </w:p>
    <w:p/>
    <w:p>
      <w:r>
        <w:rPr>
          <w:b/>
        </w:rPr>
        <w:t>九、保密条款</w:t>
      </w:r>
    </w:p>
    <w:p>
      <w:r>
        <w:t>9.1 双方对在合作过程中知悉的对方商业秘密、技术信息、患者数据负有保密义务。</w:t>
      </w:r>
    </w:p>
    <w:p>
      <w:r>
        <w:t>9.2 未经对方书面同意，任何一方不得向第三方披露、使用或允许他人使用上述保密信息。</w:t>
      </w:r>
    </w:p>
    <w:p>
      <w:r>
        <w:t>9.3 保密义务在合同终止后继续有效，期限为3年。</w:t>
      </w:r>
    </w:p>
    <w:p/>
    <w:p>
      <w:r>
        <w:rPr>
          <w:b/>
        </w:rPr>
        <w:t>十、合同的变更与终止</w:t>
      </w:r>
    </w:p>
    <w:p>
      <w:r>
        <w:t>10.1 双方可协商一致，通过书面形式对合同条款进行修改或补充。</w:t>
      </w:r>
    </w:p>
    <w:p>
      <w:r>
        <w:t>10.2 一方严重违约时，另一方有权单方面终止合同，并要求违约方承担相应违约责任。</w:t>
      </w:r>
    </w:p>
    <w:p>
      <w:r>
        <w:t>10.3 因不可抗力导致合同无法履行的，双方均不承担违约责任，可协商解除合同。</w:t>
      </w:r>
    </w:p>
    <w:p/>
    <w:p>
      <w:r>
        <w:rPr>
          <w:b/>
        </w:rPr>
        <w:t>十一、争议解决</w:t>
      </w:r>
    </w:p>
    <w:p>
      <w:r>
        <w:t>11.1 合同在履行过程中发生的任何争议，双方应首先通过友好协商解决。</w:t>
      </w:r>
    </w:p>
    <w:p>
      <w:r>
        <w:t>11.2 协商不成时，任何一方可向合同签订地有管辖权的人民法院提起诉讼。</w:t>
      </w:r>
    </w:p>
    <w:p/>
    <w:p>
      <w:r>
        <w:rPr>
          <w:b/>
        </w:rPr>
        <w:t>十二、其他</w:t>
      </w:r>
    </w:p>
    <w:p>
      <w:r>
        <w:t>12.1 本合同自双方授权代表签字盖章之日起生效。</w:t>
      </w:r>
    </w:p>
    <w:p>
      <w:r>
        <w:t>12.2 本合同一式两份，甲乙双方各执一份，具有同等法律效力。</w:t>
      </w:r>
    </w:p>
    <w:p>
      <w:r>
        <w:t>12.3 本合同未尽事宜，双方可另行签订补充协议，补充协议与本合同具有同等法律效力。</w:t>
      </w:r>
    </w:p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甲方签字（盖章）：________________</w:t>
            </w:r>
          </w:p>
        </w:tc>
        <w:tc>
          <w:tcPr>
            <w:tcW w:type="dxa" w:w="4320"/>
          </w:tcPr>
          <w:p>
            <w:r>
              <w:t>乙方签字：________________</w:t>
            </w:r>
          </w:p>
        </w:tc>
      </w:tr>
      <w:tr>
        <w:tc>
          <w:tcPr>
            <w:tcW w:type="dxa" w:w="4320"/>
          </w:tcPr>
          <w:p>
            <w:r>
              <w:t>签订日期：______年___月___日</w:t>
            </w:r>
          </w:p>
        </w:tc>
        <w:tc>
          <w:tcPr>
            <w:tcW w:type="dxa" w:w="4320"/>
          </w:tcPr>
          <w:p>
            <w:r>
              <w:t>签订日期：______年___月___日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