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46303">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cstate="print"/>
                    <a:stretch>
                      <a:fillRect/>
                    </a:stretch>
                  </pic:blipFill>
                  <pic:spPr>
                    <a:xfrm>
                      <a:off x="0" y="0"/>
                      <a:ext cx="7746365" cy="10864215"/>
                    </a:xfrm>
                    <a:prstGeom prst="rect">
                      <a:avLst/>
                    </a:prstGeom>
                    <a:noFill/>
                    <a:ln>
                      <a:noFill/>
                    </a:ln>
                  </pic:spPr>
                </pic:pic>
              </a:graphicData>
            </a:graphic>
          </wp:anchor>
        </w:drawing>
      </w:r>
    </w:p>
    <w:p w14:paraId="6B88F801">
      <w:pPr>
        <w:ind w:firstLine="550" w:firstLineChars="250"/>
        <w:rPr>
          <w:rFonts w:ascii="微软雅黑" w:hAnsi="微软雅黑"/>
        </w:rPr>
      </w:pPr>
    </w:p>
    <w:p w14:paraId="1F3BBF4D">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7" cstate="print"/>
                    <a:stretch>
                      <a:fillRect/>
                    </a:stretch>
                  </pic:blipFill>
                  <pic:spPr>
                    <a:xfrm>
                      <a:off x="0" y="0"/>
                      <a:ext cx="2834640" cy="762000"/>
                    </a:xfrm>
                    <a:prstGeom prst="rect">
                      <a:avLst/>
                    </a:prstGeom>
                  </pic:spPr>
                </pic:pic>
              </a:graphicData>
            </a:graphic>
          </wp:anchor>
        </w:drawing>
      </w:r>
    </w:p>
    <w:p w14:paraId="0801B93E">
      <w:pPr>
        <w:spacing w:line="240" w:lineRule="atLeast"/>
        <w:jc w:val="center"/>
        <w:rPr>
          <w:rFonts w:ascii="微软雅黑" w:hAnsi="微软雅黑"/>
          <w:b/>
          <w:color w:val="3D5E18"/>
          <w:sz w:val="52"/>
          <w:szCs w:val="52"/>
        </w:rPr>
      </w:pPr>
    </w:p>
    <w:p w14:paraId="3F638515">
      <w:pPr>
        <w:spacing w:line="240" w:lineRule="atLeast"/>
        <w:jc w:val="center"/>
        <w:rPr>
          <w:rFonts w:ascii="微软雅黑" w:hAnsi="微软雅黑"/>
          <w:b/>
          <w:color w:val="3D5E18"/>
          <w:sz w:val="10"/>
          <w:szCs w:val="10"/>
        </w:rPr>
      </w:pPr>
    </w:p>
    <w:p w14:paraId="5EC938AD">
      <w:pPr>
        <w:spacing w:line="240" w:lineRule="atLeast"/>
        <w:jc w:val="center"/>
        <w:rPr>
          <w:rFonts w:ascii="微软雅黑" w:hAnsi="微软雅黑"/>
          <w:b/>
          <w:color w:val="3D5E18"/>
          <w:sz w:val="10"/>
          <w:szCs w:val="10"/>
        </w:rPr>
      </w:pPr>
    </w:p>
    <w:p w14:paraId="1D15977B">
      <w:pPr>
        <w:spacing w:line="240" w:lineRule="atLeast"/>
        <w:jc w:val="center"/>
        <w:rPr>
          <w:rFonts w:ascii="微软雅黑" w:hAnsi="微软雅黑"/>
          <w:b/>
          <w:color w:val="3D5E18"/>
          <w:sz w:val="10"/>
          <w:szCs w:val="10"/>
        </w:rPr>
      </w:pPr>
    </w:p>
    <w:p w14:paraId="244C98A6">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27ABA94">
      <w:pPr>
        <w:spacing w:line="240" w:lineRule="atLeast"/>
        <w:jc w:val="center"/>
        <w:rPr>
          <w:rFonts w:ascii="微软雅黑" w:hAnsi="微软雅黑"/>
          <w:b/>
          <w:color w:val="3D5E18"/>
          <w:sz w:val="32"/>
          <w:szCs w:val="32"/>
        </w:rPr>
      </w:pPr>
    </w:p>
    <w:p w14:paraId="038363CF">
      <w:pPr>
        <w:spacing w:line="240" w:lineRule="atLeast"/>
        <w:jc w:val="center"/>
        <w:rPr>
          <w:rFonts w:ascii="微软雅黑" w:hAnsi="微软雅黑"/>
          <w:b/>
          <w:color w:val="3D5E18"/>
          <w:sz w:val="32"/>
          <w:szCs w:val="32"/>
        </w:rPr>
      </w:pPr>
    </w:p>
    <w:p w14:paraId="6110D20E">
      <w:pPr>
        <w:spacing w:line="240" w:lineRule="atLeast"/>
        <w:jc w:val="center"/>
        <w:rPr>
          <w:rFonts w:ascii="微软雅黑" w:hAnsi="微软雅黑"/>
          <w:b/>
          <w:color w:val="3D5E18"/>
          <w:sz w:val="10"/>
          <w:szCs w:val="10"/>
        </w:rPr>
      </w:pPr>
    </w:p>
    <w:p w14:paraId="4CD915A9">
      <w:pPr>
        <w:spacing w:line="240" w:lineRule="atLeast"/>
        <w:jc w:val="center"/>
        <w:rPr>
          <w:rFonts w:ascii="微软雅黑" w:hAnsi="微软雅黑"/>
          <w:b/>
          <w:color w:val="3D5E18"/>
          <w:sz w:val="32"/>
          <w:szCs w:val="32"/>
        </w:rPr>
      </w:pPr>
    </w:p>
    <w:p w14:paraId="06847109">
      <w:pPr>
        <w:spacing w:line="240" w:lineRule="atLeast"/>
        <w:jc w:val="center"/>
        <w:rPr>
          <w:rFonts w:ascii="微软雅黑" w:hAnsi="微软雅黑"/>
          <w:b/>
          <w:color w:val="3D5E18"/>
          <w:sz w:val="32"/>
          <w:szCs w:val="32"/>
        </w:rPr>
      </w:pPr>
    </w:p>
    <w:p w14:paraId="6C6043D4">
      <w:pPr>
        <w:spacing w:line="240" w:lineRule="atLeast"/>
        <w:jc w:val="center"/>
        <w:rPr>
          <w:rFonts w:ascii="微软雅黑" w:hAnsi="微软雅黑"/>
          <w:b/>
          <w:color w:val="3D5E18"/>
          <w:sz w:val="32"/>
          <w:szCs w:val="32"/>
        </w:rPr>
      </w:pPr>
    </w:p>
    <w:p w14:paraId="014BCFC6">
      <w:pPr>
        <w:spacing w:line="240" w:lineRule="atLeast"/>
        <w:jc w:val="center"/>
        <w:rPr>
          <w:rFonts w:ascii="微软雅黑" w:hAnsi="微软雅黑"/>
          <w:b/>
          <w:color w:val="3D5E18"/>
          <w:sz w:val="32"/>
          <w:szCs w:val="32"/>
        </w:rPr>
      </w:pPr>
    </w:p>
    <w:p w14:paraId="2F9979A3">
      <w:pPr>
        <w:spacing w:line="240" w:lineRule="atLeast"/>
        <w:jc w:val="center"/>
        <w:rPr>
          <w:rFonts w:ascii="微软雅黑" w:hAnsi="微软雅黑"/>
          <w:b/>
          <w:color w:val="3D5E18"/>
          <w:sz w:val="32"/>
          <w:szCs w:val="32"/>
        </w:rPr>
      </w:pPr>
    </w:p>
    <w:p w14:paraId="7756D664">
      <w:pPr>
        <w:spacing w:line="360" w:lineRule="auto"/>
        <w:ind w:left="297" w:leftChars="135" w:firstLine="836" w:firstLineChars="348"/>
        <w:rPr>
          <w:rFonts w:hint="default" w:ascii="微软雅黑" w:hAnsi="微软雅黑" w:eastAsia="微软雅黑" w:cs="微软雅黑"/>
          <w:kern w:val="2"/>
          <w:sz w:val="24"/>
          <w:szCs w:val="24"/>
          <w:highlight w:val="none"/>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5"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1552;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5CuQT2AAAAAkBAAAPAAAAAAAAAAEAIAAAACIAAABkcnMvZG93bnJl&#10;di54bWxQSwECFAAUAAAACACHTuJAJ+ypUv0BAAD1AwAADgAAAAAAAAABACAAAAAn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highlight w:val="none"/>
        </w:rPr>
        <w:t xml:space="preserve"> </w:t>
      </w:r>
      <w:r>
        <w:rPr>
          <w:rFonts w:hint="eastAsia" w:ascii="微软雅黑" w:hAnsi="微软雅黑" w:cs="微软雅黑"/>
          <w:kern w:val="2"/>
          <w:sz w:val="24"/>
          <w:szCs w:val="24"/>
          <w:highlight w:val="none"/>
          <w:lang w:val="en-US" w:eastAsia="zh-CN"/>
        </w:rPr>
        <w:t xml:space="preserve">  </w:t>
      </w:r>
      <w:r>
        <w:rPr>
          <w:rFonts w:hint="eastAsia" w:ascii="微软雅黑" w:hAnsi="微软雅黑" w:cs="微软雅黑"/>
          <w:kern w:val="2"/>
          <w:sz w:val="24"/>
          <w:szCs w:val="24"/>
          <w:highlight w:val="none"/>
        </w:rPr>
        <w:t xml:space="preserve">   </w:t>
      </w:r>
      <w:r>
        <w:rPr>
          <w:rFonts w:hint="eastAsia" w:ascii="微软雅黑" w:hAnsi="微软雅黑" w:cs="微软雅黑"/>
          <w:kern w:val="2"/>
          <w:sz w:val="24"/>
          <w:szCs w:val="24"/>
          <w:highlight w:val="none"/>
          <w:lang w:val="en-US" w:eastAsia="zh-CN"/>
        </w:rPr>
        <w:t xml:space="preserve">  </w:t>
      </w:r>
      <w:r>
        <w:rPr>
          <w:rFonts w:hint="eastAsia" w:ascii="微软雅黑" w:hAnsi="微软雅黑" w:cs="微软雅黑"/>
          <w:kern w:val="2"/>
          <w:sz w:val="24"/>
          <w:szCs w:val="24"/>
          <w:highlight w:val="none"/>
        </w:rPr>
        <w:t xml:space="preserve"> </w:t>
      </w:r>
      <w:r>
        <w:rPr>
          <w:rFonts w:hint="eastAsia" w:ascii="微软雅黑" w:hAnsi="微软雅黑" w:cs="微软雅黑"/>
          <w:kern w:val="2"/>
          <w:sz w:val="24"/>
          <w:szCs w:val="24"/>
          <w:highlight w:val="none"/>
          <w:lang w:val="en-US" w:eastAsia="zh-CN"/>
        </w:rPr>
        <w:t xml:space="preserve">杨庆铁         </w:t>
      </w:r>
    </w:p>
    <w:p w14:paraId="12F35139">
      <w:pPr>
        <w:spacing w:line="360" w:lineRule="auto"/>
        <w:ind w:left="297" w:leftChars="135" w:firstLine="836" w:firstLineChars="348"/>
        <w:rPr>
          <w:rFonts w:hint="default" w:ascii="微软雅黑" w:hAnsi="微软雅黑" w:eastAsia="微软雅黑" w:cs="微软雅黑"/>
          <w:sz w:val="24"/>
          <w:szCs w:val="24"/>
          <w:highlight w:val="none"/>
          <w:lang w:val="en-US" w:eastAsia="zh-CN"/>
        </w:rPr>
      </w:pPr>
      <w:r>
        <w:rPr>
          <w:rFonts w:ascii="微软雅黑" w:hAnsi="微软雅黑"/>
          <w:b/>
          <w:sz w:val="24"/>
          <w:szCs w:val="24"/>
          <w:highlight w:val="none"/>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25"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2576;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fQ+Xc1wAAAAkBAAAPAAAAAAAAAAEAIAAAACIAAABkcnMv&#10;ZG93bnJldi54bWxQSwECFAAUAAAACACHTuJA+hFkdgQCAAAABAAADgAAAAAAAAABACAAAAAmAQAA&#10;ZHJzL2Uyb0RvYy54bWxQSwUGAAAAAAYABgBZAQAAnAUAAAAA&#10;">
                <v:fill on="f" focussize="0,0"/>
                <v:stroke color="#000000" joinstyle="round"/>
                <v:imagedata o:title=""/>
                <o:lock v:ext="edit" aspectratio="f"/>
              </v:shape>
            </w:pict>
          </mc:Fallback>
        </mc:AlternateContent>
      </w:r>
      <w:r>
        <w:rPr>
          <w:rFonts w:hint="eastAsia" w:ascii="微软雅黑" w:hAnsi="微软雅黑"/>
          <w:b/>
          <w:sz w:val="24"/>
          <w:szCs w:val="24"/>
          <w:highlight w:val="none"/>
        </w:rPr>
        <w:t>报告编号</w:t>
      </w:r>
      <w:r>
        <w:rPr>
          <w:rFonts w:ascii="微软雅黑" w:hAnsi="微软雅黑"/>
          <w:b/>
          <w:sz w:val="24"/>
          <w:szCs w:val="24"/>
          <w:highlight w:val="none"/>
        </w:rPr>
        <w:t>：</w:t>
      </w:r>
      <w:r>
        <w:rPr>
          <w:rFonts w:hint="eastAsia" w:ascii="微软雅黑" w:hAnsi="微软雅黑"/>
          <w:b/>
          <w:sz w:val="24"/>
          <w:szCs w:val="24"/>
          <w:highlight w:val="none"/>
        </w:rPr>
        <w:t xml:space="preserve">                    </w:t>
      </w:r>
      <w:r>
        <w:rPr>
          <w:rFonts w:hint="eastAsia" w:ascii="微软雅黑" w:hAnsi="微软雅黑"/>
          <w:bCs/>
          <w:sz w:val="24"/>
          <w:szCs w:val="24"/>
          <w:highlight w:val="none"/>
        </w:rPr>
        <w:t>MLJY-L</w:t>
      </w:r>
      <w:r>
        <w:rPr>
          <w:rFonts w:hint="eastAsia" w:ascii="微软雅黑" w:hAnsi="微软雅黑"/>
          <w:bCs/>
          <w:sz w:val="24"/>
          <w:szCs w:val="24"/>
          <w:highlight w:val="none"/>
          <w:lang w:val="en-US" w:eastAsia="zh-CN"/>
        </w:rPr>
        <w:t>Z250929</w:t>
      </w:r>
    </w:p>
    <w:p w14:paraId="20345F5D">
      <w:pPr>
        <w:spacing w:line="360" w:lineRule="auto"/>
        <w:ind w:left="297" w:leftChars="135" w:firstLine="836" w:firstLineChars="348"/>
        <w:rPr>
          <w:rFonts w:hint="default" w:ascii="微软雅黑" w:hAnsi="微软雅黑" w:eastAsia="微软雅黑" w:cs="微软雅黑"/>
          <w:bCs/>
          <w:sz w:val="24"/>
          <w:szCs w:val="24"/>
          <w:highlight w:val="none"/>
          <w:lang w:val="en-US" w:eastAsia="zh-CN"/>
        </w:rPr>
      </w:pPr>
      <w:r>
        <w:rPr>
          <w:rFonts w:ascii="微软雅黑" w:hAnsi="微软雅黑"/>
          <w:b/>
          <w:sz w:val="24"/>
          <w:szCs w:val="24"/>
          <w:highlight w:val="none"/>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7"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3600;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DralUtcAAAAJAQAADwAAAAAAAAABACAAAAAiAAAAZHJz&#10;L2Rvd25yZXYueG1sUEsBAhQAFAAAAAgAh07iQMNxVooFAgAA/wMAAA4AAAAAAAAAAQAgAAAAJgEA&#10;AGRycy9lMm9Eb2MueG1sUEsFBgAAAAAGAAYAWQEAAJ0FAAAAAA==&#10;">
                <v:fill on="f" focussize="0,0"/>
                <v:stroke color="#000000" joinstyle="round"/>
                <v:imagedata o:title=""/>
                <o:lock v:ext="edit" aspectratio="f"/>
              </v:shape>
            </w:pict>
          </mc:Fallback>
        </mc:AlternateContent>
      </w:r>
      <w:r>
        <w:rPr>
          <w:rFonts w:hint="eastAsia" w:ascii="微软雅黑" w:hAnsi="微软雅黑"/>
          <w:b/>
          <w:sz w:val="24"/>
          <w:szCs w:val="24"/>
          <w:highlight w:val="none"/>
        </w:rPr>
        <w:t>送检日期</w:t>
      </w:r>
      <w:r>
        <w:rPr>
          <w:rFonts w:ascii="微软雅黑" w:hAnsi="微软雅黑"/>
          <w:b/>
          <w:sz w:val="24"/>
          <w:szCs w:val="24"/>
          <w:highlight w:val="none"/>
        </w:rPr>
        <w:t>：</w:t>
      </w:r>
      <w:r>
        <w:rPr>
          <w:rFonts w:hint="eastAsia" w:ascii="微软雅黑" w:hAnsi="微软雅黑"/>
          <w:b/>
          <w:sz w:val="24"/>
          <w:szCs w:val="24"/>
          <w:highlight w:val="none"/>
        </w:rPr>
        <w:t xml:space="preserve">                         </w:t>
      </w:r>
      <w:r>
        <w:rPr>
          <w:rFonts w:hint="eastAsia" w:ascii="微软雅黑" w:hAnsi="微软雅黑"/>
          <w:bCs/>
          <w:sz w:val="24"/>
          <w:szCs w:val="24"/>
          <w:highlight w:val="none"/>
        </w:rPr>
        <w:t>202</w:t>
      </w:r>
      <w:r>
        <w:rPr>
          <w:rFonts w:hint="eastAsia" w:ascii="微软雅黑" w:hAnsi="微软雅黑"/>
          <w:bCs/>
          <w:sz w:val="24"/>
          <w:szCs w:val="24"/>
          <w:highlight w:val="none"/>
          <w:lang w:val="en-US" w:eastAsia="zh-CN"/>
        </w:rPr>
        <w:t>50327</w:t>
      </w:r>
    </w:p>
    <w:p w14:paraId="6A0D0E86">
      <w:pPr>
        <w:spacing w:line="360" w:lineRule="auto"/>
        <w:ind w:left="297" w:leftChars="135" w:firstLine="836" w:firstLineChars="348"/>
        <w:rPr>
          <w:rFonts w:hint="default" w:ascii="微软雅黑" w:hAnsi="微软雅黑" w:eastAsia="微软雅黑"/>
          <w:sz w:val="24"/>
          <w:szCs w:val="24"/>
          <w:highlight w:val="none"/>
          <w:lang w:val="en-US" w:eastAsia="zh-CN"/>
        </w:rPr>
      </w:pPr>
      <w:r>
        <w:rPr>
          <w:rFonts w:ascii="微软雅黑" w:hAnsi="微软雅黑"/>
          <w:b/>
          <w:sz w:val="24"/>
          <w:szCs w:val="24"/>
          <w:highlight w:val="none"/>
        </w:rPr>
        <mc:AlternateContent>
          <mc:Choice Requires="wps">
            <w:drawing>
              <wp:anchor distT="0" distB="0" distL="114300" distR="114300" simplePos="0" relativeHeight="251674624"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30"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4624;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jyQgh2AAAAAkBAAAPAAAAAAAAAAEAIAAAACIAAABkcnMvZG93bnJl&#10;di54bWxQSwECFAAUAAAACACHTuJAW6nYgP0BAAD2AwAADgAAAAAAAAABACAAAAAn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highlight w:val="none"/>
        </w:rPr>
        <w:t xml:space="preserve">报告日期：          </w:t>
      </w:r>
      <w:r>
        <w:rPr>
          <w:rFonts w:hint="eastAsia" w:ascii="微软雅黑" w:hAnsi="微软雅黑"/>
          <w:b/>
          <w:color w:val="FF0000"/>
          <w:sz w:val="24"/>
          <w:szCs w:val="24"/>
          <w:highlight w:val="none"/>
        </w:rPr>
        <w:t xml:space="preserve">               </w:t>
      </w:r>
      <w:r>
        <w:rPr>
          <w:rFonts w:hint="eastAsia" w:ascii="微软雅黑" w:hAnsi="微软雅黑" w:cs="微软雅黑"/>
          <w:kern w:val="2"/>
          <w:sz w:val="24"/>
          <w:szCs w:val="24"/>
          <w:highlight w:val="none"/>
        </w:rPr>
        <w:t>202</w:t>
      </w:r>
      <w:r>
        <w:rPr>
          <w:rFonts w:hint="eastAsia" w:ascii="微软雅黑" w:hAnsi="微软雅黑" w:cs="微软雅黑"/>
          <w:kern w:val="2"/>
          <w:sz w:val="24"/>
          <w:szCs w:val="24"/>
          <w:highlight w:val="none"/>
          <w:lang w:val="en-US" w:eastAsia="zh-CN"/>
        </w:rPr>
        <w:t>50411</w:t>
      </w:r>
    </w:p>
    <w:p w14:paraId="12185174">
      <w:pPr>
        <w:adjustRightInd/>
        <w:snapToGrid/>
        <w:spacing w:line="220" w:lineRule="atLeast"/>
        <w:rPr>
          <w:sz w:val="20"/>
          <w:szCs w:val="20"/>
        </w:rPr>
      </w:pPr>
      <w:r>
        <w:rPr>
          <w:rFonts w:ascii="微软雅黑" w:hAnsi="微软雅黑"/>
          <w:b/>
          <w:color w:val="3D5E18"/>
          <w:sz w:val="32"/>
          <w:szCs w:val="32"/>
        </w:rPr>
        <w:br w:type="page"/>
      </w:r>
    </w:p>
    <w:p w14:paraId="0AA574D6">
      <w:pPr>
        <w:tabs>
          <w:tab w:val="left" w:pos="2312"/>
        </w:tabs>
        <w:spacing w:after="0" w:line="240" w:lineRule="atLeast"/>
        <w:rPr>
          <w:sz w:val="20"/>
          <w:szCs w:val="20"/>
        </w:rPr>
      </w:pPr>
    </w:p>
    <w:p w14:paraId="2B134D02">
      <w:pPr>
        <w:tabs>
          <w:tab w:val="left" w:pos="2312"/>
        </w:tabs>
        <w:spacing w:after="0" w:line="240" w:lineRule="atLeast"/>
        <w:rPr>
          <w:sz w:val="20"/>
          <w:szCs w:val="20"/>
        </w:rPr>
      </w:pPr>
    </w:p>
    <w:p w14:paraId="021BD50A">
      <w:pPr>
        <w:tabs>
          <w:tab w:val="left" w:pos="2312"/>
        </w:tabs>
        <w:spacing w:after="0" w:line="240" w:lineRule="atLeast"/>
        <w:rPr>
          <w:sz w:val="20"/>
          <w:szCs w:val="20"/>
        </w:rPr>
      </w:pPr>
    </w:p>
    <w:p w14:paraId="5244332F">
      <w:pPr>
        <w:tabs>
          <w:tab w:val="left" w:pos="2312"/>
        </w:tabs>
        <w:spacing w:after="0" w:line="240" w:lineRule="atLeast"/>
        <w:rPr>
          <w:sz w:val="20"/>
          <w:szCs w:val="20"/>
        </w:rPr>
      </w:pPr>
    </w:p>
    <w:p w14:paraId="558E9391">
      <w:pPr>
        <w:tabs>
          <w:tab w:val="left" w:pos="2312"/>
        </w:tabs>
        <w:spacing w:after="0" w:line="240" w:lineRule="atLeast"/>
        <w:rPr>
          <w:sz w:val="20"/>
          <w:szCs w:val="20"/>
        </w:rPr>
      </w:pPr>
    </w:p>
    <w:p w14:paraId="27F7F9D8">
      <w:pPr>
        <w:tabs>
          <w:tab w:val="left" w:pos="2312"/>
        </w:tabs>
        <w:spacing w:after="0" w:line="240" w:lineRule="atLeast"/>
        <w:rPr>
          <w:sz w:val="20"/>
          <w:szCs w:val="20"/>
        </w:rPr>
      </w:pPr>
    </w:p>
    <w:p w14:paraId="74DC26AB">
      <w:pPr>
        <w:tabs>
          <w:tab w:val="left" w:pos="2312"/>
        </w:tabs>
        <w:spacing w:after="0" w:line="240" w:lineRule="atLeast"/>
        <w:rPr>
          <w:sz w:val="20"/>
          <w:szCs w:val="20"/>
        </w:rPr>
      </w:pPr>
    </w:p>
    <w:p w14:paraId="56D23160">
      <w:pPr>
        <w:tabs>
          <w:tab w:val="left" w:pos="2312"/>
        </w:tabs>
        <w:spacing w:after="0" w:line="240" w:lineRule="atLeast"/>
        <w:rPr>
          <w:sz w:val="20"/>
          <w:szCs w:val="20"/>
        </w:rPr>
      </w:pPr>
    </w:p>
    <w:p w14:paraId="33A29346">
      <w:pPr>
        <w:tabs>
          <w:tab w:val="left" w:pos="2312"/>
        </w:tabs>
        <w:spacing w:after="0" w:line="240" w:lineRule="atLeast"/>
        <w:rPr>
          <w:sz w:val="20"/>
          <w:szCs w:val="20"/>
        </w:rPr>
      </w:pPr>
    </w:p>
    <w:p w14:paraId="306B7AC2">
      <w:pPr>
        <w:tabs>
          <w:tab w:val="left" w:pos="2312"/>
        </w:tabs>
        <w:spacing w:after="0" w:line="240" w:lineRule="atLeast"/>
        <w:rPr>
          <w:sz w:val="20"/>
          <w:szCs w:val="20"/>
        </w:rPr>
      </w:pPr>
    </w:p>
    <w:p w14:paraId="378B705F">
      <w:pPr>
        <w:tabs>
          <w:tab w:val="left" w:pos="2312"/>
        </w:tabs>
        <w:spacing w:after="0" w:line="240" w:lineRule="atLeast"/>
        <w:rPr>
          <w:sz w:val="20"/>
          <w:szCs w:val="20"/>
        </w:rPr>
      </w:pPr>
    </w:p>
    <w:p w14:paraId="35C9FF16">
      <w:pPr>
        <w:tabs>
          <w:tab w:val="left" w:pos="2312"/>
        </w:tabs>
        <w:spacing w:after="0" w:line="240" w:lineRule="atLeast"/>
        <w:rPr>
          <w:sz w:val="20"/>
          <w:szCs w:val="20"/>
        </w:rPr>
      </w:pPr>
    </w:p>
    <w:p w14:paraId="177CE19D">
      <w:pPr>
        <w:tabs>
          <w:tab w:val="left" w:pos="2312"/>
        </w:tabs>
        <w:spacing w:after="0" w:line="240" w:lineRule="atLeast"/>
        <w:rPr>
          <w:sz w:val="20"/>
          <w:szCs w:val="20"/>
        </w:rPr>
      </w:pPr>
    </w:p>
    <w:p w14:paraId="5F90F56C">
      <w:pPr>
        <w:tabs>
          <w:tab w:val="left" w:pos="2312"/>
        </w:tabs>
        <w:spacing w:after="0" w:line="240" w:lineRule="atLeast"/>
        <w:rPr>
          <w:sz w:val="20"/>
          <w:szCs w:val="20"/>
        </w:rPr>
      </w:pPr>
    </w:p>
    <w:p w14:paraId="691414A7">
      <w:pPr>
        <w:tabs>
          <w:tab w:val="left" w:pos="2312"/>
        </w:tabs>
        <w:spacing w:after="0" w:line="240" w:lineRule="atLeast"/>
        <w:rPr>
          <w:sz w:val="20"/>
          <w:szCs w:val="20"/>
        </w:rPr>
      </w:pPr>
    </w:p>
    <w:p w14:paraId="422959EF">
      <w:pPr>
        <w:tabs>
          <w:tab w:val="left" w:pos="2312"/>
        </w:tabs>
        <w:spacing w:after="0" w:line="240" w:lineRule="atLeast"/>
        <w:rPr>
          <w:sz w:val="20"/>
          <w:szCs w:val="20"/>
        </w:rPr>
      </w:pPr>
    </w:p>
    <w:p w14:paraId="5F001109">
      <w:pPr>
        <w:tabs>
          <w:tab w:val="left" w:pos="2312"/>
        </w:tabs>
        <w:spacing w:after="0" w:line="240" w:lineRule="atLeast"/>
        <w:rPr>
          <w:sz w:val="20"/>
          <w:szCs w:val="20"/>
        </w:rPr>
      </w:pPr>
    </w:p>
    <w:p w14:paraId="49CBFD6D">
      <w:pPr>
        <w:tabs>
          <w:tab w:val="left" w:pos="2312"/>
        </w:tabs>
        <w:spacing w:after="0" w:line="240" w:lineRule="atLeast"/>
        <w:rPr>
          <w:sz w:val="20"/>
          <w:szCs w:val="20"/>
        </w:rPr>
      </w:pPr>
    </w:p>
    <w:p w14:paraId="26C5B781">
      <w:pPr>
        <w:tabs>
          <w:tab w:val="left" w:pos="2312"/>
        </w:tabs>
        <w:spacing w:after="0" w:line="240" w:lineRule="atLeast"/>
        <w:rPr>
          <w:sz w:val="20"/>
          <w:szCs w:val="20"/>
        </w:rPr>
      </w:pPr>
    </w:p>
    <w:p w14:paraId="65B3503F">
      <w:pPr>
        <w:tabs>
          <w:tab w:val="left" w:pos="2312"/>
        </w:tabs>
        <w:spacing w:after="0" w:line="240" w:lineRule="atLeast"/>
        <w:rPr>
          <w:sz w:val="20"/>
          <w:szCs w:val="20"/>
        </w:rPr>
      </w:pPr>
    </w:p>
    <w:p w14:paraId="620A5B5E">
      <w:pPr>
        <w:tabs>
          <w:tab w:val="left" w:pos="2312"/>
        </w:tabs>
        <w:spacing w:after="0" w:line="240" w:lineRule="atLeast"/>
        <w:rPr>
          <w:sz w:val="20"/>
          <w:szCs w:val="20"/>
        </w:rPr>
      </w:pPr>
    </w:p>
    <w:p w14:paraId="3F1CE3A0">
      <w:pPr>
        <w:tabs>
          <w:tab w:val="left" w:pos="2312"/>
        </w:tabs>
        <w:spacing w:after="0" w:line="240" w:lineRule="atLeast"/>
        <w:rPr>
          <w:sz w:val="20"/>
          <w:szCs w:val="20"/>
        </w:rPr>
      </w:pPr>
    </w:p>
    <w:p w14:paraId="445BF395">
      <w:pPr>
        <w:tabs>
          <w:tab w:val="left" w:pos="2312"/>
        </w:tabs>
        <w:spacing w:after="0" w:line="240" w:lineRule="atLeast"/>
        <w:rPr>
          <w:sz w:val="20"/>
          <w:szCs w:val="20"/>
        </w:rPr>
      </w:pPr>
    </w:p>
    <w:p w14:paraId="6DE60DB6">
      <w:pPr>
        <w:tabs>
          <w:tab w:val="left" w:pos="2312"/>
        </w:tabs>
        <w:spacing w:after="0" w:line="240" w:lineRule="atLeast"/>
        <w:rPr>
          <w:sz w:val="20"/>
          <w:szCs w:val="20"/>
        </w:rPr>
      </w:pPr>
    </w:p>
    <w:p w14:paraId="44B1322E">
      <w:pPr>
        <w:tabs>
          <w:tab w:val="left" w:pos="2312"/>
        </w:tabs>
        <w:spacing w:after="0" w:line="240" w:lineRule="atLeast"/>
        <w:rPr>
          <w:sz w:val="20"/>
          <w:szCs w:val="20"/>
        </w:rPr>
      </w:pPr>
    </w:p>
    <w:p w14:paraId="551D81AB">
      <w:pPr>
        <w:tabs>
          <w:tab w:val="left" w:pos="2312"/>
        </w:tabs>
        <w:spacing w:after="0" w:line="240" w:lineRule="atLeast"/>
        <w:rPr>
          <w:sz w:val="20"/>
          <w:szCs w:val="20"/>
        </w:rPr>
      </w:pPr>
    </w:p>
    <w:p w14:paraId="5E94C70E">
      <w:pPr>
        <w:tabs>
          <w:tab w:val="left" w:pos="2312"/>
        </w:tabs>
        <w:spacing w:after="0" w:line="240" w:lineRule="atLeast"/>
        <w:rPr>
          <w:sz w:val="20"/>
          <w:szCs w:val="20"/>
        </w:rPr>
      </w:pPr>
    </w:p>
    <w:p w14:paraId="3FF12C78">
      <w:pPr>
        <w:tabs>
          <w:tab w:val="left" w:pos="2312"/>
        </w:tabs>
        <w:spacing w:after="0" w:line="240" w:lineRule="atLeast"/>
        <w:rPr>
          <w:sz w:val="20"/>
          <w:szCs w:val="20"/>
        </w:rPr>
      </w:pPr>
    </w:p>
    <w:p w14:paraId="41FA4529">
      <w:pPr>
        <w:tabs>
          <w:tab w:val="left" w:pos="2312"/>
        </w:tabs>
        <w:spacing w:after="0" w:line="240" w:lineRule="atLeast"/>
        <w:rPr>
          <w:sz w:val="20"/>
          <w:szCs w:val="20"/>
        </w:rPr>
      </w:pPr>
    </w:p>
    <w:p w14:paraId="64A1D253">
      <w:pPr>
        <w:tabs>
          <w:tab w:val="left" w:pos="2312"/>
        </w:tabs>
        <w:spacing w:after="0" w:line="240" w:lineRule="atLeast"/>
        <w:rPr>
          <w:sz w:val="20"/>
          <w:szCs w:val="20"/>
        </w:rPr>
      </w:pPr>
    </w:p>
    <w:p w14:paraId="4D6073AE">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69762E8A">
      <w:pPr>
        <w:tabs>
          <w:tab w:val="left" w:pos="2312"/>
        </w:tabs>
        <w:spacing w:after="0" w:line="240" w:lineRule="atLeast"/>
        <w:rPr>
          <w:rFonts w:ascii="微软雅黑" w:hAnsi="微软雅黑"/>
          <w:b/>
          <w:sz w:val="30"/>
          <w:szCs w:val="30"/>
        </w:rPr>
      </w:pPr>
    </w:p>
    <w:p w14:paraId="25B309B3">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1C7A58CE">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31"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1B161981">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35"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4"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1D1DEB63">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5F87C034">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E2170E5">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25" w:hanging="525" w:hangingChars="250"/>
        <w:jc w:val="both"/>
        <w:textAlignment w:val="auto"/>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14:paraId="07AD7FE8">
      <w:pPr>
        <w:tabs>
          <w:tab w:val="left" w:pos="2312"/>
        </w:tabs>
        <w:spacing w:after="0" w:line="288" w:lineRule="auto"/>
        <w:ind w:firstLine="420" w:firstLineChars="200"/>
        <w:jc w:val="both"/>
        <w:rPr>
          <w:rFonts w:ascii="微软雅黑" w:hAnsi="微软雅黑"/>
          <w:sz w:val="21"/>
          <w:szCs w:val="21"/>
        </w:rPr>
        <w:sectPr>
          <w:headerReference r:id="rId4"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r>
        <w:rPr>
          <w:rFonts w:hint="eastAsia" w:ascii="微软雅黑" w:hAnsi="微软雅黑"/>
          <w:b/>
          <w:bCs/>
          <w:sz w:val="21"/>
          <w:szCs w:val="21"/>
        </w:rPr>
        <w:t xml:space="preserve">  咨询电话：022-87190699。</w:t>
      </w:r>
    </w:p>
    <w:p w14:paraId="33475DA1">
      <w:pPr>
        <w:widowControl w:val="0"/>
        <w:adjustRightInd/>
        <w:snapToGrid/>
        <w:spacing w:after="0" w:line="312" w:lineRule="auto"/>
        <w:jc w:val="both"/>
        <w:rPr>
          <w:b/>
          <w:bCs/>
          <w:sz w:val="24"/>
          <w:szCs w:val="24"/>
        </w:rPr>
      </w:pPr>
    </w:p>
    <w:p w14:paraId="368AD1F2">
      <w:pPr>
        <w:tabs>
          <w:tab w:val="left" w:pos="2312"/>
        </w:tabs>
        <w:spacing w:after="0" w:line="240" w:lineRule="atLeast"/>
        <w:rPr>
          <w:sz w:val="20"/>
          <w:szCs w:val="20"/>
        </w:rPr>
      </w:pPr>
      <w:r>
        <w:rPr>
          <w:b/>
          <w:bCs/>
          <w:color w:val="00C4D8"/>
          <w:sz w:val="32"/>
          <w:szCs w:val="32"/>
        </w:rPr>
        <w:t>致您的一封信</w:t>
      </w:r>
    </w:p>
    <w:p w14:paraId="3AA6CB55">
      <w:pPr>
        <w:widowControl w:val="0"/>
        <w:adjustRightInd/>
        <w:snapToGrid/>
        <w:spacing w:line="312" w:lineRule="auto"/>
        <w:ind w:firstLine="420"/>
        <w:jc w:val="both"/>
        <w:rPr>
          <w:rFonts w:ascii="微软雅黑" w:hAnsi="微软雅黑"/>
          <w:b/>
          <w:sz w:val="30"/>
          <w:szCs w:val="30"/>
        </w:rPr>
        <w:sectPr>
          <w:footerReference r:id="rId5"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sz w:val="24"/>
        </w:rPr>
        <mc:AlternateContent>
          <mc:Choice Requires="wps">
            <w:drawing>
              <wp:anchor distT="0" distB="0" distL="114300" distR="114300" simplePos="0" relativeHeight="251670528"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53C0C55C">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val="en-US" w:eastAsia="zh-CN"/>
                              </w:rPr>
                              <w:t xml:space="preserve"> </w:t>
                            </w:r>
                            <w:r>
                              <w:rPr>
                                <w:rFonts w:hint="eastAsia"/>
                                <w:b/>
                                <w:bCs/>
                                <w:sz w:val="24"/>
                                <w:szCs w:val="24"/>
                                <w:u w:val="single"/>
                              </w:rPr>
                              <w:t xml:space="preserve"> </w:t>
                            </w:r>
                            <w:r>
                              <w:rPr>
                                <w:rFonts w:hint="eastAsia"/>
                                <w:b/>
                                <w:bCs/>
                                <w:sz w:val="24"/>
                                <w:szCs w:val="24"/>
                                <w:u w:val="single"/>
                                <w:lang w:val="en-US" w:eastAsia="zh-CN"/>
                              </w:rPr>
                              <w:t xml:space="preserve">杨庆铁   </w:t>
                            </w:r>
                            <w:r>
                              <w:rPr>
                                <w:rFonts w:hint="eastAsia"/>
                                <w:b/>
                                <w:bCs/>
                                <w:sz w:val="24"/>
                                <w:szCs w:val="24"/>
                                <w:u w:val="single"/>
                              </w:rPr>
                              <w:t xml:space="preserve">  </w:t>
                            </w:r>
                            <w:r>
                              <w:rPr>
                                <w:rFonts w:hint="eastAsia"/>
                                <w:b/>
                                <w:bCs/>
                                <w:sz w:val="24"/>
                                <w:szCs w:val="24"/>
                                <w:u w:val="none"/>
                                <w:lang w:val="en-US" w:eastAsia="zh-CN"/>
                              </w:rPr>
                              <w:t>先生</w:t>
                            </w:r>
                            <w:r>
                              <w:rPr>
                                <w:rFonts w:hint="eastAsia"/>
                                <w:b/>
                                <w:bCs/>
                                <w:sz w:val="24"/>
                                <w:szCs w:val="24"/>
                              </w:rPr>
                              <w:t>：</w:t>
                            </w:r>
                          </w:p>
                          <w:p w14:paraId="6F918FC6">
                            <w:pPr>
                              <w:keepNext w:val="0"/>
                              <w:keepLines w:val="0"/>
                              <w:pageBreakBefore w:val="0"/>
                              <w:widowControl w:val="0"/>
                              <w:kinsoku/>
                              <w:wordWrap/>
                              <w:overflowPunct/>
                              <w:topLinePunct w:val="0"/>
                              <w:autoSpaceDE/>
                              <w:autoSpaceDN/>
                              <w:bidi w:val="0"/>
                              <w:adjustRightInd/>
                              <w:snapToGrid/>
                              <w:spacing w:after="0" w:line="300" w:lineRule="auto"/>
                              <w:ind w:firstLine="420"/>
                              <w:jc w:val="both"/>
                              <w:textAlignment w:val="auto"/>
                              <w:rPr>
                                <w:rFonts w:ascii="微软雅黑" w:hAnsi="微软雅黑" w:cs="微软雅黑"/>
                                <w:sz w:val="21"/>
                                <w:szCs w:val="21"/>
                                <w:highlight w:val="none"/>
                              </w:rPr>
                            </w:pPr>
                            <w:r>
                              <w:rPr>
                                <w:rFonts w:hint="eastAsia" w:ascii="微软雅黑" w:hAnsi="微软雅黑" w:cs="微软雅黑"/>
                                <w:sz w:val="21"/>
                                <w:szCs w:val="21"/>
                              </w:rPr>
                              <w:t>您好！</w:t>
                            </w:r>
                          </w:p>
                          <w:p w14:paraId="3B93878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ascii="微软雅黑" w:hAnsi="微软雅黑" w:cs="微软雅黑"/>
                                <w:sz w:val="21"/>
                                <w:szCs w:val="21"/>
                                <w:highlight w:val="none"/>
                              </w:rPr>
                            </w:pPr>
                            <w:r>
                              <w:rPr>
                                <w:rFonts w:hint="eastAsia" w:ascii="微软雅黑" w:hAnsi="微软雅黑" w:cs="微软雅黑"/>
                                <w:sz w:val="21"/>
                                <w:szCs w:val="21"/>
                                <w:highlight w:val="none"/>
                              </w:rPr>
                              <w:t>感谢您选择本机构为您精心定制的</w:t>
                            </w:r>
                            <w:r>
                              <w:rPr>
                                <w:rFonts w:hint="eastAsia" w:ascii="微软雅黑" w:hAnsi="微软雅黑" w:cs="微软雅黑"/>
                                <w:sz w:val="21"/>
                                <w:szCs w:val="21"/>
                                <w:highlight w:val="none"/>
                                <w:lang w:val="en-US" w:eastAsia="zh-CN"/>
                              </w:rPr>
                              <w:t xml:space="preserve">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eastAsia="zh-CN"/>
                              </w:rPr>
                              <w:t>结直肠癌</w:t>
                            </w:r>
                            <w:r>
                              <w:rPr>
                                <w:rFonts w:hint="eastAsia" w:ascii="微软雅黑" w:hAnsi="微软雅黑" w:cs="微软雅黑"/>
                                <w:sz w:val="21"/>
                                <w:szCs w:val="21"/>
                                <w:highlight w:val="none"/>
                                <w:u w:val="single"/>
                              </w:rPr>
                              <w:t>3</w:t>
                            </w:r>
                            <w:r>
                              <w:rPr>
                                <w:rFonts w:hint="eastAsia" w:ascii="微软雅黑" w:hAnsi="微软雅黑" w:cs="微软雅黑"/>
                                <w:sz w:val="21"/>
                                <w:szCs w:val="21"/>
                                <w:highlight w:val="none"/>
                                <w:u w:val="single"/>
                                <w:lang w:val="en-US" w:eastAsia="zh-CN"/>
                              </w:rPr>
                              <w:t>58</w:t>
                            </w:r>
                            <w:r>
                              <w:rPr>
                                <w:rFonts w:hint="eastAsia" w:ascii="微软雅黑" w:hAnsi="微软雅黑" w:cs="微软雅黑"/>
                                <w:sz w:val="21"/>
                                <w:szCs w:val="21"/>
                                <w:highlight w:val="none"/>
                                <w:u w:val="single"/>
                              </w:rPr>
                              <w:t>基因</w:t>
                            </w:r>
                            <w:r>
                              <w:rPr>
                                <w:rFonts w:hint="eastAsia" w:ascii="微软雅黑" w:hAnsi="微软雅黑" w:cs="微软雅黑"/>
                                <w:sz w:val="21"/>
                                <w:szCs w:val="21"/>
                                <w:highlight w:val="none"/>
                                <w:u w:val="single"/>
                                <w:lang w:val="en-US" w:eastAsia="zh-CN"/>
                              </w:rPr>
                              <w:t xml:space="preserve">+MSI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val="en-US" w:eastAsia="zh-CN"/>
                              </w:rPr>
                              <w:t xml:space="preserve"> </w:t>
                            </w:r>
                            <w:r>
                              <w:rPr>
                                <w:rFonts w:hint="eastAsia" w:ascii="微软雅黑" w:hAnsi="微软雅黑" w:cs="微软雅黑"/>
                                <w:sz w:val="21"/>
                                <w:szCs w:val="21"/>
                                <w:highlight w:val="none"/>
                              </w:rPr>
                              <w:t>检测项目。天津脉络医学检验很荣幸能为您提供基因检测服务。</w:t>
                            </w:r>
                          </w:p>
                          <w:p w14:paraId="334C7BF8">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7FE6EFE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E3296A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相信您经过主治医师的精心治疗，一定能够顺利度过眼前这个暂时的难关。最后，脉络医学全体员工衷心祝愿您早日康复！</w:t>
                            </w:r>
                          </w:p>
                          <w:p w14:paraId="0254FB0E">
                            <w:pPr>
                              <w:widowControl w:val="0"/>
                              <w:adjustRightInd/>
                              <w:snapToGrid/>
                              <w:spacing w:after="0" w:line="312" w:lineRule="auto"/>
                              <w:ind w:firstLine="420"/>
                              <w:jc w:val="both"/>
                              <w:rPr>
                                <w:rFonts w:hint="eastAsia" w:ascii="微软雅黑" w:hAnsi="微软雅黑" w:cs="微软雅黑"/>
                                <w:sz w:val="21"/>
                                <w:szCs w:val="21"/>
                                <w:highlight w:val="none"/>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6.1pt;margin-top:27.5pt;height:701.2pt;width:298.95pt;z-index:-251645952;mso-width-relative:page;mso-height-relative:page;" filled="f" stroked="f" coordsize="21600,21600" o:gfxdata="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5kxUPcAAAACwEAAA8A&#10;AAAAAAAAAQAgAAAAIgAAAGRycy9kb3ducmV2LnhtbFBLAQIUABQAAAAIAIdO4kBZNmELTAIAAIME&#10;AAAOAAAAAAAAAAEAIAAAACsBAABkcnMvZTJvRG9jLnhtbFBLBQYAAAAABgAGAFkBAADpBQAAAAA=&#10;">
                <v:fill on="f" focussize="0,0"/>
                <v:stroke on="f" weight="0.5pt"/>
                <v:imagedata o:title=""/>
                <o:lock v:ext="edit" aspectratio="f"/>
                <v:textbox>
                  <w:txbxContent>
                    <w:p w14:paraId="53C0C55C">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val="en-US" w:eastAsia="zh-CN"/>
                        </w:rPr>
                        <w:t xml:space="preserve"> </w:t>
                      </w:r>
                      <w:r>
                        <w:rPr>
                          <w:rFonts w:hint="eastAsia"/>
                          <w:b/>
                          <w:bCs/>
                          <w:sz w:val="24"/>
                          <w:szCs w:val="24"/>
                          <w:u w:val="single"/>
                        </w:rPr>
                        <w:t xml:space="preserve"> </w:t>
                      </w:r>
                      <w:r>
                        <w:rPr>
                          <w:rFonts w:hint="eastAsia"/>
                          <w:b/>
                          <w:bCs/>
                          <w:sz w:val="24"/>
                          <w:szCs w:val="24"/>
                          <w:u w:val="single"/>
                          <w:lang w:val="en-US" w:eastAsia="zh-CN"/>
                        </w:rPr>
                        <w:t xml:space="preserve">杨庆铁   </w:t>
                      </w:r>
                      <w:r>
                        <w:rPr>
                          <w:rFonts w:hint="eastAsia"/>
                          <w:b/>
                          <w:bCs/>
                          <w:sz w:val="24"/>
                          <w:szCs w:val="24"/>
                          <w:u w:val="single"/>
                        </w:rPr>
                        <w:t xml:space="preserve">  </w:t>
                      </w:r>
                      <w:r>
                        <w:rPr>
                          <w:rFonts w:hint="eastAsia"/>
                          <w:b/>
                          <w:bCs/>
                          <w:sz w:val="24"/>
                          <w:szCs w:val="24"/>
                          <w:u w:val="none"/>
                          <w:lang w:val="en-US" w:eastAsia="zh-CN"/>
                        </w:rPr>
                        <w:t>先生</w:t>
                      </w:r>
                      <w:r>
                        <w:rPr>
                          <w:rFonts w:hint="eastAsia"/>
                          <w:b/>
                          <w:bCs/>
                          <w:sz w:val="24"/>
                          <w:szCs w:val="24"/>
                        </w:rPr>
                        <w:t>：</w:t>
                      </w:r>
                    </w:p>
                    <w:p w14:paraId="6F918FC6">
                      <w:pPr>
                        <w:keepNext w:val="0"/>
                        <w:keepLines w:val="0"/>
                        <w:pageBreakBefore w:val="0"/>
                        <w:widowControl w:val="0"/>
                        <w:kinsoku/>
                        <w:wordWrap/>
                        <w:overflowPunct/>
                        <w:topLinePunct w:val="0"/>
                        <w:autoSpaceDE/>
                        <w:autoSpaceDN/>
                        <w:bidi w:val="0"/>
                        <w:adjustRightInd/>
                        <w:snapToGrid/>
                        <w:spacing w:after="0" w:line="300" w:lineRule="auto"/>
                        <w:ind w:firstLine="420"/>
                        <w:jc w:val="both"/>
                        <w:textAlignment w:val="auto"/>
                        <w:rPr>
                          <w:rFonts w:ascii="微软雅黑" w:hAnsi="微软雅黑" w:cs="微软雅黑"/>
                          <w:sz w:val="21"/>
                          <w:szCs w:val="21"/>
                          <w:highlight w:val="none"/>
                        </w:rPr>
                      </w:pPr>
                      <w:r>
                        <w:rPr>
                          <w:rFonts w:hint="eastAsia" w:ascii="微软雅黑" w:hAnsi="微软雅黑" w:cs="微软雅黑"/>
                          <w:sz w:val="21"/>
                          <w:szCs w:val="21"/>
                        </w:rPr>
                        <w:t>您好！</w:t>
                      </w:r>
                    </w:p>
                    <w:p w14:paraId="3B93878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ascii="微软雅黑" w:hAnsi="微软雅黑" w:cs="微软雅黑"/>
                          <w:sz w:val="21"/>
                          <w:szCs w:val="21"/>
                          <w:highlight w:val="none"/>
                        </w:rPr>
                      </w:pPr>
                      <w:r>
                        <w:rPr>
                          <w:rFonts w:hint="eastAsia" w:ascii="微软雅黑" w:hAnsi="微软雅黑" w:cs="微软雅黑"/>
                          <w:sz w:val="21"/>
                          <w:szCs w:val="21"/>
                          <w:highlight w:val="none"/>
                        </w:rPr>
                        <w:t>感谢您选择本机构为您精心定制的</w:t>
                      </w:r>
                      <w:r>
                        <w:rPr>
                          <w:rFonts w:hint="eastAsia" w:ascii="微软雅黑" w:hAnsi="微软雅黑" w:cs="微软雅黑"/>
                          <w:sz w:val="21"/>
                          <w:szCs w:val="21"/>
                          <w:highlight w:val="none"/>
                          <w:lang w:val="en-US" w:eastAsia="zh-CN"/>
                        </w:rPr>
                        <w:t xml:space="preserve">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eastAsia="zh-CN"/>
                        </w:rPr>
                        <w:t>结直肠癌</w:t>
                      </w:r>
                      <w:r>
                        <w:rPr>
                          <w:rFonts w:hint="eastAsia" w:ascii="微软雅黑" w:hAnsi="微软雅黑" w:cs="微软雅黑"/>
                          <w:sz w:val="21"/>
                          <w:szCs w:val="21"/>
                          <w:highlight w:val="none"/>
                          <w:u w:val="single"/>
                        </w:rPr>
                        <w:t>3</w:t>
                      </w:r>
                      <w:r>
                        <w:rPr>
                          <w:rFonts w:hint="eastAsia" w:ascii="微软雅黑" w:hAnsi="微软雅黑" w:cs="微软雅黑"/>
                          <w:sz w:val="21"/>
                          <w:szCs w:val="21"/>
                          <w:highlight w:val="none"/>
                          <w:u w:val="single"/>
                          <w:lang w:val="en-US" w:eastAsia="zh-CN"/>
                        </w:rPr>
                        <w:t>58</w:t>
                      </w:r>
                      <w:r>
                        <w:rPr>
                          <w:rFonts w:hint="eastAsia" w:ascii="微软雅黑" w:hAnsi="微软雅黑" w:cs="微软雅黑"/>
                          <w:sz w:val="21"/>
                          <w:szCs w:val="21"/>
                          <w:highlight w:val="none"/>
                          <w:u w:val="single"/>
                        </w:rPr>
                        <w:t>基因</w:t>
                      </w:r>
                      <w:r>
                        <w:rPr>
                          <w:rFonts w:hint="eastAsia" w:ascii="微软雅黑" w:hAnsi="微软雅黑" w:cs="微软雅黑"/>
                          <w:sz w:val="21"/>
                          <w:szCs w:val="21"/>
                          <w:highlight w:val="none"/>
                          <w:u w:val="single"/>
                          <w:lang w:val="en-US" w:eastAsia="zh-CN"/>
                        </w:rPr>
                        <w:t xml:space="preserve">+MSI </w:t>
                      </w:r>
                      <w:r>
                        <w:rPr>
                          <w:rFonts w:hint="eastAsia" w:ascii="微软雅黑" w:hAnsi="微软雅黑" w:cs="微软雅黑"/>
                          <w:sz w:val="21"/>
                          <w:szCs w:val="21"/>
                          <w:highlight w:val="none"/>
                          <w:u w:val="single"/>
                        </w:rPr>
                        <w:t xml:space="preserve"> </w:t>
                      </w:r>
                      <w:r>
                        <w:rPr>
                          <w:rFonts w:hint="eastAsia" w:ascii="微软雅黑" w:hAnsi="微软雅黑" w:cs="微软雅黑"/>
                          <w:sz w:val="21"/>
                          <w:szCs w:val="21"/>
                          <w:highlight w:val="none"/>
                          <w:u w:val="single"/>
                          <w:lang w:val="en-US" w:eastAsia="zh-CN"/>
                        </w:rPr>
                        <w:t xml:space="preserve"> </w:t>
                      </w:r>
                      <w:r>
                        <w:rPr>
                          <w:rFonts w:hint="eastAsia" w:ascii="微软雅黑" w:hAnsi="微软雅黑" w:cs="微软雅黑"/>
                          <w:sz w:val="21"/>
                          <w:szCs w:val="21"/>
                          <w:highlight w:val="none"/>
                        </w:rPr>
                        <w:t>检测项目。天津脉络医学检验很荣幸能为您提供基因检测服务。</w:t>
                      </w:r>
                    </w:p>
                    <w:p w14:paraId="334C7BF8">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7FE6EFE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E3296AB">
                      <w:pPr>
                        <w:keepNext w:val="0"/>
                        <w:keepLines w:val="0"/>
                        <w:pageBreakBefore w:val="0"/>
                        <w:widowControl w:val="0"/>
                        <w:kinsoku/>
                        <w:wordWrap/>
                        <w:overflowPunct/>
                        <w:topLinePunct w:val="0"/>
                        <w:autoSpaceDE/>
                        <w:autoSpaceDN/>
                        <w:bidi w:val="0"/>
                        <w:adjustRightInd/>
                        <w:snapToGrid/>
                        <w:spacing w:after="0" w:line="312" w:lineRule="auto"/>
                        <w:ind w:firstLine="420" w:firstLineChars="200"/>
                        <w:jc w:val="both"/>
                        <w:textAlignment w:val="auto"/>
                        <w:rPr>
                          <w:rFonts w:hint="eastAsia" w:ascii="微软雅黑" w:hAnsi="微软雅黑" w:cs="微软雅黑"/>
                          <w:sz w:val="21"/>
                          <w:szCs w:val="21"/>
                          <w:highlight w:val="none"/>
                          <w:lang w:eastAsia="zh-CN"/>
                        </w:rPr>
                      </w:pPr>
                      <w:r>
                        <w:rPr>
                          <w:rFonts w:hint="eastAsia" w:ascii="微软雅黑" w:hAnsi="微软雅黑" w:cs="微软雅黑"/>
                          <w:sz w:val="21"/>
                          <w:szCs w:val="21"/>
                          <w:highlight w:val="none"/>
                          <w:lang w:eastAsia="zh-CN"/>
                        </w:rPr>
                        <w:t>相信您经过主治医师的精心治疗，一定能够顺利度过眼前这个暂时的难关。最后，脉络医学全体员工衷心祝愿您早日康复！</w:t>
                      </w:r>
                    </w:p>
                    <w:p w14:paraId="0254FB0E">
                      <w:pPr>
                        <w:widowControl w:val="0"/>
                        <w:adjustRightInd/>
                        <w:snapToGrid/>
                        <w:spacing w:after="0" w:line="312" w:lineRule="auto"/>
                        <w:ind w:firstLine="420"/>
                        <w:jc w:val="both"/>
                        <w:rPr>
                          <w:rFonts w:hint="eastAsia" w:ascii="微软雅黑" w:hAnsi="微软雅黑" w:cs="微软雅黑"/>
                          <w:sz w:val="21"/>
                          <w:szCs w:val="21"/>
                          <w:highlight w:val="none"/>
                          <w:lang w:val="en-US" w:eastAsia="zh-CN"/>
                        </w:rPr>
                      </w:pPr>
                    </w:p>
                  </w:txbxContent>
                </v:textbox>
              </v:shape>
            </w:pict>
          </mc:Fallback>
        </mc:AlternateContent>
      </w:r>
      <w:r>
        <w:rPr>
          <w:sz w:val="24"/>
        </w:rPr>
        <mc:AlternateContent>
          <mc:Choice Requires="wpg">
            <w:drawing>
              <wp:anchor distT="0" distB="0" distL="114300" distR="114300" simplePos="0" relativeHeight="251681792"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1792;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M9t0EXaAAAACwEAAA8A&#10;AAAAAAAAAQAgAAAAIgAAAGRycy9kb3ducmV2LnhtbFBLAQIUABQAAAAIAIdO4kCNaxkMMgMAANgH&#10;AAAOAAAAAAAAAAEAIAAAACkBAABkcnMvZTJvRG9jLnhtbFBLBQYAAAAABgAGAFkBAADNBgAAA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07EF5AE3">
      <w:pPr>
        <w:spacing w:beforeLines="100" w:after="0"/>
        <w:jc w:val="both"/>
        <w:outlineLvl w:val="1"/>
        <w:rPr>
          <w:b/>
          <w:bCs/>
          <w:color w:val="00C4D8"/>
          <w:sz w:val="28"/>
          <w:szCs w:val="28"/>
          <w:highlight w:val="none"/>
        </w:rPr>
        <w:sectPr>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bookmarkStart w:id="0" w:name="_Toc14260"/>
      <w:bookmarkStart w:id="1" w:name="_Toc31222"/>
      <w:bookmarkStart w:id="2" w:name="_Toc3608"/>
      <w:bookmarkStart w:id="3" w:name="_Toc6876"/>
      <w:bookmarkStart w:id="4" w:name="_Toc6705"/>
      <w:bookmarkStart w:id="5" w:name="_Toc6603"/>
      <w:bookmarkStart w:id="6" w:name="_Toc18130"/>
      <w:bookmarkStart w:id="7" w:name="_Toc26024"/>
      <w:bookmarkStart w:id="8" w:name="_Toc12809"/>
      <w:bookmarkStart w:id="9" w:name="_Toc30904"/>
      <w:bookmarkStart w:id="10" w:name="_Toc3134"/>
      <w:bookmarkStart w:id="11" w:name="_Toc27006"/>
      <w:bookmarkStart w:id="12" w:name="_Toc4599"/>
      <w:bookmarkStart w:id="13" w:name="_Toc17764"/>
      <w:bookmarkStart w:id="14" w:name="OLE_LINK2"/>
      <w:bookmarkStart w:id="15" w:name="OLE_LINK1"/>
      <w:r>
        <w:rPr>
          <w:sz w:val="44"/>
          <w:szCs w:val="44"/>
          <w:highlight w:val="none"/>
        </w:rPr>
        <mc:AlternateContent>
          <mc:Choice Requires="wps">
            <w:drawing>
              <wp:anchor distT="0" distB="0" distL="114300" distR="114300" simplePos="0" relativeHeight="251669504" behindDoc="1" locked="0" layoutInCell="1" allowOverlap="1">
                <wp:simplePos x="0" y="0"/>
                <wp:positionH relativeFrom="column">
                  <wp:posOffset>1342390</wp:posOffset>
                </wp:positionH>
                <wp:positionV relativeFrom="paragraph">
                  <wp:posOffset>1439545</wp:posOffset>
                </wp:positionV>
                <wp:extent cx="4450080" cy="7160895"/>
                <wp:effectExtent l="0" t="0" r="0" b="1905"/>
                <wp:wrapNone/>
                <wp:docPr id="91" name="文本框 91"/>
                <wp:cNvGraphicFramePr/>
                <a:graphic xmlns:a="http://schemas.openxmlformats.org/drawingml/2006/main">
                  <a:graphicData uri="http://schemas.microsoft.com/office/word/2010/wordprocessingShape">
                    <wps:wsp>
                      <wps:cNvSpPr txBox="1"/>
                      <wps:spPr>
                        <a:xfrm>
                          <a:off x="3307080" y="2169795"/>
                          <a:ext cx="4450080" cy="7160895"/>
                        </a:xfrm>
                        <a:prstGeom prst="rect">
                          <a:avLst/>
                        </a:prstGeom>
                        <a:solidFill>
                          <a:srgbClr val="FFFFFF"/>
                        </a:solidFill>
                        <a:ln w="6350">
                          <a:noFill/>
                        </a:ln>
                        <a:effectLst/>
                      </wps:spPr>
                      <wps:txbx>
                        <w:txbxContent>
                          <w:p w14:paraId="4C31D917">
                            <w:pPr>
                              <w:widowControl/>
                              <w:adjustRightInd w:val="0"/>
                              <w:snapToGrid w:val="0"/>
                              <w:spacing w:after="200" w:afterLines="50"/>
                              <w:jc w:val="left"/>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第一部分：基本信息</w:t>
                            </w:r>
                          </w:p>
                          <w:p w14:paraId="75D3F5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患者及样本信息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1AF3DAF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检测内容</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4B0794A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44"/>
                                <w:szCs w:val="44"/>
                              </w:rPr>
                            </w:pPr>
                            <w:r>
                              <w:rPr>
                                <w:rFonts w:hint="eastAsia" w:ascii="Calibri" w:hAnsi="Tahoma" w:eastAsia="微软雅黑" w:cs="Times New Roman"/>
                                <w:b/>
                                <w:bCs/>
                                <w:color w:val="00C4D8"/>
                                <w:kern w:val="0"/>
                                <w:sz w:val="32"/>
                                <w:szCs w:val="32"/>
                              </w:rPr>
                              <w:t>第二部分：检测结果</w:t>
                            </w:r>
                          </w:p>
                          <w:p w14:paraId="4AD0B7E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检测结果小结</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2</w:t>
                            </w:r>
                          </w:p>
                          <w:p w14:paraId="70772A2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靶向药物相关检测结果</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w:t>
                            </w:r>
                          </w:p>
                          <w:p w14:paraId="629F017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color w:val="FF0000"/>
                                <w:kern w:val="0"/>
                                <w:sz w:val="22"/>
                                <w:szCs w:val="22"/>
                                <w:lang w:val="en-US" w:eastAsia="zh-CN"/>
                              </w:rPr>
                            </w:pPr>
                            <w:r>
                              <w:rPr>
                                <w:rFonts w:hint="eastAsia" w:ascii="微软雅黑" w:hAnsi="微软雅黑" w:eastAsia="微软雅黑" w:cs="微软雅黑"/>
                                <w:kern w:val="0"/>
                                <w:sz w:val="22"/>
                                <w:szCs w:val="22"/>
                              </w:rPr>
                              <w:t>免疫治疗疗效评估</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13</w:t>
                            </w:r>
                          </w:p>
                          <w:p w14:paraId="267A8662">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检测结果说明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20</w:t>
                            </w:r>
                          </w:p>
                          <w:p w14:paraId="68C6F02A">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第三部分：基因变异及相应靶向/免疫药物解析</w:t>
                            </w:r>
                          </w:p>
                          <w:p w14:paraId="0A15A78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基因变异解析</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21</w:t>
                            </w:r>
                          </w:p>
                          <w:p w14:paraId="66B1482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 xml:space="preserve">靶向/免疫药物用药提示解析 </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31</w:t>
                            </w:r>
                          </w:p>
                          <w:p w14:paraId="63CA3295">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阅读说明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48</w:t>
                            </w:r>
                          </w:p>
                          <w:p w14:paraId="0D2AB361">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第四部分：附录</w:t>
                            </w:r>
                          </w:p>
                          <w:p w14:paraId="4F72B874">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常见问题解答</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51</w:t>
                            </w:r>
                          </w:p>
                          <w:p w14:paraId="7D41EBD6">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highlight w:val="none"/>
                                <w:lang w:val="en-US" w:eastAsia="zh-CN"/>
                              </w:rPr>
                            </w:pPr>
                            <w:r>
                              <w:rPr>
                                <w:rFonts w:hint="eastAsia" w:ascii="微软雅黑" w:hAnsi="微软雅黑" w:eastAsia="微软雅黑" w:cs="微软雅黑"/>
                                <w:kern w:val="0"/>
                                <w:sz w:val="22"/>
                                <w:szCs w:val="22"/>
                                <w:highlight w:val="none"/>
                              </w:rPr>
                              <w:t>结直肠癌诊疗知识</w:t>
                            </w:r>
                            <w:r>
                              <w:rPr>
                                <w:rFonts w:hint="eastAsia" w:ascii="微软雅黑" w:hAnsi="微软雅黑" w:eastAsia="微软雅黑" w:cs="微软雅黑"/>
                                <w:kern w:val="0"/>
                                <w:sz w:val="22"/>
                                <w:szCs w:val="22"/>
                                <w:highlight w:val="none"/>
                                <w:lang w:val="en-US" w:eastAsia="zh-CN"/>
                              </w:rPr>
                              <w:tab/>
                            </w:r>
                            <w:r>
                              <w:rPr>
                                <w:rFonts w:hint="eastAsia" w:ascii="微软雅黑" w:hAnsi="微软雅黑" w:eastAsia="微软雅黑" w:cs="微软雅黑"/>
                                <w:kern w:val="0"/>
                                <w:sz w:val="22"/>
                                <w:szCs w:val="22"/>
                                <w:highlight w:val="none"/>
                                <w:lang w:val="en-US" w:eastAsia="zh-CN"/>
                              </w:rPr>
                              <w:t>53</w:t>
                            </w:r>
                          </w:p>
                          <w:p w14:paraId="16C84779">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highlight w:val="none"/>
                              </w:rPr>
                              <w:t>癌症相关</w:t>
                            </w:r>
                            <w:r>
                              <w:rPr>
                                <w:rFonts w:hint="eastAsia" w:ascii="微软雅黑" w:hAnsi="微软雅黑" w:eastAsia="微软雅黑" w:cs="微软雅黑"/>
                                <w:kern w:val="0"/>
                                <w:sz w:val="22"/>
                                <w:szCs w:val="22"/>
                              </w:rPr>
                              <w:t>信号通路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75</w:t>
                            </w:r>
                          </w:p>
                          <w:p w14:paraId="7436EE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基因检测列表</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85</w:t>
                            </w:r>
                          </w:p>
                          <w:p w14:paraId="743E67A3">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参考文献</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87</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05.7pt;margin-top:113.35pt;height:563.85pt;width:350.4pt;z-index:-251646976;mso-width-relative:page;mso-height-relative:page;" fillcolor="#FFFFFF" filled="t" stroked="f" coordsize="21600,21600" o:gfxdata="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6OBwzXAAAADAEAAA8AAAAAAAAAAQAgAAAAIgAAAGRycy9kb3ducmV2LnhtbFBL&#10;AQIUABQAAAAIAIdO4kCWghSKaQIAALgEAAAOAAAAAAAAAAEAIAAAACYBAABkcnMvZTJvRG9jLnht&#10;bFBLBQYAAAAABgAGAFkBAAABBgAAAAA=&#10;">
                <v:fill on="t" focussize="0,0"/>
                <v:stroke on="f" weight="0.5pt"/>
                <v:imagedata o:title=""/>
                <o:lock v:ext="edit" aspectratio="f"/>
                <v:textbox>
                  <w:txbxContent>
                    <w:p w14:paraId="4C31D917">
                      <w:pPr>
                        <w:widowControl/>
                        <w:adjustRightInd w:val="0"/>
                        <w:snapToGrid w:val="0"/>
                        <w:spacing w:after="200" w:afterLines="50"/>
                        <w:jc w:val="left"/>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第一部分：基本信息</w:t>
                      </w:r>
                    </w:p>
                    <w:p w14:paraId="75D3F5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患者及样本信息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1AF3DAF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检测内容</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1</w:t>
                      </w:r>
                    </w:p>
                    <w:p w14:paraId="4B0794A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44"/>
                          <w:szCs w:val="44"/>
                        </w:rPr>
                      </w:pPr>
                      <w:r>
                        <w:rPr>
                          <w:rFonts w:hint="eastAsia" w:ascii="Calibri" w:hAnsi="Tahoma" w:eastAsia="微软雅黑" w:cs="Times New Roman"/>
                          <w:b/>
                          <w:bCs/>
                          <w:color w:val="00C4D8"/>
                          <w:kern w:val="0"/>
                          <w:sz w:val="32"/>
                          <w:szCs w:val="32"/>
                        </w:rPr>
                        <w:t>第二部分：检测结果</w:t>
                      </w:r>
                    </w:p>
                    <w:p w14:paraId="4AD0B7E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微软雅黑" w:hAnsi="微软雅黑" w:eastAsia="微软雅黑" w:cs="微软雅黑"/>
                          <w:kern w:val="0"/>
                          <w:sz w:val="22"/>
                          <w:szCs w:val="22"/>
                        </w:rPr>
                      </w:pPr>
                      <w:r>
                        <w:rPr>
                          <w:rFonts w:hint="eastAsia" w:ascii="微软雅黑" w:hAnsi="微软雅黑" w:eastAsia="微软雅黑" w:cs="微软雅黑"/>
                          <w:kern w:val="0"/>
                          <w:sz w:val="22"/>
                          <w:szCs w:val="22"/>
                        </w:rPr>
                        <w:t>检测结果小结</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rPr>
                        <w:t>2</w:t>
                      </w:r>
                    </w:p>
                    <w:p w14:paraId="70772A2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靶向药物相关检测结果</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w:t>
                      </w:r>
                    </w:p>
                    <w:p w14:paraId="629F017E">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color w:val="FF0000"/>
                          <w:kern w:val="0"/>
                          <w:sz w:val="22"/>
                          <w:szCs w:val="22"/>
                          <w:lang w:val="en-US" w:eastAsia="zh-CN"/>
                        </w:rPr>
                      </w:pPr>
                      <w:r>
                        <w:rPr>
                          <w:rFonts w:hint="eastAsia" w:ascii="微软雅黑" w:hAnsi="微软雅黑" w:eastAsia="微软雅黑" w:cs="微软雅黑"/>
                          <w:kern w:val="0"/>
                          <w:sz w:val="22"/>
                          <w:szCs w:val="22"/>
                        </w:rPr>
                        <w:t>免疫治疗疗效评估</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13</w:t>
                      </w:r>
                    </w:p>
                    <w:p w14:paraId="267A8662">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检测结果说明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20</w:t>
                      </w:r>
                    </w:p>
                    <w:p w14:paraId="68C6F02A">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第三部分：基因变异及相应靶向/免疫药物解析</w:t>
                      </w:r>
                    </w:p>
                    <w:p w14:paraId="0A15A78C">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基因变异解析</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21</w:t>
                      </w:r>
                    </w:p>
                    <w:p w14:paraId="66B14827">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 xml:space="preserve">靶向/免疫药物用药提示解析 </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31</w:t>
                      </w:r>
                    </w:p>
                    <w:p w14:paraId="63CA3295">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阅读说明</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48</w:t>
                      </w:r>
                    </w:p>
                    <w:p w14:paraId="0D2AB361">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ascii="Calibri" w:hAnsi="Tahoma" w:eastAsia="微软雅黑" w:cs="Times New Roman"/>
                          <w:b/>
                          <w:bCs/>
                          <w:color w:val="00C4D8"/>
                          <w:kern w:val="0"/>
                          <w:sz w:val="32"/>
                          <w:szCs w:val="32"/>
                        </w:rPr>
                      </w:pPr>
                      <w:r>
                        <w:rPr>
                          <w:rFonts w:hint="eastAsia" w:ascii="Calibri" w:hAnsi="Tahoma" w:eastAsia="微软雅黑" w:cs="Times New Roman"/>
                          <w:b/>
                          <w:bCs/>
                          <w:color w:val="00C4D8"/>
                          <w:kern w:val="0"/>
                          <w:sz w:val="32"/>
                          <w:szCs w:val="32"/>
                        </w:rPr>
                        <w:t>第四部分：附录</w:t>
                      </w:r>
                    </w:p>
                    <w:p w14:paraId="4F72B874">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常见问题解答</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51</w:t>
                      </w:r>
                    </w:p>
                    <w:p w14:paraId="7D41EBD6">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highlight w:val="none"/>
                          <w:lang w:val="en-US" w:eastAsia="zh-CN"/>
                        </w:rPr>
                      </w:pPr>
                      <w:r>
                        <w:rPr>
                          <w:rFonts w:hint="eastAsia" w:ascii="微软雅黑" w:hAnsi="微软雅黑" w:eastAsia="微软雅黑" w:cs="微软雅黑"/>
                          <w:kern w:val="0"/>
                          <w:sz w:val="22"/>
                          <w:szCs w:val="22"/>
                          <w:highlight w:val="none"/>
                        </w:rPr>
                        <w:t>结直肠癌诊疗知识</w:t>
                      </w:r>
                      <w:r>
                        <w:rPr>
                          <w:rFonts w:hint="eastAsia" w:ascii="微软雅黑" w:hAnsi="微软雅黑" w:eastAsia="微软雅黑" w:cs="微软雅黑"/>
                          <w:kern w:val="0"/>
                          <w:sz w:val="22"/>
                          <w:szCs w:val="22"/>
                          <w:highlight w:val="none"/>
                          <w:lang w:val="en-US" w:eastAsia="zh-CN"/>
                        </w:rPr>
                        <w:tab/>
                      </w:r>
                      <w:r>
                        <w:rPr>
                          <w:rFonts w:hint="eastAsia" w:ascii="微软雅黑" w:hAnsi="微软雅黑" w:eastAsia="微软雅黑" w:cs="微软雅黑"/>
                          <w:kern w:val="0"/>
                          <w:sz w:val="22"/>
                          <w:szCs w:val="22"/>
                          <w:highlight w:val="none"/>
                          <w:lang w:val="en-US" w:eastAsia="zh-CN"/>
                        </w:rPr>
                        <w:t>53</w:t>
                      </w:r>
                    </w:p>
                    <w:p w14:paraId="16C84779">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highlight w:val="none"/>
                        </w:rPr>
                        <w:t>癌症相关</w:t>
                      </w:r>
                      <w:r>
                        <w:rPr>
                          <w:rFonts w:hint="eastAsia" w:ascii="微软雅黑" w:hAnsi="微软雅黑" w:eastAsia="微软雅黑" w:cs="微软雅黑"/>
                          <w:kern w:val="0"/>
                          <w:sz w:val="22"/>
                          <w:szCs w:val="22"/>
                        </w:rPr>
                        <w:t>信号通路</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75</w:t>
                      </w:r>
                    </w:p>
                    <w:p w14:paraId="7436EE4F">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default"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基因检测列表</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85</w:t>
                      </w:r>
                    </w:p>
                    <w:p w14:paraId="743E67A3">
                      <w:pPr>
                        <w:keepNext w:val="0"/>
                        <w:keepLines w:val="0"/>
                        <w:pageBreakBefore w:val="0"/>
                        <w:widowControl/>
                        <w:tabs>
                          <w:tab w:val="left" w:pos="4200"/>
                        </w:tabs>
                        <w:kinsoku/>
                        <w:wordWrap/>
                        <w:overflowPunct/>
                        <w:topLinePunct w:val="0"/>
                        <w:autoSpaceDE/>
                        <w:autoSpaceDN/>
                        <w:bidi w:val="0"/>
                        <w:adjustRightInd w:val="0"/>
                        <w:snapToGrid w:val="0"/>
                        <w:spacing w:after="0" w:line="288" w:lineRule="auto"/>
                        <w:jc w:val="left"/>
                        <w:textAlignment w:val="auto"/>
                        <w:rPr>
                          <w:rFonts w:hint="eastAsia" w:ascii="微软雅黑" w:hAnsi="微软雅黑" w:eastAsia="微软雅黑" w:cs="微软雅黑"/>
                          <w:kern w:val="0"/>
                          <w:sz w:val="22"/>
                          <w:szCs w:val="22"/>
                          <w:lang w:val="en-US" w:eastAsia="zh-CN"/>
                        </w:rPr>
                      </w:pPr>
                      <w:r>
                        <w:rPr>
                          <w:rFonts w:hint="eastAsia" w:ascii="微软雅黑" w:hAnsi="微软雅黑" w:eastAsia="微软雅黑" w:cs="微软雅黑"/>
                          <w:kern w:val="0"/>
                          <w:sz w:val="22"/>
                          <w:szCs w:val="22"/>
                        </w:rPr>
                        <w:t>参考文献</w:t>
                      </w:r>
                      <w:r>
                        <w:rPr>
                          <w:rFonts w:hint="eastAsia" w:ascii="微软雅黑" w:hAnsi="微软雅黑" w:eastAsia="微软雅黑" w:cs="微软雅黑"/>
                          <w:kern w:val="0"/>
                          <w:sz w:val="22"/>
                          <w:szCs w:val="22"/>
                          <w:lang w:val="en-US" w:eastAsia="zh-CN"/>
                        </w:rPr>
                        <w:tab/>
                      </w:r>
                      <w:r>
                        <w:rPr>
                          <w:rFonts w:hint="eastAsia" w:ascii="微软雅黑" w:hAnsi="微软雅黑" w:eastAsia="微软雅黑" w:cs="微软雅黑"/>
                          <w:kern w:val="0"/>
                          <w:sz w:val="22"/>
                          <w:szCs w:val="22"/>
                          <w:lang w:val="en-US" w:eastAsia="zh-CN"/>
                        </w:rPr>
                        <w:t>87</w:t>
                      </w:r>
                    </w:p>
                  </w:txbxContent>
                </v:textbox>
              </v:shape>
            </w:pict>
          </mc:Fallback>
        </mc:AlternateContent>
      </w:r>
      <w:r>
        <w:rPr>
          <w:sz w:val="24"/>
          <w:highlight w:val="none"/>
        </w:rPr>
        <mc:AlternateContent>
          <mc:Choice Requires="wps">
            <w:drawing>
              <wp:anchor distT="0" distB="0" distL="114300" distR="114300" simplePos="0" relativeHeight="251675648"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57"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5648;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k6O1&#10;NOcBAACvAwAADgAAAAAAAAABACAAAAAlAQAAZHJzL2Uyb0RvYy54bWxQSwUGAAAAAAYABgBZAQAA&#10;fgUAAAAA&#10;">
                <v:fill on="f" focussize="0,0"/>
                <v:stroke weight="1.5pt" color="#00C4D8" joinstyle="round"/>
                <v:imagedata o:title=""/>
                <o:lock v:ext="edit" aspectratio="f"/>
              </v:line>
            </w:pict>
          </mc:Fallback>
        </mc:AlternateContent>
      </w:r>
      <w:r>
        <w:rPr>
          <w:sz w:val="24"/>
          <w:highlight w:val="none"/>
        </w:rPr>
        <mc:AlternateContent>
          <mc:Choice Requires="wps">
            <w:drawing>
              <wp:anchor distT="0" distB="0" distL="114300" distR="114300" simplePos="0" relativeHeight="251680768"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58"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57F0B75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80768;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hMEbrYAAAACwEAAA8AAAAAAAAAAQAgAAAAIgAAAGRycy9kb3ducmV2LnhtbFBL&#10;AQIUABQAAAAIAIdO4kCJs0xpaAIAAM8EAAAOAAAAAAAAAAEAIAAAACcBAABkcnMvZTJvRG9jLnht&#10;bFBLBQYAAAAABgAGAFkBAAABBgAAAAA=&#10;">
                <v:fill on="f" focussize="0,0"/>
                <v:stroke weight="1pt" color="#00C4D8" joinstyle="round"/>
                <v:imagedata o:title=""/>
                <o:lock v:ext="edit" aspectratio="f"/>
                <v:textbox>
                  <w:txbxContent>
                    <w:p w14:paraId="57F0B756">
                      <w:pPr>
                        <w:jc w:val="center"/>
                      </w:pPr>
                    </w:p>
                  </w:txbxContent>
                </v:textbox>
              </v:shape>
            </w:pict>
          </mc:Fallback>
        </mc:AlternateContent>
      </w:r>
      <w:r>
        <w:rPr>
          <w:b/>
          <w:bCs/>
          <w:color w:val="00C4D8"/>
          <w:sz w:val="44"/>
          <w:szCs w:val="44"/>
          <w:highlight w:val="none"/>
        </w:rPr>
        <w:t>目    录</w:t>
      </w:r>
    </w:p>
    <w:p w14:paraId="4B7D6BD4">
      <w:pPr>
        <w:tabs>
          <w:tab w:val="left" w:pos="7492"/>
        </w:tabs>
        <w:adjustRightInd/>
        <w:snapToGrid/>
        <w:spacing w:line="220" w:lineRule="atLeast"/>
        <w:jc w:val="left"/>
        <w:rPr>
          <w:rFonts w:hint="eastAsia" w:ascii="微软雅黑" w:hAnsi="微软雅黑" w:eastAsia="微软雅黑"/>
          <w:b/>
          <w:sz w:val="30"/>
          <w:szCs w:val="30"/>
          <w:lang w:eastAsia="zh-CN"/>
        </w:rPr>
      </w:pPr>
      <w:r>
        <w:rPr>
          <w:rFonts w:hint="eastAsia" w:ascii="微软雅黑" w:hAnsi="微软雅黑"/>
          <w:b/>
          <w:sz w:val="30"/>
          <w:szCs w:val="30"/>
          <w:lang w:eastAsia="zh-CN"/>
        </w:rPr>
        <w:tab/>
      </w:r>
    </w:p>
    <w:p w14:paraId="2CBE93D6">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32538"/>
      <w:bookmarkStart w:id="17" w:name="_Toc3165"/>
      <w:bookmarkStart w:id="18" w:name="_Toc445"/>
      <w:bookmarkStart w:id="19" w:name="_Toc4575"/>
      <w:bookmarkStart w:id="20" w:name="_Toc14336"/>
      <w:bookmarkStart w:id="21" w:name="_Toc18057"/>
      <w:bookmarkStart w:id="22" w:name="_Toc12032"/>
      <w:bookmarkStart w:id="23" w:name="_Toc10896"/>
      <w:bookmarkStart w:id="24" w:name="_Toc12673"/>
      <w:bookmarkStart w:id="25" w:name="_Toc20058"/>
      <w:bookmarkStart w:id="26" w:name="_Toc8579"/>
      <w:bookmarkStart w:id="27" w:name="_Toc14886"/>
      <w:bookmarkStart w:id="28" w:name="_Toc14984"/>
      <w:bookmarkStart w:id="29" w:name="_Toc24717"/>
      <w:bookmarkStart w:id="30" w:name="_Toc7206"/>
      <w:bookmarkStart w:id="31" w:name="_Toc21484"/>
      <w:bookmarkStart w:id="32" w:name="_Toc31884"/>
      <w:bookmarkStart w:id="33" w:name="_Toc16016"/>
      <w:bookmarkStart w:id="34" w:name="_Toc1945"/>
      <w:bookmarkStart w:id="35" w:name="_Toc15999"/>
      <w:bookmarkStart w:id="36" w:name="_Toc15404"/>
      <w:bookmarkStart w:id="37" w:name="_Toc22635"/>
      <w:bookmarkStart w:id="38" w:name="_Toc29729"/>
      <w:bookmarkStart w:id="39" w:name="_Toc28396"/>
      <w:r>
        <w:rPr>
          <w:sz w:val="32"/>
        </w:rPr>
        <mc:AlternateContent>
          <mc:Choice Requires="wps">
            <w:drawing>
              <wp:anchor distT="0" distB="0" distL="114300" distR="114300" simplePos="0" relativeHeight="251679744"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781A553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pt;margin-top:65.05pt;height:48pt;width:240.7pt;z-index:251679744;mso-width-relative:page;mso-height-relative:page;" filled="f" stroked="f" coordsize="21600,21600" o:gfxdata="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UZSqNsAAAALAQAADwAA&#10;AAAAAAABACAAAAAiAAAAZHJzL2Rvd25yZXYueG1sUEsBAhQAFAAAAAgAh07iQHtTmINMAgAAggQA&#10;AA4AAAAAAAAAAQAgAAAAKgEAAGRycy9lMm9Eb2MueG1sUEsFBgAAAAAGAAYAWQEAAOgFAAAAAA==&#10;">
                <v:fill on="f" focussize="0,0"/>
                <v:stroke on="f" weight="0.5pt"/>
                <v:imagedata o:title=""/>
                <o:lock v:ext="edit" aspectratio="f"/>
                <v:textbox>
                  <w:txbxContent>
                    <w:p w14:paraId="781A553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p>
    <w:p w14:paraId="28051DE2">
      <w:pPr>
        <w:pStyle w:val="29"/>
        <w:numPr>
          <w:ilvl w:val="255"/>
          <w:numId w:val="0"/>
        </w:numPr>
        <w:adjustRightInd/>
        <w:snapToGrid/>
        <w:spacing w:after="300" w:line="220" w:lineRule="atLeast"/>
        <w:outlineLvl w:val="1"/>
        <w:rPr>
          <w:rFonts w:ascii="微软雅黑" w:hAnsi="微软雅黑"/>
          <w:b/>
          <w:color w:val="00C4D8"/>
          <w:sz w:val="32"/>
          <w:szCs w:val="32"/>
        </w:rPr>
      </w:pPr>
      <w:r>
        <w:rPr>
          <w:rFonts w:ascii="微软雅黑" w:hAnsi="微软雅黑"/>
          <w:b/>
          <w:color w:val="00C4D8"/>
          <w:sz w:val="32"/>
          <w:szCs w:val="32"/>
        </w:rPr>
        <mc:AlternateContent>
          <mc:Choice Requires="wps">
            <w:drawing>
              <wp:anchor distT="0" distB="0" distL="114300" distR="114300" simplePos="0" relativeHeight="251678720"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4.15pt;margin-top:30.4pt;height:0.15pt;width:198.55pt;z-index:251678720;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5FF1524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AC2713C">
            <w:pPr>
              <w:pStyle w:val="29"/>
              <w:numPr>
                <w:ilvl w:val="255"/>
                <w:numId w:val="0"/>
              </w:numPr>
              <w:spacing w:after="0"/>
              <w:outlineLvl w:val="1"/>
              <w:rPr>
                <w:rFonts w:ascii="微软雅黑" w:hAnsi="微软雅黑"/>
                <w:b/>
                <w:kern w:val="2"/>
                <w:sz w:val="24"/>
                <w:szCs w:val="24"/>
                <w:highlight w:val="none"/>
              </w:rPr>
            </w:pPr>
            <w:bookmarkStart w:id="40" w:name="OLE_LINK60" w:colFirst="0" w:colLast="4"/>
            <w:r>
              <w:rPr>
                <w:rFonts w:hint="eastAsia" w:ascii="微软雅黑" w:hAnsi="微软雅黑"/>
                <w:b/>
                <w:kern w:val="2"/>
                <w:sz w:val="24"/>
                <w:szCs w:val="24"/>
                <w:highlight w:val="none"/>
              </w:rPr>
              <w:t>姓名：</w:t>
            </w:r>
          </w:p>
        </w:tc>
        <w:tc>
          <w:tcPr>
            <w:tcW w:w="2629" w:type="dxa"/>
            <w:tcBorders>
              <w:tl2br w:val="nil"/>
              <w:tr2bl w:val="nil"/>
            </w:tcBorders>
            <w:shd w:val="clear" w:color="auto" w:fill="DBEEF3" w:themeFill="accent5" w:themeFillTint="32"/>
            <w:vAlign w:val="center"/>
          </w:tcPr>
          <w:p w14:paraId="5A755BD1">
            <w:pPr>
              <w:pStyle w:val="29"/>
              <w:numPr>
                <w:ilvl w:val="255"/>
                <w:numId w:val="0"/>
              </w:numPr>
              <w:spacing w:after="0"/>
              <w:outlineLvl w:val="1"/>
              <w:rPr>
                <w:rFonts w:hint="default" w:ascii="微软雅黑" w:hAnsi="微软雅黑" w:eastAsia="微软雅黑"/>
                <w:bCs/>
                <w:kern w:val="2"/>
                <w:sz w:val="24"/>
                <w:szCs w:val="24"/>
                <w:highlight w:val="none"/>
                <w:lang w:val="en-US" w:eastAsia="zh-CN"/>
              </w:rPr>
            </w:pPr>
            <w:r>
              <w:rPr>
                <w:rFonts w:hint="eastAsia" w:ascii="微软雅黑" w:hAnsi="微软雅黑"/>
                <w:bCs/>
                <w:kern w:val="2"/>
                <w:sz w:val="24"/>
                <w:szCs w:val="24"/>
                <w:highlight w:val="none"/>
                <w:lang w:val="en-US" w:eastAsia="zh-CN"/>
              </w:rPr>
              <w:t>杨庆铁</w:t>
            </w:r>
          </w:p>
        </w:tc>
        <w:tc>
          <w:tcPr>
            <w:tcW w:w="240" w:type="dxa"/>
            <w:tcBorders>
              <w:tl2br w:val="nil"/>
              <w:tr2bl w:val="nil"/>
            </w:tcBorders>
            <w:shd w:val="clear" w:color="auto" w:fill="FFFFFF" w:themeFill="background1" w:themeFillTint="32"/>
            <w:vAlign w:val="center"/>
          </w:tcPr>
          <w:p w14:paraId="6EE7A777">
            <w:pPr>
              <w:pStyle w:val="29"/>
              <w:numPr>
                <w:ilvl w:val="255"/>
                <w:numId w:val="0"/>
              </w:numPr>
              <w:spacing w:after="0"/>
              <w:outlineLvl w:val="1"/>
              <w:rPr>
                <w:rFonts w:ascii="微软雅黑" w:hAnsi="微软雅黑" w:cs="微软雅黑"/>
                <w:bCs/>
                <w:kern w:val="2"/>
                <w:sz w:val="24"/>
                <w:szCs w:val="24"/>
                <w:highlight w:val="none"/>
              </w:rPr>
            </w:pPr>
          </w:p>
        </w:tc>
        <w:tc>
          <w:tcPr>
            <w:tcW w:w="1907" w:type="dxa"/>
            <w:tcBorders>
              <w:tl2br w:val="nil"/>
              <w:tr2bl w:val="nil"/>
            </w:tcBorders>
            <w:shd w:val="clear" w:color="auto" w:fill="DBEEF3" w:themeFill="accent5" w:themeFillTint="32"/>
            <w:vAlign w:val="center"/>
          </w:tcPr>
          <w:p w14:paraId="031061C7">
            <w:pPr>
              <w:pStyle w:val="29"/>
              <w:numPr>
                <w:ilvl w:val="255"/>
                <w:numId w:val="0"/>
              </w:numPr>
              <w:spacing w:after="0"/>
              <w:outlineLvl w:val="1"/>
              <w:rPr>
                <w:rFonts w:ascii="微软雅黑" w:hAnsi="微软雅黑" w:cs="微软雅黑"/>
                <w:bCs/>
                <w:kern w:val="2"/>
                <w:sz w:val="24"/>
                <w:szCs w:val="24"/>
                <w:highlight w:val="none"/>
              </w:rPr>
            </w:pPr>
            <w:r>
              <w:rPr>
                <w:rFonts w:hint="eastAsia" w:ascii="微软雅黑" w:hAnsi="微软雅黑"/>
                <w:b/>
                <w:kern w:val="2"/>
                <w:sz w:val="24"/>
                <w:szCs w:val="24"/>
                <w:highlight w:val="none"/>
              </w:rPr>
              <w:t>样本类型：</w:t>
            </w:r>
          </w:p>
        </w:tc>
        <w:tc>
          <w:tcPr>
            <w:tcW w:w="2321" w:type="dxa"/>
            <w:tcBorders>
              <w:tl2br w:val="nil"/>
              <w:tr2bl w:val="nil"/>
            </w:tcBorders>
            <w:shd w:val="clear" w:color="auto" w:fill="DBEEF3" w:themeFill="accent5" w:themeFillTint="32"/>
            <w:vAlign w:val="center"/>
          </w:tcPr>
          <w:p w14:paraId="4BBA2F41">
            <w:pPr>
              <w:pStyle w:val="29"/>
              <w:numPr>
                <w:ilvl w:val="255"/>
                <w:numId w:val="0"/>
              </w:numPr>
              <w:spacing w:after="0"/>
              <w:outlineLvl w:val="1"/>
              <w:rPr>
                <w:rFonts w:hint="eastAsia" w:ascii="微软雅黑" w:hAnsi="微软雅黑" w:eastAsia="微软雅黑" w:cs="微软雅黑"/>
                <w:bCs/>
                <w:kern w:val="2"/>
                <w:sz w:val="24"/>
                <w:szCs w:val="24"/>
                <w:highlight w:val="none"/>
                <w:lang w:eastAsia="zh-CN"/>
              </w:rPr>
            </w:pPr>
            <w:r>
              <w:rPr>
                <w:rFonts w:hint="eastAsia" w:ascii="微软雅黑" w:hAnsi="微软雅黑" w:cs="微软雅黑"/>
                <w:bCs/>
                <w:kern w:val="2"/>
                <w:sz w:val="24"/>
                <w:szCs w:val="24"/>
                <w:highlight w:val="none"/>
                <w:lang w:val="en-US" w:eastAsia="zh-CN"/>
              </w:rPr>
              <w:t>组织</w:t>
            </w:r>
          </w:p>
        </w:tc>
      </w:tr>
      <w:tr w14:paraId="7246040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F5185C5">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477627F0">
            <w:pPr>
              <w:pStyle w:val="29"/>
              <w:numPr>
                <w:ilvl w:val="255"/>
                <w:numId w:val="0"/>
              </w:numPr>
              <w:spacing w:after="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男</w:t>
            </w:r>
          </w:p>
        </w:tc>
        <w:tc>
          <w:tcPr>
            <w:tcW w:w="240" w:type="dxa"/>
            <w:tcBorders>
              <w:tl2br w:val="nil"/>
              <w:tr2bl w:val="nil"/>
            </w:tcBorders>
            <w:shd w:val="clear" w:color="auto" w:fill="FFFFFF" w:themeFill="background1" w:themeFillTint="32"/>
            <w:vAlign w:val="center"/>
          </w:tcPr>
          <w:p w14:paraId="667B342A">
            <w:pPr>
              <w:pStyle w:val="29"/>
              <w:numPr>
                <w:ilvl w:val="255"/>
                <w:numId w:val="0"/>
              </w:numPr>
              <w:spacing w:after="0"/>
              <w:outlineLvl w:val="1"/>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515652EE">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5062C2F5">
            <w:pPr>
              <w:pStyle w:val="29"/>
              <w:numPr>
                <w:ilvl w:val="255"/>
                <w:numId w:val="0"/>
              </w:numPr>
              <w:spacing w:after="0"/>
              <w:outlineLvl w:val="1"/>
              <w:rPr>
                <w:rFonts w:ascii="微软雅黑" w:hAnsi="微软雅黑"/>
                <w:bCs/>
                <w:kern w:val="2"/>
                <w:sz w:val="24"/>
                <w:szCs w:val="24"/>
              </w:rPr>
            </w:pPr>
            <w:r>
              <w:rPr>
                <w:rFonts w:hint="eastAsia" w:ascii="微软雅黑" w:hAnsi="微软雅黑"/>
                <w:bCs/>
                <w:kern w:val="2"/>
                <w:sz w:val="24"/>
                <w:szCs w:val="24"/>
              </w:rPr>
              <w:t>-</w:t>
            </w:r>
          </w:p>
        </w:tc>
      </w:tr>
      <w:tr w14:paraId="2691646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B3B0A39">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68C4E655">
            <w:pPr>
              <w:pStyle w:val="29"/>
              <w:numPr>
                <w:ilvl w:val="255"/>
                <w:numId w:val="0"/>
              </w:numPr>
              <w:spacing w:after="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73</w:t>
            </w:r>
          </w:p>
        </w:tc>
        <w:tc>
          <w:tcPr>
            <w:tcW w:w="240" w:type="dxa"/>
            <w:tcBorders>
              <w:tl2br w:val="nil"/>
              <w:tr2bl w:val="nil"/>
            </w:tcBorders>
            <w:shd w:val="clear" w:color="auto" w:fill="FFFFFF" w:themeFill="background1" w:themeFillTint="32"/>
            <w:vAlign w:val="center"/>
          </w:tcPr>
          <w:p w14:paraId="2D18A9F7">
            <w:pPr>
              <w:pStyle w:val="29"/>
              <w:numPr>
                <w:ilvl w:val="255"/>
                <w:numId w:val="0"/>
              </w:numPr>
              <w:spacing w:after="0"/>
              <w:outlineLvl w:val="1"/>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16915B5E">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6CC1C6F1">
            <w:pPr>
              <w:pStyle w:val="29"/>
              <w:numPr>
                <w:ilvl w:val="255"/>
                <w:numId w:val="0"/>
              </w:numPr>
              <w:spacing w:after="0"/>
              <w:outlineLvl w:val="1"/>
              <w:rPr>
                <w:rFonts w:ascii="微软雅黑" w:hAnsi="微软雅黑"/>
                <w:bCs/>
                <w:kern w:val="2"/>
                <w:sz w:val="24"/>
                <w:szCs w:val="24"/>
              </w:rPr>
            </w:pPr>
            <w:r>
              <w:rPr>
                <w:rFonts w:hint="eastAsia" w:ascii="微软雅黑" w:hAnsi="微软雅黑"/>
                <w:bCs/>
                <w:kern w:val="2"/>
                <w:sz w:val="24"/>
                <w:szCs w:val="24"/>
              </w:rPr>
              <w:t>-</w:t>
            </w:r>
          </w:p>
        </w:tc>
      </w:tr>
      <w:tr w14:paraId="27E33C6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2CD45E0E">
            <w:pPr>
              <w:pStyle w:val="29"/>
              <w:numPr>
                <w:ilvl w:val="255"/>
                <w:numId w:val="0"/>
              </w:numPr>
              <w:spacing w:after="0"/>
              <w:outlineLvl w:val="1"/>
              <w:rPr>
                <w:rFonts w:ascii="微软雅黑" w:hAnsi="微软雅黑"/>
                <w:b/>
                <w:kern w:val="2"/>
                <w:sz w:val="24"/>
                <w:szCs w:val="24"/>
                <w:highlight w:val="none"/>
              </w:rPr>
            </w:pPr>
            <w:r>
              <w:rPr>
                <w:rFonts w:hint="eastAsia" w:ascii="微软雅黑" w:hAnsi="微软雅黑"/>
                <w:b/>
                <w:kern w:val="2"/>
                <w:sz w:val="24"/>
                <w:szCs w:val="24"/>
                <w:highlight w:val="none"/>
              </w:rPr>
              <w:t>临床诊断：</w:t>
            </w:r>
          </w:p>
        </w:tc>
        <w:tc>
          <w:tcPr>
            <w:tcW w:w="2629" w:type="dxa"/>
            <w:tcBorders>
              <w:tl2br w:val="nil"/>
              <w:tr2bl w:val="nil"/>
            </w:tcBorders>
            <w:shd w:val="clear" w:color="auto" w:fill="DBEEF3" w:themeFill="accent5" w:themeFillTint="32"/>
            <w:vAlign w:val="center"/>
          </w:tcPr>
          <w:p w14:paraId="13C82B6A">
            <w:pPr>
              <w:pStyle w:val="29"/>
              <w:numPr>
                <w:ilvl w:val="255"/>
                <w:numId w:val="0"/>
              </w:numPr>
              <w:spacing w:after="0"/>
              <w:outlineLvl w:val="1"/>
              <w:rPr>
                <w:rFonts w:hint="eastAsia" w:ascii="微软雅黑" w:hAnsi="微软雅黑" w:eastAsia="微软雅黑"/>
                <w:bCs/>
                <w:kern w:val="2"/>
                <w:sz w:val="24"/>
                <w:szCs w:val="24"/>
                <w:highlight w:val="none"/>
                <w:lang w:eastAsia="zh-CN"/>
              </w:rPr>
            </w:pPr>
            <w:r>
              <w:rPr>
                <w:rFonts w:hint="eastAsia" w:ascii="微软雅黑" w:hAnsi="微软雅黑"/>
                <w:bCs/>
                <w:kern w:val="2"/>
                <w:sz w:val="24"/>
                <w:szCs w:val="24"/>
                <w:highlight w:val="none"/>
                <w:lang w:val="en-US" w:eastAsia="zh-CN"/>
              </w:rPr>
              <w:t>盲肠癌</w:t>
            </w:r>
          </w:p>
        </w:tc>
        <w:tc>
          <w:tcPr>
            <w:tcW w:w="240" w:type="dxa"/>
            <w:tcBorders>
              <w:tl2br w:val="nil"/>
              <w:tr2bl w:val="nil"/>
            </w:tcBorders>
            <w:shd w:val="clear" w:color="auto" w:fill="FFFFFF" w:themeFill="background1" w:themeFillTint="32"/>
            <w:vAlign w:val="center"/>
          </w:tcPr>
          <w:p w14:paraId="23F40CD7">
            <w:pPr>
              <w:pStyle w:val="29"/>
              <w:numPr>
                <w:ilvl w:val="255"/>
                <w:numId w:val="0"/>
              </w:numPr>
              <w:spacing w:after="0"/>
              <w:outlineLvl w:val="1"/>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40BF8434">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lang w:val="en-US" w:eastAsia="zh-CN"/>
              </w:rPr>
              <w:t>项目编码</w:t>
            </w:r>
            <w:r>
              <w:rPr>
                <w:rFonts w:hint="eastAsia" w:ascii="微软雅黑" w:hAnsi="微软雅黑"/>
                <w:b/>
                <w:kern w:val="2"/>
                <w:sz w:val="24"/>
                <w:szCs w:val="24"/>
              </w:rPr>
              <w:t>：</w:t>
            </w:r>
          </w:p>
        </w:tc>
        <w:tc>
          <w:tcPr>
            <w:tcW w:w="2321" w:type="dxa"/>
            <w:tcBorders>
              <w:tl2br w:val="nil"/>
              <w:tr2bl w:val="nil"/>
            </w:tcBorders>
            <w:shd w:val="clear" w:color="auto" w:fill="DBEEF3" w:themeFill="accent5" w:themeFillTint="32"/>
            <w:vAlign w:val="center"/>
          </w:tcPr>
          <w:p w14:paraId="2CA6827A">
            <w:pPr>
              <w:pStyle w:val="29"/>
              <w:numPr>
                <w:ilvl w:val="255"/>
                <w:numId w:val="0"/>
              </w:numPr>
              <w:spacing w:after="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rPr>
              <w:t>L</w:t>
            </w:r>
            <w:r>
              <w:rPr>
                <w:rFonts w:hint="eastAsia" w:ascii="微软雅黑" w:hAnsi="微软雅黑"/>
                <w:bCs/>
                <w:kern w:val="2"/>
                <w:sz w:val="24"/>
                <w:szCs w:val="24"/>
                <w:lang w:val="en-US" w:eastAsia="zh-CN"/>
              </w:rPr>
              <w:t>Z250929</w:t>
            </w:r>
          </w:p>
        </w:tc>
      </w:tr>
      <w:bookmarkEnd w:id="40"/>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1" w:name="_Toc14589"/>
      <w:bookmarkStart w:id="42" w:name="_Toc1619"/>
      <w:bookmarkStart w:id="43" w:name="_Toc16727"/>
      <w:bookmarkStart w:id="44" w:name="_Toc18728"/>
      <w:bookmarkStart w:id="45" w:name="_Toc31893"/>
      <w:bookmarkStart w:id="46" w:name="_Toc5129"/>
      <w:bookmarkStart w:id="47" w:name="_Toc30103"/>
      <w:bookmarkStart w:id="48" w:name="_Toc22529"/>
      <w:bookmarkStart w:id="49" w:name="_Toc31667"/>
      <w:bookmarkStart w:id="50" w:name="_Toc3347"/>
      <w:bookmarkStart w:id="51" w:name="_Toc5570"/>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2091E48">
      <w:pPr>
        <w:keepNext w:val="0"/>
        <w:keepLines w:val="0"/>
        <w:pageBreakBefore w:val="0"/>
        <w:widowControl/>
        <w:tabs>
          <w:tab w:val="left" w:pos="6274"/>
        </w:tabs>
        <w:kinsoku/>
        <w:wordWrap/>
        <w:overflowPunct/>
        <w:topLinePunct w:val="0"/>
        <w:autoSpaceDE/>
        <w:autoSpaceDN/>
        <w:bidi w:val="0"/>
        <w:adjustRightInd/>
        <w:snapToGrid/>
        <w:spacing w:before="100" w:after="100" w:line="220" w:lineRule="atLeast"/>
        <w:jc w:val="both"/>
        <w:textAlignment w:val="auto"/>
        <w:outlineLvl w:val="1"/>
        <w:rPr>
          <w:rFonts w:hint="eastAsia" w:ascii="微软雅黑" w:hAnsi="微软雅黑"/>
          <w:b/>
          <w:color w:val="0D0D0D" w:themeColor="text1" w:themeTint="F2"/>
          <w:sz w:val="18"/>
          <w:szCs w:val="18"/>
          <w:lang w:val="en-US" w:eastAsia="zh-CN"/>
          <w14:textFill>
            <w14:solidFill>
              <w14:schemeClr w14:val="tx1">
                <w14:lumMod w14:val="95000"/>
                <w14:lumOff w14:val="5000"/>
              </w14:schemeClr>
            </w14:solidFill>
          </w14:textFill>
        </w:rPr>
      </w:pPr>
    </w:p>
    <w:p w14:paraId="1081BAAE">
      <w:pPr>
        <w:tabs>
          <w:tab w:val="left" w:pos="6274"/>
        </w:tabs>
        <w:adjustRightInd/>
        <w:snapToGrid/>
        <w:spacing w:before="400" w:line="220" w:lineRule="atLeast"/>
        <w:outlineLvl w:val="1"/>
        <w:rPr>
          <w:rFonts w:ascii="微软雅黑" w:hAnsi="微软雅黑"/>
          <w:b/>
          <w:sz w:val="32"/>
          <w:szCs w:val="32"/>
        </w:rPr>
      </w:pPr>
      <w:bookmarkStart w:id="52" w:name="_Toc2382"/>
      <w:r>
        <w:rPr>
          <w:rFonts w:hint="eastAsia" w:ascii="微软雅黑" w:hAnsi="微软雅黑"/>
          <w:b/>
          <w:color w:val="00C4D8"/>
          <w:sz w:val="32"/>
          <w:szCs w:val="32"/>
        </w:rPr>
        <w:t>检测内容</w:t>
      </w:r>
      <w:bookmarkEnd w:id="41"/>
      <w:bookmarkEnd w:id="42"/>
      <w:bookmarkEnd w:id="43"/>
      <w:bookmarkEnd w:id="44"/>
      <w:bookmarkEnd w:id="45"/>
      <w:bookmarkEnd w:id="46"/>
      <w:bookmarkEnd w:id="47"/>
      <w:bookmarkEnd w:id="48"/>
      <w:bookmarkEnd w:id="49"/>
      <w:bookmarkEnd w:id="50"/>
      <w:bookmarkEnd w:id="51"/>
      <w:bookmarkEnd w:id="52"/>
      <w:r>
        <w:rPr>
          <w:rFonts w:ascii="微软雅黑" w:hAnsi="微软雅黑"/>
          <w:b/>
          <w:sz w:val="32"/>
          <w:szCs w:val="32"/>
        </w:rPr>
        <w:tab/>
      </w:r>
    </w:p>
    <w:p w14:paraId="109ED9CE">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w:t>
      </w:r>
      <w:r>
        <w:rPr>
          <w:rFonts w:ascii="微软雅黑" w:hAnsi="微软雅黑" w:cs="LPJNJT+Arial Unicode MS"/>
          <w:sz w:val="24"/>
          <w:szCs w:val="24"/>
          <w:highlight w:val="none"/>
        </w:rPr>
        <w:t>人</w:t>
      </w:r>
      <w:r>
        <w:rPr>
          <w:rFonts w:hint="eastAsia" w:ascii="微软雅黑" w:hAnsi="微软雅黑" w:cs="LPJNJT+Arial Unicode MS"/>
          <w:sz w:val="24"/>
          <w:szCs w:val="24"/>
          <w:highlight w:val="none"/>
          <w:u w:val="single"/>
        </w:rPr>
        <w:t xml:space="preserve">    </w:t>
      </w:r>
      <w:r>
        <w:rPr>
          <w:rFonts w:hint="eastAsia" w:ascii="微软雅黑" w:hAnsi="微软雅黑" w:cs="LPJNJT+Arial Unicode MS"/>
          <w:sz w:val="24"/>
          <w:szCs w:val="24"/>
          <w:highlight w:val="none"/>
          <w:u w:val="single"/>
          <w:lang w:val="en-US" w:eastAsia="zh-CN"/>
        </w:rPr>
        <w:t>组织</w:t>
      </w:r>
      <w:r>
        <w:rPr>
          <w:rFonts w:hint="eastAsia" w:ascii="微软雅黑" w:hAnsi="微软雅黑" w:cs="LPJNJT+Arial Unicode MS"/>
          <w:sz w:val="24"/>
          <w:szCs w:val="24"/>
          <w:highlight w:val="none"/>
          <w:u w:val="single"/>
        </w:rPr>
        <w:t xml:space="preserve">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rPr>
        <w:t>3</w:t>
      </w:r>
      <w:r>
        <w:rPr>
          <w:rFonts w:hint="eastAsia" w:ascii="微软雅黑" w:hAnsi="微软雅黑" w:cs="LPJNJT+Arial Unicode MS"/>
          <w:sz w:val="24"/>
          <w:szCs w:val="24"/>
          <w:lang w:val="en-US" w:eastAsia="zh-CN"/>
        </w:rPr>
        <w:t>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4300A75">
      <w:pPr>
        <w:numPr>
          <w:ilvl w:val="0"/>
          <w:numId w:val="1"/>
        </w:numPr>
        <w:spacing w:after="0" w:line="312" w:lineRule="auto"/>
        <w:jc w:val="both"/>
        <w:rPr>
          <w:rFonts w:ascii="微软雅黑" w:hAnsi="微软雅黑" w:cs="LPJNJT+Arial Unicode MS"/>
          <w:sz w:val="24"/>
          <w:szCs w:val="24"/>
        </w:rPr>
      </w:pPr>
      <w:bookmarkStart w:id="53" w:name="OLE_LINK28"/>
      <w:r>
        <w:rPr>
          <w:rFonts w:hint="eastAsia" w:ascii="微软雅黑" w:hAnsi="微软雅黑" w:cs="LPJNJT+Arial Unicode MS"/>
          <w:sz w:val="24"/>
          <w:szCs w:val="24"/>
        </w:rPr>
        <w:t>分析样本微卫星不稳定性，给予用药提示。</w:t>
      </w:r>
    </w:p>
    <w:p w14:paraId="29B1FDE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3"/>
    <w:p w14:paraId="67EDB56E">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7C14EF0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6DD8FE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14:paraId="2CECA950">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p>
    <w:p w14:paraId="30D54637">
      <w:pPr>
        <w:pStyle w:val="29"/>
        <w:keepNext w:val="0"/>
        <w:keepLines w:val="0"/>
        <w:pageBreakBefore w:val="0"/>
        <w:widowControl/>
        <w:numPr>
          <w:ilvl w:val="255"/>
          <w:numId w:val="0"/>
        </w:numPr>
        <w:kinsoku/>
        <w:wordWrap/>
        <w:overflowPunct/>
        <w:topLinePunct w:val="0"/>
        <w:autoSpaceDE/>
        <w:autoSpaceDN/>
        <w:bidi w:val="0"/>
        <w:adjustRightInd/>
        <w:snapToGrid/>
        <w:spacing w:before="200" w:after="100" w:line="220" w:lineRule="atLeast"/>
        <w:jc w:val="center"/>
        <w:textAlignment w:val="auto"/>
        <w:outlineLvl w:val="0"/>
        <w:rPr>
          <w:rFonts w:hint="eastAsia" w:ascii="微软雅黑" w:hAnsi="微软雅黑"/>
          <w:b/>
          <w:color w:val="00C4D8"/>
          <w:sz w:val="36"/>
          <w:szCs w:val="36"/>
        </w:rPr>
      </w:pPr>
      <w:bookmarkStart w:id="54" w:name="_Toc20306"/>
      <w:bookmarkEnd w:id="54"/>
      <w:bookmarkStart w:id="55" w:name="_Toc5769"/>
      <w:bookmarkEnd w:id="55"/>
      <w:bookmarkStart w:id="56" w:name="_Toc30794"/>
      <w:bookmarkEnd w:id="56"/>
      <w:bookmarkStart w:id="57" w:name="_Toc8199"/>
      <w:bookmarkEnd w:id="57"/>
      <w:bookmarkStart w:id="58" w:name="_Toc7901"/>
      <w:bookmarkEnd w:id="58"/>
      <w:bookmarkStart w:id="59" w:name="_Toc3810"/>
      <w:bookmarkEnd w:id="59"/>
      <w:bookmarkStart w:id="60" w:name="_Toc23594"/>
      <w:bookmarkStart w:id="61" w:name="_Toc1330"/>
      <w:bookmarkStart w:id="62" w:name="_Toc28223"/>
      <w:bookmarkStart w:id="63" w:name="_Toc12358"/>
      <w:bookmarkStart w:id="64" w:name="_Toc6361"/>
      <w:bookmarkStart w:id="65" w:name="_Toc30443"/>
      <w:bookmarkStart w:id="66" w:name="_Toc30145"/>
      <w:bookmarkStart w:id="67" w:name="_Toc21519"/>
      <w:bookmarkStart w:id="68" w:name="_Toc10524"/>
      <w:bookmarkStart w:id="69" w:name="_Toc26709"/>
      <w:bookmarkStart w:id="70" w:name="_Toc25481"/>
      <w:bookmarkStart w:id="71" w:name="_Toc26768"/>
    </w:p>
    <w:p w14:paraId="123D8804">
      <w:pPr>
        <w:pStyle w:val="29"/>
        <w:keepNext w:val="0"/>
        <w:keepLines w:val="0"/>
        <w:pageBreakBefore w:val="0"/>
        <w:widowControl/>
        <w:numPr>
          <w:ilvl w:val="255"/>
          <w:numId w:val="0"/>
        </w:numPr>
        <w:kinsoku/>
        <w:wordWrap/>
        <w:overflowPunct/>
        <w:topLinePunct w:val="0"/>
        <w:autoSpaceDE/>
        <w:autoSpaceDN/>
        <w:bidi w:val="0"/>
        <w:adjustRightInd/>
        <w:snapToGrid/>
        <w:spacing w:before="200" w:after="100" w:line="220" w:lineRule="atLeast"/>
        <w:jc w:val="center"/>
        <w:textAlignment w:val="auto"/>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0"/>
    </w:p>
    <w:p w14:paraId="6EFC9C46">
      <w:pPr>
        <w:keepNext w:val="0"/>
        <w:keepLines w:val="0"/>
        <w:pageBreakBefore w:val="0"/>
        <w:widowControl/>
        <w:numPr>
          <w:ilvl w:val="0"/>
          <w:numId w:val="0"/>
        </w:numPr>
        <w:kinsoku/>
        <w:wordWrap/>
        <w:overflowPunct/>
        <w:topLinePunct w:val="0"/>
        <w:autoSpaceDE/>
        <w:autoSpaceDN/>
        <w:bidi w:val="0"/>
        <w:adjustRightInd/>
        <w:snapToGrid/>
        <w:spacing w:after="0" w:line="220" w:lineRule="atLeast"/>
        <w:textAlignment w:val="auto"/>
        <w:outlineLvl w:val="1"/>
        <w:rPr>
          <w:rFonts w:ascii="微软雅黑" w:hAnsi="微软雅黑"/>
          <w:b/>
          <w:color w:val="00C4D8"/>
          <w:sz w:val="32"/>
          <w:szCs w:val="32"/>
          <w:highlight w:val="none"/>
        </w:rPr>
      </w:pPr>
      <w:bookmarkStart w:id="72" w:name="_Toc27165"/>
      <w:r>
        <w:rPr>
          <w:rFonts w:hint="default" w:ascii="微软雅黑" w:hAnsi="微软雅黑" w:eastAsia="微软雅黑" w:cstheme="minorBidi"/>
          <w:b/>
          <w:bCs/>
          <w:color w:val="00C4D8"/>
          <w:sz w:val="32"/>
          <w:szCs w:val="32"/>
          <w:lang w:val="en-US" w:eastAsia="zh-CN" w:bidi="ar-SA"/>
        </w:rPr>
        <w:t>1.</w:t>
      </w:r>
      <w:r>
        <w:rPr>
          <w:rFonts w:hint="eastAsia" w:ascii="微软雅黑" w:hAnsi="微软雅黑"/>
          <w:b/>
          <w:color w:val="00C4D8"/>
          <w:sz w:val="32"/>
          <w:szCs w:val="32"/>
          <w:highlight w:val="none"/>
        </w:rPr>
        <w:t>检测结果小结</w:t>
      </w:r>
      <w:bookmarkEnd w:id="61"/>
      <w:bookmarkEnd w:id="62"/>
      <w:bookmarkEnd w:id="63"/>
      <w:bookmarkEnd w:id="64"/>
      <w:bookmarkEnd w:id="65"/>
      <w:bookmarkEnd w:id="66"/>
      <w:bookmarkEnd w:id="67"/>
      <w:bookmarkEnd w:id="68"/>
      <w:bookmarkEnd w:id="69"/>
      <w:bookmarkEnd w:id="70"/>
      <w:bookmarkEnd w:id="71"/>
      <w:bookmarkEnd w:id="72"/>
    </w:p>
    <w:p w14:paraId="1DA6BFB5">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320" w:lineRule="exact"/>
        <w:ind w:left="420" w:hanging="420" w:firstLineChars="0"/>
        <w:textAlignment w:val="auto"/>
        <w:outlineLvl w:val="1"/>
        <w:rPr>
          <w:rFonts w:ascii="微软雅黑" w:hAnsi="微软雅黑"/>
          <w:b/>
          <w:color w:val="00C4D8"/>
          <w:sz w:val="28"/>
          <w:szCs w:val="28"/>
        </w:rPr>
      </w:pPr>
      <w:r>
        <w:rPr>
          <w:rFonts w:hint="eastAsia" w:ascii="微软雅黑" w:hAnsi="微软雅黑"/>
          <w:b/>
          <w:color w:val="00C4D8"/>
          <w:sz w:val="28"/>
          <w:szCs w:val="28"/>
          <w:lang w:eastAsia="zh-CN"/>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186"/>
        <w:gridCol w:w="2181"/>
      </w:tblGrid>
      <w:tr w14:paraId="717C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6D87D4D">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bookmarkStart w:id="73" w:name="OLE_LINK9"/>
            <w:r>
              <w:rPr>
                <w:rFonts w:hint="eastAsia" w:ascii="微软雅黑" w:hAnsi="微软雅黑" w:eastAsia="微软雅黑" w:cs="微软雅黑"/>
                <w:b/>
                <w:bCs/>
                <w:color w:val="FFFFFF" w:themeColor="background1"/>
                <w:kern w:val="2"/>
                <w:sz w:val="18"/>
                <w:szCs w:val="18"/>
                <w14:textFill>
                  <w14:solidFill>
                    <w14:schemeClr w14:val="bg1"/>
                  </w14:solidFill>
                </w14:textFill>
              </w:rPr>
              <w:t>基因</w:t>
            </w:r>
          </w:p>
        </w:tc>
        <w:tc>
          <w:tcPr>
            <w:tcW w:w="1758" w:type="dxa"/>
            <w:shd w:val="clear" w:color="auto" w:fill="00C4D8"/>
            <w:vAlign w:val="center"/>
          </w:tcPr>
          <w:p w14:paraId="572FF72A">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突变位点</w:t>
            </w:r>
          </w:p>
        </w:tc>
        <w:tc>
          <w:tcPr>
            <w:tcW w:w="3186" w:type="dxa"/>
            <w:shd w:val="clear" w:color="auto" w:fill="00C4D8"/>
            <w:vAlign w:val="center"/>
          </w:tcPr>
          <w:p w14:paraId="6D8C8C64">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14:paraId="5D84D0EC">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default"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p>
        </w:tc>
        <w:tc>
          <w:tcPr>
            <w:tcW w:w="2181" w:type="dxa"/>
            <w:shd w:val="clear" w:color="auto" w:fill="00C4D8"/>
            <w:vAlign w:val="center"/>
          </w:tcPr>
          <w:p w14:paraId="07D26C39">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可能耐药或慎重药物</w:t>
            </w:r>
          </w:p>
          <w:p w14:paraId="0DB9A1AC">
            <w:pPr>
              <w:keepNext w:val="0"/>
              <w:keepLines w:val="0"/>
              <w:pageBreakBefore w:val="0"/>
              <w:widowControl/>
              <w:kinsoku/>
              <w:wordWrap/>
              <w:overflowPunct/>
              <w:topLinePunct w:val="0"/>
              <w:autoSpaceDE/>
              <w:autoSpaceDN/>
              <w:bidi w:val="0"/>
              <w:adjustRightInd/>
              <w:snapToGrid/>
              <w:spacing w:after="0" w:line="320" w:lineRule="exact"/>
              <w:jc w:val="center"/>
              <w:textAlignment w:val="auto"/>
              <w:rPr>
                <w:rFonts w:hint="eastAsia" w:ascii="微软雅黑" w:hAnsi="微软雅黑" w:eastAsia="微软雅黑" w:cs="微软雅黑"/>
                <w:b/>
                <w:color w:val="00C4D8"/>
                <w:kern w:val="2"/>
                <w:sz w:val="18"/>
                <w:szCs w:val="18"/>
                <w:lang w:eastAsia="zh-CN"/>
              </w:rPr>
            </w:pPr>
            <w:r>
              <w:rPr>
                <w:rFonts w:hint="eastAsia" w:ascii="微软雅黑" w:hAnsi="微软雅黑" w:cs="微软雅黑"/>
                <w:b/>
                <w:bCs/>
                <w:color w:val="FFFFFF" w:themeColor="background1"/>
                <w:kern w:val="2"/>
                <w:sz w:val="18"/>
                <w:szCs w:val="18"/>
                <w:lang w:eastAsia="zh-CN"/>
                <w14:textFill>
                  <w14:solidFill>
                    <w14:schemeClr w14:val="bg1"/>
                  </w14:solidFill>
                </w14:textFill>
              </w:rPr>
              <w:t>（</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eastAsia="zh-CN"/>
                <w14:textFill>
                  <w14:solidFill>
                    <w14:schemeClr w14:val="bg1"/>
                  </w14:solidFill>
                </w14:textFill>
              </w:rPr>
              <w:t>）</w:t>
            </w:r>
          </w:p>
        </w:tc>
      </w:tr>
      <w:tr w14:paraId="1389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170" w:type="dxa"/>
            <w:shd w:val="clear" w:color="auto" w:fill="auto"/>
            <w:vAlign w:val="center"/>
          </w:tcPr>
          <w:p w14:paraId="6DE3257C">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default" w:ascii="微软雅黑" w:hAnsi="微软雅黑" w:eastAsia="微软雅黑" w:cs="微软雅黑"/>
                <w:color w:val="0000FF"/>
                <w:kern w:val="2"/>
                <w:sz w:val="18"/>
                <w:szCs w:val="18"/>
                <w:u w:val="single"/>
                <w:lang w:val="en-US" w:eastAsia="zh-CN"/>
              </w:rPr>
              <w:t>KRAS</w:t>
            </w:r>
          </w:p>
        </w:tc>
        <w:tc>
          <w:tcPr>
            <w:tcW w:w="1758" w:type="dxa"/>
            <w:shd w:val="clear" w:color="auto" w:fill="auto"/>
            <w:vAlign w:val="center"/>
          </w:tcPr>
          <w:p w14:paraId="36AD2A45">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3186" w:type="dxa"/>
            <w:vMerge w:val="restart"/>
            <w:shd w:val="clear" w:color="auto" w:fill="auto"/>
            <w:vAlign w:val="center"/>
          </w:tcPr>
          <w:p w14:paraId="506867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Times New Roman"/>
                <w:b w:val="0"/>
                <w:bCs/>
                <w:color w:val="0000FF"/>
                <w:kern w:val="2"/>
                <w:sz w:val="18"/>
                <w:szCs w:val="18"/>
                <w:highlight w:val="none"/>
                <w:u w:val="single"/>
                <w:lang w:val="en-US" w:eastAsia="zh-CN" w:bidi="ar"/>
              </w:rPr>
            </w:pPr>
            <w:r>
              <w:rPr>
                <w:rFonts w:hint="default" w:ascii="微软雅黑" w:hAnsi="微软雅黑" w:cs="Times New Roman"/>
                <w:b w:val="0"/>
                <w:bCs/>
                <w:color w:val="0000FF"/>
                <w:kern w:val="2"/>
                <w:sz w:val="18"/>
                <w:szCs w:val="18"/>
                <w:highlight w:val="none"/>
                <w:u w:val="single"/>
                <w:lang w:val="en-US" w:eastAsia="zh-CN" w:bidi="ar"/>
              </w:rPr>
              <w:t>西妥昔单抗</w:t>
            </w:r>
            <w:r>
              <w:rPr>
                <w:rFonts w:hint="eastAsia" w:ascii="微软雅黑" w:hAnsi="微软雅黑" w:cs="Times New Roman"/>
                <w:b w:val="0"/>
                <w:bCs/>
                <w:color w:val="0000FF"/>
                <w:kern w:val="2"/>
                <w:sz w:val="18"/>
                <w:szCs w:val="18"/>
                <w:highlight w:val="none"/>
                <w:u w:val="single"/>
                <w:lang w:val="en-US" w:eastAsia="zh-CN" w:bidi="ar"/>
              </w:rPr>
              <w:t>（A）</w:t>
            </w:r>
          </w:p>
          <w:p w14:paraId="77505795">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Times New Roman"/>
                <w:b w:val="0"/>
                <w:bCs/>
                <w:color w:val="0000FF"/>
                <w:kern w:val="2"/>
                <w:sz w:val="18"/>
                <w:szCs w:val="18"/>
                <w:highlight w:val="none"/>
                <w:u w:val="single"/>
                <w:lang w:val="en-US" w:eastAsia="zh-CN" w:bidi="ar"/>
              </w:rPr>
              <w:t>帕尼单抗</w:t>
            </w:r>
            <w:r>
              <w:rPr>
                <w:rFonts w:hint="eastAsia" w:ascii="微软雅黑" w:hAnsi="微软雅黑" w:cs="Times New Roman"/>
                <w:b w:val="0"/>
                <w:bCs/>
                <w:color w:val="0000FF"/>
                <w:kern w:val="2"/>
                <w:sz w:val="18"/>
                <w:szCs w:val="18"/>
                <w:highlight w:val="none"/>
                <w:u w:val="single"/>
                <w:lang w:val="en-US" w:eastAsia="zh-CN" w:bidi="ar"/>
              </w:rPr>
              <w:t>（A）</w:t>
            </w:r>
          </w:p>
        </w:tc>
        <w:tc>
          <w:tcPr>
            <w:tcW w:w="2181" w:type="dxa"/>
            <w:vMerge w:val="restart"/>
            <w:shd w:val="clear" w:color="auto" w:fill="auto"/>
            <w:vAlign w:val="center"/>
          </w:tcPr>
          <w:p w14:paraId="3AEC013C">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68B5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170" w:type="dxa"/>
            <w:shd w:val="clear" w:color="auto" w:fill="auto"/>
            <w:vAlign w:val="center"/>
          </w:tcPr>
          <w:p w14:paraId="21DCC455">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NRAS</w:t>
            </w:r>
          </w:p>
        </w:tc>
        <w:tc>
          <w:tcPr>
            <w:tcW w:w="1758" w:type="dxa"/>
            <w:shd w:val="clear" w:color="auto" w:fill="auto"/>
            <w:vAlign w:val="center"/>
          </w:tcPr>
          <w:p w14:paraId="762F81DE">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3186" w:type="dxa"/>
            <w:vMerge w:val="continue"/>
            <w:vAlign w:val="center"/>
          </w:tcPr>
          <w:p w14:paraId="564C2699">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FF"/>
                <w:kern w:val="2"/>
                <w:sz w:val="18"/>
                <w:szCs w:val="18"/>
                <w:u w:val="single"/>
                <w:lang w:val="en-US" w:eastAsia="zh-CN"/>
              </w:rPr>
            </w:pPr>
          </w:p>
        </w:tc>
        <w:tc>
          <w:tcPr>
            <w:tcW w:w="2181" w:type="dxa"/>
            <w:vMerge w:val="continue"/>
            <w:vAlign w:val="center"/>
          </w:tcPr>
          <w:p w14:paraId="329FCF2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Cs/>
                <w:color w:val="auto"/>
                <w:kern w:val="2"/>
                <w:sz w:val="18"/>
                <w:szCs w:val="18"/>
                <w:lang w:val="en-US" w:eastAsia="zh-CN"/>
              </w:rPr>
            </w:pPr>
          </w:p>
        </w:tc>
      </w:tr>
      <w:tr w14:paraId="1868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170" w:type="dxa"/>
            <w:shd w:val="clear" w:color="auto" w:fill="auto"/>
            <w:vAlign w:val="center"/>
          </w:tcPr>
          <w:p w14:paraId="0BDE2A2F">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BRAF</w:t>
            </w:r>
          </w:p>
        </w:tc>
        <w:tc>
          <w:tcPr>
            <w:tcW w:w="1758" w:type="dxa"/>
            <w:shd w:val="clear" w:color="auto" w:fill="auto"/>
            <w:vAlign w:val="center"/>
          </w:tcPr>
          <w:p w14:paraId="077D2161">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lang w:val="en-US" w:eastAsia="zh-CN"/>
              </w:rPr>
              <w:t>未见突变</w:t>
            </w:r>
          </w:p>
        </w:tc>
        <w:tc>
          <w:tcPr>
            <w:tcW w:w="3186" w:type="dxa"/>
            <w:vMerge w:val="continue"/>
            <w:vAlign w:val="center"/>
          </w:tcPr>
          <w:p w14:paraId="24765325">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FF"/>
                <w:kern w:val="2"/>
                <w:sz w:val="18"/>
                <w:szCs w:val="18"/>
                <w:u w:val="single"/>
                <w:lang w:val="en-US" w:eastAsia="zh-CN"/>
              </w:rPr>
            </w:pPr>
          </w:p>
        </w:tc>
        <w:tc>
          <w:tcPr>
            <w:tcW w:w="2181" w:type="dxa"/>
            <w:vMerge w:val="continue"/>
            <w:vAlign w:val="center"/>
          </w:tcPr>
          <w:p w14:paraId="66C2222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Cs/>
                <w:color w:val="auto"/>
                <w:kern w:val="2"/>
                <w:sz w:val="18"/>
                <w:szCs w:val="18"/>
                <w:lang w:val="en-US" w:eastAsia="zh-CN"/>
              </w:rPr>
            </w:pPr>
          </w:p>
        </w:tc>
      </w:tr>
      <w:tr w14:paraId="5FB50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170" w:type="dxa"/>
            <w:shd w:val="clear" w:color="auto" w:fill="auto"/>
            <w:vAlign w:val="center"/>
          </w:tcPr>
          <w:p w14:paraId="208479CF">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RNF43</w:t>
            </w:r>
          </w:p>
        </w:tc>
        <w:tc>
          <w:tcPr>
            <w:tcW w:w="1758" w:type="dxa"/>
            <w:shd w:val="clear" w:color="auto" w:fill="auto"/>
            <w:vAlign w:val="center"/>
          </w:tcPr>
          <w:p w14:paraId="29781B3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c.349del,</w:t>
            </w:r>
          </w:p>
          <w:p w14:paraId="27EFBC00">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p.R117Afs*41</w:t>
            </w:r>
          </w:p>
        </w:tc>
        <w:tc>
          <w:tcPr>
            <w:tcW w:w="3186" w:type="dxa"/>
            <w:shd w:val="clear" w:color="auto" w:fill="auto"/>
            <w:vAlign w:val="center"/>
          </w:tcPr>
          <w:p w14:paraId="6AC102E9">
            <w:pPr>
              <w:adjustRightInd/>
              <w:snapToGrid/>
              <w:spacing w:after="0" w:line="220" w:lineRule="atLeast"/>
              <w:jc w:val="center"/>
              <w:rPr>
                <w:rStyle w:val="23"/>
                <w:rFonts w:hint="eastAsia" w:ascii="微软雅黑" w:hAnsi="微软雅黑" w:eastAsia="微软雅黑" w:cs="微软雅黑"/>
                <w:color w:val="0000FF"/>
                <w:kern w:val="2"/>
                <w:sz w:val="18"/>
                <w:szCs w:val="18"/>
                <w:lang w:val="en-US" w:eastAsia="zh-CN"/>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p w14:paraId="0FC61FD8">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康奈非尼</w:t>
            </w:r>
            <w:r>
              <w:rPr>
                <w:rStyle w:val="23"/>
                <w:rFonts w:hint="eastAsia" w:ascii="微软雅黑" w:hAnsi="微软雅黑" w:eastAsia="微软雅黑" w:cs="微软雅黑"/>
                <w:color w:val="0000FF"/>
                <w:kern w:val="2"/>
                <w:sz w:val="18"/>
                <w:szCs w:val="18"/>
                <w:lang w:val="en-US" w:eastAsia="zh-CN"/>
              </w:rPr>
              <w:t>+西妥昔单抗（</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tc>
        <w:tc>
          <w:tcPr>
            <w:tcW w:w="2181" w:type="dxa"/>
            <w:shd w:val="clear" w:color="auto" w:fill="auto"/>
            <w:vAlign w:val="center"/>
          </w:tcPr>
          <w:p w14:paraId="5DC6F03B">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000000" w:themeColor="text1"/>
                <w:kern w:val="2"/>
                <w:sz w:val="18"/>
                <w:szCs w:val="18"/>
                <w:u w:val="none"/>
                <w:lang w:val="en-US" w:eastAsia="zh-CN" w:bidi="ar"/>
                <w14:textFill>
                  <w14:solidFill>
                    <w14:schemeClr w14:val="tx1"/>
                  </w14:solidFill>
                </w14:textFill>
              </w:rPr>
              <w:t>--</w:t>
            </w:r>
          </w:p>
        </w:tc>
      </w:tr>
      <w:tr w14:paraId="1D6A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170" w:type="dxa"/>
            <w:shd w:val="clear" w:color="auto" w:fill="auto"/>
            <w:vAlign w:val="center"/>
          </w:tcPr>
          <w:p w14:paraId="3EFFFBA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ATR</w:t>
            </w:r>
          </w:p>
        </w:tc>
        <w:tc>
          <w:tcPr>
            <w:tcW w:w="1758" w:type="dxa"/>
            <w:shd w:val="clear" w:color="auto" w:fill="auto"/>
            <w:vAlign w:val="center"/>
          </w:tcPr>
          <w:p w14:paraId="3CE6373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c.2320del,</w:t>
            </w:r>
          </w:p>
          <w:p w14:paraId="2E7D7DC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p.I774Yfs*5</w:t>
            </w:r>
          </w:p>
        </w:tc>
        <w:tc>
          <w:tcPr>
            <w:tcW w:w="3186" w:type="dxa"/>
            <w:shd w:val="clear" w:color="auto" w:fill="auto"/>
            <w:vAlign w:val="center"/>
          </w:tcPr>
          <w:p w14:paraId="7768D6D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奥拉帕利（C）</w:t>
            </w:r>
          </w:p>
          <w:p w14:paraId="34E1AC2A">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尼拉帕利（C）</w:t>
            </w:r>
          </w:p>
          <w:p w14:paraId="5D8065B3">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他拉唑帕利（C）</w:t>
            </w:r>
          </w:p>
          <w:p w14:paraId="175388F4">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LY2606368（C）</w:t>
            </w:r>
          </w:p>
          <w:p w14:paraId="1F717D2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SRA737（C）</w:t>
            </w:r>
          </w:p>
          <w:p w14:paraId="6512D81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奥拉帕利+帕博利珠单抗（C）</w:t>
            </w:r>
          </w:p>
          <w:p w14:paraId="7B7D0FD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他拉唑帕利+阿替利珠单抗（C）</w:t>
            </w:r>
          </w:p>
          <w:p w14:paraId="216F6610">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芦卡帕利（D）</w:t>
            </w:r>
          </w:p>
        </w:tc>
        <w:tc>
          <w:tcPr>
            <w:tcW w:w="2181" w:type="dxa"/>
            <w:shd w:val="clear" w:color="auto" w:fill="auto"/>
            <w:vAlign w:val="center"/>
          </w:tcPr>
          <w:p w14:paraId="2DBB27E2">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u w:val="single"/>
                <w:lang w:val="en-US" w:eastAsia="zh-CN" w:bidi="ar-SA"/>
              </w:rPr>
            </w:pPr>
            <w:r>
              <w:rPr>
                <w:rFonts w:hint="eastAsia" w:ascii="微软雅黑" w:hAnsi="微软雅黑" w:eastAsia="微软雅黑" w:cs="微软雅黑"/>
                <w:bCs/>
                <w:color w:val="auto"/>
                <w:kern w:val="2"/>
                <w:sz w:val="18"/>
                <w:szCs w:val="18"/>
                <w:u w:val="none"/>
                <w:lang w:val="en-US" w:eastAsia="zh-CN" w:bidi="ar"/>
              </w:rPr>
              <w:t>--</w:t>
            </w:r>
          </w:p>
        </w:tc>
      </w:tr>
      <w:tr w14:paraId="5BE9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170" w:type="dxa"/>
            <w:shd w:val="clear" w:color="auto" w:fill="auto"/>
            <w:vAlign w:val="center"/>
          </w:tcPr>
          <w:p w14:paraId="695366BA">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FBXW7</w:t>
            </w:r>
          </w:p>
        </w:tc>
        <w:tc>
          <w:tcPr>
            <w:tcW w:w="1758" w:type="dxa"/>
            <w:shd w:val="clear" w:color="auto" w:fill="auto"/>
            <w:vAlign w:val="center"/>
          </w:tcPr>
          <w:p w14:paraId="056EBAD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c.1393C&gt;T,</w:t>
            </w:r>
          </w:p>
          <w:p w14:paraId="4A6323CF">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p.R465C</w:t>
            </w:r>
          </w:p>
        </w:tc>
        <w:tc>
          <w:tcPr>
            <w:tcW w:w="3186" w:type="dxa"/>
            <w:shd w:val="clear" w:color="auto" w:fill="auto"/>
            <w:vAlign w:val="center"/>
          </w:tcPr>
          <w:p w14:paraId="2848B5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依维莫司</w:t>
            </w:r>
            <w:r>
              <w:rPr>
                <w:rFonts w:hint="eastAsia" w:ascii="微软雅黑" w:hAnsi="微软雅黑" w:cs="微软雅黑"/>
                <w:bCs/>
                <w:color w:val="0000FF"/>
                <w:kern w:val="2"/>
                <w:sz w:val="18"/>
                <w:szCs w:val="18"/>
                <w:u w:val="single"/>
                <w:lang w:val="en-US" w:eastAsia="zh-CN"/>
              </w:rPr>
              <w:t>（C）</w:t>
            </w:r>
          </w:p>
          <w:p w14:paraId="17090A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"依维莫司汝6"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西罗莫司</w:t>
            </w:r>
            <w:r>
              <w:rPr>
                <w:rFonts w:hint="eastAsia" w:ascii="微软雅黑" w:hAnsi="微软雅黑" w:cs="微软雅黑"/>
                <w:bCs/>
                <w:color w:val="0000FF"/>
                <w:kern w:val="2"/>
                <w:sz w:val="18"/>
                <w:szCs w:val="18"/>
                <w:u w:val="single"/>
                <w:lang w:val="en-US" w:eastAsia="zh-CN"/>
              </w:rPr>
              <w:t>（C）</w:t>
            </w:r>
          </w:p>
          <w:p w14:paraId="667B6E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替西罗莫司</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Cs/>
                <w:color w:val="0000FF"/>
                <w:kern w:val="2"/>
                <w:sz w:val="18"/>
                <w:szCs w:val="18"/>
                <w:u w:val="single"/>
                <w:lang w:val="en-US" w:eastAsia="zh-CN"/>
              </w:rPr>
              <w:t>（C）</w:t>
            </w:r>
          </w:p>
        </w:tc>
        <w:tc>
          <w:tcPr>
            <w:tcW w:w="2181" w:type="dxa"/>
            <w:shd w:val="clear" w:color="auto" w:fill="auto"/>
            <w:vAlign w:val="center"/>
          </w:tcPr>
          <w:p w14:paraId="2A83568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28519A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帕尼单抗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793904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瑞戈非尼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p w14:paraId="2CD26CC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索拉非尼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tc>
      </w:tr>
      <w:tr w14:paraId="786C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03301870">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SMARCA4</w:t>
            </w:r>
          </w:p>
        </w:tc>
        <w:tc>
          <w:tcPr>
            <w:tcW w:w="1758" w:type="dxa"/>
            <w:shd w:val="clear" w:color="auto" w:fill="auto"/>
            <w:vAlign w:val="center"/>
          </w:tcPr>
          <w:p w14:paraId="315529B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c.2644G&gt;A,</w:t>
            </w:r>
          </w:p>
          <w:p w14:paraId="0318EEC6">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p.E882K</w:t>
            </w:r>
          </w:p>
        </w:tc>
        <w:tc>
          <w:tcPr>
            <w:tcW w:w="3186" w:type="dxa"/>
            <w:shd w:val="clear" w:color="auto" w:fill="auto"/>
            <w:vAlign w:val="center"/>
          </w:tcPr>
          <w:p w14:paraId="32504C07">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哌柏西利（C）</w:t>
            </w:r>
          </w:p>
          <w:p w14:paraId="3734E92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他泽司他（C）</w:t>
            </w:r>
          </w:p>
          <w:p w14:paraId="709B934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伏立诺他（D）</w:t>
            </w:r>
          </w:p>
          <w:p w14:paraId="21F42EDB">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VX-680（D）</w:t>
            </w:r>
          </w:p>
        </w:tc>
        <w:tc>
          <w:tcPr>
            <w:tcW w:w="2181" w:type="dxa"/>
            <w:shd w:val="clear" w:color="auto" w:fill="auto"/>
            <w:vAlign w:val="center"/>
          </w:tcPr>
          <w:p w14:paraId="1B8CB2EE">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66F8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2CB7DC42">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CREBBP</w:t>
            </w:r>
          </w:p>
        </w:tc>
        <w:tc>
          <w:tcPr>
            <w:tcW w:w="1758" w:type="dxa"/>
            <w:shd w:val="clear" w:color="auto" w:fill="auto"/>
            <w:vAlign w:val="center"/>
          </w:tcPr>
          <w:p w14:paraId="14A093E5">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c.3250del,</w:t>
            </w:r>
          </w:p>
          <w:p w14:paraId="36344A84">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p.I1084Sfs*15</w:t>
            </w:r>
          </w:p>
        </w:tc>
        <w:tc>
          <w:tcPr>
            <w:tcW w:w="3186" w:type="dxa"/>
            <w:shd w:val="clear" w:color="auto" w:fill="auto"/>
            <w:vAlign w:val="center"/>
          </w:tcPr>
          <w:p w14:paraId="7E82985C">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帕比司他（C）</w:t>
            </w:r>
          </w:p>
          <w:p w14:paraId="1000576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t>伏立诺他（D）</w:t>
            </w:r>
          </w:p>
        </w:tc>
        <w:tc>
          <w:tcPr>
            <w:tcW w:w="2181" w:type="dxa"/>
            <w:shd w:val="clear" w:color="auto" w:fill="auto"/>
            <w:vAlign w:val="center"/>
          </w:tcPr>
          <w:p w14:paraId="52ECBE5D">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eastAsia="微软雅黑" w:cs="微软雅黑"/>
                <w:bCs/>
                <w:color w:val="auto"/>
                <w:kern w:val="2"/>
                <w:sz w:val="18"/>
                <w:szCs w:val="18"/>
                <w:highlight w:val="none"/>
                <w:lang w:val="en-US" w:eastAsia="zh-CN"/>
              </w:rPr>
              <w:t>--</w:t>
            </w:r>
          </w:p>
        </w:tc>
      </w:tr>
      <w:tr w14:paraId="0818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6AFCA6E4">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ARID1A</w:t>
            </w:r>
          </w:p>
        </w:tc>
        <w:tc>
          <w:tcPr>
            <w:tcW w:w="1758" w:type="dxa"/>
            <w:shd w:val="clear" w:color="auto" w:fill="auto"/>
            <w:vAlign w:val="center"/>
          </w:tcPr>
          <w:p w14:paraId="5AB35D7A">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c.1015del,</w:t>
            </w:r>
          </w:p>
          <w:p w14:paraId="7344D17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p.A339Lfs*24</w:t>
            </w:r>
          </w:p>
        </w:tc>
        <w:tc>
          <w:tcPr>
            <w:tcW w:w="3186" w:type="dxa"/>
            <w:shd w:val="clear" w:color="auto" w:fill="auto"/>
            <w:vAlign w:val="center"/>
          </w:tcPr>
          <w:p w14:paraId="686345E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奥拉帕利（C）</w:t>
            </w:r>
          </w:p>
          <w:p w14:paraId="054FF93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尼拉帕</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利（C）</w:t>
            </w:r>
          </w:p>
          <w:p w14:paraId="15395CB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他拉唑帕利（C）</w:t>
            </w:r>
          </w:p>
          <w:p w14:paraId="439CD70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AZD5363+奥拉帕利（C）</w:t>
            </w:r>
          </w:p>
          <w:p w14:paraId="0194E16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盐酸可泮利塞+</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"重要基因变异及潜在靶向药物信息"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奥拉帕利+度伐利尤单抗</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79D9A45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PLX2853（C）</w:t>
            </w:r>
          </w:p>
          <w:p w14:paraId="1DFB896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奥拉帕利+帕博利珠单抗（C）</w:t>
            </w:r>
          </w:p>
          <w:p w14:paraId="6F22FBB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t>帕米帕利+替雷利珠单抗</w:t>
            </w:r>
            <w:r>
              <w:rPr>
                <w:rFonts w:hint="eastAsia" w:ascii="微软雅黑" w:hAnsi="微软雅黑" w:cs="微软雅黑"/>
                <w:bCs/>
                <w:color w:val="0000FF"/>
                <w:kern w:val="2"/>
                <w:sz w:val="18"/>
                <w:szCs w:val="18"/>
                <w:u w:val="single"/>
                <w:lang w:val="en-US" w:eastAsia="zh-CN"/>
              </w:rPr>
              <w:t>（C）</w:t>
            </w:r>
          </w:p>
          <w:p w14:paraId="45012D3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t>NXP800（C）</w:t>
            </w:r>
          </w:p>
          <w:p w14:paraId="234B8DA7">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Cs/>
                <w:kern w:val="2"/>
                <w:sz w:val="18"/>
                <w:szCs w:val="18"/>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芦卡帕利（D）</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p>
        </w:tc>
        <w:tc>
          <w:tcPr>
            <w:tcW w:w="2181" w:type="dxa"/>
            <w:shd w:val="clear" w:color="auto" w:fill="auto"/>
            <w:vAlign w:val="center"/>
          </w:tcPr>
          <w:p w14:paraId="16CD50E1">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kern w:val="2"/>
                <w:sz w:val="18"/>
                <w:szCs w:val="18"/>
              </w:rPr>
              <w:t>--</w:t>
            </w:r>
          </w:p>
        </w:tc>
      </w:tr>
      <w:tr w14:paraId="60F6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170D6E6F">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PTCH1</w:t>
            </w:r>
          </w:p>
        </w:tc>
        <w:tc>
          <w:tcPr>
            <w:tcW w:w="1758" w:type="dxa"/>
            <w:shd w:val="clear" w:color="auto" w:fill="auto"/>
            <w:vAlign w:val="center"/>
          </w:tcPr>
          <w:p w14:paraId="7DEF43D7">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c.3606del,</w:t>
            </w:r>
          </w:p>
          <w:p w14:paraId="3915CC4F">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p.S1203Afs*52</w:t>
            </w:r>
          </w:p>
        </w:tc>
        <w:tc>
          <w:tcPr>
            <w:tcW w:w="3186" w:type="dxa"/>
            <w:shd w:val="clear" w:color="auto" w:fill="auto"/>
            <w:vAlign w:val="center"/>
          </w:tcPr>
          <w:p w14:paraId="1C2C8C1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highlight w:val="none"/>
                <w:u w:val="single"/>
                <w:lang w:val="en-US" w:eastAsia="zh-CN"/>
              </w:rPr>
            </w:pPr>
            <w:r>
              <w:rPr>
                <w:rFonts w:hint="eastAsia" w:ascii="微软雅黑" w:hAnsi="微软雅黑" w:eastAsia="微软雅黑" w:cs="微软雅黑"/>
                <w:bCs/>
                <w:color w:val="0000FF"/>
                <w:kern w:val="2"/>
                <w:sz w:val="18"/>
                <w:szCs w:val="18"/>
                <w:highlight w:val="none"/>
                <w:u w:val="single"/>
                <w:lang w:val="en-US" w:eastAsia="zh-CN"/>
              </w:rPr>
              <w:t>维莫德吉（C）</w:t>
            </w:r>
          </w:p>
          <w:p w14:paraId="23D6D6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0000FF"/>
                <w:kern w:val="2"/>
                <w:sz w:val="18"/>
                <w:szCs w:val="18"/>
                <w:highlight w:val="none"/>
                <w:u w:val="single"/>
                <w:lang w:val="en-US" w:eastAsia="zh-CN"/>
              </w:rPr>
              <w:t>索立德吉（C）</w:t>
            </w:r>
          </w:p>
        </w:tc>
        <w:tc>
          <w:tcPr>
            <w:tcW w:w="2181" w:type="dxa"/>
            <w:shd w:val="clear" w:color="auto" w:fill="auto"/>
            <w:vAlign w:val="center"/>
          </w:tcPr>
          <w:p w14:paraId="5215233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1A50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50D6CA58">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TP53</w:t>
            </w:r>
          </w:p>
        </w:tc>
        <w:tc>
          <w:tcPr>
            <w:tcW w:w="1758" w:type="dxa"/>
            <w:shd w:val="clear" w:color="auto" w:fill="auto"/>
            <w:vAlign w:val="center"/>
          </w:tcPr>
          <w:p w14:paraId="02D0B7E8">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c.817C&gt;T,</w:t>
            </w:r>
          </w:p>
          <w:p w14:paraId="18E3BCB0">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p.R273C</w:t>
            </w:r>
          </w:p>
        </w:tc>
        <w:tc>
          <w:tcPr>
            <w:tcW w:w="3186" w:type="dxa"/>
            <w:shd w:val="clear" w:color="auto" w:fill="auto"/>
            <w:vAlign w:val="center"/>
          </w:tcPr>
          <w:p w14:paraId="5CC8B26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0000FF"/>
                <w:kern w:val="2"/>
                <w:sz w:val="18"/>
                <w:szCs w:val="18"/>
                <w:highlight w:val="none"/>
                <w:u w:val="single"/>
                <w:lang w:val="en-US" w:eastAsia="zh-CN"/>
              </w:rPr>
              <w:t>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AZD1775+奥拉帕利（C）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Eprenetapopt（C）</w:t>
            </w:r>
          </w:p>
        </w:tc>
        <w:tc>
          <w:tcPr>
            <w:tcW w:w="2181" w:type="dxa"/>
            <w:shd w:val="clear" w:color="auto" w:fill="auto"/>
            <w:vAlign w:val="center"/>
          </w:tcPr>
          <w:p w14:paraId="6ECE12B3">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6A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67A55C2F">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TSC1</w:t>
            </w:r>
          </w:p>
        </w:tc>
        <w:tc>
          <w:tcPr>
            <w:tcW w:w="1758" w:type="dxa"/>
            <w:shd w:val="clear" w:color="auto" w:fill="auto"/>
            <w:vAlign w:val="center"/>
          </w:tcPr>
          <w:p w14:paraId="1BDAC860">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c.381_383del,</w:t>
            </w:r>
          </w:p>
          <w:p w14:paraId="35E034D2">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p.V128del</w:t>
            </w:r>
          </w:p>
        </w:tc>
        <w:tc>
          <w:tcPr>
            <w:tcW w:w="3186" w:type="dxa"/>
            <w:shd w:val="clear" w:color="auto" w:fill="auto"/>
            <w:vAlign w:val="center"/>
          </w:tcPr>
          <w:p w14:paraId="62648F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依维莫司（C）</w:t>
            </w:r>
          </w:p>
          <w:p w14:paraId="205223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西罗莫司（C）</w:t>
            </w:r>
          </w:p>
          <w:p w14:paraId="3FB972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替西罗莫司（C）</w:t>
            </w:r>
          </w:p>
          <w:p w14:paraId="7F137F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依维莫司+Buparlisib（C）</w:t>
            </w:r>
          </w:p>
          <w:p w14:paraId="6E55C4C6">
            <w:pPr>
              <w:adjustRightInd/>
              <w:snapToGrid/>
              <w:spacing w:after="0" w:line="22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Sapanisertib（C）</w:t>
            </w:r>
          </w:p>
        </w:tc>
        <w:tc>
          <w:tcPr>
            <w:tcW w:w="2181" w:type="dxa"/>
            <w:shd w:val="clear" w:color="auto" w:fill="auto"/>
            <w:vAlign w:val="center"/>
          </w:tcPr>
          <w:p w14:paraId="45398EAF">
            <w:pPr>
              <w:adjustRightInd/>
              <w:snapToGrid/>
              <w:spacing w:after="0" w:line="220" w:lineRule="atLeast"/>
              <w:jc w:val="center"/>
              <w:rPr>
                <w:rFonts w:hint="eastAsia" w:ascii="微软雅黑" w:hAnsi="微软雅黑" w:eastAsia="微软雅黑" w:cs="Times New Roman"/>
                <w:bCs/>
                <w:color w:val="auto"/>
                <w:kern w:val="2"/>
                <w:sz w:val="18"/>
                <w:szCs w:val="18"/>
                <w:u w:val="single"/>
                <w:lang w:val="en-US" w:eastAsia="zh-CN" w:bidi="ar-SA"/>
              </w:rPr>
            </w:pPr>
            <w:r>
              <w:rPr>
                <w:rFonts w:hint="eastAsia" w:ascii="微软雅黑" w:hAnsi="微软雅黑" w:cs="微软雅黑"/>
                <w:bCs/>
                <w:color w:val="auto"/>
                <w:kern w:val="2"/>
                <w:sz w:val="18"/>
                <w:szCs w:val="18"/>
              </w:rPr>
              <w:t>--</w:t>
            </w:r>
          </w:p>
        </w:tc>
      </w:tr>
      <w:tr w14:paraId="0D56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051BF32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SETD2</w:t>
            </w:r>
          </w:p>
        </w:tc>
        <w:tc>
          <w:tcPr>
            <w:tcW w:w="1758" w:type="dxa"/>
            <w:shd w:val="clear" w:color="auto" w:fill="auto"/>
            <w:vAlign w:val="center"/>
          </w:tcPr>
          <w:p w14:paraId="3F9AA6F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c.7143del,</w:t>
            </w:r>
          </w:p>
          <w:p w14:paraId="0D7985EF">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p.S2382Lfs*29</w:t>
            </w:r>
          </w:p>
        </w:tc>
        <w:tc>
          <w:tcPr>
            <w:tcW w:w="3186" w:type="dxa"/>
            <w:shd w:val="clear" w:color="auto" w:fill="auto"/>
            <w:vAlign w:val="center"/>
          </w:tcPr>
          <w:p w14:paraId="1EBB2D9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Times New Roman"/>
                <w:b w:val="0"/>
                <w:bCs/>
                <w:color w:val="0000FF"/>
                <w:kern w:val="2"/>
                <w:sz w:val="18"/>
                <w:szCs w:val="18"/>
                <w:highlight w:val="none"/>
                <w:u w:val="single"/>
                <w:lang w:val="en-US" w:eastAsia="zh-CN" w:bidi="ar"/>
              </w:rPr>
              <w:t>AZD1775（C）</w:t>
            </w:r>
          </w:p>
        </w:tc>
        <w:tc>
          <w:tcPr>
            <w:tcW w:w="2181" w:type="dxa"/>
            <w:shd w:val="clear" w:color="auto" w:fill="auto"/>
            <w:vAlign w:val="center"/>
          </w:tcPr>
          <w:p w14:paraId="794EBCB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8AB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70" w:type="dxa"/>
            <w:shd w:val="clear" w:color="auto" w:fill="auto"/>
            <w:vAlign w:val="center"/>
          </w:tcPr>
          <w:p w14:paraId="21990401">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PTEN</w:t>
            </w:r>
          </w:p>
        </w:tc>
        <w:tc>
          <w:tcPr>
            <w:tcW w:w="1758" w:type="dxa"/>
            <w:shd w:val="clear" w:color="auto" w:fill="auto"/>
            <w:vAlign w:val="center"/>
          </w:tcPr>
          <w:p w14:paraId="507683B0">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c.697C&gt;T,</w:t>
            </w:r>
          </w:p>
          <w:p w14:paraId="056DD587">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p.R233*</w:t>
            </w:r>
          </w:p>
        </w:tc>
        <w:tc>
          <w:tcPr>
            <w:tcW w:w="3186" w:type="dxa"/>
            <w:shd w:val="clear" w:color="auto" w:fill="auto"/>
            <w:vAlign w:val="center"/>
          </w:tcPr>
          <w:p w14:paraId="2D24322E">
            <w:pPr>
              <w:adjustRightInd/>
              <w:snapToGrid/>
              <w:spacing w:after="0" w:line="220" w:lineRule="atLeast"/>
              <w:jc w:val="center"/>
              <w:rPr>
                <w:rFonts w:ascii="微软雅黑" w:hAnsi="微软雅黑"/>
                <w:bCs/>
                <w:color w:val="0000FF"/>
                <w:kern w:val="2"/>
                <w:sz w:val="18"/>
                <w:szCs w:val="18"/>
                <w:u w:val="single"/>
              </w:rPr>
            </w:pPr>
            <w:r>
              <w:rPr>
                <w:rFonts w:hint="eastAsia" w:ascii="微软雅黑" w:hAnsi="微软雅黑" w:cs="微软雅黑"/>
                <w:bCs/>
                <w:color w:val="0000FF"/>
                <w:kern w:val="2"/>
                <w:sz w:val="18"/>
                <w:szCs w:val="18"/>
                <w:u w:val="single"/>
              </w:rPr>
              <w:t>替西罗莫司（C）</w:t>
            </w:r>
          </w:p>
          <w:p w14:paraId="73BE1B0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尼拉帕利（C）</w:t>
            </w:r>
          </w:p>
          <w:p w14:paraId="447118B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他拉唑帕利（C）</w:t>
            </w:r>
          </w:p>
          <w:p w14:paraId="0A3E96D9">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依维莫司（C）</w:t>
            </w:r>
          </w:p>
          <w:p w14:paraId="6E20F1F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依维莫司+培唑帕尼（C）</w:t>
            </w:r>
          </w:p>
          <w:p w14:paraId="42DBDBD7">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Buparlisib（C）</w:t>
            </w:r>
          </w:p>
          <w:p w14:paraId="7155E78F">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Taselisib（C）</w:t>
            </w:r>
          </w:p>
          <w:p w14:paraId="31DDB5C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盐酸可泮利塞（C）</w:t>
            </w:r>
          </w:p>
          <w:p w14:paraId="50FB74C0">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Serabelisib（C）</w:t>
            </w:r>
          </w:p>
          <w:p w14:paraId="28A7FE9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阿培利司（C）</w:t>
            </w:r>
          </w:p>
          <w:p w14:paraId="466C381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奥拉帕利（C）</w:t>
            </w:r>
          </w:p>
          <w:p w14:paraId="18869907">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Capivasertib（C）</w:t>
            </w:r>
          </w:p>
          <w:p w14:paraId="2F8AAE2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GSK2636771（C）</w:t>
            </w:r>
          </w:p>
          <w:p w14:paraId="358F3E4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AZD8186（C）</w:t>
            </w:r>
          </w:p>
          <w:p w14:paraId="75E39380">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Dactolisib（D）</w:t>
            </w:r>
          </w:p>
        </w:tc>
        <w:tc>
          <w:tcPr>
            <w:tcW w:w="2181" w:type="dxa"/>
            <w:shd w:val="clear" w:color="auto" w:fill="auto"/>
            <w:vAlign w:val="center"/>
          </w:tcPr>
          <w:p w14:paraId="2A4EC4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0C0603AE">
            <w:pPr>
              <w:adjustRightInd/>
              <w:snapToGrid/>
              <w:spacing w:after="0" w:line="220" w:lineRule="atLeast"/>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bookmarkEnd w:id="73"/>
    </w:tbl>
    <w:p w14:paraId="1ACBA65D">
      <w:pPr>
        <w:keepNext w:val="0"/>
        <w:keepLines w:val="0"/>
        <w:pageBreakBefore w:val="0"/>
        <w:widowControl/>
        <w:kinsoku/>
        <w:wordWrap/>
        <w:overflowPunct/>
        <w:topLinePunct w:val="0"/>
        <w:autoSpaceDE/>
        <w:autoSpaceDN/>
        <w:bidi w:val="0"/>
        <w:adjustRightInd/>
        <w:snapToGrid/>
        <w:spacing w:after="260"/>
        <w:jc w:val="both"/>
        <w:textAlignment w:val="auto"/>
        <w:rPr>
          <w:rFonts w:hint="eastAsia" w:ascii="微软雅黑" w:hAnsi="微软雅黑"/>
          <w:sz w:val="18"/>
          <w:lang w:val="en-US" w:eastAsia="zh-CN"/>
        </w:rPr>
      </w:pPr>
      <w:r>
        <w:rPr>
          <w:rFonts w:hint="eastAsia" w:ascii="Times New Roman" w:hAnsi="Times New Roman" w:cs="Times New Roman"/>
          <w:kern w:val="2"/>
          <w:sz w:val="18"/>
          <w:szCs w:val="18"/>
          <w:highlight w:val="none"/>
          <w:lang w:val="en-US" w:eastAsia="zh-CN"/>
        </w:rPr>
        <w:t>*本次共</w:t>
      </w:r>
      <w:r>
        <w:rPr>
          <w:rFonts w:hint="eastAsia" w:ascii="微软雅黑" w:hAnsi="微软雅黑" w:cs="微软雅黑"/>
          <w:kern w:val="2"/>
          <w:sz w:val="18"/>
          <w:szCs w:val="18"/>
          <w:highlight w:val="none"/>
          <w:lang w:val="en-US" w:eastAsia="zh-CN"/>
        </w:rPr>
        <w:t>检出体细胞变异：13个，其中与靶向药物用药相关的变异有：11个。</w:t>
      </w:r>
    </w:p>
    <w:p w14:paraId="3A9689CD">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14:paraId="6F25F0AC">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14:paraId="279E2C73">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14:paraId="3B91C9C0">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14:paraId="610BF0A8">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14:paraId="5A134AF3">
      <w:pPr>
        <w:adjustRightInd/>
        <w:snapToGrid/>
        <w:spacing w:after="0"/>
        <w:jc w:val="both"/>
        <w:rPr>
          <w:rFonts w:hint="eastAsia" w:ascii="微软雅黑" w:hAnsi="微软雅黑"/>
          <w:sz w:val="16"/>
          <w:szCs w:val="21"/>
          <w:highlight w:val="yellow"/>
          <w:lang w:val="en-US" w:eastAsia="zh-CN"/>
        </w:rPr>
      </w:pPr>
      <w:r>
        <w:rPr>
          <w:rFonts w:hint="eastAsia" w:ascii="微软雅黑" w:hAnsi="微软雅黑"/>
          <w:sz w:val="16"/>
          <w:szCs w:val="21"/>
          <w:highlight w:val="none"/>
          <w:lang w:val="en-US" w:eastAsia="zh-CN"/>
        </w:rPr>
        <w:t>随临床证据更新药物推荐结果及分级可能产生变化。</w:t>
      </w:r>
    </w:p>
    <w:p w14:paraId="46597D57">
      <w:pPr>
        <w:numPr>
          <w:ilvl w:val="0"/>
          <w:numId w:val="1"/>
        </w:numPr>
        <w:adjustRightInd/>
        <w:snapToGrid/>
        <w:spacing w:after="0"/>
        <w:ind w:left="0" w:leftChars="0" w:firstLine="0" w:firstLineChars="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上表涉及的已上市的药物名称及对应的商品名称：</w:t>
      </w:r>
      <w:r>
        <w:rPr>
          <w:rFonts w:hint="eastAsia" w:ascii="微软雅黑" w:hAnsi="微软雅黑"/>
          <w:b/>
          <w:bCs/>
          <w:sz w:val="16"/>
          <w:szCs w:val="21"/>
          <w:highlight w:val="none"/>
          <w:lang w:val="en-US" w:eastAsia="zh-CN"/>
        </w:rPr>
        <w:t>Capivasertib[TRUQAP]、阿培利司[PIQRAY]、阿替利珠单抗[泰圣奇]、奥拉帕利[利普卓]、度伐利尤单抗[英飞凡]、伏立诺他[ZOLINZA]、康奈非尼[BRAFTOVI]、芦卡帕利[RUBRACA]、尼拉帕利[则乐]、帕比司他[FARYDAK]、帕博利珠单抗[可瑞达]、帕米帕利[百汇泽]、帕尼单抗[维克替比]、哌柏西利[爱博新]、培唑帕尼[维全特]、瑞戈非尼[拜万戈]、索拉非尼[多吉美]、索立德吉[ODOMZO]、他拉唑帕利[泰泽纳]、他泽司他[达唯珂]、替雷利珠单抗[百泽安]、替西罗莫司[TORISEL]、维莫德吉[ERIVEDGE]、西罗莫司[赛莫司]、西妥昔单抗[爱必妥]、盐酸可泮利塞[奥罗巴]、依维莫司[飞尼妥]</w:t>
      </w:r>
      <w:r>
        <w:rPr>
          <w:rFonts w:hint="eastAsia" w:ascii="微软雅黑" w:hAnsi="微软雅黑"/>
          <w:sz w:val="16"/>
          <w:szCs w:val="21"/>
          <w:highlight w:val="none"/>
          <w:lang w:val="en-US" w:eastAsia="zh-CN"/>
        </w:rPr>
        <w:t>。</w:t>
      </w:r>
    </w:p>
    <w:p w14:paraId="74C564F8">
      <w:pPr>
        <w:numPr>
          <w:ilvl w:val="0"/>
          <w:numId w:val="0"/>
        </w:numPr>
        <w:adjustRightInd/>
        <w:snapToGrid/>
        <w:spacing w:after="0"/>
        <w:ind w:leftChars="0"/>
        <w:jc w:val="both"/>
        <w:rPr>
          <w:rFonts w:hint="eastAsia" w:ascii="微软雅黑" w:hAnsi="微软雅黑"/>
          <w:sz w:val="16"/>
          <w:szCs w:val="21"/>
          <w:highlight w:val="none"/>
          <w:lang w:val="en-US" w:eastAsia="zh-CN"/>
        </w:rPr>
      </w:pPr>
    </w:p>
    <w:p w14:paraId="31708972">
      <w:pPr>
        <w:pStyle w:val="29"/>
        <w:keepNext w:val="0"/>
        <w:keepLines w:val="0"/>
        <w:pageBreakBefore w:val="0"/>
        <w:widowControl/>
        <w:numPr>
          <w:ilvl w:val="0"/>
          <w:numId w:val="2"/>
        </w:numPr>
        <w:kinsoku/>
        <w:wordWrap/>
        <w:overflowPunct/>
        <w:topLinePunct w:val="0"/>
        <w:autoSpaceDE/>
        <w:autoSpaceDN/>
        <w:bidi w:val="0"/>
        <w:adjustRightInd/>
        <w:snapToGrid/>
        <w:spacing w:after="100"/>
        <w:ind w:left="420" w:hanging="420" w:firstLineChars="0"/>
        <w:textAlignment w:val="auto"/>
        <w:outlineLvl w:val="1"/>
        <w:rPr>
          <w:rFonts w:ascii="微软雅黑" w:hAnsi="微软雅黑"/>
          <w:b/>
          <w:color w:val="00C4D8"/>
          <w:sz w:val="28"/>
          <w:szCs w:val="28"/>
          <w:highlight w:val="none"/>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3219"/>
        <w:gridCol w:w="3971"/>
      </w:tblGrid>
      <w:tr w14:paraId="09E0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02D35173">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52BA0A79">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2B19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1" w:type="dxa"/>
            <w:vAlign w:val="center"/>
          </w:tcPr>
          <w:p w14:paraId="3A204FB7">
            <w:pPr>
              <w:pStyle w:val="53"/>
              <w:spacing w:after="0"/>
              <w:ind w:firstLine="0" w:firstLineChars="0"/>
              <w:jc w:val="center"/>
              <w:rPr>
                <w:rFonts w:ascii="微软雅黑" w:hAnsi="微软雅黑" w:cs="微软雅黑"/>
                <w:color w:val="auto"/>
                <w:kern w:val="2"/>
                <w:sz w:val="18"/>
                <w:szCs w:val="18"/>
                <w:u w:val="none"/>
              </w:rPr>
            </w:pPr>
            <w:r>
              <w:rPr>
                <w:rFonts w:hint="eastAsia" w:ascii="微软雅黑" w:hAnsi="微软雅黑" w:cs="微软雅黑"/>
                <w:color w:val="auto"/>
                <w:kern w:val="2"/>
                <w:sz w:val="18"/>
                <w:szCs w:val="18"/>
                <w:u w:val="none"/>
              </w:rPr>
              <w:t>肿瘤突变负荷（TMB）</w:t>
            </w:r>
          </w:p>
        </w:tc>
        <w:tc>
          <w:tcPr>
            <w:tcW w:w="3219" w:type="dxa"/>
            <w:vAlign w:val="center"/>
          </w:tcPr>
          <w:p w14:paraId="0E6E74BE">
            <w:pPr>
              <w:pStyle w:val="55"/>
              <w:keepNext w:val="0"/>
              <w:keepLines w:val="0"/>
              <w:widowControl/>
              <w:numPr>
                <w:ilvl w:val="0"/>
                <w:numId w:val="0"/>
              </w:numPr>
              <w:suppressLineNumbers w:val="0"/>
              <w:spacing w:before="0" w:beforeAutospacing="0" w:after="0" w:afterLines="0" w:afterAutospacing="0" w:line="240" w:lineRule="auto"/>
              <w:ind w:left="0" w:right="0"/>
              <w:jc w:val="center"/>
              <w:rPr>
                <w:rFonts w:hint="default"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xml:space="preserve">28.3 </w:t>
            </w:r>
            <w:r>
              <w:rPr>
                <w:rFonts w:hint="eastAsia" w:ascii="微软雅黑" w:hAnsi="微软雅黑" w:eastAsia="微软雅黑" w:cs="微软雅黑"/>
                <w:kern w:val="2"/>
                <w:sz w:val="18"/>
                <w:szCs w:val="18"/>
                <w:highlight w:val="none"/>
                <w:vertAlign w:val="baseline"/>
                <w:lang w:val="en-US" w:eastAsia="zh-CN"/>
              </w:rPr>
              <w:t>mutations/Mb，TMB</w:t>
            </w:r>
            <w:r>
              <w:rPr>
                <w:rFonts w:hint="eastAsia" w:ascii="微软雅黑" w:hAnsi="微软雅黑" w:cs="微软雅黑"/>
                <w:kern w:val="2"/>
                <w:sz w:val="18"/>
                <w:szCs w:val="18"/>
                <w:highlight w:val="none"/>
                <w:vertAlign w:val="baseline"/>
                <w:lang w:val="en-US" w:eastAsia="zh-CN"/>
              </w:rPr>
              <w:t>-H</w:t>
            </w:r>
          </w:p>
          <w:p w14:paraId="0DC77604">
            <w:pPr>
              <w:pStyle w:val="55"/>
              <w:keepNext w:val="0"/>
              <w:keepLines w:val="0"/>
              <w:widowControl/>
              <w:numPr>
                <w:ilvl w:val="0"/>
                <w:numId w:val="0"/>
              </w:numPr>
              <w:suppressLineNumbers w:val="0"/>
              <w:spacing w:before="0" w:beforeAutospacing="0" w:after="0" w:afterLines="0" w:afterAutospacing="0" w:line="240" w:lineRule="auto"/>
              <w:ind w:left="0" w:right="0"/>
              <w:jc w:val="center"/>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(本次检测结果高于参考值</w:t>
            </w:r>
          </w:p>
          <w:p w14:paraId="703BBCEA">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ascii="微软雅黑" w:hAnsi="微软雅黑" w:cs="微软雅黑"/>
                <w:kern w:val="2"/>
                <w:sz w:val="18"/>
                <w:szCs w:val="18"/>
              </w:rPr>
            </w:pPr>
            <w:r>
              <w:rPr>
                <w:rFonts w:hint="eastAsia" w:ascii="微软雅黑" w:hAnsi="微软雅黑" w:cs="微软雅黑"/>
                <w:kern w:val="2"/>
                <w:sz w:val="18"/>
                <w:szCs w:val="18"/>
                <w:highlight w:val="none"/>
                <w:vertAlign w:val="baseline"/>
                <w:lang w:val="en-US" w:eastAsia="zh-CN"/>
              </w:rPr>
              <w:t xml:space="preserve">10 </w:t>
            </w:r>
            <w:r>
              <w:rPr>
                <w:rFonts w:hint="eastAsia" w:ascii="微软雅黑" w:hAnsi="微软雅黑" w:eastAsia="微软雅黑" w:cs="微软雅黑"/>
                <w:kern w:val="2"/>
                <w:sz w:val="18"/>
                <w:szCs w:val="18"/>
                <w:highlight w:val="none"/>
                <w:vertAlign w:val="baseline"/>
                <w:lang w:val="en-US" w:eastAsia="zh-CN"/>
              </w:rPr>
              <w:t>mutations/Mb</w:t>
            </w:r>
            <w:r>
              <w:rPr>
                <w:rFonts w:hint="eastAsia" w:ascii="微软雅黑" w:hAnsi="微软雅黑" w:cs="微软雅黑"/>
                <w:kern w:val="2"/>
                <w:sz w:val="18"/>
                <w:szCs w:val="18"/>
                <w:highlight w:val="none"/>
                <w:vertAlign w:val="baseline"/>
                <w:lang w:val="en-US" w:eastAsia="zh-CN"/>
              </w:rPr>
              <w:t>)</w:t>
            </w:r>
          </w:p>
        </w:tc>
        <w:tc>
          <w:tcPr>
            <w:tcW w:w="3971" w:type="dxa"/>
            <w:vAlign w:val="center"/>
          </w:tcPr>
          <w:p w14:paraId="7DC3EC33">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hint="eastAsia" w:ascii="微软雅黑" w:hAnsi="微软雅黑"/>
                <w:kern w:val="2"/>
                <w:sz w:val="18"/>
                <w:szCs w:val="18"/>
                <w:lang w:val="en-US" w:eastAsia="zh-CN"/>
              </w:rPr>
            </w:pPr>
            <w:r>
              <w:rPr>
                <w:rFonts w:hint="eastAsia" w:ascii="微软雅黑" w:hAnsi="微软雅黑"/>
                <w:kern w:val="2"/>
                <w:sz w:val="18"/>
                <w:szCs w:val="18"/>
                <w:lang w:val="en-US" w:eastAsia="zh-CN"/>
              </w:rPr>
              <w:t>多项临床研究表明，TMB-H的肿瘤对免疫检查点抑制剂有更强的免疫应答效果</w:t>
            </w:r>
          </w:p>
          <w:p w14:paraId="512534DC">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Style w:val="23"/>
                <w:rFonts w:hint="default" w:ascii="微软雅黑" w:hAnsi="微软雅黑" w:eastAsia="微软雅黑" w:cs="微软雅黑"/>
                <w:bCs/>
                <w:color w:val="0000FF"/>
                <w:kern w:val="2"/>
                <w:sz w:val="18"/>
                <w:szCs w:val="18"/>
                <w:lang w:val="en-US" w:eastAsia="zh-CN"/>
              </w:rPr>
            </w:pPr>
            <w:r>
              <w:rPr>
                <w:rFonts w:hint="eastAsia" w:ascii="微软雅黑" w:hAnsi="微软雅黑"/>
                <w:kern w:val="2"/>
                <w:sz w:val="18"/>
                <w:szCs w:val="18"/>
              </w:rPr>
              <w:t>常用免疫抑制剂有：#帕博利珠单抗、#纳武利尤单抗、#纳武利尤单抗+</w:t>
            </w:r>
            <w:r>
              <w:rPr>
                <w:rFonts w:hint="eastAsia" w:ascii="微软雅黑" w:hAnsi="微软雅黑"/>
                <w:kern w:val="2"/>
                <w:sz w:val="18"/>
                <w:szCs w:val="18"/>
                <w:lang w:eastAsia="zh-CN"/>
              </w:rPr>
              <w:t>伊匹木单抗</w:t>
            </w:r>
            <w:r>
              <w:rPr>
                <w:rFonts w:hint="eastAsia" w:ascii="微软雅黑" w:hAnsi="微软雅黑"/>
                <w:kern w:val="2"/>
                <w:sz w:val="18"/>
                <w:szCs w:val="18"/>
              </w:rPr>
              <w:t>、阿替利珠单抗、度伐利尤单抗、特瑞普利单抗、信迪利单抗、卡瑞利珠单抗、#替雷利珠单抗、</w:t>
            </w:r>
            <w:r>
              <w:rPr>
                <w:rFonts w:hint="eastAsia" w:ascii="微软雅黑" w:hAnsi="微软雅黑"/>
                <w:kern w:val="2"/>
                <w:sz w:val="18"/>
                <w:szCs w:val="18"/>
                <w:highlight w:val="none"/>
              </w:rPr>
              <w:t>#恩沃利单抗</w:t>
            </w:r>
            <w:r>
              <w:rPr>
                <w:rFonts w:hint="eastAsia" w:ascii="微软雅黑" w:hAnsi="微软雅黑"/>
                <w:kern w:val="2"/>
                <w:sz w:val="18"/>
                <w:szCs w:val="18"/>
                <w:highlight w:val="none"/>
                <w:lang w:eastAsia="zh-CN"/>
              </w:rPr>
              <w:t>、#多塔利单抗、#斯鲁利单抗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highlight w:val="none"/>
                <w:lang w:eastAsia="zh-CN"/>
              </w:rPr>
              <w:t>、派安普利单抗、赛帕利单抗</w:t>
            </w:r>
            <w:r>
              <w:rPr>
                <w:rFonts w:hint="eastAsia" w:ascii="微软雅黑" w:hAnsi="微软雅黑"/>
                <w:kern w:val="2"/>
                <w:sz w:val="18"/>
                <w:szCs w:val="18"/>
                <w:highlight w:val="none"/>
                <w:lang w:val="en-US" w:eastAsia="zh-CN"/>
              </w:rPr>
              <w:t>等</w:t>
            </w:r>
          </w:p>
        </w:tc>
      </w:tr>
      <w:tr w14:paraId="2F01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4E407CA5">
            <w:pPr>
              <w:pStyle w:val="53"/>
              <w:spacing w:after="0"/>
              <w:ind w:firstLine="0" w:firstLineChars="0"/>
              <w:jc w:val="center"/>
              <w:rPr>
                <w:rFonts w:hint="eastAsia" w:ascii="微软雅黑" w:hAnsi="微软雅黑" w:eastAsia="微软雅黑" w:cs="微软雅黑"/>
                <w:color w:val="auto"/>
                <w:kern w:val="2"/>
                <w:sz w:val="18"/>
                <w:szCs w:val="18"/>
                <w:u w:val="none"/>
                <w:lang w:val="en-US" w:eastAsia="zh-CN" w:bidi="ar-SA"/>
              </w:rPr>
            </w:pPr>
            <w:r>
              <w:rPr>
                <w:rFonts w:hint="eastAsia" w:ascii="微软雅黑" w:hAnsi="微软雅黑" w:cs="微软雅黑"/>
                <w:color w:val="auto"/>
                <w:kern w:val="2"/>
                <w:sz w:val="18"/>
                <w:szCs w:val="18"/>
                <w:u w:val="none"/>
              </w:rPr>
              <w:t>微卫星不稳定性（MSI）</w:t>
            </w:r>
          </w:p>
        </w:tc>
        <w:tc>
          <w:tcPr>
            <w:tcW w:w="3219" w:type="dxa"/>
            <w:vAlign w:val="center"/>
          </w:tcPr>
          <w:p w14:paraId="0047263C">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hint="default" w:ascii="微软雅黑" w:hAnsi="微软雅黑" w:eastAsia="微软雅黑" w:cs="微软雅黑"/>
                <w:color w:val="auto"/>
                <w:kern w:val="2"/>
                <w:sz w:val="18"/>
                <w:szCs w:val="18"/>
                <w:highlight w:val="yellow"/>
                <w:lang w:val="en-US" w:eastAsia="zh-CN" w:bidi="ar-SA"/>
              </w:rPr>
            </w:pPr>
            <w:r>
              <w:rPr>
                <w:rFonts w:hint="eastAsia" w:ascii="微软雅黑" w:hAnsi="微软雅黑" w:cs="微软雅黑"/>
                <w:kern w:val="2"/>
                <w:sz w:val="18"/>
                <w:szCs w:val="18"/>
                <w:vertAlign w:val="baseline"/>
                <w:lang w:val="en-US" w:eastAsia="zh-CN"/>
              </w:rPr>
              <w:t>微卫星高度不稳定型，MSI-H</w:t>
            </w:r>
          </w:p>
        </w:tc>
        <w:tc>
          <w:tcPr>
            <w:tcW w:w="3971" w:type="dxa"/>
            <w:vAlign w:val="center"/>
          </w:tcPr>
          <w:p w14:paraId="562C4B93">
            <w:pPr>
              <w:pStyle w:val="55"/>
              <w:keepNext w:val="0"/>
              <w:keepLines w:val="0"/>
              <w:widowControl/>
              <w:numPr>
                <w:ilvl w:val="0"/>
                <w:numId w:val="0"/>
              </w:numPr>
              <w:suppressLineNumbers w:val="0"/>
              <w:spacing w:before="0" w:beforeAutospacing="0" w:after="0" w:afterLines="0" w:afterAutospacing="0" w:line="240" w:lineRule="auto"/>
              <w:ind w:left="0" w:leftChars="0" w:right="0" w:rightChars="0" w:firstLine="0" w:firstLineChars="0"/>
              <w:jc w:val="center"/>
              <w:rPr>
                <w:rFonts w:hint="eastAsia" w:ascii="微软雅黑" w:hAnsi="微软雅黑" w:eastAsia="微软雅黑" w:cs="微软雅黑"/>
                <w:color w:val="auto"/>
                <w:kern w:val="2"/>
                <w:sz w:val="18"/>
                <w:szCs w:val="18"/>
                <w:highlight w:val="yellow"/>
                <w:u w:val="single"/>
                <w:vertAlign w:val="baseline"/>
                <w:lang w:val="en-US" w:eastAsia="zh-CN" w:bidi="ar-SA"/>
              </w:rPr>
            </w:pPr>
            <w:r>
              <w:rPr>
                <w:rFonts w:hint="eastAsia" w:ascii="微软雅黑" w:hAnsi="微软雅黑"/>
                <w:kern w:val="2"/>
                <w:sz w:val="18"/>
                <w:szCs w:val="18"/>
                <w:lang w:val="en-US" w:eastAsia="zh-CN"/>
              </w:rPr>
              <w:t>研究表明，</w:t>
            </w:r>
            <w:r>
              <w:rPr>
                <w:rFonts w:hint="default" w:ascii="微软雅黑" w:hAnsi="微软雅黑"/>
                <w:kern w:val="2"/>
                <w:sz w:val="18"/>
                <w:szCs w:val="18"/>
                <w:lang w:val="en-US" w:eastAsia="zh-CN"/>
              </w:rPr>
              <w:t>MSI-H的实体瘤通常具有免疫原性和广泛的T细胞浸润性，从而对免疫检查点抑制剂的治疗响应较高</w:t>
            </w:r>
          </w:p>
        </w:tc>
      </w:tr>
      <w:tr w14:paraId="362A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2671C158">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免疫正相关基因</w:t>
            </w:r>
          </w:p>
        </w:tc>
        <w:tc>
          <w:tcPr>
            <w:tcW w:w="3219" w:type="dxa"/>
            <w:vAlign w:val="center"/>
          </w:tcPr>
          <w:p w14:paraId="6838452F">
            <w:pPr>
              <w:adjustRightInd/>
              <w:snapToGrid/>
              <w:spacing w:after="0" w:line="220" w:lineRule="atLeast"/>
              <w:jc w:val="center"/>
              <w:rPr>
                <w:rFonts w:hint="eastAsia" w:ascii="微软雅黑" w:hAnsi="微软雅黑" w:cs="微软雅黑"/>
                <w:kern w:val="2"/>
                <w:sz w:val="18"/>
                <w:szCs w:val="18"/>
                <w:lang w:val="en-US" w:eastAsia="zh-CN"/>
              </w:rPr>
            </w:pPr>
            <w:r>
              <w:rPr>
                <w:rFonts w:hint="eastAsia" w:ascii="微软雅黑" w:hAnsi="微软雅黑" w:cs="微软雅黑"/>
                <w:kern w:val="2"/>
                <w:sz w:val="18"/>
                <w:szCs w:val="18"/>
                <w:lang w:val="en-US" w:eastAsia="zh-CN"/>
              </w:rPr>
              <w:t>检出（2个）</w:t>
            </w:r>
          </w:p>
          <w:p w14:paraId="3DD5F514">
            <w:pPr>
              <w:adjustRightInd/>
              <w:snapToGrid/>
              <w:spacing w:after="0" w:line="220" w:lineRule="atLeast"/>
              <w:jc w:val="center"/>
              <w:rPr>
                <w:rFonts w:hint="default" w:ascii="微软雅黑" w:hAnsi="微软雅黑" w:cs="微软雅黑"/>
                <w:kern w:val="2"/>
                <w:sz w:val="18"/>
                <w:szCs w:val="18"/>
                <w:lang w:val="en-US" w:eastAsia="zh-CN"/>
              </w:rPr>
            </w:pPr>
            <w:r>
              <w:rPr>
                <w:rFonts w:hint="default" w:ascii="微软雅黑" w:hAnsi="微软雅黑" w:cs="微软雅黑"/>
                <w:kern w:val="2"/>
                <w:sz w:val="18"/>
                <w:szCs w:val="18"/>
                <w:lang w:val="en-US" w:eastAsia="zh-CN"/>
              </w:rPr>
              <w:t>ATR</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c.2320del</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p.I774Yfs*5</w:t>
            </w:r>
          </w:p>
          <w:p w14:paraId="471D2D93">
            <w:pPr>
              <w:adjustRightInd/>
              <w:snapToGrid/>
              <w:spacing w:after="0" w:line="220" w:lineRule="atLeast"/>
              <w:jc w:val="center"/>
              <w:rPr>
                <w:rFonts w:hint="default" w:ascii="微软雅黑" w:hAnsi="微软雅黑" w:cs="微软雅黑"/>
                <w:kern w:val="2"/>
                <w:sz w:val="18"/>
                <w:szCs w:val="18"/>
                <w:lang w:val="en-US" w:eastAsia="zh-CN"/>
              </w:rPr>
            </w:pPr>
            <w:r>
              <w:rPr>
                <w:rFonts w:hint="default" w:ascii="微软雅黑" w:hAnsi="微软雅黑" w:cs="微软雅黑"/>
                <w:kern w:val="2"/>
                <w:sz w:val="18"/>
                <w:szCs w:val="18"/>
                <w:lang w:val="en-US" w:eastAsia="zh-CN"/>
              </w:rPr>
              <w:t>ARID1A</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c.1015del</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p.A339Lfs*24</w:t>
            </w:r>
          </w:p>
        </w:tc>
        <w:tc>
          <w:tcPr>
            <w:tcW w:w="3971" w:type="dxa"/>
            <w:vAlign w:val="center"/>
          </w:tcPr>
          <w:p w14:paraId="65AFFE9F">
            <w:pPr>
              <w:adjustRightInd/>
              <w:snapToGrid/>
              <w:spacing w:after="0" w:line="220" w:lineRule="atLeast"/>
              <w:jc w:val="center"/>
              <w:outlineLvl w:val="9"/>
              <w:rPr>
                <w:rFonts w:hint="eastAsia" w:ascii="微软雅黑" w:hAnsi="微软雅黑" w:eastAsia="微软雅黑" w:cs="微软雅黑"/>
                <w:bCs/>
                <w:color w:val="0000FF"/>
                <w:kern w:val="2"/>
                <w:sz w:val="18"/>
                <w:szCs w:val="18"/>
                <w:highlight w:val="none"/>
                <w:u w:val="single"/>
                <w:lang w:val="en-US" w:eastAsia="zh-CN" w:bidi="ar-SA"/>
              </w:rPr>
            </w:pPr>
            <w:r>
              <w:rPr>
                <w:rFonts w:hint="eastAsia" w:ascii="微软雅黑" w:hAnsi="微软雅黑" w:eastAsia="微软雅黑" w:cs="微软雅黑"/>
                <w:color w:val="000000" w:themeColor="text1"/>
                <w:kern w:val="0"/>
                <w:sz w:val="18"/>
                <w:szCs w:val="18"/>
                <w:u w:val="none"/>
                <w:lang w:val="en-US" w:eastAsia="zh-CN" w:bidi="ar"/>
                <w14:textFill>
                  <w14:solidFill>
                    <w14:schemeClr w14:val="tx1"/>
                  </w14:solidFill>
                </w14:textFill>
              </w:rPr>
              <w:t>检出有害变异时可能疗效较好</w:t>
            </w:r>
          </w:p>
        </w:tc>
      </w:tr>
      <w:tr w14:paraId="74B7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409B30DE">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免疫负相关基因</w:t>
            </w:r>
          </w:p>
        </w:tc>
        <w:tc>
          <w:tcPr>
            <w:tcW w:w="3219" w:type="dxa"/>
            <w:vAlign w:val="center"/>
          </w:tcPr>
          <w:p w14:paraId="59BB11EA">
            <w:pPr>
              <w:spacing w:after="0" w:line="220" w:lineRule="atLeast"/>
              <w:jc w:val="center"/>
              <w:rPr>
                <w:rFonts w:hint="eastAsia" w:ascii="微软雅黑" w:hAnsi="微软雅黑" w:cs="微软雅黑"/>
                <w:kern w:val="2"/>
                <w:sz w:val="18"/>
                <w:szCs w:val="18"/>
                <w:lang w:val="en-US" w:eastAsia="zh-CN"/>
              </w:rPr>
            </w:pPr>
            <w:r>
              <w:rPr>
                <w:rFonts w:hint="eastAsia" w:ascii="微软雅黑" w:hAnsi="微软雅黑" w:cs="微软雅黑"/>
                <w:kern w:val="2"/>
                <w:sz w:val="18"/>
                <w:szCs w:val="18"/>
                <w:lang w:val="en-US" w:eastAsia="zh-CN"/>
              </w:rPr>
              <w:t>检出（1个）</w:t>
            </w:r>
          </w:p>
          <w:p w14:paraId="6B77E624">
            <w:pPr>
              <w:spacing w:after="0" w:line="220" w:lineRule="atLeast"/>
              <w:jc w:val="center"/>
              <w:rPr>
                <w:rFonts w:hint="default" w:ascii="微软雅黑" w:hAnsi="微软雅黑" w:cs="微软雅黑"/>
                <w:kern w:val="2"/>
                <w:sz w:val="18"/>
                <w:szCs w:val="18"/>
                <w:lang w:val="en-US" w:eastAsia="zh-CN"/>
              </w:rPr>
            </w:pPr>
            <w:r>
              <w:rPr>
                <w:rFonts w:hint="default" w:ascii="微软雅黑" w:hAnsi="微软雅黑" w:cs="微软雅黑"/>
                <w:kern w:val="2"/>
                <w:sz w:val="18"/>
                <w:szCs w:val="18"/>
                <w:lang w:val="en-US" w:eastAsia="zh-CN"/>
              </w:rPr>
              <w:t>PTEN</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c.697C&gt;T</w:t>
            </w:r>
            <w:r>
              <w:rPr>
                <w:rFonts w:hint="eastAsia" w:ascii="微软雅黑" w:hAnsi="微软雅黑" w:cs="微软雅黑"/>
                <w:kern w:val="2"/>
                <w:sz w:val="18"/>
                <w:szCs w:val="18"/>
                <w:lang w:val="en-US" w:eastAsia="zh-CN"/>
              </w:rPr>
              <w:t>，</w:t>
            </w:r>
            <w:r>
              <w:rPr>
                <w:rFonts w:hint="default" w:ascii="微软雅黑" w:hAnsi="微软雅黑" w:cs="微软雅黑"/>
                <w:kern w:val="2"/>
                <w:sz w:val="18"/>
                <w:szCs w:val="18"/>
                <w:lang w:val="en-US" w:eastAsia="zh-CN"/>
              </w:rPr>
              <w:t>p.R233*</w:t>
            </w:r>
          </w:p>
        </w:tc>
        <w:tc>
          <w:tcPr>
            <w:tcW w:w="3971" w:type="dxa"/>
            <w:vAlign w:val="center"/>
          </w:tcPr>
          <w:p w14:paraId="68DF465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Style w:val="23"/>
                <w:rFonts w:hint="default" w:ascii="微软雅黑" w:hAnsi="微软雅黑" w:cs="微软雅黑"/>
                <w:bCs/>
                <w:color w:val="0000FF"/>
                <w:kern w:val="2"/>
                <w:sz w:val="18"/>
                <w:szCs w:val="18"/>
                <w:highlight w:val="none"/>
                <w:lang w:val="en-US" w:eastAsia="zh-CN"/>
              </w:rPr>
            </w:pPr>
            <w:r>
              <w:rPr>
                <w:rFonts w:hint="eastAsia" w:ascii="微软雅黑" w:hAnsi="微软雅黑" w:cs="微软雅黑"/>
                <w:i w:val="0"/>
                <w:color w:val="auto"/>
                <w:kern w:val="0"/>
                <w:sz w:val="18"/>
                <w:szCs w:val="18"/>
                <w:u w:val="none"/>
                <w:lang w:val="en-US" w:eastAsia="zh-CN" w:bidi="ar"/>
              </w:rPr>
              <w:t>检出</w:t>
            </w:r>
            <w:r>
              <w:rPr>
                <w:rFonts w:hint="eastAsia" w:ascii="微软雅黑" w:hAnsi="微软雅黑" w:eastAsia="微软雅黑" w:cs="微软雅黑"/>
                <w:i w:val="0"/>
                <w:color w:val="auto"/>
                <w:kern w:val="0"/>
                <w:sz w:val="18"/>
                <w:szCs w:val="18"/>
                <w:u w:val="none"/>
                <w:lang w:val="en-US" w:eastAsia="zh-CN" w:bidi="ar"/>
              </w:rPr>
              <w:t>有害变异时可能</w:t>
            </w:r>
            <w:r>
              <w:rPr>
                <w:rFonts w:hint="eastAsia" w:ascii="微软雅黑" w:hAnsi="微软雅黑" w:cs="微软雅黑"/>
                <w:i w:val="0"/>
                <w:color w:val="auto"/>
                <w:kern w:val="0"/>
                <w:sz w:val="18"/>
                <w:szCs w:val="18"/>
                <w:u w:val="none"/>
                <w:lang w:val="en-US" w:eastAsia="zh-CN" w:bidi="ar"/>
              </w:rPr>
              <w:t>耐药/疗效不佳</w:t>
            </w:r>
          </w:p>
        </w:tc>
      </w:tr>
      <w:tr w14:paraId="4DB6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3FD6502">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免疫超进展相关基因</w:t>
            </w:r>
          </w:p>
        </w:tc>
        <w:tc>
          <w:tcPr>
            <w:tcW w:w="3219" w:type="dxa"/>
            <w:vAlign w:val="center"/>
          </w:tcPr>
          <w:p w14:paraId="633EBAF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default" w:ascii="微软雅黑" w:hAnsi="微软雅黑" w:cs="微软雅黑"/>
                <w:kern w:val="2"/>
                <w:sz w:val="18"/>
                <w:szCs w:val="18"/>
                <w:lang w:val="en-US" w:eastAsia="zh-CN"/>
              </w:rPr>
            </w:pPr>
            <w:r>
              <w:rPr>
                <w:rFonts w:hint="eastAsia" w:ascii="微软雅黑" w:hAnsi="微软雅黑" w:cs="微软雅黑"/>
                <w:kern w:val="2"/>
                <w:sz w:val="18"/>
                <w:szCs w:val="18"/>
                <w:lang w:val="en-US" w:eastAsia="zh-CN"/>
              </w:rPr>
              <w:t>未检出</w:t>
            </w:r>
          </w:p>
        </w:tc>
        <w:tc>
          <w:tcPr>
            <w:tcW w:w="3971" w:type="dxa"/>
            <w:vAlign w:val="center"/>
          </w:tcPr>
          <w:p w14:paraId="09C9443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cs="微软雅黑"/>
                <w:i w:val="0"/>
                <w:color w:val="000000" w:themeColor="text1"/>
                <w:kern w:val="0"/>
                <w:sz w:val="18"/>
                <w:szCs w:val="18"/>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18"/>
                <w:szCs w:val="18"/>
                <w:u w:val="none"/>
                <w:lang w:val="en-US" w:eastAsia="zh-CN" w:bidi="ar"/>
                <w14:textFill>
                  <w14:solidFill>
                    <w14:schemeClr w14:val="tx1"/>
                  </w14:solidFill>
                </w14:textFill>
              </w:rPr>
              <w:t>有害变异时可能与超进展相关</w:t>
            </w:r>
          </w:p>
        </w:tc>
      </w:tr>
    </w:tbl>
    <w:p w14:paraId="1182CE91">
      <w:pPr>
        <w:numPr>
          <w:ilvl w:val="-1"/>
          <w:numId w:val="0"/>
        </w:numPr>
        <w:spacing w:after="0"/>
        <w:jc w:val="both"/>
        <w:rPr>
          <w:rFonts w:hint="eastAsia" w:ascii="微软雅黑" w:hAnsi="微软雅黑"/>
          <w:b w:val="0"/>
          <w:bCs w:val="0"/>
          <w:sz w:val="18"/>
          <w:szCs w:val="22"/>
          <w:lang w:val="en-US" w:eastAsia="zh-CN"/>
        </w:rPr>
      </w:pPr>
      <w:r>
        <w:rPr>
          <w:rFonts w:hint="eastAsia" w:ascii="微软雅黑" w:hAnsi="微软雅黑"/>
          <w:b w:val="0"/>
          <w:bCs w:val="0"/>
          <w:sz w:val="18"/>
          <w:szCs w:val="22"/>
          <w:lang w:val="en-US" w:eastAsia="zh-CN"/>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4CDCDF1E">
      <w:pPr>
        <w:numPr>
          <w:ilvl w:val="-1"/>
          <w:numId w:val="0"/>
        </w:numPr>
        <w:spacing w:after="0"/>
        <w:jc w:val="both"/>
        <w:rPr>
          <w:rFonts w:hint="default" w:ascii="微软雅黑" w:hAnsi="微软雅黑"/>
          <w:b w:val="0"/>
          <w:bCs w:val="0"/>
          <w:kern w:val="2"/>
          <w:sz w:val="18"/>
          <w:szCs w:val="22"/>
          <w:lang w:val="en-US" w:eastAsia="zh-CN"/>
        </w:rPr>
      </w:pPr>
      <w:r>
        <w:rPr>
          <w:rFonts w:hint="eastAsia" w:ascii="微软雅黑" w:hAnsi="微软雅黑"/>
          <w:b w:val="0"/>
          <w:bCs w:val="0"/>
          <w:sz w:val="18"/>
          <w:szCs w:val="22"/>
          <w:lang w:val="en-US" w:eastAsia="zh-CN"/>
        </w:rPr>
        <w:t>2.</w:t>
      </w:r>
      <w:r>
        <w:rPr>
          <w:rFonts w:hint="eastAsia" w:ascii="微软雅黑" w:hAnsi="微软雅黑"/>
          <w:b w:val="0"/>
          <w:bCs w:val="0"/>
          <w:kern w:val="2"/>
          <w:sz w:val="18"/>
          <w:szCs w:val="22"/>
          <w:lang w:val="en-US" w:eastAsia="zh-CN"/>
        </w:rPr>
        <w:t>#帕博利珠单抗、#纳武利尤单抗、#纳武利尤单抗+伊匹木单抗均已获FDA和/或NMPA批准用于治疗结直肠癌。#普特利单抗、#替雷利珠单抗、#多塔利单抗、#恩沃利单抗、</w:t>
      </w:r>
      <w:r>
        <w:rPr>
          <w:rFonts w:hint="eastAsia" w:ascii="微软雅黑" w:hAnsi="微软雅黑"/>
          <w:b w:val="0"/>
          <w:bCs w:val="0"/>
          <w:kern w:val="2"/>
          <w:sz w:val="18"/>
          <w:szCs w:val="22"/>
          <w:highlight w:val="none"/>
          <w:lang w:val="en-US" w:eastAsia="zh-CN"/>
        </w:rPr>
        <w:t>#斯鲁利单抗</w:t>
      </w:r>
      <w:r>
        <w:rPr>
          <w:rFonts w:hint="eastAsia" w:ascii="微软雅黑" w:hAnsi="微软雅黑"/>
          <w:b w:val="0"/>
          <w:bCs w:val="0"/>
          <w:kern w:val="2"/>
          <w:sz w:val="18"/>
          <w:szCs w:val="22"/>
          <w:lang w:val="en-US" w:eastAsia="zh-CN"/>
        </w:rPr>
        <w:t>已获FDA或NMPA批准用于治疗MSI-H或dMMR实体瘤患者。</w:t>
      </w:r>
      <w:r>
        <w:rPr>
          <w:rFonts w:hint="eastAsia" w:ascii="微软雅黑" w:hAnsi="微软雅黑"/>
          <w:b w:val="0"/>
          <w:bCs w:val="0"/>
          <w:kern w:val="2"/>
          <w:sz w:val="18"/>
          <w:szCs w:val="22"/>
          <w:highlight w:val="none"/>
          <w:lang w:val="en-US" w:eastAsia="zh-CN"/>
        </w:rPr>
        <w:t>并且，FDA已批准帕博利珠单抗用于治疗TMB-H的不可切除或转移性的成人和儿童实体瘤。</w:t>
      </w:r>
    </w:p>
    <w:p w14:paraId="5C63FBE1">
      <w:pPr>
        <w:numPr>
          <w:ilvl w:val="0"/>
          <w:numId w:val="0"/>
        </w:numPr>
        <w:spacing w:after="0"/>
        <w:ind w:left="0" w:leftChars="0" w:firstLine="0" w:firstLineChars="0"/>
        <w:jc w:val="both"/>
        <w:rPr>
          <w:rFonts w:hint="eastAsia" w:ascii="微软雅黑" w:hAnsi="微软雅黑"/>
          <w:b/>
          <w:bCs/>
          <w:sz w:val="18"/>
          <w:highlight w:val="none"/>
          <w:lang w:val="en-US" w:eastAsia="zh-CN"/>
        </w:rPr>
      </w:pPr>
      <w:r>
        <w:rPr>
          <w:rFonts w:hint="eastAsia" w:ascii="微软雅黑" w:hAnsi="微软雅黑" w:cstheme="minorBidi"/>
          <w:b w:val="0"/>
          <w:bCs w:val="0"/>
          <w:sz w:val="18"/>
          <w:szCs w:val="22"/>
          <w:lang w:val="en-US" w:eastAsia="zh-CN" w:bidi="ar-SA"/>
        </w:rPr>
        <w:t>3</w:t>
      </w:r>
      <w:r>
        <w:rPr>
          <w:rFonts w:hint="default" w:ascii="微软雅黑" w:hAnsi="微软雅黑" w:eastAsia="微软雅黑" w:cstheme="minorBidi"/>
          <w:b w:val="0"/>
          <w:bCs w:val="0"/>
          <w:sz w:val="18"/>
          <w:szCs w:val="22"/>
          <w:lang w:val="en-US" w:eastAsia="zh-CN" w:bidi="ar-SA"/>
        </w:rPr>
        <w:t>.</w:t>
      </w:r>
      <w:r>
        <w:rPr>
          <w:rFonts w:hint="eastAsia" w:ascii="微软雅黑" w:hAnsi="微软雅黑" w:cstheme="minorBidi"/>
          <w:b w:val="0"/>
          <w:bCs w:val="0"/>
          <w:sz w:val="18"/>
          <w:szCs w:val="22"/>
          <w:lang w:val="en-US" w:eastAsia="zh-CN" w:bidi="ar-SA"/>
        </w:rPr>
        <w:t xml:space="preserve"> </w:t>
      </w:r>
      <w:r>
        <w:rPr>
          <w:rFonts w:hint="eastAsia" w:ascii="微软雅黑" w:hAnsi="微软雅黑"/>
          <w:b w:val="0"/>
          <w:bCs w:val="0"/>
          <w:kern w:val="2"/>
          <w:sz w:val="18"/>
          <w:szCs w:val="22"/>
          <w:lang w:val="en-US" w:eastAsia="zh-CN"/>
        </w:rPr>
        <w:t>上表涉及的已上市的药物名称及对应的商品名称</w:t>
      </w:r>
      <w:r>
        <w:rPr>
          <w:rFonts w:hint="eastAsia" w:ascii="微软雅黑" w:hAnsi="微软雅黑"/>
          <w:sz w:val="18"/>
          <w:highlight w:val="none"/>
          <w:lang w:val="en-US" w:eastAsia="zh-CN"/>
        </w:rPr>
        <w:t>：</w:t>
      </w:r>
      <w:r>
        <w:rPr>
          <w:rFonts w:hint="eastAsia" w:ascii="微软雅黑" w:hAnsi="微软雅黑"/>
          <w:b/>
          <w:bCs/>
          <w:sz w:val="18"/>
          <w:highlight w:val="none"/>
          <w:lang w:val="en-US" w:eastAsia="zh-CN"/>
        </w:rPr>
        <w:t>帕博利珠单抗[可瑞达]、纳武利尤单抗[欧狄沃]、阿替利珠单抗[泰圣奇]、度伐利尤单抗[英飞凡]、特瑞普利单抗[拓益]、信迪利单抗[达伯舒]、卡瑞利珠单抗[艾立妥]、替雷利珠单抗[百泽安]、伊匹木单抗[逸沃]、恩沃利单抗[恩维达]、多塔利单抗[JEMPERLI]、派安普利单抗[安尼可]、赛帕利单抗[誉妥]、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p>
    <w:p w14:paraId="3B59BA4A">
      <w:pPr>
        <w:rPr>
          <w:rFonts w:hint="eastAsia" w:ascii="微软雅黑" w:hAnsi="微软雅黑"/>
          <w:b/>
          <w:color w:val="00C4D8"/>
          <w:sz w:val="32"/>
          <w:szCs w:val="32"/>
          <w:lang w:val="en-US" w:eastAsia="zh-CN"/>
        </w:rPr>
      </w:pPr>
      <w:bookmarkStart w:id="74" w:name="_Toc2090"/>
      <w:bookmarkStart w:id="75" w:name="_Toc137"/>
      <w:r>
        <w:rPr>
          <w:rFonts w:hint="eastAsia" w:ascii="微软雅黑" w:hAnsi="微软雅黑"/>
          <w:b/>
          <w:color w:val="00C4D8"/>
          <w:sz w:val="32"/>
          <w:szCs w:val="32"/>
          <w:lang w:val="en-US" w:eastAsia="zh-CN"/>
        </w:rPr>
        <w:br w:type="page"/>
      </w:r>
    </w:p>
    <w:p w14:paraId="7BAEF1B0">
      <w:pPr>
        <w:keepNext w:val="0"/>
        <w:keepLines w:val="0"/>
        <w:pageBreakBefore w:val="0"/>
        <w:widowControl/>
        <w:numPr>
          <w:ilvl w:val="0"/>
          <w:numId w:val="0"/>
        </w:numPr>
        <w:kinsoku/>
        <w:wordWrap/>
        <w:overflowPunct/>
        <w:topLinePunct w:val="0"/>
        <w:autoSpaceDE/>
        <w:autoSpaceDN/>
        <w:bidi w:val="0"/>
        <w:adjustRightInd/>
        <w:snapToGrid/>
        <w:spacing w:after="0" w:line="220" w:lineRule="atLeast"/>
        <w:ind w:leftChars="0"/>
        <w:textAlignment w:val="auto"/>
        <w:outlineLvl w:val="1"/>
        <w:rPr>
          <w:rFonts w:hint="eastAsia" w:ascii="微软雅黑" w:hAnsi="微软雅黑"/>
          <w:b/>
          <w:color w:val="00C4D8"/>
          <w:sz w:val="32"/>
          <w:szCs w:val="32"/>
        </w:rPr>
      </w:pPr>
      <w:r>
        <w:rPr>
          <w:rFonts w:hint="eastAsia" w:ascii="微软雅黑" w:hAnsi="微软雅黑"/>
          <w:b/>
          <w:color w:val="00C4D8"/>
          <w:sz w:val="32"/>
          <w:szCs w:val="32"/>
          <w:lang w:val="en-US" w:eastAsia="zh-CN"/>
        </w:rPr>
        <w:t xml:space="preserve">2. </w:t>
      </w:r>
      <w:r>
        <w:rPr>
          <w:rFonts w:hint="eastAsia" w:ascii="微软雅黑" w:hAnsi="微软雅黑"/>
          <w:b/>
          <w:color w:val="00C4D8"/>
          <w:sz w:val="32"/>
          <w:szCs w:val="32"/>
        </w:rPr>
        <w:t>靶向药物相关检测结果</w:t>
      </w:r>
    </w:p>
    <w:p w14:paraId="20CCDC1E">
      <w:pPr>
        <w:keepNext w:val="0"/>
        <w:keepLines w:val="0"/>
        <w:pageBreakBefore w:val="0"/>
        <w:widowControl/>
        <w:kinsoku/>
        <w:wordWrap/>
        <w:overflowPunct/>
        <w:topLinePunct w:val="0"/>
        <w:autoSpaceDE/>
        <w:autoSpaceDN/>
        <w:bidi w:val="0"/>
        <w:adjustRightInd/>
        <w:snapToGrid/>
        <w:spacing w:before="100" w:after="100" w:line="220" w:lineRule="atLeast"/>
        <w:textAlignment w:val="auto"/>
        <w:outlineLvl w:val="1"/>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76"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76"/>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2DB5AEE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567B08E4">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6BE085A4">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2AE3B97B">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58AF772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5BFF4366">
            <w:pPr>
              <w:spacing w:after="0"/>
              <w:jc w:val="center"/>
              <w:rPr>
                <w:rFonts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0A051808">
            <w:pPr>
              <w:spacing w:after="0"/>
              <w:jc w:val="center"/>
              <w:rPr>
                <w:rFonts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61A0A651">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0B772265">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86C6527">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4C78A2D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1A9CE1E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2060564A">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3592A228">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4FA69EE">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A2761D3">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12D36C96">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10A95F69">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5FEE3AF4">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BEF478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68596BE">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default" w:ascii="微软雅黑" w:hAnsi="微软雅黑" w:eastAsia="微软雅黑" w:cs="微软雅黑"/>
                <w:color w:val="0000FF"/>
                <w:kern w:val="2"/>
                <w:sz w:val="18"/>
                <w:szCs w:val="18"/>
                <w:u w:val="single"/>
                <w:lang w:val="en-US" w:eastAsia="zh-CN"/>
              </w:rPr>
              <w:t>KRAS</w:t>
            </w:r>
          </w:p>
        </w:tc>
        <w:tc>
          <w:tcPr>
            <w:tcW w:w="870" w:type="dxa"/>
            <w:tcBorders>
              <w:tl2br w:val="nil"/>
              <w:tr2bl w:val="nil"/>
            </w:tcBorders>
            <w:shd w:val="clear" w:color="auto" w:fill="auto"/>
            <w:vAlign w:val="center"/>
          </w:tcPr>
          <w:p w14:paraId="6266C60A">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auto"/>
                <w:kern w:val="2"/>
                <w:sz w:val="18"/>
                <w:szCs w:val="18"/>
                <w:lang w:val="en-US" w:eastAsia="zh-CN" w:bidi="ar"/>
              </w:rPr>
              <w:t>NM_033360.4</w:t>
            </w:r>
          </w:p>
        </w:tc>
        <w:tc>
          <w:tcPr>
            <w:tcW w:w="495" w:type="dxa"/>
            <w:tcBorders>
              <w:tl2br w:val="nil"/>
              <w:tr2bl w:val="nil"/>
            </w:tcBorders>
            <w:shd w:val="clear" w:color="auto" w:fill="auto"/>
            <w:vAlign w:val="center"/>
          </w:tcPr>
          <w:p w14:paraId="0CF2B78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t>12</w:t>
            </w:r>
          </w:p>
        </w:tc>
        <w:tc>
          <w:tcPr>
            <w:tcW w:w="450" w:type="dxa"/>
            <w:tcBorders>
              <w:tl2br w:val="nil"/>
              <w:tr2bl w:val="nil"/>
            </w:tcBorders>
            <w:shd w:val="clear" w:color="auto" w:fill="auto"/>
            <w:vAlign w:val="center"/>
          </w:tcPr>
          <w:p w14:paraId="14B887BD">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1294" w:type="dxa"/>
            <w:tcBorders>
              <w:tl2br w:val="nil"/>
              <w:tr2bl w:val="nil"/>
            </w:tcBorders>
            <w:shd w:val="clear" w:color="auto" w:fill="auto"/>
            <w:vAlign w:val="center"/>
          </w:tcPr>
          <w:p w14:paraId="7526A880">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686" w:type="dxa"/>
            <w:tcBorders>
              <w:tl2br w:val="nil"/>
              <w:tr2bl w:val="nil"/>
            </w:tcBorders>
            <w:shd w:val="clear" w:color="auto" w:fill="auto"/>
            <w:vAlign w:val="center"/>
          </w:tcPr>
          <w:p w14:paraId="48076A1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696" w:type="dxa"/>
            <w:tcBorders>
              <w:tl2br w:val="nil"/>
              <w:tr2bl w:val="nil"/>
            </w:tcBorders>
            <w:shd w:val="clear" w:color="auto" w:fill="auto"/>
            <w:vAlign w:val="center"/>
          </w:tcPr>
          <w:p w14:paraId="606CAC24">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2469" w:type="dxa"/>
            <w:vMerge w:val="restart"/>
            <w:tcBorders>
              <w:tl2br w:val="nil"/>
              <w:tr2bl w:val="nil"/>
            </w:tcBorders>
            <w:shd w:val="clear" w:color="auto" w:fill="auto"/>
            <w:vAlign w:val="center"/>
          </w:tcPr>
          <w:p w14:paraId="024310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Times New Roman"/>
                <w:b w:val="0"/>
                <w:bCs/>
                <w:color w:val="0000FF"/>
                <w:kern w:val="2"/>
                <w:sz w:val="18"/>
                <w:szCs w:val="18"/>
                <w:highlight w:val="none"/>
                <w:u w:val="single"/>
                <w:lang w:val="en-US" w:eastAsia="zh-CN" w:bidi="ar"/>
              </w:rPr>
            </w:pPr>
            <w:r>
              <w:rPr>
                <w:rFonts w:hint="default" w:ascii="微软雅黑" w:hAnsi="微软雅黑" w:cs="Times New Roman"/>
                <w:b w:val="0"/>
                <w:bCs/>
                <w:color w:val="0000FF"/>
                <w:kern w:val="2"/>
                <w:sz w:val="18"/>
                <w:szCs w:val="18"/>
                <w:highlight w:val="none"/>
                <w:u w:val="single"/>
                <w:lang w:val="en-US" w:eastAsia="zh-CN" w:bidi="ar"/>
              </w:rPr>
              <w:t>西妥昔单抗</w:t>
            </w:r>
            <w:r>
              <w:rPr>
                <w:rFonts w:hint="eastAsia" w:ascii="微软雅黑" w:hAnsi="微软雅黑" w:cs="Times New Roman"/>
                <w:b w:val="0"/>
                <w:bCs/>
                <w:color w:val="0000FF"/>
                <w:kern w:val="2"/>
                <w:sz w:val="18"/>
                <w:szCs w:val="18"/>
                <w:highlight w:val="none"/>
                <w:u w:val="single"/>
                <w:lang w:val="en-US" w:eastAsia="zh-CN" w:bidi="ar"/>
              </w:rPr>
              <w:t>（A）</w:t>
            </w:r>
          </w:p>
          <w:p w14:paraId="0CBED50E">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Times New Roman"/>
                <w:b w:val="0"/>
                <w:bCs/>
                <w:color w:val="0000FF"/>
                <w:kern w:val="2"/>
                <w:sz w:val="18"/>
                <w:szCs w:val="18"/>
                <w:highlight w:val="none"/>
                <w:u w:val="single"/>
                <w:lang w:val="en-US" w:eastAsia="zh-CN" w:bidi="ar"/>
              </w:rPr>
              <w:t>帕尼单抗</w:t>
            </w:r>
            <w:r>
              <w:rPr>
                <w:rFonts w:hint="eastAsia" w:ascii="微软雅黑" w:hAnsi="微软雅黑" w:cs="Times New Roman"/>
                <w:b w:val="0"/>
                <w:bCs/>
                <w:color w:val="0000FF"/>
                <w:kern w:val="2"/>
                <w:sz w:val="18"/>
                <w:szCs w:val="18"/>
                <w:highlight w:val="none"/>
                <w:u w:val="single"/>
                <w:lang w:val="en-US" w:eastAsia="zh-CN" w:bidi="ar"/>
              </w:rPr>
              <w:t>（A）</w:t>
            </w:r>
          </w:p>
        </w:tc>
        <w:tc>
          <w:tcPr>
            <w:tcW w:w="1442" w:type="dxa"/>
            <w:vMerge w:val="restart"/>
            <w:tcBorders>
              <w:tl2br w:val="nil"/>
              <w:tr2bl w:val="nil"/>
            </w:tcBorders>
            <w:shd w:val="clear" w:color="auto" w:fill="auto"/>
            <w:vAlign w:val="center"/>
          </w:tcPr>
          <w:p w14:paraId="76080B53">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67C2C9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65EF0893">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NRAS</w:t>
            </w:r>
          </w:p>
        </w:tc>
        <w:tc>
          <w:tcPr>
            <w:tcW w:w="870" w:type="dxa"/>
            <w:tcBorders>
              <w:tl2br w:val="nil"/>
              <w:tr2bl w:val="nil"/>
            </w:tcBorders>
            <w:shd w:val="clear" w:color="auto" w:fill="auto"/>
            <w:vAlign w:val="center"/>
          </w:tcPr>
          <w:p w14:paraId="45C113D5">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auto"/>
                <w:kern w:val="2"/>
                <w:sz w:val="18"/>
                <w:szCs w:val="18"/>
                <w:lang w:val="en-US" w:eastAsia="zh-CN" w:bidi="ar"/>
              </w:rPr>
              <w:t>NM_002524.4</w:t>
            </w:r>
          </w:p>
        </w:tc>
        <w:tc>
          <w:tcPr>
            <w:tcW w:w="495" w:type="dxa"/>
            <w:tcBorders>
              <w:tl2br w:val="nil"/>
              <w:tr2bl w:val="nil"/>
            </w:tcBorders>
            <w:shd w:val="clear" w:color="auto" w:fill="auto"/>
            <w:vAlign w:val="center"/>
          </w:tcPr>
          <w:p w14:paraId="7A3BF77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eastAsia="微软雅黑" w:cs="微软雅黑"/>
                <w:bCs/>
                <w:color w:val="auto"/>
                <w:kern w:val="2"/>
                <w:sz w:val="18"/>
                <w:szCs w:val="18"/>
                <w:lang w:val="en-US" w:eastAsia="zh-CN"/>
              </w:rPr>
              <w:t>1</w:t>
            </w:r>
          </w:p>
        </w:tc>
        <w:tc>
          <w:tcPr>
            <w:tcW w:w="450" w:type="dxa"/>
            <w:tcBorders>
              <w:tl2br w:val="nil"/>
              <w:tr2bl w:val="nil"/>
            </w:tcBorders>
            <w:shd w:val="clear" w:color="auto" w:fill="auto"/>
            <w:vAlign w:val="center"/>
          </w:tcPr>
          <w:p w14:paraId="1C986326">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1294" w:type="dxa"/>
            <w:tcBorders>
              <w:tl2br w:val="nil"/>
              <w:tr2bl w:val="nil"/>
            </w:tcBorders>
            <w:shd w:val="clear" w:color="auto" w:fill="auto"/>
            <w:vAlign w:val="center"/>
          </w:tcPr>
          <w:p w14:paraId="1A2DF64B">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highlight w:val="none"/>
                <w:lang w:val="en-US" w:eastAsia="zh-CN"/>
              </w:rPr>
              <w:t>未见突变</w:t>
            </w:r>
          </w:p>
        </w:tc>
        <w:tc>
          <w:tcPr>
            <w:tcW w:w="686" w:type="dxa"/>
            <w:tcBorders>
              <w:tl2br w:val="nil"/>
              <w:tr2bl w:val="nil"/>
            </w:tcBorders>
            <w:shd w:val="clear" w:color="auto" w:fill="auto"/>
            <w:vAlign w:val="center"/>
          </w:tcPr>
          <w:p w14:paraId="5F4BB86C">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696" w:type="dxa"/>
            <w:tcBorders>
              <w:tl2br w:val="nil"/>
              <w:tr2bl w:val="nil"/>
            </w:tcBorders>
            <w:shd w:val="clear" w:color="auto" w:fill="auto"/>
            <w:vAlign w:val="center"/>
          </w:tcPr>
          <w:p w14:paraId="205918EB">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2469" w:type="dxa"/>
            <w:vMerge w:val="continue"/>
            <w:tcBorders>
              <w:tl2br w:val="nil"/>
              <w:tr2bl w:val="nil"/>
            </w:tcBorders>
            <w:vAlign w:val="center"/>
          </w:tcPr>
          <w:p w14:paraId="168AD97E">
            <w:pPr>
              <w:spacing w:after="0" w:line="240" w:lineRule="atLeast"/>
              <w:jc w:val="center"/>
              <w:rPr>
                <w:rFonts w:hint="eastAsia" w:ascii="微软雅黑" w:hAnsi="微软雅黑"/>
                <w:bCs/>
                <w:kern w:val="2"/>
                <w:sz w:val="18"/>
                <w:szCs w:val="18"/>
              </w:rPr>
            </w:pPr>
          </w:p>
        </w:tc>
        <w:tc>
          <w:tcPr>
            <w:tcW w:w="1442" w:type="dxa"/>
            <w:vMerge w:val="continue"/>
            <w:tcBorders>
              <w:tl2br w:val="nil"/>
              <w:tr2bl w:val="nil"/>
            </w:tcBorders>
            <w:vAlign w:val="center"/>
          </w:tcPr>
          <w:p w14:paraId="73D0A52C">
            <w:pPr>
              <w:spacing w:after="0" w:line="240" w:lineRule="atLeast"/>
              <w:jc w:val="center"/>
              <w:rPr>
                <w:rFonts w:hint="eastAsia" w:ascii="微软雅黑" w:hAnsi="微软雅黑"/>
                <w:bCs/>
                <w:kern w:val="2"/>
                <w:sz w:val="18"/>
                <w:szCs w:val="18"/>
              </w:rPr>
            </w:pPr>
          </w:p>
        </w:tc>
      </w:tr>
      <w:tr w14:paraId="36AE041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28B159D4">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hint="default" w:ascii="微软雅黑" w:hAnsi="微软雅黑" w:eastAsia="微软雅黑" w:cs="微软雅黑"/>
                <w:bCs/>
                <w:color w:val="0000FF"/>
                <w:kern w:val="2"/>
                <w:sz w:val="18"/>
                <w:szCs w:val="18"/>
                <w:u w:val="single"/>
                <w:lang w:val="en-US" w:eastAsia="zh-CN" w:bidi="ar"/>
              </w:rPr>
            </w:pPr>
            <w:r>
              <w:rPr>
                <w:rFonts w:hint="eastAsia" w:ascii="微软雅黑" w:hAnsi="微软雅黑" w:eastAsia="微软雅黑" w:cs="微软雅黑"/>
                <w:color w:val="0000FF"/>
                <w:kern w:val="2"/>
                <w:sz w:val="18"/>
                <w:szCs w:val="18"/>
                <w:u w:val="single"/>
                <w:lang w:val="en-US" w:eastAsia="zh-CN"/>
              </w:rPr>
              <w:t>BRAF</w:t>
            </w:r>
          </w:p>
        </w:tc>
        <w:tc>
          <w:tcPr>
            <w:tcW w:w="870" w:type="dxa"/>
            <w:tcBorders>
              <w:tl2br w:val="nil"/>
              <w:tr2bl w:val="nil"/>
            </w:tcBorders>
            <w:shd w:val="clear" w:color="auto" w:fill="auto"/>
            <w:vAlign w:val="center"/>
          </w:tcPr>
          <w:p w14:paraId="41A626EF">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cs="微软雅黑"/>
                <w:bCs/>
                <w:color w:val="auto"/>
                <w:kern w:val="2"/>
                <w:sz w:val="18"/>
                <w:szCs w:val="18"/>
                <w:lang w:val="en-US" w:eastAsia="zh-CN" w:bidi="ar"/>
              </w:rPr>
              <w:t>NM_004333.4</w:t>
            </w:r>
          </w:p>
        </w:tc>
        <w:tc>
          <w:tcPr>
            <w:tcW w:w="495" w:type="dxa"/>
            <w:tcBorders>
              <w:tl2br w:val="nil"/>
              <w:tr2bl w:val="nil"/>
            </w:tcBorders>
            <w:shd w:val="clear" w:color="auto" w:fill="auto"/>
            <w:vAlign w:val="center"/>
          </w:tcPr>
          <w:p w14:paraId="18A153D0">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r>
              <w:rPr>
                <w:rFonts w:hint="eastAsia" w:ascii="微软雅黑" w:hAnsi="微软雅黑" w:eastAsia="微软雅黑" w:cs="微软雅黑"/>
                <w:bCs/>
                <w:color w:val="auto"/>
                <w:kern w:val="2"/>
                <w:sz w:val="18"/>
                <w:szCs w:val="18"/>
                <w:lang w:val="en-US" w:eastAsia="zh-CN"/>
              </w:rPr>
              <w:t>7</w:t>
            </w:r>
          </w:p>
        </w:tc>
        <w:tc>
          <w:tcPr>
            <w:tcW w:w="450" w:type="dxa"/>
            <w:tcBorders>
              <w:tl2br w:val="nil"/>
              <w:tr2bl w:val="nil"/>
            </w:tcBorders>
            <w:shd w:val="clear" w:color="auto" w:fill="auto"/>
            <w:vAlign w:val="center"/>
          </w:tcPr>
          <w:p w14:paraId="719FD5EE">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1294" w:type="dxa"/>
            <w:tcBorders>
              <w:tl2br w:val="nil"/>
              <w:tr2bl w:val="nil"/>
            </w:tcBorders>
            <w:shd w:val="clear" w:color="auto" w:fill="auto"/>
            <w:vAlign w:val="center"/>
          </w:tcPr>
          <w:p w14:paraId="26310D0E">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auto"/>
                <w:kern w:val="2"/>
                <w:sz w:val="18"/>
                <w:szCs w:val="18"/>
                <w:lang w:val="en-US" w:eastAsia="zh-CN"/>
              </w:rPr>
              <w:t>未见突变</w:t>
            </w:r>
          </w:p>
        </w:tc>
        <w:tc>
          <w:tcPr>
            <w:tcW w:w="686" w:type="dxa"/>
            <w:tcBorders>
              <w:tl2br w:val="nil"/>
              <w:tr2bl w:val="nil"/>
            </w:tcBorders>
            <w:shd w:val="clear" w:color="auto" w:fill="auto"/>
            <w:vAlign w:val="center"/>
          </w:tcPr>
          <w:p w14:paraId="45509AC2">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696" w:type="dxa"/>
            <w:tcBorders>
              <w:tl2br w:val="nil"/>
              <w:tr2bl w:val="nil"/>
            </w:tcBorders>
            <w:shd w:val="clear" w:color="auto" w:fill="auto"/>
            <w:vAlign w:val="center"/>
          </w:tcPr>
          <w:p w14:paraId="5B818245">
            <w:pPr>
              <w:keepNext w:val="0"/>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bCs/>
                <w:color w:val="auto"/>
                <w:kern w:val="2"/>
                <w:sz w:val="18"/>
                <w:szCs w:val="18"/>
                <w:lang w:val="en-US" w:eastAsia="zh-CN" w:bidi="ar"/>
              </w:rPr>
            </w:pPr>
          </w:p>
        </w:tc>
        <w:tc>
          <w:tcPr>
            <w:tcW w:w="2469" w:type="dxa"/>
            <w:vMerge w:val="continue"/>
            <w:tcBorders>
              <w:tl2br w:val="nil"/>
              <w:tr2bl w:val="nil"/>
            </w:tcBorders>
            <w:vAlign w:val="center"/>
          </w:tcPr>
          <w:p w14:paraId="439ABA9B">
            <w:pPr>
              <w:spacing w:after="0" w:line="240" w:lineRule="atLeast"/>
              <w:jc w:val="center"/>
              <w:rPr>
                <w:rFonts w:hint="eastAsia" w:ascii="微软雅黑" w:hAnsi="微软雅黑"/>
                <w:bCs/>
                <w:kern w:val="2"/>
                <w:sz w:val="18"/>
                <w:szCs w:val="18"/>
              </w:rPr>
            </w:pPr>
          </w:p>
        </w:tc>
        <w:tc>
          <w:tcPr>
            <w:tcW w:w="1442" w:type="dxa"/>
            <w:vMerge w:val="continue"/>
            <w:tcBorders>
              <w:tl2br w:val="nil"/>
              <w:tr2bl w:val="nil"/>
            </w:tcBorders>
            <w:vAlign w:val="center"/>
          </w:tcPr>
          <w:p w14:paraId="04458833">
            <w:pPr>
              <w:spacing w:after="0" w:line="240" w:lineRule="atLeast"/>
              <w:jc w:val="center"/>
              <w:rPr>
                <w:rFonts w:hint="eastAsia" w:ascii="微软雅黑" w:hAnsi="微软雅黑"/>
                <w:bCs/>
                <w:kern w:val="2"/>
                <w:sz w:val="18"/>
                <w:szCs w:val="18"/>
              </w:rPr>
            </w:pPr>
          </w:p>
        </w:tc>
      </w:tr>
      <w:tr w14:paraId="5DF2E5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173C2E1">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HLA-B</w:t>
            </w:r>
          </w:p>
        </w:tc>
        <w:tc>
          <w:tcPr>
            <w:tcW w:w="870" w:type="dxa"/>
            <w:tcBorders>
              <w:tl2br w:val="nil"/>
              <w:tr2bl w:val="nil"/>
            </w:tcBorders>
            <w:shd w:val="clear" w:color="auto" w:fill="auto"/>
            <w:vAlign w:val="center"/>
          </w:tcPr>
          <w:p w14:paraId="7687B32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NM_005514.8</w:t>
            </w:r>
          </w:p>
        </w:tc>
        <w:tc>
          <w:tcPr>
            <w:tcW w:w="495" w:type="dxa"/>
            <w:tcBorders>
              <w:tl2br w:val="nil"/>
              <w:tr2bl w:val="nil"/>
            </w:tcBorders>
            <w:shd w:val="clear" w:color="auto" w:fill="auto"/>
            <w:vAlign w:val="center"/>
          </w:tcPr>
          <w:p w14:paraId="131861A7">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6</w:t>
            </w:r>
          </w:p>
        </w:tc>
        <w:tc>
          <w:tcPr>
            <w:tcW w:w="450" w:type="dxa"/>
            <w:tcBorders>
              <w:tl2br w:val="nil"/>
              <w:tr2bl w:val="nil"/>
            </w:tcBorders>
            <w:shd w:val="clear" w:color="auto" w:fill="auto"/>
            <w:vAlign w:val="center"/>
          </w:tcPr>
          <w:p w14:paraId="333AE77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w:t>
            </w:r>
          </w:p>
        </w:tc>
        <w:tc>
          <w:tcPr>
            <w:tcW w:w="1294" w:type="dxa"/>
            <w:tcBorders>
              <w:tl2br w:val="nil"/>
              <w:tr2bl w:val="nil"/>
            </w:tcBorders>
            <w:shd w:val="clear" w:color="auto" w:fill="auto"/>
            <w:vAlign w:val="center"/>
          </w:tcPr>
          <w:p w14:paraId="26C28ACE">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c.42_45delinsGGG,</w:t>
            </w:r>
          </w:p>
          <w:p w14:paraId="0F6D75D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p.A15Gfs*5</w:t>
            </w:r>
          </w:p>
        </w:tc>
        <w:tc>
          <w:tcPr>
            <w:tcW w:w="686" w:type="dxa"/>
            <w:tcBorders>
              <w:tl2br w:val="nil"/>
              <w:tr2bl w:val="nil"/>
            </w:tcBorders>
            <w:shd w:val="clear" w:color="auto" w:fill="auto"/>
            <w:vAlign w:val="center"/>
          </w:tcPr>
          <w:p w14:paraId="368DD4D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缺失插入突变</w:t>
            </w:r>
          </w:p>
        </w:tc>
        <w:tc>
          <w:tcPr>
            <w:tcW w:w="696" w:type="dxa"/>
            <w:tcBorders>
              <w:tl2br w:val="nil"/>
              <w:tr2bl w:val="nil"/>
            </w:tcBorders>
            <w:shd w:val="clear" w:color="auto" w:fill="auto"/>
            <w:vAlign w:val="center"/>
          </w:tcPr>
          <w:p w14:paraId="4B20C36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46.72</w:t>
            </w:r>
          </w:p>
        </w:tc>
        <w:tc>
          <w:tcPr>
            <w:tcW w:w="2469" w:type="dxa"/>
            <w:tcBorders>
              <w:tl2br w:val="nil"/>
              <w:tr2bl w:val="nil"/>
            </w:tcBorders>
            <w:shd w:val="clear" w:color="auto" w:fill="auto"/>
            <w:vAlign w:val="center"/>
          </w:tcPr>
          <w:p w14:paraId="6F14A6CB">
            <w:pPr>
              <w:spacing w:after="0" w:line="240" w:lineRule="atLeast"/>
              <w:jc w:val="center"/>
              <w:rPr>
                <w:rFonts w:hint="default"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c>
          <w:tcPr>
            <w:tcW w:w="1442" w:type="dxa"/>
            <w:tcBorders>
              <w:tl2br w:val="nil"/>
              <w:tr2bl w:val="nil"/>
            </w:tcBorders>
            <w:shd w:val="clear" w:color="auto" w:fill="auto"/>
            <w:vAlign w:val="center"/>
          </w:tcPr>
          <w:p w14:paraId="0EAABC1C">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1B25DA2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0480A838">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ACVR2A</w:t>
            </w:r>
          </w:p>
        </w:tc>
        <w:tc>
          <w:tcPr>
            <w:tcW w:w="870" w:type="dxa"/>
            <w:tcBorders>
              <w:tl2br w:val="nil"/>
              <w:tr2bl w:val="nil"/>
            </w:tcBorders>
            <w:shd w:val="clear" w:color="auto" w:fill="auto"/>
            <w:vAlign w:val="center"/>
          </w:tcPr>
          <w:p w14:paraId="36F0C24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NM_001616.5</w:t>
            </w:r>
          </w:p>
        </w:tc>
        <w:tc>
          <w:tcPr>
            <w:tcW w:w="495" w:type="dxa"/>
            <w:tcBorders>
              <w:tl2br w:val="nil"/>
              <w:tr2bl w:val="nil"/>
            </w:tcBorders>
            <w:shd w:val="clear" w:color="auto" w:fill="auto"/>
            <w:vAlign w:val="center"/>
          </w:tcPr>
          <w:p w14:paraId="3F8BAD5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2</w:t>
            </w:r>
          </w:p>
        </w:tc>
        <w:tc>
          <w:tcPr>
            <w:tcW w:w="450" w:type="dxa"/>
            <w:tcBorders>
              <w:tl2br w:val="nil"/>
              <w:tr2bl w:val="nil"/>
            </w:tcBorders>
            <w:shd w:val="clear" w:color="auto" w:fill="auto"/>
            <w:vAlign w:val="center"/>
          </w:tcPr>
          <w:p w14:paraId="673DB7AD">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10</w:t>
            </w:r>
          </w:p>
        </w:tc>
        <w:tc>
          <w:tcPr>
            <w:tcW w:w="1294" w:type="dxa"/>
            <w:tcBorders>
              <w:tl2br w:val="nil"/>
              <w:tr2bl w:val="nil"/>
            </w:tcBorders>
            <w:shd w:val="clear" w:color="auto" w:fill="auto"/>
            <w:vAlign w:val="center"/>
          </w:tcPr>
          <w:p w14:paraId="6767B0D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c.1310del,</w:t>
            </w:r>
          </w:p>
          <w:p w14:paraId="33380186">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p.K437Rfs*5</w:t>
            </w:r>
          </w:p>
        </w:tc>
        <w:tc>
          <w:tcPr>
            <w:tcW w:w="686" w:type="dxa"/>
            <w:tcBorders>
              <w:tl2br w:val="nil"/>
              <w:tr2bl w:val="nil"/>
            </w:tcBorders>
            <w:shd w:val="clear" w:color="auto" w:fill="auto"/>
            <w:vAlign w:val="center"/>
          </w:tcPr>
          <w:p w14:paraId="6C099F2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0E079EB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35.92</w:t>
            </w:r>
          </w:p>
        </w:tc>
        <w:tc>
          <w:tcPr>
            <w:tcW w:w="2469" w:type="dxa"/>
            <w:tcBorders>
              <w:tl2br w:val="nil"/>
              <w:tr2bl w:val="nil"/>
            </w:tcBorders>
            <w:shd w:val="clear" w:color="auto" w:fill="auto"/>
            <w:vAlign w:val="center"/>
          </w:tcPr>
          <w:p w14:paraId="0585EEE6">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c>
          <w:tcPr>
            <w:tcW w:w="1442" w:type="dxa"/>
            <w:tcBorders>
              <w:tl2br w:val="nil"/>
              <w:tr2bl w:val="nil"/>
            </w:tcBorders>
            <w:shd w:val="clear" w:color="auto" w:fill="auto"/>
            <w:vAlign w:val="center"/>
          </w:tcPr>
          <w:p w14:paraId="541D1CA9">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600403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1791D329">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RNF43</w:t>
            </w:r>
          </w:p>
        </w:tc>
        <w:tc>
          <w:tcPr>
            <w:tcW w:w="870" w:type="dxa"/>
            <w:tcBorders>
              <w:tl2br w:val="nil"/>
              <w:tr2bl w:val="nil"/>
            </w:tcBorders>
            <w:shd w:val="clear" w:color="auto" w:fill="auto"/>
            <w:vAlign w:val="center"/>
          </w:tcPr>
          <w:p w14:paraId="35926BE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NM_017763.6</w:t>
            </w:r>
          </w:p>
        </w:tc>
        <w:tc>
          <w:tcPr>
            <w:tcW w:w="495" w:type="dxa"/>
            <w:tcBorders>
              <w:tl2br w:val="nil"/>
              <w:tr2bl w:val="nil"/>
            </w:tcBorders>
            <w:shd w:val="clear" w:color="auto" w:fill="auto"/>
            <w:vAlign w:val="center"/>
          </w:tcPr>
          <w:p w14:paraId="2E1FD5F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47303067">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w:t>
            </w:r>
          </w:p>
        </w:tc>
        <w:tc>
          <w:tcPr>
            <w:tcW w:w="1294" w:type="dxa"/>
            <w:tcBorders>
              <w:tl2br w:val="nil"/>
              <w:tr2bl w:val="nil"/>
            </w:tcBorders>
            <w:shd w:val="clear" w:color="auto" w:fill="auto"/>
            <w:vAlign w:val="center"/>
          </w:tcPr>
          <w:p w14:paraId="7F4064F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c.349del,</w:t>
            </w:r>
          </w:p>
          <w:p w14:paraId="38EB45B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p.R117Afs*41</w:t>
            </w:r>
          </w:p>
        </w:tc>
        <w:tc>
          <w:tcPr>
            <w:tcW w:w="686" w:type="dxa"/>
            <w:tcBorders>
              <w:tl2br w:val="nil"/>
              <w:tr2bl w:val="nil"/>
            </w:tcBorders>
            <w:shd w:val="clear" w:color="auto" w:fill="auto"/>
            <w:vAlign w:val="center"/>
          </w:tcPr>
          <w:p w14:paraId="41BA3F0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47C2F52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30</w:t>
            </w:r>
          </w:p>
        </w:tc>
        <w:tc>
          <w:tcPr>
            <w:tcW w:w="2469" w:type="dxa"/>
            <w:tcBorders>
              <w:tl2br w:val="nil"/>
              <w:tr2bl w:val="nil"/>
            </w:tcBorders>
            <w:shd w:val="clear" w:color="auto" w:fill="auto"/>
            <w:vAlign w:val="center"/>
          </w:tcPr>
          <w:p w14:paraId="236AA866">
            <w:pPr>
              <w:adjustRightInd/>
              <w:snapToGrid/>
              <w:spacing w:after="0" w:line="220" w:lineRule="atLeast"/>
              <w:jc w:val="center"/>
              <w:rPr>
                <w:rStyle w:val="23"/>
                <w:rFonts w:hint="eastAsia" w:ascii="微软雅黑" w:hAnsi="微软雅黑" w:eastAsia="微软雅黑" w:cs="微软雅黑"/>
                <w:color w:val="0000FF"/>
                <w:kern w:val="2"/>
                <w:sz w:val="18"/>
                <w:szCs w:val="18"/>
                <w:lang w:val="en-US" w:eastAsia="zh-CN"/>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p w14:paraId="383F7DBE">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Style w:val="23"/>
                <w:rFonts w:hint="eastAsia" w:ascii="微软雅黑" w:hAnsi="微软雅黑" w:eastAsia="微软雅黑" w:cs="微软雅黑"/>
                <w:color w:val="0000FF"/>
                <w:kern w:val="2"/>
                <w:sz w:val="18"/>
                <w:szCs w:val="18"/>
                <w:lang w:val="en-US" w:eastAsia="zh-CN"/>
              </w:rPr>
              <w:t>LGK974+</w:t>
            </w:r>
            <w:r>
              <w:rPr>
                <w:rStyle w:val="23"/>
                <w:rFonts w:hint="eastAsia" w:ascii="微软雅黑" w:hAnsi="微软雅黑" w:cs="微软雅黑"/>
                <w:color w:val="0000FF"/>
                <w:kern w:val="2"/>
                <w:sz w:val="18"/>
                <w:szCs w:val="18"/>
                <w:lang w:val="en-US" w:eastAsia="zh-CN"/>
              </w:rPr>
              <w:t>康奈非尼</w:t>
            </w:r>
            <w:r>
              <w:rPr>
                <w:rStyle w:val="23"/>
                <w:rFonts w:hint="eastAsia" w:ascii="微软雅黑" w:hAnsi="微软雅黑" w:eastAsia="微软雅黑" w:cs="微软雅黑"/>
                <w:color w:val="0000FF"/>
                <w:kern w:val="2"/>
                <w:sz w:val="18"/>
                <w:szCs w:val="18"/>
                <w:lang w:val="en-US" w:eastAsia="zh-CN"/>
              </w:rPr>
              <w:t>+西妥昔单抗（</w:t>
            </w:r>
            <w:r>
              <w:rPr>
                <w:rStyle w:val="23"/>
                <w:rFonts w:hint="eastAsia" w:ascii="微软雅黑" w:hAnsi="微软雅黑" w:cs="微软雅黑"/>
                <w:color w:val="0000FF"/>
                <w:kern w:val="2"/>
                <w:sz w:val="18"/>
                <w:szCs w:val="18"/>
                <w:lang w:val="en-US" w:eastAsia="zh-CN"/>
              </w:rPr>
              <w:t>C</w:t>
            </w:r>
            <w:r>
              <w:rPr>
                <w:rStyle w:val="23"/>
                <w:rFonts w:hint="eastAsia" w:ascii="微软雅黑" w:hAnsi="微软雅黑" w:eastAsia="微软雅黑" w:cs="微软雅黑"/>
                <w:color w:val="0000FF"/>
                <w:kern w:val="2"/>
                <w:sz w:val="18"/>
                <w:szCs w:val="18"/>
                <w:lang w:val="en-US" w:eastAsia="zh-CN"/>
              </w:rPr>
              <w:t>）</w:t>
            </w:r>
          </w:p>
        </w:tc>
        <w:tc>
          <w:tcPr>
            <w:tcW w:w="1442" w:type="dxa"/>
            <w:tcBorders>
              <w:tl2br w:val="nil"/>
              <w:tr2bl w:val="nil"/>
            </w:tcBorders>
            <w:shd w:val="clear" w:color="auto" w:fill="auto"/>
            <w:vAlign w:val="center"/>
          </w:tcPr>
          <w:p w14:paraId="2FBBFD5C">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000000" w:themeColor="text1"/>
                <w:kern w:val="2"/>
                <w:sz w:val="18"/>
                <w:szCs w:val="18"/>
                <w:u w:val="none"/>
                <w:lang w:val="en-US" w:eastAsia="zh-CN" w:bidi="ar"/>
                <w14:textFill>
                  <w14:solidFill>
                    <w14:schemeClr w14:val="tx1"/>
                  </w14:solidFill>
                </w14:textFill>
              </w:rPr>
              <w:t>--</w:t>
            </w:r>
          </w:p>
        </w:tc>
      </w:tr>
      <w:tr w14:paraId="33C45FA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687B60AF">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ATR</w:t>
            </w:r>
          </w:p>
        </w:tc>
        <w:tc>
          <w:tcPr>
            <w:tcW w:w="870" w:type="dxa"/>
            <w:tcBorders>
              <w:tl2br w:val="nil"/>
              <w:tr2bl w:val="nil"/>
            </w:tcBorders>
            <w:shd w:val="clear" w:color="auto" w:fill="auto"/>
            <w:vAlign w:val="center"/>
          </w:tcPr>
          <w:p w14:paraId="3E3CDF5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NM_001184.4</w:t>
            </w:r>
          </w:p>
        </w:tc>
        <w:tc>
          <w:tcPr>
            <w:tcW w:w="495" w:type="dxa"/>
            <w:tcBorders>
              <w:tl2br w:val="nil"/>
              <w:tr2bl w:val="nil"/>
            </w:tcBorders>
            <w:shd w:val="clear" w:color="auto" w:fill="auto"/>
            <w:vAlign w:val="center"/>
          </w:tcPr>
          <w:p w14:paraId="3598B56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w:t>
            </w:r>
          </w:p>
        </w:tc>
        <w:tc>
          <w:tcPr>
            <w:tcW w:w="450" w:type="dxa"/>
            <w:tcBorders>
              <w:tl2br w:val="nil"/>
              <w:tr2bl w:val="nil"/>
            </w:tcBorders>
            <w:shd w:val="clear" w:color="auto" w:fill="auto"/>
            <w:vAlign w:val="center"/>
          </w:tcPr>
          <w:p w14:paraId="0EA6E2C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10</w:t>
            </w:r>
          </w:p>
        </w:tc>
        <w:tc>
          <w:tcPr>
            <w:tcW w:w="1294" w:type="dxa"/>
            <w:tcBorders>
              <w:tl2br w:val="nil"/>
              <w:tr2bl w:val="nil"/>
            </w:tcBorders>
            <w:shd w:val="clear" w:color="auto" w:fill="auto"/>
            <w:vAlign w:val="center"/>
          </w:tcPr>
          <w:p w14:paraId="054D884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c.2320del,</w:t>
            </w:r>
          </w:p>
          <w:p w14:paraId="52395E1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p.I774Yfs*5</w:t>
            </w:r>
          </w:p>
        </w:tc>
        <w:tc>
          <w:tcPr>
            <w:tcW w:w="686" w:type="dxa"/>
            <w:tcBorders>
              <w:tl2br w:val="nil"/>
              <w:tr2bl w:val="nil"/>
            </w:tcBorders>
            <w:shd w:val="clear" w:color="auto" w:fill="auto"/>
            <w:vAlign w:val="center"/>
          </w:tcPr>
          <w:p w14:paraId="5114E4A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25326DC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20.66</w:t>
            </w:r>
          </w:p>
        </w:tc>
        <w:tc>
          <w:tcPr>
            <w:tcW w:w="2469" w:type="dxa"/>
            <w:tcBorders>
              <w:tl2br w:val="nil"/>
              <w:tr2bl w:val="nil"/>
            </w:tcBorders>
            <w:shd w:val="clear" w:color="auto" w:fill="auto"/>
            <w:vAlign w:val="center"/>
          </w:tcPr>
          <w:p w14:paraId="202A63CD">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奥拉帕利（C）</w:t>
            </w:r>
          </w:p>
          <w:p w14:paraId="25BA1CFC">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尼拉帕利（C）</w:t>
            </w:r>
          </w:p>
          <w:p w14:paraId="785BA16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他拉唑帕利（C）</w:t>
            </w:r>
          </w:p>
          <w:p w14:paraId="7FAD1D81">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LY2606368（C）</w:t>
            </w:r>
          </w:p>
          <w:p w14:paraId="38C37B1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SRA737（C）</w:t>
            </w:r>
          </w:p>
          <w:p w14:paraId="0EB62106">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奥拉帕利+帕博利珠单抗（C）</w:t>
            </w:r>
          </w:p>
          <w:p w14:paraId="27CD9D6A">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他拉唑帕利+阿替利珠单抗（C）</w:t>
            </w:r>
          </w:p>
          <w:p w14:paraId="768267DD">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芦卡帕利（D）</w:t>
            </w:r>
          </w:p>
        </w:tc>
        <w:tc>
          <w:tcPr>
            <w:tcW w:w="1442" w:type="dxa"/>
            <w:tcBorders>
              <w:tl2br w:val="nil"/>
              <w:tr2bl w:val="nil"/>
            </w:tcBorders>
            <w:shd w:val="clear" w:color="auto" w:fill="auto"/>
            <w:vAlign w:val="center"/>
          </w:tcPr>
          <w:p w14:paraId="73F9467C">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u w:val="single"/>
                <w:lang w:val="en-US" w:eastAsia="zh-CN" w:bidi="ar-SA"/>
              </w:rPr>
            </w:pPr>
            <w:r>
              <w:rPr>
                <w:rFonts w:hint="eastAsia" w:ascii="微软雅黑" w:hAnsi="微软雅黑" w:eastAsia="微软雅黑" w:cs="微软雅黑"/>
                <w:bCs/>
                <w:color w:val="auto"/>
                <w:kern w:val="2"/>
                <w:sz w:val="18"/>
                <w:szCs w:val="18"/>
                <w:u w:val="none"/>
                <w:lang w:val="en-US" w:eastAsia="zh-CN" w:bidi="ar"/>
              </w:rPr>
              <w:t>--</w:t>
            </w:r>
          </w:p>
        </w:tc>
      </w:tr>
      <w:tr w14:paraId="19D14F8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85" w:hRule="atLeast"/>
          <w:jc w:val="center"/>
        </w:trPr>
        <w:tc>
          <w:tcPr>
            <w:tcW w:w="1143" w:type="dxa"/>
            <w:tcBorders>
              <w:tl2br w:val="nil"/>
              <w:tr2bl w:val="nil"/>
            </w:tcBorders>
            <w:shd w:val="clear" w:color="auto" w:fill="auto"/>
            <w:vAlign w:val="center"/>
          </w:tcPr>
          <w:p w14:paraId="16DAC8B5">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FBXW7</w:t>
            </w:r>
          </w:p>
        </w:tc>
        <w:tc>
          <w:tcPr>
            <w:tcW w:w="870" w:type="dxa"/>
            <w:tcBorders>
              <w:tl2br w:val="nil"/>
              <w:tr2bl w:val="nil"/>
            </w:tcBorders>
            <w:shd w:val="clear" w:color="auto" w:fill="auto"/>
            <w:vAlign w:val="center"/>
          </w:tcPr>
          <w:p w14:paraId="30C52FD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NM_001349798.2</w:t>
            </w:r>
          </w:p>
        </w:tc>
        <w:tc>
          <w:tcPr>
            <w:tcW w:w="495" w:type="dxa"/>
            <w:tcBorders>
              <w:tl2br w:val="nil"/>
              <w:tr2bl w:val="nil"/>
            </w:tcBorders>
            <w:shd w:val="clear" w:color="auto" w:fill="auto"/>
            <w:vAlign w:val="center"/>
          </w:tcPr>
          <w:p w14:paraId="4F81B8F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4</w:t>
            </w:r>
          </w:p>
        </w:tc>
        <w:tc>
          <w:tcPr>
            <w:tcW w:w="450" w:type="dxa"/>
            <w:tcBorders>
              <w:tl2br w:val="nil"/>
              <w:tr2bl w:val="nil"/>
            </w:tcBorders>
            <w:shd w:val="clear" w:color="auto" w:fill="auto"/>
            <w:vAlign w:val="center"/>
          </w:tcPr>
          <w:p w14:paraId="55BD17D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11</w:t>
            </w:r>
          </w:p>
        </w:tc>
        <w:tc>
          <w:tcPr>
            <w:tcW w:w="1294" w:type="dxa"/>
            <w:tcBorders>
              <w:tl2br w:val="nil"/>
              <w:tr2bl w:val="nil"/>
            </w:tcBorders>
            <w:shd w:val="clear" w:color="auto" w:fill="auto"/>
            <w:vAlign w:val="center"/>
          </w:tcPr>
          <w:p w14:paraId="6873388F">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c.1393C&gt;T,</w:t>
            </w:r>
          </w:p>
          <w:p w14:paraId="7BC10C7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p.R465C</w:t>
            </w:r>
          </w:p>
        </w:tc>
        <w:tc>
          <w:tcPr>
            <w:tcW w:w="686" w:type="dxa"/>
            <w:tcBorders>
              <w:tl2br w:val="nil"/>
              <w:tr2bl w:val="nil"/>
            </w:tcBorders>
            <w:shd w:val="clear" w:color="auto" w:fill="auto"/>
            <w:vAlign w:val="center"/>
          </w:tcPr>
          <w:p w14:paraId="086A470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5CA32F1D">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19.86</w:t>
            </w:r>
          </w:p>
        </w:tc>
        <w:tc>
          <w:tcPr>
            <w:tcW w:w="2469" w:type="dxa"/>
            <w:tcBorders>
              <w:tl2br w:val="nil"/>
              <w:tr2bl w:val="nil"/>
            </w:tcBorders>
            <w:shd w:val="clear" w:color="auto" w:fill="auto"/>
            <w:vAlign w:val="center"/>
          </w:tcPr>
          <w:p w14:paraId="7F1156B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依维莫司</w:t>
            </w:r>
            <w:r>
              <w:rPr>
                <w:rFonts w:hint="eastAsia" w:ascii="微软雅黑" w:hAnsi="微软雅黑" w:cs="微软雅黑"/>
                <w:bCs/>
                <w:color w:val="0000FF"/>
                <w:kern w:val="2"/>
                <w:sz w:val="18"/>
                <w:szCs w:val="18"/>
                <w:u w:val="single"/>
                <w:lang w:val="en-US" w:eastAsia="zh-CN"/>
              </w:rPr>
              <w:t>（C）</w:t>
            </w:r>
          </w:p>
          <w:p w14:paraId="7F4333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"依维莫司汝6"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西罗莫司</w:t>
            </w:r>
            <w:r>
              <w:rPr>
                <w:rFonts w:hint="eastAsia" w:ascii="微软雅黑" w:hAnsi="微软雅黑" w:cs="微软雅黑"/>
                <w:bCs/>
                <w:color w:val="0000FF"/>
                <w:kern w:val="2"/>
                <w:sz w:val="18"/>
                <w:szCs w:val="18"/>
                <w:u w:val="single"/>
                <w:lang w:val="en-US" w:eastAsia="zh-CN"/>
              </w:rPr>
              <w:t>（C）</w:t>
            </w:r>
          </w:p>
          <w:p w14:paraId="11F2E3E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"依维莫司（Everolimus）2"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替西罗莫司</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Cs/>
                <w:color w:val="0000FF"/>
                <w:kern w:val="2"/>
                <w:sz w:val="18"/>
                <w:szCs w:val="18"/>
                <w:u w:val="single"/>
                <w:lang w:val="en-US" w:eastAsia="zh-CN"/>
              </w:rPr>
              <w:t>（C）</w:t>
            </w:r>
          </w:p>
        </w:tc>
        <w:tc>
          <w:tcPr>
            <w:tcW w:w="1442" w:type="dxa"/>
            <w:tcBorders>
              <w:tl2br w:val="nil"/>
              <w:tr2bl w:val="nil"/>
            </w:tcBorders>
            <w:shd w:val="clear" w:color="auto" w:fill="auto"/>
            <w:vAlign w:val="center"/>
          </w:tcPr>
          <w:p w14:paraId="0EA6BD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2F5E67C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帕尼单抗</w:t>
            </w:r>
            <w:r>
              <w:rPr>
                <w:rStyle w:val="23"/>
                <w:rFonts w:hint="eastAsia" w:ascii="微软雅黑" w:hAnsi="微软雅黑" w:cs="微软雅黑"/>
                <w:b w:val="0"/>
                <w:bCs/>
                <w:color w:val="0000FF"/>
                <w:kern w:val="2"/>
                <w:sz w:val="18"/>
                <w:szCs w:val="18"/>
                <w:highlight w:val="none"/>
                <w:vertAlign w:val="baseline"/>
                <w:lang w:val="en-US" w:eastAsia="zh-CN" w:bidi="ar-SA"/>
              </w:rPr>
              <w:t>（C）</w:t>
            </w:r>
          </w:p>
          <w:p w14:paraId="04BE8A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瑞戈非尼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p w14:paraId="7008216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t>索拉非尼</w:t>
            </w:r>
            <w:r>
              <w:rPr>
                <w:rStyle w:val="23"/>
                <w:rFonts w:hint="eastAsia" w:ascii="微软雅黑" w:hAnsi="微软雅黑" w:cs="微软雅黑"/>
                <w:b w:val="0"/>
                <w:bCs/>
                <w:color w:val="0000FF"/>
                <w:kern w:val="2"/>
                <w:sz w:val="18"/>
                <w:szCs w:val="18"/>
                <w:highlight w:val="none"/>
                <w:vertAlign w:val="baseline"/>
                <w:lang w:val="en-US" w:eastAsia="zh-CN" w:bidi="ar-SA"/>
              </w:rPr>
              <w:t>（D）</w:t>
            </w:r>
          </w:p>
        </w:tc>
      </w:tr>
      <w:tr w14:paraId="07AE544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0A741149">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SMARCA4</w:t>
            </w:r>
          </w:p>
        </w:tc>
        <w:tc>
          <w:tcPr>
            <w:tcW w:w="870" w:type="dxa"/>
            <w:tcBorders>
              <w:tl2br w:val="nil"/>
              <w:tr2bl w:val="nil"/>
            </w:tcBorders>
            <w:shd w:val="clear" w:color="auto" w:fill="auto"/>
            <w:vAlign w:val="center"/>
          </w:tcPr>
          <w:p w14:paraId="56763B3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NM_003072.5</w:t>
            </w:r>
          </w:p>
        </w:tc>
        <w:tc>
          <w:tcPr>
            <w:tcW w:w="495" w:type="dxa"/>
            <w:tcBorders>
              <w:tl2br w:val="nil"/>
              <w:tr2bl w:val="nil"/>
            </w:tcBorders>
            <w:shd w:val="clear" w:color="auto" w:fill="auto"/>
            <w:vAlign w:val="center"/>
          </w:tcPr>
          <w:p w14:paraId="73C25379">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w:t>
            </w:r>
          </w:p>
        </w:tc>
        <w:tc>
          <w:tcPr>
            <w:tcW w:w="450" w:type="dxa"/>
            <w:tcBorders>
              <w:tl2br w:val="nil"/>
              <w:tr2bl w:val="nil"/>
            </w:tcBorders>
            <w:shd w:val="clear" w:color="auto" w:fill="auto"/>
            <w:vAlign w:val="center"/>
          </w:tcPr>
          <w:p w14:paraId="3163EC4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w:t>
            </w:r>
          </w:p>
        </w:tc>
        <w:tc>
          <w:tcPr>
            <w:tcW w:w="1294" w:type="dxa"/>
            <w:tcBorders>
              <w:tl2br w:val="nil"/>
              <w:tr2bl w:val="nil"/>
            </w:tcBorders>
            <w:shd w:val="clear" w:color="auto" w:fill="auto"/>
            <w:vAlign w:val="center"/>
          </w:tcPr>
          <w:p w14:paraId="2653222D">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c.2644G&gt;A,</w:t>
            </w:r>
          </w:p>
          <w:p w14:paraId="3F973CC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p.E882K</w:t>
            </w:r>
          </w:p>
        </w:tc>
        <w:tc>
          <w:tcPr>
            <w:tcW w:w="686" w:type="dxa"/>
            <w:tcBorders>
              <w:tl2br w:val="nil"/>
              <w:tr2bl w:val="nil"/>
            </w:tcBorders>
            <w:shd w:val="clear" w:color="auto" w:fill="auto"/>
            <w:vAlign w:val="center"/>
          </w:tcPr>
          <w:p w14:paraId="758D684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41073E36">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19.11</w:t>
            </w:r>
          </w:p>
        </w:tc>
        <w:tc>
          <w:tcPr>
            <w:tcW w:w="2469" w:type="dxa"/>
            <w:tcBorders>
              <w:tl2br w:val="nil"/>
              <w:tr2bl w:val="nil"/>
            </w:tcBorders>
            <w:shd w:val="clear" w:color="auto" w:fill="auto"/>
            <w:vAlign w:val="center"/>
          </w:tcPr>
          <w:p w14:paraId="7A06FD6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哌柏西利（C）</w:t>
            </w:r>
          </w:p>
          <w:p w14:paraId="019F49B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他泽司他（C）</w:t>
            </w:r>
          </w:p>
          <w:p w14:paraId="7241150F">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伏立诺他（D）</w:t>
            </w:r>
          </w:p>
          <w:p w14:paraId="3DCD2056">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VX-680（D）</w:t>
            </w:r>
          </w:p>
        </w:tc>
        <w:tc>
          <w:tcPr>
            <w:tcW w:w="1442" w:type="dxa"/>
            <w:tcBorders>
              <w:tl2br w:val="nil"/>
              <w:tr2bl w:val="nil"/>
            </w:tcBorders>
            <w:shd w:val="clear" w:color="auto" w:fill="auto"/>
            <w:vAlign w:val="center"/>
          </w:tcPr>
          <w:p w14:paraId="18A38D52">
            <w:pPr>
              <w:spacing w:after="0" w:line="24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Cs/>
                <w:color w:val="auto"/>
                <w:kern w:val="2"/>
                <w:sz w:val="18"/>
                <w:szCs w:val="18"/>
                <w:lang w:val="en-US" w:eastAsia="zh-CN"/>
              </w:rPr>
              <w:t>--</w:t>
            </w:r>
          </w:p>
        </w:tc>
      </w:tr>
      <w:tr w14:paraId="34045B4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5F9189E9">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CREBBP</w:t>
            </w:r>
          </w:p>
        </w:tc>
        <w:tc>
          <w:tcPr>
            <w:tcW w:w="870" w:type="dxa"/>
            <w:tcBorders>
              <w:tl2br w:val="nil"/>
              <w:tr2bl w:val="nil"/>
            </w:tcBorders>
            <w:shd w:val="clear" w:color="auto" w:fill="auto"/>
            <w:vAlign w:val="center"/>
          </w:tcPr>
          <w:p w14:paraId="68B225B3">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NM_004380.3</w:t>
            </w:r>
          </w:p>
        </w:tc>
        <w:tc>
          <w:tcPr>
            <w:tcW w:w="495" w:type="dxa"/>
            <w:tcBorders>
              <w:tl2br w:val="nil"/>
              <w:tr2bl w:val="nil"/>
            </w:tcBorders>
            <w:shd w:val="clear" w:color="auto" w:fill="auto"/>
            <w:vAlign w:val="center"/>
          </w:tcPr>
          <w:p w14:paraId="2CFC6DC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w:t>
            </w:r>
          </w:p>
        </w:tc>
        <w:tc>
          <w:tcPr>
            <w:tcW w:w="450" w:type="dxa"/>
            <w:tcBorders>
              <w:tl2br w:val="nil"/>
              <w:tr2bl w:val="nil"/>
            </w:tcBorders>
            <w:shd w:val="clear" w:color="auto" w:fill="auto"/>
            <w:vAlign w:val="center"/>
          </w:tcPr>
          <w:p w14:paraId="2BC12DD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w:t>
            </w:r>
          </w:p>
        </w:tc>
        <w:tc>
          <w:tcPr>
            <w:tcW w:w="1294" w:type="dxa"/>
            <w:tcBorders>
              <w:tl2br w:val="nil"/>
              <w:tr2bl w:val="nil"/>
            </w:tcBorders>
            <w:shd w:val="clear" w:color="auto" w:fill="auto"/>
            <w:vAlign w:val="center"/>
          </w:tcPr>
          <w:p w14:paraId="2CA656C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c.3250del,</w:t>
            </w:r>
          </w:p>
          <w:p w14:paraId="16A6580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p.I1084Sfs*15</w:t>
            </w:r>
          </w:p>
        </w:tc>
        <w:tc>
          <w:tcPr>
            <w:tcW w:w="686" w:type="dxa"/>
            <w:tcBorders>
              <w:tl2br w:val="nil"/>
              <w:tr2bl w:val="nil"/>
            </w:tcBorders>
            <w:shd w:val="clear" w:color="auto" w:fill="auto"/>
            <w:vAlign w:val="center"/>
          </w:tcPr>
          <w:p w14:paraId="4990459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4B6858D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18.09</w:t>
            </w:r>
          </w:p>
        </w:tc>
        <w:tc>
          <w:tcPr>
            <w:tcW w:w="2469" w:type="dxa"/>
            <w:tcBorders>
              <w:tl2br w:val="nil"/>
              <w:tr2bl w:val="nil"/>
            </w:tcBorders>
            <w:shd w:val="clear" w:color="auto" w:fill="auto"/>
            <w:vAlign w:val="center"/>
          </w:tcPr>
          <w:p w14:paraId="5024CBEB">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帕比司他（C）</w:t>
            </w:r>
          </w:p>
          <w:p w14:paraId="4EF0B8B9">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t>伏立诺他（D）</w:t>
            </w:r>
          </w:p>
        </w:tc>
        <w:tc>
          <w:tcPr>
            <w:tcW w:w="1442" w:type="dxa"/>
            <w:tcBorders>
              <w:tl2br w:val="nil"/>
              <w:tr2bl w:val="nil"/>
            </w:tcBorders>
            <w:shd w:val="clear" w:color="auto" w:fill="auto"/>
            <w:vAlign w:val="center"/>
          </w:tcPr>
          <w:p w14:paraId="40B96BB1">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imes New Roman"/>
                <w:bCs/>
                <w:color w:val="0000FF"/>
                <w:kern w:val="2"/>
                <w:sz w:val="18"/>
                <w:szCs w:val="18"/>
                <w:highlight w:val="none"/>
                <w:u w:val="single"/>
                <w:lang w:val="en-US" w:eastAsia="zh-CN" w:bidi="ar-SA"/>
              </w:rPr>
            </w:pPr>
            <w:r>
              <w:rPr>
                <w:rFonts w:hint="eastAsia" w:ascii="微软雅黑" w:hAnsi="微软雅黑" w:eastAsia="微软雅黑" w:cs="微软雅黑"/>
                <w:bCs/>
                <w:color w:val="auto"/>
                <w:kern w:val="2"/>
                <w:sz w:val="18"/>
                <w:szCs w:val="18"/>
                <w:highlight w:val="none"/>
                <w:lang w:val="en-US" w:eastAsia="zh-CN"/>
              </w:rPr>
              <w:t>--</w:t>
            </w:r>
          </w:p>
        </w:tc>
      </w:tr>
      <w:tr w14:paraId="4AE0EC0C">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11EE43B0">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ARID1A</w:t>
            </w:r>
          </w:p>
        </w:tc>
        <w:tc>
          <w:tcPr>
            <w:tcW w:w="870" w:type="dxa"/>
            <w:tcBorders>
              <w:tl2br w:val="nil"/>
              <w:tr2bl w:val="nil"/>
            </w:tcBorders>
            <w:shd w:val="clear" w:color="auto" w:fill="auto"/>
            <w:vAlign w:val="center"/>
          </w:tcPr>
          <w:p w14:paraId="62233FD3">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NM_006015.6</w:t>
            </w:r>
          </w:p>
        </w:tc>
        <w:tc>
          <w:tcPr>
            <w:tcW w:w="495" w:type="dxa"/>
            <w:tcBorders>
              <w:tl2br w:val="nil"/>
              <w:tr2bl w:val="nil"/>
            </w:tcBorders>
            <w:shd w:val="clear" w:color="auto" w:fill="auto"/>
            <w:vAlign w:val="center"/>
          </w:tcPr>
          <w:p w14:paraId="66BCC54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w:t>
            </w:r>
          </w:p>
        </w:tc>
        <w:tc>
          <w:tcPr>
            <w:tcW w:w="450" w:type="dxa"/>
            <w:tcBorders>
              <w:tl2br w:val="nil"/>
              <w:tr2bl w:val="nil"/>
            </w:tcBorders>
            <w:shd w:val="clear" w:color="auto" w:fill="auto"/>
            <w:vAlign w:val="center"/>
          </w:tcPr>
          <w:p w14:paraId="16C0857D">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w:t>
            </w:r>
          </w:p>
        </w:tc>
        <w:tc>
          <w:tcPr>
            <w:tcW w:w="1294" w:type="dxa"/>
            <w:tcBorders>
              <w:tl2br w:val="nil"/>
              <w:tr2bl w:val="nil"/>
            </w:tcBorders>
            <w:shd w:val="clear" w:color="auto" w:fill="auto"/>
            <w:vAlign w:val="center"/>
          </w:tcPr>
          <w:p w14:paraId="31529312">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c.1015del,</w:t>
            </w:r>
          </w:p>
          <w:p w14:paraId="489573F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p.A339Lfs*24</w:t>
            </w:r>
          </w:p>
        </w:tc>
        <w:tc>
          <w:tcPr>
            <w:tcW w:w="686" w:type="dxa"/>
            <w:tcBorders>
              <w:tl2br w:val="nil"/>
              <w:tr2bl w:val="nil"/>
            </w:tcBorders>
            <w:shd w:val="clear" w:color="auto" w:fill="auto"/>
            <w:vAlign w:val="center"/>
          </w:tcPr>
          <w:p w14:paraId="74DE3DC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17F266F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17.69</w:t>
            </w:r>
          </w:p>
        </w:tc>
        <w:tc>
          <w:tcPr>
            <w:tcW w:w="2469" w:type="dxa"/>
            <w:tcBorders>
              <w:tl2br w:val="nil"/>
              <w:tr2bl w:val="nil"/>
            </w:tcBorders>
            <w:shd w:val="clear" w:color="auto" w:fill="auto"/>
            <w:vAlign w:val="center"/>
          </w:tcPr>
          <w:p w14:paraId="50D1423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奥拉帕利（C）</w:t>
            </w:r>
          </w:p>
          <w:p w14:paraId="7B2F576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尼拉帕</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利（C）</w:t>
            </w:r>
          </w:p>
          <w:p w14:paraId="49FB381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他拉唑帕利（C）</w:t>
            </w:r>
          </w:p>
          <w:p w14:paraId="0A7C356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AZD5363+奥拉帕利（C）</w:t>
            </w:r>
          </w:p>
          <w:p w14:paraId="07274E0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盐酸可泮利塞+</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"重要基因变异及潜在靶向药物信息"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奥拉帕利+度伐利尤单抗</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r>
              <w:rPr>
                <w:rFonts w:hint="eastAsia" w:ascii="微软雅黑" w:hAnsi="微软雅黑" w:cs="微软雅黑"/>
                <w:b w:val="0"/>
                <w:bCs/>
                <w:color w:val="0000FF"/>
                <w:kern w:val="2"/>
                <w:sz w:val="18"/>
                <w:szCs w:val="18"/>
                <w:highlight w:val="none"/>
                <w:u w:val="single"/>
                <w:vertAlign w:val="baseline"/>
                <w:lang w:val="en-US" w:eastAsia="zh-CN" w:bidi="ar-SA"/>
              </w:rPr>
              <w:t>（C）</w:t>
            </w:r>
          </w:p>
          <w:p w14:paraId="1C7D0D2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PLX2853（C）</w:t>
            </w:r>
          </w:p>
          <w:p w14:paraId="2A2B062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 w:val="0"/>
                <w:bCs/>
                <w:color w:val="0000FF"/>
                <w:kern w:val="2"/>
                <w:sz w:val="18"/>
                <w:szCs w:val="18"/>
                <w:highlight w:val="none"/>
                <w:u w:val="single"/>
                <w:vertAlign w:val="baselin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t>奥拉帕利+帕博利珠单抗（C）</w:t>
            </w:r>
          </w:p>
          <w:p w14:paraId="1B4F899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t>帕米帕利+替雷利珠单抗</w:t>
            </w:r>
            <w:r>
              <w:rPr>
                <w:rFonts w:hint="eastAsia" w:ascii="微软雅黑" w:hAnsi="微软雅黑" w:cs="微软雅黑"/>
                <w:bCs/>
                <w:color w:val="0000FF"/>
                <w:kern w:val="2"/>
                <w:sz w:val="18"/>
                <w:szCs w:val="18"/>
                <w:u w:val="single"/>
                <w:lang w:val="en-US" w:eastAsia="zh-CN"/>
              </w:rPr>
              <w:t>（C）</w:t>
            </w:r>
          </w:p>
          <w:p w14:paraId="4BB859E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t>NXP800（C）</w:t>
            </w:r>
          </w:p>
          <w:p w14:paraId="43DD8DBA">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Cs/>
                <w:kern w:val="2"/>
                <w:sz w:val="18"/>
                <w:szCs w:val="18"/>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cs="微软雅黑"/>
                <w:b w:val="0"/>
                <w:bCs/>
                <w:color w:val="0000FF"/>
                <w:kern w:val="2"/>
                <w:sz w:val="18"/>
                <w:szCs w:val="18"/>
                <w:highlight w:val="none"/>
                <w:u w:val="single"/>
                <w:vertAlign w:val="baseline"/>
                <w:lang w:val="en-US" w:eastAsia="zh-CN" w:bidi="ar-SA"/>
              </w:rPr>
              <w:instrText xml:space="preserve"> HYPERLINK \l "奥拉帕尼赵继新" </w:instrTex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separate"/>
            </w:r>
            <w:r>
              <w:rPr>
                <w:rFonts w:hint="eastAsia" w:ascii="微软雅黑" w:hAnsi="微软雅黑" w:cs="微软雅黑"/>
                <w:b w:val="0"/>
                <w:bCs/>
                <w:color w:val="0000FF"/>
                <w:kern w:val="2"/>
                <w:sz w:val="18"/>
                <w:szCs w:val="18"/>
                <w:highlight w:val="none"/>
                <w:u w:val="single"/>
                <w:vertAlign w:val="baseline"/>
                <w:lang w:val="en-US" w:eastAsia="zh-CN" w:bidi="ar-SA"/>
              </w:rPr>
              <w:t>芦卡帕利（D）</w:t>
            </w:r>
            <w:r>
              <w:rPr>
                <w:rFonts w:hint="eastAsia" w:ascii="微软雅黑" w:hAnsi="微软雅黑" w:cs="微软雅黑"/>
                <w:b w:val="0"/>
                <w:bCs/>
                <w:color w:val="0000FF"/>
                <w:kern w:val="2"/>
                <w:sz w:val="18"/>
                <w:szCs w:val="18"/>
                <w:highlight w:val="none"/>
                <w:u w:val="single"/>
                <w:vertAlign w:val="baseline"/>
                <w:lang w:val="en-US" w:eastAsia="zh-CN" w:bidi="ar-SA"/>
              </w:rPr>
              <w:fldChar w:fldCharType="end"/>
            </w:r>
          </w:p>
        </w:tc>
        <w:tc>
          <w:tcPr>
            <w:tcW w:w="1442" w:type="dxa"/>
            <w:tcBorders>
              <w:tl2br w:val="nil"/>
              <w:tr2bl w:val="nil"/>
            </w:tcBorders>
            <w:shd w:val="clear" w:color="auto" w:fill="auto"/>
            <w:vAlign w:val="center"/>
          </w:tcPr>
          <w:p w14:paraId="6A80BE52">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kern w:val="2"/>
                <w:sz w:val="18"/>
                <w:szCs w:val="18"/>
              </w:rPr>
              <w:t>--</w:t>
            </w:r>
          </w:p>
        </w:tc>
      </w:tr>
      <w:tr w14:paraId="45A3458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91DBC4B">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PTCH1</w:t>
            </w:r>
          </w:p>
        </w:tc>
        <w:tc>
          <w:tcPr>
            <w:tcW w:w="870" w:type="dxa"/>
            <w:tcBorders>
              <w:tl2br w:val="nil"/>
              <w:tr2bl w:val="nil"/>
            </w:tcBorders>
            <w:shd w:val="clear" w:color="auto" w:fill="auto"/>
            <w:vAlign w:val="center"/>
          </w:tcPr>
          <w:p w14:paraId="0841688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NM_000264.5</w:t>
            </w:r>
          </w:p>
        </w:tc>
        <w:tc>
          <w:tcPr>
            <w:tcW w:w="495" w:type="dxa"/>
            <w:tcBorders>
              <w:tl2br w:val="nil"/>
              <w:tr2bl w:val="nil"/>
            </w:tcBorders>
            <w:shd w:val="clear" w:color="auto" w:fill="auto"/>
            <w:vAlign w:val="center"/>
          </w:tcPr>
          <w:p w14:paraId="18FEFAD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9</w:t>
            </w:r>
          </w:p>
        </w:tc>
        <w:tc>
          <w:tcPr>
            <w:tcW w:w="450" w:type="dxa"/>
            <w:tcBorders>
              <w:tl2br w:val="nil"/>
              <w:tr2bl w:val="nil"/>
            </w:tcBorders>
            <w:shd w:val="clear" w:color="auto" w:fill="auto"/>
            <w:vAlign w:val="center"/>
          </w:tcPr>
          <w:p w14:paraId="1B7FF12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22</w:t>
            </w:r>
          </w:p>
        </w:tc>
        <w:tc>
          <w:tcPr>
            <w:tcW w:w="1294" w:type="dxa"/>
            <w:tcBorders>
              <w:tl2br w:val="nil"/>
              <w:tr2bl w:val="nil"/>
            </w:tcBorders>
            <w:shd w:val="clear" w:color="auto" w:fill="auto"/>
            <w:vAlign w:val="center"/>
          </w:tcPr>
          <w:p w14:paraId="64F0FE3C">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c.3606del,</w:t>
            </w:r>
          </w:p>
          <w:p w14:paraId="1EC71239">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p.S1203Afs*52</w:t>
            </w:r>
          </w:p>
        </w:tc>
        <w:tc>
          <w:tcPr>
            <w:tcW w:w="686" w:type="dxa"/>
            <w:tcBorders>
              <w:tl2br w:val="nil"/>
              <w:tr2bl w:val="nil"/>
            </w:tcBorders>
            <w:shd w:val="clear" w:color="auto" w:fill="auto"/>
            <w:vAlign w:val="center"/>
          </w:tcPr>
          <w:p w14:paraId="2F10221F">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3C832ED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16.79</w:t>
            </w:r>
          </w:p>
        </w:tc>
        <w:tc>
          <w:tcPr>
            <w:tcW w:w="2469" w:type="dxa"/>
            <w:tcBorders>
              <w:tl2br w:val="nil"/>
              <w:tr2bl w:val="nil"/>
            </w:tcBorders>
            <w:shd w:val="clear" w:color="auto" w:fill="auto"/>
            <w:vAlign w:val="center"/>
          </w:tcPr>
          <w:p w14:paraId="5D4C5D9F">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highlight w:val="none"/>
                <w:u w:val="single"/>
                <w:lang w:val="en-US" w:eastAsia="zh-CN"/>
              </w:rPr>
            </w:pPr>
            <w:r>
              <w:rPr>
                <w:rFonts w:hint="eastAsia" w:ascii="微软雅黑" w:hAnsi="微软雅黑" w:eastAsia="微软雅黑" w:cs="微软雅黑"/>
                <w:bCs/>
                <w:color w:val="0000FF"/>
                <w:kern w:val="2"/>
                <w:sz w:val="18"/>
                <w:szCs w:val="18"/>
                <w:highlight w:val="none"/>
                <w:u w:val="single"/>
                <w:lang w:val="en-US" w:eastAsia="zh-CN"/>
              </w:rPr>
              <w:t>维莫德吉（C）</w:t>
            </w:r>
          </w:p>
          <w:p w14:paraId="0E7B75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0000FF"/>
                <w:kern w:val="2"/>
                <w:sz w:val="18"/>
                <w:szCs w:val="18"/>
                <w:highlight w:val="none"/>
                <w:u w:val="single"/>
                <w:lang w:val="en-US" w:eastAsia="zh-CN"/>
              </w:rPr>
              <w:t>索立德吉（C）</w:t>
            </w:r>
          </w:p>
        </w:tc>
        <w:tc>
          <w:tcPr>
            <w:tcW w:w="1442" w:type="dxa"/>
            <w:tcBorders>
              <w:tl2br w:val="nil"/>
              <w:tr2bl w:val="nil"/>
            </w:tcBorders>
            <w:shd w:val="clear" w:color="auto" w:fill="auto"/>
            <w:vAlign w:val="center"/>
          </w:tcPr>
          <w:p w14:paraId="0005D6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5396431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2165B326">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TP53</w:t>
            </w:r>
          </w:p>
        </w:tc>
        <w:tc>
          <w:tcPr>
            <w:tcW w:w="870" w:type="dxa"/>
            <w:tcBorders>
              <w:tl2br w:val="nil"/>
              <w:tr2bl w:val="nil"/>
            </w:tcBorders>
            <w:shd w:val="clear" w:color="auto" w:fill="auto"/>
            <w:vAlign w:val="center"/>
          </w:tcPr>
          <w:p w14:paraId="5296C1FE">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NM_000546.6</w:t>
            </w:r>
          </w:p>
        </w:tc>
        <w:tc>
          <w:tcPr>
            <w:tcW w:w="495" w:type="dxa"/>
            <w:tcBorders>
              <w:tl2br w:val="nil"/>
              <w:tr2bl w:val="nil"/>
            </w:tcBorders>
            <w:shd w:val="clear" w:color="auto" w:fill="auto"/>
            <w:vAlign w:val="center"/>
          </w:tcPr>
          <w:p w14:paraId="4FCB97D6">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5EDFCBB3">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8</w:t>
            </w:r>
          </w:p>
        </w:tc>
        <w:tc>
          <w:tcPr>
            <w:tcW w:w="1294" w:type="dxa"/>
            <w:tcBorders>
              <w:tl2br w:val="nil"/>
              <w:tr2bl w:val="nil"/>
            </w:tcBorders>
            <w:shd w:val="clear" w:color="auto" w:fill="auto"/>
            <w:vAlign w:val="center"/>
          </w:tcPr>
          <w:p w14:paraId="705E5C26">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c.817C&gt;T,</w:t>
            </w:r>
          </w:p>
          <w:p w14:paraId="209769CA">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p.R273C</w:t>
            </w:r>
          </w:p>
        </w:tc>
        <w:tc>
          <w:tcPr>
            <w:tcW w:w="686" w:type="dxa"/>
            <w:tcBorders>
              <w:tl2br w:val="nil"/>
              <w:tr2bl w:val="nil"/>
            </w:tcBorders>
            <w:shd w:val="clear" w:color="auto" w:fill="auto"/>
            <w:vAlign w:val="center"/>
          </w:tcPr>
          <w:p w14:paraId="55AD27C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7C904FB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16.35</w:t>
            </w:r>
          </w:p>
        </w:tc>
        <w:tc>
          <w:tcPr>
            <w:tcW w:w="2469" w:type="dxa"/>
            <w:tcBorders>
              <w:tl2br w:val="nil"/>
              <w:tr2bl w:val="nil"/>
            </w:tcBorders>
            <w:shd w:val="clear" w:color="auto" w:fill="auto"/>
            <w:vAlign w:val="center"/>
          </w:tcPr>
          <w:p w14:paraId="76FEB3A2">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微软雅黑"/>
                <w:bCs/>
                <w:color w:val="0000FF"/>
                <w:kern w:val="2"/>
                <w:sz w:val="18"/>
                <w:szCs w:val="18"/>
                <w:highlight w:val="none"/>
                <w:u w:val="single"/>
                <w:lang w:val="en-US" w:eastAsia="zh-CN"/>
              </w:rPr>
              <w:t>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AZD1775+奥拉帕利（C）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Alisertib+AZD1775（C）</w:t>
            </w:r>
            <w:r>
              <w:rPr>
                <w:rFonts w:hint="eastAsia" w:ascii="微软雅黑" w:hAnsi="微软雅黑" w:cs="微软雅黑"/>
                <w:bCs/>
                <w:color w:val="0000FF"/>
                <w:kern w:val="2"/>
                <w:sz w:val="18"/>
                <w:szCs w:val="18"/>
                <w:highlight w:val="none"/>
                <w:u w:val="single"/>
                <w:lang w:val="en-US" w:eastAsia="zh-CN"/>
              </w:rPr>
              <w:br w:type="textWrapping"/>
            </w:r>
            <w:r>
              <w:rPr>
                <w:rFonts w:hint="eastAsia" w:ascii="微软雅黑" w:hAnsi="微软雅黑" w:cs="微软雅黑"/>
                <w:bCs/>
                <w:color w:val="0000FF"/>
                <w:kern w:val="2"/>
                <w:sz w:val="18"/>
                <w:szCs w:val="18"/>
                <w:highlight w:val="none"/>
                <w:u w:val="single"/>
                <w:lang w:val="en-US" w:eastAsia="zh-CN"/>
              </w:rPr>
              <w:t>Eprenetapopt（C）</w:t>
            </w:r>
          </w:p>
        </w:tc>
        <w:tc>
          <w:tcPr>
            <w:tcW w:w="1442" w:type="dxa"/>
            <w:tcBorders>
              <w:tl2br w:val="nil"/>
              <w:tr2bl w:val="nil"/>
            </w:tcBorders>
            <w:shd w:val="clear" w:color="auto" w:fill="auto"/>
            <w:vAlign w:val="center"/>
          </w:tcPr>
          <w:p w14:paraId="40A81C45">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077A0D89">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481AF434">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TSC1</w:t>
            </w:r>
          </w:p>
        </w:tc>
        <w:tc>
          <w:tcPr>
            <w:tcW w:w="870" w:type="dxa"/>
            <w:tcBorders>
              <w:tl2br w:val="nil"/>
              <w:tr2bl w:val="nil"/>
            </w:tcBorders>
            <w:shd w:val="clear" w:color="auto" w:fill="auto"/>
            <w:vAlign w:val="center"/>
          </w:tcPr>
          <w:p w14:paraId="55A9998A">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NM_000368.5</w:t>
            </w:r>
          </w:p>
        </w:tc>
        <w:tc>
          <w:tcPr>
            <w:tcW w:w="495" w:type="dxa"/>
            <w:tcBorders>
              <w:tl2br w:val="nil"/>
              <w:tr2bl w:val="nil"/>
            </w:tcBorders>
            <w:shd w:val="clear" w:color="auto" w:fill="auto"/>
            <w:vAlign w:val="center"/>
          </w:tcPr>
          <w:p w14:paraId="03D4D5D5">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9</w:t>
            </w:r>
          </w:p>
        </w:tc>
        <w:tc>
          <w:tcPr>
            <w:tcW w:w="450" w:type="dxa"/>
            <w:tcBorders>
              <w:tl2br w:val="nil"/>
              <w:tr2bl w:val="nil"/>
            </w:tcBorders>
            <w:shd w:val="clear" w:color="auto" w:fill="auto"/>
            <w:vAlign w:val="center"/>
          </w:tcPr>
          <w:p w14:paraId="538F782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6</w:t>
            </w:r>
          </w:p>
        </w:tc>
        <w:tc>
          <w:tcPr>
            <w:tcW w:w="1294" w:type="dxa"/>
            <w:tcBorders>
              <w:tl2br w:val="nil"/>
              <w:tr2bl w:val="nil"/>
            </w:tcBorders>
            <w:shd w:val="clear" w:color="auto" w:fill="auto"/>
            <w:vAlign w:val="center"/>
          </w:tcPr>
          <w:p w14:paraId="4637F1B1">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c.381_383del,</w:t>
            </w:r>
          </w:p>
          <w:p w14:paraId="2D01F67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p.V128del</w:t>
            </w:r>
          </w:p>
        </w:tc>
        <w:tc>
          <w:tcPr>
            <w:tcW w:w="686" w:type="dxa"/>
            <w:tcBorders>
              <w:tl2br w:val="nil"/>
              <w:tr2bl w:val="nil"/>
            </w:tcBorders>
            <w:shd w:val="clear" w:color="auto" w:fill="auto"/>
            <w:vAlign w:val="center"/>
          </w:tcPr>
          <w:p w14:paraId="3E829498">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5CF3EE4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13.94</w:t>
            </w:r>
          </w:p>
        </w:tc>
        <w:tc>
          <w:tcPr>
            <w:tcW w:w="2469" w:type="dxa"/>
            <w:tcBorders>
              <w:tl2br w:val="nil"/>
              <w:tr2bl w:val="nil"/>
            </w:tcBorders>
            <w:shd w:val="clear" w:color="auto" w:fill="auto"/>
            <w:vAlign w:val="center"/>
          </w:tcPr>
          <w:p w14:paraId="7D4385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依维莫司（C）</w:t>
            </w:r>
          </w:p>
          <w:p w14:paraId="651B83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西罗莫司（C）</w:t>
            </w:r>
          </w:p>
          <w:p w14:paraId="517555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替西罗莫司（C）</w:t>
            </w:r>
          </w:p>
          <w:p w14:paraId="345498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依维莫司+Buparlisib（C）</w:t>
            </w:r>
          </w:p>
          <w:p w14:paraId="52E47298">
            <w:pPr>
              <w:adjustRightInd/>
              <w:snapToGrid/>
              <w:spacing w:after="0" w:line="220" w:lineRule="atLeast"/>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t>Sapanisertib（C）</w:t>
            </w:r>
          </w:p>
        </w:tc>
        <w:tc>
          <w:tcPr>
            <w:tcW w:w="1442" w:type="dxa"/>
            <w:tcBorders>
              <w:tl2br w:val="nil"/>
              <w:tr2bl w:val="nil"/>
            </w:tcBorders>
            <w:shd w:val="clear" w:color="auto" w:fill="auto"/>
            <w:vAlign w:val="center"/>
          </w:tcPr>
          <w:p w14:paraId="310EC344">
            <w:pPr>
              <w:adjustRightInd/>
              <w:snapToGrid/>
              <w:spacing w:after="0" w:line="220" w:lineRule="atLeast"/>
              <w:jc w:val="center"/>
              <w:rPr>
                <w:rFonts w:hint="eastAsia" w:ascii="微软雅黑" w:hAnsi="微软雅黑" w:eastAsia="微软雅黑" w:cs="Times New Roman"/>
                <w:bCs/>
                <w:color w:val="auto"/>
                <w:kern w:val="2"/>
                <w:sz w:val="18"/>
                <w:szCs w:val="18"/>
                <w:u w:val="single"/>
                <w:lang w:val="en-US" w:eastAsia="zh-CN" w:bidi="ar-SA"/>
              </w:rPr>
            </w:pPr>
            <w:r>
              <w:rPr>
                <w:rFonts w:hint="eastAsia" w:ascii="微软雅黑" w:hAnsi="微软雅黑" w:cs="微软雅黑"/>
                <w:bCs/>
                <w:color w:val="auto"/>
                <w:kern w:val="2"/>
                <w:sz w:val="18"/>
                <w:szCs w:val="18"/>
              </w:rPr>
              <w:t>--</w:t>
            </w:r>
          </w:p>
        </w:tc>
      </w:tr>
      <w:tr w14:paraId="297955B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4F21A367">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SETD2</w:t>
            </w:r>
          </w:p>
        </w:tc>
        <w:tc>
          <w:tcPr>
            <w:tcW w:w="870" w:type="dxa"/>
            <w:tcBorders>
              <w:tl2br w:val="nil"/>
              <w:tr2bl w:val="nil"/>
            </w:tcBorders>
            <w:shd w:val="clear" w:color="auto" w:fill="auto"/>
            <w:vAlign w:val="center"/>
          </w:tcPr>
          <w:p w14:paraId="65E5CF44">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NM_014159.7</w:t>
            </w:r>
          </w:p>
        </w:tc>
        <w:tc>
          <w:tcPr>
            <w:tcW w:w="495" w:type="dxa"/>
            <w:tcBorders>
              <w:tl2br w:val="nil"/>
              <w:tr2bl w:val="nil"/>
            </w:tcBorders>
            <w:shd w:val="clear" w:color="auto" w:fill="auto"/>
            <w:vAlign w:val="center"/>
          </w:tcPr>
          <w:p w14:paraId="3A722EAE">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3</w:t>
            </w:r>
          </w:p>
        </w:tc>
        <w:tc>
          <w:tcPr>
            <w:tcW w:w="450" w:type="dxa"/>
            <w:tcBorders>
              <w:tl2br w:val="nil"/>
              <w:tr2bl w:val="nil"/>
            </w:tcBorders>
            <w:shd w:val="clear" w:color="auto" w:fill="auto"/>
            <w:vAlign w:val="center"/>
          </w:tcPr>
          <w:p w14:paraId="7B0943A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17</w:t>
            </w:r>
          </w:p>
        </w:tc>
        <w:tc>
          <w:tcPr>
            <w:tcW w:w="1294" w:type="dxa"/>
            <w:tcBorders>
              <w:tl2br w:val="nil"/>
              <w:tr2bl w:val="nil"/>
            </w:tcBorders>
            <w:shd w:val="clear" w:color="auto" w:fill="auto"/>
            <w:vAlign w:val="center"/>
          </w:tcPr>
          <w:p w14:paraId="782391F4">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c.7143del,</w:t>
            </w:r>
          </w:p>
          <w:p w14:paraId="5E76D74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p.S2382Lfs*29</w:t>
            </w:r>
          </w:p>
        </w:tc>
        <w:tc>
          <w:tcPr>
            <w:tcW w:w="686" w:type="dxa"/>
            <w:tcBorders>
              <w:tl2br w:val="nil"/>
              <w:tr2bl w:val="nil"/>
            </w:tcBorders>
            <w:shd w:val="clear" w:color="auto" w:fill="auto"/>
            <w:vAlign w:val="center"/>
          </w:tcPr>
          <w:p w14:paraId="02A2F601">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缺失突变</w:t>
            </w:r>
          </w:p>
        </w:tc>
        <w:tc>
          <w:tcPr>
            <w:tcW w:w="696" w:type="dxa"/>
            <w:tcBorders>
              <w:tl2br w:val="nil"/>
              <w:tr2bl w:val="nil"/>
            </w:tcBorders>
            <w:shd w:val="clear" w:color="auto" w:fill="auto"/>
            <w:vAlign w:val="center"/>
          </w:tcPr>
          <w:p w14:paraId="0A856BA2">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13.33</w:t>
            </w:r>
          </w:p>
        </w:tc>
        <w:tc>
          <w:tcPr>
            <w:tcW w:w="2469" w:type="dxa"/>
            <w:tcBorders>
              <w:tl2br w:val="nil"/>
              <w:tr2bl w:val="nil"/>
            </w:tcBorders>
            <w:shd w:val="clear" w:color="auto" w:fill="auto"/>
            <w:vAlign w:val="center"/>
          </w:tcPr>
          <w:p w14:paraId="30CA10D4">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cs="Times New Roman"/>
                <w:b w:val="0"/>
                <w:bCs/>
                <w:color w:val="0000FF"/>
                <w:kern w:val="2"/>
                <w:sz w:val="18"/>
                <w:szCs w:val="18"/>
                <w:highlight w:val="none"/>
                <w:u w:val="single"/>
                <w:lang w:val="en-US" w:eastAsia="zh-CN" w:bidi="ar"/>
              </w:rPr>
              <w:t>AZD1775（C）</w:t>
            </w:r>
          </w:p>
        </w:tc>
        <w:tc>
          <w:tcPr>
            <w:tcW w:w="1442" w:type="dxa"/>
            <w:tcBorders>
              <w:tl2br w:val="nil"/>
              <w:tr2bl w:val="nil"/>
            </w:tcBorders>
            <w:shd w:val="clear" w:color="auto" w:fill="auto"/>
            <w:vAlign w:val="center"/>
          </w:tcPr>
          <w:p w14:paraId="083CD341">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0714ED1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028CEDD6">
            <w:pPr>
              <w:adjustRightInd/>
              <w:snapToGrid/>
              <w:spacing w:after="0" w:line="220" w:lineRule="atLeast"/>
              <w:jc w:val="center"/>
              <w:rPr>
                <w:rFonts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PTEN</w:t>
            </w:r>
          </w:p>
        </w:tc>
        <w:tc>
          <w:tcPr>
            <w:tcW w:w="870" w:type="dxa"/>
            <w:tcBorders>
              <w:tl2br w:val="nil"/>
              <w:tr2bl w:val="nil"/>
            </w:tcBorders>
            <w:shd w:val="clear" w:color="auto" w:fill="auto"/>
            <w:vAlign w:val="center"/>
          </w:tcPr>
          <w:p w14:paraId="35712E70">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NM_000314.8</w:t>
            </w:r>
          </w:p>
        </w:tc>
        <w:tc>
          <w:tcPr>
            <w:tcW w:w="495" w:type="dxa"/>
            <w:tcBorders>
              <w:tl2br w:val="nil"/>
              <w:tr2bl w:val="nil"/>
            </w:tcBorders>
            <w:shd w:val="clear" w:color="auto" w:fill="auto"/>
            <w:vAlign w:val="center"/>
          </w:tcPr>
          <w:p w14:paraId="05C12004">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10</w:t>
            </w:r>
          </w:p>
        </w:tc>
        <w:tc>
          <w:tcPr>
            <w:tcW w:w="450" w:type="dxa"/>
            <w:tcBorders>
              <w:tl2br w:val="nil"/>
              <w:tr2bl w:val="nil"/>
            </w:tcBorders>
            <w:shd w:val="clear" w:color="auto" w:fill="auto"/>
            <w:vAlign w:val="center"/>
          </w:tcPr>
          <w:p w14:paraId="16F8EF3C">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7</w:t>
            </w:r>
          </w:p>
        </w:tc>
        <w:tc>
          <w:tcPr>
            <w:tcW w:w="1294" w:type="dxa"/>
            <w:tcBorders>
              <w:tl2br w:val="nil"/>
              <w:tr2bl w:val="nil"/>
            </w:tcBorders>
            <w:shd w:val="clear" w:color="auto" w:fill="auto"/>
            <w:vAlign w:val="center"/>
          </w:tcPr>
          <w:p w14:paraId="423E7F3B">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c.697C&gt;T,</w:t>
            </w:r>
          </w:p>
          <w:p w14:paraId="707CD64B">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p.R233*</w:t>
            </w:r>
          </w:p>
        </w:tc>
        <w:tc>
          <w:tcPr>
            <w:tcW w:w="686" w:type="dxa"/>
            <w:tcBorders>
              <w:tl2br w:val="nil"/>
              <w:tr2bl w:val="nil"/>
            </w:tcBorders>
            <w:shd w:val="clear" w:color="auto" w:fill="auto"/>
            <w:vAlign w:val="center"/>
          </w:tcPr>
          <w:p w14:paraId="3A6415D0">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kern w:val="2"/>
                <w:sz w:val="18"/>
                <w:szCs w:val="18"/>
              </w:rPr>
              <w:t>点突变</w:t>
            </w:r>
          </w:p>
        </w:tc>
        <w:tc>
          <w:tcPr>
            <w:tcW w:w="696" w:type="dxa"/>
            <w:tcBorders>
              <w:tl2br w:val="nil"/>
              <w:tr2bl w:val="nil"/>
            </w:tcBorders>
            <w:shd w:val="clear" w:color="auto" w:fill="auto"/>
            <w:vAlign w:val="center"/>
          </w:tcPr>
          <w:p w14:paraId="10942647">
            <w:pPr>
              <w:spacing w:after="0" w:line="220" w:lineRule="atLeast"/>
              <w:jc w:val="center"/>
              <w:rPr>
                <w:rFonts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0.54</w:t>
            </w:r>
          </w:p>
        </w:tc>
        <w:tc>
          <w:tcPr>
            <w:tcW w:w="2469" w:type="dxa"/>
            <w:tcBorders>
              <w:tl2br w:val="nil"/>
              <w:tr2bl w:val="nil"/>
            </w:tcBorders>
            <w:shd w:val="clear" w:color="auto" w:fill="auto"/>
            <w:vAlign w:val="center"/>
          </w:tcPr>
          <w:p w14:paraId="5D23B830">
            <w:pPr>
              <w:adjustRightInd/>
              <w:snapToGrid/>
              <w:spacing w:after="0" w:line="220" w:lineRule="atLeast"/>
              <w:jc w:val="center"/>
              <w:rPr>
                <w:rFonts w:ascii="微软雅黑" w:hAnsi="微软雅黑"/>
                <w:bCs/>
                <w:color w:val="0000FF"/>
                <w:kern w:val="2"/>
                <w:sz w:val="18"/>
                <w:szCs w:val="18"/>
                <w:u w:val="single"/>
              </w:rPr>
            </w:pPr>
            <w:r>
              <w:rPr>
                <w:rFonts w:hint="eastAsia" w:ascii="微软雅黑" w:hAnsi="微软雅黑" w:cs="微软雅黑"/>
                <w:bCs/>
                <w:color w:val="0000FF"/>
                <w:kern w:val="2"/>
                <w:sz w:val="18"/>
                <w:szCs w:val="18"/>
                <w:u w:val="single"/>
              </w:rPr>
              <w:t>替西罗莫司（C）</w:t>
            </w:r>
          </w:p>
          <w:p w14:paraId="37EA015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尼拉帕利（C）</w:t>
            </w:r>
          </w:p>
          <w:p w14:paraId="1B23C401">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他拉唑帕利（C）</w:t>
            </w:r>
          </w:p>
          <w:p w14:paraId="0DCDB78A">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依维莫司（C）</w:t>
            </w:r>
          </w:p>
          <w:p w14:paraId="1B7E8E46">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依维莫司+培唑帕尼（C）</w:t>
            </w:r>
          </w:p>
          <w:p w14:paraId="36315DE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Buparlisib（C）</w:t>
            </w:r>
          </w:p>
          <w:p w14:paraId="694DA114">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Taselisib（C）</w:t>
            </w:r>
          </w:p>
          <w:p w14:paraId="5C3AEED8">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盐酸可泮利塞（C）</w:t>
            </w:r>
          </w:p>
          <w:p w14:paraId="64FBEA5C">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Serabelisib（C）</w:t>
            </w:r>
          </w:p>
          <w:p w14:paraId="2E9F094A">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阿培利司（C）</w:t>
            </w:r>
          </w:p>
          <w:p w14:paraId="245BFB7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奥拉帕利（C）</w:t>
            </w:r>
          </w:p>
          <w:p w14:paraId="035596AD">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Capivasertib（C）</w:t>
            </w:r>
          </w:p>
          <w:p w14:paraId="3D379EA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GSK2636771（C）</w:t>
            </w:r>
          </w:p>
          <w:p w14:paraId="6B1A9EC3">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AZD8186（C）</w:t>
            </w:r>
          </w:p>
          <w:p w14:paraId="5D7AA0F4">
            <w:pPr>
              <w:keepNext w:val="0"/>
              <w:keepLines w:val="0"/>
              <w:widowControl/>
              <w:numPr>
                <w:ilvl w:val="0"/>
                <w:numId w:val="0"/>
              </w:numPr>
              <w:suppressLineNumbers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Dactolisib（D）</w:t>
            </w:r>
          </w:p>
        </w:tc>
        <w:tc>
          <w:tcPr>
            <w:tcW w:w="1442" w:type="dxa"/>
            <w:tcBorders>
              <w:tl2br w:val="nil"/>
              <w:tr2bl w:val="nil"/>
            </w:tcBorders>
            <w:shd w:val="clear" w:color="auto" w:fill="auto"/>
            <w:vAlign w:val="center"/>
          </w:tcPr>
          <w:p w14:paraId="030F18E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（C）</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2FB06CDE">
            <w:pPr>
              <w:adjustRightInd/>
              <w:snapToGrid/>
              <w:spacing w:after="0" w:line="220" w:lineRule="atLeast"/>
              <w:jc w:val="center"/>
              <w:outlineLvl w:val="9"/>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tr w14:paraId="60C9190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92C911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APC</w:t>
            </w:r>
          </w:p>
        </w:tc>
        <w:tc>
          <w:tcPr>
            <w:tcW w:w="870" w:type="dxa"/>
            <w:tcBorders>
              <w:tl2br w:val="nil"/>
              <w:tr2bl w:val="nil"/>
            </w:tcBorders>
            <w:shd w:val="clear" w:color="auto" w:fill="auto"/>
            <w:vAlign w:val="center"/>
          </w:tcPr>
          <w:p w14:paraId="04A9DD4E">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NM_000038.6</w:t>
            </w:r>
          </w:p>
        </w:tc>
        <w:tc>
          <w:tcPr>
            <w:tcW w:w="495" w:type="dxa"/>
            <w:tcBorders>
              <w:tl2br w:val="nil"/>
              <w:tr2bl w:val="nil"/>
            </w:tcBorders>
            <w:shd w:val="clear" w:color="auto" w:fill="auto"/>
            <w:vAlign w:val="center"/>
          </w:tcPr>
          <w:p w14:paraId="0BB252F4">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5</w:t>
            </w:r>
          </w:p>
        </w:tc>
        <w:tc>
          <w:tcPr>
            <w:tcW w:w="450" w:type="dxa"/>
            <w:tcBorders>
              <w:tl2br w:val="nil"/>
              <w:tr2bl w:val="nil"/>
            </w:tcBorders>
            <w:shd w:val="clear" w:color="auto" w:fill="auto"/>
            <w:vAlign w:val="center"/>
          </w:tcPr>
          <w:p w14:paraId="69984AB7">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06D633F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2A7D48F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576BBEE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3545010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716C31B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073ED41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EED78C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ERBB2</w:t>
            </w:r>
          </w:p>
        </w:tc>
        <w:tc>
          <w:tcPr>
            <w:tcW w:w="870" w:type="dxa"/>
            <w:tcBorders>
              <w:tl2br w:val="nil"/>
              <w:tr2bl w:val="nil"/>
            </w:tcBorders>
            <w:shd w:val="clear" w:color="auto" w:fill="auto"/>
            <w:vAlign w:val="center"/>
          </w:tcPr>
          <w:p w14:paraId="59F9995E">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NM_004448.3</w:t>
            </w:r>
          </w:p>
        </w:tc>
        <w:tc>
          <w:tcPr>
            <w:tcW w:w="495" w:type="dxa"/>
            <w:tcBorders>
              <w:tl2br w:val="nil"/>
              <w:tr2bl w:val="nil"/>
            </w:tcBorders>
            <w:shd w:val="clear" w:color="auto" w:fill="auto"/>
            <w:vAlign w:val="center"/>
          </w:tcPr>
          <w:p w14:paraId="5542A66C">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3CEBF52D">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5C42A2B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6A23953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09BA2D5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57926E4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0A488E2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63031800">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714F39A2">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MLH1</w:t>
            </w:r>
          </w:p>
        </w:tc>
        <w:tc>
          <w:tcPr>
            <w:tcW w:w="870" w:type="dxa"/>
            <w:tcBorders>
              <w:tl2br w:val="nil"/>
              <w:tr2bl w:val="nil"/>
            </w:tcBorders>
            <w:shd w:val="clear" w:color="auto" w:fill="auto"/>
            <w:vAlign w:val="center"/>
          </w:tcPr>
          <w:p w14:paraId="3F0EEA8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NM_000249.4</w:t>
            </w:r>
          </w:p>
        </w:tc>
        <w:tc>
          <w:tcPr>
            <w:tcW w:w="495" w:type="dxa"/>
            <w:tcBorders>
              <w:tl2br w:val="nil"/>
              <w:tr2bl w:val="nil"/>
            </w:tcBorders>
            <w:shd w:val="clear" w:color="auto" w:fill="auto"/>
            <w:vAlign w:val="center"/>
          </w:tcPr>
          <w:p w14:paraId="350A31C9">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3</w:t>
            </w:r>
          </w:p>
        </w:tc>
        <w:tc>
          <w:tcPr>
            <w:tcW w:w="450" w:type="dxa"/>
            <w:tcBorders>
              <w:tl2br w:val="nil"/>
              <w:tr2bl w:val="nil"/>
            </w:tcBorders>
            <w:shd w:val="clear" w:color="auto" w:fill="auto"/>
            <w:vAlign w:val="center"/>
          </w:tcPr>
          <w:p w14:paraId="18050F4F">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019B0AC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43BDAF0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3A02486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08341AD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0425C88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5EE4835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4E0BBE9">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MSH2</w:t>
            </w:r>
          </w:p>
        </w:tc>
        <w:tc>
          <w:tcPr>
            <w:tcW w:w="870" w:type="dxa"/>
            <w:tcBorders>
              <w:tl2br w:val="nil"/>
              <w:tr2bl w:val="nil"/>
            </w:tcBorders>
            <w:shd w:val="clear" w:color="auto" w:fill="auto"/>
            <w:vAlign w:val="center"/>
          </w:tcPr>
          <w:p w14:paraId="4FC36066">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NM_000251.3</w:t>
            </w:r>
          </w:p>
        </w:tc>
        <w:tc>
          <w:tcPr>
            <w:tcW w:w="495" w:type="dxa"/>
            <w:tcBorders>
              <w:tl2br w:val="nil"/>
              <w:tr2bl w:val="nil"/>
            </w:tcBorders>
            <w:shd w:val="clear" w:color="auto" w:fill="auto"/>
            <w:vAlign w:val="center"/>
          </w:tcPr>
          <w:p w14:paraId="7A4B0106">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2</w:t>
            </w:r>
          </w:p>
        </w:tc>
        <w:tc>
          <w:tcPr>
            <w:tcW w:w="450" w:type="dxa"/>
            <w:tcBorders>
              <w:tl2br w:val="nil"/>
              <w:tr2bl w:val="nil"/>
            </w:tcBorders>
            <w:shd w:val="clear" w:color="auto" w:fill="auto"/>
            <w:vAlign w:val="center"/>
          </w:tcPr>
          <w:p w14:paraId="4E649532">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129AD5C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1284D0E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3B63C96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1A529FB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7D93111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037999A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3A20B15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MSH6</w:t>
            </w:r>
          </w:p>
        </w:tc>
        <w:tc>
          <w:tcPr>
            <w:tcW w:w="870" w:type="dxa"/>
            <w:tcBorders>
              <w:tl2br w:val="nil"/>
              <w:tr2bl w:val="nil"/>
            </w:tcBorders>
            <w:shd w:val="clear" w:color="auto" w:fill="auto"/>
            <w:vAlign w:val="center"/>
          </w:tcPr>
          <w:p w14:paraId="70B6EAE0">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NM_000179.3</w:t>
            </w:r>
          </w:p>
        </w:tc>
        <w:tc>
          <w:tcPr>
            <w:tcW w:w="495" w:type="dxa"/>
            <w:tcBorders>
              <w:tl2br w:val="nil"/>
              <w:tr2bl w:val="nil"/>
            </w:tcBorders>
            <w:shd w:val="clear" w:color="auto" w:fill="auto"/>
            <w:vAlign w:val="center"/>
          </w:tcPr>
          <w:p w14:paraId="652AD67E">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2</w:t>
            </w:r>
          </w:p>
        </w:tc>
        <w:tc>
          <w:tcPr>
            <w:tcW w:w="450" w:type="dxa"/>
            <w:tcBorders>
              <w:tl2br w:val="nil"/>
              <w:tr2bl w:val="nil"/>
            </w:tcBorders>
            <w:shd w:val="clear" w:color="auto" w:fill="auto"/>
            <w:vAlign w:val="center"/>
          </w:tcPr>
          <w:p w14:paraId="748F2F4A">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6170CF9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2C1917D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67C53F5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08C7598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33A7F7C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2FD53C6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shd w:val="clear" w:color="auto" w:fill="auto"/>
            <w:vAlign w:val="center"/>
          </w:tcPr>
          <w:p w14:paraId="1E1E898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NF1</w:t>
            </w:r>
          </w:p>
        </w:tc>
        <w:tc>
          <w:tcPr>
            <w:tcW w:w="870" w:type="dxa"/>
            <w:tcBorders>
              <w:tl2br w:val="nil"/>
              <w:tr2bl w:val="nil"/>
            </w:tcBorders>
            <w:shd w:val="clear" w:color="auto" w:fill="auto"/>
            <w:vAlign w:val="center"/>
          </w:tcPr>
          <w:p w14:paraId="0443B43D">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NM_000267.3</w:t>
            </w:r>
          </w:p>
        </w:tc>
        <w:tc>
          <w:tcPr>
            <w:tcW w:w="495" w:type="dxa"/>
            <w:tcBorders>
              <w:tl2br w:val="nil"/>
              <w:tr2bl w:val="nil"/>
            </w:tcBorders>
            <w:shd w:val="clear" w:color="auto" w:fill="auto"/>
            <w:vAlign w:val="center"/>
          </w:tcPr>
          <w:p w14:paraId="0DA25B19">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17</w:t>
            </w:r>
          </w:p>
        </w:tc>
        <w:tc>
          <w:tcPr>
            <w:tcW w:w="450" w:type="dxa"/>
            <w:tcBorders>
              <w:tl2br w:val="nil"/>
              <w:tr2bl w:val="nil"/>
            </w:tcBorders>
            <w:shd w:val="clear" w:color="auto" w:fill="auto"/>
            <w:vAlign w:val="center"/>
          </w:tcPr>
          <w:p w14:paraId="6FC1841C">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1294" w:type="dxa"/>
            <w:tcBorders>
              <w:tl2br w:val="nil"/>
              <w:tr2bl w:val="nil"/>
            </w:tcBorders>
            <w:shd w:val="clear" w:color="auto" w:fill="auto"/>
            <w:vAlign w:val="center"/>
          </w:tcPr>
          <w:p w14:paraId="78E139F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686" w:type="dxa"/>
            <w:tcBorders>
              <w:tl2br w:val="nil"/>
              <w:tr2bl w:val="nil"/>
            </w:tcBorders>
            <w:shd w:val="clear" w:color="auto" w:fill="auto"/>
            <w:vAlign w:val="center"/>
          </w:tcPr>
          <w:p w14:paraId="1C074A7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696" w:type="dxa"/>
            <w:tcBorders>
              <w:tl2br w:val="nil"/>
              <w:tr2bl w:val="nil"/>
            </w:tcBorders>
            <w:shd w:val="clear" w:color="auto" w:fill="auto"/>
            <w:vAlign w:val="center"/>
          </w:tcPr>
          <w:p w14:paraId="08225B9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2469" w:type="dxa"/>
            <w:tcBorders>
              <w:tl2br w:val="nil"/>
              <w:tr2bl w:val="nil"/>
            </w:tcBorders>
            <w:shd w:val="clear" w:color="auto" w:fill="auto"/>
            <w:vAlign w:val="center"/>
          </w:tcPr>
          <w:p w14:paraId="78D5B60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1442" w:type="dxa"/>
            <w:tcBorders>
              <w:tl2br w:val="nil"/>
              <w:tr2bl w:val="nil"/>
            </w:tcBorders>
            <w:shd w:val="clear" w:color="auto" w:fill="auto"/>
            <w:vAlign w:val="center"/>
          </w:tcPr>
          <w:p w14:paraId="57E21D89">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4B5599F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27298269">
            <w:pPr>
              <w:adjustRightInd/>
              <w:snapToGrid/>
              <w:spacing w:after="0" w:line="220" w:lineRule="atLeast"/>
              <w:jc w:val="center"/>
              <w:rPr>
                <w:rFonts w:ascii="微软雅黑" w:hAnsi="微软雅黑" w:eastAsia="微软雅黑" w:cs="微软雅黑"/>
                <w:bCs/>
                <w:kern w:val="2"/>
                <w:sz w:val="18"/>
                <w:szCs w:val="18"/>
                <w:lang w:val="en-US" w:eastAsia="zh-CN" w:bidi="ar-SA"/>
              </w:rPr>
            </w:pPr>
            <w:bookmarkStart w:id="77" w:name="_Toc30153"/>
            <w:bookmarkStart w:id="78" w:name="_Toc26040"/>
            <w:r>
              <w:rPr>
                <w:rFonts w:ascii="微软雅黑" w:hAnsi="微软雅黑" w:cs="微软雅黑"/>
                <w:bCs/>
                <w:kern w:val="2"/>
                <w:sz w:val="18"/>
                <w:szCs w:val="18"/>
              </w:rPr>
              <w:t>NTRK1</w:t>
            </w:r>
          </w:p>
        </w:tc>
        <w:tc>
          <w:tcPr>
            <w:tcW w:w="0" w:type="auto"/>
            <w:shd w:val="clear" w:color="auto" w:fill="auto"/>
            <w:vAlign w:val="center"/>
          </w:tcPr>
          <w:p w14:paraId="562F42A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NM_001007792.1</w:t>
            </w:r>
          </w:p>
        </w:tc>
        <w:tc>
          <w:tcPr>
            <w:tcW w:w="0" w:type="auto"/>
            <w:shd w:val="clear" w:color="auto" w:fill="auto"/>
            <w:vAlign w:val="center"/>
          </w:tcPr>
          <w:p w14:paraId="5DB1C25B">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w:t>
            </w:r>
          </w:p>
        </w:tc>
        <w:tc>
          <w:tcPr>
            <w:tcW w:w="0" w:type="auto"/>
            <w:shd w:val="clear" w:color="auto" w:fill="auto"/>
            <w:vAlign w:val="center"/>
          </w:tcPr>
          <w:p w14:paraId="79F48EE2">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5C029B5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2D5E360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2E38B08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70993C2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5F48440E">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5B1C028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675F0A0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NTRK2</w:t>
            </w:r>
          </w:p>
        </w:tc>
        <w:tc>
          <w:tcPr>
            <w:tcW w:w="0" w:type="auto"/>
            <w:shd w:val="clear" w:color="auto" w:fill="auto"/>
            <w:vAlign w:val="center"/>
          </w:tcPr>
          <w:p w14:paraId="44F21E80">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NM_006180.4</w:t>
            </w:r>
          </w:p>
        </w:tc>
        <w:tc>
          <w:tcPr>
            <w:tcW w:w="0" w:type="auto"/>
            <w:shd w:val="clear" w:color="auto" w:fill="auto"/>
            <w:vAlign w:val="center"/>
          </w:tcPr>
          <w:p w14:paraId="13881645">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9</w:t>
            </w:r>
          </w:p>
        </w:tc>
        <w:tc>
          <w:tcPr>
            <w:tcW w:w="0" w:type="auto"/>
            <w:shd w:val="clear" w:color="auto" w:fill="auto"/>
            <w:vAlign w:val="center"/>
          </w:tcPr>
          <w:p w14:paraId="6C88D6FC">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7F22AE8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632C3F1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03054B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0C1223B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3F6D6C5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661CB52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06" w:hRule="atLeast"/>
          <w:jc w:val="center"/>
        </w:trPr>
        <w:tc>
          <w:tcPr>
            <w:tcW w:w="0" w:type="auto"/>
            <w:shd w:val="clear" w:color="auto" w:fill="auto"/>
            <w:vAlign w:val="center"/>
          </w:tcPr>
          <w:p w14:paraId="2AE1D54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NTRK3</w:t>
            </w:r>
          </w:p>
        </w:tc>
        <w:tc>
          <w:tcPr>
            <w:tcW w:w="0" w:type="auto"/>
            <w:shd w:val="clear" w:color="auto" w:fill="auto"/>
            <w:vAlign w:val="center"/>
          </w:tcPr>
          <w:p w14:paraId="095B4A69">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NM_001012338.2</w:t>
            </w:r>
          </w:p>
        </w:tc>
        <w:tc>
          <w:tcPr>
            <w:tcW w:w="0" w:type="auto"/>
            <w:shd w:val="clear" w:color="auto" w:fill="auto"/>
            <w:vAlign w:val="center"/>
          </w:tcPr>
          <w:p w14:paraId="6EBA79C4">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15</w:t>
            </w:r>
          </w:p>
        </w:tc>
        <w:tc>
          <w:tcPr>
            <w:tcW w:w="0" w:type="auto"/>
            <w:shd w:val="clear" w:color="auto" w:fill="auto"/>
            <w:vAlign w:val="center"/>
          </w:tcPr>
          <w:p w14:paraId="5779B210">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4D193F8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0AA5D05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5AC4FD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600BDE9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324512C6">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2A6383D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41952FE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PIK3CA</w:t>
            </w:r>
          </w:p>
        </w:tc>
        <w:tc>
          <w:tcPr>
            <w:tcW w:w="0" w:type="auto"/>
            <w:shd w:val="clear" w:color="auto" w:fill="auto"/>
            <w:vAlign w:val="center"/>
          </w:tcPr>
          <w:p w14:paraId="0808AAD7">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NM_006218.4</w:t>
            </w:r>
          </w:p>
        </w:tc>
        <w:tc>
          <w:tcPr>
            <w:tcW w:w="0" w:type="auto"/>
            <w:shd w:val="clear" w:color="auto" w:fill="auto"/>
            <w:vAlign w:val="center"/>
          </w:tcPr>
          <w:p w14:paraId="60DCE6C1">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3</w:t>
            </w:r>
          </w:p>
        </w:tc>
        <w:tc>
          <w:tcPr>
            <w:tcW w:w="0" w:type="auto"/>
            <w:shd w:val="clear" w:color="auto" w:fill="auto"/>
            <w:vAlign w:val="center"/>
          </w:tcPr>
          <w:p w14:paraId="4DD4968A">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25EDE4C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1A82F4A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CBAD6FB">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F7DB305">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A3A56F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3759DEA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69B9194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PMS2</w:t>
            </w:r>
          </w:p>
        </w:tc>
        <w:tc>
          <w:tcPr>
            <w:tcW w:w="0" w:type="auto"/>
            <w:shd w:val="clear" w:color="auto" w:fill="auto"/>
            <w:vAlign w:val="center"/>
          </w:tcPr>
          <w:p w14:paraId="4B3FD536">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NM_000535.7</w:t>
            </w:r>
          </w:p>
        </w:tc>
        <w:tc>
          <w:tcPr>
            <w:tcW w:w="0" w:type="auto"/>
            <w:shd w:val="clear" w:color="auto" w:fill="auto"/>
            <w:vAlign w:val="center"/>
          </w:tcPr>
          <w:p w14:paraId="7E8FA249">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7</w:t>
            </w:r>
          </w:p>
        </w:tc>
        <w:tc>
          <w:tcPr>
            <w:tcW w:w="0" w:type="auto"/>
            <w:shd w:val="clear" w:color="auto" w:fill="auto"/>
            <w:vAlign w:val="center"/>
          </w:tcPr>
          <w:p w14:paraId="4F42BD6E">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64D17857">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2C3D01E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1322D2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69B585E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D10ABF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2B92357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1466B6AC">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SMAD4</w:t>
            </w:r>
          </w:p>
        </w:tc>
        <w:tc>
          <w:tcPr>
            <w:tcW w:w="0" w:type="auto"/>
            <w:shd w:val="clear" w:color="auto" w:fill="auto"/>
            <w:vAlign w:val="center"/>
          </w:tcPr>
          <w:p w14:paraId="78A6FE62">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NM_005359.6</w:t>
            </w:r>
          </w:p>
        </w:tc>
        <w:tc>
          <w:tcPr>
            <w:tcW w:w="0" w:type="auto"/>
            <w:shd w:val="clear" w:color="auto" w:fill="auto"/>
            <w:vAlign w:val="center"/>
          </w:tcPr>
          <w:p w14:paraId="62CA403A">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18</w:t>
            </w:r>
          </w:p>
        </w:tc>
        <w:tc>
          <w:tcPr>
            <w:tcW w:w="0" w:type="auto"/>
            <w:shd w:val="clear" w:color="auto" w:fill="auto"/>
            <w:vAlign w:val="center"/>
          </w:tcPr>
          <w:p w14:paraId="42C1EEA7">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32D1C2D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2203B94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41E2ED51">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6261A6A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27EB729F">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14:paraId="126554A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0" w:type="auto"/>
            <w:shd w:val="clear" w:color="auto" w:fill="auto"/>
            <w:vAlign w:val="center"/>
          </w:tcPr>
          <w:p w14:paraId="7F8FE8B2">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ascii="微软雅黑" w:hAnsi="微软雅黑" w:cs="微软雅黑"/>
                <w:bCs/>
                <w:kern w:val="2"/>
                <w:sz w:val="18"/>
                <w:szCs w:val="18"/>
              </w:rPr>
              <w:t>TCF7L2</w:t>
            </w:r>
          </w:p>
        </w:tc>
        <w:tc>
          <w:tcPr>
            <w:tcW w:w="0" w:type="auto"/>
            <w:shd w:val="clear" w:color="auto" w:fill="auto"/>
            <w:vAlign w:val="center"/>
          </w:tcPr>
          <w:p w14:paraId="61E25651">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Tahoma" w:hAnsi="Tahoma" w:eastAsia="微软雅黑" w:cs="Times New Roman"/>
                <w:kern w:val="2"/>
                <w:sz w:val="22"/>
                <w:szCs w:val="22"/>
                <w:lang w:val="en-US" w:eastAsia="zh-CN" w:bidi="ar-SA"/>
              </w:rPr>
            </w:pPr>
            <w:r>
              <w:rPr>
                <w:rFonts w:ascii="微软雅黑" w:hAnsi="微软雅黑" w:cs="微软雅黑"/>
                <w:bCs/>
                <w:kern w:val="2"/>
                <w:sz w:val="18"/>
                <w:szCs w:val="18"/>
                <w:lang w:bidi="ar"/>
              </w:rPr>
              <w:t>NM_001146274.2</w:t>
            </w:r>
          </w:p>
        </w:tc>
        <w:tc>
          <w:tcPr>
            <w:tcW w:w="0" w:type="auto"/>
            <w:shd w:val="clear" w:color="auto" w:fill="auto"/>
            <w:vAlign w:val="center"/>
          </w:tcPr>
          <w:p w14:paraId="6AA6FC42">
            <w:pPr>
              <w:spacing w:after="0"/>
              <w:jc w:val="center"/>
              <w:rPr>
                <w:rFonts w:ascii="微软雅黑" w:hAnsi="微软雅黑" w:eastAsia="微软雅黑" w:cs="微软雅黑"/>
                <w:kern w:val="2"/>
                <w:sz w:val="18"/>
                <w:szCs w:val="18"/>
                <w:lang w:val="en-US" w:eastAsia="zh-CN" w:bidi="ar-SA"/>
              </w:rPr>
            </w:pPr>
            <w:r>
              <w:rPr>
                <w:rFonts w:ascii="微软雅黑" w:hAnsi="微软雅黑" w:cs="微软雅黑"/>
                <w:bCs/>
                <w:kern w:val="2"/>
                <w:sz w:val="18"/>
                <w:szCs w:val="18"/>
                <w:lang w:bidi="ar"/>
              </w:rPr>
              <w:t>10</w:t>
            </w:r>
          </w:p>
        </w:tc>
        <w:tc>
          <w:tcPr>
            <w:tcW w:w="0" w:type="auto"/>
            <w:shd w:val="clear" w:color="auto" w:fill="auto"/>
            <w:vAlign w:val="center"/>
          </w:tcPr>
          <w:p w14:paraId="3BA18BCC">
            <w:pPr>
              <w:adjustRightInd/>
              <w:snapToGrid/>
              <w:spacing w:after="0" w:line="220" w:lineRule="atLeast"/>
              <w:jc w:val="center"/>
              <w:rPr>
                <w:rFonts w:ascii="微软雅黑" w:hAnsi="微软雅黑" w:eastAsia="微软雅黑" w:cs="微软雅黑"/>
                <w:bCs/>
                <w:color w:val="000000" w:themeColor="text1"/>
                <w:kern w:val="2"/>
                <w:sz w:val="18"/>
                <w:szCs w:val="18"/>
                <w:lang w:val="en-US" w:eastAsia="zh-CN" w:bidi="ar"/>
                <w14:textFill>
                  <w14:solidFill>
                    <w14:schemeClr w14:val="tx1"/>
                  </w14:solidFill>
                </w14:textFill>
              </w:rPr>
            </w:pPr>
          </w:p>
        </w:tc>
        <w:tc>
          <w:tcPr>
            <w:tcW w:w="0" w:type="auto"/>
            <w:shd w:val="clear" w:color="auto" w:fill="auto"/>
            <w:vAlign w:val="center"/>
          </w:tcPr>
          <w:p w14:paraId="6EF21C58">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未见突变</w:t>
            </w:r>
          </w:p>
        </w:tc>
        <w:tc>
          <w:tcPr>
            <w:tcW w:w="0" w:type="auto"/>
            <w:shd w:val="clear" w:color="auto" w:fill="auto"/>
            <w:vAlign w:val="center"/>
          </w:tcPr>
          <w:p w14:paraId="730CDB9D">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17C7EE7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7E45A9AA">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c>
          <w:tcPr>
            <w:tcW w:w="0" w:type="auto"/>
            <w:shd w:val="clear" w:color="auto" w:fill="auto"/>
            <w:vAlign w:val="center"/>
          </w:tcPr>
          <w:p w14:paraId="5A6489F4">
            <w:pPr>
              <w:adjustRightInd/>
              <w:snapToGrid/>
              <w:spacing w:after="0" w:line="220" w:lineRule="atLeast"/>
              <w:jc w:val="center"/>
              <w:rPr>
                <w:rFonts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bl>
    <w:p w14:paraId="5A87129C">
      <w:pPr>
        <w:keepNext w:val="0"/>
        <w:keepLines w:val="0"/>
        <w:pageBreakBefore w:val="0"/>
        <w:widowControl/>
        <w:kinsoku/>
        <w:wordWrap/>
        <w:overflowPunct/>
        <w:topLinePunct w:val="0"/>
        <w:autoSpaceDE/>
        <w:autoSpaceDN/>
        <w:bidi w:val="0"/>
        <w:adjustRightInd/>
        <w:snapToGrid/>
        <w:spacing w:after="0" w:line="220" w:lineRule="atLeast"/>
        <w:jc w:val="both"/>
        <w:textAlignment w:val="auto"/>
        <w:rPr>
          <w:rFonts w:hint="eastAsia"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77"/>
      <w:bookmarkEnd w:id="78"/>
      <w:r>
        <w:rPr>
          <w:rFonts w:hint="eastAsia" w:ascii="微软雅黑" w:hAnsi="微软雅黑" w:cs="微软雅黑"/>
          <w:color w:val="000000"/>
          <w:sz w:val="20"/>
          <w:szCs w:val="20"/>
        </w:rPr>
        <w:t>上表中“未见突变”基因仅为与本癌种最相关的部分基因，此次所检测的全部基因列表请见附录。</w:t>
      </w:r>
    </w:p>
    <w:p w14:paraId="066919FE">
      <w:pPr>
        <w:keepNext w:val="0"/>
        <w:keepLines w:val="0"/>
        <w:pageBreakBefore w:val="0"/>
        <w:widowControl/>
        <w:kinsoku/>
        <w:wordWrap/>
        <w:overflowPunct/>
        <w:topLinePunct w:val="0"/>
        <w:autoSpaceDE/>
        <w:autoSpaceDN/>
        <w:bidi w:val="0"/>
        <w:adjustRightInd/>
        <w:snapToGrid/>
        <w:spacing w:after="200" w:line="240" w:lineRule="auto"/>
        <w:ind w:firstLine="0" w:firstLineChars="0"/>
        <w:jc w:val="both"/>
        <w:textAlignment w:val="auto"/>
        <w:outlineLvl w:val="2"/>
        <w:rPr>
          <w:rFonts w:hint="eastAsia" w:ascii="微软雅黑" w:hAnsi="微软雅黑" w:cs="微软雅黑"/>
          <w:kern w:val="2"/>
          <w:sz w:val="21"/>
          <w:szCs w:val="24"/>
        </w:rPr>
      </w:pPr>
    </w:p>
    <w:p w14:paraId="26A16509">
      <w:pPr>
        <w:keepNext w:val="0"/>
        <w:keepLines w:val="0"/>
        <w:pageBreakBefore w:val="0"/>
        <w:widowControl/>
        <w:kinsoku/>
        <w:wordWrap/>
        <w:overflowPunct/>
        <w:topLinePunct w:val="0"/>
        <w:autoSpaceDE/>
        <w:autoSpaceDN/>
        <w:bidi w:val="0"/>
        <w:adjustRightInd/>
        <w:snapToGrid/>
        <w:spacing w:after="200" w:line="240" w:lineRule="auto"/>
        <w:ind w:firstLine="0" w:firstLineChars="0"/>
        <w:jc w:val="both"/>
        <w:textAlignment w:val="auto"/>
        <w:outlineLvl w:val="2"/>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46DE9144">
      <w:pPr>
        <w:rPr>
          <w:rFonts w:hint="eastAsia" w:ascii="微软雅黑" w:hAnsi="微软雅黑"/>
          <w:b/>
          <w:color w:val="00C4D8"/>
          <w:sz w:val="28"/>
          <w:szCs w:val="28"/>
        </w:rPr>
      </w:pPr>
      <w:r>
        <w:rPr>
          <w:rFonts w:hint="eastAsia" w:ascii="微软雅黑" w:hAnsi="微软雅黑"/>
          <w:b/>
          <w:color w:val="00C4D8"/>
          <w:sz w:val="28"/>
          <w:szCs w:val="28"/>
        </w:rPr>
        <w:br w:type="page"/>
      </w:r>
    </w:p>
    <w:p w14:paraId="2FBE42D8">
      <w:pPr>
        <w:adjustRightInd/>
        <w:snapToGrid/>
        <w:spacing w:before="200" w:line="220" w:lineRule="atLeast"/>
        <w:outlineLvl w:val="2"/>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w:t>
      </w:r>
      <w:r>
        <w:rPr>
          <w:rFonts w:hint="eastAsia" w:ascii="微软雅黑" w:hAnsi="微软雅黑"/>
          <w:b/>
          <w:color w:val="00C4D8"/>
          <w:sz w:val="28"/>
          <w:szCs w:val="28"/>
          <w:lang w:eastAsia="zh-CN"/>
        </w:rPr>
        <w:t>它</w:t>
      </w:r>
      <w:r>
        <w:rPr>
          <w:rFonts w:hint="eastAsia" w:ascii="微软雅黑" w:hAnsi="微软雅黑"/>
          <w:b/>
          <w:color w:val="00C4D8"/>
          <w:sz w:val="28"/>
          <w:szCs w:val="28"/>
        </w:rPr>
        <w:t>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4"/>
      <w:bookmarkEnd w:id="75"/>
    </w:p>
    <w:p w14:paraId="471DF955">
      <w:pPr>
        <w:keepNext w:val="0"/>
        <w:keepLines w:val="0"/>
        <w:pageBreakBefore w:val="0"/>
        <w:widowControl/>
        <w:kinsoku/>
        <w:wordWrap/>
        <w:overflowPunct/>
        <w:topLinePunct w:val="0"/>
        <w:autoSpaceDE/>
        <w:autoSpaceDN/>
        <w:bidi w:val="0"/>
        <w:adjustRightInd/>
        <w:snapToGrid/>
        <w:spacing w:after="100" w:line="220" w:lineRule="atLeast"/>
        <w:jc w:val="both"/>
        <w:textAlignment w:val="auto"/>
        <w:rPr>
          <w:rFonts w:ascii="微软雅黑" w:hAnsi="微软雅黑"/>
          <w:b/>
          <w:color w:val="00C4D8"/>
          <w:sz w:val="21"/>
          <w:szCs w:val="21"/>
        </w:rPr>
      </w:pPr>
      <w:bookmarkStart w:id="79" w:name="_Toc27296"/>
      <w:bookmarkStart w:id="80"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1AA632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59B7069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467281D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40592FA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044DF0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1A5A7C4E">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color w:val="auto"/>
                <w:kern w:val="2"/>
                <w:sz w:val="21"/>
                <w:szCs w:val="21"/>
                <w:lang w:eastAsia="zh-CN"/>
              </w:rPr>
            </w:pPr>
            <w:r>
              <w:rPr>
                <w:rFonts w:hint="eastAsia" w:ascii="微软雅黑" w:hAnsi="微软雅黑" w:cs="微软雅黑"/>
                <w:color w:val="auto"/>
                <w:kern w:val="2"/>
                <w:sz w:val="21"/>
                <w:szCs w:val="21"/>
                <w:lang w:eastAsia="zh-CN"/>
              </w:rPr>
              <w:t>贝伐珠单抗</w:t>
            </w:r>
          </w:p>
          <w:p w14:paraId="216E27F8">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Bevacizumab</w:t>
            </w:r>
          </w:p>
          <w:p w14:paraId="389FCAF9">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color w:val="auto"/>
                <w:kern w:val="2"/>
                <w:sz w:val="21"/>
                <w:szCs w:val="21"/>
                <w:highlight w:val="none"/>
                <w:lang w:val="en-US" w:eastAsia="zh-CN" w:bidi="ar-SA"/>
              </w:rPr>
            </w:pPr>
            <w:r>
              <w:rPr>
                <w:rFonts w:hint="eastAsia" w:ascii="微软雅黑" w:hAnsi="微软雅黑" w:cs="微软雅黑"/>
                <w:color w:val="auto"/>
                <w:kern w:val="2"/>
                <w:sz w:val="21"/>
                <w:szCs w:val="21"/>
                <w:highlight w:val="none"/>
                <w:lang w:val="en-US" w:eastAsia="zh-CN"/>
              </w:rPr>
              <w:t>[安维汀]</w:t>
            </w:r>
          </w:p>
        </w:tc>
        <w:tc>
          <w:tcPr>
            <w:tcW w:w="2539" w:type="dxa"/>
            <w:tcBorders>
              <w:tl2br w:val="nil"/>
              <w:tr2bl w:val="nil"/>
            </w:tcBorders>
            <w:shd w:val="clear" w:color="auto" w:fill="auto"/>
            <w:vAlign w:val="center"/>
          </w:tcPr>
          <w:p w14:paraId="49B59C85">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color w:val="auto"/>
                <w:kern w:val="2"/>
                <w:sz w:val="21"/>
                <w:szCs w:val="21"/>
                <w:lang w:val="en-US" w:eastAsia="zh-CN" w:bidi="ar-SA"/>
              </w:rPr>
            </w:pPr>
            <w:r>
              <w:rPr>
                <w:rFonts w:hint="eastAsia" w:ascii="微软雅黑" w:hAnsi="微软雅黑" w:cs="微软雅黑"/>
                <w:color w:val="auto"/>
                <w:kern w:val="2"/>
                <w:sz w:val="21"/>
                <w:szCs w:val="21"/>
              </w:rPr>
              <w:t>VEGF</w:t>
            </w:r>
          </w:p>
        </w:tc>
        <w:tc>
          <w:tcPr>
            <w:tcW w:w="4383" w:type="dxa"/>
            <w:tcBorders>
              <w:tl2br w:val="nil"/>
              <w:tr2bl w:val="nil"/>
            </w:tcBorders>
            <w:shd w:val="clear" w:color="auto" w:fill="auto"/>
            <w:vAlign w:val="center"/>
          </w:tcPr>
          <w:p w14:paraId="0B122E78">
            <w:pPr>
              <w:keepNext w:val="0"/>
              <w:keepLines w:val="0"/>
              <w:widowControl/>
              <w:suppressLineNumbers w:val="0"/>
              <w:spacing w:before="0" w:beforeAutospacing="0" w:after="0" w:afterAutospacing="0"/>
              <w:ind w:left="0" w:leftChars="0" w:right="0" w:rightChars="0" w:firstLine="420" w:firstLineChars="0"/>
              <w:jc w:val="both"/>
              <w:rPr>
                <w:rFonts w:hint="eastAsia" w:ascii="微软雅黑" w:hAnsi="微软雅黑" w:eastAsia="微软雅黑" w:cs="微软雅黑"/>
                <w:color w:val="auto"/>
                <w:kern w:val="2"/>
                <w:sz w:val="21"/>
                <w:szCs w:val="21"/>
                <w:lang w:val="en-US" w:eastAsia="zh-CN" w:bidi="ar-SA"/>
              </w:rPr>
            </w:pPr>
            <w:r>
              <w:rPr>
                <w:rFonts w:hint="eastAsia" w:ascii="微软雅黑" w:hAnsi="微软雅黑" w:cs="微软雅黑"/>
                <w:color w:val="auto"/>
                <w:kern w:val="2"/>
                <w:sz w:val="21"/>
                <w:szCs w:val="21"/>
              </w:rPr>
              <w:t>FDA批准用于</w:t>
            </w:r>
            <w:r>
              <w:rPr>
                <w:rFonts w:hint="eastAsia" w:ascii="微软雅黑" w:hAnsi="微软雅黑" w:cs="微软雅黑"/>
                <w:color w:val="auto"/>
                <w:kern w:val="2"/>
                <w:sz w:val="21"/>
                <w:szCs w:val="21"/>
                <w:lang w:val="en-US" w:eastAsia="zh-CN"/>
              </w:rPr>
              <w:t>治疗</w:t>
            </w:r>
            <w:r>
              <w:rPr>
                <w:rFonts w:hint="eastAsia" w:ascii="微软雅黑" w:hAnsi="微软雅黑" w:cs="微软雅黑"/>
                <w:color w:val="auto"/>
                <w:kern w:val="2"/>
                <w:sz w:val="21"/>
                <w:szCs w:val="21"/>
              </w:rPr>
              <w:t>转移性结直肠癌、非鳞状非小细胞肺癌、胶质母细胞瘤、转移性肾细胞癌、宫颈癌、</w:t>
            </w:r>
            <w:r>
              <w:rPr>
                <w:rFonts w:hint="eastAsia" w:ascii="微软雅黑" w:hAnsi="微软雅黑" w:cs="微软雅黑"/>
                <w:color w:val="auto"/>
                <w:kern w:val="2"/>
                <w:sz w:val="21"/>
                <w:szCs w:val="24"/>
              </w:rPr>
              <w:t>卵巢上皮癌、输卵管癌</w:t>
            </w:r>
            <w:r>
              <w:rPr>
                <w:rFonts w:hint="eastAsia" w:ascii="微软雅黑" w:hAnsi="微软雅黑" w:cs="微软雅黑"/>
                <w:color w:val="auto"/>
                <w:kern w:val="2"/>
                <w:sz w:val="21"/>
                <w:szCs w:val="24"/>
                <w:lang w:eastAsia="zh-CN"/>
              </w:rPr>
              <w:t>、</w:t>
            </w:r>
            <w:r>
              <w:rPr>
                <w:rFonts w:hint="eastAsia" w:ascii="微软雅黑" w:hAnsi="微软雅黑" w:cs="微软雅黑"/>
                <w:color w:val="auto"/>
                <w:kern w:val="2"/>
                <w:sz w:val="21"/>
                <w:szCs w:val="24"/>
              </w:rPr>
              <w:t>原发性腹膜癌</w:t>
            </w:r>
            <w:r>
              <w:rPr>
                <w:rFonts w:hint="eastAsia" w:ascii="微软雅黑" w:hAnsi="微软雅黑" w:cs="微软雅黑"/>
                <w:color w:val="auto"/>
                <w:kern w:val="2"/>
                <w:sz w:val="21"/>
                <w:szCs w:val="24"/>
                <w:lang w:eastAsia="zh-CN"/>
              </w:rPr>
              <w:t>和肝细胞癌</w:t>
            </w:r>
            <w:r>
              <w:rPr>
                <w:rFonts w:hint="eastAsia" w:ascii="微软雅黑" w:hAnsi="微软雅黑" w:cs="微软雅黑"/>
                <w:color w:val="auto"/>
                <w:kern w:val="2"/>
                <w:sz w:val="21"/>
                <w:szCs w:val="21"/>
              </w:rPr>
              <w:t>。NMPA批准用于治疗转移性结直肠癌</w:t>
            </w:r>
            <w:r>
              <w:rPr>
                <w:rFonts w:hint="eastAsia" w:ascii="微软雅黑" w:hAnsi="微软雅黑" w:cs="微软雅黑"/>
                <w:color w:val="auto"/>
                <w:kern w:val="2"/>
                <w:sz w:val="21"/>
                <w:szCs w:val="21"/>
                <w:lang w:eastAsia="zh-CN"/>
              </w:rPr>
              <w:t>、</w:t>
            </w:r>
            <w:r>
              <w:rPr>
                <w:rFonts w:hint="eastAsia" w:ascii="微软雅黑" w:hAnsi="微软雅黑" w:cs="微软雅黑"/>
                <w:color w:val="auto"/>
                <w:kern w:val="2"/>
                <w:sz w:val="21"/>
                <w:szCs w:val="21"/>
              </w:rPr>
              <w:t>非鳞状非小细胞肺癌、胶质母细胞瘤、</w:t>
            </w:r>
            <w:r>
              <w:rPr>
                <w:rFonts w:hint="eastAsia" w:ascii="微软雅黑" w:hAnsi="微软雅黑" w:cs="微软雅黑"/>
                <w:color w:val="auto"/>
                <w:kern w:val="2"/>
                <w:sz w:val="21"/>
                <w:szCs w:val="24"/>
                <w:lang w:eastAsia="zh-CN"/>
              </w:rPr>
              <w:t>肝细胞癌、</w:t>
            </w:r>
            <w:r>
              <w:rPr>
                <w:rFonts w:hint="eastAsia" w:ascii="微软雅黑" w:hAnsi="微软雅黑" w:cs="微软雅黑"/>
                <w:color w:val="auto"/>
                <w:kern w:val="2"/>
                <w:sz w:val="21"/>
                <w:szCs w:val="24"/>
              </w:rPr>
              <w:t>卵巢上皮癌、输卵管癌</w:t>
            </w:r>
            <w:r>
              <w:rPr>
                <w:rFonts w:hint="eastAsia" w:ascii="微软雅黑" w:hAnsi="微软雅黑" w:cs="微软雅黑"/>
                <w:color w:val="auto"/>
                <w:kern w:val="2"/>
                <w:sz w:val="21"/>
                <w:szCs w:val="24"/>
                <w:lang w:eastAsia="zh-CN"/>
              </w:rPr>
              <w:t>、</w:t>
            </w:r>
            <w:r>
              <w:rPr>
                <w:rFonts w:hint="eastAsia" w:ascii="微软雅黑" w:hAnsi="微软雅黑" w:cs="微软雅黑"/>
                <w:color w:val="auto"/>
                <w:kern w:val="2"/>
                <w:sz w:val="21"/>
                <w:szCs w:val="24"/>
              </w:rPr>
              <w:t>原发性腹膜癌</w:t>
            </w:r>
            <w:r>
              <w:rPr>
                <w:rFonts w:hint="eastAsia" w:ascii="微软雅黑" w:hAnsi="微软雅黑" w:cs="微软雅黑"/>
                <w:color w:val="auto"/>
                <w:kern w:val="2"/>
                <w:sz w:val="21"/>
                <w:szCs w:val="24"/>
                <w:lang w:eastAsia="zh-CN"/>
              </w:rPr>
              <w:t>和</w:t>
            </w:r>
            <w:r>
              <w:rPr>
                <w:rFonts w:hint="eastAsia" w:ascii="微软雅黑" w:hAnsi="微软雅黑" w:cs="微软雅黑"/>
                <w:color w:val="auto"/>
                <w:kern w:val="2"/>
                <w:sz w:val="21"/>
                <w:szCs w:val="21"/>
              </w:rPr>
              <w:t>宫颈癌。20</w:t>
            </w:r>
            <w:r>
              <w:rPr>
                <w:rFonts w:hint="eastAsia" w:ascii="微软雅黑" w:hAnsi="微软雅黑" w:cs="微软雅黑"/>
                <w:color w:val="auto"/>
                <w:kern w:val="2"/>
                <w:sz w:val="21"/>
                <w:szCs w:val="21"/>
                <w:lang w:val="en-US" w:eastAsia="zh-CN"/>
              </w:rPr>
              <w:t>22</w:t>
            </w:r>
            <w:r>
              <w:rPr>
                <w:rFonts w:hint="eastAsia" w:ascii="微软雅黑" w:hAnsi="微软雅黑" w:cs="微软雅黑"/>
                <w:color w:val="auto"/>
                <w:kern w:val="2"/>
                <w:sz w:val="21"/>
                <w:szCs w:val="21"/>
              </w:rPr>
              <w:t>年结肠癌和直肠癌NCCN指南推荐多种化疗方案（FOLFIRI、FOLFOX、CAPEOX或FOLFOXIRI）联合</w:t>
            </w:r>
            <w:r>
              <w:rPr>
                <w:rFonts w:hint="eastAsia" w:ascii="微软雅黑" w:hAnsi="微软雅黑" w:cs="微软雅黑"/>
                <w:color w:val="auto"/>
                <w:kern w:val="2"/>
                <w:sz w:val="21"/>
                <w:szCs w:val="21"/>
                <w:lang w:eastAsia="zh-CN"/>
              </w:rPr>
              <w:t>贝伐珠单抗</w:t>
            </w:r>
            <w:r>
              <w:rPr>
                <w:rFonts w:hint="eastAsia" w:ascii="微软雅黑" w:hAnsi="微软雅黑" w:cs="微软雅黑"/>
                <w:color w:val="auto"/>
                <w:kern w:val="2"/>
                <w:sz w:val="21"/>
                <w:szCs w:val="21"/>
              </w:rPr>
              <w:t>用于治疗结肠癌和直肠癌患者</w:t>
            </w:r>
            <w:r>
              <w:rPr>
                <w:rFonts w:hint="eastAsia" w:ascii="微软雅黑" w:hAnsi="微软雅黑" w:cs="微软雅黑"/>
                <w:color w:val="auto"/>
                <w:kern w:val="2"/>
                <w:sz w:val="21"/>
                <w:szCs w:val="21"/>
                <w:lang w:val="en-US" w:eastAsia="zh-CN"/>
              </w:rPr>
              <w:t>，TAS-102</w:t>
            </w:r>
            <w:r>
              <w:rPr>
                <w:rFonts w:hint="eastAsia" w:ascii="微软雅黑" w:hAnsi="微软雅黑" w:eastAsia="微软雅黑" w:cs="微软雅黑"/>
                <w:color w:val="auto"/>
                <w:kern w:val="2"/>
                <w:sz w:val="21"/>
                <w:szCs w:val="21"/>
                <w:lang w:val="en-US" w:eastAsia="zh-CN"/>
              </w:rPr>
              <w:t>±</w:t>
            </w:r>
            <w:r>
              <w:rPr>
                <w:rFonts w:hint="eastAsia" w:ascii="微软雅黑" w:hAnsi="微软雅黑" w:cs="微软雅黑"/>
                <w:color w:val="auto"/>
                <w:kern w:val="2"/>
                <w:sz w:val="21"/>
                <w:szCs w:val="21"/>
                <w:lang w:eastAsia="zh-CN"/>
              </w:rPr>
              <w:t>贝伐珠单抗适用于接受过任意治疗方案进展的晚期结肠癌和直肠癌患者。</w:t>
            </w:r>
            <w:r>
              <w:rPr>
                <w:rFonts w:hint="eastAsia" w:ascii="微软雅黑" w:hAnsi="微软雅黑" w:cs="Times New Roman"/>
                <w:bCs/>
                <w:color w:val="auto"/>
                <w:kern w:val="2"/>
                <w:sz w:val="21"/>
                <w:szCs w:val="21"/>
                <w:lang w:val="en-US" w:eastAsia="zh-CN"/>
              </w:rPr>
              <w:t>2022年CSCO指南亦推荐</w:t>
            </w:r>
            <w:r>
              <w:rPr>
                <w:rFonts w:hint="eastAsia" w:ascii="微软雅黑" w:hAnsi="微软雅黑" w:cs="微软雅黑"/>
                <w:color w:val="auto"/>
                <w:kern w:val="2"/>
                <w:sz w:val="21"/>
                <w:szCs w:val="21"/>
              </w:rPr>
              <w:t>多种化疗方案联合</w:t>
            </w:r>
            <w:r>
              <w:rPr>
                <w:rFonts w:hint="eastAsia" w:ascii="微软雅黑" w:hAnsi="微软雅黑" w:cs="微软雅黑"/>
                <w:color w:val="auto"/>
                <w:kern w:val="2"/>
                <w:sz w:val="21"/>
                <w:szCs w:val="21"/>
                <w:lang w:eastAsia="zh-CN"/>
              </w:rPr>
              <w:t>贝伐珠单抗</w:t>
            </w:r>
            <w:r>
              <w:rPr>
                <w:rFonts w:hint="eastAsia" w:ascii="微软雅黑" w:hAnsi="微软雅黑" w:cs="微软雅黑"/>
                <w:color w:val="auto"/>
                <w:kern w:val="2"/>
                <w:sz w:val="21"/>
                <w:szCs w:val="21"/>
              </w:rPr>
              <w:t>用于治疗结肠癌和直肠癌患者</w:t>
            </w:r>
            <w:r>
              <w:rPr>
                <w:rFonts w:hint="eastAsia" w:ascii="微软雅黑" w:hAnsi="微软雅黑" w:cs="微软雅黑"/>
                <w:color w:val="auto"/>
                <w:kern w:val="2"/>
                <w:sz w:val="21"/>
                <w:szCs w:val="21"/>
                <w:lang w:eastAsia="zh-CN"/>
              </w:rPr>
              <w:t>。</w:t>
            </w:r>
          </w:p>
        </w:tc>
      </w:tr>
      <w:tr w14:paraId="274DA8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214D5982">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color w:val="auto"/>
                <w:kern w:val="2"/>
                <w:sz w:val="21"/>
                <w:szCs w:val="21"/>
                <w:lang w:eastAsia="zh-CN"/>
              </w:rPr>
            </w:pPr>
            <w:r>
              <w:rPr>
                <w:rFonts w:hint="eastAsia" w:ascii="微软雅黑" w:hAnsi="微软雅黑" w:cs="微软雅黑"/>
                <w:color w:val="auto"/>
                <w:kern w:val="2"/>
                <w:sz w:val="21"/>
                <w:szCs w:val="21"/>
                <w:lang w:eastAsia="zh-CN"/>
              </w:rPr>
              <w:t>雷莫西尤单抗</w:t>
            </w:r>
          </w:p>
          <w:p w14:paraId="00A304D5">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Ramucirumab</w:t>
            </w:r>
          </w:p>
          <w:p w14:paraId="3466B71B">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1"/>
              </w:rPr>
            </w:pPr>
            <w:r>
              <w:rPr>
                <w:rFonts w:hint="eastAsia" w:ascii="微软雅黑" w:hAnsi="微软雅黑" w:cs="微软雅黑"/>
                <w:color w:val="auto"/>
                <w:kern w:val="2"/>
                <w:sz w:val="21"/>
                <w:szCs w:val="21"/>
                <w:highlight w:val="none"/>
                <w:lang w:val="en-US" w:eastAsia="zh-CN"/>
              </w:rPr>
              <w:t>[希冉择]</w:t>
            </w:r>
          </w:p>
        </w:tc>
        <w:tc>
          <w:tcPr>
            <w:tcW w:w="2539" w:type="dxa"/>
            <w:tcBorders>
              <w:tl2br w:val="nil"/>
              <w:tr2bl w:val="nil"/>
            </w:tcBorders>
            <w:shd w:val="clear" w:color="auto" w:fill="auto"/>
            <w:vAlign w:val="center"/>
          </w:tcPr>
          <w:p w14:paraId="0A33CE94">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4"/>
              </w:rPr>
            </w:pPr>
            <w:r>
              <w:rPr>
                <w:rFonts w:hint="eastAsia" w:ascii="微软雅黑" w:hAnsi="微软雅黑" w:cs="微软雅黑"/>
                <w:color w:val="auto"/>
                <w:kern w:val="2"/>
                <w:sz w:val="21"/>
                <w:szCs w:val="21"/>
              </w:rPr>
              <w:t>VEGFR2</w:t>
            </w:r>
          </w:p>
        </w:tc>
        <w:tc>
          <w:tcPr>
            <w:tcW w:w="4383" w:type="dxa"/>
            <w:tcBorders>
              <w:tl2br w:val="nil"/>
              <w:tr2bl w:val="nil"/>
            </w:tcBorders>
            <w:shd w:val="clear" w:color="auto" w:fill="auto"/>
            <w:vAlign w:val="center"/>
          </w:tcPr>
          <w:p w14:paraId="20CE4119">
            <w:pPr>
              <w:keepNext w:val="0"/>
              <w:keepLines w:val="0"/>
              <w:widowControl/>
              <w:suppressLineNumbers w:val="0"/>
              <w:spacing w:before="0" w:beforeAutospacing="0" w:after="0" w:afterAutospacing="0"/>
              <w:ind w:left="0" w:leftChars="0" w:right="0" w:rightChars="0" w:firstLine="420" w:firstLineChars="0"/>
              <w:jc w:val="both"/>
              <w:rPr>
                <w:rFonts w:hint="default" w:ascii="微软雅黑" w:hAnsi="微软雅黑" w:cs="微软雅黑"/>
                <w:kern w:val="2"/>
                <w:sz w:val="21"/>
                <w:szCs w:val="21"/>
              </w:rPr>
            </w:pPr>
            <w:r>
              <w:rPr>
                <w:rFonts w:hint="eastAsia" w:ascii="微软雅黑" w:hAnsi="微软雅黑" w:cs="微软雅黑"/>
                <w:color w:val="auto"/>
                <w:kern w:val="2"/>
                <w:sz w:val="21"/>
                <w:szCs w:val="21"/>
              </w:rPr>
              <w:t>FDA批准用于</w:t>
            </w:r>
            <w:r>
              <w:rPr>
                <w:rFonts w:hint="eastAsia" w:ascii="微软雅黑" w:hAnsi="微软雅黑" w:cs="微软雅黑"/>
                <w:color w:val="auto"/>
                <w:kern w:val="2"/>
                <w:sz w:val="21"/>
                <w:szCs w:val="21"/>
                <w:lang w:val="en-US" w:eastAsia="zh-CN"/>
              </w:rPr>
              <w:t>治疗</w:t>
            </w:r>
            <w:r>
              <w:rPr>
                <w:rFonts w:hint="eastAsia" w:ascii="微软雅黑" w:hAnsi="微软雅黑" w:cs="微软雅黑"/>
                <w:color w:val="auto"/>
                <w:kern w:val="2"/>
                <w:sz w:val="21"/>
                <w:szCs w:val="21"/>
              </w:rPr>
              <w:t>胃癌或胃食管交界处腺癌、非小细胞肺癌、结直肠癌、肝细胞癌。</w:t>
            </w:r>
            <w:r>
              <w:rPr>
                <w:rFonts w:hint="eastAsia" w:ascii="微软雅黑" w:hAnsi="微软雅黑" w:cs="微软雅黑"/>
                <w:color w:val="auto"/>
                <w:kern w:val="2"/>
                <w:sz w:val="21"/>
                <w:szCs w:val="21"/>
                <w:lang w:val="en-US" w:eastAsia="zh-CN"/>
              </w:rPr>
              <w:t>NMPA</w:t>
            </w:r>
            <w:r>
              <w:rPr>
                <w:rFonts w:hint="eastAsia" w:ascii="微软雅黑" w:hAnsi="微软雅黑" w:cs="微软雅黑"/>
                <w:color w:val="auto"/>
                <w:kern w:val="2"/>
                <w:sz w:val="21"/>
                <w:szCs w:val="21"/>
              </w:rPr>
              <w:t>批准用于</w:t>
            </w:r>
            <w:r>
              <w:rPr>
                <w:rFonts w:hint="eastAsia" w:ascii="微软雅黑" w:hAnsi="微软雅黑" w:cs="微软雅黑"/>
                <w:color w:val="auto"/>
                <w:kern w:val="2"/>
                <w:sz w:val="21"/>
                <w:szCs w:val="21"/>
                <w:lang w:val="en-US" w:eastAsia="zh-CN"/>
              </w:rPr>
              <w:t>治疗</w:t>
            </w:r>
            <w:r>
              <w:rPr>
                <w:rFonts w:hint="eastAsia" w:ascii="微软雅黑" w:hAnsi="微软雅黑" w:cs="微软雅黑"/>
                <w:color w:val="auto"/>
                <w:kern w:val="2"/>
                <w:sz w:val="21"/>
                <w:szCs w:val="21"/>
              </w:rPr>
              <w:t>胃癌或胃食管交界处腺癌</w:t>
            </w:r>
            <w:r>
              <w:rPr>
                <w:rFonts w:hint="eastAsia" w:ascii="微软雅黑" w:hAnsi="微软雅黑" w:cs="微软雅黑"/>
                <w:color w:val="auto"/>
                <w:kern w:val="2"/>
                <w:sz w:val="21"/>
                <w:szCs w:val="21"/>
                <w:lang w:eastAsia="zh-CN"/>
              </w:rPr>
              <w:t>。</w:t>
            </w:r>
            <w:r>
              <w:rPr>
                <w:rFonts w:hint="eastAsia" w:ascii="微软雅黑" w:hAnsi="微软雅黑" w:cs="微软雅黑"/>
                <w:color w:val="auto"/>
                <w:kern w:val="2"/>
                <w:sz w:val="21"/>
                <w:szCs w:val="21"/>
              </w:rPr>
              <w:t>20</w:t>
            </w:r>
            <w:r>
              <w:rPr>
                <w:rFonts w:hint="eastAsia" w:ascii="微软雅黑" w:hAnsi="微软雅黑" w:cs="微软雅黑"/>
                <w:color w:val="auto"/>
                <w:kern w:val="2"/>
                <w:sz w:val="21"/>
                <w:szCs w:val="21"/>
                <w:lang w:val="en-US" w:eastAsia="zh-CN"/>
              </w:rPr>
              <w:t>22</w:t>
            </w:r>
            <w:r>
              <w:rPr>
                <w:rFonts w:hint="eastAsia" w:ascii="微软雅黑" w:hAnsi="微软雅黑" w:cs="微软雅黑"/>
                <w:color w:val="auto"/>
                <w:kern w:val="2"/>
                <w:sz w:val="21"/>
                <w:szCs w:val="21"/>
              </w:rPr>
              <w:t>年结肠癌和直肠癌NCCN指南推荐FOLFIRI方案联合</w:t>
            </w:r>
            <w:r>
              <w:rPr>
                <w:rFonts w:hint="eastAsia" w:ascii="微软雅黑" w:hAnsi="微软雅黑" w:cs="微软雅黑"/>
                <w:color w:val="auto"/>
                <w:kern w:val="2"/>
                <w:sz w:val="21"/>
                <w:szCs w:val="21"/>
                <w:lang w:eastAsia="zh-CN"/>
              </w:rPr>
              <w:t>雷莫西尤单抗</w:t>
            </w:r>
            <w:r>
              <w:rPr>
                <w:rFonts w:hint="eastAsia" w:ascii="微软雅黑" w:hAnsi="微软雅黑" w:cs="微软雅黑"/>
                <w:color w:val="auto"/>
                <w:kern w:val="2"/>
                <w:sz w:val="21"/>
                <w:szCs w:val="21"/>
              </w:rPr>
              <w:t>用于治疗结肠癌和直肠癌患者。</w:t>
            </w:r>
          </w:p>
        </w:tc>
      </w:tr>
      <w:tr w14:paraId="162A26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0A4F6F4F">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1"/>
              </w:rPr>
            </w:pPr>
            <w:r>
              <w:rPr>
                <w:rFonts w:hint="eastAsia" w:ascii="微软雅黑" w:hAnsi="微软雅黑" w:cs="微软雅黑"/>
                <w:color w:val="auto"/>
                <w:kern w:val="2"/>
                <w:sz w:val="21"/>
                <w:szCs w:val="21"/>
              </w:rPr>
              <w:t>呋喹替尼</w:t>
            </w:r>
          </w:p>
          <w:p w14:paraId="14A4734B">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Fruquintinib</w:t>
            </w:r>
          </w:p>
          <w:p w14:paraId="3AD6F51A">
            <w:pPr>
              <w:keepNext w:val="0"/>
              <w:keepLines w:val="0"/>
              <w:widowControl/>
              <w:suppressLineNumbers w:val="0"/>
              <w:spacing w:before="0" w:beforeAutospacing="0" w:after="0" w:afterAutospacing="0"/>
              <w:ind w:left="0" w:leftChars="0" w:right="0" w:rightChars="0"/>
              <w:jc w:val="center"/>
              <w:rPr>
                <w:rFonts w:hint="eastAsia" w:ascii="微软雅黑" w:hAnsi="微软雅黑" w:cs="微软雅黑"/>
                <w:kern w:val="2"/>
                <w:sz w:val="21"/>
                <w:szCs w:val="21"/>
              </w:rPr>
            </w:pPr>
            <w:r>
              <w:rPr>
                <w:rFonts w:hint="eastAsia" w:ascii="微软雅黑" w:hAnsi="微软雅黑" w:cs="微软雅黑"/>
                <w:color w:val="auto"/>
                <w:kern w:val="2"/>
                <w:sz w:val="21"/>
                <w:szCs w:val="21"/>
                <w:highlight w:val="none"/>
                <w:lang w:val="en-US" w:eastAsia="zh-CN"/>
              </w:rPr>
              <w:t>[爱优特]</w:t>
            </w:r>
          </w:p>
        </w:tc>
        <w:tc>
          <w:tcPr>
            <w:tcW w:w="2539" w:type="dxa"/>
            <w:tcBorders>
              <w:tl2br w:val="nil"/>
              <w:tr2bl w:val="nil"/>
            </w:tcBorders>
            <w:shd w:val="clear" w:color="auto" w:fill="auto"/>
            <w:vAlign w:val="center"/>
          </w:tcPr>
          <w:p w14:paraId="5D1E3B11">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4"/>
              </w:rPr>
            </w:pPr>
            <w:r>
              <w:rPr>
                <w:rFonts w:hint="eastAsia" w:ascii="微软雅黑" w:hAnsi="微软雅黑" w:cs="微软雅黑"/>
                <w:color w:val="auto"/>
                <w:kern w:val="2"/>
                <w:sz w:val="21"/>
                <w:szCs w:val="24"/>
              </w:rPr>
              <w:t>VEGFR1</w:t>
            </w:r>
          </w:p>
          <w:p w14:paraId="0A57B2D1">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4"/>
              </w:rPr>
            </w:pPr>
            <w:r>
              <w:rPr>
                <w:rFonts w:hint="eastAsia" w:ascii="微软雅黑" w:hAnsi="微软雅黑" w:cs="微软雅黑"/>
                <w:color w:val="auto"/>
                <w:kern w:val="2"/>
                <w:sz w:val="21"/>
                <w:szCs w:val="24"/>
              </w:rPr>
              <w:t>VEGFR2</w:t>
            </w:r>
          </w:p>
          <w:p w14:paraId="4708EE50">
            <w:pPr>
              <w:keepNext w:val="0"/>
              <w:keepLines w:val="0"/>
              <w:widowControl/>
              <w:suppressLineNumbers w:val="0"/>
              <w:spacing w:before="0" w:beforeAutospacing="0" w:after="0" w:afterAutospacing="0"/>
              <w:ind w:left="0" w:leftChars="0" w:right="0" w:rightChars="0"/>
              <w:jc w:val="center"/>
              <w:rPr>
                <w:rFonts w:hint="eastAsia" w:ascii="微软雅黑" w:hAnsi="微软雅黑" w:cs="微软雅黑"/>
                <w:kern w:val="2"/>
                <w:sz w:val="21"/>
                <w:szCs w:val="24"/>
              </w:rPr>
            </w:pPr>
            <w:r>
              <w:rPr>
                <w:rFonts w:hint="eastAsia" w:ascii="微软雅黑" w:hAnsi="微软雅黑" w:cs="微软雅黑"/>
                <w:color w:val="auto"/>
                <w:kern w:val="2"/>
                <w:sz w:val="21"/>
                <w:szCs w:val="24"/>
              </w:rPr>
              <w:t>VEGFR3</w:t>
            </w:r>
          </w:p>
        </w:tc>
        <w:tc>
          <w:tcPr>
            <w:tcW w:w="4383" w:type="dxa"/>
            <w:tcBorders>
              <w:tl2br w:val="nil"/>
              <w:tr2bl w:val="nil"/>
            </w:tcBorders>
            <w:shd w:val="clear" w:color="auto" w:fill="auto"/>
            <w:vAlign w:val="center"/>
          </w:tcPr>
          <w:p w14:paraId="4C17BDA2">
            <w:pPr>
              <w:keepNext w:val="0"/>
              <w:keepLines w:val="0"/>
              <w:widowControl/>
              <w:suppressLineNumbers w:val="0"/>
              <w:spacing w:before="0" w:beforeAutospacing="0" w:after="0" w:afterAutospacing="0"/>
              <w:ind w:left="0" w:leftChars="0" w:right="0" w:rightChars="0" w:firstLine="420" w:firstLineChars="0"/>
              <w:jc w:val="both"/>
              <w:rPr>
                <w:rFonts w:hint="eastAsia" w:ascii="微软雅黑" w:hAnsi="微软雅黑" w:cs="微软雅黑"/>
                <w:kern w:val="2"/>
                <w:sz w:val="21"/>
                <w:szCs w:val="21"/>
              </w:rPr>
            </w:pPr>
            <w:r>
              <w:rPr>
                <w:rFonts w:hint="eastAsia" w:ascii="微软雅黑" w:hAnsi="微软雅黑" w:cs="微软雅黑"/>
                <w:color w:val="auto"/>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color w:val="auto"/>
                <w:kern w:val="2"/>
                <w:sz w:val="21"/>
                <w:szCs w:val="21"/>
                <w:lang w:val="en-US" w:eastAsia="zh-CN"/>
              </w:rPr>
              <w:t>2022年CSCO指南推荐</w:t>
            </w:r>
            <w:r>
              <w:rPr>
                <w:rFonts w:hint="eastAsia" w:ascii="微软雅黑" w:hAnsi="微软雅黑" w:cs="微软雅黑"/>
                <w:color w:val="auto"/>
                <w:kern w:val="2"/>
                <w:sz w:val="21"/>
                <w:szCs w:val="21"/>
              </w:rPr>
              <w:t>呋喹替尼</w:t>
            </w:r>
            <w:r>
              <w:rPr>
                <w:rFonts w:hint="eastAsia" w:ascii="微软雅黑" w:hAnsi="微软雅黑" w:cs="微软雅黑"/>
                <w:color w:val="auto"/>
                <w:kern w:val="2"/>
                <w:sz w:val="21"/>
                <w:szCs w:val="21"/>
                <w:lang w:val="en-US" w:eastAsia="zh-CN"/>
              </w:rPr>
              <w:t>用于治疗</w:t>
            </w:r>
            <w:r>
              <w:rPr>
                <w:rFonts w:hint="eastAsia" w:ascii="微软雅黑" w:hAnsi="微软雅黑" w:cs="Times New Roman"/>
                <w:bCs/>
                <w:color w:val="auto"/>
                <w:kern w:val="2"/>
                <w:sz w:val="21"/>
                <w:szCs w:val="21"/>
                <w:lang w:val="en-US" w:eastAsia="zh-CN"/>
              </w:rPr>
              <w:t>标准治疗失败后的结肠癌和直肠癌患者。</w:t>
            </w:r>
          </w:p>
        </w:tc>
      </w:tr>
      <w:tr w14:paraId="492DAA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3701B949">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lang w:val="en-US" w:eastAsia="zh-CN"/>
              </w:rPr>
            </w:pPr>
            <w:r>
              <w:rPr>
                <w:rFonts w:hint="eastAsia" w:ascii="微软雅黑" w:hAnsi="微软雅黑" w:cs="微软雅黑"/>
                <w:color w:val="auto"/>
                <w:kern w:val="2"/>
                <w:sz w:val="21"/>
                <w:szCs w:val="21"/>
                <w:lang w:val="en-US" w:eastAsia="zh-CN"/>
              </w:rPr>
              <w:t>阿柏西普</w:t>
            </w:r>
          </w:p>
          <w:p w14:paraId="42EB7F4B">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lang w:val="en-US" w:eastAsia="zh-CN"/>
              </w:rPr>
            </w:pPr>
            <w:r>
              <w:rPr>
                <w:rFonts w:hint="eastAsia" w:ascii="微软雅黑" w:hAnsi="微软雅黑" w:cs="微软雅黑"/>
                <w:color w:val="auto"/>
                <w:kern w:val="2"/>
                <w:sz w:val="21"/>
                <w:szCs w:val="21"/>
                <w:lang w:val="en-US" w:eastAsia="zh-CN"/>
              </w:rPr>
              <w:t>Ziv-aflibercept</w:t>
            </w:r>
          </w:p>
          <w:p w14:paraId="6C23FBD3">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1"/>
              </w:rPr>
            </w:pPr>
            <w:r>
              <w:rPr>
                <w:rFonts w:hint="eastAsia" w:ascii="微软雅黑" w:hAnsi="微软雅黑" w:cs="微软雅黑"/>
                <w:color w:val="auto"/>
                <w:kern w:val="2"/>
                <w:sz w:val="21"/>
                <w:szCs w:val="21"/>
                <w:highlight w:val="none"/>
                <w:lang w:val="en-US" w:eastAsia="zh-CN"/>
              </w:rPr>
              <w:t>[</w:t>
            </w:r>
            <w:r>
              <w:rPr>
                <w:rFonts w:hint="eastAsia" w:ascii="微软雅黑" w:hAnsi="微软雅黑" w:cs="微软雅黑"/>
                <w:i w:val="0"/>
                <w:iCs w:val="0"/>
                <w:color w:val="auto"/>
                <w:kern w:val="2"/>
                <w:sz w:val="21"/>
                <w:szCs w:val="21"/>
                <w:highlight w:val="none"/>
                <w:vertAlign w:val="baseline"/>
                <w:lang w:val="en-US" w:eastAsia="zh-CN"/>
              </w:rPr>
              <w:t>ZALTRAP</w:t>
            </w:r>
            <w:r>
              <w:rPr>
                <w:rFonts w:hint="eastAsia" w:ascii="微软雅黑" w:hAnsi="微软雅黑" w:cs="微软雅黑"/>
                <w:color w:val="auto"/>
                <w:kern w:val="2"/>
                <w:sz w:val="21"/>
                <w:szCs w:val="21"/>
                <w:highlight w:val="none"/>
                <w:lang w:val="en-US" w:eastAsia="zh-CN"/>
              </w:rPr>
              <w:t>]</w:t>
            </w:r>
          </w:p>
        </w:tc>
        <w:tc>
          <w:tcPr>
            <w:tcW w:w="2539" w:type="dxa"/>
            <w:tcBorders>
              <w:tl2br w:val="nil"/>
              <w:tr2bl w:val="nil"/>
            </w:tcBorders>
            <w:shd w:val="clear" w:color="auto" w:fill="auto"/>
            <w:vAlign w:val="center"/>
          </w:tcPr>
          <w:p w14:paraId="7D6762E7">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4"/>
                <w:lang w:val="en-US" w:eastAsia="zh-CN"/>
              </w:rPr>
            </w:pPr>
            <w:r>
              <w:rPr>
                <w:rFonts w:hint="eastAsia" w:ascii="微软雅黑" w:hAnsi="微软雅黑" w:cs="微软雅黑"/>
                <w:color w:val="auto"/>
                <w:kern w:val="2"/>
                <w:sz w:val="21"/>
                <w:szCs w:val="24"/>
                <w:lang w:val="en-US" w:eastAsia="zh-CN"/>
              </w:rPr>
              <w:t>VEGF-A</w:t>
            </w:r>
          </w:p>
          <w:p w14:paraId="6365F6D1">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4"/>
                <w:lang w:val="en-US" w:eastAsia="zh-CN"/>
              </w:rPr>
            </w:pPr>
            <w:r>
              <w:rPr>
                <w:rFonts w:hint="eastAsia" w:ascii="微软雅黑" w:hAnsi="微软雅黑" w:cs="微软雅黑"/>
                <w:color w:val="auto"/>
                <w:kern w:val="2"/>
                <w:sz w:val="21"/>
                <w:szCs w:val="24"/>
                <w:lang w:val="en-US" w:eastAsia="zh-CN"/>
              </w:rPr>
              <w:t>VEGF-B</w:t>
            </w:r>
          </w:p>
          <w:p w14:paraId="46DBA365">
            <w:pPr>
              <w:keepNext w:val="0"/>
              <w:keepLines w:val="0"/>
              <w:widowControl/>
              <w:suppressLineNumbers w:val="0"/>
              <w:spacing w:before="0" w:beforeAutospacing="0" w:after="0" w:afterAutospacing="0"/>
              <w:ind w:left="0" w:leftChars="0" w:right="0" w:rightChars="0"/>
              <w:jc w:val="center"/>
              <w:rPr>
                <w:rFonts w:hint="default" w:ascii="微软雅黑" w:hAnsi="微软雅黑" w:cs="微软雅黑"/>
                <w:kern w:val="2"/>
                <w:sz w:val="21"/>
                <w:szCs w:val="24"/>
              </w:rPr>
            </w:pPr>
            <w:r>
              <w:rPr>
                <w:rFonts w:hint="eastAsia" w:ascii="微软雅黑" w:hAnsi="微软雅黑" w:cs="微软雅黑"/>
                <w:color w:val="auto"/>
                <w:kern w:val="2"/>
                <w:sz w:val="21"/>
                <w:szCs w:val="24"/>
                <w:lang w:val="en-US" w:eastAsia="zh-CN"/>
              </w:rPr>
              <w:t>PIGF</w:t>
            </w:r>
          </w:p>
        </w:tc>
        <w:tc>
          <w:tcPr>
            <w:tcW w:w="4383" w:type="dxa"/>
            <w:tcBorders>
              <w:tl2br w:val="nil"/>
              <w:tr2bl w:val="nil"/>
            </w:tcBorders>
            <w:shd w:val="clear" w:color="auto" w:fill="auto"/>
            <w:vAlign w:val="center"/>
          </w:tcPr>
          <w:p w14:paraId="5C3D1758">
            <w:pPr>
              <w:keepNext w:val="0"/>
              <w:keepLines w:val="0"/>
              <w:widowControl/>
              <w:suppressLineNumbers w:val="0"/>
              <w:spacing w:before="0" w:beforeAutospacing="0" w:after="0" w:afterAutospacing="0"/>
              <w:ind w:left="0" w:leftChars="0" w:right="0" w:rightChars="0" w:firstLine="420" w:firstLineChars="0"/>
              <w:jc w:val="both"/>
              <w:rPr>
                <w:rFonts w:hint="default" w:ascii="微软雅黑" w:hAnsi="微软雅黑" w:cs="微软雅黑"/>
                <w:kern w:val="2"/>
                <w:sz w:val="21"/>
                <w:szCs w:val="21"/>
              </w:rPr>
            </w:pPr>
            <w:r>
              <w:rPr>
                <w:rFonts w:hint="eastAsia" w:ascii="微软雅黑" w:hAnsi="微软雅黑" w:cs="微软雅黑"/>
                <w:color w:val="auto"/>
                <w:kern w:val="2"/>
                <w:sz w:val="21"/>
                <w:szCs w:val="21"/>
              </w:rPr>
              <w:t>FDA批准</w:t>
            </w:r>
            <w:r>
              <w:rPr>
                <w:rFonts w:hint="eastAsia" w:ascii="微软雅黑" w:hAnsi="微软雅黑" w:cs="微软雅黑"/>
                <w:b w:val="0"/>
                <w:bCs w:val="0"/>
                <w:color w:val="auto"/>
                <w:kern w:val="2"/>
                <w:sz w:val="21"/>
                <w:szCs w:val="24"/>
                <w:vertAlign w:val="baseline"/>
                <w:lang w:val="en-US" w:eastAsia="zh-CN"/>
              </w:rPr>
              <w:t>阿柏西普联合5-氟尿嘧啶、亚叶酸钙、伊立替康（FOLFIRI）用于治疗奥沙利铂治疗后耐药或疾病进展的转移性结直肠癌（mCRC）患者。</w:t>
            </w:r>
            <w:r>
              <w:rPr>
                <w:rFonts w:hint="eastAsia" w:ascii="微软雅黑" w:hAnsi="微软雅黑" w:cs="微软雅黑"/>
                <w:color w:val="auto"/>
                <w:kern w:val="2"/>
                <w:sz w:val="21"/>
                <w:szCs w:val="21"/>
              </w:rPr>
              <w:t>20</w:t>
            </w:r>
            <w:r>
              <w:rPr>
                <w:rFonts w:hint="eastAsia" w:ascii="微软雅黑" w:hAnsi="微软雅黑" w:cs="微软雅黑"/>
                <w:color w:val="auto"/>
                <w:kern w:val="2"/>
                <w:sz w:val="21"/>
                <w:szCs w:val="21"/>
                <w:lang w:val="en-US" w:eastAsia="zh-CN"/>
              </w:rPr>
              <w:t>22</w:t>
            </w:r>
            <w:r>
              <w:rPr>
                <w:rFonts w:hint="eastAsia" w:ascii="微软雅黑" w:hAnsi="微软雅黑" w:cs="微软雅黑"/>
                <w:color w:val="auto"/>
                <w:kern w:val="2"/>
                <w:sz w:val="21"/>
                <w:szCs w:val="21"/>
              </w:rPr>
              <w:t>年结肠癌和直肠癌NCCN指南推荐</w:t>
            </w:r>
            <w:r>
              <w:rPr>
                <w:rFonts w:hint="eastAsia" w:ascii="微软雅黑" w:hAnsi="微软雅黑" w:cs="微软雅黑"/>
                <w:color w:val="auto"/>
                <w:kern w:val="2"/>
                <w:sz w:val="21"/>
                <w:szCs w:val="21"/>
                <w:lang w:val="en-US" w:eastAsia="zh-CN"/>
              </w:rPr>
              <w:t>阿柏西普联合化疗</w:t>
            </w:r>
            <w:r>
              <w:rPr>
                <w:rFonts w:hint="eastAsia" w:ascii="微软雅黑" w:hAnsi="微软雅黑" w:cs="微软雅黑"/>
                <w:color w:val="auto"/>
                <w:kern w:val="2"/>
                <w:sz w:val="21"/>
                <w:szCs w:val="21"/>
              </w:rPr>
              <w:t>用于治疗结肠癌和直肠癌患者。</w:t>
            </w:r>
          </w:p>
        </w:tc>
      </w:tr>
      <w:tr w14:paraId="380FD1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6E68CBD8">
            <w:pPr>
              <w:keepNext w:val="0"/>
              <w:keepLines w:val="0"/>
              <w:widowControl/>
              <w:suppressLineNumbers w:val="0"/>
              <w:spacing w:before="0" w:beforeAutospacing="0" w:after="0" w:afterAutospacing="0"/>
              <w:ind w:left="0" w:right="0"/>
              <w:jc w:val="center"/>
              <w:rPr>
                <w:rFonts w:hint="default" w:ascii="微软雅黑" w:hAnsi="微软雅黑" w:cs="微软雅黑"/>
                <w:color w:val="auto"/>
                <w:kern w:val="2"/>
                <w:sz w:val="21"/>
                <w:szCs w:val="21"/>
              </w:rPr>
            </w:pPr>
            <w:r>
              <w:rPr>
                <w:rFonts w:hint="eastAsia" w:ascii="微软雅黑" w:hAnsi="微软雅黑" w:cs="微软雅黑"/>
                <w:color w:val="auto"/>
                <w:kern w:val="2"/>
                <w:sz w:val="21"/>
                <w:szCs w:val="21"/>
              </w:rPr>
              <w:t>阿帕替尼</w:t>
            </w:r>
          </w:p>
          <w:p w14:paraId="5699C1FF">
            <w:pPr>
              <w:keepNext w:val="0"/>
              <w:keepLines w:val="0"/>
              <w:widowControl/>
              <w:suppressLineNumbers w:val="0"/>
              <w:spacing w:before="0" w:beforeAutospacing="0" w:after="0" w:afterAutospacing="0"/>
              <w:ind w:left="0" w:right="0"/>
              <w:jc w:val="center"/>
              <w:rPr>
                <w:rFonts w:hint="eastAsia" w:ascii="微软雅黑" w:hAnsi="微软雅黑" w:cs="微软雅黑"/>
                <w:color w:val="auto"/>
                <w:kern w:val="2"/>
                <w:sz w:val="21"/>
                <w:szCs w:val="21"/>
              </w:rPr>
            </w:pPr>
            <w:r>
              <w:rPr>
                <w:rFonts w:hint="eastAsia" w:ascii="微软雅黑" w:hAnsi="微软雅黑" w:cs="微软雅黑"/>
                <w:color w:val="auto"/>
                <w:kern w:val="2"/>
                <w:sz w:val="21"/>
                <w:szCs w:val="21"/>
              </w:rPr>
              <w:t>Apatinib</w:t>
            </w:r>
          </w:p>
          <w:p w14:paraId="396873DD">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cs="微软雅黑"/>
                <w:color w:val="auto"/>
                <w:kern w:val="2"/>
                <w:sz w:val="21"/>
                <w:szCs w:val="21"/>
                <w:highlight w:val="none"/>
                <w:lang w:val="en-US" w:eastAsia="zh-CN"/>
              </w:rPr>
              <w:t>[艾坦]</w:t>
            </w:r>
          </w:p>
        </w:tc>
        <w:tc>
          <w:tcPr>
            <w:tcW w:w="2539" w:type="dxa"/>
            <w:tcBorders>
              <w:tl2br w:val="nil"/>
              <w:tr2bl w:val="nil"/>
            </w:tcBorders>
            <w:shd w:val="clear" w:color="auto" w:fill="auto"/>
            <w:vAlign w:val="center"/>
          </w:tcPr>
          <w:p w14:paraId="35D5C78E">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kern w:val="2"/>
                <w:sz w:val="21"/>
                <w:szCs w:val="21"/>
                <w:vertAlign w:val="baseline"/>
                <w:lang w:val="en-US" w:eastAsia="zh-CN" w:bidi="ar-SA"/>
              </w:rPr>
            </w:pPr>
            <w:r>
              <w:rPr>
                <w:rFonts w:hint="eastAsia" w:ascii="微软雅黑" w:hAnsi="微软雅黑" w:cs="微软雅黑"/>
                <w:color w:val="auto"/>
                <w:kern w:val="2"/>
                <w:sz w:val="21"/>
                <w:szCs w:val="24"/>
              </w:rPr>
              <w:t>VEGFR2</w:t>
            </w:r>
          </w:p>
        </w:tc>
        <w:tc>
          <w:tcPr>
            <w:tcW w:w="4383" w:type="dxa"/>
            <w:tcBorders>
              <w:tl2br w:val="nil"/>
              <w:tr2bl w:val="nil"/>
            </w:tcBorders>
            <w:shd w:val="clear" w:color="auto" w:fill="auto"/>
            <w:vAlign w:val="center"/>
          </w:tcPr>
          <w:p w14:paraId="21FCD881">
            <w:pPr>
              <w:keepNext w:val="0"/>
              <w:keepLines w:val="0"/>
              <w:widowControl/>
              <w:suppressLineNumbers w:val="0"/>
              <w:spacing w:before="0" w:beforeAutospacing="0" w:after="0" w:afterAutospacing="0"/>
              <w:ind w:left="0" w:leftChars="0" w:right="0" w:rightChars="0" w:firstLine="420" w:firstLineChars="0"/>
              <w:jc w:val="both"/>
              <w:rPr>
                <w:rFonts w:hint="eastAsia" w:ascii="微软雅黑" w:hAnsi="微软雅黑" w:eastAsia="微软雅黑" w:cs="微软雅黑"/>
                <w:snapToGrid/>
                <w:kern w:val="2"/>
                <w:sz w:val="21"/>
                <w:szCs w:val="21"/>
                <w:lang w:val="en-US" w:eastAsia="zh-CN" w:bidi="ar"/>
              </w:rPr>
            </w:pPr>
            <w:r>
              <w:rPr>
                <w:rFonts w:hint="eastAsia" w:ascii="微软雅黑" w:hAnsi="微软雅黑" w:cs="微软雅黑"/>
                <w:color w:val="auto"/>
                <w:kern w:val="2"/>
                <w:sz w:val="21"/>
                <w:szCs w:val="21"/>
              </w:rPr>
              <w:t>NMPA批准用于治疗胃腺癌或胃食管交界处腺癌</w:t>
            </w:r>
            <w:r>
              <w:rPr>
                <w:rFonts w:hint="eastAsia" w:ascii="微软雅黑" w:hAnsi="微软雅黑" w:cs="微软雅黑"/>
                <w:color w:val="auto"/>
                <w:kern w:val="2"/>
                <w:sz w:val="21"/>
                <w:szCs w:val="21"/>
                <w:lang w:eastAsia="zh-CN"/>
              </w:rPr>
              <w:t>、肝细胞癌</w:t>
            </w:r>
            <w:r>
              <w:rPr>
                <w:rFonts w:hint="eastAsia" w:ascii="微软雅黑" w:hAnsi="微软雅黑" w:cs="微软雅黑"/>
                <w:color w:val="auto"/>
                <w:kern w:val="2"/>
                <w:sz w:val="21"/>
                <w:szCs w:val="21"/>
              </w:rPr>
              <w:t>。目前在国内的临床实践中，有将阿帕替尼应用于治疗结直肠癌患者的案例，并从中观察到比较好的疗效。</w:t>
            </w:r>
          </w:p>
        </w:tc>
      </w:tr>
      <w:tr w14:paraId="05C1ED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319E18B5">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盐酸安罗替尼</w:t>
            </w:r>
          </w:p>
          <w:p w14:paraId="34F89910">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Anlotinib Hydrochloride</w:t>
            </w:r>
          </w:p>
          <w:p w14:paraId="44FFADFC">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[福可维]</w:t>
            </w:r>
          </w:p>
        </w:tc>
        <w:tc>
          <w:tcPr>
            <w:tcW w:w="2539" w:type="dxa"/>
            <w:tcBorders>
              <w:tl2br w:val="nil"/>
              <w:tr2bl w:val="nil"/>
            </w:tcBorders>
            <w:shd w:val="clear" w:color="auto" w:fill="auto"/>
            <w:vAlign w:val="center"/>
          </w:tcPr>
          <w:p w14:paraId="649B9DA1">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VEGFR1、</w:t>
            </w:r>
          </w:p>
          <w:p w14:paraId="7AC1B2B3">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VEGFR2、</w:t>
            </w:r>
          </w:p>
          <w:p w14:paraId="6C5AFBB4">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VEGFR3、</w:t>
            </w:r>
          </w:p>
          <w:p w14:paraId="7470735E">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c-KIT、</w:t>
            </w:r>
          </w:p>
          <w:p w14:paraId="40AB5697">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PDGFR-β</w:t>
            </w:r>
          </w:p>
        </w:tc>
        <w:tc>
          <w:tcPr>
            <w:tcW w:w="4383" w:type="dxa"/>
            <w:tcBorders>
              <w:tl2br w:val="nil"/>
              <w:tr2bl w:val="nil"/>
            </w:tcBorders>
            <w:shd w:val="clear" w:color="auto" w:fill="auto"/>
            <w:vAlign w:val="center"/>
          </w:tcPr>
          <w:p w14:paraId="2967819E">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NMPA批准用于治疗小细胞肺癌</w:t>
            </w: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腺泡状软组织肉瘤、透明细胞肉瘤以及既往至少接受过含蒽环类化疗方案治疗后进展或复发的其它晚期软组织肉瘤、放射性碘难治性分化型甲状腺癌</w:t>
            </w: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甲状腺髓样癌</w:t>
            </w: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非小细胞肺癌。目前有将安罗替尼用于治疗结直肠癌患者的临床试验，正在招募患者。</w:t>
            </w:r>
          </w:p>
        </w:tc>
      </w:tr>
    </w:tbl>
    <w:p w14:paraId="39CB81A3">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5A4AB6B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15634B9A">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92074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046B525">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26A6FB17">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79"/>
    <w:bookmarkEnd w:id="80"/>
    <w:p w14:paraId="79471AFE">
      <w:pPr>
        <w:adjustRightInd/>
        <w:snapToGrid/>
        <w:spacing w:before="200" w:after="0" w:line="220" w:lineRule="atLeast"/>
        <w:jc w:val="both"/>
        <w:outlineLvl w:val="2"/>
        <w:rPr>
          <w:rFonts w:ascii="微软雅黑" w:hAnsi="微软雅黑"/>
          <w:b/>
          <w:color w:val="00C4D8"/>
          <w:sz w:val="28"/>
          <w:szCs w:val="28"/>
        </w:rPr>
      </w:pPr>
      <w:bookmarkStart w:id="81" w:name="_Toc4246"/>
      <w:bookmarkStart w:id="82" w:name="_Toc3639"/>
      <w:bookmarkStart w:id="83" w:name="_Toc31019"/>
      <w:bookmarkStart w:id="84" w:name="_Toc12380"/>
      <w:bookmarkStart w:id="85" w:name="_Toc19901"/>
      <w:bookmarkStart w:id="86" w:name="_Toc32647"/>
      <w:bookmarkStart w:id="87" w:name="_Toc11221"/>
      <w:bookmarkStart w:id="88" w:name="_Toc2116"/>
      <w:bookmarkStart w:id="89" w:name="_Toc26244"/>
      <w:bookmarkStart w:id="90" w:name="_Toc32035"/>
      <w:bookmarkStart w:id="91" w:name="_Toc25543"/>
      <w:bookmarkStart w:id="92" w:name="_Toc621"/>
      <w:bookmarkStart w:id="93" w:name="_Toc15081"/>
      <w:bookmarkStart w:id="94" w:name="_Toc5868"/>
      <w:bookmarkStart w:id="95" w:name="_Toc18838"/>
      <w:bookmarkStart w:id="96" w:name="_Toc6223"/>
      <w:r>
        <w:rPr>
          <w:rFonts w:hint="eastAsia" w:ascii="微软雅黑" w:hAnsi="微软雅黑"/>
          <w:b/>
          <w:color w:val="00C4D8"/>
          <w:sz w:val="28"/>
          <w:szCs w:val="28"/>
        </w:rPr>
        <w:t>2.3</w:t>
      </w:r>
      <w:r>
        <w:rPr>
          <w:rFonts w:ascii="微软雅黑" w:hAnsi="微软雅黑"/>
          <w:b/>
          <w:color w:val="00C4D8"/>
          <w:sz w:val="28"/>
          <w:szCs w:val="28"/>
        </w:rPr>
        <w:t xml:space="preserve"> </w:t>
      </w:r>
      <w:bookmarkStart w:id="97" w:name="推荐临床常规靶向药物相关基因检测结果"/>
      <w:r>
        <w:rPr>
          <w:rFonts w:ascii="微软雅黑" w:hAnsi="微软雅黑"/>
          <w:b/>
          <w:color w:val="00C4D8"/>
          <w:sz w:val="28"/>
          <w:szCs w:val="28"/>
        </w:rPr>
        <w:t>NCCN 推荐临床常规靶向药物相关基因检测结果</w:t>
      </w:r>
      <w:bookmarkEnd w:id="81"/>
      <w:bookmarkEnd w:id="82"/>
      <w:bookmarkEnd w:id="83"/>
      <w:bookmarkEnd w:id="84"/>
      <w:bookmarkEnd w:id="85"/>
      <w:bookmarkEnd w:id="97"/>
      <w:r>
        <w:rPr>
          <w:rFonts w:hint="eastAsia" w:ascii="微软雅黑" w:hAnsi="微软雅黑"/>
          <w:b/>
          <w:color w:val="00C4D8"/>
          <w:sz w:val="28"/>
          <w:szCs w:val="28"/>
        </w:rPr>
        <w:t>（不限于本癌种）</w:t>
      </w:r>
    </w:p>
    <w:bookmarkEnd w:id="86"/>
    <w:bookmarkEnd w:id="87"/>
    <w:bookmarkEnd w:id="88"/>
    <w:bookmarkEnd w:id="89"/>
    <w:bookmarkEnd w:id="90"/>
    <w:bookmarkEnd w:id="91"/>
    <w:bookmarkEnd w:id="92"/>
    <w:bookmarkEnd w:id="93"/>
    <w:bookmarkEnd w:id="94"/>
    <w:bookmarkEnd w:id="95"/>
    <w:bookmarkEnd w:id="96"/>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127"/>
        <w:gridCol w:w="4536"/>
      </w:tblGrid>
      <w:tr w14:paraId="7C195E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6F19DE85">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检测基因</w:t>
            </w:r>
          </w:p>
        </w:tc>
        <w:tc>
          <w:tcPr>
            <w:tcW w:w="2127" w:type="dxa"/>
            <w:shd w:val="clear" w:color="auto" w:fill="00C4D8"/>
            <w:vAlign w:val="center"/>
          </w:tcPr>
          <w:p w14:paraId="73C4D29E">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检测内容</w:t>
            </w:r>
          </w:p>
        </w:tc>
        <w:tc>
          <w:tcPr>
            <w:tcW w:w="4536" w:type="dxa"/>
            <w:shd w:val="clear" w:color="auto" w:fill="00C4D8"/>
            <w:vAlign w:val="center"/>
          </w:tcPr>
          <w:p w14:paraId="494824A4">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检测结果</w:t>
            </w:r>
          </w:p>
        </w:tc>
      </w:tr>
      <w:tr w14:paraId="778BE4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2F65641C">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EGFR</w:t>
            </w:r>
          </w:p>
        </w:tc>
        <w:tc>
          <w:tcPr>
            <w:tcW w:w="2127" w:type="dxa"/>
            <w:vAlign w:val="center"/>
          </w:tcPr>
          <w:p w14:paraId="7FCF9F38">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18</w:t>
            </w:r>
          </w:p>
        </w:tc>
        <w:tc>
          <w:tcPr>
            <w:tcW w:w="4536" w:type="dxa"/>
            <w:vAlign w:val="center"/>
          </w:tcPr>
          <w:p w14:paraId="6A81C9B2">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未检出</w:t>
            </w:r>
          </w:p>
        </w:tc>
      </w:tr>
      <w:tr w14:paraId="0D6DD5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FAC31AE">
            <w:pPr>
              <w:spacing w:after="0"/>
              <w:jc w:val="center"/>
              <w:rPr>
                <w:rFonts w:ascii="微软雅黑" w:hAnsi="微软雅黑"/>
                <w:bCs/>
                <w:kern w:val="2"/>
                <w:sz w:val="20"/>
                <w:szCs w:val="20"/>
              </w:rPr>
            </w:pPr>
          </w:p>
        </w:tc>
        <w:tc>
          <w:tcPr>
            <w:tcW w:w="2127" w:type="dxa"/>
            <w:vAlign w:val="center"/>
          </w:tcPr>
          <w:p w14:paraId="0D9D3980">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19</w:t>
            </w:r>
          </w:p>
        </w:tc>
        <w:tc>
          <w:tcPr>
            <w:tcW w:w="4536" w:type="dxa"/>
            <w:vAlign w:val="center"/>
          </w:tcPr>
          <w:p w14:paraId="211A0AAF">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2B53AA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0211B65">
            <w:pPr>
              <w:spacing w:after="0"/>
              <w:jc w:val="center"/>
              <w:rPr>
                <w:rFonts w:ascii="微软雅黑" w:hAnsi="微软雅黑"/>
                <w:bCs/>
                <w:kern w:val="2"/>
                <w:sz w:val="20"/>
                <w:szCs w:val="20"/>
              </w:rPr>
            </w:pPr>
          </w:p>
        </w:tc>
        <w:tc>
          <w:tcPr>
            <w:tcW w:w="2127" w:type="dxa"/>
            <w:vAlign w:val="center"/>
          </w:tcPr>
          <w:p w14:paraId="19536364">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20</w:t>
            </w:r>
          </w:p>
        </w:tc>
        <w:tc>
          <w:tcPr>
            <w:tcW w:w="4536" w:type="dxa"/>
            <w:vAlign w:val="center"/>
          </w:tcPr>
          <w:p w14:paraId="69A83D59">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044500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817BF1B">
            <w:pPr>
              <w:spacing w:after="0"/>
              <w:jc w:val="center"/>
              <w:rPr>
                <w:rFonts w:ascii="微软雅黑" w:hAnsi="微软雅黑"/>
                <w:bCs/>
                <w:kern w:val="2"/>
                <w:sz w:val="20"/>
                <w:szCs w:val="20"/>
              </w:rPr>
            </w:pPr>
          </w:p>
        </w:tc>
        <w:tc>
          <w:tcPr>
            <w:tcW w:w="2127" w:type="dxa"/>
            <w:vAlign w:val="center"/>
          </w:tcPr>
          <w:p w14:paraId="26EE01A6">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21</w:t>
            </w:r>
          </w:p>
        </w:tc>
        <w:tc>
          <w:tcPr>
            <w:tcW w:w="4536" w:type="dxa"/>
            <w:vAlign w:val="center"/>
          </w:tcPr>
          <w:p w14:paraId="18D50462">
            <w:pPr>
              <w:spacing w:after="0"/>
              <w:jc w:val="center"/>
              <w:rPr>
                <w:rFonts w:hint="default" w:ascii="微软雅黑" w:hAnsi="微软雅黑"/>
                <w:bCs/>
                <w:kern w:val="2"/>
                <w:sz w:val="20"/>
                <w:szCs w:val="20"/>
                <w:lang w:val="en-US"/>
              </w:rPr>
            </w:pPr>
            <w:r>
              <w:rPr>
                <w:rFonts w:hint="eastAsia" w:ascii="微软雅黑" w:hAnsi="微软雅黑" w:cs="微软雅黑"/>
                <w:b w:val="0"/>
                <w:bCs/>
                <w:color w:val="auto"/>
                <w:kern w:val="2"/>
                <w:sz w:val="20"/>
                <w:szCs w:val="20"/>
                <w:lang w:val="en-US" w:eastAsia="zh-CN"/>
              </w:rPr>
              <w:t>未检出</w:t>
            </w:r>
          </w:p>
        </w:tc>
      </w:tr>
      <w:tr w14:paraId="044C47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5B2C7A2">
            <w:pPr>
              <w:spacing w:after="0"/>
              <w:jc w:val="center"/>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K</w:t>
            </w:r>
            <w:r>
              <w:rPr>
                <w:rFonts w:hint="eastAsia" w:ascii="微软雅黑" w:hAnsi="微软雅黑" w:cs="Arial Unicode MS"/>
                <w:b w:val="0"/>
                <w:bCs/>
                <w:kern w:val="2"/>
                <w:sz w:val="20"/>
                <w:szCs w:val="20"/>
              </w:rPr>
              <w:t>RAS</w:t>
            </w:r>
          </w:p>
        </w:tc>
        <w:tc>
          <w:tcPr>
            <w:tcW w:w="2127" w:type="dxa"/>
            <w:vAlign w:val="center"/>
          </w:tcPr>
          <w:p w14:paraId="46AD633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536" w:type="dxa"/>
            <w:vAlign w:val="center"/>
          </w:tcPr>
          <w:p w14:paraId="1E76C619">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042D2C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7F062F17">
            <w:pPr>
              <w:spacing w:after="0"/>
              <w:jc w:val="center"/>
              <w:rPr>
                <w:rFonts w:ascii="微软雅黑" w:hAnsi="微软雅黑"/>
                <w:bCs/>
                <w:kern w:val="2"/>
                <w:sz w:val="20"/>
                <w:szCs w:val="20"/>
              </w:rPr>
            </w:pPr>
          </w:p>
        </w:tc>
        <w:tc>
          <w:tcPr>
            <w:tcW w:w="2127" w:type="dxa"/>
            <w:vAlign w:val="center"/>
          </w:tcPr>
          <w:p w14:paraId="2FBB98EA">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536" w:type="dxa"/>
            <w:vAlign w:val="center"/>
          </w:tcPr>
          <w:p w14:paraId="5143ABB1">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AB526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B8A588B">
            <w:pPr>
              <w:spacing w:after="0"/>
              <w:jc w:val="center"/>
              <w:rPr>
                <w:rFonts w:ascii="微软雅黑" w:hAnsi="微软雅黑"/>
                <w:bCs/>
                <w:kern w:val="2"/>
                <w:sz w:val="20"/>
                <w:szCs w:val="20"/>
              </w:rPr>
            </w:pPr>
          </w:p>
        </w:tc>
        <w:tc>
          <w:tcPr>
            <w:tcW w:w="2127" w:type="dxa"/>
            <w:vAlign w:val="center"/>
          </w:tcPr>
          <w:p w14:paraId="35587ECD">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536" w:type="dxa"/>
            <w:vAlign w:val="center"/>
          </w:tcPr>
          <w:p w14:paraId="67F474D6">
            <w:pPr>
              <w:spacing w:after="0"/>
              <w:jc w:val="center"/>
              <w:rPr>
                <w:rFonts w:hint="default" w:ascii="微软雅黑" w:hAnsi="微软雅黑"/>
                <w:bCs/>
                <w:kern w:val="2"/>
                <w:sz w:val="20"/>
                <w:szCs w:val="20"/>
                <w:lang w:val="en-US"/>
              </w:rPr>
            </w:pPr>
            <w:r>
              <w:rPr>
                <w:rFonts w:hint="eastAsia" w:ascii="微软雅黑" w:hAnsi="微软雅黑" w:cs="微软雅黑"/>
                <w:b w:val="0"/>
                <w:bCs/>
                <w:color w:val="auto"/>
                <w:kern w:val="2"/>
                <w:sz w:val="20"/>
                <w:szCs w:val="20"/>
                <w:lang w:val="en-US" w:eastAsia="zh-CN"/>
              </w:rPr>
              <w:t>未检出</w:t>
            </w:r>
          </w:p>
        </w:tc>
      </w:tr>
      <w:tr w14:paraId="6E4467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4749E65">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ALK</w:t>
            </w:r>
          </w:p>
        </w:tc>
        <w:tc>
          <w:tcPr>
            <w:tcW w:w="2127" w:type="dxa"/>
            <w:vAlign w:val="center"/>
          </w:tcPr>
          <w:p w14:paraId="2E63265A">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5AF2EF59">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CF1F9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6C875C94">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ROS1</w:t>
            </w:r>
          </w:p>
        </w:tc>
        <w:tc>
          <w:tcPr>
            <w:tcW w:w="2127" w:type="dxa"/>
            <w:vAlign w:val="center"/>
          </w:tcPr>
          <w:p w14:paraId="7BA4FB20">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61CA12D6">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50618A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B3BC8BD">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RET</w:t>
            </w:r>
          </w:p>
        </w:tc>
        <w:tc>
          <w:tcPr>
            <w:tcW w:w="2127" w:type="dxa"/>
            <w:vAlign w:val="center"/>
          </w:tcPr>
          <w:p w14:paraId="255056EA">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1CACBD5D">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48E571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06C10CD">
            <w:pPr>
              <w:spacing w:after="0"/>
              <w:jc w:val="center"/>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ER</w:t>
            </w:r>
            <w:r>
              <w:rPr>
                <w:rFonts w:hint="eastAsia" w:ascii="微软雅黑" w:hAnsi="微软雅黑" w:cs="Arial Unicode MS"/>
                <w:b w:val="0"/>
                <w:bCs/>
                <w:kern w:val="2"/>
                <w:sz w:val="20"/>
                <w:szCs w:val="20"/>
                <w:lang w:val="en-US" w:eastAsia="zh-CN"/>
              </w:rPr>
              <w:t>BB</w:t>
            </w:r>
            <w:r>
              <w:rPr>
                <w:rFonts w:hint="eastAsia" w:ascii="微软雅黑" w:hAnsi="微软雅黑" w:cs="Arial Unicode MS"/>
                <w:b w:val="0"/>
                <w:bCs/>
                <w:kern w:val="2"/>
                <w:sz w:val="20"/>
                <w:szCs w:val="20"/>
              </w:rPr>
              <w:t>2</w:t>
            </w:r>
          </w:p>
          <w:p w14:paraId="303394AF">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w:t>
            </w:r>
            <w:r>
              <w:rPr>
                <w:rFonts w:hint="eastAsia" w:ascii="微软雅黑" w:hAnsi="微软雅黑" w:cs="Arial Unicode MS"/>
                <w:b w:val="0"/>
                <w:bCs/>
                <w:kern w:val="2"/>
                <w:sz w:val="20"/>
                <w:szCs w:val="20"/>
                <w:lang w:val="en-US" w:eastAsia="zh-CN"/>
              </w:rPr>
              <w:t>HER2</w:t>
            </w:r>
            <w:r>
              <w:rPr>
                <w:rFonts w:hint="eastAsia" w:ascii="微软雅黑" w:hAnsi="微软雅黑" w:cs="Arial Unicode MS"/>
                <w:b w:val="0"/>
                <w:bCs/>
                <w:kern w:val="2"/>
                <w:sz w:val="20"/>
                <w:szCs w:val="20"/>
                <w:lang w:eastAsia="zh-CN"/>
              </w:rPr>
              <w:t>）</w:t>
            </w:r>
          </w:p>
        </w:tc>
        <w:tc>
          <w:tcPr>
            <w:tcW w:w="2127" w:type="dxa"/>
            <w:vAlign w:val="center"/>
          </w:tcPr>
          <w:p w14:paraId="5CCBABA7">
            <w:pPr>
              <w:spacing w:after="0"/>
              <w:jc w:val="center"/>
              <w:rPr>
                <w:rFonts w:ascii="微软雅黑" w:hAnsi="微软雅黑"/>
                <w:bCs/>
                <w:kern w:val="2"/>
                <w:sz w:val="20"/>
                <w:szCs w:val="20"/>
              </w:rPr>
            </w:pPr>
            <w:r>
              <w:rPr>
                <w:rFonts w:hint="eastAsia" w:ascii="微软雅黑" w:hAnsi="微软雅黑" w:cs="Arial Unicode MS"/>
                <w:b w:val="0"/>
                <w:bCs/>
                <w:kern w:val="2"/>
                <w:sz w:val="20"/>
                <w:szCs w:val="20"/>
                <w:highlight w:val="none"/>
                <w:lang w:eastAsia="zh-CN"/>
              </w:rPr>
              <w:t>突变</w:t>
            </w:r>
          </w:p>
        </w:tc>
        <w:tc>
          <w:tcPr>
            <w:tcW w:w="4536" w:type="dxa"/>
            <w:vAlign w:val="center"/>
          </w:tcPr>
          <w:p w14:paraId="31B826F0">
            <w:pPr>
              <w:spacing w:after="0"/>
              <w:jc w:val="center"/>
              <w:rPr>
                <w:rFonts w:hint="eastAsia" w:ascii="微软雅黑" w:hAnsi="微软雅黑" w:eastAsia="微软雅黑"/>
                <w:bCs/>
                <w:kern w:val="2"/>
                <w:sz w:val="20"/>
                <w:szCs w:val="20"/>
                <w:lang w:eastAsia="zh-CN"/>
              </w:rPr>
            </w:pPr>
            <w:r>
              <w:rPr>
                <w:rFonts w:hint="eastAsia" w:ascii="微软雅黑" w:hAnsi="微软雅黑" w:cs="微软雅黑"/>
                <w:b w:val="0"/>
                <w:bCs/>
                <w:color w:val="auto"/>
                <w:kern w:val="2"/>
                <w:sz w:val="20"/>
                <w:szCs w:val="20"/>
                <w:lang w:val="en-US" w:eastAsia="zh-CN"/>
              </w:rPr>
              <w:t>未检出</w:t>
            </w:r>
          </w:p>
        </w:tc>
      </w:tr>
      <w:tr w14:paraId="0F668A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64EC7E">
            <w:pPr>
              <w:spacing w:after="0"/>
              <w:jc w:val="center"/>
              <w:rPr>
                <w:rFonts w:ascii="微软雅黑" w:hAnsi="微软雅黑"/>
                <w:bCs/>
                <w:kern w:val="2"/>
                <w:sz w:val="20"/>
                <w:szCs w:val="20"/>
              </w:rPr>
            </w:pPr>
          </w:p>
        </w:tc>
        <w:tc>
          <w:tcPr>
            <w:tcW w:w="2127" w:type="dxa"/>
            <w:vAlign w:val="center"/>
          </w:tcPr>
          <w:p w14:paraId="2EB0DC8C">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536" w:type="dxa"/>
            <w:vAlign w:val="center"/>
          </w:tcPr>
          <w:p w14:paraId="39C45024">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57ECDC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28E0CB5A">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PIK3CA</w:t>
            </w:r>
          </w:p>
        </w:tc>
        <w:tc>
          <w:tcPr>
            <w:tcW w:w="2127" w:type="dxa"/>
            <w:vAlign w:val="center"/>
          </w:tcPr>
          <w:p w14:paraId="0DB214D0">
            <w:pPr>
              <w:spacing w:after="0"/>
              <w:jc w:val="center"/>
              <w:rPr>
                <w:rFonts w:hint="default" w:ascii="微软雅黑" w:hAnsi="微软雅黑" w:eastAsia="微软雅黑" w:cs="Arial Unicode MS"/>
                <w:bCs/>
                <w:kern w:val="2"/>
                <w:sz w:val="20"/>
                <w:szCs w:val="20"/>
                <w:lang w:val="en-US" w:eastAsia="zh-CN"/>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10</w:t>
            </w:r>
          </w:p>
        </w:tc>
        <w:tc>
          <w:tcPr>
            <w:tcW w:w="4536" w:type="dxa"/>
            <w:vAlign w:val="center"/>
          </w:tcPr>
          <w:p w14:paraId="425536E5">
            <w:pPr>
              <w:spacing w:after="0"/>
              <w:jc w:val="center"/>
              <w:outlineLvl w:val="9"/>
              <w:rPr>
                <w:rFonts w:hint="eastAsia" w:ascii="微软雅黑" w:hAnsi="微软雅黑" w:eastAsia="微软雅黑"/>
                <w:bCs/>
                <w:kern w:val="2"/>
                <w:sz w:val="20"/>
                <w:szCs w:val="20"/>
                <w:lang w:eastAsia="zh-CN"/>
              </w:rPr>
            </w:pPr>
            <w:r>
              <w:rPr>
                <w:rFonts w:hint="eastAsia" w:ascii="微软雅黑" w:hAnsi="微软雅黑" w:cs="微软雅黑"/>
                <w:b w:val="0"/>
                <w:bCs/>
                <w:color w:val="auto"/>
                <w:kern w:val="2"/>
                <w:sz w:val="20"/>
                <w:szCs w:val="20"/>
                <w:lang w:val="en-US" w:eastAsia="zh-CN"/>
              </w:rPr>
              <w:t>未检出</w:t>
            </w:r>
          </w:p>
        </w:tc>
      </w:tr>
      <w:tr w14:paraId="1C0ACE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16B2125">
            <w:pPr>
              <w:spacing w:after="0"/>
              <w:jc w:val="center"/>
              <w:rPr>
                <w:rFonts w:ascii="微软雅黑" w:hAnsi="微软雅黑" w:cs="Arial Unicode MS"/>
                <w:bCs/>
                <w:kern w:val="2"/>
                <w:sz w:val="20"/>
                <w:szCs w:val="20"/>
              </w:rPr>
            </w:pPr>
          </w:p>
        </w:tc>
        <w:tc>
          <w:tcPr>
            <w:tcW w:w="2127" w:type="dxa"/>
            <w:vAlign w:val="center"/>
          </w:tcPr>
          <w:p w14:paraId="08733945">
            <w:pPr>
              <w:spacing w:after="0"/>
              <w:jc w:val="center"/>
              <w:rPr>
                <w:rFonts w:hint="default" w:ascii="微软雅黑" w:hAnsi="微软雅黑" w:cs="Arial Unicode MS"/>
                <w:bCs/>
                <w:kern w:val="2"/>
                <w:sz w:val="20"/>
                <w:szCs w:val="20"/>
                <w:lang w:val="en-US"/>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21</w:t>
            </w:r>
          </w:p>
        </w:tc>
        <w:tc>
          <w:tcPr>
            <w:tcW w:w="4536" w:type="dxa"/>
            <w:vAlign w:val="center"/>
          </w:tcPr>
          <w:p w14:paraId="0492888B">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79FE5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17DFB73">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MET</w:t>
            </w:r>
          </w:p>
        </w:tc>
        <w:tc>
          <w:tcPr>
            <w:tcW w:w="2127" w:type="dxa"/>
            <w:vAlign w:val="center"/>
          </w:tcPr>
          <w:p w14:paraId="73F88900">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外显子14</w:t>
            </w:r>
            <w:r>
              <w:rPr>
                <w:rFonts w:hint="eastAsia" w:ascii="微软雅黑" w:hAnsi="微软雅黑" w:cs="Arial Unicode MS"/>
                <w:b w:val="0"/>
                <w:bCs/>
                <w:kern w:val="2"/>
                <w:sz w:val="20"/>
                <w:szCs w:val="20"/>
                <w:lang w:eastAsia="zh-CN"/>
              </w:rPr>
              <w:t>跳跃</w:t>
            </w:r>
          </w:p>
        </w:tc>
        <w:tc>
          <w:tcPr>
            <w:tcW w:w="4536" w:type="dxa"/>
            <w:vAlign w:val="center"/>
          </w:tcPr>
          <w:p w14:paraId="1F86F20D">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4DC2A8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6AE77D3">
            <w:pPr>
              <w:spacing w:after="0"/>
              <w:jc w:val="center"/>
              <w:rPr>
                <w:rFonts w:ascii="微软雅黑" w:hAnsi="微软雅黑"/>
                <w:bCs/>
                <w:kern w:val="2"/>
                <w:sz w:val="20"/>
                <w:szCs w:val="20"/>
              </w:rPr>
            </w:pPr>
          </w:p>
        </w:tc>
        <w:tc>
          <w:tcPr>
            <w:tcW w:w="2127" w:type="dxa"/>
            <w:vAlign w:val="center"/>
          </w:tcPr>
          <w:p w14:paraId="1014D299">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536" w:type="dxa"/>
            <w:vAlign w:val="center"/>
          </w:tcPr>
          <w:p w14:paraId="58BBDCD5">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C0ECC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93F12C1">
            <w:pPr>
              <w:spacing w:after="0"/>
              <w:jc w:val="center"/>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NRAS</w:t>
            </w:r>
          </w:p>
        </w:tc>
        <w:tc>
          <w:tcPr>
            <w:tcW w:w="2127" w:type="dxa"/>
            <w:vAlign w:val="center"/>
          </w:tcPr>
          <w:p w14:paraId="5D132D5D">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536" w:type="dxa"/>
            <w:vAlign w:val="center"/>
          </w:tcPr>
          <w:p w14:paraId="755DB0F0">
            <w:pPr>
              <w:spacing w:after="0"/>
              <w:jc w:val="center"/>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3BE580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5F534E2">
            <w:pPr>
              <w:spacing w:after="0"/>
              <w:jc w:val="center"/>
              <w:rPr>
                <w:rFonts w:hint="eastAsia" w:ascii="微软雅黑" w:hAnsi="微软雅黑" w:cs="Arial Unicode MS"/>
                <w:b w:val="0"/>
                <w:bCs/>
                <w:kern w:val="2"/>
                <w:sz w:val="20"/>
                <w:szCs w:val="20"/>
              </w:rPr>
            </w:pPr>
          </w:p>
        </w:tc>
        <w:tc>
          <w:tcPr>
            <w:tcW w:w="2127" w:type="dxa"/>
            <w:vAlign w:val="center"/>
          </w:tcPr>
          <w:p w14:paraId="2FD1149E">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536" w:type="dxa"/>
            <w:vAlign w:val="center"/>
          </w:tcPr>
          <w:p w14:paraId="7B04F198">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02C286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5CBB0FFB">
            <w:pPr>
              <w:spacing w:after="0"/>
              <w:jc w:val="center"/>
              <w:rPr>
                <w:rFonts w:hint="eastAsia" w:ascii="微软雅黑" w:hAnsi="微软雅黑" w:cs="Arial Unicode MS"/>
                <w:b w:val="0"/>
                <w:bCs/>
                <w:kern w:val="2"/>
                <w:sz w:val="20"/>
                <w:szCs w:val="20"/>
              </w:rPr>
            </w:pPr>
          </w:p>
        </w:tc>
        <w:tc>
          <w:tcPr>
            <w:tcW w:w="2127" w:type="dxa"/>
            <w:vAlign w:val="center"/>
          </w:tcPr>
          <w:p w14:paraId="1EF07021">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536" w:type="dxa"/>
            <w:vAlign w:val="center"/>
          </w:tcPr>
          <w:p w14:paraId="28B98FA7">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403086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E38E413">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BRAF</w:t>
            </w:r>
          </w:p>
        </w:tc>
        <w:tc>
          <w:tcPr>
            <w:tcW w:w="2127" w:type="dxa"/>
            <w:vAlign w:val="center"/>
          </w:tcPr>
          <w:p w14:paraId="4633452C">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密码子</w:t>
            </w:r>
            <w:r>
              <w:rPr>
                <w:rFonts w:hint="eastAsia" w:ascii="微软雅黑" w:hAnsi="微软雅黑" w:cs="Arial Unicode MS"/>
                <w:b w:val="0"/>
                <w:bCs/>
                <w:kern w:val="2"/>
                <w:sz w:val="20"/>
                <w:szCs w:val="20"/>
              </w:rPr>
              <w:t>600</w:t>
            </w:r>
          </w:p>
        </w:tc>
        <w:tc>
          <w:tcPr>
            <w:tcW w:w="4536" w:type="dxa"/>
            <w:vAlign w:val="center"/>
          </w:tcPr>
          <w:p w14:paraId="0FBD2DBB">
            <w:pPr>
              <w:spacing w:after="0"/>
              <w:jc w:val="center"/>
              <w:rPr>
                <w:rFonts w:hint="eastAsia" w:ascii="微软雅黑" w:hAnsi="微软雅黑" w:eastAsia="微软雅黑" w:cs="Arial Unicode MS"/>
                <w:bCs/>
                <w:kern w:val="2"/>
                <w:sz w:val="20"/>
                <w:szCs w:val="20"/>
                <w:lang w:eastAsia="zh-CN"/>
              </w:rPr>
            </w:pPr>
            <w:r>
              <w:rPr>
                <w:rFonts w:hint="eastAsia" w:ascii="微软雅黑" w:hAnsi="微软雅黑" w:cs="微软雅黑"/>
                <w:b w:val="0"/>
                <w:bCs/>
                <w:color w:val="auto"/>
                <w:kern w:val="2"/>
                <w:sz w:val="20"/>
                <w:szCs w:val="20"/>
                <w:lang w:val="en-US" w:eastAsia="zh-CN"/>
              </w:rPr>
              <w:t>未检出</w:t>
            </w:r>
          </w:p>
        </w:tc>
      </w:tr>
      <w:tr w14:paraId="4A79CD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2146F437">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FGFR1/2/3</w:t>
            </w:r>
          </w:p>
        </w:tc>
        <w:tc>
          <w:tcPr>
            <w:tcW w:w="2127" w:type="dxa"/>
            <w:vAlign w:val="center"/>
          </w:tcPr>
          <w:p w14:paraId="12CA281E">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突变</w:t>
            </w:r>
          </w:p>
        </w:tc>
        <w:tc>
          <w:tcPr>
            <w:tcW w:w="4536" w:type="dxa"/>
            <w:vAlign w:val="center"/>
          </w:tcPr>
          <w:p w14:paraId="5DC0F21A">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4B4CBE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CCF7218">
            <w:pPr>
              <w:spacing w:after="0"/>
              <w:jc w:val="center"/>
              <w:rPr>
                <w:rFonts w:hint="eastAsia" w:ascii="微软雅黑" w:hAnsi="微软雅黑" w:cs="Arial Unicode MS"/>
                <w:b w:val="0"/>
                <w:bCs/>
                <w:kern w:val="2"/>
                <w:sz w:val="20"/>
                <w:szCs w:val="20"/>
                <w:lang w:val="en-US" w:eastAsia="zh-CN"/>
              </w:rPr>
            </w:pPr>
          </w:p>
        </w:tc>
        <w:tc>
          <w:tcPr>
            <w:tcW w:w="2127" w:type="dxa"/>
            <w:vAlign w:val="center"/>
          </w:tcPr>
          <w:p w14:paraId="6324A797">
            <w:pPr>
              <w:spacing w:after="0"/>
              <w:jc w:val="center"/>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融合</w:t>
            </w:r>
          </w:p>
        </w:tc>
        <w:tc>
          <w:tcPr>
            <w:tcW w:w="4536" w:type="dxa"/>
            <w:vAlign w:val="center"/>
          </w:tcPr>
          <w:p w14:paraId="19E7536E">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0DF6E5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8D86DCA">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NTRK1/2/3</w:t>
            </w:r>
          </w:p>
        </w:tc>
        <w:tc>
          <w:tcPr>
            <w:tcW w:w="2127" w:type="dxa"/>
            <w:vAlign w:val="center"/>
          </w:tcPr>
          <w:p w14:paraId="46F52CE3">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536" w:type="dxa"/>
            <w:vAlign w:val="center"/>
          </w:tcPr>
          <w:p w14:paraId="444364F5">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690421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0577D62">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KIT</w:t>
            </w:r>
          </w:p>
        </w:tc>
        <w:tc>
          <w:tcPr>
            <w:tcW w:w="2127" w:type="dxa"/>
            <w:vAlign w:val="center"/>
          </w:tcPr>
          <w:p w14:paraId="241A303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外显子9</w:t>
            </w:r>
          </w:p>
        </w:tc>
        <w:tc>
          <w:tcPr>
            <w:tcW w:w="4536" w:type="dxa"/>
            <w:vAlign w:val="center"/>
          </w:tcPr>
          <w:p w14:paraId="23C0736D">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2519C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0FEDC3E">
            <w:pPr>
              <w:spacing w:after="0"/>
              <w:jc w:val="center"/>
              <w:rPr>
                <w:rFonts w:ascii="微软雅黑" w:hAnsi="微软雅黑" w:cs="Arial Unicode MS"/>
                <w:bCs/>
                <w:kern w:val="2"/>
                <w:sz w:val="20"/>
                <w:szCs w:val="20"/>
              </w:rPr>
            </w:pPr>
          </w:p>
        </w:tc>
        <w:tc>
          <w:tcPr>
            <w:tcW w:w="2127" w:type="dxa"/>
            <w:vAlign w:val="center"/>
          </w:tcPr>
          <w:p w14:paraId="422C5542">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11</w:t>
            </w:r>
          </w:p>
        </w:tc>
        <w:tc>
          <w:tcPr>
            <w:tcW w:w="4536" w:type="dxa"/>
            <w:vAlign w:val="center"/>
          </w:tcPr>
          <w:p w14:paraId="206704B4">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25708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9AAC60A">
            <w:pPr>
              <w:spacing w:after="0"/>
              <w:jc w:val="center"/>
              <w:rPr>
                <w:rFonts w:ascii="微软雅黑" w:hAnsi="微软雅黑" w:cs="Arial Unicode MS"/>
                <w:bCs/>
                <w:kern w:val="2"/>
                <w:sz w:val="20"/>
                <w:szCs w:val="20"/>
              </w:rPr>
            </w:pPr>
          </w:p>
        </w:tc>
        <w:tc>
          <w:tcPr>
            <w:tcW w:w="2127" w:type="dxa"/>
            <w:vAlign w:val="center"/>
          </w:tcPr>
          <w:p w14:paraId="59B684AB">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13</w:t>
            </w:r>
          </w:p>
        </w:tc>
        <w:tc>
          <w:tcPr>
            <w:tcW w:w="4536" w:type="dxa"/>
            <w:vAlign w:val="center"/>
          </w:tcPr>
          <w:p w14:paraId="2551CE02">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70388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6B60345">
            <w:pPr>
              <w:spacing w:after="0"/>
              <w:jc w:val="center"/>
              <w:rPr>
                <w:rFonts w:ascii="微软雅黑" w:hAnsi="微软雅黑" w:cs="Arial Unicode MS"/>
                <w:bCs/>
                <w:kern w:val="2"/>
                <w:sz w:val="20"/>
                <w:szCs w:val="20"/>
              </w:rPr>
            </w:pPr>
          </w:p>
        </w:tc>
        <w:tc>
          <w:tcPr>
            <w:tcW w:w="2127" w:type="dxa"/>
            <w:vAlign w:val="center"/>
          </w:tcPr>
          <w:p w14:paraId="46239ED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17</w:t>
            </w:r>
          </w:p>
        </w:tc>
        <w:tc>
          <w:tcPr>
            <w:tcW w:w="4536" w:type="dxa"/>
            <w:vAlign w:val="center"/>
          </w:tcPr>
          <w:p w14:paraId="76C719C2">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138362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35FA07D">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PDGFRA</w:t>
            </w:r>
          </w:p>
        </w:tc>
        <w:tc>
          <w:tcPr>
            <w:tcW w:w="2127" w:type="dxa"/>
            <w:vAlign w:val="center"/>
          </w:tcPr>
          <w:p w14:paraId="3AF09E75">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外显子12</w:t>
            </w:r>
          </w:p>
        </w:tc>
        <w:tc>
          <w:tcPr>
            <w:tcW w:w="4536" w:type="dxa"/>
            <w:vAlign w:val="center"/>
          </w:tcPr>
          <w:p w14:paraId="2FCF2C49">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7E303A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E56C0ED">
            <w:pPr>
              <w:spacing w:after="0"/>
              <w:jc w:val="center"/>
              <w:rPr>
                <w:rFonts w:ascii="微软雅黑" w:hAnsi="微软雅黑" w:cs="Arial Unicode MS"/>
                <w:bCs/>
                <w:kern w:val="2"/>
                <w:sz w:val="20"/>
                <w:szCs w:val="20"/>
              </w:rPr>
            </w:pPr>
          </w:p>
        </w:tc>
        <w:tc>
          <w:tcPr>
            <w:tcW w:w="2127" w:type="dxa"/>
            <w:vAlign w:val="center"/>
          </w:tcPr>
          <w:p w14:paraId="470387F6">
            <w:pPr>
              <w:spacing w:after="0"/>
              <w:jc w:val="center"/>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14</w:t>
            </w:r>
          </w:p>
        </w:tc>
        <w:tc>
          <w:tcPr>
            <w:tcW w:w="4536" w:type="dxa"/>
            <w:vAlign w:val="center"/>
          </w:tcPr>
          <w:p w14:paraId="1BBF238F">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F8AD8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F8017F3">
            <w:pPr>
              <w:spacing w:after="0"/>
              <w:jc w:val="center"/>
              <w:rPr>
                <w:rFonts w:ascii="微软雅黑" w:hAnsi="微软雅黑" w:cs="Arial Unicode MS"/>
                <w:bCs/>
                <w:kern w:val="2"/>
                <w:sz w:val="20"/>
                <w:szCs w:val="20"/>
              </w:rPr>
            </w:pPr>
          </w:p>
        </w:tc>
        <w:tc>
          <w:tcPr>
            <w:tcW w:w="2127" w:type="dxa"/>
            <w:vAlign w:val="center"/>
          </w:tcPr>
          <w:p w14:paraId="19A268C1">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rPr>
              <w:t>外显子18</w:t>
            </w:r>
          </w:p>
        </w:tc>
        <w:tc>
          <w:tcPr>
            <w:tcW w:w="4536" w:type="dxa"/>
            <w:vAlign w:val="center"/>
          </w:tcPr>
          <w:p w14:paraId="05903FF1">
            <w:pPr>
              <w:spacing w:after="0"/>
              <w:jc w:val="center"/>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14:paraId="3B7015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E8CCE45">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BRCA1/2</w:t>
            </w:r>
          </w:p>
        </w:tc>
        <w:tc>
          <w:tcPr>
            <w:tcW w:w="2127" w:type="dxa"/>
            <w:vAlign w:val="center"/>
          </w:tcPr>
          <w:p w14:paraId="307643C0">
            <w:pPr>
              <w:spacing w:after="0"/>
              <w:jc w:val="center"/>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突变</w:t>
            </w:r>
          </w:p>
        </w:tc>
        <w:tc>
          <w:tcPr>
            <w:tcW w:w="4536" w:type="dxa"/>
            <w:vAlign w:val="center"/>
          </w:tcPr>
          <w:p w14:paraId="65ECAA2B">
            <w:pPr>
              <w:spacing w:after="0"/>
              <w:jc w:val="center"/>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14:paraId="72A5C2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5F4B4966">
            <w:pPr>
              <w:spacing w:after="0"/>
              <w:jc w:val="center"/>
              <w:rPr>
                <w:rFonts w:hint="eastAsia" w:ascii="微软雅黑" w:hAnsi="微软雅黑" w:cs="Arial Unicode MS"/>
                <w:b w:val="0"/>
                <w:bCs/>
                <w:kern w:val="2"/>
                <w:sz w:val="20"/>
                <w:szCs w:val="20"/>
                <w:lang w:val="en-US" w:eastAsia="zh-CN"/>
              </w:rPr>
            </w:pPr>
            <w:r>
              <w:rPr>
                <w:rFonts w:hint="eastAsia" w:ascii="微软雅黑" w:hAnsi="微软雅黑" w:cs="微软雅黑"/>
                <w:color w:val="auto"/>
                <w:kern w:val="2"/>
                <w:sz w:val="20"/>
                <w:szCs w:val="20"/>
                <w:highlight w:val="none"/>
                <w:lang w:val="en-US" w:eastAsia="zh-CN"/>
              </w:rPr>
              <w:t>IDH1/2</w:t>
            </w:r>
          </w:p>
        </w:tc>
        <w:tc>
          <w:tcPr>
            <w:tcW w:w="2127" w:type="dxa"/>
            <w:vAlign w:val="center"/>
          </w:tcPr>
          <w:p w14:paraId="58F8B8E8">
            <w:pPr>
              <w:spacing w:after="0"/>
              <w:jc w:val="center"/>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突变</w:t>
            </w:r>
          </w:p>
        </w:tc>
        <w:tc>
          <w:tcPr>
            <w:tcW w:w="4536" w:type="dxa"/>
            <w:vAlign w:val="center"/>
          </w:tcPr>
          <w:p w14:paraId="197CDCA9">
            <w:pPr>
              <w:spacing w:after="0"/>
              <w:jc w:val="center"/>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bl>
    <w:p w14:paraId="7A2F1C8C">
      <w:pPr>
        <w:keepNext w:val="0"/>
        <w:keepLines w:val="0"/>
        <w:pageBreakBefore w:val="0"/>
        <w:widowControl/>
        <w:kinsoku/>
        <w:wordWrap/>
        <w:overflowPunct/>
        <w:topLinePunct w:val="0"/>
        <w:autoSpaceDE/>
        <w:autoSpaceDN/>
        <w:bidi w:val="0"/>
        <w:adjustRightInd/>
        <w:snapToGrid/>
        <w:spacing w:after="0" w:line="220" w:lineRule="atLeast"/>
        <w:textAlignment w:val="auto"/>
        <w:rPr>
          <w:rFonts w:hint="eastAsia"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01269D6F">
      <w:pPr>
        <w:keepNext w:val="0"/>
        <w:keepLines w:val="0"/>
        <w:pageBreakBefore w:val="0"/>
        <w:widowControl/>
        <w:kinsoku/>
        <w:wordWrap/>
        <w:overflowPunct/>
        <w:topLinePunct w:val="0"/>
        <w:autoSpaceDE/>
        <w:autoSpaceDN/>
        <w:bidi w:val="0"/>
        <w:adjustRightInd/>
        <w:snapToGrid/>
        <w:spacing w:after="0" w:line="220" w:lineRule="atLeast"/>
        <w:ind w:firstLine="360" w:firstLineChars="200"/>
        <w:textAlignment w:val="auto"/>
        <w:rPr>
          <w:rFonts w:hint="eastAsia"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62B70F8C">
      <w:pPr>
        <w:keepNext w:val="0"/>
        <w:keepLines w:val="0"/>
        <w:pageBreakBefore w:val="0"/>
        <w:widowControl/>
        <w:kinsoku/>
        <w:wordWrap/>
        <w:overflowPunct/>
        <w:topLinePunct w:val="0"/>
        <w:autoSpaceDE/>
        <w:autoSpaceDN/>
        <w:bidi w:val="0"/>
        <w:adjustRightInd w:val="0"/>
        <w:snapToGrid w:val="0"/>
        <w:spacing w:after="0"/>
        <w:jc w:val="both"/>
        <w:textAlignment w:val="auto"/>
        <w:rPr>
          <w:rFonts w:hint="eastAsia" w:ascii="微软雅黑" w:hAnsi="微软雅黑" w:cs="微软雅黑"/>
          <w:b/>
          <w:color w:val="00C4D8"/>
          <w:sz w:val="24"/>
          <w:szCs w:val="24"/>
        </w:rPr>
      </w:pPr>
    </w:p>
    <w:p w14:paraId="01702E2F">
      <w:pPr>
        <w:keepNext w:val="0"/>
        <w:keepLines w:val="0"/>
        <w:pageBreakBefore w:val="0"/>
        <w:widowControl/>
        <w:kinsoku/>
        <w:wordWrap/>
        <w:overflowPunct/>
        <w:topLinePunct w:val="0"/>
        <w:autoSpaceDE/>
        <w:autoSpaceDN/>
        <w:bidi w:val="0"/>
        <w:adjustRightInd w:val="0"/>
        <w:snapToGrid w:val="0"/>
        <w:spacing w:after="0"/>
        <w:jc w:val="both"/>
        <w:textAlignment w:val="auto"/>
        <w:rPr>
          <w:rFonts w:ascii="微软雅黑" w:hAnsi="微软雅黑" w:cs="微软雅黑"/>
          <w:b/>
          <w:color w:val="00C4D8"/>
          <w:sz w:val="24"/>
          <w:szCs w:val="24"/>
        </w:rPr>
      </w:pPr>
      <w:r>
        <w:rPr>
          <w:rFonts w:hint="eastAsia" w:ascii="微软雅黑" w:hAnsi="微软雅黑" w:cs="微软雅黑"/>
          <w:b/>
          <w:color w:val="00C4D8"/>
          <w:sz w:val="24"/>
          <w:szCs w:val="24"/>
        </w:rPr>
        <w:t>结肠癌NCCN指南（202</w:t>
      </w:r>
      <w:r>
        <w:rPr>
          <w:rFonts w:hint="eastAsia" w:ascii="微软雅黑" w:hAnsi="微软雅黑" w:cs="微软雅黑"/>
          <w:b/>
          <w:color w:val="00C4D8"/>
          <w:sz w:val="24"/>
          <w:szCs w:val="24"/>
          <w:lang w:val="en-US" w:eastAsia="zh-CN"/>
        </w:rPr>
        <w:t>2</w:t>
      </w:r>
      <w:r>
        <w:rPr>
          <w:rFonts w:hint="eastAsia" w:ascii="微软雅黑" w:hAnsi="微软雅黑" w:cs="微软雅黑"/>
          <w:b/>
          <w:color w:val="00C4D8"/>
          <w:sz w:val="24"/>
          <w:szCs w:val="24"/>
        </w:rPr>
        <w:t xml:space="preserve"> V</w:t>
      </w:r>
      <w:r>
        <w:rPr>
          <w:rFonts w:hint="eastAsia" w:ascii="微软雅黑" w:hAnsi="微软雅黑" w:cs="微软雅黑"/>
          <w:b/>
          <w:color w:val="00C4D8"/>
          <w:sz w:val="24"/>
          <w:szCs w:val="24"/>
          <w:lang w:val="en-US" w:eastAsia="zh-CN"/>
        </w:rPr>
        <w:t>1</w:t>
      </w:r>
      <w:r>
        <w:rPr>
          <w:rFonts w:hint="eastAsia" w:ascii="微软雅黑" w:hAnsi="微软雅黑" w:cs="微软雅黑"/>
          <w:b/>
          <w:color w:val="00C4D8"/>
          <w:sz w:val="24"/>
          <w:szCs w:val="24"/>
        </w:rPr>
        <w:t>）和直肠癌NCCN指南（202</w:t>
      </w:r>
      <w:r>
        <w:rPr>
          <w:rFonts w:hint="eastAsia" w:ascii="微软雅黑" w:hAnsi="微软雅黑" w:cs="微软雅黑"/>
          <w:b/>
          <w:color w:val="00C4D8"/>
          <w:sz w:val="24"/>
          <w:szCs w:val="24"/>
          <w:lang w:val="en-US" w:eastAsia="zh-CN"/>
        </w:rPr>
        <w:t>2</w:t>
      </w:r>
      <w:r>
        <w:rPr>
          <w:rFonts w:hint="eastAsia" w:ascii="微软雅黑" w:hAnsi="微软雅黑" w:cs="微软雅黑"/>
          <w:b/>
          <w:color w:val="00C4D8"/>
          <w:sz w:val="24"/>
          <w:szCs w:val="24"/>
        </w:rPr>
        <w:t xml:space="preserve"> V</w:t>
      </w:r>
      <w:r>
        <w:rPr>
          <w:rFonts w:hint="eastAsia" w:ascii="微软雅黑" w:hAnsi="微软雅黑" w:cs="微软雅黑"/>
          <w:b/>
          <w:color w:val="00C4D8"/>
          <w:sz w:val="24"/>
          <w:szCs w:val="24"/>
          <w:lang w:val="en-US" w:eastAsia="zh-CN"/>
        </w:rPr>
        <w:t>1</w:t>
      </w:r>
      <w:r>
        <w:rPr>
          <w:rFonts w:hint="eastAsia" w:ascii="微软雅黑" w:hAnsi="微软雅黑" w:cs="微软雅黑"/>
          <w:b/>
          <w:color w:val="00C4D8"/>
          <w:sz w:val="24"/>
          <w:szCs w:val="24"/>
        </w:rPr>
        <w:t>）</w:t>
      </w:r>
    </w:p>
    <w:p w14:paraId="3F056BAE">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rPr>
        <w:t>帕尼单抗±化疗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针对结肠癌：仅限于左半结肠，即</w:t>
      </w:r>
      <w:r>
        <w:rPr>
          <w:rFonts w:ascii="微软雅黑" w:hAnsi="微软雅黑" w:eastAsia="微软雅黑" w:cs="微软雅黑"/>
          <w:i w:val="0"/>
          <w:iCs w:val="0"/>
          <w:caps w:val="0"/>
          <w:color w:val="222222"/>
          <w:spacing w:val="0"/>
          <w:sz w:val="21"/>
          <w:szCs w:val="21"/>
          <w:shd w:val="clear" w:color="auto" w:fill="FFFFFF"/>
        </w:rPr>
        <w:t>脾曲至直肠</w:t>
      </w:r>
      <w:r>
        <w:rPr>
          <w:rFonts w:hint="eastAsia" w:ascii="微软雅黑" w:hAnsi="微软雅黑" w:cs="微软雅黑"/>
          <w:i w:val="0"/>
          <w:iCs w:val="0"/>
          <w:caps w:val="0"/>
          <w:color w:val="222222"/>
          <w:spacing w:val="0"/>
          <w:sz w:val="21"/>
          <w:szCs w:val="21"/>
          <w:shd w:val="clear" w:color="auto" w:fill="FFFFFF"/>
          <w:lang w:val="en-US" w:eastAsia="zh-CN"/>
        </w:rPr>
        <w:t>段</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rPr>
        <w:t>；</w:t>
      </w:r>
    </w:p>
    <w:p w14:paraId="3EC6DBBF">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1B299F4B">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w:t>
      </w:r>
      <w:r>
        <w:rPr>
          <w:rFonts w:hint="eastAsia" w:ascii="微软雅黑" w:hAnsi="微软雅黑" w:cs="微软雅黑"/>
          <w:sz w:val="21"/>
          <w:szCs w:val="21"/>
          <w:lang w:eastAsia="zh-CN"/>
        </w:rPr>
        <w:t>康奈非尼</w:t>
      </w:r>
      <w:r>
        <w:rPr>
          <w:rFonts w:hint="eastAsia" w:ascii="微软雅黑" w:hAnsi="微软雅黑" w:cs="微软雅黑"/>
          <w:sz w:val="21"/>
          <w:szCs w:val="21"/>
        </w:rPr>
        <w:t>+西妥昔单抗/帕尼单抗；</w:t>
      </w:r>
    </w:p>
    <w:p w14:paraId="05E169F8">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color w:val="000000"/>
          <w:sz w:val="21"/>
          <w:szCs w:val="21"/>
        </w:rPr>
        <w:t>HER2扩增且RAS</w:t>
      </w:r>
      <w:r>
        <w:rPr>
          <w:rFonts w:hint="eastAsia" w:ascii="微软雅黑" w:hAnsi="微软雅黑" w:cs="微软雅黑"/>
          <w:color w:val="000000"/>
          <w:sz w:val="21"/>
          <w:szCs w:val="21"/>
          <w:lang w:val="en-US" w:eastAsia="zh-CN"/>
        </w:rPr>
        <w:t>/BRAF</w:t>
      </w:r>
      <w:r>
        <w:rPr>
          <w:rFonts w:hint="eastAsia" w:ascii="微软雅黑" w:hAnsi="微软雅黑" w:cs="微软雅黑"/>
          <w:color w:val="000000"/>
          <w:sz w:val="21"/>
          <w:szCs w:val="21"/>
        </w:rPr>
        <w:t>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trike w:val="0"/>
          <w:dstrike w:val="0"/>
          <w:sz w:val="21"/>
          <w:szCs w:val="21"/>
          <w:lang w:eastAsia="zh-CN"/>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19BB8D4C">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3F2034BE">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73AA26BE">
      <w:pPr>
        <w:keepNext w:val="0"/>
        <w:keepLines w:val="0"/>
        <w:pageBreakBefore w:val="0"/>
        <w:widowControl/>
        <w:numPr>
          <w:ilvl w:val="0"/>
          <w:numId w:val="3"/>
        </w:numPr>
        <w:kinsoku/>
        <w:wordWrap/>
        <w:overflowPunct/>
        <w:topLinePunct w:val="0"/>
        <w:autoSpaceDE/>
        <w:autoSpaceDN/>
        <w:bidi w:val="0"/>
        <w:adjustRightInd w:val="0"/>
        <w:snapToGrid w:val="0"/>
        <w:spacing w:after="0"/>
        <w:jc w:val="both"/>
        <w:textAlignment w:val="auto"/>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w:t>
      </w:r>
      <w:r>
        <w:rPr>
          <w:rFonts w:hint="eastAsia" w:ascii="微软雅黑" w:hAnsi="微软雅黑" w:cs="微软雅黑"/>
          <w:color w:val="000000"/>
          <w:sz w:val="21"/>
          <w:szCs w:val="21"/>
          <w:lang w:eastAsia="zh-CN"/>
        </w:rPr>
        <w:t>木</w:t>
      </w:r>
      <w:r>
        <w:rPr>
          <w:rFonts w:hint="eastAsia" w:ascii="微软雅黑" w:hAnsi="微软雅黑" w:cs="微软雅黑"/>
          <w:color w:val="000000"/>
          <w:sz w:val="21"/>
          <w:szCs w:val="21"/>
        </w:rPr>
        <w:t>单抗</w:t>
      </w:r>
      <w:r>
        <w:rPr>
          <w:rFonts w:hint="eastAsia" w:ascii="微软雅黑" w:hAnsi="微软雅黑" w:cs="微软雅黑"/>
          <w:color w:val="000000"/>
          <w:sz w:val="21"/>
          <w:szCs w:val="21"/>
          <w:lang w:eastAsia="zh-CN"/>
        </w:rPr>
        <w:t>、多塔利单抗</w:t>
      </w:r>
      <w:r>
        <w:rPr>
          <w:rFonts w:hint="eastAsia" w:ascii="微软雅黑" w:hAnsi="微软雅黑" w:cs="微软雅黑"/>
          <w:color w:val="000000"/>
          <w:sz w:val="21"/>
          <w:szCs w:val="21"/>
        </w:rPr>
        <w:t>。MLH1缺失且存在BRAF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3B43740D">
      <w:pPr>
        <w:keepNext w:val="0"/>
        <w:keepLines w:val="0"/>
        <w:pageBreakBefore w:val="0"/>
        <w:widowControl w:val="0"/>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b/>
          <w:color w:val="00C4D8"/>
          <w:sz w:val="24"/>
          <w:szCs w:val="24"/>
          <w:highlight w:val="none"/>
        </w:rPr>
      </w:pPr>
      <w:r>
        <w:rPr>
          <w:rFonts w:hint="eastAsia" w:ascii="微软雅黑" w:hAnsi="微软雅黑" w:cs="微软雅黑"/>
          <w:b/>
          <w:color w:val="00C4D8"/>
          <w:sz w:val="24"/>
          <w:szCs w:val="24"/>
          <w:highlight w:val="none"/>
          <w:lang w:eastAsia="zh-CN"/>
        </w:rPr>
        <w:t>结直肠癌</w:t>
      </w:r>
      <w:r>
        <w:rPr>
          <w:rFonts w:hint="eastAsia" w:ascii="微软雅黑" w:hAnsi="微软雅黑" w:eastAsia="微软雅黑" w:cs="微软雅黑"/>
          <w:b/>
          <w:color w:val="00C4D8"/>
          <w:sz w:val="24"/>
          <w:szCs w:val="24"/>
          <w:highlight w:val="none"/>
          <w:lang w:val="en-US" w:eastAsia="zh-CN"/>
        </w:rPr>
        <w:t>CSCO</w:t>
      </w:r>
      <w:r>
        <w:rPr>
          <w:rFonts w:hint="eastAsia" w:ascii="微软雅黑" w:hAnsi="微软雅黑" w:eastAsia="微软雅黑" w:cs="微软雅黑"/>
          <w:b/>
          <w:color w:val="00C4D8"/>
          <w:sz w:val="24"/>
          <w:szCs w:val="24"/>
          <w:highlight w:val="none"/>
        </w:rPr>
        <w:t>指南（202</w:t>
      </w:r>
      <w:r>
        <w:rPr>
          <w:rFonts w:hint="eastAsia" w:ascii="微软雅黑" w:hAnsi="微软雅黑" w:cs="微软雅黑"/>
          <w:b/>
          <w:color w:val="00C4D8"/>
          <w:sz w:val="24"/>
          <w:szCs w:val="24"/>
          <w:highlight w:val="none"/>
          <w:lang w:val="en-US" w:eastAsia="zh-CN"/>
        </w:rPr>
        <w:t>2</w:t>
      </w:r>
      <w:r>
        <w:rPr>
          <w:rFonts w:hint="eastAsia" w:ascii="微软雅黑" w:hAnsi="微软雅黑" w:eastAsia="微软雅黑" w:cs="微软雅黑"/>
          <w:b/>
          <w:color w:val="00C4D8"/>
          <w:sz w:val="24"/>
          <w:szCs w:val="24"/>
          <w:highlight w:val="none"/>
        </w:rPr>
        <w:t>）</w:t>
      </w:r>
    </w:p>
    <w:p w14:paraId="7912E623">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潜在可切除组治疗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RAS和BRAF均野生型</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原发灶位于左侧结直肠的适合强烈治疗的患者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贝伐珠单抗（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）；原发灶位于右侧结肠的适合强烈治疗的患者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贝伐珠单抗（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p>
    <w:p w14:paraId="6CC0ABB3">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潜在可切除组治疗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RAS或BRAF突变型</w:t>
      </w:r>
      <w:r>
        <w:rPr>
          <w:rFonts w:hint="eastAsia" w:ascii="微软雅黑" w:hAnsi="微软雅黑" w:cs="微软雅黑"/>
          <w:color w:val="000000"/>
          <w:sz w:val="21"/>
          <w:szCs w:val="21"/>
          <w:lang w:eastAsia="zh-CN"/>
        </w:rPr>
        <w:t>）：适合强烈治疗的患者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贝伐珠单抗（</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w:t>
      </w:r>
    </w:p>
    <w:p w14:paraId="61604A32">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highlight w:val="none"/>
        </w:rPr>
      </w:pPr>
      <w:r>
        <w:rPr>
          <w:rFonts w:hint="eastAsia" w:ascii="微软雅黑" w:hAnsi="微软雅黑" w:cs="微软雅黑"/>
          <w:color w:val="000000"/>
          <w:sz w:val="21"/>
          <w:szCs w:val="21"/>
        </w:rPr>
        <w:t>MSI-H</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rPr>
        <w:t>dMMR</w:t>
      </w:r>
      <w:r>
        <w:rPr>
          <w:rFonts w:hint="eastAsia" w:ascii="微软雅黑" w:hAnsi="微软雅黑" w:cs="微软雅黑"/>
          <w:color w:val="000000"/>
          <w:sz w:val="21"/>
          <w:szCs w:val="21"/>
          <w:lang w:eastAsia="zh-CN"/>
        </w:rPr>
        <w:t>的结直肠癌患者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帕博利珠单抗（</w:t>
      </w:r>
      <w:r>
        <w:rPr>
          <w:rFonts w:hint="eastAsia" w:ascii="微软雅黑" w:hAnsi="微软雅黑" w:cs="微软雅黑"/>
          <w:color w:val="000000"/>
          <w:sz w:val="21"/>
          <w:szCs w:val="21"/>
          <w:lang w:val="en-US" w:eastAsia="zh-CN"/>
        </w:rPr>
        <w:t>1A类</w:t>
      </w:r>
      <w:r>
        <w:rPr>
          <w:rFonts w:hint="eastAsia" w:ascii="微软雅黑" w:hAnsi="微软雅黑" w:cs="微软雅黑"/>
          <w:color w:val="000000"/>
          <w:sz w:val="21"/>
          <w:szCs w:val="21"/>
          <w:lang w:eastAsia="zh-CN"/>
        </w:rPr>
        <w:t>）；一线未使用免疫检查点抑制剂，二线方案</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免疫检查点抑制剂（</w:t>
      </w:r>
      <w:r>
        <w:rPr>
          <w:rFonts w:hint="eastAsia" w:ascii="微软雅黑" w:hAnsi="微软雅黑" w:cs="微软雅黑"/>
          <w:color w:val="000000"/>
          <w:sz w:val="21"/>
          <w:szCs w:val="21"/>
          <w:highlight w:val="none"/>
          <w:lang w:val="en-US" w:eastAsia="zh-CN"/>
        </w:rPr>
        <w:t>PD-1/PD-L1抑制剂</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lang w:eastAsia="zh-CN"/>
        </w:rPr>
        <w:t>）；一线、二线未使用免疫检查点抑制剂，三线方案</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免疫检查点抑制剂（</w:t>
      </w:r>
      <w:r>
        <w:rPr>
          <w:rFonts w:hint="eastAsia" w:ascii="微软雅黑" w:hAnsi="微软雅黑" w:cs="微软雅黑"/>
          <w:color w:val="000000"/>
          <w:sz w:val="21"/>
          <w:szCs w:val="21"/>
          <w:highlight w:val="none"/>
          <w:lang w:val="en-US" w:eastAsia="zh-CN"/>
        </w:rPr>
        <w:t>PD-1/PD-L1抑制剂</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2A类</w:t>
      </w:r>
      <w:r>
        <w:rPr>
          <w:rFonts w:hint="eastAsia" w:ascii="微软雅黑" w:hAnsi="微软雅黑" w:cs="微软雅黑"/>
          <w:color w:val="000000"/>
          <w:sz w:val="21"/>
          <w:szCs w:val="21"/>
          <w:highlight w:val="none"/>
          <w:lang w:eastAsia="zh-CN"/>
        </w:rPr>
        <w:t>）；</w:t>
      </w:r>
    </w:p>
    <w:p w14:paraId="4A635E56">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highlight w:val="none"/>
          <w:lang w:val="en-US" w:eastAsia="zh-CN"/>
        </w:rPr>
        <w:t>姑息治疗组一线方案</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MSS或MSI-L/pMMR，RAS和BRAF均野生型</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w:t>
      </w:r>
      <w:r>
        <w:rPr>
          <w:rFonts w:hint="eastAsia" w:ascii="微软雅黑" w:hAnsi="微软雅黑" w:cs="微软雅黑"/>
          <w:color w:val="000000"/>
          <w:sz w:val="21"/>
          <w:szCs w:val="21"/>
          <w:highlight w:val="none"/>
          <w:lang w:eastAsia="zh-CN"/>
        </w:rPr>
        <w:t>原发灶位于左侧结直肠的适合强烈治疗的患者</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±西妥昔单抗（1A类），</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±贝伐珠单抗（1类）；</w:t>
      </w:r>
      <w:r>
        <w:rPr>
          <w:rFonts w:hint="eastAsia" w:ascii="微软雅黑" w:hAnsi="微软雅黑" w:cs="微软雅黑"/>
          <w:color w:val="000000"/>
          <w:sz w:val="21"/>
          <w:szCs w:val="21"/>
          <w:highlight w:val="none"/>
          <w:lang w:eastAsia="zh-CN"/>
        </w:rPr>
        <w:t>原发灶位于右侧结肠的适合强烈治疗的患者</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两药化疗</w:t>
      </w:r>
      <w:r>
        <w:rPr>
          <w:rFonts w:hint="eastAsia" w:ascii="微软雅黑" w:hAnsi="微软雅黑" w:cs="微软雅黑"/>
          <w:color w:val="000000"/>
          <w:sz w:val="21"/>
          <w:szCs w:val="21"/>
          <w:highlight w:val="none"/>
          <w:lang w:val="en-US" w:eastAsia="zh-CN"/>
        </w:rPr>
        <w:t>±贝伐珠单抗（1A类），</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三药化疗</w:t>
      </w:r>
      <w:r>
        <w:rPr>
          <w:rFonts w:hint="eastAsia" w:ascii="微软雅黑" w:hAnsi="微软雅黑" w:cs="微软雅黑"/>
          <w:color w:val="000000"/>
          <w:sz w:val="21"/>
          <w:szCs w:val="21"/>
          <w:highlight w:val="none"/>
          <w:lang w:val="en-US" w:eastAsia="zh-CN"/>
        </w:rPr>
        <w:t>±贝伐珠单抗（1B类），化疗+西妥昔单抗（贝伐珠单抗有禁忌者）</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2A类</w:t>
      </w:r>
      <w:r>
        <w:rPr>
          <w:rFonts w:hint="eastAsia" w:ascii="微软雅黑" w:hAnsi="微软雅黑" w:cs="微软雅黑"/>
          <w:color w:val="000000"/>
          <w:sz w:val="21"/>
          <w:szCs w:val="21"/>
          <w:highlight w:val="none"/>
          <w:lang w:eastAsia="zh-CN"/>
        </w:rPr>
        <w:t>）；不适合强烈治疗的结直肠癌患者</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氟尿嘧啶类单药</w:t>
      </w:r>
      <w:r>
        <w:rPr>
          <w:rFonts w:hint="eastAsia" w:ascii="微软雅黑" w:hAnsi="微软雅黑" w:cs="微软雅黑"/>
          <w:color w:val="000000"/>
          <w:sz w:val="21"/>
          <w:szCs w:val="21"/>
          <w:highlight w:val="none"/>
          <w:lang w:val="en-US" w:eastAsia="zh-CN"/>
        </w:rPr>
        <w:t>±贝伐珠单</w:t>
      </w:r>
      <w:r>
        <w:rPr>
          <w:rFonts w:hint="eastAsia" w:ascii="微软雅黑" w:hAnsi="微软雅黑" w:cs="微软雅黑"/>
          <w:color w:val="000000"/>
          <w:sz w:val="21"/>
          <w:szCs w:val="21"/>
          <w:lang w:val="en-US" w:eastAsia="zh-CN"/>
        </w:rPr>
        <w:t>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1A类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西妥昔单抗单药（左半结直肠）</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±西妥昔单抗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p>
    <w:p w14:paraId="1A070CD4">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姑息治疗组一线方案</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MSS或MSI-L/pMMR，RAS或BRAF突变型</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w:t>
      </w:r>
      <w:r>
        <w:rPr>
          <w:rFonts w:hint="eastAsia" w:ascii="微软雅黑" w:hAnsi="微软雅黑" w:cs="微软雅黑"/>
          <w:color w:val="000000"/>
          <w:sz w:val="21"/>
          <w:szCs w:val="21"/>
          <w:lang w:eastAsia="zh-CN"/>
        </w:rPr>
        <w:t>适合强烈治疗的结直肠癌患者</w:t>
      </w:r>
      <w:r>
        <w:rPr>
          <w:rFonts w:hint="eastAsia" w:ascii="微软雅黑" w:hAnsi="微软雅黑" w:eastAsia="微软雅黑" w:cs="微软雅黑"/>
          <w:color w:val="000000"/>
          <w:sz w:val="21"/>
          <w:szCs w:val="21"/>
          <w:lang w:eastAsia="zh-CN"/>
        </w:rPr>
        <w:t>推荐</w:t>
      </w:r>
      <w:r>
        <w:rPr>
          <w:rFonts w:hint="eastAsia" w:ascii="微软雅黑" w:hAnsi="微软雅黑" w:cs="微软雅黑"/>
          <w:color w:val="000000"/>
          <w:sz w:val="21"/>
          <w:szCs w:val="21"/>
          <w:lang w:eastAsia="zh-CN"/>
        </w:rPr>
        <w:t>化疗</w:t>
      </w:r>
      <w:r>
        <w:rPr>
          <w:rFonts w:hint="eastAsia" w:ascii="微软雅黑" w:hAnsi="微软雅黑" w:cs="微软雅黑"/>
          <w:color w:val="000000"/>
          <w:sz w:val="21"/>
          <w:szCs w:val="21"/>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1类</w:t>
      </w:r>
      <w:r>
        <w:rPr>
          <w:rFonts w:hint="eastAsia" w:ascii="微软雅黑" w:hAnsi="微软雅黑" w:cs="微软雅黑"/>
          <w:color w:val="000000"/>
          <w:sz w:val="21"/>
          <w:szCs w:val="21"/>
          <w:lang w:eastAsia="zh-CN"/>
        </w:rPr>
        <w:t>）；不适合强烈治疗的患者</w:t>
      </w:r>
      <w:r>
        <w:rPr>
          <w:rFonts w:hint="eastAsia" w:ascii="微软雅黑" w:hAnsi="微软雅黑" w:eastAsia="微软雅黑" w:cs="微软雅黑"/>
          <w:color w:val="000000"/>
          <w:sz w:val="21"/>
          <w:szCs w:val="21"/>
          <w:lang w:eastAsia="zh-CN"/>
        </w:rPr>
        <w:t>Ⅰ级推荐</w:t>
      </w:r>
      <w:r>
        <w:rPr>
          <w:rFonts w:hint="eastAsia" w:ascii="微软雅黑" w:hAnsi="微软雅黑" w:cs="微软雅黑"/>
          <w:color w:val="000000"/>
          <w:sz w:val="21"/>
          <w:szCs w:val="21"/>
          <w:lang w:eastAsia="zh-CN"/>
        </w:rPr>
        <w:t>氟尿嘧啶类单药</w:t>
      </w:r>
      <w:r>
        <w:rPr>
          <w:rFonts w:hint="eastAsia" w:ascii="微软雅黑" w:hAnsi="微软雅黑" w:cs="微软雅黑"/>
          <w:color w:val="000000"/>
          <w:sz w:val="21"/>
          <w:szCs w:val="21"/>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1A类</w:t>
      </w:r>
      <w:r>
        <w:rPr>
          <w:rFonts w:hint="eastAsia" w:ascii="微软雅黑" w:hAnsi="微软雅黑" w:cs="微软雅黑"/>
          <w:color w:val="000000"/>
          <w:sz w:val="21"/>
          <w:szCs w:val="21"/>
          <w:lang w:eastAsia="zh-CN"/>
        </w:rPr>
        <w:t>），</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减量的两药化疗</w:t>
      </w:r>
      <w:r>
        <w:rPr>
          <w:rFonts w:hint="eastAsia" w:ascii="微软雅黑" w:hAnsi="微软雅黑" w:cs="微软雅黑"/>
          <w:color w:val="000000"/>
          <w:sz w:val="21"/>
          <w:szCs w:val="21"/>
          <w:highlight w:val="none"/>
          <w:lang w:val="en-US" w:eastAsia="zh-CN"/>
        </w:rPr>
        <w:t>±贝伐珠单抗</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w:t>
      </w:r>
    </w:p>
    <w:p w14:paraId="7B16BD70">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2CB87DE7">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highlight w:val="none"/>
        </w:rPr>
      </w:pPr>
      <w:r>
        <w:rPr>
          <w:rFonts w:hint="eastAsia" w:ascii="微软雅黑" w:hAnsi="微软雅黑" w:cs="微软雅黑"/>
          <w:color w:val="000000"/>
          <w:sz w:val="21"/>
          <w:szCs w:val="21"/>
          <w:lang w:val="en-US" w:eastAsia="zh-CN"/>
        </w:rPr>
        <w:t>姑息治疗组二线方案</w:t>
      </w:r>
      <w:r>
        <w:rPr>
          <w:rFonts w:hint="eastAsia" w:ascii="微软雅黑" w:hAnsi="微软雅黑" w:cs="微软雅黑"/>
          <w:color w:val="000000"/>
          <w:sz w:val="21"/>
          <w:szCs w:val="21"/>
          <w:highlight w:val="none"/>
          <w:lang w:eastAsia="zh-CN"/>
        </w:rPr>
        <w:t>（</w:t>
      </w:r>
      <w:r>
        <w:rPr>
          <w:rFonts w:hint="eastAsia" w:ascii="微软雅黑" w:hAnsi="微软雅黑" w:cs="微软雅黑"/>
          <w:color w:val="000000"/>
          <w:sz w:val="21"/>
          <w:szCs w:val="21"/>
          <w:highlight w:val="none"/>
          <w:lang w:val="en-US" w:eastAsia="zh-CN"/>
        </w:rPr>
        <w:t>MSS或MSI-L/pMMR，RAS或BRAF突变型</w:t>
      </w:r>
      <w:r>
        <w:rPr>
          <w:rFonts w:hint="eastAsia" w:ascii="微软雅黑" w:hAnsi="微软雅黑" w:cs="微软雅黑"/>
          <w:color w:val="000000"/>
          <w:sz w:val="21"/>
          <w:szCs w:val="21"/>
          <w:highlight w:val="none"/>
          <w:lang w:eastAsia="zh-CN"/>
        </w:rPr>
        <w:t>）：一线接受奥沙利铂治疗的结直肠癌患者二线方案</w:t>
      </w:r>
      <w:r>
        <w:rPr>
          <w:rFonts w:hint="eastAsia" w:ascii="微软雅黑" w:hAnsi="微软雅黑" w:eastAsia="微软雅黑" w:cs="微软雅黑"/>
          <w:color w:val="000000"/>
          <w:sz w:val="21"/>
          <w:szCs w:val="21"/>
          <w:highlight w:val="none"/>
          <w:lang w:eastAsia="zh-CN"/>
        </w:rPr>
        <w:t>Ⅰ级推荐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±贝伐珠单抗（1A类），</w:t>
      </w:r>
      <w:r>
        <w:rPr>
          <w:rFonts w:hint="eastAsia" w:ascii="微软雅黑" w:hAnsi="微软雅黑" w:eastAsia="微软雅黑" w:cs="微软雅黑"/>
          <w:color w:val="000000"/>
          <w:sz w:val="21"/>
          <w:szCs w:val="21"/>
          <w:highlight w:val="none"/>
          <w:lang w:eastAsia="zh-CN"/>
        </w:rPr>
        <w:t>Ⅱ级推荐</w:t>
      </w:r>
      <w:r>
        <w:rPr>
          <w:rFonts w:hint="eastAsia" w:ascii="微软雅黑" w:hAnsi="微软雅黑" w:cs="微软雅黑"/>
          <w:color w:val="000000"/>
          <w:sz w:val="21"/>
          <w:szCs w:val="21"/>
          <w:highlight w:val="none"/>
          <w:lang w:eastAsia="zh-CN"/>
        </w:rPr>
        <w:t>伊立替康</w:t>
      </w:r>
      <w:r>
        <w:rPr>
          <w:rFonts w:hint="eastAsia" w:ascii="微软雅黑" w:hAnsi="微软雅黑" w:cs="微软雅黑"/>
          <w:color w:val="000000"/>
          <w:sz w:val="21"/>
          <w:szCs w:val="21"/>
          <w:highlight w:val="none"/>
          <w:lang w:val="en-US" w:eastAsia="zh-CN"/>
        </w:rPr>
        <w:t>±贝伐珠单抗（2A类）、伊立替康＋卡培他滨±贝伐珠单抗（1B类），</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伊立替康</w:t>
      </w:r>
      <w:r>
        <w:rPr>
          <w:rFonts w:hint="eastAsia" w:ascii="微软雅黑" w:hAnsi="微软雅黑" w:cs="微软雅黑"/>
          <w:color w:val="000000"/>
          <w:sz w:val="21"/>
          <w:szCs w:val="21"/>
          <w:highlight w:val="none"/>
          <w:lang w:val="en-US" w:eastAsia="zh-CN"/>
        </w:rPr>
        <w:t>+西妥昔单抗+维莫非尼（RAS野生型/BRAF V600E突变）（2B类）、BRAF抑制剂+西妥昔单抗±MEK抑制剂（RAS野生型/BRAF V600E突变）（2B类）；</w:t>
      </w:r>
      <w:r>
        <w:rPr>
          <w:rFonts w:hint="eastAsia" w:ascii="微软雅黑" w:hAnsi="微软雅黑" w:cs="微软雅黑"/>
          <w:color w:val="000000"/>
          <w:sz w:val="21"/>
          <w:szCs w:val="21"/>
          <w:highlight w:val="none"/>
          <w:lang w:eastAsia="zh-CN"/>
        </w:rPr>
        <w:t>一线接受伊立替康治疗（</w:t>
      </w:r>
      <w:r>
        <w:rPr>
          <w:rFonts w:hint="eastAsia" w:ascii="微软雅黑" w:hAnsi="微软雅黑" w:cs="微软雅黑"/>
          <w:color w:val="000000"/>
          <w:sz w:val="21"/>
          <w:szCs w:val="21"/>
          <w:highlight w:val="none"/>
          <w:lang w:val="en-US" w:eastAsia="zh-CN"/>
        </w:rPr>
        <w:t>MSS或MSI-L/pMMR，RAS或BRAF突变型</w:t>
      </w:r>
      <w:r>
        <w:rPr>
          <w:rFonts w:hint="eastAsia" w:ascii="微软雅黑" w:hAnsi="微软雅黑" w:cs="微软雅黑"/>
          <w:color w:val="000000"/>
          <w:sz w:val="21"/>
          <w:szCs w:val="21"/>
          <w:highlight w:val="none"/>
          <w:lang w:eastAsia="zh-CN"/>
        </w:rPr>
        <w:t>）的结直肠癌患者二线方案</w:t>
      </w:r>
      <w:r>
        <w:rPr>
          <w:rFonts w:hint="eastAsia" w:ascii="微软雅黑" w:hAnsi="微软雅黑" w:eastAsia="微软雅黑" w:cs="微软雅黑"/>
          <w:color w:val="000000"/>
          <w:sz w:val="21"/>
          <w:szCs w:val="21"/>
          <w:highlight w:val="none"/>
          <w:lang w:eastAsia="zh-CN"/>
        </w:rPr>
        <w:t>Ⅰ级推荐推荐</w:t>
      </w:r>
      <w:r>
        <w:rPr>
          <w:rFonts w:hint="eastAsia" w:ascii="微软雅黑" w:hAnsi="微软雅黑" w:cs="微软雅黑"/>
          <w:color w:val="000000"/>
          <w:sz w:val="21"/>
          <w:szCs w:val="21"/>
          <w:highlight w:val="none"/>
          <w:lang w:eastAsia="zh-CN"/>
        </w:rPr>
        <w:t>化疗</w:t>
      </w:r>
      <w:r>
        <w:rPr>
          <w:rFonts w:hint="eastAsia" w:ascii="微软雅黑" w:hAnsi="微软雅黑" w:cs="微软雅黑"/>
          <w:color w:val="000000"/>
          <w:sz w:val="21"/>
          <w:szCs w:val="21"/>
          <w:highlight w:val="none"/>
          <w:lang w:val="en-US" w:eastAsia="zh-CN"/>
        </w:rPr>
        <w:t>±贝伐珠单抗（1A类），</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val="en-US" w:eastAsia="zh-CN"/>
        </w:rPr>
        <w:t>BRAF抑制剂+西妥昔单抗±MEK抑制剂（RAS野生型/BRAF V600E突变）（2B类）；</w:t>
      </w:r>
    </w:p>
    <w:p w14:paraId="057DFD7A">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姑息治疗组二线方案</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MSS或MSI-L/pMMR</w:t>
      </w:r>
      <w:r>
        <w:rPr>
          <w:rFonts w:hint="eastAsia" w:ascii="微软雅黑" w:hAnsi="微软雅黑" w:cs="微软雅黑"/>
          <w:color w:val="000000"/>
          <w:sz w:val="21"/>
          <w:szCs w:val="21"/>
          <w:lang w:eastAsia="zh-CN"/>
        </w:rPr>
        <w:t>）：一线未接受奥沙利铂或伊立替康治疗的结直肠癌患者二线方案</w:t>
      </w:r>
      <w:r>
        <w:rPr>
          <w:rFonts w:hint="eastAsia" w:ascii="微软雅黑" w:hAnsi="微软雅黑" w:eastAsia="微软雅黑" w:cs="微软雅黑"/>
          <w:color w:val="000000"/>
          <w:sz w:val="21"/>
          <w:szCs w:val="21"/>
          <w:lang w:eastAsia="zh-CN"/>
        </w:rPr>
        <w:t>Ⅰ</w:t>
      </w:r>
      <w:r>
        <w:rPr>
          <w:rFonts w:hint="eastAsia" w:ascii="微软雅黑" w:hAnsi="微软雅黑" w:cs="微软雅黑"/>
          <w:color w:val="000000"/>
          <w:sz w:val="21"/>
          <w:szCs w:val="21"/>
          <w:lang w:eastAsia="zh-CN"/>
        </w:rPr>
        <w:t>级推荐化疗</w:t>
      </w:r>
      <w:r>
        <w:rPr>
          <w:rFonts w:hint="eastAsia" w:ascii="微软雅黑" w:hAnsi="微软雅黑" w:cs="微软雅黑"/>
          <w:color w:val="000000"/>
          <w:sz w:val="21"/>
          <w:szCs w:val="21"/>
          <w:lang w:val="en-US" w:eastAsia="zh-CN"/>
        </w:rPr>
        <w:t>±西妥昔单抗/贝伐珠单抗</w:t>
      </w:r>
      <w:r>
        <w:rPr>
          <w:rFonts w:hint="eastAsia" w:ascii="微软雅黑" w:hAnsi="微软雅黑" w:cs="微软雅黑"/>
          <w:color w:val="000000"/>
          <w:sz w:val="21"/>
          <w:szCs w:val="21"/>
          <w:highlight w:val="none"/>
          <w:lang w:val="en-US" w:eastAsia="zh-CN"/>
        </w:rPr>
        <w:t>（2A类），</w:t>
      </w:r>
      <w:r>
        <w:rPr>
          <w:rFonts w:hint="eastAsia" w:ascii="微软雅黑" w:hAnsi="微软雅黑" w:eastAsia="微软雅黑" w:cs="微软雅黑"/>
          <w:color w:val="000000"/>
          <w:sz w:val="21"/>
          <w:szCs w:val="21"/>
          <w:highlight w:val="none"/>
          <w:lang w:eastAsia="zh-CN"/>
        </w:rPr>
        <w:t>Ⅱ</w:t>
      </w:r>
      <w:r>
        <w:rPr>
          <w:rFonts w:hint="eastAsia" w:ascii="微软雅黑" w:hAnsi="微软雅黑" w:eastAsia="微软雅黑" w:cs="微软雅黑"/>
          <w:color w:val="000000"/>
          <w:sz w:val="21"/>
          <w:szCs w:val="21"/>
          <w:lang w:eastAsia="zh-CN"/>
        </w:rPr>
        <w:t>级推荐</w:t>
      </w:r>
      <w:r>
        <w:rPr>
          <w:rFonts w:hint="eastAsia" w:ascii="微软雅黑" w:hAnsi="微软雅黑" w:cs="微软雅黑"/>
          <w:color w:val="000000"/>
          <w:sz w:val="21"/>
          <w:szCs w:val="21"/>
          <w:lang w:eastAsia="zh-CN"/>
        </w:rPr>
        <w:t>伊立替康</w:t>
      </w:r>
      <w:r>
        <w:rPr>
          <w:rFonts w:hint="eastAsia" w:ascii="微软雅黑" w:hAnsi="微软雅黑" w:cs="微软雅黑"/>
          <w:color w:val="000000"/>
          <w:sz w:val="21"/>
          <w:szCs w:val="21"/>
          <w:lang w:val="en-US" w:eastAsia="zh-CN"/>
        </w:rPr>
        <w:t>±西妥昔单抗/贝伐珠单抗</w:t>
      </w:r>
      <w:r>
        <w:rPr>
          <w:rFonts w:hint="eastAsia" w:ascii="微软雅黑" w:hAnsi="微软雅黑" w:cs="微软雅黑"/>
          <w:color w:val="000000"/>
          <w:sz w:val="21"/>
          <w:szCs w:val="21"/>
          <w:highlight w:val="none"/>
          <w:lang w:val="en-US" w:eastAsia="zh-CN"/>
        </w:rPr>
        <w:t>（2A类）、伊立替康+卡培他滨±贝伐珠单抗（1B类）</w:t>
      </w:r>
      <w:r>
        <w:rPr>
          <w:rFonts w:hint="eastAsia" w:ascii="微软雅黑" w:hAnsi="微软雅黑" w:cs="微软雅黑"/>
          <w:color w:val="000000"/>
          <w:sz w:val="21"/>
          <w:szCs w:val="21"/>
          <w:lang w:val="en-US" w:eastAsia="zh-CN"/>
        </w:rPr>
        <w:t>，</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伊立替康</w:t>
      </w:r>
      <w:r>
        <w:rPr>
          <w:rFonts w:hint="eastAsia" w:ascii="微软雅黑" w:hAnsi="微软雅黑" w:cs="微软雅黑"/>
          <w:color w:val="000000"/>
          <w:sz w:val="21"/>
          <w:szCs w:val="21"/>
          <w:highlight w:val="none"/>
          <w:lang w:val="en-US" w:eastAsia="zh-CN"/>
        </w:rPr>
        <w:t>+西妥昔单抗+维莫非尼（RAS野生型/BRAF V600E突变）（2B类）、BRAF抑制剂+西妥昔单抗±MEK抑制剂（RAS野生型/BRAF V600E突变）（2B类）；</w:t>
      </w:r>
    </w:p>
    <w:p w14:paraId="13DDF752">
      <w:pPr>
        <w:keepNext w:val="0"/>
        <w:keepLines w:val="0"/>
        <w:pageBreakBefore w:val="0"/>
        <w:widowControl w:val="0"/>
        <w:numPr>
          <w:ilvl w:val="0"/>
          <w:numId w:val="3"/>
        </w:numPr>
        <w:kinsoku/>
        <w:wordWrap/>
        <w:overflowPunct/>
        <w:topLinePunct w:val="0"/>
        <w:autoSpaceDE/>
        <w:autoSpaceDN/>
        <w:bidi w:val="0"/>
        <w:adjustRightInd/>
        <w:snapToGrid w:val="0"/>
        <w:spacing w:after="0"/>
        <w:jc w:val="both"/>
        <w:textAlignment w:val="auto"/>
        <w:rPr>
          <w:rFonts w:hint="eastAsia" w:ascii="微软雅黑" w:hAnsi="微软雅黑" w:eastAsia="微软雅黑" w:cs="微软雅黑"/>
          <w:color w:val="000000"/>
          <w:sz w:val="21"/>
          <w:szCs w:val="21"/>
        </w:rPr>
      </w:pPr>
      <w:r>
        <w:rPr>
          <w:rFonts w:hint="eastAsia" w:ascii="微软雅黑" w:hAnsi="微软雅黑" w:cs="微软雅黑"/>
          <w:color w:val="000000"/>
          <w:sz w:val="21"/>
          <w:szCs w:val="21"/>
          <w:lang w:val="en-US" w:eastAsia="zh-CN"/>
        </w:rPr>
        <w:t>姑息治疗组三线方案</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MSS或MSI-L/pMMR，RAS和BRAF均野生型</w:t>
      </w:r>
      <w:r>
        <w:rPr>
          <w:rFonts w:hint="eastAsia" w:ascii="微软雅黑" w:hAnsi="微软雅黑" w:cs="微软雅黑"/>
          <w:color w:val="000000"/>
          <w:sz w:val="21"/>
          <w:szCs w:val="21"/>
          <w:lang w:eastAsia="zh-CN"/>
        </w:rPr>
        <w:t>）：已接受过奥沙利铂和伊立替康治疗的结直肠癌患者三线方案</w:t>
      </w:r>
      <w:r>
        <w:rPr>
          <w:rFonts w:hint="eastAsia" w:ascii="微软雅黑" w:hAnsi="微软雅黑" w:eastAsia="微软雅黑" w:cs="微软雅黑"/>
          <w:color w:val="000000"/>
          <w:sz w:val="21"/>
          <w:szCs w:val="21"/>
          <w:lang w:eastAsia="zh-CN"/>
        </w:rPr>
        <w:t>Ⅰ</w:t>
      </w:r>
      <w:r>
        <w:rPr>
          <w:rFonts w:hint="eastAsia" w:ascii="微软雅黑" w:hAnsi="微软雅黑" w:cs="微软雅黑"/>
          <w:color w:val="000000"/>
          <w:sz w:val="21"/>
          <w:szCs w:val="21"/>
          <w:lang w:eastAsia="zh-CN"/>
        </w:rPr>
        <w:t>级推荐西妥昔单抗</w:t>
      </w:r>
      <w:r>
        <w:rPr>
          <w:rFonts w:hint="eastAsia" w:ascii="微软雅黑" w:hAnsi="微软雅黑" w:cs="微软雅黑"/>
          <w:color w:val="000000"/>
          <w:sz w:val="21"/>
          <w:szCs w:val="21"/>
          <w:lang w:val="en-US" w:eastAsia="zh-CN"/>
        </w:rPr>
        <w:t>±伊立替康（之前未行西妥昔单抗治疗）（1A类）、瑞戈非尼（1A类）、呋喹替尼（1A类），</w:t>
      </w:r>
      <w:r>
        <w:rPr>
          <w:rFonts w:hint="eastAsia" w:ascii="微软雅黑" w:hAnsi="微软雅黑" w:eastAsia="微软雅黑" w:cs="微软雅黑"/>
          <w:color w:val="000000"/>
          <w:sz w:val="21"/>
          <w:szCs w:val="21"/>
          <w:highlight w:val="none"/>
          <w:lang w:eastAsia="zh-CN"/>
        </w:rPr>
        <w:t>Ⅲ级推荐</w:t>
      </w:r>
      <w:r>
        <w:rPr>
          <w:rFonts w:hint="eastAsia" w:ascii="微软雅黑" w:hAnsi="微软雅黑" w:cs="微软雅黑"/>
          <w:color w:val="000000"/>
          <w:sz w:val="21"/>
          <w:szCs w:val="21"/>
          <w:highlight w:val="none"/>
          <w:lang w:eastAsia="zh-CN"/>
        </w:rPr>
        <w:t>抗</w:t>
      </w:r>
      <w:r>
        <w:rPr>
          <w:rFonts w:hint="eastAsia" w:ascii="微软雅黑" w:hAnsi="微软雅黑" w:cs="微软雅黑"/>
          <w:color w:val="000000"/>
          <w:sz w:val="21"/>
          <w:szCs w:val="21"/>
          <w:highlight w:val="none"/>
          <w:lang w:val="en-US" w:eastAsia="zh-CN"/>
        </w:rPr>
        <w:t>HER2治疗（HER2扩增）</w:t>
      </w:r>
      <w:r>
        <w:rPr>
          <w:rFonts w:hint="eastAsia" w:ascii="微软雅黑" w:hAnsi="微软雅黑" w:cs="微软雅黑"/>
          <w:color w:val="000000"/>
          <w:sz w:val="21"/>
          <w:szCs w:val="21"/>
          <w:lang w:eastAsia="zh-CN"/>
        </w:rPr>
        <w:t>（</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）、曲氟尿苷替匹嘧啶＋贝伐珠单抗（</w:t>
      </w:r>
      <w:r>
        <w:rPr>
          <w:rFonts w:hint="eastAsia" w:ascii="微软雅黑" w:hAnsi="微软雅黑" w:cs="微软雅黑"/>
          <w:color w:val="000000"/>
          <w:sz w:val="21"/>
          <w:szCs w:val="21"/>
          <w:lang w:val="en-US" w:eastAsia="zh-CN"/>
        </w:rPr>
        <w:t>2B类</w:t>
      </w:r>
      <w:r>
        <w:rPr>
          <w:rFonts w:hint="eastAsia" w:ascii="微软雅黑" w:hAnsi="微软雅黑" w:cs="微软雅黑"/>
          <w:color w:val="000000"/>
          <w:sz w:val="21"/>
          <w:szCs w:val="21"/>
          <w:lang w:eastAsia="zh-CN"/>
        </w:rPr>
        <w:t>）、西妥昔单抗</w:t>
      </w:r>
      <w:r>
        <w:rPr>
          <w:rFonts w:hint="eastAsia" w:ascii="微软雅黑" w:hAnsi="微软雅黑" w:cs="微软雅黑"/>
          <w:color w:val="000000"/>
          <w:sz w:val="21"/>
          <w:szCs w:val="21"/>
          <w:lang w:val="en-US" w:eastAsia="zh-CN"/>
        </w:rPr>
        <w:t>±伊立替康（之前接受过西妥昔单抗治疗）（3类）；</w:t>
      </w:r>
    </w:p>
    <w:p w14:paraId="5EF3EC73">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lang w:val="en-US" w:eastAsia="zh-CN"/>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4B0DCDBB">
      <w:pPr>
        <w:numPr>
          <w:ilvl w:val="255"/>
          <w:numId w:val="0"/>
        </w:numPr>
        <w:adjustRightInd/>
        <w:snapToGrid/>
        <w:spacing w:after="0" w:line="228" w:lineRule="auto"/>
        <w:jc w:val="both"/>
        <w:rPr>
          <w:rFonts w:ascii="微软雅黑" w:hAnsi="微软雅黑" w:cs="微软雅黑"/>
          <w:color w:val="00C4D8"/>
          <w:sz w:val="21"/>
          <w:szCs w:val="21"/>
        </w:rPr>
      </w:pPr>
    </w:p>
    <w:p w14:paraId="1A704518">
      <w:pPr>
        <w:rPr>
          <w:rFonts w:ascii="微软雅黑" w:hAnsi="微软雅黑" w:cs="微软雅黑"/>
          <w:sz w:val="21"/>
          <w:szCs w:val="21"/>
        </w:rPr>
      </w:pPr>
      <w:r>
        <w:rPr>
          <w:rFonts w:hint="eastAsia" w:ascii="微软雅黑" w:hAnsi="微软雅黑" w:cs="微软雅黑"/>
          <w:sz w:val="21"/>
          <w:szCs w:val="21"/>
        </w:rPr>
        <w:br w:type="page"/>
      </w:r>
    </w:p>
    <w:p w14:paraId="701C6968">
      <w:pPr>
        <w:keepNext w:val="0"/>
        <w:keepLines w:val="0"/>
        <w:pageBreakBefore w:val="0"/>
        <w:widowControl/>
        <w:numPr>
          <w:ilvl w:val="-1"/>
          <w:numId w:val="0"/>
        </w:numPr>
        <w:kinsoku/>
        <w:wordWrap/>
        <w:overflowPunct/>
        <w:topLinePunct w:val="0"/>
        <w:autoSpaceDE/>
        <w:autoSpaceDN/>
        <w:bidi w:val="0"/>
        <w:adjustRightInd/>
        <w:snapToGrid/>
        <w:spacing w:after="0" w:line="220" w:lineRule="atLeast"/>
        <w:textAlignment w:val="auto"/>
        <w:outlineLvl w:val="1"/>
        <w:rPr>
          <w:rFonts w:hint="eastAsia" w:ascii="微软雅黑" w:hAnsi="微软雅黑"/>
          <w:b/>
          <w:color w:val="00C4D8"/>
          <w:sz w:val="32"/>
          <w:szCs w:val="32"/>
        </w:rPr>
      </w:pPr>
      <w:bookmarkStart w:id="98" w:name="_Toc6327"/>
      <w:bookmarkStart w:id="99" w:name="_Toc31274"/>
      <w:bookmarkStart w:id="100" w:name="_Toc28714"/>
      <w:bookmarkStart w:id="101" w:name="肿瘤突变负荷（TMB）水平提示杨传敏"/>
      <w:bookmarkStart w:id="102" w:name="肿瘤突变负荷（TMB）水平提示"/>
      <w:bookmarkStart w:id="103" w:name="_Toc18298"/>
      <w:bookmarkStart w:id="104" w:name="_Toc9198"/>
      <w:bookmarkStart w:id="105" w:name="_Toc11092"/>
      <w:bookmarkStart w:id="106" w:name="_Toc22245"/>
      <w:bookmarkStart w:id="107" w:name="_Toc21388"/>
      <w:bookmarkStart w:id="108" w:name="_Toc1459"/>
      <w:bookmarkStart w:id="109" w:name="_Toc29653"/>
      <w:bookmarkStart w:id="110" w:name="_Toc10173"/>
      <w:bookmarkStart w:id="111" w:name="_Toc28845"/>
      <w:bookmarkStart w:id="112" w:name="_Toc5877"/>
      <w:bookmarkStart w:id="113" w:name="_Toc5886"/>
      <w:r>
        <w:rPr>
          <w:rFonts w:hint="eastAsia" w:ascii="微软雅黑" w:hAnsi="微软雅黑"/>
          <w:b/>
          <w:color w:val="00C4D8"/>
          <w:sz w:val="32"/>
          <w:szCs w:val="32"/>
          <w:lang w:val="en-US" w:eastAsia="zh-CN"/>
        </w:rPr>
        <w:t xml:space="preserve">3. </w:t>
      </w:r>
      <w:r>
        <w:rPr>
          <w:rFonts w:hint="eastAsia" w:ascii="微软雅黑" w:hAnsi="微软雅黑"/>
          <w:b/>
          <w:color w:val="00C4D8"/>
          <w:sz w:val="32"/>
          <w:szCs w:val="32"/>
        </w:rPr>
        <w:t>免疫治疗疗效评估</w:t>
      </w:r>
    </w:p>
    <w:p w14:paraId="5199B0F7">
      <w:pPr>
        <w:adjustRightInd/>
        <w:snapToGrid/>
        <w:spacing w:before="200" w:line="220" w:lineRule="atLeast"/>
        <w:outlineLvl w:val="2"/>
        <w:rPr>
          <w:rFonts w:ascii="微软雅黑" w:hAnsi="微软雅黑"/>
          <w:b/>
          <w:color w:val="00C4D8"/>
          <w:sz w:val="28"/>
          <w:szCs w:val="28"/>
        </w:rPr>
      </w:pPr>
      <w:bookmarkStart w:id="114" w:name="OLE_LINK4"/>
      <w:r>
        <w:rPr>
          <w:rFonts w:hint="eastAsia" w:ascii="微软雅黑" w:hAnsi="微软雅黑"/>
          <w:b/>
          <w:color w:val="00C4D8"/>
          <w:sz w:val="28"/>
          <w:szCs w:val="28"/>
        </w:rPr>
        <w:t>3.1 肿瘤突变负荷（TMB）水平提示</w:t>
      </w:r>
      <w:bookmarkEnd w:id="98"/>
      <w:bookmarkEnd w:id="99"/>
      <w:bookmarkEnd w:id="100"/>
    </w:p>
    <w:bookmarkEnd w:id="101"/>
    <w:bookmarkEnd w:id="102"/>
    <w:bookmarkEnd w:id="114"/>
    <w:p w14:paraId="464517C2">
      <w:pPr>
        <w:numPr>
          <w:ilvl w:val="255"/>
          <w:numId w:val="0"/>
        </w:numPr>
        <w:spacing w:after="0" w:line="236" w:lineRule="auto"/>
        <w:ind w:firstLine="420" w:firstLineChars="200"/>
        <w:jc w:val="both"/>
        <w:rPr>
          <w:rFonts w:ascii="微软雅黑" w:hAnsi="微软雅黑" w:cs="微软雅黑"/>
          <w:sz w:val="21"/>
          <w:szCs w:val="21"/>
        </w:rPr>
      </w:pPr>
      <w:bookmarkStart w:id="115"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r>
        <w:rPr>
          <w:rFonts w:hint="eastAsia" w:ascii="微软雅黑" w:hAnsi="微软雅黑" w:cs="微软雅黑"/>
          <w:b/>
          <w:bCs/>
          <w:sz w:val="21"/>
          <w:szCs w:val="21"/>
          <w:lang w:val="en-US" w:eastAsia="zh-CN"/>
        </w:rPr>
        <w:t>28.3</w:t>
      </w:r>
      <w:r>
        <w:rPr>
          <w:rFonts w:hint="eastAsia" w:ascii="微软雅黑" w:hAnsi="微软雅黑" w:cs="微软雅黑"/>
          <w:b/>
          <w:bCs/>
          <w:sz w:val="21"/>
          <w:szCs w:val="21"/>
        </w:rPr>
        <w:t>mutatio</w:t>
      </w:r>
      <w:r>
        <w:rPr>
          <w:rFonts w:hint="eastAsia" w:ascii="微软雅黑" w:hAnsi="微软雅黑" w:cs="微软雅黑"/>
          <w:b/>
          <w:bCs/>
          <w:sz w:val="21"/>
          <w:szCs w:val="21"/>
          <w:highlight w:val="none"/>
        </w:rPr>
        <w:t>ns/Mb，TMB水平</w:t>
      </w:r>
      <w:r>
        <w:rPr>
          <w:rFonts w:hint="eastAsia" w:ascii="微软雅黑" w:hAnsi="微软雅黑" w:cs="微软雅黑"/>
          <w:b/>
          <w:bCs/>
          <w:sz w:val="21"/>
          <w:szCs w:val="21"/>
          <w:highlight w:val="none"/>
          <w:lang w:val="en-US" w:eastAsia="zh-CN"/>
        </w:rPr>
        <w:t>较高</w:t>
      </w:r>
      <w:r>
        <w:rPr>
          <w:rFonts w:hint="eastAsia" w:ascii="微软雅黑" w:hAnsi="微软雅黑" w:cs="微软雅黑"/>
          <w:b/>
          <w:bCs/>
          <w:sz w:val="21"/>
          <w:szCs w:val="21"/>
          <w:highlight w:val="none"/>
        </w:rPr>
        <w:t>。</w:t>
      </w:r>
      <w:bookmarkEnd w:id="115"/>
    </w:p>
    <w:p w14:paraId="2BAE0DE3">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rPr>
          <w:rFonts w:hint="default" w:ascii="微软雅黑" w:hAnsi="微软雅黑" w:cs="微软雅黑"/>
          <w:sz w:val="21"/>
          <w:szCs w:val="21"/>
          <w:highlight w:val="none"/>
          <w:lang w:val="en-US" w:eastAsia="zh-CN"/>
        </w:rPr>
      </w:pPr>
      <w:r>
        <w:rPr>
          <w:rFonts w:hint="eastAsia" w:ascii="微软雅黑" w:hAnsi="微软雅黑" w:cs="微软雅黑"/>
          <w:color w:val="auto"/>
          <w:sz w:val="21"/>
          <w:szCs w:val="21"/>
          <w:highlight w:val="none"/>
          <w:lang w:val="en-US" w:eastAsia="zh-CN"/>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color w:val="auto"/>
          <w:kern w:val="2"/>
          <w:sz w:val="21"/>
          <w:szCs w:val="21"/>
          <w:lang w:val="en-US" w:eastAsia="zh-CN"/>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color w:val="auto"/>
          <w:kern w:val="2"/>
          <w:sz w:val="21"/>
          <w:szCs w:val="21"/>
          <w:vertAlign w:val="superscript"/>
          <w:lang w:val="en-US" w:eastAsia="zh-CN"/>
        </w:rPr>
        <w:t>[1]</w:t>
      </w:r>
      <w:r>
        <w:rPr>
          <w:rFonts w:hint="eastAsia" w:ascii="微软雅黑" w:hAnsi="微软雅黑" w:cs="Arial Unicode MS"/>
          <w:color w:val="auto"/>
          <w:kern w:val="2"/>
          <w:sz w:val="21"/>
          <w:szCs w:val="21"/>
          <w:lang w:val="en-US" w:eastAsia="zh-CN"/>
        </w:rPr>
        <w:t>。</w:t>
      </w:r>
      <w:r>
        <w:rPr>
          <w:rFonts w:hint="eastAsia" w:ascii="微软雅黑" w:hAnsi="微软雅黑" w:cs="微软雅黑"/>
          <w:sz w:val="21"/>
          <w:szCs w:val="21"/>
          <w:highlight w:val="none"/>
          <w:lang w:val="en-US" w:eastAsia="zh-CN"/>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highlight w:val="none"/>
          <w:vertAlign w:val="superscript"/>
          <w:lang w:val="en-US" w:eastAsia="zh-CN"/>
        </w:rPr>
        <w:t>[2]</w:t>
      </w:r>
      <w:r>
        <w:rPr>
          <w:rFonts w:hint="eastAsia" w:ascii="微软雅黑" w:hAnsi="微软雅黑" w:cs="微软雅黑"/>
          <w:sz w:val="21"/>
          <w:szCs w:val="21"/>
          <w:highlight w:val="none"/>
          <w:lang w:val="en-US" w:eastAsia="zh-CN"/>
        </w:rPr>
        <w:t xml:space="preserve">。 </w:t>
      </w:r>
    </w:p>
    <w:p w14:paraId="303137E2">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rPr>
          <w:rFonts w:hint="eastAsia" w:ascii="微软雅黑" w:hAnsi="微软雅黑" w:cs="Arial Unicode MS"/>
          <w:color w:val="FF0000"/>
          <w:kern w:val="2"/>
          <w:sz w:val="21"/>
          <w:szCs w:val="21"/>
          <w:lang w:val="en-US" w:eastAsia="zh-CN"/>
        </w:rPr>
      </w:pPr>
      <w:r>
        <w:rPr>
          <w:rFonts w:hint="eastAsia" w:ascii="微软雅黑" w:hAnsi="微软雅黑" w:cs="微软雅黑"/>
          <w:sz w:val="21"/>
          <w:szCs w:val="21"/>
          <w:highlight w:val="none"/>
          <w:lang w:val="en-US" w:eastAsia="zh-CN"/>
        </w:rPr>
        <w:t>常用的免疫抑制剂有：帕博利珠单抗、纳武利尤单抗、阿替利珠单抗、度伐利尤单抗、替雷利珠单抗、恩沃利单抗等。</w:t>
      </w:r>
    </w:p>
    <w:p w14:paraId="38709E90">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right="0" w:rightChars="0"/>
        <w:jc w:val="both"/>
        <w:textAlignment w:val="auto"/>
        <w:outlineLvl w:val="9"/>
      </w:pPr>
      <w:r>
        <w:drawing>
          <wp:inline distT="0" distB="0" distL="114300" distR="114300">
            <wp:extent cx="5267960" cy="2298065"/>
            <wp:effectExtent l="0" t="0" r="889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67960" cy="2298065"/>
                    </a:xfrm>
                    <a:prstGeom prst="rect">
                      <a:avLst/>
                    </a:prstGeom>
                    <a:noFill/>
                    <a:ln>
                      <a:noFill/>
                    </a:ln>
                  </pic:spPr>
                </pic:pic>
              </a:graphicData>
            </a:graphic>
          </wp:inline>
        </w:drawing>
      </w:r>
    </w:p>
    <w:p w14:paraId="099CC1CD">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40" w:firstLineChars="200"/>
        <w:jc w:val="center"/>
        <w:textAlignment w:val="auto"/>
        <w:outlineLvl w:val="9"/>
        <w:rPr>
          <w:rFonts w:hint="default" w:ascii="微软雅黑" w:hAnsi="微软雅黑" w:cs="微软雅黑"/>
          <w:sz w:val="21"/>
          <w:szCs w:val="21"/>
          <w:highlight w:val="none"/>
          <w:lang w:val="en-US" w:eastAsia="zh-CN"/>
        </w:rPr>
      </w:pPr>
      <w:r>
        <w:rPr>
          <w:rFonts w:hint="eastAsia" w:ascii="微软雅黑" w:hAnsi="微软雅黑" w:cs="微软雅黑"/>
          <w:lang w:val="en-US" w:eastAsia="zh-CN"/>
        </w:rPr>
        <w:t>图1  不同癌种高/低</w:t>
      </w:r>
      <w:r>
        <w:rPr>
          <w:rFonts w:hint="eastAsia" w:ascii="微软雅黑" w:hAnsi="微软雅黑" w:cs="微软雅黑"/>
          <w:sz w:val="21"/>
          <w:szCs w:val="21"/>
          <w:highlight w:val="none"/>
          <w:lang w:val="en-US" w:eastAsia="zh-CN"/>
        </w:rPr>
        <w:t>TMB与抗PD-1/PD-L1治疗的客观反应率</w:t>
      </w:r>
      <w:r>
        <w:rPr>
          <w:rFonts w:hint="eastAsia" w:ascii="微软雅黑" w:hAnsi="微软雅黑" w:cs="微软雅黑"/>
          <w:sz w:val="21"/>
          <w:szCs w:val="21"/>
          <w:highlight w:val="none"/>
          <w:vertAlign w:val="superscript"/>
          <w:lang w:val="en-US" w:eastAsia="zh-CN"/>
        </w:rPr>
        <w:t>[2]</w:t>
      </w:r>
    </w:p>
    <w:p w14:paraId="4B969D40">
      <w:pPr>
        <w:numPr>
          <w:ilvl w:val="255"/>
          <w:numId w:val="0"/>
        </w:numPr>
        <w:spacing w:after="0" w:line="236" w:lineRule="auto"/>
        <w:jc w:val="both"/>
        <w:rPr>
          <w:rFonts w:hint="eastAsia" w:ascii="微软雅黑" w:hAnsi="微软雅黑" w:cs="Arial Unicode MS"/>
          <w:b/>
          <w:bCs/>
          <w:color w:val="auto"/>
          <w:kern w:val="2"/>
          <w:sz w:val="20"/>
          <w:szCs w:val="20"/>
          <w:highlight w:val="none"/>
          <w:lang w:eastAsia="zh-CN"/>
        </w:rPr>
      </w:pPr>
      <w:r>
        <w:rPr>
          <w:rFonts w:hint="eastAsia" w:ascii="微软雅黑" w:hAnsi="微软雅黑" w:cs="Arial Unicode MS"/>
          <w:b/>
          <w:bCs/>
          <w:color w:val="auto"/>
          <w:kern w:val="2"/>
          <w:sz w:val="20"/>
          <w:szCs w:val="20"/>
          <w:highlight w:val="none"/>
          <w:lang w:eastAsia="zh-CN"/>
        </w:rPr>
        <w:t>说明：</w:t>
      </w:r>
    </w:p>
    <w:p w14:paraId="1B5FFD50">
      <w:pPr>
        <w:keepNext w:val="0"/>
        <w:keepLines w:val="0"/>
        <w:pageBreakBefore w:val="0"/>
        <w:widowControl/>
        <w:kinsoku/>
        <w:wordWrap/>
        <w:overflowPunct/>
        <w:topLinePunct w:val="0"/>
        <w:autoSpaceDE/>
        <w:autoSpaceDN/>
        <w:bidi w:val="0"/>
        <w:adjustRightInd/>
        <w:snapToGrid w:val="0"/>
        <w:spacing w:after="0" w:line="220" w:lineRule="atLeast"/>
        <w:ind w:left="0" w:leftChars="0" w:right="0" w:rightChars="0" w:firstLine="400" w:firstLineChars="200"/>
        <w:jc w:val="both"/>
        <w:textAlignment w:val="auto"/>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44C51B7">
      <w:pPr>
        <w:keepNext w:val="0"/>
        <w:keepLines w:val="0"/>
        <w:pageBreakBefore w:val="0"/>
        <w:widowControl/>
        <w:kinsoku/>
        <w:wordWrap/>
        <w:overflowPunct/>
        <w:topLinePunct w:val="0"/>
        <w:autoSpaceDE/>
        <w:autoSpaceDN/>
        <w:bidi w:val="0"/>
        <w:adjustRightInd/>
        <w:snapToGrid w:val="0"/>
        <w:spacing w:after="0" w:line="220" w:lineRule="atLeast"/>
        <w:ind w:left="0" w:leftChars="0" w:right="0" w:rightChars="0" w:firstLine="400" w:firstLineChars="200"/>
        <w:jc w:val="both"/>
        <w:textAlignment w:val="auto"/>
        <w:outlineLvl w:val="9"/>
        <w:rPr>
          <w:rFonts w:hint="eastAsia" w:ascii="微软雅黑" w:hAnsi="微软雅黑" w:cs="微软雅黑"/>
          <w:sz w:val="20"/>
          <w:szCs w:val="20"/>
          <w:highlight w:val="none"/>
          <w:lang w:val="en-US" w:eastAsia="zh-CN"/>
        </w:rPr>
      </w:pPr>
    </w:p>
    <w:p w14:paraId="3B4C4DCD">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060E1FAD">
      <w:pPr>
        <w:pStyle w:val="14"/>
        <w:keepNext w:val="0"/>
        <w:keepLines w:val="0"/>
        <w:pageBreakBefore w:val="0"/>
        <w:widowControl w:val="0"/>
        <w:numPr>
          <w:ilvl w:val="0"/>
          <w:numId w:val="4"/>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Yarchoan M , Hopkins A, et al. Tumor Mutational Burden and Response Rate to PD-1 Inhibition[J]. New England Journal of Medicine, 2017, 377(25): 2500-2501.</w:t>
      </w:r>
    </w:p>
    <w:p w14:paraId="5147DFE8">
      <w:pPr>
        <w:pStyle w:val="14"/>
        <w:keepNext w:val="0"/>
        <w:keepLines w:val="0"/>
        <w:pageBreakBefore w:val="0"/>
        <w:widowControl w:val="0"/>
        <w:numPr>
          <w:ilvl w:val="0"/>
          <w:numId w:val="4"/>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042F14E6">
      <w:pPr>
        <w:adjustRightInd/>
        <w:snapToGrid/>
        <w:spacing w:after="0" w:line="288" w:lineRule="auto"/>
        <w:jc w:val="both"/>
        <w:rPr>
          <w:rFonts w:hint="eastAsia" w:ascii="微软雅黑" w:hAnsi="微软雅黑" w:cs="LPJNJT+Arial Unicode MS"/>
          <w:sz w:val="18"/>
          <w:szCs w:val="18"/>
          <w:lang w:val="en-US" w:eastAsia="zh-CN"/>
        </w:rPr>
      </w:pPr>
      <w:r>
        <w:rPr>
          <w:rFonts w:hint="eastAsia" w:ascii="微软雅黑" w:hAnsi="微软雅黑" w:cs="微软雅黑"/>
          <w:sz w:val="21"/>
          <w:szCs w:val="21"/>
        </w:rPr>
        <w:br w:type="page"/>
      </w:r>
    </w:p>
    <w:bookmarkEnd w:id="103"/>
    <w:bookmarkEnd w:id="104"/>
    <w:bookmarkEnd w:id="105"/>
    <w:bookmarkEnd w:id="106"/>
    <w:bookmarkEnd w:id="107"/>
    <w:bookmarkEnd w:id="108"/>
    <w:bookmarkEnd w:id="109"/>
    <w:bookmarkEnd w:id="110"/>
    <w:bookmarkEnd w:id="111"/>
    <w:p w14:paraId="52958C6A">
      <w:pPr>
        <w:rPr>
          <w:rFonts w:ascii="微软雅黑" w:hAnsi="微软雅黑"/>
          <w:b/>
          <w:color w:val="00C4D8"/>
          <w:sz w:val="28"/>
          <w:szCs w:val="28"/>
        </w:rPr>
      </w:pPr>
      <w:bookmarkStart w:id="116" w:name="_Toc18750"/>
      <w:bookmarkStart w:id="117" w:name="_Toc9267"/>
      <w:bookmarkStart w:id="118" w:name="_Toc27001"/>
      <w:bookmarkStart w:id="119" w:name="_Toc9573"/>
      <w:bookmarkStart w:id="120" w:name="_Toc22528"/>
      <w:bookmarkStart w:id="121" w:name="_Toc25168"/>
      <w:bookmarkStart w:id="122" w:name="_Toc11842"/>
      <w:bookmarkStart w:id="123" w:name="化疗药物用药提示"/>
      <w:bookmarkStart w:id="124" w:name="_Toc21245"/>
      <w:bookmarkStart w:id="125" w:name="_Toc11318"/>
      <w:bookmarkStart w:id="126" w:name="_Toc10847"/>
      <w:r>
        <w:rPr>
          <w:rFonts w:hint="eastAsia" w:ascii="微软雅黑" w:hAnsi="微软雅黑"/>
          <w:b/>
          <w:color w:val="00C4D8"/>
          <w:sz w:val="28"/>
          <w:szCs w:val="28"/>
        </w:rPr>
        <w:t>3.2微卫星不稳定性（MSI）检测结果</w:t>
      </w:r>
    </w:p>
    <w:p w14:paraId="6A1018A8">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微卫星</w:t>
      </w:r>
      <w:r>
        <w:rPr>
          <w:rFonts w:hint="eastAsia" w:ascii="微软雅黑" w:hAnsi="微软雅黑" w:eastAsia="微软雅黑" w:cs="LPJNJT+Arial Unicode MS"/>
          <w:b/>
          <w:snapToGrid/>
          <w:color w:val="000000"/>
          <w:kern w:val="0"/>
          <w:sz w:val="21"/>
          <w:szCs w:val="21"/>
          <w:u w:val="single"/>
          <w:lang w:val="en-US" w:eastAsia="zh-CN" w:bidi="ar"/>
        </w:rPr>
        <w:t>高度不稳定（MSI-H）型</w:t>
      </w:r>
      <w:r>
        <w:rPr>
          <w:rFonts w:hint="eastAsia" w:ascii="微软雅黑" w:hAnsi="微软雅黑" w:cs="LPJNJT+Arial Unicode MS"/>
          <w:b/>
          <w:color w:val="000000"/>
          <w:sz w:val="21"/>
          <w:szCs w:val="21"/>
          <w:u w:val="single"/>
        </w:rPr>
        <w:t>。</w:t>
      </w:r>
    </w:p>
    <w:p w14:paraId="23B0020C">
      <w:pPr>
        <w:spacing w:after="0" w:line="288" w:lineRule="auto"/>
        <w:rPr>
          <w:rFonts w:ascii="微软雅黑" w:hAnsi="微软雅黑" w:cs="LPJNJT+Arial Unicode MS"/>
          <w:color w:val="000000"/>
          <w:sz w:val="21"/>
          <w:szCs w:val="21"/>
        </w:rPr>
      </w:pPr>
    </w:p>
    <w:p w14:paraId="2986308D">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0A997EF4">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379487A7">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none"/>
        </w:rPr>
        <w:t>肿瘤组织为MSS（微卫星稳定）/MSI-L（微卫星低度不稳定）的结直肠癌患者，含5-FU的化疗方案</w:t>
      </w:r>
      <w:r>
        <w:rPr>
          <w:rFonts w:hint="eastAsia" w:ascii="微软雅黑" w:hAnsi="微软雅黑" w:cs="LPJNJT+Arial Unicode MS"/>
          <w:color w:val="000000"/>
          <w:sz w:val="21"/>
          <w:szCs w:val="21"/>
          <w:u w:val="none"/>
          <w:lang w:eastAsia="zh-CN"/>
        </w:rPr>
        <w:t>相对敏感，</w:t>
      </w:r>
      <w:r>
        <w:rPr>
          <w:rFonts w:hint="eastAsia" w:ascii="微软雅黑" w:hAnsi="微软雅黑" w:cs="LPJNJT+Arial Unicode MS"/>
          <w:color w:val="000000"/>
          <w:sz w:val="21"/>
          <w:szCs w:val="21"/>
          <w:u w:val="none"/>
        </w:rPr>
        <w:t>可以正常使用，建议结合临床实际情况选择治疗方案</w:t>
      </w:r>
      <w:r>
        <w:rPr>
          <w:rFonts w:hint="eastAsia" w:ascii="微软雅黑" w:hAnsi="微软雅黑" w:cs="LPJNJT+Arial Unicode MS"/>
          <w:color w:val="000000"/>
          <w:sz w:val="21"/>
          <w:szCs w:val="21"/>
          <w:u w:val="none"/>
          <w:vertAlign w:val="superscript"/>
        </w:rPr>
        <w:t>[1]</w:t>
      </w:r>
      <w:r>
        <w:rPr>
          <w:rFonts w:hint="eastAsia" w:ascii="微软雅黑" w:hAnsi="微软雅黑" w:cs="LPJNJT+Arial Unicode MS"/>
          <w:color w:val="000000"/>
          <w:sz w:val="21"/>
          <w:szCs w:val="21"/>
          <w:u w:val="none"/>
        </w:rPr>
        <w:t>。</w:t>
      </w:r>
    </w:p>
    <w:p w14:paraId="02D39B29">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肿瘤组织为MSI-H（微卫星高度不稳定）的</w:t>
      </w:r>
      <w:r>
        <w:rPr>
          <w:rFonts w:hint="eastAsia" w:ascii="微软雅黑" w:hAnsi="微软雅黑" w:cs="微软雅黑"/>
          <w:color w:val="000000"/>
          <w:sz w:val="21"/>
          <w:szCs w:val="21"/>
          <w:u w:val="single"/>
        </w:rPr>
        <w:t>Ⅱ</w:t>
      </w:r>
      <w:r>
        <w:rPr>
          <w:rFonts w:hint="eastAsia" w:ascii="微软雅黑" w:hAnsi="微软雅黑" w:cs="LPJNJT+Arial Unicode MS"/>
          <w:color w:val="000000"/>
          <w:sz w:val="21"/>
          <w:szCs w:val="21"/>
          <w:u w:val="single"/>
        </w:rPr>
        <w:t>期结直肠癌患者，预后较好，且不能从5-FU辅助化疗获益，不推荐氟尿嘧啶类药物的单药辅助化疗</w:t>
      </w:r>
      <w:r>
        <w:rPr>
          <w:rFonts w:hint="eastAsia" w:ascii="微软雅黑" w:hAnsi="微软雅黑" w:cs="LPJNJT+Arial Unicode MS"/>
          <w:color w:val="000000"/>
          <w:sz w:val="21"/>
          <w:szCs w:val="21"/>
          <w:u w:val="single"/>
          <w:vertAlign w:val="superscript"/>
        </w:rPr>
        <w:t>[1-3]</w:t>
      </w:r>
      <w:r>
        <w:rPr>
          <w:rFonts w:hint="eastAsia" w:ascii="微软雅黑" w:hAnsi="微软雅黑" w:cs="LPJNJT+Arial Unicode MS"/>
          <w:color w:val="000000"/>
          <w:sz w:val="21"/>
          <w:szCs w:val="21"/>
          <w:u w:val="single"/>
        </w:rPr>
        <w:t>。</w:t>
      </w:r>
    </w:p>
    <w:p w14:paraId="0BE8C4BB">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肿瘤组织为MSI-H的转移性结直肠癌患者，可能从PD-1免疫治疗获益</w:t>
      </w:r>
      <w:r>
        <w:rPr>
          <w:rFonts w:hint="eastAsia" w:ascii="微软雅黑" w:hAnsi="微软雅黑" w:cs="LPJNJT+Arial Unicode MS"/>
          <w:color w:val="000000"/>
          <w:sz w:val="21"/>
          <w:szCs w:val="21"/>
          <w:u w:val="single"/>
          <w:vertAlign w:val="superscript"/>
        </w:rPr>
        <w:t>[4,5]</w:t>
      </w:r>
      <w:r>
        <w:rPr>
          <w:rFonts w:hint="eastAsia" w:ascii="微软雅黑" w:hAnsi="微软雅黑" w:cs="LPJNJT+Arial Unicode MS"/>
          <w:color w:val="000000"/>
          <w:sz w:val="21"/>
          <w:szCs w:val="21"/>
          <w:u w:val="single"/>
        </w:rPr>
        <w:t>。</w:t>
      </w:r>
    </w:p>
    <w:p w14:paraId="4EBD51C8">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u w:val="single"/>
        </w:rPr>
        <w:t>肿瘤组织为MSI-H的结直肠癌患者，患有林奇综合征的风险较高，建议做进一步的林奇综合征筛查诊断（NCCN指南建议林奇综合征的基因检测应包括：MMR基因MLH1、MSH2、MSH6、PMS2和EPCAM基因）。</w:t>
      </w:r>
    </w:p>
    <w:p w14:paraId="6146187F">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1C51D525">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5DC3C5DE">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694D1006">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lang w:val="en-US" w:eastAsia="zh-CN"/>
        </w:rPr>
        <w:t>2022</w:t>
      </w:r>
      <w:r>
        <w:rPr>
          <w:rFonts w:hint="eastAsia" w:ascii="微软雅黑" w:hAnsi="微软雅黑" w:cs="LPJNJT+Arial Unicode MS"/>
          <w:color w:val="000000"/>
          <w:sz w:val="21"/>
          <w:szCs w:val="21"/>
        </w:rPr>
        <w:t>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4DDC92B8">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3ECCCFD2">
      <w:pPr>
        <w:keepNext w:val="0"/>
        <w:keepLines w:val="0"/>
        <w:pageBreakBefore w:val="0"/>
        <w:widowControl/>
        <w:numPr>
          <w:ilvl w:val="0"/>
          <w:numId w:val="6"/>
        </w:numPr>
        <w:kinsoku/>
        <w:wordWrap/>
        <w:overflowPunct/>
        <w:topLinePunct w:val="0"/>
        <w:autoSpaceDE/>
        <w:autoSpaceDN/>
        <w:bidi w:val="0"/>
        <w:adjustRightInd/>
        <w:snapToGrid/>
        <w:spacing w:after="0" w:line="288" w:lineRule="auto"/>
        <w:jc w:val="both"/>
        <w:textAlignment w:val="auto"/>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35606598">
      <w:pPr>
        <w:adjustRightInd/>
        <w:snapToGrid/>
        <w:spacing w:before="0" w:after="0" w:line="240" w:lineRule="auto"/>
        <w:jc w:val="left"/>
        <w:rPr>
          <w:rFonts w:hint="eastAsia" w:ascii="微软雅黑" w:hAnsi="微软雅黑" w:cs="LPJNJT+Arial Unicode MS"/>
          <w:b/>
          <w:color w:val="000000"/>
          <w:sz w:val="21"/>
          <w:szCs w:val="21"/>
        </w:rPr>
      </w:pPr>
      <w:r>
        <w:rPr>
          <w:rFonts w:hint="eastAsia" w:ascii="微软雅黑" w:hAnsi="微软雅黑" w:cs="LPJNJT+Arial Unicode MS"/>
          <w:b/>
          <w:color w:val="000000"/>
          <w:sz w:val="21"/>
          <w:szCs w:val="21"/>
        </w:rPr>
        <w:br w:type="page"/>
      </w:r>
    </w:p>
    <w:p w14:paraId="7BD2B049">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600C194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 xml:space="preserve">结直肠癌组织样本中，MSI阈值的划分与传统检测方法MSI毛细电泳PCR法进行验证，一致性为100%。 </w:t>
      </w:r>
    </w:p>
    <w:p w14:paraId="7C5FB538">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 计算其等位基因的分布信息；其次，通过卡方检验比较肿瘤样本和正常样本的相同微卫星位点的等位基因分布，若显著不同，则认为该微卫星位点不稳定；最后统计不稳定位点的比例。</w:t>
      </w:r>
    </w:p>
    <w:p w14:paraId="1AA42F2A">
      <w:pPr>
        <w:adjustRightInd/>
        <w:snapToGrid/>
        <w:spacing w:before="200" w:line="220" w:lineRule="atLeast"/>
        <w:jc w:val="both"/>
        <w:rPr>
          <w:rFonts w:ascii="微软雅黑" w:hAnsi="微软雅黑" w:cs="LPJNJT+Arial Unicode MS"/>
          <w:color w:val="000000"/>
          <w:sz w:val="21"/>
          <w:szCs w:val="21"/>
        </w:rPr>
      </w:pPr>
    </w:p>
    <w:p w14:paraId="1A9CB969">
      <w:pPr>
        <w:pStyle w:val="29"/>
        <w:adjustRightInd/>
        <w:snapToGrid/>
        <w:spacing w:line="220" w:lineRule="atLeast"/>
        <w:ind w:firstLine="0" w:firstLineChars="0"/>
        <w:outlineLvl w:val="1"/>
        <w:rPr>
          <w:rFonts w:ascii="微软雅黑" w:hAnsi="微软雅黑"/>
          <w:b/>
          <w:color w:val="00C4D8"/>
          <w:sz w:val="32"/>
          <w:szCs w:val="32"/>
        </w:rPr>
      </w:pPr>
      <w:r>
        <w:rPr>
          <w:rFonts w:hint="eastAsia" w:ascii="微软雅黑" w:hAnsi="微软雅黑"/>
          <w:b/>
          <w:color w:val="00C4D8"/>
          <w:sz w:val="32"/>
          <w:szCs w:val="32"/>
          <w:lang w:val="en-US" w:eastAsia="zh-CN"/>
        </w:rPr>
        <w:t>2</w:t>
      </w:r>
      <w:r>
        <w:rPr>
          <w:rFonts w:hint="eastAsia" w:ascii="微软雅黑" w:hAnsi="微软雅黑"/>
          <w:b/>
          <w:color w:val="00C4D8"/>
          <w:sz w:val="32"/>
          <w:szCs w:val="32"/>
        </w:rPr>
        <w:t>. 参考文献</w:t>
      </w:r>
    </w:p>
    <w:p w14:paraId="177D7E6D">
      <w:pPr>
        <w:pStyle w:val="14"/>
        <w:keepNext w:val="0"/>
        <w:keepLines w:val="0"/>
        <w:widowControl w:val="0"/>
        <w:suppressLineNumbers w:val="0"/>
        <w:autoSpaceDE w:val="0"/>
        <w:autoSpaceDN w:val="0"/>
        <w:adjustRightInd w:val="0"/>
        <w:snapToGrid/>
        <w:spacing w:before="0" w:beforeAutospacing="0" w:after="0" w:afterAutospacing="0" w:line="288" w:lineRule="auto"/>
        <w:ind w:left="0" w:right="-51"/>
        <w:jc w:val="both"/>
        <w:rPr>
          <w:rFonts w:hint="eastAsia" w:ascii="微软雅黑" w:hAnsi="微软雅黑" w:eastAsia="微软雅黑" w:cs="LPJNJT+Arial Unicode MS"/>
          <w:sz w:val="16"/>
          <w:szCs w:val="16"/>
          <w:lang w:val="en-US"/>
        </w:rPr>
      </w:pPr>
      <w:r>
        <w:rPr>
          <w:rFonts w:hint="eastAsia" w:ascii="微软雅黑" w:hAnsi="微软雅黑" w:cs="LPJNJT+Arial Unicode MS"/>
          <w:snapToGrid/>
          <w:color w:val="000000"/>
          <w:kern w:val="0"/>
          <w:sz w:val="16"/>
          <w:szCs w:val="16"/>
          <w:lang w:val="en-US" w:eastAsia="zh-CN" w:bidi="ar"/>
        </w:rPr>
        <w:t xml:space="preserve">[1] Sargent DJ, Marsoni S, Monges G, et al. Defective mismatch repair as a predictive marker for lack of efficacy of fluorouracil-based adjuvant therapy in colon cancer[J]. J Clin Oncol. 2010, 28(20): 3219-3226. </w:t>
      </w:r>
    </w:p>
    <w:p w14:paraId="1F2828A9">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[2]</w:t>
      </w:r>
      <w:r>
        <w:rPr>
          <w:rFonts w:hint="default" w:ascii="微软雅黑" w:hAnsi="微软雅黑" w:eastAsia="微软雅黑" w:cs="LPJNJT+Arial Unicode MS"/>
          <w:sz w:val="16"/>
          <w:szCs w:val="16"/>
          <w:lang w:eastAsia="zh-CN"/>
        </w:rPr>
        <w:t xml:space="preserve">《NCCN Guidelines Version </w:t>
      </w:r>
      <w:r>
        <w:rPr>
          <w:rFonts w:hint="eastAsia" w:ascii="微软雅黑" w:hAnsi="微软雅黑" w:eastAsia="微软雅黑" w:cs="LPJNJT+Arial Unicode MS"/>
          <w:sz w:val="16"/>
          <w:szCs w:val="16"/>
          <w:lang w:val="en-US" w:eastAsia="zh-CN"/>
        </w:rPr>
        <w:t>1</w:t>
      </w:r>
      <w:r>
        <w:rPr>
          <w:rFonts w:hint="default" w:ascii="微软雅黑" w:hAnsi="微软雅黑" w:eastAsia="微软雅黑" w:cs="LPJNJT+Arial Unicode MS"/>
          <w:sz w:val="16"/>
          <w:szCs w:val="16"/>
          <w:lang w:eastAsia="zh-CN"/>
        </w:rPr>
        <w:t>.</w:t>
      </w:r>
      <w:r>
        <w:rPr>
          <w:rFonts w:hint="eastAsia" w:ascii="微软雅黑" w:hAnsi="微软雅黑" w:eastAsia="微软雅黑" w:cs="LPJNJT+Arial Unicode MS"/>
          <w:sz w:val="16"/>
          <w:szCs w:val="16"/>
          <w:lang w:val="en-US" w:eastAsia="zh-CN"/>
        </w:rPr>
        <w:t xml:space="preserve"> </w:t>
      </w:r>
      <w:r>
        <w:rPr>
          <w:rFonts w:hint="default" w:ascii="微软雅黑" w:hAnsi="微软雅黑" w:eastAsia="微软雅黑" w:cs="LPJNJT+Arial Unicode MS"/>
          <w:sz w:val="16"/>
          <w:szCs w:val="16"/>
          <w:lang w:eastAsia="zh-CN"/>
        </w:rPr>
        <w:t>20</w:t>
      </w:r>
      <w:r>
        <w:rPr>
          <w:rFonts w:hint="eastAsia" w:ascii="微软雅黑" w:hAnsi="微软雅黑" w:eastAsia="微软雅黑" w:cs="LPJNJT+Arial Unicode MS"/>
          <w:sz w:val="16"/>
          <w:szCs w:val="16"/>
          <w:lang w:val="en-US" w:eastAsia="zh-CN"/>
        </w:rPr>
        <w:t>22-</w:t>
      </w:r>
      <w:r>
        <w:rPr>
          <w:rFonts w:hint="default" w:ascii="微软雅黑" w:hAnsi="微软雅黑" w:eastAsia="微软雅黑" w:cs="LPJNJT+Arial Unicode MS"/>
          <w:sz w:val="16"/>
          <w:szCs w:val="16"/>
          <w:lang w:eastAsia="zh-CN"/>
        </w:rPr>
        <w:t>Colon Cancer》</w:t>
      </w:r>
      <w:r>
        <w:rPr>
          <w:rFonts w:hint="eastAsia" w:ascii="微软雅黑" w:hAnsi="微软雅黑" w:eastAsia="微软雅黑" w:cs="LPJNJT+Arial Unicode MS"/>
          <w:sz w:val="16"/>
          <w:szCs w:val="16"/>
          <w:lang w:val="en-US" w:eastAsia="zh-CN"/>
        </w:rPr>
        <w:t>;</w:t>
      </w:r>
      <w:r>
        <w:rPr>
          <w:rFonts w:hint="default" w:ascii="微软雅黑" w:hAnsi="微软雅黑" w:eastAsia="微软雅黑" w:cs="LPJNJT+Arial Unicode MS"/>
          <w:sz w:val="16"/>
          <w:szCs w:val="16"/>
          <w:lang w:eastAsia="zh-CN"/>
        </w:rPr>
        <w:t xml:space="preserve">《NCCN Guidelines Version </w:t>
      </w:r>
      <w:r>
        <w:rPr>
          <w:rFonts w:hint="eastAsia" w:ascii="微软雅黑" w:hAnsi="微软雅黑" w:eastAsia="微软雅黑" w:cs="LPJNJT+Arial Unicode MS"/>
          <w:sz w:val="16"/>
          <w:szCs w:val="16"/>
          <w:lang w:val="en-US" w:eastAsia="zh-CN"/>
        </w:rPr>
        <w:t>1</w:t>
      </w:r>
      <w:r>
        <w:rPr>
          <w:rFonts w:hint="default" w:ascii="微软雅黑" w:hAnsi="微软雅黑" w:eastAsia="微软雅黑" w:cs="LPJNJT+Arial Unicode MS"/>
          <w:sz w:val="16"/>
          <w:szCs w:val="16"/>
          <w:lang w:eastAsia="zh-CN"/>
        </w:rPr>
        <w:t>.</w:t>
      </w:r>
      <w:r>
        <w:rPr>
          <w:rFonts w:hint="eastAsia" w:ascii="微软雅黑" w:hAnsi="微软雅黑" w:eastAsia="微软雅黑" w:cs="LPJNJT+Arial Unicode MS"/>
          <w:sz w:val="16"/>
          <w:szCs w:val="16"/>
          <w:lang w:val="en-US" w:eastAsia="zh-CN"/>
        </w:rPr>
        <w:t xml:space="preserve"> </w:t>
      </w:r>
      <w:r>
        <w:rPr>
          <w:rFonts w:hint="default" w:ascii="微软雅黑" w:hAnsi="微软雅黑" w:eastAsia="微软雅黑" w:cs="LPJNJT+Arial Unicode MS"/>
          <w:sz w:val="16"/>
          <w:szCs w:val="16"/>
          <w:lang w:eastAsia="zh-CN"/>
        </w:rPr>
        <w:t>20</w:t>
      </w:r>
      <w:r>
        <w:rPr>
          <w:rFonts w:hint="eastAsia" w:ascii="微软雅黑" w:hAnsi="微软雅黑" w:eastAsia="微软雅黑" w:cs="LPJNJT+Arial Unicode MS"/>
          <w:sz w:val="16"/>
          <w:szCs w:val="16"/>
          <w:lang w:val="en-US" w:eastAsia="zh-CN"/>
        </w:rPr>
        <w:t>22-Rectal</w:t>
      </w:r>
      <w:r>
        <w:rPr>
          <w:rFonts w:hint="default" w:ascii="微软雅黑" w:hAnsi="微软雅黑" w:eastAsia="微软雅黑" w:cs="LPJNJT+Arial Unicode MS"/>
          <w:sz w:val="16"/>
          <w:szCs w:val="16"/>
          <w:lang w:eastAsia="zh-CN"/>
        </w:rPr>
        <w:t xml:space="preserve"> Cancer》</w:t>
      </w:r>
      <w:r>
        <w:rPr>
          <w:rFonts w:hint="eastAsia" w:ascii="微软雅黑" w:hAnsi="微软雅黑" w:eastAsia="微软雅黑" w:cs="LPJNJT+Arial Unicode MS"/>
          <w:sz w:val="16"/>
          <w:szCs w:val="16"/>
          <w:lang w:val="en-US" w:eastAsia="zh-CN"/>
        </w:rPr>
        <w:t>.</w:t>
      </w:r>
    </w:p>
    <w:p w14:paraId="6CC52EE4">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eastAsia"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[3] 《CSCO结直肠癌诊疗指南（2022年版）》.</w:t>
      </w:r>
    </w:p>
    <w:p w14:paraId="02A7A623">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[4] 《结直肠癌及其他相关实体瘤微卫星不稳定性检测中国专家共识》.2019.</w:t>
      </w:r>
    </w:p>
    <w:p w14:paraId="64324579">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lang w:val="en-US" w:eastAsia="zh-CN"/>
        </w:rPr>
        <w:t>[5]</w:t>
      </w:r>
      <w:r>
        <w:rPr>
          <w:rFonts w:hint="default" w:ascii="微软雅黑" w:hAnsi="微软雅黑" w:eastAsia="微软雅黑" w:cs="LPJNJT+Arial Unicode MS"/>
          <w:sz w:val="16"/>
          <w:szCs w:val="16"/>
          <w:lang w:val="en-US" w:eastAsia="zh-CN"/>
        </w:rPr>
        <w:t xml:space="preserve"> Le DT, Uram JN, Wang H,</w:t>
      </w:r>
      <w:r>
        <w:rPr>
          <w:rFonts w:hint="eastAsia" w:ascii="微软雅黑" w:hAnsi="微软雅黑" w:cs="LPJNJT+Arial Unicode MS"/>
          <w:sz w:val="16"/>
          <w:szCs w:val="16"/>
          <w:lang w:val="en-US" w:eastAsia="zh-CN"/>
        </w:rPr>
        <w:t xml:space="preserve"> et al. PD-1 Blockade in Tumors with Mismatch-Repair Deficiency[J]. N Engl J Med. 2015, 372(26): 2509-2520</w:t>
      </w:r>
      <w:r>
        <w:rPr>
          <w:rFonts w:hint="eastAsia" w:ascii="微软雅黑" w:hAnsi="微软雅黑" w:cs="LPJNJT+Arial Unicode MS"/>
          <w:sz w:val="16"/>
          <w:szCs w:val="16"/>
        </w:rPr>
        <w:t>.</w:t>
      </w:r>
    </w:p>
    <w:p w14:paraId="5122E6FB">
      <w:pPr>
        <w:keepNext w:val="0"/>
        <w:keepLines w:val="0"/>
        <w:pageBreakBefore w:val="0"/>
        <w:widowControl/>
        <w:kinsoku/>
        <w:wordWrap/>
        <w:overflowPunct/>
        <w:topLinePunct w:val="0"/>
        <w:autoSpaceDE/>
        <w:autoSpaceDN/>
        <w:bidi w:val="0"/>
        <w:adjustRightInd/>
        <w:snapToGrid/>
        <w:spacing w:before="0" w:after="0" w:line="288" w:lineRule="auto"/>
        <w:ind w:left="0" w:leftChars="0" w:right="0" w:rightChars="0" w:firstLine="0" w:firstLineChars="0"/>
        <w:jc w:val="both"/>
        <w:textAlignment w:val="auto"/>
        <w:outlineLvl w:val="9"/>
        <w:rPr>
          <w:rFonts w:hint="eastAsia" w:ascii="微软雅黑" w:hAnsi="微软雅黑" w:cs="LPJNJT+Arial Unicode MS"/>
          <w:sz w:val="18"/>
          <w:szCs w:val="18"/>
          <w:lang w:val="en-US" w:eastAsia="zh-CN"/>
        </w:rPr>
      </w:pPr>
    </w:p>
    <w:p w14:paraId="119DF22F">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0737CD53">
      <w:pPr>
        <w:adjustRightInd/>
        <w:snapToGrid/>
        <w:spacing w:before="200" w:line="220" w:lineRule="atLeast"/>
        <w:outlineLvl w:val="2"/>
        <w:rPr>
          <w:rFonts w:ascii="微软雅黑" w:hAnsi="微软雅黑"/>
          <w:b/>
          <w:color w:val="FF0000"/>
          <w:sz w:val="28"/>
          <w:szCs w:val="28"/>
        </w:rPr>
      </w:pPr>
      <w:r>
        <w:rPr>
          <w:rFonts w:hint="eastAsia" w:ascii="微软雅黑" w:hAnsi="微软雅黑"/>
          <w:b/>
          <w:color w:val="00C4D8"/>
          <w:sz w:val="28"/>
          <w:szCs w:val="28"/>
        </w:rPr>
        <w:t>3.</w:t>
      </w:r>
      <w:r>
        <w:rPr>
          <w:rFonts w:hint="eastAsia" w:ascii="微软雅黑" w:hAnsi="微软雅黑"/>
          <w:b/>
          <w:color w:val="00C4D8"/>
          <w:sz w:val="28"/>
          <w:szCs w:val="28"/>
          <w:lang w:val="en-US" w:eastAsia="zh-CN"/>
        </w:rPr>
        <w:t>3</w:t>
      </w:r>
      <w:r>
        <w:rPr>
          <w:rFonts w:hint="eastAsia" w:ascii="微软雅黑" w:hAnsi="微软雅黑"/>
          <w:b/>
          <w:color w:val="00C4D8"/>
          <w:sz w:val="28"/>
          <w:szCs w:val="28"/>
        </w:rPr>
        <w:t xml:space="preserve"> 免疫疗效正相关/负相关/超进展基因检测结果</w:t>
      </w:r>
    </w:p>
    <w:p w14:paraId="55318558">
      <w:pPr>
        <w:numPr>
          <w:ilvl w:val="255"/>
          <w:numId w:val="0"/>
        </w:numPr>
        <w:spacing w:after="0" w:line="236" w:lineRule="auto"/>
        <w:ind w:firstLine="420" w:firstLineChars="200"/>
        <w:jc w:val="both"/>
        <w:rPr>
          <w:rFonts w:hint="default" w:ascii="微软雅黑" w:hAnsi="微软雅黑" w:cs="微软雅黑"/>
          <w:color w:val="auto"/>
          <w:sz w:val="21"/>
          <w:szCs w:val="21"/>
          <w:highlight w:val="none"/>
          <w:lang w:val="en-US" w:eastAsia="zh-CN"/>
        </w:rPr>
      </w:pPr>
      <w:r>
        <w:rPr>
          <w:rFonts w:hint="default" w:ascii="微软雅黑" w:hAnsi="微软雅黑" w:cs="微软雅黑"/>
          <w:color w:val="auto"/>
          <w:sz w:val="21"/>
          <w:szCs w:val="21"/>
          <w:highlight w:val="none"/>
          <w:lang w:val="en-US" w:eastAsia="zh-CN"/>
        </w:rPr>
        <w:t>随着免疫治疗</w:t>
      </w:r>
      <w:r>
        <w:rPr>
          <w:rFonts w:hint="eastAsia" w:ascii="微软雅黑" w:hAnsi="微软雅黑" w:cs="微软雅黑"/>
          <w:color w:val="auto"/>
          <w:sz w:val="21"/>
          <w:szCs w:val="21"/>
          <w:highlight w:val="none"/>
          <w:lang w:val="en-US" w:eastAsia="zh-CN"/>
        </w:rPr>
        <w:t>研究的</w:t>
      </w:r>
      <w:r>
        <w:rPr>
          <w:rFonts w:hint="default" w:ascii="微软雅黑" w:hAnsi="微软雅黑" w:cs="微软雅黑"/>
          <w:color w:val="auto"/>
          <w:sz w:val="21"/>
          <w:szCs w:val="21"/>
          <w:highlight w:val="none"/>
          <w:lang w:val="en-US" w:eastAsia="zh-CN"/>
        </w:rPr>
        <w:t>深入，更多基因组变异被发现与免疫治疗敏感、耐药、超进展相关，以下免疫相关基因标记物预测来源于多种肿瘤的科学研究成果，结果仅供参考。</w:t>
      </w:r>
    </w:p>
    <w:p w14:paraId="552178DA">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7"/>
        <w:gridCol w:w="3533"/>
        <w:gridCol w:w="3033"/>
      </w:tblGrid>
      <w:tr w14:paraId="0D16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217" w:type="dxa"/>
            <w:shd w:val="clear" w:color="auto" w:fill="00C4D8"/>
            <w:vAlign w:val="center"/>
          </w:tcPr>
          <w:p w14:paraId="7ACDD02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33" w:type="dxa"/>
            <w:shd w:val="clear" w:color="auto" w:fill="00C4D8"/>
            <w:vAlign w:val="center"/>
          </w:tcPr>
          <w:p w14:paraId="40B7EE26">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33" w:type="dxa"/>
            <w:shd w:val="clear" w:color="auto" w:fill="00C4D8"/>
            <w:vAlign w:val="center"/>
          </w:tcPr>
          <w:p w14:paraId="3F9A377E">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34AF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079513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27" w:name="OLE_LINK30" w:colFirst="1" w:colLast="2"/>
            <w:r>
              <w:rPr>
                <w:rFonts w:hint="eastAsia" w:ascii="微软雅黑" w:hAnsi="微软雅黑" w:eastAsia="微软雅黑" w:cs="微软雅黑"/>
                <w:i w:val="0"/>
                <w:color w:val="auto"/>
                <w:kern w:val="0"/>
                <w:sz w:val="20"/>
                <w:szCs w:val="20"/>
                <w:u w:val="none"/>
                <w:lang w:val="en-US" w:eastAsia="zh-CN" w:bidi="ar"/>
              </w:rPr>
              <w:t>MLH1</w:t>
            </w:r>
          </w:p>
        </w:tc>
        <w:tc>
          <w:tcPr>
            <w:tcW w:w="3533" w:type="dxa"/>
            <w:vAlign w:val="center"/>
          </w:tcPr>
          <w:p w14:paraId="5F5428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A3A6E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bookmarkEnd w:id="127"/>
      <w:tr w14:paraId="5E8B2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5E5200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MSH2</w:t>
            </w:r>
          </w:p>
        </w:tc>
        <w:tc>
          <w:tcPr>
            <w:tcW w:w="3533" w:type="dxa"/>
            <w:vAlign w:val="center"/>
          </w:tcPr>
          <w:p w14:paraId="46B845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424CCF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1881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A14CE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MSH6</w:t>
            </w:r>
          </w:p>
        </w:tc>
        <w:tc>
          <w:tcPr>
            <w:tcW w:w="3533" w:type="dxa"/>
            <w:vAlign w:val="center"/>
          </w:tcPr>
          <w:p w14:paraId="55E98A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58BD3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11C8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67E0EF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PMS2</w:t>
            </w:r>
          </w:p>
        </w:tc>
        <w:tc>
          <w:tcPr>
            <w:tcW w:w="3533" w:type="dxa"/>
            <w:vAlign w:val="center"/>
          </w:tcPr>
          <w:p w14:paraId="7D69F3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5E9EC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09E2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28D45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POLE</w:t>
            </w:r>
          </w:p>
        </w:tc>
        <w:tc>
          <w:tcPr>
            <w:tcW w:w="3533" w:type="dxa"/>
            <w:vAlign w:val="center"/>
          </w:tcPr>
          <w:p w14:paraId="3D8CDC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508009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4BA3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3E78F8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POLD1</w:t>
            </w:r>
          </w:p>
        </w:tc>
        <w:tc>
          <w:tcPr>
            <w:tcW w:w="3533" w:type="dxa"/>
            <w:vAlign w:val="center"/>
          </w:tcPr>
          <w:p w14:paraId="59C723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9D2FA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75B2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0773C6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CD274（PD-L1）</w:t>
            </w:r>
          </w:p>
        </w:tc>
        <w:tc>
          <w:tcPr>
            <w:tcW w:w="3533" w:type="dxa"/>
            <w:vAlign w:val="center"/>
          </w:tcPr>
          <w:p w14:paraId="728C59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9D83D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0FA1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132CE8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PDCD1LG2</w:t>
            </w:r>
            <w:r>
              <w:rPr>
                <w:rFonts w:hint="eastAsia" w:ascii="微软雅黑" w:hAnsi="微软雅黑" w:cs="微软雅黑"/>
                <w:i w:val="0"/>
                <w:color w:val="auto"/>
                <w:kern w:val="0"/>
                <w:sz w:val="20"/>
                <w:szCs w:val="20"/>
                <w:u w:val="none"/>
                <w:lang w:val="en-US" w:eastAsia="zh-CN" w:bidi="ar"/>
              </w:rPr>
              <w:t>（PD-L2）</w:t>
            </w:r>
          </w:p>
        </w:tc>
        <w:tc>
          <w:tcPr>
            <w:tcW w:w="3533" w:type="dxa"/>
            <w:vAlign w:val="center"/>
          </w:tcPr>
          <w:p w14:paraId="5C6BA0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11D35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66971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16D675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PBRM1</w:t>
            </w:r>
          </w:p>
        </w:tc>
        <w:tc>
          <w:tcPr>
            <w:tcW w:w="3533" w:type="dxa"/>
            <w:vAlign w:val="center"/>
          </w:tcPr>
          <w:p w14:paraId="05512C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2C3DB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6BA6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0C346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p>
        </w:tc>
        <w:tc>
          <w:tcPr>
            <w:tcW w:w="3533" w:type="dxa"/>
            <w:vAlign w:val="center"/>
          </w:tcPr>
          <w:p w14:paraId="5E143A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320A4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5B6F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67F9EF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r>
              <w:rPr>
                <w:rFonts w:hint="eastAsia" w:ascii="微软雅黑" w:hAnsi="微软雅黑" w:cs="微软雅黑"/>
                <w:i w:val="0"/>
                <w:color w:val="auto"/>
                <w:kern w:val="0"/>
                <w:sz w:val="20"/>
                <w:szCs w:val="20"/>
                <w:u w:val="none"/>
                <w:lang w:val="en-US" w:eastAsia="zh-CN" w:bidi="ar"/>
              </w:rPr>
              <w:t>/</w:t>
            </w:r>
            <w:r>
              <w:rPr>
                <w:rFonts w:hint="eastAsia" w:ascii="微软雅黑" w:hAnsi="微软雅黑" w:eastAsia="微软雅黑" w:cs="微软雅黑"/>
                <w:i w:val="0"/>
                <w:color w:val="auto"/>
                <w:kern w:val="0"/>
                <w:sz w:val="20"/>
                <w:szCs w:val="20"/>
                <w:u w:val="none"/>
                <w:lang w:val="en-US" w:eastAsia="zh-CN" w:bidi="ar"/>
              </w:rPr>
              <w:t>TP53共突变</w:t>
            </w:r>
          </w:p>
        </w:tc>
        <w:tc>
          <w:tcPr>
            <w:tcW w:w="3533" w:type="dxa"/>
            <w:vAlign w:val="center"/>
          </w:tcPr>
          <w:p w14:paraId="3CED4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b/>
                <w:bCs/>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439DC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0E104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20B16A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TET1</w:t>
            </w:r>
          </w:p>
        </w:tc>
        <w:tc>
          <w:tcPr>
            <w:tcW w:w="3533" w:type="dxa"/>
            <w:vAlign w:val="center"/>
          </w:tcPr>
          <w:p w14:paraId="240852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165E82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4987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61826A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SERPINB3</w:t>
            </w:r>
          </w:p>
        </w:tc>
        <w:tc>
          <w:tcPr>
            <w:tcW w:w="3533" w:type="dxa"/>
            <w:vAlign w:val="center"/>
          </w:tcPr>
          <w:p w14:paraId="4A3DFC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60F1C4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472D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17" w:type="dxa"/>
            <w:vAlign w:val="center"/>
          </w:tcPr>
          <w:p w14:paraId="5A2673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SERPINB4</w:t>
            </w:r>
          </w:p>
        </w:tc>
        <w:tc>
          <w:tcPr>
            <w:tcW w:w="3533" w:type="dxa"/>
            <w:vAlign w:val="center"/>
          </w:tcPr>
          <w:p w14:paraId="15D5DC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033" w:type="dxa"/>
            <w:vAlign w:val="center"/>
          </w:tcPr>
          <w:p w14:paraId="3488C6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14:paraId="25DE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exact"/>
          <w:jc w:val="center"/>
        </w:trPr>
        <w:tc>
          <w:tcPr>
            <w:tcW w:w="2217" w:type="dxa"/>
            <w:vAlign w:val="center"/>
          </w:tcPr>
          <w:p w14:paraId="02F4E0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DDR基因</w:t>
            </w:r>
          </w:p>
          <w:p w14:paraId="6B3603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（DNA损伤修复相关基因）</w:t>
            </w:r>
          </w:p>
        </w:tc>
        <w:tc>
          <w:tcPr>
            <w:tcW w:w="3533" w:type="dxa"/>
            <w:vAlign w:val="center"/>
          </w:tcPr>
          <w:p w14:paraId="7385D868">
            <w:pPr>
              <w:spacing w:after="0" w:line="220" w:lineRule="atLeast"/>
              <w:jc w:val="center"/>
              <w:rPr>
                <w:rFonts w:hint="default" w:ascii="微软雅黑" w:hAnsi="微软雅黑" w:cs="微软雅黑"/>
                <w:i w:val="0"/>
                <w:color w:val="FF0000"/>
                <w:kern w:val="0"/>
                <w:sz w:val="20"/>
                <w:szCs w:val="20"/>
                <w:u w:val="none"/>
                <w:lang w:val="en-US" w:eastAsia="zh-CN" w:bidi="ar"/>
              </w:rPr>
            </w:pPr>
            <w:r>
              <w:rPr>
                <w:rFonts w:hint="default" w:ascii="微软雅黑" w:hAnsi="微软雅黑" w:cs="微软雅黑"/>
                <w:i w:val="0"/>
                <w:color w:val="FF0000"/>
                <w:kern w:val="0"/>
                <w:sz w:val="20"/>
                <w:szCs w:val="20"/>
                <w:u w:val="none"/>
                <w:lang w:val="en-US" w:eastAsia="zh-CN" w:bidi="ar"/>
              </w:rPr>
              <w:t>ATR：c.2320del，p.I774Yfs*5</w:t>
            </w:r>
          </w:p>
          <w:p w14:paraId="5D3C421E">
            <w:pPr>
              <w:spacing w:after="0" w:line="220" w:lineRule="atLeast"/>
              <w:jc w:val="center"/>
              <w:rPr>
                <w:rFonts w:hint="default" w:ascii="微软雅黑" w:hAnsi="微软雅黑" w:cs="微软雅黑"/>
                <w:i w:val="0"/>
                <w:color w:val="FF0000"/>
                <w:kern w:val="0"/>
                <w:sz w:val="20"/>
                <w:szCs w:val="20"/>
                <w:u w:val="none"/>
                <w:lang w:val="en-US" w:eastAsia="zh-CN" w:bidi="ar"/>
              </w:rPr>
            </w:pPr>
            <w:r>
              <w:rPr>
                <w:rFonts w:hint="default" w:ascii="微软雅黑" w:hAnsi="微软雅黑" w:cs="微软雅黑"/>
                <w:i w:val="0"/>
                <w:color w:val="FF0000"/>
                <w:kern w:val="0"/>
                <w:sz w:val="20"/>
                <w:szCs w:val="20"/>
                <w:u w:val="none"/>
                <w:lang w:val="en-US" w:eastAsia="zh-CN" w:bidi="ar"/>
              </w:rPr>
              <w:t>ARID1A：c.1015del，p.A339Lfs*24</w:t>
            </w:r>
          </w:p>
        </w:tc>
        <w:tc>
          <w:tcPr>
            <w:tcW w:w="3033" w:type="dxa"/>
            <w:vAlign w:val="center"/>
          </w:tcPr>
          <w:p w14:paraId="50E9BC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bl>
    <w:p w14:paraId="53CD34BD">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2"/>
        <w:rPr>
          <w:rFonts w:hint="eastAsia" w:ascii="微软雅黑" w:hAnsi="微软雅黑" w:eastAsia="微软雅黑" w:cs="微软雅黑"/>
          <w:i w:val="0"/>
          <w:color w:val="262626"/>
          <w:kern w:val="0"/>
          <w:sz w:val="20"/>
          <w:szCs w:val="20"/>
          <w:u w:val="none"/>
          <w:lang w:val="en-US" w:eastAsia="zh-CN" w:bidi="ar"/>
        </w:rPr>
      </w:pP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正</w:t>
      </w:r>
      <w:r>
        <w:rPr>
          <w:rFonts w:hint="eastAsia" w:ascii="微软雅黑" w:hAnsi="微软雅黑" w:eastAsia="微软雅黑" w:cs="微软雅黑"/>
          <w:color w:val="auto"/>
          <w:sz w:val="20"/>
          <w:szCs w:val="20"/>
          <w:highlight w:val="none"/>
          <w:lang w:val="en-US" w:eastAsia="zh-CN" w:bidi="ar-SA"/>
        </w:rPr>
        <w:t>相关基因，指的是在免疫治疗过程中，携带该类基因突变的患者</w:t>
      </w:r>
      <w:r>
        <w:rPr>
          <w:rFonts w:hint="eastAsia" w:ascii="微软雅黑" w:hAnsi="微软雅黑" w:cs="微软雅黑"/>
          <w:color w:val="auto"/>
          <w:sz w:val="20"/>
          <w:szCs w:val="20"/>
          <w:highlight w:val="none"/>
          <w:lang w:val="en-US" w:eastAsia="zh-CN" w:bidi="ar-SA"/>
        </w:rPr>
        <w:t>接受</w:t>
      </w: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疗效可能较好，如</w:t>
      </w:r>
      <w:r>
        <w:rPr>
          <w:rFonts w:hint="eastAsia" w:ascii="微软雅黑" w:hAnsi="微软雅黑" w:eastAsia="微软雅黑" w:cs="微软雅黑"/>
          <w:i w:val="0"/>
          <w:color w:val="262626"/>
          <w:kern w:val="0"/>
          <w:sz w:val="20"/>
          <w:szCs w:val="20"/>
          <w:u w:val="none"/>
          <w:lang w:val="en-US" w:eastAsia="zh-CN" w:bidi="ar"/>
        </w:rPr>
        <w:t>PBRM1</w:t>
      </w:r>
      <w:r>
        <w:rPr>
          <w:rFonts w:hint="eastAsia" w:ascii="微软雅黑" w:hAnsi="微软雅黑" w:cs="微软雅黑"/>
          <w:i w:val="0"/>
          <w:color w:val="262626"/>
          <w:kern w:val="0"/>
          <w:sz w:val="20"/>
          <w:szCs w:val="20"/>
          <w:u w:val="none"/>
          <w:lang w:val="en-US" w:eastAsia="zh-CN" w:bidi="ar"/>
        </w:rPr>
        <w:t>基因</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cs="微软雅黑"/>
          <w:i w:val="0"/>
          <w:color w:val="262626"/>
          <w:kern w:val="0"/>
          <w:sz w:val="20"/>
          <w:szCs w:val="20"/>
          <w:u w:val="none"/>
          <w:vertAlign w:val="superscript"/>
          <w:lang w:val="en-US" w:eastAsia="zh-CN" w:bidi="ar"/>
        </w:rPr>
        <w:t>1</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eastAsia="微软雅黑" w:cs="微软雅黑"/>
          <w:i w:val="0"/>
          <w:color w:val="262626"/>
          <w:kern w:val="0"/>
          <w:sz w:val="20"/>
          <w:szCs w:val="20"/>
          <w:u w:val="none"/>
          <w:lang w:val="en-US" w:eastAsia="zh-CN" w:bidi="ar"/>
        </w:rPr>
        <w:t>。</w:t>
      </w:r>
    </w:p>
    <w:p w14:paraId="61DD2DB3">
      <w:pPr>
        <w:pStyle w:val="29"/>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center"/>
        <w:textAlignment w:val="auto"/>
        <w:outlineLvl w:val="1"/>
        <w:rPr>
          <w:rFonts w:hint="eastAsia" w:ascii="微软雅黑" w:hAnsi="微软雅黑" w:eastAsia="微软雅黑" w:cs="LPJNJT+Arial Unicode MS"/>
          <w:b/>
          <w:snapToGrid/>
          <w:color w:val="000000"/>
          <w:kern w:val="0"/>
          <w:sz w:val="21"/>
          <w:szCs w:val="21"/>
          <w:lang w:val="en-US" w:eastAsia="zh-CN" w:bidi="ar"/>
        </w:rPr>
      </w:pPr>
      <w:r>
        <w:drawing>
          <wp:inline distT="0" distB="0" distL="114300" distR="114300">
            <wp:extent cx="947420" cy="1979930"/>
            <wp:effectExtent l="0" t="0" r="5080" b="127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0"/>
                    <a:stretch>
                      <a:fillRect/>
                    </a:stretch>
                  </pic:blipFill>
                  <pic:spPr>
                    <a:xfrm>
                      <a:off x="0" y="0"/>
                      <a:ext cx="947420" cy="19799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230245" cy="1979930"/>
            <wp:effectExtent l="0" t="0" r="8255" b="127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1"/>
                    <a:stretch>
                      <a:fillRect/>
                    </a:stretch>
                  </pic:blipFill>
                  <pic:spPr>
                    <a:xfrm>
                      <a:off x="0" y="0"/>
                      <a:ext cx="3230245" cy="1979930"/>
                    </a:xfrm>
                    <a:prstGeom prst="rect">
                      <a:avLst/>
                    </a:prstGeom>
                    <a:noFill/>
                    <a:ln>
                      <a:noFill/>
                    </a:ln>
                  </pic:spPr>
                </pic:pic>
              </a:graphicData>
            </a:graphic>
          </wp:inline>
        </w:drawing>
      </w:r>
    </w:p>
    <w:p w14:paraId="494C34FB">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sz w:val="20"/>
          <w:szCs w:val="20"/>
          <w:lang w:val="en-US" w:eastAsia="zh-CN"/>
        </w:rPr>
      </w:pPr>
      <w:r>
        <w:rPr>
          <w:rFonts w:hint="eastAsia" w:ascii="微软雅黑" w:hAnsi="微软雅黑" w:cs="微软雅黑"/>
          <w:sz w:val="20"/>
          <w:szCs w:val="20"/>
          <w:lang w:val="en-US" w:eastAsia="zh-CN"/>
        </w:rPr>
        <w:t>图1  PBRM1基因突变的肾透明细胞癌患者免疫治疗获益</w:t>
      </w:r>
    </w:p>
    <w:p w14:paraId="1A97F7A1">
      <w:pPr>
        <w:pStyle w:val="29"/>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left"/>
        <w:textAlignment w:val="auto"/>
        <w:outlineLvl w:val="1"/>
        <w:rPr>
          <w:rFonts w:hint="default"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72E87A28">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 xml:space="preserve">[1] </w:t>
      </w:r>
      <w:r>
        <w:rPr>
          <w:rFonts w:hint="default" w:ascii="微软雅黑" w:hAnsi="微软雅黑" w:eastAsia="微软雅黑" w:cs="LPJNJT+Arial Unicode MS"/>
          <w:sz w:val="16"/>
          <w:szCs w:val="16"/>
          <w:lang w:val="en-US" w:eastAsia="zh-CN"/>
        </w:rPr>
        <w:t>Miao D, Margolis C A, Gao W, et al. Genomic correlates of response to immune checkpoint therapies in clear cell renal cell carcinoma[J]. Science, 2018, 359(6377): 801-806.</w:t>
      </w:r>
    </w:p>
    <w:p w14:paraId="067AF8F6">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3"/>
        <w:gridCol w:w="3034"/>
        <w:gridCol w:w="3215"/>
      </w:tblGrid>
      <w:tr w14:paraId="07FB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273" w:type="dxa"/>
            <w:shd w:val="clear" w:color="auto" w:fill="00C4D8"/>
            <w:vAlign w:val="center"/>
          </w:tcPr>
          <w:p w14:paraId="33AA964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034" w:type="dxa"/>
            <w:shd w:val="clear" w:color="auto" w:fill="00C4D8"/>
            <w:vAlign w:val="center"/>
          </w:tcPr>
          <w:p w14:paraId="4D2FDDA6">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0FF54E2E">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0C86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313A6C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PTEN</w:t>
            </w:r>
          </w:p>
        </w:tc>
        <w:tc>
          <w:tcPr>
            <w:tcW w:w="3034" w:type="dxa"/>
            <w:vAlign w:val="center"/>
          </w:tcPr>
          <w:p w14:paraId="575CCE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default" w:ascii="微软雅黑" w:hAnsi="微软雅黑" w:eastAsia="微软雅黑" w:cs="微软雅黑"/>
                <w:i w:val="0"/>
                <w:color w:val="FF0000"/>
                <w:kern w:val="0"/>
                <w:sz w:val="20"/>
                <w:szCs w:val="20"/>
                <w:u w:val="none"/>
                <w:lang w:val="en-US" w:eastAsia="zh-CN" w:bidi="ar"/>
              </w:rPr>
              <w:t>c.697C&gt;T，p.R233*</w:t>
            </w:r>
          </w:p>
        </w:tc>
        <w:tc>
          <w:tcPr>
            <w:tcW w:w="3215" w:type="dxa"/>
            <w:vAlign w:val="center"/>
          </w:tcPr>
          <w:p w14:paraId="2AC453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4A906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39BDF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JAK1</w:t>
            </w:r>
          </w:p>
        </w:tc>
        <w:tc>
          <w:tcPr>
            <w:tcW w:w="3034" w:type="dxa"/>
            <w:vAlign w:val="center"/>
          </w:tcPr>
          <w:p w14:paraId="245977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3CB5B7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4DAF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0D0191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JAK2</w:t>
            </w:r>
          </w:p>
        </w:tc>
        <w:tc>
          <w:tcPr>
            <w:tcW w:w="3034" w:type="dxa"/>
            <w:vAlign w:val="center"/>
          </w:tcPr>
          <w:p w14:paraId="73BD3CDB">
            <w:pPr>
              <w:spacing w:after="0" w:line="220" w:lineRule="atLeast"/>
              <w:jc w:val="center"/>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580628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3CBDC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14FE61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B2M</w:t>
            </w:r>
          </w:p>
        </w:tc>
        <w:tc>
          <w:tcPr>
            <w:tcW w:w="3034" w:type="dxa"/>
            <w:vAlign w:val="center"/>
          </w:tcPr>
          <w:p w14:paraId="5D000E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27410B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5AD0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3B34BA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CTNNB1</w:t>
            </w:r>
          </w:p>
        </w:tc>
        <w:tc>
          <w:tcPr>
            <w:tcW w:w="3034" w:type="dxa"/>
            <w:vAlign w:val="center"/>
          </w:tcPr>
          <w:p w14:paraId="13B5E6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1BDC07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14:paraId="6781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693309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EGFR</w:t>
            </w:r>
            <w:r>
              <w:rPr>
                <w:rFonts w:hint="eastAsia" w:ascii="微软雅黑" w:hAnsi="微软雅黑" w:cs="微软雅黑"/>
                <w:i w:val="0"/>
                <w:color w:val="auto"/>
                <w:kern w:val="0"/>
                <w:sz w:val="20"/>
                <w:szCs w:val="20"/>
                <w:highlight w:val="none"/>
                <w:u w:val="none"/>
                <w:lang w:val="en-US" w:eastAsia="zh-CN" w:bidi="ar"/>
              </w:rPr>
              <w:t>（L858R/EX19del）</w:t>
            </w:r>
          </w:p>
        </w:tc>
        <w:tc>
          <w:tcPr>
            <w:tcW w:w="3034" w:type="dxa"/>
            <w:vAlign w:val="center"/>
          </w:tcPr>
          <w:p w14:paraId="005167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215" w:type="dxa"/>
            <w:vAlign w:val="center"/>
          </w:tcPr>
          <w:p w14:paraId="2AAA91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有害变异时可能疗效</w:t>
            </w:r>
            <w:r>
              <w:rPr>
                <w:rFonts w:hint="eastAsia" w:ascii="微软雅黑" w:hAnsi="微软雅黑" w:cs="微软雅黑"/>
                <w:i w:val="0"/>
                <w:color w:val="auto"/>
                <w:kern w:val="0"/>
                <w:sz w:val="20"/>
                <w:szCs w:val="20"/>
                <w:highlight w:val="none"/>
                <w:u w:val="none"/>
                <w:lang w:val="en-US" w:eastAsia="zh-CN" w:bidi="ar"/>
              </w:rPr>
              <w:t>不佳</w:t>
            </w:r>
            <w:r>
              <w:rPr>
                <w:rFonts w:hint="eastAsia" w:ascii="微软雅黑" w:hAnsi="微软雅黑" w:eastAsia="微软雅黑" w:cs="微软雅黑"/>
                <w:i w:val="0"/>
                <w:color w:val="auto"/>
                <w:kern w:val="0"/>
                <w:sz w:val="20"/>
                <w:szCs w:val="20"/>
                <w:highlight w:val="none"/>
                <w:u w:val="none"/>
                <w:lang w:val="en-US" w:eastAsia="zh-CN" w:bidi="ar"/>
              </w:rPr>
              <w:t>。</w:t>
            </w:r>
          </w:p>
        </w:tc>
      </w:tr>
      <w:tr w14:paraId="310B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445573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ALK</w:t>
            </w:r>
          </w:p>
        </w:tc>
        <w:tc>
          <w:tcPr>
            <w:tcW w:w="3034" w:type="dxa"/>
            <w:vAlign w:val="center"/>
          </w:tcPr>
          <w:p w14:paraId="2EA30C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39DB41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11E55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7B65EE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MET</w:t>
            </w:r>
          </w:p>
        </w:tc>
        <w:tc>
          <w:tcPr>
            <w:tcW w:w="3034" w:type="dxa"/>
            <w:vAlign w:val="center"/>
          </w:tcPr>
          <w:p w14:paraId="250CFB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75CFE1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0A4D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7D4524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STK11</w:t>
            </w:r>
          </w:p>
        </w:tc>
        <w:tc>
          <w:tcPr>
            <w:tcW w:w="3034" w:type="dxa"/>
            <w:vAlign w:val="center"/>
          </w:tcPr>
          <w:p w14:paraId="520E28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1C5BEE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4721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2C3F46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KRAS/STK11共突变</w:t>
            </w:r>
          </w:p>
        </w:tc>
        <w:tc>
          <w:tcPr>
            <w:tcW w:w="3034" w:type="dxa"/>
            <w:vAlign w:val="center"/>
          </w:tcPr>
          <w:p w14:paraId="7537FE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1D60E0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60AD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791DD7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KEAP1</w:t>
            </w:r>
          </w:p>
        </w:tc>
        <w:tc>
          <w:tcPr>
            <w:tcW w:w="3034" w:type="dxa"/>
            <w:vAlign w:val="center"/>
          </w:tcPr>
          <w:p w14:paraId="18E604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736DAB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14:paraId="32D4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273" w:type="dxa"/>
            <w:vAlign w:val="center"/>
          </w:tcPr>
          <w:p w14:paraId="6F5DD6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IFNGR1/2</w:t>
            </w:r>
          </w:p>
        </w:tc>
        <w:tc>
          <w:tcPr>
            <w:tcW w:w="3034" w:type="dxa"/>
            <w:vAlign w:val="center"/>
          </w:tcPr>
          <w:p w14:paraId="18D659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15" w:type="dxa"/>
            <w:vAlign w:val="center"/>
          </w:tcPr>
          <w:p w14:paraId="6392F1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bl>
    <w:p w14:paraId="6963F918">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2"/>
        <w:rPr>
          <w:rFonts w:hint="default" w:ascii="微软雅黑" w:hAnsi="微软雅黑" w:cs="微软雅黑"/>
          <w:i w:val="0"/>
          <w:color w:val="000000"/>
          <w:kern w:val="0"/>
          <w:sz w:val="20"/>
          <w:szCs w:val="20"/>
          <w:u w:val="none"/>
          <w:lang w:val="en-US" w:eastAsia="zh-CN" w:bidi="ar"/>
        </w:rPr>
      </w:pPr>
      <w:r>
        <w:rPr>
          <w:rFonts w:hint="eastAsia" w:ascii="微软雅黑" w:hAnsi="微软雅黑" w:eastAsia="微软雅黑" w:cs="微软雅黑"/>
          <w:i w:val="0"/>
          <w:color w:val="000000"/>
          <w:kern w:val="0"/>
          <w:sz w:val="20"/>
          <w:szCs w:val="20"/>
          <w:u w:val="none"/>
          <w:lang w:val="en-US" w:eastAsia="zh-CN" w:bidi="ar"/>
        </w:rPr>
        <w:t>免疫治疗负相关基因，指的是在免疫治疗过程中，携带</w:t>
      </w:r>
      <w:r>
        <w:rPr>
          <w:rFonts w:hint="eastAsia" w:ascii="微软雅黑" w:hAnsi="微软雅黑" w:cs="微软雅黑"/>
          <w:i w:val="0"/>
          <w:color w:val="000000"/>
          <w:kern w:val="0"/>
          <w:sz w:val="20"/>
          <w:szCs w:val="20"/>
          <w:u w:val="none"/>
          <w:lang w:val="en-US" w:eastAsia="zh-CN" w:bidi="ar"/>
        </w:rPr>
        <w:t>该类</w:t>
      </w:r>
      <w:r>
        <w:rPr>
          <w:rFonts w:hint="eastAsia" w:ascii="微软雅黑" w:hAnsi="微软雅黑" w:eastAsia="微软雅黑" w:cs="微软雅黑"/>
          <w:i w:val="0"/>
          <w:color w:val="000000"/>
          <w:kern w:val="0"/>
          <w:sz w:val="20"/>
          <w:szCs w:val="20"/>
          <w:u w:val="none"/>
          <w:lang w:val="en-US" w:eastAsia="zh-CN" w:bidi="ar"/>
        </w:rPr>
        <w:t>基因突变的患者</w:t>
      </w:r>
      <w:r>
        <w:rPr>
          <w:rFonts w:hint="eastAsia" w:ascii="微软雅黑" w:hAnsi="微软雅黑" w:cs="微软雅黑"/>
          <w:i w:val="0"/>
          <w:color w:val="000000"/>
          <w:kern w:val="0"/>
          <w:sz w:val="20"/>
          <w:szCs w:val="20"/>
          <w:u w:val="none"/>
          <w:lang w:val="en-US" w:eastAsia="zh-CN" w:bidi="ar"/>
        </w:rPr>
        <w:t>产生</w:t>
      </w:r>
      <w:r>
        <w:rPr>
          <w:rFonts w:hint="eastAsia" w:ascii="微软雅黑" w:hAnsi="微软雅黑" w:eastAsia="微软雅黑" w:cs="微软雅黑"/>
          <w:i w:val="0"/>
          <w:color w:val="000000"/>
          <w:kern w:val="0"/>
          <w:sz w:val="20"/>
          <w:szCs w:val="20"/>
          <w:u w:val="none"/>
          <w:lang w:val="en-US" w:eastAsia="zh-CN" w:bidi="ar"/>
        </w:rPr>
        <w:t>免疫治疗耐药</w:t>
      </w:r>
      <w:r>
        <w:rPr>
          <w:rFonts w:hint="eastAsia" w:ascii="微软雅黑" w:hAnsi="微软雅黑" w:cs="微软雅黑"/>
          <w:i w:val="0"/>
          <w:color w:val="000000"/>
          <w:kern w:val="0"/>
          <w:sz w:val="20"/>
          <w:szCs w:val="20"/>
          <w:u w:val="none"/>
          <w:lang w:val="en-US" w:eastAsia="zh-CN" w:bidi="ar"/>
        </w:rPr>
        <w:t>/</w:t>
      </w:r>
      <w:r>
        <w:rPr>
          <w:rFonts w:hint="eastAsia" w:ascii="微软雅黑" w:hAnsi="微软雅黑" w:eastAsia="微软雅黑" w:cs="微软雅黑"/>
          <w:i w:val="0"/>
          <w:color w:val="000000"/>
          <w:kern w:val="0"/>
          <w:sz w:val="20"/>
          <w:szCs w:val="20"/>
          <w:u w:val="none"/>
          <w:lang w:val="en-US" w:eastAsia="zh-CN" w:bidi="ar"/>
        </w:rPr>
        <w:t>疗效不佳。这些特定基因突变引起通路</w:t>
      </w:r>
      <w:r>
        <w:rPr>
          <w:rFonts w:hint="eastAsia" w:ascii="微软雅黑" w:hAnsi="微软雅黑" w:cs="微软雅黑"/>
          <w:i w:val="0"/>
          <w:color w:val="000000"/>
          <w:kern w:val="0"/>
          <w:sz w:val="20"/>
          <w:szCs w:val="20"/>
          <w:u w:val="none"/>
          <w:lang w:val="en-US" w:eastAsia="zh-CN" w:bidi="ar"/>
        </w:rPr>
        <w:t>的</w:t>
      </w:r>
      <w:r>
        <w:rPr>
          <w:rFonts w:hint="eastAsia" w:ascii="微软雅黑" w:hAnsi="微软雅黑" w:eastAsia="微软雅黑" w:cs="微软雅黑"/>
          <w:i w:val="0"/>
          <w:color w:val="000000"/>
          <w:kern w:val="0"/>
          <w:sz w:val="20"/>
          <w:szCs w:val="20"/>
          <w:u w:val="none"/>
          <w:lang w:val="en-US" w:eastAsia="zh-CN" w:bidi="ar"/>
        </w:rPr>
        <w:t>改变，可能导致肿瘤微环境中免疫细胞的浸润以及功能受到抑制</w:t>
      </w:r>
      <w:r>
        <w:rPr>
          <w:rFonts w:hint="eastAsia" w:ascii="微软雅黑" w:hAnsi="微软雅黑" w:cs="微软雅黑"/>
          <w:i w:val="0"/>
          <w:color w:val="000000"/>
          <w:kern w:val="0"/>
          <w:sz w:val="20"/>
          <w:szCs w:val="20"/>
          <w:u w:val="none"/>
          <w:lang w:val="en-US" w:eastAsia="zh-CN" w:bidi="ar"/>
        </w:rPr>
        <w:t>，如JAK1/2失活突变</w:t>
      </w:r>
      <w:r>
        <w:rPr>
          <w:rFonts w:hint="eastAsia" w:ascii="微软雅黑" w:hAnsi="微软雅黑" w:cs="微软雅黑"/>
          <w:i w:val="0"/>
          <w:color w:val="000000"/>
          <w:kern w:val="0"/>
          <w:sz w:val="20"/>
          <w:szCs w:val="20"/>
          <w:u w:val="none"/>
          <w:vertAlign w:val="superscript"/>
          <w:lang w:val="en-US" w:eastAsia="zh-CN" w:bidi="ar"/>
        </w:rPr>
        <w:t>[1]</w:t>
      </w:r>
      <w:r>
        <w:rPr>
          <w:rFonts w:hint="eastAsia" w:ascii="微软雅黑" w:hAnsi="微软雅黑" w:cs="微软雅黑"/>
          <w:i w:val="0"/>
          <w:color w:val="000000"/>
          <w:kern w:val="0"/>
          <w:sz w:val="20"/>
          <w:szCs w:val="20"/>
          <w:u w:val="none"/>
          <w:vertAlign w:val="baseline"/>
          <w:lang w:val="en-US" w:eastAsia="zh-CN" w:bidi="ar"/>
        </w:rPr>
        <w:t>。</w:t>
      </w:r>
    </w:p>
    <w:p w14:paraId="331269CF">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40" w:firstLineChars="200"/>
        <w:jc w:val="center"/>
        <w:textAlignment w:val="auto"/>
        <w:outlineLvl w:val="2"/>
        <w:rPr>
          <w:rFonts w:hint="default" w:ascii="微软雅黑" w:hAnsi="微软雅黑" w:cs="微软雅黑"/>
          <w:i w:val="0"/>
          <w:color w:val="262626"/>
          <w:kern w:val="0"/>
          <w:sz w:val="20"/>
          <w:szCs w:val="20"/>
          <w:u w:val="none"/>
          <w:lang w:val="en-US" w:eastAsia="zh-CN" w:bidi="ar"/>
        </w:rPr>
      </w:pPr>
      <w:r>
        <w:drawing>
          <wp:inline distT="0" distB="0" distL="114300" distR="114300">
            <wp:extent cx="3832225" cy="2641600"/>
            <wp:effectExtent l="0" t="0" r="15875" b="635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22"/>
                    <a:stretch>
                      <a:fillRect/>
                    </a:stretch>
                  </pic:blipFill>
                  <pic:spPr>
                    <a:xfrm>
                      <a:off x="0" y="0"/>
                      <a:ext cx="3832225" cy="2641600"/>
                    </a:xfrm>
                    <a:prstGeom prst="rect">
                      <a:avLst/>
                    </a:prstGeom>
                    <a:noFill/>
                    <a:ln>
                      <a:noFill/>
                    </a:ln>
                  </pic:spPr>
                </pic:pic>
              </a:graphicData>
            </a:graphic>
          </wp:inline>
        </w:drawing>
      </w:r>
    </w:p>
    <w:p w14:paraId="284C27EA">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ascii="微软雅黑" w:hAnsi="微软雅黑" w:cs="微软雅黑"/>
          <w:sz w:val="21"/>
          <w:szCs w:val="21"/>
          <w:lang w:val="en-US" w:eastAsia="zh-CN"/>
        </w:rPr>
      </w:pPr>
      <w:r>
        <w:rPr>
          <w:rFonts w:hint="eastAsia" w:ascii="微软雅黑" w:hAnsi="微软雅黑" w:cs="微软雅黑"/>
          <w:sz w:val="20"/>
          <w:szCs w:val="20"/>
          <w:lang w:val="en-US" w:eastAsia="zh-CN"/>
        </w:rPr>
        <w:t>图1  JAK1/2失活免疫抑制机制</w:t>
      </w:r>
    </w:p>
    <w:p w14:paraId="6ADBBCD0">
      <w:pPr>
        <w:pStyle w:val="29"/>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left"/>
        <w:textAlignment w:val="auto"/>
        <w:outlineLvl w:val="1"/>
        <w:rPr>
          <w:rFonts w:hint="default" w:ascii="微软雅黑" w:hAnsi="微软雅黑" w:eastAsia="微软雅黑" w:cs="LPJNJT+Arial Unicode MS"/>
          <w:snapToGrid/>
          <w:color w:val="000000"/>
          <w:kern w:val="0"/>
          <w:sz w:val="16"/>
          <w:szCs w:val="16"/>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46F141B3">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[1] Kalbasi A, Ribas A. Tumour-intrinsic resistance to immune checkpoint blockade[J]. Nature Reviews Immunology, 2019: 1-15.</w:t>
      </w:r>
    </w:p>
    <w:p w14:paraId="6C2756A7">
      <w:pPr>
        <w:pStyle w:val="29"/>
        <w:keepNext w:val="0"/>
        <w:keepLines w:val="0"/>
        <w:pageBreakBefore w:val="0"/>
        <w:widowControl/>
        <w:numPr>
          <w:ilvl w:val="0"/>
          <w:numId w:val="2"/>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734C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5A33048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793" w:type="dxa"/>
            <w:shd w:val="clear" w:color="auto" w:fill="00C4D8"/>
            <w:vAlign w:val="center"/>
          </w:tcPr>
          <w:p w14:paraId="14FFBED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4CE14FF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0951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F972E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MDM2</w:t>
            </w:r>
          </w:p>
        </w:tc>
        <w:tc>
          <w:tcPr>
            <w:tcW w:w="2793" w:type="dxa"/>
            <w:vAlign w:val="center"/>
          </w:tcPr>
          <w:p w14:paraId="407DBF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554BB0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14:paraId="24A4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F4922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MDM4</w:t>
            </w:r>
          </w:p>
        </w:tc>
        <w:tc>
          <w:tcPr>
            <w:tcW w:w="2793" w:type="dxa"/>
            <w:vAlign w:val="center"/>
          </w:tcPr>
          <w:p w14:paraId="6A3DE4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02C5E7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14:paraId="6DF27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2E7F9C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DNMT3A</w:t>
            </w:r>
          </w:p>
        </w:tc>
        <w:tc>
          <w:tcPr>
            <w:tcW w:w="2793" w:type="dxa"/>
            <w:vAlign w:val="center"/>
          </w:tcPr>
          <w:p w14:paraId="0E742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5DF22E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6F3D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46EE5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t>EGFR</w:t>
            </w:r>
            <w:r>
              <w:rPr>
                <w:rFonts w:hint="eastAsia" w:ascii="微软雅黑" w:hAnsi="微软雅黑" w:cs="微软雅黑"/>
                <w:i w:val="0"/>
                <w:color w:val="000000" w:themeColor="text1"/>
                <w:kern w:val="0"/>
                <w:sz w:val="20"/>
                <w:szCs w:val="20"/>
                <w:highlight w:val="none"/>
                <w:u w:val="none"/>
                <w:lang w:val="en-US" w:eastAsia="zh-CN" w:bidi="ar"/>
                <w14:textFill>
                  <w14:solidFill>
                    <w14:schemeClr w14:val="tx1"/>
                  </w14:solidFill>
                </w14:textFill>
              </w:rPr>
              <w:t>（扩增）</w:t>
            </w:r>
          </w:p>
        </w:tc>
        <w:tc>
          <w:tcPr>
            <w:tcW w:w="2793" w:type="dxa"/>
            <w:vAlign w:val="center"/>
          </w:tcPr>
          <w:p w14:paraId="672AFC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14:paraId="6E40C7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t>检出有害变异时可能与超进展相关。</w:t>
            </w:r>
          </w:p>
        </w:tc>
      </w:tr>
      <w:tr w14:paraId="5E8F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945BA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CCND1</w:t>
            </w:r>
          </w:p>
        </w:tc>
        <w:tc>
          <w:tcPr>
            <w:tcW w:w="2793" w:type="dxa"/>
            <w:vAlign w:val="center"/>
          </w:tcPr>
          <w:p w14:paraId="42ECC9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3BA88F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5E29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97105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FGF3</w:t>
            </w:r>
          </w:p>
        </w:tc>
        <w:tc>
          <w:tcPr>
            <w:tcW w:w="2793" w:type="dxa"/>
            <w:vAlign w:val="center"/>
          </w:tcPr>
          <w:p w14:paraId="7943E1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717A57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6AB1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665E96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FGF4</w:t>
            </w:r>
          </w:p>
        </w:tc>
        <w:tc>
          <w:tcPr>
            <w:tcW w:w="2793" w:type="dxa"/>
            <w:vAlign w:val="center"/>
          </w:tcPr>
          <w:p w14:paraId="7AA63F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69A49F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14:paraId="0771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3BD4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FGF19</w:t>
            </w:r>
          </w:p>
        </w:tc>
        <w:tc>
          <w:tcPr>
            <w:tcW w:w="2793" w:type="dxa"/>
            <w:vAlign w:val="center"/>
          </w:tcPr>
          <w:p w14:paraId="3EEB18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14:paraId="035717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bl>
    <w:p w14:paraId="1F76E38B">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2"/>
        <w:rPr>
          <w:rFonts w:hint="eastAsia" w:ascii="微软雅黑" w:hAnsi="微软雅黑" w:cs="微软雅黑"/>
          <w:color w:val="auto"/>
          <w:sz w:val="21"/>
          <w:szCs w:val="21"/>
          <w:highlight w:val="none"/>
          <w:lang w:val="en-US" w:eastAsia="zh-CN" w:bidi="ar-SA"/>
        </w:rPr>
      </w:pPr>
      <w:r>
        <w:rPr>
          <w:rFonts w:hint="eastAsia" w:ascii="微软雅黑" w:hAnsi="微软雅黑" w:eastAsia="微软雅黑" w:cs="微软雅黑"/>
          <w:color w:val="auto"/>
          <w:sz w:val="20"/>
          <w:szCs w:val="20"/>
          <w:highlight w:val="none"/>
          <w:lang w:val="en-US" w:eastAsia="zh-CN" w:bidi="ar-SA"/>
        </w:rPr>
        <w:t>有研究表明，MDM2/4基因的有害突变与</w:t>
      </w:r>
      <w:r>
        <w:rPr>
          <w:rFonts w:hint="eastAsia" w:ascii="微软雅黑" w:hAnsi="微软雅黑" w:cs="微软雅黑"/>
          <w:color w:val="auto"/>
          <w:sz w:val="20"/>
          <w:szCs w:val="20"/>
          <w:highlight w:val="none"/>
          <w:lang w:val="en-US" w:eastAsia="zh-CN" w:bidi="ar-SA"/>
        </w:rPr>
        <w:t>疾病</w:t>
      </w:r>
      <w:r>
        <w:rPr>
          <w:rFonts w:hint="eastAsia" w:ascii="微软雅黑" w:hAnsi="微软雅黑" w:eastAsia="微软雅黑" w:cs="微软雅黑"/>
          <w:color w:val="auto"/>
          <w:sz w:val="20"/>
          <w:szCs w:val="20"/>
          <w:highlight w:val="none"/>
          <w:lang w:val="en-US" w:eastAsia="zh-CN" w:bidi="ar-SA"/>
        </w:rPr>
        <w:t>超进展（HPD）密切相关</w:t>
      </w:r>
      <w:r>
        <w:rPr>
          <w:rFonts w:hint="eastAsia" w:ascii="微软雅黑" w:hAnsi="微软雅黑" w:cs="微软雅黑"/>
          <w:color w:val="auto"/>
          <w:sz w:val="20"/>
          <w:szCs w:val="20"/>
          <w:highlight w:val="none"/>
          <w:vertAlign w:val="superscript"/>
          <w:lang w:val="en-US" w:eastAsia="zh-CN" w:bidi="ar-SA"/>
        </w:rPr>
        <w:t>[1-2]</w:t>
      </w:r>
      <w:r>
        <w:rPr>
          <w:rFonts w:hint="eastAsia" w:ascii="微软雅黑" w:hAnsi="微软雅黑" w:eastAsia="微软雅黑" w:cs="微软雅黑"/>
          <w:color w:val="auto"/>
          <w:sz w:val="20"/>
          <w:szCs w:val="20"/>
          <w:highlight w:val="none"/>
          <w:lang w:val="en-US" w:eastAsia="zh-CN" w:bidi="ar-SA"/>
        </w:rPr>
        <w:t>。</w:t>
      </w:r>
      <w:r>
        <w:rPr>
          <w:rFonts w:hint="eastAsia" w:ascii="微软雅黑" w:hAnsi="微软雅黑" w:cs="微软雅黑"/>
          <w:color w:val="auto"/>
          <w:sz w:val="20"/>
          <w:szCs w:val="20"/>
          <w:highlight w:val="none"/>
          <w:lang w:val="en-US" w:eastAsia="zh-CN" w:bidi="ar-SA"/>
        </w:rPr>
        <w:t>HPD被定义为治疗后肿瘤反常地加速生长，包括：（1）在免疫检查点抑制剂治疗后第一次评价时进展，或至治疗失败时间（TTF）&lt;2月；（2）肿瘤体积增加&gt;50%；(3)肿瘤增长速度（TGR）增加&gt;2倍。</w:t>
      </w:r>
    </w:p>
    <w:p w14:paraId="2E330FAD">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center"/>
        <w:textAlignment w:val="auto"/>
        <w:outlineLvl w:val="2"/>
        <w:rPr>
          <w:rFonts w:hint="eastAsia" w:ascii="微软雅黑" w:hAnsi="微软雅黑"/>
          <w:b/>
          <w:color w:val="FF0000"/>
          <w:sz w:val="28"/>
          <w:szCs w:val="28"/>
          <w:highlight w:val="none"/>
          <w:lang w:val="en-US" w:eastAsia="zh-CN"/>
        </w:rPr>
      </w:pPr>
      <w:r>
        <w:drawing>
          <wp:inline distT="0" distB="0" distL="114300" distR="114300">
            <wp:extent cx="4568190" cy="2336800"/>
            <wp:effectExtent l="0" t="0" r="3810" b="63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3"/>
                    <a:stretch>
                      <a:fillRect/>
                    </a:stretch>
                  </pic:blipFill>
                  <pic:spPr>
                    <a:xfrm>
                      <a:off x="0" y="0"/>
                      <a:ext cx="4568190" cy="2336800"/>
                    </a:xfrm>
                    <a:prstGeom prst="rect">
                      <a:avLst/>
                    </a:prstGeom>
                    <a:noFill/>
                    <a:ln>
                      <a:noFill/>
                    </a:ln>
                  </pic:spPr>
                </pic:pic>
              </a:graphicData>
            </a:graphic>
          </wp:inline>
        </w:drawing>
      </w:r>
    </w:p>
    <w:p w14:paraId="189EA96F">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default"/>
          <w:lang w:val="en-US" w:eastAsia="zh-CN"/>
        </w:rPr>
      </w:pPr>
      <w:r>
        <w:rPr>
          <w:rFonts w:hint="eastAsia" w:ascii="微软雅黑" w:hAnsi="微软雅黑" w:cs="微软雅黑"/>
          <w:sz w:val="20"/>
          <w:szCs w:val="20"/>
          <w:lang w:val="en-US" w:eastAsia="zh-CN"/>
        </w:rPr>
        <w:t>图1  疾病超进展图示</w:t>
      </w:r>
    </w:p>
    <w:p w14:paraId="7DDAA9C5">
      <w:pPr>
        <w:pStyle w:val="14"/>
        <w:keepNext w:val="0"/>
        <w:keepLines w:val="0"/>
        <w:widowControl w:val="0"/>
        <w:suppressLineNumbers w:val="0"/>
        <w:autoSpaceDE w:val="0"/>
        <w:autoSpaceDN w:val="0"/>
        <w:adjustRightInd w:val="0"/>
        <w:snapToGrid/>
        <w:spacing w:before="0" w:beforeAutospacing="0" w:after="0" w:afterAutospacing="0" w:line="312" w:lineRule="auto"/>
        <w:ind w:left="0" w:right="-51"/>
        <w:jc w:val="both"/>
        <w:rPr>
          <w:rFonts w:hint="eastAsia" w:ascii="微软雅黑" w:hAnsi="微软雅黑" w:eastAsia="微软雅黑" w:cs="LPJNJT+Arial Unicode MS"/>
          <w:b/>
          <w:snapToGrid/>
          <w:color w:val="000000"/>
          <w:kern w:val="0"/>
          <w:sz w:val="21"/>
          <w:szCs w:val="21"/>
          <w:lang w:val="en-US" w:eastAsia="zh-CN" w:bidi="ar"/>
        </w:rPr>
      </w:pPr>
    </w:p>
    <w:p w14:paraId="324F194D">
      <w:pPr>
        <w:pStyle w:val="14"/>
        <w:keepNext w:val="0"/>
        <w:keepLines w:val="0"/>
        <w:widowControl w:val="0"/>
        <w:suppressLineNumbers w:val="0"/>
        <w:autoSpaceDE w:val="0"/>
        <w:autoSpaceDN w:val="0"/>
        <w:adjustRightInd w:val="0"/>
        <w:snapToGrid/>
        <w:spacing w:before="0" w:beforeAutospacing="0" w:after="0" w:afterAutospacing="0" w:line="312" w:lineRule="auto"/>
        <w:ind w:left="0" w:right="-51"/>
        <w:jc w:val="both"/>
        <w:rPr>
          <w:rFonts w:hint="eastAsia" w:ascii="微软雅黑" w:hAnsi="微软雅黑" w:eastAsia="微软雅黑" w:cs="LPJNJT+Arial Unicode MS"/>
          <w:b/>
          <w:snapToGrid/>
          <w:color w:val="000000"/>
          <w:kern w:val="0"/>
          <w:sz w:val="21"/>
          <w:szCs w:val="21"/>
          <w:lang w:val="en-US" w:eastAsia="zh-CN" w:bidi="ar"/>
        </w:rPr>
      </w:pPr>
    </w:p>
    <w:p w14:paraId="2AB3600C">
      <w:pPr>
        <w:pStyle w:val="14"/>
        <w:keepNext w:val="0"/>
        <w:keepLines w:val="0"/>
        <w:widowControl w:val="0"/>
        <w:suppressLineNumbers w:val="0"/>
        <w:autoSpaceDE w:val="0"/>
        <w:autoSpaceDN w:val="0"/>
        <w:adjustRightInd w:val="0"/>
        <w:snapToGrid/>
        <w:spacing w:before="0" w:beforeAutospacing="0" w:after="0" w:afterAutospacing="0" w:line="312" w:lineRule="auto"/>
        <w:ind w:left="0" w:right="-51"/>
        <w:jc w:val="both"/>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14:paraId="4194C655">
      <w:pPr>
        <w:pStyle w:val="14"/>
        <w:keepNext w:val="0"/>
        <w:keepLines w:val="0"/>
        <w:widowControl w:val="0"/>
        <w:suppressLineNumbers w:val="0"/>
        <w:autoSpaceDE w:val="0"/>
        <w:autoSpaceDN w:val="0"/>
        <w:adjustRightInd w:val="0"/>
        <w:snapToGrid/>
        <w:spacing w:before="0" w:beforeAutospacing="0" w:after="0" w:afterAutospacing="0" w:line="288" w:lineRule="auto"/>
        <w:ind w:left="0" w:right="-51"/>
        <w:jc w:val="both"/>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[1] Kato S , Goodman A M , Walavalkar V , et al. Hyper-progressors after Immunotherapy: Analysis of Genomic Alterations Associated with Accelerated Growth Rate[J]. Clinical Cancer Research, 2017: clincanres. 3133.2016.</w:t>
      </w:r>
    </w:p>
    <w:p w14:paraId="645CCDC2">
      <w:pPr>
        <w:pStyle w:val="14"/>
        <w:keepNext w:val="0"/>
        <w:keepLines w:val="0"/>
        <w:widowControl w:val="0"/>
        <w:suppressLineNumbers w:val="0"/>
        <w:autoSpaceDE w:val="0"/>
        <w:autoSpaceDN w:val="0"/>
        <w:adjustRightInd w:val="0"/>
        <w:snapToGrid/>
        <w:spacing w:before="0" w:beforeAutospacing="0" w:after="0" w:afterAutospacing="0" w:line="288" w:lineRule="auto"/>
        <w:ind w:left="0" w:right="-51"/>
        <w:jc w:val="both"/>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[2] Hyperprogressive Disease in Patients With Advanced Non-Small Cell Lung Cancer Treated With PD-1/PD-L1 Inhibitors or With Single-Agent Chemotherapy.[J]. JAMA oncology, 2018.</w:t>
      </w:r>
    </w:p>
    <w:p w14:paraId="534110AC">
      <w:pPr>
        <w:numPr>
          <w:ilvl w:val="-1"/>
          <w:numId w:val="0"/>
        </w:numPr>
        <w:adjustRightInd/>
        <w:snapToGrid/>
        <w:spacing w:before="200" w:line="220" w:lineRule="atLeast"/>
        <w:jc w:val="both"/>
        <w:outlineLvl w:val="2"/>
        <w:rPr>
          <w:rFonts w:ascii="微软雅黑" w:hAnsi="微软雅黑" w:cs="LPJNJT+Arial Unicode MS"/>
          <w:color w:val="000000"/>
          <w:sz w:val="16"/>
          <w:szCs w:val="16"/>
        </w:rPr>
      </w:pPr>
    </w:p>
    <w:p w14:paraId="02D5DAF9">
      <w:pPr>
        <w:numPr>
          <w:ilvl w:val="0"/>
          <w:numId w:val="7"/>
        </w:numPr>
        <w:adjustRightInd/>
        <w:snapToGrid/>
        <w:spacing w:before="200" w:line="220" w:lineRule="atLeast"/>
        <w:jc w:val="both"/>
        <w:outlineLvl w:val="2"/>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2"/>
    <w:bookmarkEnd w:id="113"/>
    <w:bookmarkEnd w:id="116"/>
    <w:bookmarkEnd w:id="117"/>
    <w:bookmarkEnd w:id="118"/>
    <w:bookmarkEnd w:id="119"/>
    <w:bookmarkEnd w:id="120"/>
    <w:bookmarkEnd w:id="121"/>
    <w:bookmarkEnd w:id="122"/>
    <w:bookmarkEnd w:id="123"/>
    <w:bookmarkEnd w:id="124"/>
    <w:bookmarkEnd w:id="125"/>
    <w:bookmarkEnd w:id="126"/>
    <w:p w14:paraId="0E3A85BA">
      <w:pPr>
        <w:numPr>
          <w:ilvl w:val="255"/>
          <w:numId w:val="0"/>
        </w:numPr>
        <w:jc w:val="both"/>
        <w:rPr>
          <w:rFonts w:ascii="微软雅黑" w:hAnsi="微软雅黑"/>
          <w:b/>
          <w:color w:val="00C4D8"/>
          <w:sz w:val="32"/>
          <w:szCs w:val="32"/>
        </w:rPr>
      </w:pPr>
      <w:bookmarkStart w:id="128" w:name="_Toc3246"/>
      <w:bookmarkStart w:id="129" w:name="_Toc14090"/>
      <w:bookmarkStart w:id="130" w:name="_Toc2749"/>
      <w:bookmarkStart w:id="131" w:name="_Toc7238"/>
      <w:bookmarkStart w:id="132" w:name="_Toc27819"/>
      <w:bookmarkStart w:id="133" w:name="_Toc29075"/>
      <w:bookmarkStart w:id="134" w:name="_Toc6736"/>
      <w:bookmarkStart w:id="135" w:name="_Toc16388"/>
      <w:bookmarkStart w:id="136" w:name="_Toc27301"/>
      <w:bookmarkStart w:id="137" w:name="_Toc2916"/>
      <w:bookmarkStart w:id="138" w:name="_Toc24294"/>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28"/>
      <w:bookmarkEnd w:id="129"/>
      <w:bookmarkEnd w:id="130"/>
      <w:bookmarkEnd w:id="131"/>
      <w:bookmarkEnd w:id="132"/>
      <w:bookmarkEnd w:id="133"/>
      <w:bookmarkEnd w:id="134"/>
      <w:bookmarkEnd w:id="135"/>
      <w:bookmarkEnd w:id="136"/>
      <w:bookmarkEnd w:id="137"/>
      <w:bookmarkEnd w:id="138"/>
    </w:p>
    <w:p w14:paraId="03054376">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42E3554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03FC2155">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4B905B6B">
      <w:pPr>
        <w:pStyle w:val="29"/>
        <w:numPr>
          <w:ilvl w:val="-1"/>
          <w:numId w:val="0"/>
        </w:numPr>
        <w:adjustRightInd/>
        <w:snapToGrid/>
        <w:spacing w:after="0" w:line="360" w:lineRule="auto"/>
        <w:ind w:left="0" w:firstLine="0" w:firstLineChars="0"/>
        <w:jc w:val="both"/>
        <w:rPr>
          <w:rFonts w:ascii="微软雅黑" w:hAnsi="微软雅黑"/>
          <w:color w:val="000000"/>
          <w:sz w:val="21"/>
          <w:szCs w:val="21"/>
        </w:rPr>
      </w:pPr>
      <w:r>
        <w:rPr>
          <w:rFonts w:hint="eastAsia" w:ascii="微软雅黑" w:hAnsi="微软雅黑" w:eastAsia="微软雅黑"/>
          <w:color w:val="262626" w:themeColor="text1" w:themeTint="D9"/>
          <w:szCs w:val="21"/>
          <w14:textFill>
            <w14:solidFill>
              <w14:schemeClr w14:val="tx1">
                <w14:lumMod w14:val="85000"/>
                <w14:lumOff w14:val="15000"/>
              </w14:schemeClr>
            </w14:solidFill>
          </w14:textFill>
        </w:rPr>
        <w:drawing>
          <wp:anchor distT="0" distB="0" distL="114300" distR="114300" simplePos="0" relativeHeight="251693056" behindDoc="0" locked="0" layoutInCell="1" allowOverlap="1">
            <wp:simplePos x="0" y="0"/>
            <wp:positionH relativeFrom="column">
              <wp:posOffset>2626360</wp:posOffset>
            </wp:positionH>
            <wp:positionV relativeFrom="paragraph">
              <wp:posOffset>333375</wp:posOffset>
            </wp:positionV>
            <wp:extent cx="762000" cy="317500"/>
            <wp:effectExtent l="0" t="0" r="0" b="6350"/>
            <wp:wrapNone/>
            <wp:docPr id="1003" name="图片 4"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片 4" descr="C:/Users/Wonzer/Desktop/微信图片_20241230095914.png微信图片_20241230095914"/>
                    <pic:cNvPicPr>
                      <a:picLocks noChangeAspect="1"/>
                    </pic:cNvPicPr>
                  </pic:nvPicPr>
                  <pic:blipFill>
                    <a:blip r:embed="rId24"/>
                    <a:srcRect t="8167" b="8167"/>
                    <a:stretch>
                      <a:fillRect/>
                    </a:stretch>
                  </pic:blipFill>
                  <pic:spPr>
                    <a:xfrm>
                      <a:off x="0" y="0"/>
                      <a:ext cx="762000" cy="317500"/>
                    </a:xfrm>
                    <a:prstGeom prst="rect">
                      <a:avLst/>
                    </a:prstGeom>
                  </pic:spPr>
                </pic:pic>
              </a:graphicData>
            </a:graphic>
          </wp:anchor>
        </w:drawing>
      </w:r>
      <w:r>
        <w:drawing>
          <wp:anchor distT="0" distB="0" distL="114300" distR="114300" simplePos="0" relativeHeight="251691008" behindDoc="0" locked="0" layoutInCell="1" allowOverlap="1">
            <wp:simplePos x="0" y="0"/>
            <wp:positionH relativeFrom="column">
              <wp:posOffset>866775</wp:posOffset>
            </wp:positionH>
            <wp:positionV relativeFrom="paragraph">
              <wp:posOffset>87630</wp:posOffset>
            </wp:positionV>
            <wp:extent cx="303530" cy="714375"/>
            <wp:effectExtent l="0" t="0" r="9525" b="127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5" cstate="hqprint">
                      <a:clrChange>
                        <a:clrFrom>
                          <a:srgbClr val="FEFFFC"/>
                        </a:clrFrom>
                        <a:clrTo>
                          <a:srgbClr val="FEFFFC">
                            <a:alpha val="0"/>
                          </a:srgbClr>
                        </a:clrTo>
                      </a:clrChange>
                      <a:extLst>
                        <a:ext uri="{BEBA8EAE-BF5A-486C-A8C5-ECC9F3942E4B}">
                          <a14:imgProps xmlns:a14="http://schemas.microsoft.com/office/drawing/2010/main">
                            <a14:imgLayer r:embed="rId26">
                              <a14:imgEffect>
                                <a14:backgroundRemoval t="4939" b="95332" l="9873" r="89650">
                                  <a14:foregroundMark x1="69268" y1="24290" x2="69268" y2="0"/>
                                  <a14:foregroundMark x1="43790" y1="5007" x2="43790" y2="0"/>
                                  <a14:foregroundMark x1="28185" y1="24966" x2="28185" y2="0"/>
                                  <a14:foregroundMark x1="25796" y1="30650" x2="25796" y2="0"/>
                                  <a14:foregroundMark x1="67516" y1="52571" x2="67516" y2="0"/>
                                  <a14:foregroundMark x1="78344" y1="77943" x2="78344" y2="0"/>
                                  <a14:foregroundMark x1="59554" y1="81529" x2="59554" y2="0"/>
                                  <a14:foregroundMark x1="42834" y1="89175" x2="42834" y2="0"/>
                                  <a14:foregroundMark x1="37580" y1="95399" x2="37580" y2="0"/>
                                  <a14:backgroundMark x1="28185" y1="59202" x2="28185" y2="0"/>
                                  <a14:backgroundMark x1="47930" y1="56698" x2="47930" y2="0"/>
                                  <a14:backgroundMark x1="42834" y1="90731" x2="42834" y2="0"/>
                                  <a14:backgroundMark x1="36783" y1="82341" x2="36783" y2="0"/>
                                </a14:backgroundRemoval>
                              </a14:imgEffect>
                              <a14:imgEffect>
                                <a14:brightnessContrast bright="40000" contrast="40000"/>
                              </a14:imgEffect>
                            </a14:imgLayer>
                          </a14:imgProps>
                        </a:ext>
                      </a:extLst>
                    </a:blip>
                    <a:srcRect/>
                    <a:stretch>
                      <a:fillRect/>
                    </a:stretch>
                  </pic:blipFill>
                  <pic:spPr>
                    <a:xfrm rot="16200000">
                      <a:off x="0" y="0"/>
                      <a:ext cx="303530" cy="714375"/>
                    </a:xfrm>
                    <a:prstGeom prst="rect">
                      <a:avLst/>
                    </a:prstGeom>
                  </pic:spPr>
                </pic:pic>
              </a:graphicData>
            </a:graphic>
          </wp:anchor>
        </w:drawing>
      </w:r>
    </w:p>
    <w:p w14:paraId="7D96C689">
      <w:pPr>
        <w:adjustRightInd/>
        <w:snapToGrid/>
        <w:spacing w:line="360" w:lineRule="auto"/>
        <w:rPr>
          <w:rFonts w:hint="default" w:ascii="微软雅黑" w:hAnsi="微软雅黑"/>
          <w:sz w:val="24"/>
          <w:szCs w:val="24"/>
          <w:highlight w:val="none"/>
          <w:lang w:val="en-US" w:eastAsia="zh-CN"/>
        </w:rPr>
      </w:pPr>
      <w:r>
        <w:rPr>
          <w:rFonts w:hint="eastAsia" w:ascii="微软雅黑" w:hAnsi="微软雅黑"/>
          <w:b/>
          <w:color w:val="000000"/>
          <w:sz w:val="24"/>
          <w:szCs w:val="24"/>
          <w:lang w:val="en-US" w:eastAsia="zh-CN"/>
        </w:rPr>
        <w:t>检测</w:t>
      </w:r>
      <w:r>
        <w:rPr>
          <w:rFonts w:ascii="微软雅黑" w:hAnsi="微软雅黑"/>
          <w:b/>
          <w:color w:val="000000"/>
          <w:sz w:val="24"/>
          <w:szCs w:val="24"/>
        </w:rPr>
        <w:t>者：</w:t>
      </w:r>
      <w:r>
        <w:rPr>
          <w:rFonts w:hint="eastAsia" w:ascii="微软雅黑" w:hAnsi="微软雅黑"/>
          <w:b/>
          <w:color w:val="000000"/>
          <w:sz w:val="24"/>
          <w:szCs w:val="24"/>
          <w:lang w:val="en-US" w:eastAsia="zh-CN"/>
        </w:rPr>
        <w:t xml:space="preserve">      </w:t>
      </w:r>
      <w:r>
        <w:rPr>
          <w:rFonts w:hint="eastAsia" w:ascii="微软雅黑" w:hAnsi="微软雅黑"/>
          <w:b w:val="0"/>
          <w:bCs/>
          <w:color w:val="000000"/>
          <w:sz w:val="24"/>
          <w:szCs w:val="24"/>
          <w:lang w:val="en-US" w:eastAsia="zh-CN"/>
        </w:rPr>
        <w:t xml:space="preserve">       </w:t>
      </w:r>
      <w:r>
        <w:rPr>
          <w:rFonts w:hint="eastAsia" w:ascii="微软雅黑" w:hAnsi="微软雅黑"/>
          <w:bCs/>
          <w:color w:val="000000"/>
          <w:sz w:val="24"/>
          <w:szCs w:val="24"/>
          <w:lang w:val="en-US" w:eastAsia="zh-CN"/>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lang w:val="en-US" w:eastAsia="zh-CN"/>
        </w:rPr>
        <w:t xml:space="preserve">       </w:t>
      </w:r>
      <w:r>
        <w:rPr>
          <w:rFonts w:hint="eastAsia" w:ascii="微软雅黑" w:hAnsi="微软雅黑"/>
          <w:bCs/>
          <w:color w:val="000000"/>
          <w:sz w:val="24"/>
          <w:szCs w:val="24"/>
          <w:lang w:val="en-US" w:eastAsia="zh-CN"/>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hint="eastAsia" w:ascii="微软雅黑" w:hAnsi="微软雅黑"/>
          <w:sz w:val="24"/>
          <w:szCs w:val="24"/>
        </w:rPr>
        <w:t>20</w:t>
      </w:r>
      <w:r>
        <w:rPr>
          <w:rFonts w:hint="eastAsia" w:ascii="微软雅黑" w:hAnsi="微软雅黑"/>
          <w:sz w:val="24"/>
          <w:szCs w:val="24"/>
          <w:lang w:val="en-US" w:eastAsia="zh-CN"/>
        </w:rPr>
        <w:t>25</w:t>
      </w:r>
      <w:r>
        <w:rPr>
          <w:rFonts w:hint="eastAsia" w:ascii="微软雅黑" w:hAnsi="微软雅黑"/>
          <w:sz w:val="24"/>
          <w:szCs w:val="24"/>
          <w:highlight w:val="none"/>
          <w:lang w:val="en-US" w:eastAsia="zh-CN"/>
        </w:rPr>
        <w:t>.04.11</w:t>
      </w:r>
      <w:bookmarkStart w:id="269" w:name="_GoBack"/>
      <w:bookmarkEnd w:id="269"/>
    </w:p>
    <w:p w14:paraId="368A3057">
      <w:pPr>
        <w:bidi w:val="0"/>
        <w:rPr>
          <w:rFonts w:hint="default" w:ascii="Tahoma" w:hAnsi="Tahoma" w:eastAsia="微软雅黑" w:cstheme="minorBidi"/>
          <w:sz w:val="22"/>
          <w:szCs w:val="22"/>
          <w:lang w:val="en-US" w:eastAsia="zh-CN" w:bidi="ar-SA"/>
        </w:rPr>
      </w:pPr>
    </w:p>
    <w:p w14:paraId="679D726C">
      <w:pPr>
        <w:bidi w:val="0"/>
        <w:rPr>
          <w:rFonts w:hint="default"/>
          <w:lang w:val="en-US" w:eastAsia="zh-CN"/>
        </w:rPr>
      </w:pPr>
    </w:p>
    <w:p w14:paraId="3B1FD769">
      <w:pPr>
        <w:bidi w:val="0"/>
        <w:rPr>
          <w:rFonts w:hint="default"/>
          <w:lang w:val="en-US" w:eastAsia="zh-CN"/>
        </w:rPr>
      </w:pPr>
    </w:p>
    <w:p w14:paraId="0972A290">
      <w:pPr>
        <w:bidi w:val="0"/>
        <w:rPr>
          <w:rFonts w:hint="default"/>
          <w:lang w:val="en-US" w:eastAsia="zh-CN"/>
        </w:rPr>
      </w:pPr>
    </w:p>
    <w:p w14:paraId="47718127">
      <w:pPr>
        <w:bidi w:val="0"/>
        <w:rPr>
          <w:rFonts w:hint="default"/>
          <w:lang w:val="en-US" w:eastAsia="zh-CN"/>
        </w:rPr>
      </w:pPr>
    </w:p>
    <w:p w14:paraId="121D83BE">
      <w:pPr>
        <w:bidi w:val="0"/>
        <w:rPr>
          <w:rFonts w:hint="default"/>
          <w:lang w:val="en-US" w:eastAsia="zh-CN"/>
        </w:rPr>
      </w:pPr>
    </w:p>
    <w:p w14:paraId="19E8DEC6">
      <w:pPr>
        <w:tabs>
          <w:tab w:val="left" w:pos="3071"/>
        </w:tabs>
        <w:bidi w:val="0"/>
        <w:jc w:val="left"/>
        <w:rPr>
          <w:rFonts w:hint="default"/>
          <w:lang w:val="en-US" w:eastAsia="zh-CN"/>
        </w:rPr>
        <w:sectPr>
          <w:headerReference r:id="rId7" w:type="default"/>
          <w:footerReference r:id="rId8" w:type="default"/>
          <w:pgSz w:w="11906" w:h="16838"/>
          <w:pgMar w:top="1440" w:right="1800" w:bottom="1440" w:left="1800" w:header="708" w:footer="708" w:gutter="0"/>
          <w:pgBorders>
            <w:top w:val="none" w:sz="0" w:space="0"/>
            <w:left w:val="none" w:sz="0" w:space="0"/>
            <w:bottom w:val="none" w:sz="0" w:space="0"/>
            <w:right w:val="none" w:sz="0" w:space="0"/>
          </w:pgBorders>
          <w:pgNumType w:fmt="decimal" w:start="1"/>
          <w:cols w:space="708" w:num="1"/>
          <w:docGrid w:linePitch="360" w:charSpace="0"/>
        </w:sectPr>
      </w:pPr>
    </w:p>
    <w:p w14:paraId="3A7371B9">
      <w:pPr>
        <w:jc w:val="center"/>
        <w:outlineLvl w:val="0"/>
        <w:rPr>
          <w:rFonts w:ascii="微软雅黑" w:hAnsi="微软雅黑"/>
          <w:b/>
          <w:sz w:val="30"/>
          <w:szCs w:val="30"/>
          <w:highlight w:val="none"/>
        </w:rPr>
      </w:pPr>
      <w:bookmarkStart w:id="139" w:name="_Toc350"/>
      <w:bookmarkStart w:id="140" w:name="_Toc20456"/>
      <w:bookmarkStart w:id="141" w:name="_Toc7183"/>
      <w:bookmarkStart w:id="142" w:name="_Toc13707"/>
      <w:bookmarkStart w:id="143" w:name="_Toc6828"/>
      <w:bookmarkStart w:id="144" w:name="_Toc9132"/>
      <w:bookmarkStart w:id="145" w:name="_Toc10825"/>
      <w:bookmarkStart w:id="146" w:name="_Toc8942"/>
      <w:bookmarkStart w:id="147" w:name="_Toc5394"/>
      <w:bookmarkStart w:id="148" w:name="_Toc23181"/>
      <w:bookmarkStart w:id="149" w:name="_Toc15791"/>
      <w:bookmarkStart w:id="150" w:name="_Toc8090"/>
      <w:r>
        <w:rPr>
          <w:rFonts w:hint="eastAsia" w:ascii="微软雅黑" w:hAnsi="微软雅黑"/>
          <w:b/>
          <w:sz w:val="30"/>
          <w:szCs w:val="30"/>
          <w:highlight w:val="none"/>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highlight w:val="none"/>
        </w:rPr>
        <w:t>基因变异及相应靶向</w:t>
      </w:r>
      <w:r>
        <w:rPr>
          <w:rFonts w:ascii="微软雅黑" w:hAnsi="微软雅黑"/>
          <w:b/>
          <w:sz w:val="30"/>
          <w:szCs w:val="30"/>
          <w:highlight w:val="none"/>
        </w:rPr>
        <w:t>/</w:t>
      </w:r>
      <w:r>
        <w:rPr>
          <w:rFonts w:hint="eastAsia" w:ascii="微软雅黑" w:hAnsi="微软雅黑"/>
          <w:b/>
          <w:sz w:val="30"/>
          <w:szCs w:val="30"/>
          <w:highlight w:val="none"/>
        </w:rPr>
        <w:t>免疫药物解析</w:t>
      </w:r>
      <w:bookmarkEnd w:id="12"/>
      <w:bookmarkEnd w:id="13"/>
      <w:bookmarkEnd w:id="139"/>
      <w:bookmarkEnd w:id="140"/>
      <w:bookmarkEnd w:id="141"/>
      <w:bookmarkEnd w:id="142"/>
      <w:bookmarkEnd w:id="143"/>
      <w:bookmarkEnd w:id="144"/>
      <w:bookmarkEnd w:id="145"/>
      <w:bookmarkEnd w:id="146"/>
      <w:bookmarkEnd w:id="147"/>
      <w:bookmarkEnd w:id="148"/>
      <w:bookmarkEnd w:id="149"/>
      <w:bookmarkEnd w:id="150"/>
    </w:p>
    <w:p w14:paraId="5A7F22B8">
      <w:pPr>
        <w:numPr>
          <w:ilvl w:val="0"/>
          <w:numId w:val="9"/>
        </w:numPr>
        <w:outlineLvl w:val="1"/>
        <w:rPr>
          <w:rFonts w:ascii="微软雅黑" w:hAnsi="微软雅黑"/>
          <w:b/>
          <w:sz w:val="24"/>
          <w:szCs w:val="24"/>
          <w:highlight w:val="none"/>
        </w:rPr>
      </w:pPr>
      <w:bookmarkStart w:id="151" w:name="_Toc6679"/>
      <w:bookmarkStart w:id="152" w:name="_Toc9120"/>
      <w:bookmarkStart w:id="153" w:name="_Toc10990"/>
      <w:bookmarkStart w:id="154" w:name="_Toc26457"/>
      <w:bookmarkStart w:id="155" w:name="_Toc24256"/>
      <w:bookmarkStart w:id="156" w:name="_Toc15599"/>
      <w:bookmarkStart w:id="157" w:name="_Toc7612"/>
      <w:bookmarkStart w:id="158" w:name="_Toc11477"/>
      <w:bookmarkStart w:id="159" w:name="_Toc13243"/>
      <w:bookmarkStart w:id="160" w:name="_Toc28597"/>
      <w:bookmarkStart w:id="161" w:name="_Toc17360"/>
      <w:bookmarkStart w:id="162" w:name="_Toc8230"/>
      <w:bookmarkStart w:id="163" w:name="_Toc20363"/>
      <w:bookmarkStart w:id="164" w:name="_Toc9236"/>
      <w:bookmarkStart w:id="165" w:name="潜在获益靶向药物解析"/>
      <w:bookmarkStart w:id="166" w:name="_Toc4690"/>
      <w:r>
        <w:rPr>
          <w:rFonts w:ascii="微软雅黑" w:hAnsi="微软雅黑"/>
          <w:b/>
          <w:sz w:val="24"/>
          <w:szCs w:val="24"/>
          <w:highlight w:val="none"/>
        </w:rPr>
        <w:t>基因</w:t>
      </w:r>
      <w:r>
        <w:rPr>
          <w:rFonts w:hint="eastAsia" w:ascii="微软雅黑" w:hAnsi="微软雅黑"/>
          <w:b/>
          <w:sz w:val="24"/>
          <w:szCs w:val="24"/>
          <w:highlight w:val="none"/>
        </w:rPr>
        <w:t>变异</w:t>
      </w:r>
      <w:r>
        <w:rPr>
          <w:rFonts w:ascii="微软雅黑" w:hAnsi="微软雅黑"/>
          <w:b/>
          <w:sz w:val="24"/>
          <w:szCs w:val="24"/>
          <w:highlight w:val="none"/>
        </w:rPr>
        <w:t>解析</w:t>
      </w:r>
    </w:p>
    <w:p w14:paraId="015E1886">
      <w:pPr>
        <w:numPr>
          <w:ilvl w:val="0"/>
          <w:numId w:val="10"/>
        </w:numPr>
        <w:jc w:val="both"/>
        <w:rPr>
          <w:rFonts w:ascii="微软雅黑" w:hAnsi="微软雅黑" w:cs="Arial Unicode MS"/>
          <w:kern w:val="2"/>
          <w:sz w:val="21"/>
          <w:szCs w:val="21"/>
          <w:highlight w:val="none"/>
        </w:rPr>
      </w:pPr>
      <w:r>
        <w:rPr>
          <w:rFonts w:hint="eastAsia" w:ascii="微软雅黑" w:hAnsi="微软雅黑" w:cs="微软雅黑"/>
          <w:sz w:val="21"/>
          <w:szCs w:val="21"/>
          <w:highlight w:val="none"/>
        </w:rPr>
        <w:t>在本次检测范围内，检出体细胞变异：</w:t>
      </w:r>
      <w:r>
        <w:rPr>
          <w:rFonts w:hint="eastAsia" w:ascii="微软雅黑" w:hAnsi="微软雅黑" w:cs="微软雅黑"/>
          <w:sz w:val="21"/>
          <w:szCs w:val="21"/>
          <w:highlight w:val="none"/>
          <w:lang w:val="en-US" w:eastAsia="zh-CN"/>
        </w:rPr>
        <w:t>13</w:t>
      </w:r>
      <w:r>
        <w:rPr>
          <w:rFonts w:hint="eastAsia" w:ascii="微软雅黑" w:hAnsi="微软雅黑" w:cs="微软雅黑"/>
          <w:sz w:val="21"/>
          <w:szCs w:val="21"/>
          <w:highlight w:val="none"/>
        </w:rPr>
        <w:t>个</w:t>
      </w:r>
      <w:r>
        <w:rPr>
          <w:rFonts w:hint="eastAsia" w:ascii="微软雅黑" w:hAnsi="微软雅黑" w:cs="微软雅黑"/>
          <w:sz w:val="21"/>
          <w:szCs w:val="21"/>
          <w:highlight w:val="none"/>
          <w:lang w:eastAsia="zh-CN"/>
        </w:rPr>
        <w:t>，</w:t>
      </w:r>
      <w:r>
        <w:rPr>
          <w:rFonts w:hint="eastAsia" w:ascii="微软雅黑" w:hAnsi="微软雅黑" w:cs="微软雅黑"/>
          <w:sz w:val="21"/>
          <w:szCs w:val="21"/>
          <w:highlight w:val="none"/>
        </w:rPr>
        <w:t>其中与靶向/免疫药物相关的变异：</w:t>
      </w:r>
      <w:r>
        <w:rPr>
          <w:rFonts w:hint="eastAsia" w:ascii="微软雅黑" w:hAnsi="微软雅黑" w:cs="微软雅黑"/>
          <w:sz w:val="21"/>
          <w:szCs w:val="21"/>
          <w:highlight w:val="none"/>
          <w:lang w:val="en-US" w:eastAsia="zh-CN"/>
        </w:rPr>
        <w:t>11</w:t>
      </w:r>
      <w:r>
        <w:rPr>
          <w:rFonts w:hint="eastAsia" w:ascii="微软雅黑" w:hAnsi="微软雅黑" w:cs="微软雅黑"/>
          <w:sz w:val="21"/>
          <w:szCs w:val="21"/>
          <w:highlight w:val="none"/>
        </w:rPr>
        <w:t>个。（下面红色标注的为有对应靶向</w:t>
      </w:r>
      <w:r>
        <w:rPr>
          <w:rFonts w:hint="eastAsia" w:ascii="微软雅黑" w:hAnsi="微软雅黑" w:cs="微软雅黑"/>
          <w:sz w:val="21"/>
          <w:szCs w:val="21"/>
          <w:highlight w:val="none"/>
          <w:lang w:val="en-US" w:eastAsia="zh-CN"/>
        </w:rPr>
        <w:t>/免疫</w:t>
      </w:r>
      <w:r>
        <w:rPr>
          <w:rFonts w:hint="eastAsia" w:ascii="微软雅黑" w:hAnsi="微软雅黑" w:cs="微软雅黑"/>
          <w:sz w:val="21"/>
          <w:szCs w:val="21"/>
          <w:highlight w:val="none"/>
        </w:rPr>
        <w:t>药物的基因变异。）</w:t>
      </w:r>
      <w:bookmarkStart w:id="167" w:name="KRAS侯"/>
    </w:p>
    <w:bookmarkEnd w:id="167"/>
    <w:p w14:paraId="6A5D3E8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200" w:after="200" w:line="312" w:lineRule="atLeast"/>
        <w:ind w:leftChars="0"/>
        <w:jc w:val="both"/>
        <w:textAlignment w:val="auto"/>
        <w:outlineLvl w:val="9"/>
        <w:rPr>
          <w:rFonts w:ascii="微软雅黑" w:hAnsi="微软雅黑" w:cs="微软雅黑"/>
          <w:b/>
          <w:bCs/>
          <w:sz w:val="24"/>
          <w:szCs w:val="24"/>
        </w:rPr>
      </w:pPr>
      <w:bookmarkStart w:id="168" w:name="_Toc8126"/>
      <w:bookmarkStart w:id="169" w:name="_Toc8122"/>
      <w:bookmarkStart w:id="170" w:name="_Toc30101"/>
      <w:bookmarkStart w:id="171" w:name="_Toc15009"/>
      <w:bookmarkStart w:id="172" w:name="_Toc17592"/>
      <w:bookmarkStart w:id="173" w:name="_Toc28687"/>
      <w:bookmarkStart w:id="174" w:name="_Toc4223"/>
      <w:bookmarkStart w:id="175" w:name="_Toc21934"/>
      <w:bookmarkStart w:id="176" w:name="_Toc2084"/>
      <w:bookmarkStart w:id="177" w:name="_Toc22544"/>
      <w:bookmarkStart w:id="178" w:name="_Toc2231"/>
      <w:bookmarkStart w:id="179" w:name="_Toc27915"/>
      <w:bookmarkStart w:id="180" w:name="_Toc13055"/>
      <w:bookmarkStart w:id="181" w:name="_Toc29793"/>
      <w:bookmarkStart w:id="182" w:name="_Toc24118"/>
      <w:bookmarkStart w:id="183" w:name="_Toc28582"/>
      <w:bookmarkStart w:id="184" w:name="_Toc21823"/>
      <w:bookmarkStart w:id="185" w:name="_Toc30603"/>
      <w:bookmarkStart w:id="186" w:name="_Toc6469"/>
      <w:bookmarkStart w:id="187" w:name="_Toc24244"/>
      <w:bookmarkStart w:id="188" w:name="_Toc25835"/>
      <w:bookmarkStart w:id="189" w:name="_Toc25193"/>
      <w:bookmarkStart w:id="190" w:name="_Toc11988"/>
      <w:bookmarkStart w:id="191" w:name="_Toc29593"/>
      <w:bookmarkStart w:id="192" w:name="_Toc4970"/>
      <w:bookmarkStart w:id="193" w:name="_Toc12899"/>
      <w:r>
        <w:rPr>
          <w:rFonts w:ascii="Wingdings" w:hAnsi="Wingdings" w:eastAsia="Wingdings" w:cs="Wingdings"/>
          <w:sz w:val="24"/>
        </w:rPr>
        <w:t>u   </w:t>
      </w:r>
      <w:r>
        <w:rPr>
          <w:rStyle w:val="21"/>
          <w:rFonts w:hint="eastAsia" w:ascii="微软雅黑" w:hAnsi="微软雅黑" w:cs="Times New Roman"/>
          <w:b/>
          <w:color w:val="FF0000"/>
          <w:kern w:val="2"/>
          <w:sz w:val="24"/>
          <w:szCs w:val="24"/>
        </w:rPr>
        <w:t>KRAS</w:t>
      </w:r>
      <w:r>
        <w:rPr>
          <w:rStyle w:val="21"/>
          <w:rFonts w:hint="eastAsia" w:ascii="微软雅黑" w:hAnsi="微软雅黑" w:cs="Times New Roman"/>
          <w:b/>
          <w:color w:val="FF0000"/>
          <w:kern w:val="2"/>
          <w:sz w:val="24"/>
          <w:szCs w:val="24"/>
          <w:lang w:val="en-US" w:eastAsia="zh-CN"/>
        </w:rPr>
        <w:t>/</w:t>
      </w:r>
      <w:r>
        <w:rPr>
          <w:rFonts w:hint="eastAsia" w:ascii="微软雅黑" w:hAnsi="微软雅黑" w:cs="微软雅黑"/>
          <w:b/>
          <w:bCs/>
          <w:color w:val="0000FF"/>
          <w:sz w:val="24"/>
          <w:szCs w:val="24"/>
        </w:rPr>
        <w:fldChar w:fldCharType="begin"/>
      </w:r>
      <w:r>
        <w:rPr>
          <w:rFonts w:hint="eastAsia" w:ascii="微软雅黑" w:hAnsi="微软雅黑" w:cs="微软雅黑"/>
          <w:b/>
          <w:bCs/>
          <w:color w:val="0000FF"/>
          <w:sz w:val="24"/>
          <w:szCs w:val="24"/>
        </w:rPr>
        <w:instrText xml:space="preserve"> HYPERLINK \l "重要基因变异及潜在靶向药物信息" </w:instrText>
      </w:r>
      <w:r>
        <w:rPr>
          <w:rFonts w:hint="eastAsia" w:ascii="微软雅黑" w:hAnsi="微软雅黑" w:cs="微软雅黑"/>
          <w:b/>
          <w:bCs/>
          <w:color w:val="0000FF"/>
          <w:sz w:val="24"/>
          <w:szCs w:val="24"/>
        </w:rPr>
        <w:fldChar w:fldCharType="separate"/>
      </w:r>
      <w:r>
        <w:rPr>
          <w:rStyle w:val="21"/>
          <w:rFonts w:hint="eastAsia" w:ascii="微软雅黑" w:hAnsi="微软雅黑" w:cs="Times New Roman"/>
          <w:b/>
          <w:color w:val="FF0000"/>
          <w:kern w:val="2"/>
          <w:sz w:val="24"/>
          <w:szCs w:val="24"/>
        </w:rPr>
        <w:t>NRAS/BRAF：未突变</w:t>
      </w:r>
      <w:r>
        <w:rPr>
          <w:rFonts w:hint="eastAsia" w:ascii="微软雅黑" w:hAnsi="微软雅黑" w:cs="微软雅黑"/>
          <w:b/>
          <w:bCs/>
          <w:color w:val="0000FF"/>
          <w:sz w:val="24"/>
          <w:szCs w:val="24"/>
        </w:rPr>
        <w:fldChar w:fldCharType="end"/>
      </w:r>
    </w:p>
    <w:p w14:paraId="2F396371">
      <w:pPr>
        <w:spacing w:after="0"/>
        <w:rPr>
          <w:rFonts w:ascii="微软雅黑" w:hAnsi="微软雅黑" w:cs="微软雅黑"/>
          <w:b/>
        </w:rPr>
      </w:pPr>
      <w:r>
        <w:rPr>
          <w:rFonts w:hint="eastAsia" w:ascii="微软雅黑" w:hAnsi="微软雅黑" w:cs="微软雅黑"/>
          <w:b/>
        </w:rPr>
        <w:t>基因简介：</w:t>
      </w:r>
    </w:p>
    <w:p w14:paraId="13858704">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ascii="微软雅黑" w:hAnsi="微软雅黑" w:cs="Arial Unicode MS"/>
          <w:bCs/>
          <w:kern w:val="2"/>
          <w:sz w:val="21"/>
          <w:szCs w:val="21"/>
        </w:rPr>
      </w:pPr>
      <w:r>
        <w:rPr>
          <w:rFonts w:hint="eastAsia" w:ascii="微软雅黑" w:hAnsi="微软雅黑" w:cs="Arial Unicode MS"/>
          <w:bCs/>
          <w:kern w:val="2"/>
          <w:sz w:val="21"/>
          <w:szCs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 EGFR-TKIs 的作用。KRAS突变可以导致肺癌、黏蛋白腺瘤、胰腺导管癌和结肠癌等多种恶性肿瘤。KRAS基因被激活最常见的方式是点突变，多发生在N端的第 12、13、61和146 密码子，其中以第12密码子突变最常见。</w:t>
      </w:r>
    </w:p>
    <w:p w14:paraId="2F96CED9">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rPr>
      </w:pPr>
      <w:r>
        <w:rPr>
          <w:rFonts w:hint="eastAsia" w:ascii="微软雅黑" w:hAnsi="微软雅黑" w:cs="Arial Unicode MS"/>
          <w:bCs/>
          <w:kern w:val="2"/>
          <w:sz w:val="21"/>
          <w:szCs w:val="21"/>
        </w:rPr>
        <w:t>NRAS基因是一种N-ras原癌基因，是RAS家族之一，在ras三个异形体中，NRAS功能获得性突变在血液肿瘤中发生的频率最高。NRAS基因编码的膜蛋白可以在高尔基体和质膜之间进行穿梭，该穿梭受高尔基复合体ZDHHC9棕榈酰化的调节。该蛋白具有内在的GTP酶活性，可被一个鸟嘌呤核苷酸交换因子激活，也可被GTP酶激活蛋白灭活。NRAS基因的突变可导致直肠癌、甲状腺滤泡状癌、自身免疫性淋巴增生综合症、努南综合症和幼年粒-单核细胞白血病等[17517660]。</w:t>
      </w:r>
    </w:p>
    <w:p w14:paraId="17201EEE">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rPr>
      </w:pPr>
      <w:r>
        <w:rPr>
          <w:rFonts w:hint="eastAsia" w:ascii="微软雅黑" w:hAnsi="微软雅黑" w:cs="Arial Unicode MS"/>
          <w:bCs/>
          <w:kern w:val="2"/>
          <w:sz w:val="21"/>
          <w:szCs w:val="21"/>
        </w:rPr>
        <w:t>BRAF基因编码的蛋白属于丝氨酸/苏氨酸蛋白激酶的RAF/MIL家族[NCBI]。BRAF是RAS/RAF/MEK/ERK信号通路中最关键的激活因子[11296228]，位于MAPK/ERK通路的入口，将细胞表面受体和RAS蛋白通过MEK和ERK与核内的转录因子相连接，参与调节细胞分化、分裂。磷酸化后的MEK会使凋亡诱导因子（BRD）失活或激活环磷酸腺苷反应序列结合蛋白（CREB），从而影响细胞凋亡，同时促进血管表皮生长因子（VEGF）、表皮生长因子受体（ERBB）表达，加速血管生成；还能增加整合素表达，促进组织侵袭和转移[14500346，15542810]。BRAF绝大部分突变发生在BRAF蛋白激酶激活区或其附近，如BRAF V600E和BRAF V600K突变[20630094]。在BRAF V600E突变的肿瘤细胞中，MEK-ERK通路持续性激活，促进了细胞增殖和肿瘤侵袭转移，抵抗细胞凋亡[23397951，12594806]。</w:t>
      </w:r>
    </w:p>
    <w:p w14:paraId="4BF687BC">
      <w:pPr>
        <w:spacing w:after="0"/>
        <w:rPr>
          <w:rFonts w:ascii="微软雅黑" w:hAnsi="微软雅黑" w:cs="微软雅黑"/>
          <w:b/>
        </w:rPr>
      </w:pPr>
      <w:r>
        <w:rPr>
          <w:rFonts w:hint="eastAsia" w:ascii="微软雅黑" w:hAnsi="微软雅黑" w:cs="微软雅黑"/>
          <w:b/>
        </w:rPr>
        <w:t>基因变异说明：</w:t>
      </w:r>
    </w:p>
    <w:p w14:paraId="2E2A77D0">
      <w:pPr>
        <w:keepNext w:val="0"/>
        <w:keepLines w:val="0"/>
        <w:pageBreakBefore w:val="0"/>
        <w:kinsoku/>
        <w:wordWrap/>
        <w:overflowPunct/>
        <w:topLinePunct w:val="0"/>
        <w:bidi w:val="0"/>
        <w:spacing w:after="0"/>
        <w:ind w:firstLine="420" w:firstLineChars="200"/>
        <w:jc w:val="both"/>
        <w:outlineLvl w:val="9"/>
        <w:rPr>
          <w:rFonts w:ascii="微软雅黑" w:hAnsi="微软雅黑" w:cs="Times New Roman"/>
          <w:b/>
          <w:kern w:val="2"/>
          <w:sz w:val="21"/>
          <w:szCs w:val="21"/>
        </w:rPr>
      </w:pPr>
      <w:r>
        <w:rPr>
          <w:rFonts w:hint="eastAsia" w:ascii="微软雅黑" w:hAnsi="微软雅黑" w:cs="Arial Unicode MS"/>
          <w:kern w:val="2"/>
          <w:sz w:val="21"/>
          <w:szCs w:val="21"/>
        </w:rPr>
        <w:t>该样本未检出</w:t>
      </w:r>
      <w:r>
        <w:rPr>
          <w:rFonts w:hint="eastAsia" w:ascii="微软雅黑" w:hAnsi="微软雅黑" w:cs="Arial Unicode MS"/>
          <w:bCs/>
          <w:kern w:val="2"/>
          <w:sz w:val="21"/>
          <w:szCs w:val="21"/>
        </w:rPr>
        <w:t>KRAS/NRAS/BRAF基因</w:t>
      </w:r>
      <w:r>
        <w:rPr>
          <w:rFonts w:hint="eastAsia" w:ascii="微软雅黑" w:hAnsi="微软雅黑" w:cs="Arial Unicode MS"/>
          <w:kern w:val="2"/>
          <w:sz w:val="21"/>
          <w:szCs w:val="21"/>
        </w:rPr>
        <w:t>突变，这</w:t>
      </w:r>
      <w:r>
        <w:rPr>
          <w:rFonts w:ascii="微软雅黑" w:hAnsi="微软雅黑" w:cs="Arial Unicode MS"/>
          <w:kern w:val="2"/>
          <w:sz w:val="21"/>
          <w:szCs w:val="21"/>
        </w:rPr>
        <w:t>3</w:t>
      </w:r>
      <w:r>
        <w:rPr>
          <w:rFonts w:hint="eastAsia" w:ascii="微软雅黑" w:hAnsi="微软雅黑" w:cs="Arial Unicode MS"/>
          <w:kern w:val="2"/>
          <w:sz w:val="21"/>
          <w:szCs w:val="21"/>
        </w:rPr>
        <w:t>个基因为野生型。</w:t>
      </w:r>
    </w:p>
    <w:p w14:paraId="1794091F">
      <w:pPr>
        <w:spacing w:after="0"/>
        <w:rPr>
          <w:rFonts w:ascii="微软雅黑" w:hAnsi="微软雅黑" w:cs="微软雅黑"/>
          <w:b/>
        </w:rPr>
      </w:pPr>
      <w:r>
        <w:rPr>
          <w:rFonts w:hint="eastAsia" w:ascii="微软雅黑" w:hAnsi="微软雅黑" w:cs="微软雅黑"/>
          <w:b/>
        </w:rPr>
        <w:t>基因变异解析：</w:t>
      </w:r>
    </w:p>
    <w:p w14:paraId="79C8CFFF">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default" w:ascii="微软雅黑" w:hAnsi="微软雅黑" w:cs="Arial Unicode MS"/>
          <w:bCs/>
          <w:kern w:val="2"/>
          <w:sz w:val="21"/>
          <w:szCs w:val="21"/>
          <w:lang w:val="en-US" w:eastAsia="zh-CN"/>
        </w:rPr>
      </w:pPr>
      <w:r>
        <w:rPr>
          <w:rFonts w:hint="eastAsia" w:ascii="微软雅黑" w:hAnsi="微软雅黑" w:cs="Arial Unicode MS"/>
          <w:kern w:val="2"/>
          <w:sz w:val="21"/>
          <w:szCs w:val="21"/>
        </w:rPr>
        <w:t>KRAS突变在人体肿瘤发生过程中起着重要的作用，并在胰腺癌、甲状腺癌、结直肠癌和肺癌中普遍存在[23066310]。研究显示，大约有35%-45%的结直肠癌患者携带原癌基</w:t>
      </w:r>
      <w:r>
        <w:rPr>
          <w:rFonts w:hint="eastAsia" w:ascii="微软雅黑" w:hAnsi="微软雅黑" w:cs="Arial Unicode MS"/>
          <w:bCs/>
          <w:kern w:val="2"/>
          <w:sz w:val="21"/>
          <w:szCs w:val="21"/>
        </w:rPr>
        <w:t>因KRAS的突变。KRAS基因最常见的突变为12号和13号密码子的点突变，包括 G12D、G12A、G12R、G12C、G12S、G12V和G13D等。在一项包含392名早期结直肠癌患者的研究中，KRAS基因突变的频率为30.1%（118/392），其中突变频率最高的为G12D（n=48；13.4%）、G12V（n=24；6.4%）以及 G13D（n=27；6.2%）[20162668]。这些突变会导致KRAS蛋白处于激活状态，并激活下游的信号通路，且已被证实是anti-EGFR抗体药</w:t>
      </w:r>
      <w:r>
        <w:rPr>
          <w:rFonts w:hint="eastAsia" w:ascii="微软雅黑" w:hAnsi="微软雅黑" w:cs="Arial Unicode MS"/>
          <w:bCs/>
          <w:kern w:val="2"/>
          <w:sz w:val="21"/>
          <w:szCs w:val="21"/>
          <w:lang w:val="en-US" w:eastAsia="zh-CN"/>
        </w:rPr>
        <w:t>物（如西妥昔单抗、帕尼单抗）耐药的标志。</w:t>
      </w:r>
    </w:p>
    <w:p w14:paraId="6B810688">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default"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NRAS突变比KRAS罕见，仅在1-6％的结肠直肠癌中发现NRAS基因突变。NRAS基因最常见的突变主要位于第12、13和61位密码子，这些位点的突变会造成NRAS信号通路的组成型激活，导致细胞的生长增殖失控，从而导致癌症的发生[</w:t>
      </w:r>
      <w:r>
        <w:rPr>
          <w:rFonts w:hint="default" w:ascii="微软雅黑" w:hAnsi="微软雅黑" w:cs="Arial Unicode MS"/>
          <w:bCs/>
          <w:kern w:val="2"/>
          <w:sz w:val="21"/>
          <w:szCs w:val="21"/>
          <w:lang w:val="en-US" w:eastAsia="zh-CN"/>
        </w:rPr>
        <w:fldChar w:fldCharType="begin"/>
      </w:r>
      <w:r>
        <w:rPr>
          <w:rFonts w:hint="default" w:ascii="微软雅黑" w:hAnsi="微软雅黑" w:cs="Arial Unicode MS"/>
          <w:bCs/>
          <w:kern w:val="2"/>
          <w:sz w:val="21"/>
          <w:szCs w:val="21"/>
          <w:lang w:val="en-US" w:eastAsia="zh-CN"/>
        </w:rPr>
        <w:instrText xml:space="preserve"> HYPERLINK "http://www.ncbi.nlm.nih.gov/pubmed/3510078" \t "https://ckb.jax.org/geneVariant/_pubmed" </w:instrText>
      </w:r>
      <w:r>
        <w:rPr>
          <w:rFonts w:hint="default" w:ascii="微软雅黑" w:hAnsi="微软雅黑" w:cs="Arial Unicode MS"/>
          <w:bCs/>
          <w:kern w:val="2"/>
          <w:sz w:val="21"/>
          <w:szCs w:val="21"/>
          <w:lang w:val="en-US" w:eastAsia="zh-CN"/>
        </w:rPr>
        <w:fldChar w:fldCharType="separate"/>
      </w:r>
      <w:r>
        <w:rPr>
          <w:rFonts w:hint="eastAsia" w:ascii="微软雅黑" w:hAnsi="微软雅黑" w:cs="Arial Unicode MS"/>
          <w:bCs/>
          <w:kern w:val="2"/>
          <w:sz w:val="21"/>
          <w:szCs w:val="21"/>
          <w:lang w:val="en-US" w:eastAsia="zh-CN"/>
        </w:rPr>
        <w:t>3510078</w:t>
      </w:r>
      <w:r>
        <w:rPr>
          <w:rFonts w:hint="eastAsia" w:ascii="微软雅黑" w:hAnsi="微软雅黑" w:cs="Arial Unicode MS"/>
          <w:bCs/>
          <w:kern w:val="2"/>
          <w:sz w:val="21"/>
          <w:szCs w:val="21"/>
          <w:lang w:val="en-US" w:eastAsia="zh-CN"/>
        </w:rPr>
        <w:fldChar w:fldCharType="end"/>
      </w:r>
      <w:r>
        <w:rPr>
          <w:rFonts w:hint="eastAsia" w:ascii="微软雅黑" w:hAnsi="微软雅黑" w:cs="Arial Unicode MS"/>
          <w:bCs/>
          <w:kern w:val="2"/>
          <w:sz w:val="21"/>
          <w:szCs w:val="21"/>
          <w:lang w:val="en-US" w:eastAsia="zh-CN"/>
        </w:rPr>
        <w:t>，26544513，23515407]。</w:t>
      </w:r>
    </w:p>
    <w:p w14:paraId="38413FE5">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BRAF突变是人类肿瘤中较为常见的突变。在7%的癌症中存在BRAF突变，而BRAFV600E占BRAF突变的90%以上[21388974]。大约有8%-12%的转移性结直肠癌患者存在BRAF突变[21641636，19603024，19884549，21456008，21285991，20635392]。研究表明，约有15%的结肠癌中存在体细胞BRAF基因错义突变，主要有两种类型，第一种突变位于外显子11上的甘氨酸环，约占11%；第二种突变位于外显子15上的激活区，约占89%，而V600E约占其中的92%[12068308]。BRAF V600E突变导致丝氨酸/苏氨酸激酶活性大大增强，能持续激活MAPK信号通路，致使细胞异常增殖及分化，是细胞癌变的关键因素。</w:t>
      </w:r>
    </w:p>
    <w:p w14:paraId="44FE653A">
      <w:pPr>
        <w:spacing w:before="0" w:after="0"/>
        <w:ind w:firstLine="420" w:firstLineChars="200"/>
        <w:jc w:val="both"/>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该样本KRAS/NRAS/BRAF基因均为野生型，未发生突变，因此，预测患者可能从anti-EGFR抗体药物治疗中获益。</w:t>
      </w:r>
    </w:p>
    <w:p w14:paraId="4760C1CD">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HLA-B：c.42_45delinsGGG，p.A15Gfs*5；46.72%</w:t>
      </w:r>
    </w:p>
    <w:p w14:paraId="124E5DA7">
      <w:pPr>
        <w:spacing w:after="0"/>
      </w:pPr>
      <w:r>
        <w:rPr>
          <w:rFonts w:ascii="微软雅黑" w:hAnsi="微软雅黑" w:cs="微软雅黑"/>
          <w:b/>
        </w:rPr>
        <w:t>基因简介：</w:t>
      </w:r>
    </w:p>
    <w:p w14:paraId="3A50ED0B">
      <w:pPr>
        <w:spacing w:after="0"/>
        <w:ind w:firstLine="420" w:firstLineChars="200"/>
        <w:jc w:val="both"/>
        <w:rPr>
          <w:rFonts w:ascii="微软雅黑" w:hAnsi="微软雅黑" w:cs="微软雅黑"/>
          <w:sz w:val="21"/>
        </w:rPr>
      </w:pPr>
      <w:bookmarkStart w:id="194" w:name="OLE_LINK27"/>
      <w:r>
        <w:rPr>
          <w:rFonts w:hint="eastAsia" w:ascii="微软雅黑" w:hAnsi="微软雅黑" w:cs="Times New Roman"/>
          <w:kern w:val="2"/>
          <w:sz w:val="21"/>
          <w:szCs w:val="21"/>
        </w:rPr>
        <w:t>HLA-B</w:t>
      </w:r>
      <w:bookmarkEnd w:id="194"/>
      <w:r>
        <w:rPr>
          <w:rFonts w:hint="eastAsia" w:ascii="微软雅黑" w:hAnsi="微软雅黑" w:cs="Times New Roman"/>
          <w:kern w:val="2"/>
          <w:sz w:val="21"/>
          <w:szCs w:val="21"/>
        </w:rPr>
        <w:t>基因编码人类白细胞抗原-B，是HLA I类分子的成员之一。HLA I类分子广泛分布于所有有核细胞表面，是细胞免疫中重要的分子，与肿瘤的发生发展密切相关。HLA I类分子能够提呈肿瘤抗原给细胞毒性T细胞（CTL），是CTL识别肿瘤细胞的关键，因此肿瘤细胞表面HLA I类分子下调或缺失被认为是肿瘤细胞免疫逃逸的机制。有研究表明，在恶性黑色素瘤、结直肠癌、胃癌、前列腺癌等癌种中均观察到HLA I类分子下调。</w:t>
      </w:r>
    </w:p>
    <w:p w14:paraId="3F3E9922">
      <w:pPr>
        <w:spacing w:after="0"/>
      </w:pPr>
      <w:r>
        <w:rPr>
          <w:rFonts w:ascii="微软雅黑" w:hAnsi="微软雅黑" w:cs="微软雅黑"/>
          <w:b/>
        </w:rPr>
        <w:t>基因变异说明：</w:t>
      </w:r>
    </w:p>
    <w:p w14:paraId="7CE8E127">
      <w:pPr>
        <w:spacing w:after="0"/>
        <w:ind w:firstLine="400"/>
        <w:jc w:val="both"/>
        <w:rPr>
          <w:rFonts w:ascii="微软雅黑" w:hAnsi="微软雅黑" w:cs="微软雅黑"/>
          <w:sz w:val="21"/>
        </w:rPr>
      </w:pPr>
      <w:r>
        <w:rPr>
          <w:rFonts w:hint="eastAsia" w:ascii="微软雅黑" w:hAnsi="微软雅黑" w:cs="微软雅黑"/>
          <w:sz w:val="21"/>
        </w:rPr>
        <w:t>该样本检出HLA-B基因c.42_45delinsGGG，p.A15Gfs*5碱基缺失插入引起的移码突变，第42位至第45位核苷酸缺失，同时插入GGG，导致相应蛋白序列中第15位氨基酸由丙氨酸突变为甘氨酸，并开始发生移码，于此后第5位氨基酸处翻译终止，此突变在样本中的突变丰度为46.72%。</w:t>
      </w:r>
    </w:p>
    <w:p w14:paraId="26221091">
      <w:pPr>
        <w:spacing w:after="0"/>
      </w:pPr>
      <w:r>
        <w:rPr>
          <w:rFonts w:ascii="微软雅黑" w:hAnsi="微软雅黑" w:cs="微软雅黑"/>
          <w:b/>
        </w:rPr>
        <w:t xml:space="preserve">基因变异解析： </w:t>
      </w:r>
    </w:p>
    <w:p w14:paraId="135C03F7">
      <w:pPr>
        <w:spacing w:after="0"/>
        <w:ind w:firstLine="400"/>
        <w:jc w:val="both"/>
        <w:rPr>
          <w:rFonts w:hint="eastAsia" w:ascii="微软雅黑" w:hAnsi="微软雅黑" w:cs="微软雅黑"/>
          <w:sz w:val="21"/>
          <w:lang w:val="en-US" w:eastAsia="zh-CN"/>
        </w:rPr>
      </w:pPr>
      <w:r>
        <w:rPr>
          <w:rFonts w:hint="eastAsia" w:ascii="微软雅黑" w:hAnsi="微软雅黑" w:cs="微软雅黑"/>
          <w:sz w:val="21"/>
        </w:rPr>
        <w:t>HLA-B基因编码的蛋白</w:t>
      </w:r>
      <w:r>
        <w:rPr>
          <w:rFonts w:hint="eastAsia" w:ascii="微软雅黑" w:hAnsi="微软雅黑" w:cs="微软雅黑"/>
          <w:sz w:val="21"/>
          <w:lang w:val="en-US" w:eastAsia="zh-CN"/>
        </w:rPr>
        <w:t>全长363个氨基酸，主要包含N端信号肽区域（1-24位氨基酸）、MHC_I结构域（25-203位氨基酸）、IGc1结构域（222-293位氨基酸）、跨膜结构域（306-328位氨基酸）以及MHC_I_C结构域（337-363位氨基酸）</w:t>
      </w:r>
      <w:r>
        <w:rPr>
          <w:rFonts w:hint="eastAsia" w:ascii="微软雅黑" w:hAnsi="微软雅黑" w:cs="微软雅黑"/>
          <w:sz w:val="21"/>
        </w:rPr>
        <w:t>。该样本检出的p.A15Gfs*5突变</w:t>
      </w:r>
      <w:r>
        <w:rPr>
          <w:rFonts w:hint="eastAsia" w:ascii="微软雅黑" w:hAnsi="微软雅黑" w:cs="微软雅黑"/>
          <w:sz w:val="21"/>
          <w:lang w:val="en-US" w:eastAsia="zh-CN"/>
        </w:rPr>
        <w:t>导致蛋白翻译提前终止，产生截短的蛋白，可能导致蛋白功能缺失。</w:t>
      </w:r>
    </w:p>
    <w:p w14:paraId="13004D5D">
      <w:pPr>
        <w:spacing w:after="0"/>
        <w:ind w:firstLine="400"/>
        <w:jc w:val="both"/>
        <w:rPr>
          <w:rFonts w:hint="default" w:ascii="微软雅黑" w:hAnsi="微软雅黑" w:cs="微软雅黑"/>
          <w:sz w:val="21"/>
          <w:lang w:val="en-US"/>
        </w:rPr>
      </w:pPr>
      <w:r>
        <w:rPr>
          <w:rFonts w:hint="eastAsia" w:ascii="微软雅黑" w:hAnsi="微软雅黑" w:cs="微软雅黑"/>
          <w:sz w:val="21"/>
        </w:rPr>
        <w:t>HLA I类分子广泛分布于所有有核细胞表面，是细胞免疫中重要的分子，与肿瘤的发生发展密切相关。有研究表明，在恶性黑色素瘤、结直肠癌、胃癌、前列腺癌等癌种中均观察到HLA I类分子下调。</w:t>
      </w:r>
      <w:r>
        <w:rPr>
          <w:rFonts w:hint="eastAsia" w:ascii="微软雅黑" w:hAnsi="微软雅黑" w:cs="Times New Roman"/>
          <w:b w:val="0"/>
          <w:bCs/>
          <w:kern w:val="2"/>
          <w:sz w:val="21"/>
          <w:szCs w:val="21"/>
          <w:lang w:val="en-US" w:eastAsia="zh-CN"/>
        </w:rPr>
        <w:t>因此，该样本检出突变可能与疾病的发生发展相关。</w:t>
      </w:r>
    </w:p>
    <w:p w14:paraId="5B4AE89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ACVR2A：c.1310del，p.K437Rfs*5；35.92%</w:t>
      </w:r>
    </w:p>
    <w:p w14:paraId="6FA5FD70">
      <w:pPr>
        <w:spacing w:after="0"/>
      </w:pPr>
      <w:r>
        <w:rPr>
          <w:rFonts w:ascii="微软雅黑" w:hAnsi="微软雅黑" w:cs="微软雅黑"/>
          <w:b/>
        </w:rPr>
        <w:t>基因简介：</w:t>
      </w:r>
    </w:p>
    <w:p w14:paraId="46E2AA8B">
      <w:pPr>
        <w:spacing w:beforeLines="0" w:after="0" w:afterLines="0"/>
        <w:ind w:firstLine="420" w:firstLineChars="200"/>
        <w:jc w:val="both"/>
        <w:outlineLvl w:val="9"/>
        <w:rPr>
          <w:rFonts w:hint="eastAsia" w:ascii="微软雅黑" w:hAnsi="微软雅黑" w:cs="Arial Unicode MS"/>
          <w:kern w:val="2"/>
          <w:sz w:val="21"/>
          <w:szCs w:val="21"/>
        </w:rPr>
      </w:pPr>
      <w:r>
        <w:rPr>
          <w:rFonts w:hint="eastAsia" w:ascii="微软雅黑" w:hAnsi="微软雅黑" w:cs="Times New Roman"/>
          <w:bCs/>
          <w:color w:val="auto"/>
          <w:kern w:val="2"/>
          <w:sz w:val="21"/>
          <w:szCs w:val="21"/>
          <w:lang w:val="en-US" w:eastAsia="zh-CN"/>
        </w:rPr>
        <w:t>ACVR2A</w:t>
      </w:r>
      <w:r>
        <w:rPr>
          <w:rFonts w:hint="eastAsia" w:ascii="微软雅黑" w:hAnsi="微软雅黑"/>
          <w:color w:val="auto"/>
          <w:kern w:val="2"/>
          <w:sz w:val="21"/>
          <w:szCs w:val="21"/>
        </w:rPr>
        <w:t>基因编码介导激素功能的受体，</w:t>
      </w:r>
      <w:r>
        <w:rPr>
          <w:rFonts w:hint="eastAsia" w:ascii="微软雅黑" w:hAnsi="微软雅黑"/>
          <w:color w:val="auto"/>
          <w:kern w:val="2"/>
          <w:sz w:val="21"/>
          <w:szCs w:val="21"/>
          <w:lang w:eastAsia="zh-CN"/>
        </w:rPr>
        <w:t>该蛋白属于</w:t>
      </w:r>
      <w:r>
        <w:rPr>
          <w:rFonts w:hint="eastAsia" w:ascii="微软雅黑" w:hAnsi="微软雅黑"/>
          <w:color w:val="auto"/>
          <w:kern w:val="2"/>
          <w:sz w:val="21"/>
          <w:szCs w:val="21"/>
        </w:rPr>
        <w:t>转化生长因子-β（TGF-β）超家族成员</w:t>
      </w:r>
      <w:r>
        <w:rPr>
          <w:rFonts w:hint="eastAsia" w:ascii="微软雅黑" w:hAnsi="微软雅黑"/>
          <w:color w:val="auto"/>
          <w:kern w:val="2"/>
          <w:sz w:val="21"/>
          <w:szCs w:val="21"/>
          <w:lang w:eastAsia="zh-CN"/>
        </w:rPr>
        <w:t>，参与多种生物过程</w:t>
      </w:r>
      <w:r>
        <w:rPr>
          <w:rFonts w:hint="eastAsia" w:ascii="微软雅黑" w:hAnsi="微软雅黑"/>
          <w:color w:val="auto"/>
          <w:kern w:val="2"/>
          <w:sz w:val="21"/>
          <w:szCs w:val="21"/>
        </w:rPr>
        <w:t>。</w:t>
      </w:r>
      <w:r>
        <w:rPr>
          <w:rFonts w:hint="eastAsia" w:ascii="微软雅黑" w:hAnsi="微软雅黑" w:cs="Times New Roman"/>
          <w:bCs/>
          <w:color w:val="auto"/>
          <w:kern w:val="2"/>
          <w:sz w:val="21"/>
          <w:szCs w:val="21"/>
          <w:lang w:val="en-US" w:eastAsia="zh-CN"/>
        </w:rPr>
        <w:t>ACVR2A</w:t>
      </w:r>
      <w:r>
        <w:rPr>
          <w:rFonts w:hint="eastAsia" w:ascii="微软雅黑" w:hAnsi="微软雅黑"/>
          <w:color w:val="auto"/>
          <w:kern w:val="2"/>
          <w:sz w:val="21"/>
          <w:szCs w:val="21"/>
        </w:rPr>
        <w:t>蛋白是</w:t>
      </w:r>
      <w:r>
        <w:rPr>
          <w:rFonts w:hint="eastAsia" w:ascii="微软雅黑" w:hAnsi="微软雅黑"/>
          <w:color w:val="auto"/>
          <w:kern w:val="2"/>
          <w:sz w:val="21"/>
          <w:szCs w:val="21"/>
          <w:lang w:eastAsia="zh-CN"/>
        </w:rPr>
        <w:t>一种</w:t>
      </w:r>
      <w:r>
        <w:rPr>
          <w:rFonts w:hint="eastAsia" w:ascii="微软雅黑" w:hAnsi="微软雅黑"/>
          <w:color w:val="auto"/>
          <w:kern w:val="2"/>
          <w:sz w:val="21"/>
          <w:szCs w:val="21"/>
        </w:rPr>
        <w:t>跨膜丝氨酸</w:t>
      </w:r>
      <w:r>
        <w:rPr>
          <w:rFonts w:hint="eastAsia" w:ascii="微软雅黑" w:hAnsi="微软雅黑"/>
          <w:color w:val="auto"/>
          <w:kern w:val="2"/>
          <w:sz w:val="21"/>
          <w:szCs w:val="21"/>
          <w:lang w:eastAsia="zh-CN"/>
        </w:rPr>
        <w:t>-</w:t>
      </w:r>
      <w:r>
        <w:rPr>
          <w:rFonts w:hint="eastAsia" w:ascii="微软雅黑" w:hAnsi="微软雅黑"/>
          <w:color w:val="auto"/>
          <w:kern w:val="2"/>
          <w:sz w:val="21"/>
          <w:szCs w:val="21"/>
        </w:rPr>
        <w:t>苏氨酸激酶受体，</w:t>
      </w:r>
      <w:r>
        <w:rPr>
          <w:rFonts w:hint="eastAsia" w:ascii="微软雅黑" w:hAnsi="微软雅黑"/>
          <w:color w:val="auto"/>
          <w:kern w:val="2"/>
          <w:sz w:val="21"/>
          <w:szCs w:val="21"/>
          <w:lang w:eastAsia="zh-CN"/>
        </w:rPr>
        <w:t>它能通过一种</w:t>
      </w:r>
      <w:r>
        <w:rPr>
          <w:rFonts w:hint="eastAsia" w:ascii="微软雅黑" w:hAnsi="微软雅黑"/>
          <w:color w:val="auto"/>
          <w:kern w:val="2"/>
          <w:sz w:val="21"/>
          <w:szCs w:val="21"/>
        </w:rPr>
        <w:t>细胞特异性</w:t>
      </w:r>
      <w:r>
        <w:rPr>
          <w:rFonts w:hint="eastAsia" w:ascii="微软雅黑" w:hAnsi="微软雅黑"/>
          <w:color w:val="auto"/>
          <w:kern w:val="2"/>
          <w:sz w:val="21"/>
          <w:szCs w:val="21"/>
          <w:lang w:eastAsia="zh-CN"/>
        </w:rPr>
        <w:t>的</w:t>
      </w:r>
      <w:r>
        <w:rPr>
          <w:rFonts w:hint="eastAsia" w:ascii="微软雅黑" w:hAnsi="微软雅黑"/>
          <w:color w:val="auto"/>
          <w:kern w:val="2"/>
          <w:sz w:val="21"/>
          <w:szCs w:val="21"/>
        </w:rPr>
        <w:t>方式</w:t>
      </w:r>
      <w:r>
        <w:rPr>
          <w:rFonts w:hint="eastAsia" w:ascii="微软雅黑" w:hAnsi="微软雅黑"/>
          <w:color w:val="auto"/>
          <w:kern w:val="2"/>
          <w:sz w:val="21"/>
          <w:szCs w:val="21"/>
          <w:lang w:eastAsia="zh-CN"/>
        </w:rPr>
        <w:t>，</w:t>
      </w:r>
      <w:r>
        <w:rPr>
          <w:rFonts w:hint="eastAsia" w:ascii="微软雅黑" w:hAnsi="微软雅黑"/>
          <w:color w:val="auto"/>
          <w:kern w:val="2"/>
          <w:sz w:val="21"/>
          <w:szCs w:val="21"/>
        </w:rPr>
        <w:t>与</w:t>
      </w:r>
      <w:r>
        <w:rPr>
          <w:rFonts w:hint="eastAsia" w:ascii="微软雅黑" w:hAnsi="微软雅黑"/>
          <w:color w:val="auto"/>
          <w:kern w:val="2"/>
          <w:sz w:val="21"/>
          <w:szCs w:val="21"/>
          <w:lang w:eastAsia="zh-CN"/>
        </w:rPr>
        <w:t>不同的</w:t>
      </w:r>
      <w:r>
        <w:rPr>
          <w:rFonts w:hint="eastAsia" w:ascii="微软雅黑" w:hAnsi="微软雅黑"/>
          <w:color w:val="auto"/>
          <w:kern w:val="2"/>
          <w:sz w:val="21"/>
          <w:szCs w:val="21"/>
        </w:rPr>
        <w:t>I型和II型受体和配体</w:t>
      </w:r>
      <w:r>
        <w:rPr>
          <w:rFonts w:hint="eastAsia" w:ascii="微软雅黑" w:hAnsi="微软雅黑"/>
          <w:color w:val="auto"/>
          <w:kern w:val="2"/>
          <w:sz w:val="21"/>
          <w:szCs w:val="21"/>
          <w:lang w:eastAsia="zh-CN"/>
        </w:rPr>
        <w:t>结合，</w:t>
      </w:r>
      <w:r>
        <w:rPr>
          <w:rFonts w:hint="eastAsia" w:ascii="微软雅黑" w:hAnsi="微软雅黑"/>
          <w:color w:val="auto"/>
          <w:kern w:val="2"/>
          <w:sz w:val="21"/>
          <w:szCs w:val="21"/>
        </w:rPr>
        <w:t>形成异二聚体复合物来介导信号传导。</w:t>
      </w:r>
      <w:r>
        <w:rPr>
          <w:rFonts w:hint="eastAsia" w:ascii="微软雅黑" w:hAnsi="微软雅黑"/>
          <w:color w:val="auto"/>
          <w:kern w:val="2"/>
          <w:sz w:val="21"/>
          <w:szCs w:val="21"/>
          <w:lang w:eastAsia="zh-CN"/>
        </w:rPr>
        <w:t>这些信号通路的缺陷与癌症的发生发展相关，例如前列腺癌中</w:t>
      </w:r>
      <w:r>
        <w:rPr>
          <w:rFonts w:hint="eastAsia" w:ascii="微软雅黑" w:hAnsi="微软雅黑" w:cs="Times New Roman"/>
          <w:bCs/>
          <w:color w:val="auto"/>
          <w:kern w:val="2"/>
          <w:sz w:val="21"/>
          <w:szCs w:val="21"/>
          <w:lang w:val="en-US" w:eastAsia="zh-CN"/>
        </w:rPr>
        <w:t>ACVR2A</w:t>
      </w:r>
      <w:r>
        <w:rPr>
          <w:rFonts w:hint="eastAsia" w:ascii="微软雅黑" w:hAnsi="微软雅黑"/>
          <w:color w:val="auto"/>
          <w:kern w:val="2"/>
          <w:sz w:val="21"/>
          <w:szCs w:val="21"/>
        </w:rPr>
        <w:t>基因</w:t>
      </w:r>
      <w:r>
        <w:rPr>
          <w:rFonts w:hint="eastAsia" w:ascii="微软雅黑" w:hAnsi="微软雅黑"/>
          <w:color w:val="auto"/>
          <w:kern w:val="2"/>
          <w:sz w:val="21"/>
          <w:szCs w:val="21"/>
          <w:lang w:eastAsia="zh-CN"/>
        </w:rPr>
        <w:t>的截短突变导致活化素介导的细胞信号传导显著减少，在癌症的发展中发挥重要作用</w:t>
      </w:r>
      <w:r>
        <w:rPr>
          <w:rFonts w:hint="eastAsia" w:ascii="微软雅黑" w:hAnsi="微软雅黑"/>
          <w:color w:val="auto"/>
          <w:kern w:val="2"/>
          <w:sz w:val="21"/>
          <w:szCs w:val="21"/>
          <w:lang w:val="en-US" w:eastAsia="zh-CN"/>
        </w:rPr>
        <w:t>[16337854]</w:t>
      </w:r>
      <w:r>
        <w:rPr>
          <w:rFonts w:hint="eastAsia" w:ascii="微软雅黑" w:hAnsi="微软雅黑"/>
          <w:color w:val="auto"/>
          <w:kern w:val="2"/>
          <w:sz w:val="21"/>
          <w:szCs w:val="21"/>
          <w:lang w:eastAsia="zh-CN"/>
        </w:rPr>
        <w:t>。在小肠腺癌中的外显子组体细胞突变特征分析发现，</w:t>
      </w:r>
      <w:r>
        <w:rPr>
          <w:rFonts w:hint="eastAsia" w:ascii="微软雅黑" w:hAnsi="微软雅黑" w:cs="Times New Roman"/>
          <w:bCs/>
          <w:color w:val="auto"/>
          <w:kern w:val="2"/>
          <w:sz w:val="21"/>
          <w:szCs w:val="21"/>
          <w:lang w:val="en-US" w:eastAsia="zh-CN"/>
        </w:rPr>
        <w:t>ACVR2A基因</w:t>
      </w:r>
      <w:r>
        <w:rPr>
          <w:rFonts w:hint="eastAsia" w:ascii="微软雅黑" w:hAnsi="微软雅黑"/>
          <w:color w:val="auto"/>
          <w:kern w:val="2"/>
          <w:sz w:val="21"/>
          <w:szCs w:val="21"/>
          <w:lang w:eastAsia="zh-CN"/>
        </w:rPr>
        <w:t>是新的候选驱动基因，也是潜在的治疗靶点</w:t>
      </w:r>
      <w:r>
        <w:rPr>
          <w:rFonts w:hint="eastAsia" w:ascii="微软雅黑" w:hAnsi="微软雅黑"/>
          <w:color w:val="auto"/>
          <w:kern w:val="2"/>
          <w:sz w:val="21"/>
          <w:szCs w:val="21"/>
          <w:lang w:val="en-US" w:eastAsia="zh-CN"/>
        </w:rPr>
        <w:t>[29522538]</w:t>
      </w:r>
      <w:r>
        <w:rPr>
          <w:rFonts w:hint="eastAsia" w:ascii="微软雅黑" w:hAnsi="微软雅黑"/>
          <w:color w:val="auto"/>
          <w:kern w:val="2"/>
          <w:sz w:val="21"/>
          <w:szCs w:val="21"/>
          <w:lang w:eastAsia="zh-CN"/>
        </w:rPr>
        <w:t>。</w:t>
      </w:r>
    </w:p>
    <w:p w14:paraId="2F207998">
      <w:pPr>
        <w:spacing w:after="0"/>
      </w:pPr>
      <w:r>
        <w:rPr>
          <w:rFonts w:ascii="微软雅黑" w:hAnsi="微软雅黑" w:cs="微软雅黑"/>
          <w:b/>
        </w:rPr>
        <w:t>基因变异说明：</w:t>
      </w:r>
    </w:p>
    <w:p w14:paraId="17C245D4">
      <w:pPr>
        <w:spacing w:after="0"/>
        <w:ind w:firstLine="400"/>
        <w:jc w:val="both"/>
        <w:rPr>
          <w:rFonts w:ascii="微软雅黑" w:hAnsi="微软雅黑" w:cs="微软雅黑"/>
          <w:sz w:val="21"/>
        </w:rPr>
      </w:pPr>
      <w:r>
        <w:rPr>
          <w:rFonts w:hint="eastAsia" w:ascii="微软雅黑" w:hAnsi="微软雅黑" w:cs="微软雅黑"/>
          <w:sz w:val="21"/>
        </w:rPr>
        <w:t>该样本检出ACVR2A基因c.1310del，p.K437Rfs*5碱基缺失引起的移码突变，第1310位核苷酸缺失，导致相应蛋白序列中第437位氨基酸由赖氨酸突变为精氨酸，并开始发生移码，于此后第5位氨基酸处翻译终止，此突变在样本中的突变丰度为35.92%。</w:t>
      </w:r>
    </w:p>
    <w:p w14:paraId="59F56B93">
      <w:pPr>
        <w:spacing w:after="0"/>
      </w:pPr>
      <w:r>
        <w:rPr>
          <w:rFonts w:ascii="微软雅黑" w:hAnsi="微软雅黑" w:cs="微软雅黑"/>
          <w:b/>
        </w:rPr>
        <w:t xml:space="preserve">基因变异解析： </w:t>
      </w:r>
    </w:p>
    <w:p w14:paraId="6A0A0C0C">
      <w:pPr>
        <w:spacing w:after="0"/>
        <w:ind w:firstLine="420" w:firstLineChars="200"/>
        <w:jc w:val="both"/>
        <w:outlineLvl w:val="9"/>
        <w:rPr>
          <w:rFonts w:hint="eastAsia" w:ascii="微软雅黑" w:hAnsi="微软雅黑" w:cs="Arial Unicode MS"/>
          <w:kern w:val="2"/>
          <w:sz w:val="21"/>
          <w:szCs w:val="21"/>
          <w:lang w:eastAsia="zh-CN"/>
        </w:rPr>
      </w:pPr>
      <w:r>
        <w:rPr>
          <w:rFonts w:hint="eastAsia" w:ascii="微软雅黑" w:hAnsi="微软雅黑" w:cs="Times New Roman"/>
          <w:bCs/>
          <w:color w:val="auto"/>
          <w:kern w:val="2"/>
          <w:sz w:val="21"/>
          <w:szCs w:val="21"/>
          <w:highlight w:val="none"/>
          <w:lang w:val="en-US" w:eastAsia="zh-CN"/>
        </w:rPr>
        <w:t>ACVR2A基因编码的蛋白全长513个氨基酸，主要包含Activin_recp结构域（2</w:t>
      </w:r>
      <w:r>
        <w:rPr>
          <w:rFonts w:hint="eastAsia" w:ascii="微软雅黑" w:hAnsi="微软雅黑" w:cs="Times New Roman"/>
          <w:bCs/>
          <w:color w:val="auto"/>
          <w:kern w:val="2"/>
          <w:sz w:val="21"/>
          <w:szCs w:val="21"/>
          <w:lang w:val="en-US" w:eastAsia="zh-CN"/>
        </w:rPr>
        <w:t>8-118位氨基酸）和</w:t>
      </w:r>
      <w:r>
        <w:rPr>
          <w:rFonts w:hint="eastAsia" w:ascii="微软雅黑" w:hAnsi="微软雅黑" w:cs="Times New Roman"/>
          <w:color w:val="auto"/>
          <w:kern w:val="2"/>
          <w:sz w:val="21"/>
          <w:szCs w:val="21"/>
          <w:lang w:val="en-US" w:eastAsia="zh-CN"/>
        </w:rPr>
        <w:t>STYKc（</w:t>
      </w:r>
      <w:r>
        <w:rPr>
          <w:rFonts w:hint="eastAsia" w:ascii="微软雅黑" w:hAnsi="微软雅黑"/>
          <w:color w:val="auto"/>
          <w:kern w:val="2"/>
          <w:sz w:val="21"/>
          <w:szCs w:val="21"/>
        </w:rPr>
        <w:t>丝氨酸</w:t>
      </w:r>
      <w:r>
        <w:rPr>
          <w:rFonts w:hint="eastAsia" w:ascii="微软雅黑" w:hAnsi="微软雅黑"/>
          <w:color w:val="auto"/>
          <w:kern w:val="2"/>
          <w:sz w:val="21"/>
          <w:szCs w:val="21"/>
          <w:lang w:val="en-US" w:eastAsia="zh-CN"/>
        </w:rPr>
        <w:t>/</w:t>
      </w:r>
      <w:r>
        <w:rPr>
          <w:rFonts w:hint="eastAsia" w:ascii="微软雅黑" w:hAnsi="微软雅黑"/>
          <w:color w:val="auto"/>
          <w:kern w:val="2"/>
          <w:sz w:val="21"/>
          <w:szCs w:val="21"/>
        </w:rPr>
        <w:t>苏氨酸</w:t>
      </w:r>
      <w:r>
        <w:rPr>
          <w:rFonts w:hint="eastAsia" w:ascii="微软雅黑" w:hAnsi="微软雅黑" w:cs="Times New Roman"/>
          <w:bCs/>
          <w:color w:val="auto"/>
          <w:kern w:val="2"/>
          <w:sz w:val="21"/>
          <w:szCs w:val="21"/>
          <w:lang w:val="en-US" w:eastAsia="zh-CN"/>
        </w:rPr>
        <w:t>激酶</w:t>
      </w:r>
      <w:r>
        <w:rPr>
          <w:rFonts w:hint="eastAsia" w:ascii="微软雅黑" w:hAnsi="微软雅黑" w:cs="Times New Roman"/>
          <w:color w:val="auto"/>
          <w:kern w:val="2"/>
          <w:sz w:val="21"/>
          <w:szCs w:val="21"/>
          <w:lang w:val="en-US" w:eastAsia="zh-CN"/>
        </w:rPr>
        <w:t>）</w:t>
      </w:r>
      <w:r>
        <w:rPr>
          <w:rFonts w:hint="eastAsia" w:ascii="微软雅黑" w:hAnsi="微软雅黑" w:cs="Times New Roman"/>
          <w:bCs/>
          <w:color w:val="auto"/>
          <w:kern w:val="2"/>
          <w:sz w:val="21"/>
          <w:szCs w:val="21"/>
          <w:lang w:val="en-US" w:eastAsia="zh-CN"/>
        </w:rPr>
        <w:t>结构域</w:t>
      </w:r>
      <w:r>
        <w:rPr>
          <w:rFonts w:hint="eastAsia" w:ascii="微软雅黑" w:hAnsi="微软雅黑"/>
          <w:color w:val="auto"/>
          <w:kern w:val="2"/>
          <w:sz w:val="21"/>
          <w:szCs w:val="21"/>
          <w:lang w:val="en-US" w:eastAsia="zh-CN"/>
        </w:rPr>
        <w:t>（192-485位氨基酸）。该样本检出的</w:t>
      </w:r>
      <w:r>
        <w:rPr>
          <w:rFonts w:hint="eastAsia" w:ascii="微软雅黑" w:hAnsi="微软雅黑" w:cs="微软雅黑"/>
          <w:sz w:val="21"/>
        </w:rPr>
        <w:t>p.K437Rfs*5</w:t>
      </w:r>
      <w:r>
        <w:rPr>
          <w:rFonts w:hint="eastAsia" w:ascii="微软雅黑" w:hAnsi="微软雅黑"/>
          <w:color w:val="auto"/>
          <w:kern w:val="2"/>
          <w:sz w:val="21"/>
          <w:szCs w:val="21"/>
          <w:lang w:val="en-US" w:eastAsia="zh-CN"/>
        </w:rPr>
        <w:t>突变导致</w:t>
      </w:r>
      <w:r>
        <w:rPr>
          <w:rFonts w:hint="eastAsia" w:ascii="微软雅黑" w:hAnsi="微软雅黑" w:cs="Arial Unicode MS"/>
          <w:kern w:val="2"/>
          <w:sz w:val="21"/>
          <w:szCs w:val="21"/>
          <w:lang w:val="en-US" w:eastAsia="zh-CN"/>
        </w:rPr>
        <w:t>蛋白翻译提前终止，产生截短的蛋白，可能导致蛋白功能缺失</w:t>
      </w:r>
      <w:r>
        <w:rPr>
          <w:rFonts w:hint="eastAsia" w:ascii="微软雅黑" w:hAnsi="微软雅黑"/>
          <w:color w:val="auto"/>
          <w:kern w:val="2"/>
          <w:sz w:val="21"/>
          <w:szCs w:val="21"/>
          <w:lang w:val="en-US" w:eastAsia="zh-CN"/>
        </w:rPr>
        <w:t>。</w:t>
      </w:r>
    </w:p>
    <w:p w14:paraId="55DEE263">
      <w:pPr>
        <w:numPr>
          <w:ilvl w:val="-1"/>
          <w:numId w:val="0"/>
        </w:numPr>
        <w:adjustRightInd/>
        <w:snapToGrid/>
        <w:spacing w:after="0"/>
        <w:ind w:leftChars="0" w:firstLine="420" w:firstLineChars="200"/>
        <w:jc w:val="both"/>
        <w:outlineLvl w:val="9"/>
        <w:rPr>
          <w:rFonts w:hint="eastAsia" w:ascii="微软雅黑" w:hAnsi="微软雅黑" w:cs="Arial Unicode MS"/>
          <w:bCs w:val="0"/>
          <w:color w:val="auto"/>
          <w:kern w:val="2"/>
          <w:sz w:val="21"/>
          <w:szCs w:val="21"/>
          <w:highlight w:val="none"/>
          <w:lang w:val="en-US" w:eastAsia="zh-CN"/>
        </w:rPr>
      </w:pPr>
      <w:r>
        <w:rPr>
          <w:rFonts w:hint="eastAsia" w:ascii="微软雅黑" w:hAnsi="微软雅黑"/>
          <w:color w:val="auto"/>
          <w:kern w:val="2"/>
          <w:sz w:val="21"/>
          <w:szCs w:val="21"/>
          <w:lang w:eastAsia="zh-CN"/>
        </w:rPr>
        <w:t>ACVR2A 被认为是抑制细胞生长和分化的肿瘤抑制因子，它的失活可能导致结直肠癌的发生</w:t>
      </w:r>
      <w:r>
        <w:rPr>
          <w:rFonts w:hint="eastAsia" w:ascii="微软雅黑" w:hAnsi="微软雅黑"/>
          <w:color w:val="auto"/>
          <w:kern w:val="2"/>
          <w:sz w:val="21"/>
          <w:szCs w:val="21"/>
          <w:lang w:val="en-US" w:eastAsia="zh-CN"/>
        </w:rPr>
        <w:t>[25225355]</w:t>
      </w:r>
      <w:r>
        <w:rPr>
          <w:rFonts w:hint="eastAsia" w:ascii="微软雅黑" w:hAnsi="微软雅黑"/>
          <w:color w:val="auto"/>
          <w:kern w:val="2"/>
          <w:sz w:val="21"/>
          <w:szCs w:val="21"/>
          <w:lang w:eastAsia="zh-CN"/>
        </w:rPr>
        <w:t>。</w:t>
      </w:r>
      <w:r>
        <w:rPr>
          <w:rFonts w:hint="eastAsia" w:ascii="微软雅黑" w:hAnsi="微软雅黑" w:cs="Times New Roman"/>
          <w:b w:val="0"/>
          <w:bCs/>
          <w:kern w:val="2"/>
          <w:sz w:val="21"/>
          <w:szCs w:val="21"/>
          <w:lang w:val="en-US" w:eastAsia="zh-CN"/>
        </w:rPr>
        <w:t>因此，该样本检出突变可能与疾病的发生发展相关。</w:t>
      </w:r>
    </w:p>
    <w:p w14:paraId="5AB0E715">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RNF43</w:t>
      </w:r>
      <w:r>
        <w:rPr>
          <w:rFonts w:ascii="微软雅黑" w:hAnsi="微软雅黑" w:cs="微软雅黑"/>
          <w:b/>
          <w:color w:val="FF0000"/>
          <w:sz w:val="24"/>
          <w:u w:val="single"/>
        </w:rPr>
        <w:t>：</w:t>
      </w:r>
      <w:r>
        <w:rPr>
          <w:rFonts w:hint="eastAsia" w:ascii="微软雅黑" w:hAnsi="微软雅黑" w:cs="微软雅黑"/>
          <w:b/>
          <w:color w:val="FF0000"/>
          <w:sz w:val="24"/>
          <w:u w:val="single"/>
        </w:rPr>
        <w:t>c.349del，p.R117Afs*41；30%</w:t>
      </w:r>
    </w:p>
    <w:p w14:paraId="47182F12">
      <w:pPr>
        <w:spacing w:after="0"/>
      </w:pPr>
      <w:r>
        <w:rPr>
          <w:rFonts w:ascii="微软雅黑" w:hAnsi="微软雅黑" w:cs="微软雅黑"/>
          <w:b/>
        </w:rPr>
        <w:t>基因简介：</w:t>
      </w:r>
    </w:p>
    <w:p w14:paraId="1750ACBC">
      <w:pPr>
        <w:spacing w:beforeLines="0" w:after="0" w:afterLines="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b w:val="0"/>
          <w:bCs/>
          <w:color w:val="auto"/>
          <w:kern w:val="2"/>
          <w:sz w:val="21"/>
          <w:szCs w:val="21"/>
          <w:lang w:eastAsia="zh-CN"/>
        </w:rPr>
        <w:t>RNF43（Ring finger protein 43,</w:t>
      </w:r>
      <w:r>
        <w:rPr>
          <w:rFonts w:hint="eastAsia" w:ascii="微软雅黑" w:hAnsi="微软雅黑" w:cs="Arial Unicode MS"/>
          <w:b w:val="0"/>
          <w:bCs/>
          <w:color w:val="auto"/>
          <w:kern w:val="2"/>
          <w:sz w:val="21"/>
          <w:szCs w:val="21"/>
          <w:lang w:val="en-US" w:eastAsia="zh-CN"/>
        </w:rPr>
        <w:t xml:space="preserve"> </w:t>
      </w:r>
      <w:r>
        <w:rPr>
          <w:rFonts w:hint="eastAsia" w:ascii="微软雅黑" w:hAnsi="微软雅黑" w:cs="Arial Unicode MS"/>
          <w:b w:val="0"/>
          <w:bCs/>
          <w:color w:val="auto"/>
          <w:kern w:val="2"/>
          <w:sz w:val="21"/>
          <w:szCs w:val="21"/>
          <w:lang w:eastAsia="zh-CN"/>
        </w:rPr>
        <w:t>环指蛋白43）基因编码的蛋白是Wnt信号通路中重要的负向调控因子之一。RNF43具有E3泛素化连接酶活性[18313049]，在Wnt信号通路中发挥负向调控效应[22575959]。RNF43可通过影响TCF4的胞内定位，抑制其与β-catenin的结合，从而影响整个wnt信号通路的活性[26350900]。RNF43在微卫星高度不稳定的情况下突变频率较高，并且多为截短突变，提示RNF43功能缺失对Wnt通路激活程度的影响可能是MSI类型结直肠癌的发生机制之一[25344691]。</w:t>
      </w:r>
    </w:p>
    <w:p w14:paraId="303DE0B0">
      <w:pPr>
        <w:spacing w:after="0"/>
      </w:pPr>
      <w:r>
        <w:rPr>
          <w:rFonts w:ascii="微软雅黑" w:hAnsi="微软雅黑" w:cs="微软雅黑"/>
          <w:b/>
        </w:rPr>
        <w:t>基因变异说明：</w:t>
      </w:r>
    </w:p>
    <w:p w14:paraId="0E1987B3">
      <w:pPr>
        <w:spacing w:after="0"/>
        <w:ind w:firstLine="400"/>
        <w:jc w:val="both"/>
        <w:rPr>
          <w:rFonts w:hint="eastAsia" w:ascii="微软雅黑" w:hAnsi="微软雅黑" w:cs="微软雅黑"/>
          <w:sz w:val="21"/>
        </w:rPr>
      </w:pPr>
      <w:r>
        <w:rPr>
          <w:rFonts w:hint="eastAsia" w:ascii="微软雅黑" w:hAnsi="微软雅黑" w:cs="微软雅黑"/>
          <w:sz w:val="21"/>
        </w:rPr>
        <w:t>该样本检出RNF43基因c.349del，p.R117Afs*41碱基缺失引起的移码突变，第349位核苷酸缺失，导致相应蛋白序列中第117位氨基酸由精氨酸突变为丙氨酸，并开始发生移码，于此后第41位氨基酸处翻译终止，此突变在样本中的突变丰度为30%。</w:t>
      </w:r>
    </w:p>
    <w:p w14:paraId="32483740">
      <w:pPr>
        <w:spacing w:after="0"/>
      </w:pPr>
      <w:r>
        <w:rPr>
          <w:rFonts w:ascii="微软雅黑" w:hAnsi="微软雅黑" w:cs="微软雅黑"/>
          <w:b/>
        </w:rPr>
        <w:t xml:space="preserve">基因变异解析： </w:t>
      </w:r>
    </w:p>
    <w:p w14:paraId="21B46C04">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s="Arial Unicode MS"/>
          <w:bCs/>
          <w:color w:val="auto"/>
          <w:kern w:val="2"/>
          <w:sz w:val="21"/>
          <w:szCs w:val="21"/>
          <w:lang w:eastAsia="zh-CN"/>
        </w:rPr>
      </w:pPr>
      <w:r>
        <w:rPr>
          <w:rFonts w:hint="eastAsia" w:ascii="微软雅黑" w:hAnsi="微软雅黑" w:cs="Arial Unicode MS"/>
          <w:kern w:val="2"/>
          <w:sz w:val="21"/>
          <w:szCs w:val="21"/>
          <w:highlight w:val="none"/>
        </w:rPr>
        <w:t>RNF43</w:t>
      </w:r>
      <w:r>
        <w:rPr>
          <w:rFonts w:hint="eastAsia" w:ascii="微软雅黑" w:hAnsi="微软雅黑" w:cs="Arial Unicode MS"/>
          <w:bCs/>
          <w:color w:val="auto"/>
          <w:kern w:val="2"/>
          <w:sz w:val="21"/>
          <w:szCs w:val="21"/>
          <w:highlight w:val="none"/>
          <w:lang w:val="en-US" w:eastAsia="zh-CN"/>
        </w:rPr>
        <w:t>基因</w:t>
      </w:r>
      <w:r>
        <w:rPr>
          <w:rFonts w:hint="eastAsia" w:ascii="微软雅黑" w:hAnsi="微软雅黑" w:cs="Arial Unicode MS"/>
          <w:bCs/>
          <w:color w:val="auto"/>
          <w:kern w:val="2"/>
          <w:sz w:val="21"/>
          <w:szCs w:val="21"/>
          <w:highlight w:val="none"/>
          <w:lang w:eastAsia="zh-CN"/>
        </w:rPr>
        <w:t>编码的蛋白</w:t>
      </w:r>
      <w:r>
        <w:rPr>
          <w:rFonts w:hint="eastAsia" w:ascii="微软雅黑" w:hAnsi="微软雅黑" w:cs="微软雅黑"/>
          <w:kern w:val="2"/>
          <w:sz w:val="21"/>
          <w:szCs w:val="21"/>
          <w:highlight w:val="none"/>
          <w:lang w:eastAsia="zh-CN"/>
        </w:rPr>
        <w:t>全长为</w:t>
      </w:r>
      <w:r>
        <w:rPr>
          <w:rFonts w:hint="eastAsia" w:ascii="微软雅黑" w:hAnsi="微软雅黑" w:cs="微软雅黑"/>
          <w:kern w:val="2"/>
          <w:sz w:val="21"/>
          <w:szCs w:val="21"/>
          <w:highlight w:val="none"/>
          <w:lang w:val="en-US" w:eastAsia="zh-CN"/>
        </w:rPr>
        <w:t>869个氨基酸，</w:t>
      </w:r>
      <w:r>
        <w:rPr>
          <w:rFonts w:hint="eastAsia" w:ascii="微软雅黑" w:hAnsi="微软雅黑" w:cs="Arial Unicode MS"/>
          <w:bCs/>
          <w:color w:val="auto"/>
          <w:kern w:val="2"/>
          <w:sz w:val="21"/>
          <w:szCs w:val="21"/>
          <w:highlight w:val="none"/>
          <w:lang w:eastAsia="zh-CN"/>
        </w:rPr>
        <w:t>主要包含信号肽</w:t>
      </w:r>
      <w:r>
        <w:rPr>
          <w:rFonts w:hint="eastAsia" w:ascii="微软雅黑" w:hAnsi="微软雅黑" w:cs="Arial Unicode MS"/>
          <w:bCs/>
          <w:color w:val="auto"/>
          <w:kern w:val="2"/>
          <w:sz w:val="21"/>
          <w:szCs w:val="21"/>
          <w:highlight w:val="none"/>
          <w:lang w:val="en-US" w:eastAsia="zh-CN"/>
        </w:rPr>
        <w:t>结构域（1-23位氨基酸</w:t>
      </w:r>
      <w:r>
        <w:rPr>
          <w:rFonts w:hint="eastAsia" w:ascii="微软雅黑" w:hAnsi="微软雅黑" w:cs="Arial Unicode MS"/>
          <w:bCs/>
          <w:color w:val="auto"/>
          <w:kern w:val="2"/>
          <w:sz w:val="21"/>
          <w:szCs w:val="21"/>
          <w:lang w:val="en-US" w:eastAsia="zh-CN"/>
        </w:rPr>
        <w:t>）、跨膜区域（199-218位氨基酸）以及RING结构域（272-312位氨基酸）。该样本检出的</w:t>
      </w:r>
      <w:bookmarkStart w:id="195" w:name="OLE_LINK70"/>
      <w:r>
        <w:rPr>
          <w:rFonts w:hint="eastAsia" w:ascii="微软雅黑" w:hAnsi="微软雅黑" w:cs="微软雅黑"/>
          <w:sz w:val="21"/>
        </w:rPr>
        <w:t>p.R117Afs*41</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bookmarkEnd w:id="195"/>
    </w:p>
    <w:p w14:paraId="6F398C3A">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20" w:firstLineChars="200"/>
        <w:jc w:val="both"/>
        <w:textAlignment w:val="auto"/>
        <w:rPr>
          <w:rFonts w:hint="eastAsia" w:ascii="微软雅黑" w:hAnsi="微软雅黑" w:cs="Arial Unicode MS"/>
          <w:bCs/>
          <w:color w:val="auto"/>
          <w:kern w:val="2"/>
          <w:sz w:val="21"/>
          <w:szCs w:val="21"/>
          <w:lang w:val="en-US" w:eastAsia="zh-CN"/>
        </w:rPr>
      </w:pPr>
      <w:r>
        <w:rPr>
          <w:rFonts w:hint="eastAsia" w:ascii="微软雅黑" w:hAnsi="微软雅黑" w:cs="Arial Unicode MS"/>
          <w:bCs/>
          <w:color w:val="auto"/>
          <w:kern w:val="2"/>
          <w:sz w:val="21"/>
          <w:szCs w:val="21"/>
          <w:lang w:eastAsia="zh-CN"/>
        </w:rPr>
        <w:t>研究表明，RNF43是结直肠癌和子宫内膜癌中的常见突变基因，携带RNF43突变的肿瘤患者可能对Wnt信号通路抑制剂敏感[25344691]。</w:t>
      </w:r>
      <w:r>
        <w:rPr>
          <w:rFonts w:hint="eastAsia" w:ascii="微软雅黑" w:hAnsi="微软雅黑" w:cs="Arial Unicode MS"/>
          <w:bCs/>
          <w:color w:val="auto"/>
          <w:kern w:val="2"/>
          <w:sz w:val="21"/>
          <w:szCs w:val="21"/>
          <w:lang w:val="en-US" w:eastAsia="zh-CN"/>
        </w:rPr>
        <w:t>因此，该样本检出的突变可能与疾病的发生发展及用药相关。</w:t>
      </w:r>
    </w:p>
    <w:p w14:paraId="2AECF433">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ATR</w:t>
      </w:r>
      <w:r>
        <w:rPr>
          <w:rFonts w:ascii="微软雅黑" w:hAnsi="微软雅黑" w:cs="微软雅黑"/>
          <w:b/>
          <w:color w:val="FF0000"/>
          <w:sz w:val="24"/>
          <w:u w:val="single"/>
        </w:rPr>
        <w:t>：</w:t>
      </w:r>
      <w:r>
        <w:rPr>
          <w:rFonts w:hint="eastAsia" w:ascii="微软雅黑" w:hAnsi="微软雅黑" w:cs="微软雅黑"/>
          <w:b/>
          <w:color w:val="FF0000"/>
          <w:sz w:val="24"/>
          <w:u w:val="single"/>
        </w:rPr>
        <w:t>c.2320del，p.I774Yfs*5；20.66%</w:t>
      </w:r>
    </w:p>
    <w:p w14:paraId="7406C10C">
      <w:pPr>
        <w:spacing w:after="0"/>
      </w:pPr>
      <w:r>
        <w:rPr>
          <w:rFonts w:ascii="微软雅黑" w:hAnsi="微软雅黑" w:cs="微软雅黑"/>
          <w:b/>
        </w:rPr>
        <w:t>基因简介：</w:t>
      </w:r>
    </w:p>
    <w:p w14:paraId="6F915A20">
      <w:pPr>
        <w:spacing w:after="0"/>
        <w:ind w:firstLine="400"/>
        <w:jc w:val="both"/>
        <w:rPr>
          <w:rFonts w:ascii="微软雅黑" w:hAnsi="微软雅黑" w:cs="微软雅黑"/>
          <w:sz w:val="21"/>
        </w:rPr>
      </w:pPr>
      <w:r>
        <w:rPr>
          <w:rFonts w:hint="eastAsia" w:ascii="微软雅黑" w:hAnsi="微软雅黑" w:cs="微软雅黑"/>
          <w:sz w:val="21"/>
        </w:rPr>
        <w:t>ATR基因编码的蛋白是为PI3/PI4激酶家族成员，是与DNA损伤修复和细胞周期阻滞相关的主要信号因子。该蛋白在检查点激酶CHK1、RAD17、RAD9和肿瘤抑制蛋白BRCA1蛋白的磷酸化中起作用，这些蛋白参与细胞周期和DNA损伤信号通路。在肠癌、皮肤癌和胃癌等癌症中已发现该基因的错义突变、无义突变、沉默突变、移码缺失、插入以及整码缺失。</w:t>
      </w:r>
    </w:p>
    <w:p w14:paraId="27FD66C8">
      <w:pPr>
        <w:spacing w:after="0"/>
      </w:pPr>
      <w:r>
        <w:rPr>
          <w:rFonts w:ascii="微软雅黑" w:hAnsi="微软雅黑" w:cs="微软雅黑"/>
          <w:b/>
        </w:rPr>
        <w:t>基因变异说明：</w:t>
      </w:r>
    </w:p>
    <w:p w14:paraId="2B53F1E1">
      <w:pPr>
        <w:spacing w:after="0"/>
        <w:ind w:firstLine="400"/>
        <w:jc w:val="both"/>
        <w:rPr>
          <w:rFonts w:ascii="微软雅黑" w:hAnsi="微软雅黑" w:cs="微软雅黑"/>
          <w:sz w:val="21"/>
        </w:rPr>
      </w:pPr>
      <w:r>
        <w:rPr>
          <w:rFonts w:hint="eastAsia" w:ascii="微软雅黑" w:hAnsi="微软雅黑" w:cs="微软雅黑"/>
          <w:sz w:val="21"/>
        </w:rPr>
        <w:t>该样本检出ATR基因c.2320del，p.I774Yfs*5碱基缺失引起的移码突变，第2320位核苷酸缺失，导致相应蛋白序列中第774位氨基酸由异亮氨酸突变为酪氨酸，并开始发生移码，于此后第5位氨基酸处翻译终止，此突变在样本中的突变丰度为20.66%。</w:t>
      </w:r>
    </w:p>
    <w:p w14:paraId="4247178D">
      <w:pPr>
        <w:spacing w:after="0"/>
      </w:pPr>
      <w:r>
        <w:rPr>
          <w:rFonts w:ascii="微软雅黑" w:hAnsi="微软雅黑" w:cs="微软雅黑"/>
          <w:b/>
        </w:rPr>
        <w:t xml:space="preserve">基因变异解析： </w:t>
      </w:r>
    </w:p>
    <w:p w14:paraId="67707359">
      <w:pPr>
        <w:spacing w:after="0"/>
        <w:ind w:firstLine="400"/>
        <w:jc w:val="both"/>
        <w:rPr>
          <w:rFonts w:hint="eastAsia" w:ascii="微软雅黑" w:hAnsi="微软雅黑" w:cs="微软雅黑"/>
          <w:sz w:val="21"/>
        </w:rPr>
      </w:pPr>
      <w:r>
        <w:rPr>
          <w:rFonts w:hint="eastAsia" w:ascii="微软雅黑" w:hAnsi="微软雅黑" w:cs="微软雅黑"/>
          <w:sz w:val="21"/>
        </w:rPr>
        <w:t>ATR基因编码的蛋白全长为2644个氨基酸，主要包含UME结构域（1119-1225位氨基酸）、FAT结构域（1771-2092位氨基酸）以及PI3Kc结构域（2323-2633位氨基酸）。</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p.I774Yfs*5</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2864B983">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有研究表明，在人类恶性肿瘤中，ATR或CHEK1发生缺失或突变的频率较低，但有研究报道，在微卫星不稳定性的结直肠癌、子宫内膜癌和散发性胃癌以及乳腺癌中较为常见[27308506]。临床前研究表明，ATR或ATM缺失的细胞系对PARP抑制剂敏感。另研究显示，在转移性尿路上皮癌中，DNA损伤修复（DDR）通路基因突变（包括ATR）与肿瘤突变负荷增加及免疫治疗临床获益相关[29489427]。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789FA783">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FBXW7</w:t>
      </w:r>
      <w:r>
        <w:rPr>
          <w:rFonts w:ascii="微软雅黑" w:hAnsi="微软雅黑" w:cs="微软雅黑"/>
          <w:b/>
          <w:color w:val="FF0000"/>
          <w:sz w:val="24"/>
          <w:u w:val="single"/>
        </w:rPr>
        <w:t>：</w:t>
      </w:r>
      <w:r>
        <w:rPr>
          <w:rFonts w:hint="eastAsia" w:ascii="微软雅黑" w:hAnsi="微软雅黑" w:cs="微软雅黑"/>
          <w:b/>
          <w:color w:val="FF0000"/>
          <w:sz w:val="24"/>
          <w:u w:val="single"/>
        </w:rPr>
        <w:t>c.1393C&gt;T，p.R465C；19.86%</w:t>
      </w:r>
    </w:p>
    <w:p w14:paraId="1FAA5B9D">
      <w:pPr>
        <w:spacing w:after="0"/>
      </w:pPr>
      <w:r>
        <w:rPr>
          <w:rFonts w:ascii="微软雅黑" w:hAnsi="微软雅黑" w:cs="微软雅黑"/>
          <w:b/>
        </w:rPr>
        <w:t>基因简介：</w:t>
      </w:r>
    </w:p>
    <w:p w14:paraId="02965A55">
      <w:pPr>
        <w:spacing w:after="0"/>
        <w:ind w:firstLine="400"/>
        <w:jc w:val="both"/>
        <w:rPr>
          <w:rFonts w:ascii="微软雅黑" w:hAnsi="微软雅黑" w:cs="微软雅黑"/>
          <w:sz w:val="21"/>
        </w:rPr>
      </w:pPr>
      <w:r>
        <w:rPr>
          <w:rFonts w:hint="eastAsia" w:ascii="微软雅黑" w:hAnsi="微软雅黑" w:cs="微软雅黑"/>
          <w:sz w:val="21"/>
        </w:rPr>
        <w:t>FBXW7是重要的肿瘤抑制基因，其编码F-box蛋白，是SCF型泛素连接酶的重要组分，F-box蛋白发挥识别底物的作用。底物大多是促进细胞生长的蛋白，例如NOTCH、c-MYC、mTOR等。FBXW7基因突变与多种人类肿瘤相关，最常见的突变形式是碱基置换引起的错义突变，突变经常发生在F-box蛋白的WD40结构域，该结构域发挥底物识别的作用，错义突变使底物识别过程发生障碍，促进细胞生长的蛋白无法被泛素化，进而导致促生长蛋白的积累以及促进肿瘤的发生[25555218]。</w:t>
      </w:r>
    </w:p>
    <w:p w14:paraId="773B6F66">
      <w:pPr>
        <w:spacing w:after="0"/>
      </w:pPr>
      <w:r>
        <w:rPr>
          <w:rFonts w:ascii="微软雅黑" w:hAnsi="微软雅黑" w:cs="微软雅黑"/>
          <w:b/>
        </w:rPr>
        <w:t>基因变异说明：</w:t>
      </w:r>
    </w:p>
    <w:p w14:paraId="7E3CBA2B">
      <w:pPr>
        <w:spacing w:after="0"/>
        <w:ind w:firstLine="400"/>
        <w:jc w:val="both"/>
        <w:rPr>
          <w:rFonts w:ascii="微软雅黑" w:hAnsi="微软雅黑" w:cs="微软雅黑"/>
          <w:sz w:val="21"/>
        </w:rPr>
      </w:pPr>
      <w:r>
        <w:rPr>
          <w:rFonts w:hint="eastAsia" w:ascii="微软雅黑" w:hAnsi="微软雅黑" w:cs="微软雅黑"/>
          <w:sz w:val="21"/>
        </w:rPr>
        <w:t>该样本检出FBXW7基因c.1393C&gt;T，p.R465C错义突变，第1393位核苷酸由C突变为T，导致相应蛋白序列中第465位氨基酸由精氨酸突变为半胱氨酸，此突变在样本中的突变丰度为19.86%。</w:t>
      </w:r>
    </w:p>
    <w:p w14:paraId="06D51DC1">
      <w:pPr>
        <w:spacing w:after="0"/>
      </w:pPr>
      <w:r>
        <w:rPr>
          <w:rFonts w:ascii="微软雅黑" w:hAnsi="微软雅黑" w:cs="微软雅黑"/>
          <w:b/>
        </w:rPr>
        <w:t xml:space="preserve">基因变异解析： </w:t>
      </w:r>
    </w:p>
    <w:p w14:paraId="003BC319">
      <w:pPr>
        <w:spacing w:after="0"/>
        <w:ind w:firstLine="400"/>
        <w:jc w:val="both"/>
        <w:rPr>
          <w:rFonts w:hint="eastAsia" w:ascii="微软雅黑" w:hAnsi="微软雅黑" w:cs="微软雅黑"/>
          <w:sz w:val="21"/>
        </w:rPr>
      </w:pPr>
      <w:r>
        <w:rPr>
          <w:rFonts w:hint="eastAsia" w:ascii="微软雅黑" w:hAnsi="微软雅黑" w:cs="微软雅黑"/>
          <w:sz w:val="21"/>
        </w:rPr>
        <w:t>FBXW7基因编码的蛋白全长为707个氨基酸，主要包含2个卷曲螺旋结构域（27-56位、95-129位氨基酸）、FBOX结构域（284-324位氨基酸）以及8个WD40结构域。该样本检出的p.R465C突变位于其中1个WD40结构域（450-487位氨基酸），生化实验表明，FBXW7 R465C可与NOTCH1的下游靶标MYC结合，从而可能稳定MYC蛋白并激活下游信号通路[17646409]。</w:t>
      </w:r>
    </w:p>
    <w:p w14:paraId="591E2390">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FBXW7基因是一种肿瘤抑制因子，在人类癌症中发生失活突变，总的突变频率约为6%，其中大约43%的突变发生在两个突变“热点”，即R465和R479，这对底物识别至关重要[17909001，18541364]。多项体外研究显示，携带FBXW7缺失变异的结直肠癌、乳腺癌细胞系对mTOR抑制剂敏感[23558291，18787170]。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182A1C9E">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SMARCA4</w:t>
      </w:r>
      <w:r>
        <w:rPr>
          <w:rFonts w:ascii="微软雅黑" w:hAnsi="微软雅黑" w:cs="微软雅黑"/>
          <w:b/>
          <w:color w:val="FF0000"/>
          <w:sz w:val="24"/>
          <w:u w:val="single"/>
        </w:rPr>
        <w:t>：</w:t>
      </w:r>
      <w:r>
        <w:rPr>
          <w:rFonts w:hint="eastAsia" w:ascii="微软雅黑" w:hAnsi="微软雅黑" w:cs="微软雅黑"/>
          <w:b/>
          <w:color w:val="FF0000"/>
          <w:sz w:val="24"/>
          <w:u w:val="single"/>
        </w:rPr>
        <w:t>c.2644G&gt;A，p.E882K；19.11%</w:t>
      </w:r>
    </w:p>
    <w:p w14:paraId="6617E295">
      <w:pPr>
        <w:spacing w:after="0"/>
      </w:pPr>
      <w:r>
        <w:rPr>
          <w:rFonts w:ascii="微软雅黑" w:hAnsi="微软雅黑" w:cs="微软雅黑"/>
          <w:b/>
        </w:rPr>
        <w:t>基因简介：</w:t>
      </w:r>
    </w:p>
    <w:p w14:paraId="2B143500">
      <w:pPr>
        <w:spacing w:after="0"/>
        <w:ind w:firstLine="400"/>
        <w:jc w:val="both"/>
        <w:rPr>
          <w:rFonts w:ascii="微软雅黑" w:hAnsi="微软雅黑" w:cs="微软雅黑"/>
          <w:sz w:val="21"/>
        </w:rPr>
      </w:pPr>
      <w:r>
        <w:rPr>
          <w:rFonts w:hint="eastAsia" w:ascii="微软雅黑" w:hAnsi="微软雅黑" w:cs="微软雅黑"/>
          <w:sz w:val="21"/>
        </w:rPr>
        <w:t>SMARCA4基因编码的蛋白是SWI/SNF家族的一员，此家族的成员具有解旋酶和ATP酶活性，而且认为其可以通过改变周围基因的染色质结构来调节某些基因的转录。其编码蛋白是形成SNF/SWI复合物的ATP依赖的染色质组成部分。另外，该蛋白还可以结合BRCA1，以及调节致瘤蛋白的CD44的表达。该基因的突变会导致横纹肌样瘤2型综合征。SMARCA4基因在许多种实体瘤中均有突变，但突变率较低，以错义突变为主，其中在膀胱癌、胃腺癌、肺腺癌和低级别神经胶质瘤中，SMARCA4突变率为5-8%。研究表明SMARCA4基因失活突变引起SMARCA4表达缺失，在SWI/SNF染色质重塑复合物中起关键作用[24658004]。</w:t>
      </w:r>
    </w:p>
    <w:p w14:paraId="09BFC135">
      <w:pPr>
        <w:spacing w:after="0"/>
      </w:pPr>
      <w:r>
        <w:rPr>
          <w:rFonts w:ascii="微软雅黑" w:hAnsi="微软雅黑" w:cs="微软雅黑"/>
          <w:b/>
        </w:rPr>
        <w:t>基因变异说明：</w:t>
      </w:r>
    </w:p>
    <w:p w14:paraId="26616078">
      <w:pPr>
        <w:spacing w:after="0"/>
        <w:ind w:firstLine="400"/>
        <w:jc w:val="both"/>
        <w:rPr>
          <w:rFonts w:ascii="微软雅黑" w:hAnsi="微软雅黑" w:cs="微软雅黑"/>
          <w:sz w:val="21"/>
        </w:rPr>
      </w:pPr>
      <w:r>
        <w:rPr>
          <w:rFonts w:hint="eastAsia" w:ascii="微软雅黑" w:hAnsi="微软雅黑" w:cs="微软雅黑"/>
          <w:sz w:val="21"/>
        </w:rPr>
        <w:t>该样本检出SMARCA4基因c.2644G&gt;A，p.E882K错义突变，第2644位核苷酸由G突变为A，导致相应蛋白序列中第882位氨基酸由谷氨酸突变为赖氨酸，此突变在样本中的突变丰度为19.11%。</w:t>
      </w:r>
    </w:p>
    <w:p w14:paraId="1952AD48">
      <w:pPr>
        <w:spacing w:after="0"/>
      </w:pPr>
      <w:r>
        <w:rPr>
          <w:rFonts w:ascii="微软雅黑" w:hAnsi="微软雅黑" w:cs="微软雅黑"/>
          <w:b/>
        </w:rPr>
        <w:t xml:space="preserve">基因变异解析： </w:t>
      </w:r>
    </w:p>
    <w:p w14:paraId="0B0DE6F0">
      <w:pPr>
        <w:spacing w:after="0"/>
        <w:ind w:firstLine="400"/>
        <w:jc w:val="both"/>
        <w:rPr>
          <w:rFonts w:hint="eastAsia" w:ascii="微软雅黑" w:hAnsi="微软雅黑" w:eastAsia="微软雅黑" w:cs="微软雅黑"/>
          <w:sz w:val="21"/>
          <w:lang w:val="en-US" w:eastAsia="zh-CN"/>
        </w:rPr>
      </w:pPr>
      <w:r>
        <w:rPr>
          <w:rFonts w:hint="eastAsia" w:ascii="微软雅黑" w:hAnsi="微软雅黑" w:cs="微软雅黑"/>
          <w:sz w:val="21"/>
        </w:rPr>
        <w:t>SMARCA4基因编码的蛋白全长为1647个氨基酸，主要包含HSA结构域（460-532位氨基酸）、DEXDc结构域（750-942位氨基酸）、HELICc结构域（1110-1194位氨基酸）和BROMO结构域（1455-1566位氨基酸）。</w:t>
      </w:r>
      <w:r>
        <w:rPr>
          <w:rFonts w:hint="eastAsia" w:ascii="微软雅黑" w:hAnsi="微软雅黑" w:cs="微软雅黑"/>
          <w:sz w:val="21"/>
          <w:lang w:val="en-US" w:eastAsia="zh-CN"/>
        </w:rPr>
        <w:t>该样本检出的</w:t>
      </w:r>
      <w:r>
        <w:rPr>
          <w:rFonts w:hint="eastAsia" w:ascii="微软雅黑" w:hAnsi="微软雅黑" w:cs="微软雅黑"/>
          <w:sz w:val="21"/>
        </w:rPr>
        <w:t>p.E882K</w:t>
      </w:r>
      <w:r>
        <w:rPr>
          <w:rFonts w:hint="eastAsia" w:ascii="微软雅黑" w:hAnsi="微软雅黑" w:cs="微软雅黑"/>
          <w:sz w:val="21"/>
          <w:lang w:val="en-US" w:eastAsia="zh-CN"/>
        </w:rPr>
        <w:t>突变位于</w:t>
      </w:r>
      <w:r>
        <w:rPr>
          <w:rFonts w:hint="eastAsia" w:ascii="微软雅黑" w:hAnsi="微软雅黑" w:cs="微软雅黑"/>
          <w:sz w:val="21"/>
        </w:rPr>
        <w:t>DEXDc结构域</w:t>
      </w:r>
      <w:r>
        <w:rPr>
          <w:rFonts w:hint="eastAsia" w:ascii="微软雅黑" w:hAnsi="微软雅黑" w:cs="微软雅黑"/>
          <w:sz w:val="21"/>
          <w:lang w:eastAsia="zh-CN"/>
        </w:rPr>
        <w:t>，</w:t>
      </w:r>
      <w:r>
        <w:rPr>
          <w:rFonts w:hint="eastAsia" w:ascii="微软雅黑" w:hAnsi="微软雅黑" w:cs="微软雅黑"/>
          <w:sz w:val="21"/>
          <w:lang w:val="en-US" w:eastAsia="zh-CN"/>
        </w:rPr>
        <w:t>研究发现，该突变具有失活作用，表现为</w:t>
      </w:r>
      <w:r>
        <w:rPr>
          <w:rFonts w:hint="eastAsia" w:ascii="微软雅黑" w:hAnsi="微软雅黑" w:cs="微软雅黑"/>
          <w:sz w:val="21"/>
          <w:lang w:eastAsia="zh-CN"/>
        </w:rPr>
        <w:t>不能挽救 SMARCA2 的缺失</w:t>
      </w:r>
      <w:r>
        <w:rPr>
          <w:rFonts w:hint="eastAsia" w:ascii="微软雅黑" w:hAnsi="微软雅黑" w:cs="微软雅黑"/>
          <w:sz w:val="21"/>
          <w:lang w:val="en-US" w:eastAsia="zh-CN"/>
        </w:rPr>
        <w:t>[</w:t>
      </w:r>
      <w:r>
        <w:rPr>
          <w:rFonts w:hint="eastAsia" w:ascii="微软雅黑" w:hAnsi="微软雅黑" w:cs="微软雅黑"/>
          <w:sz w:val="21"/>
          <w:lang w:eastAsia="zh-CN"/>
        </w:rPr>
        <w:t>33144586</w:t>
      </w:r>
      <w:r>
        <w:rPr>
          <w:rFonts w:hint="eastAsia" w:ascii="微软雅黑" w:hAnsi="微软雅黑" w:cs="微软雅黑"/>
          <w:sz w:val="21"/>
          <w:lang w:val="en-US" w:eastAsia="zh-CN"/>
        </w:rPr>
        <w:t>]</w:t>
      </w:r>
      <w:r>
        <w:rPr>
          <w:rFonts w:hint="eastAsia" w:ascii="微软雅黑" w:hAnsi="微软雅黑" w:cs="微软雅黑"/>
          <w:sz w:val="21"/>
          <w:lang w:eastAsia="zh-CN"/>
        </w:rPr>
        <w:t>。</w:t>
      </w:r>
    </w:p>
    <w:p w14:paraId="6B8A837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研究表明，SMARCA4基因失活突变引起SMARCA4表达缺失，在SWI/SNF染色质重塑复合物中起关键作用[24658004]。因此，该样本检出的突变可能与疾病的发生发展相关。</w:t>
      </w:r>
    </w:p>
    <w:p w14:paraId="095903C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CREBBP</w:t>
      </w:r>
      <w:r>
        <w:rPr>
          <w:rFonts w:ascii="微软雅黑" w:hAnsi="微软雅黑" w:cs="微软雅黑"/>
          <w:b/>
          <w:color w:val="FF0000"/>
          <w:sz w:val="24"/>
          <w:u w:val="single"/>
        </w:rPr>
        <w:t>：</w:t>
      </w:r>
      <w:r>
        <w:rPr>
          <w:rFonts w:hint="eastAsia" w:ascii="微软雅黑" w:hAnsi="微软雅黑" w:cs="微软雅黑"/>
          <w:b/>
          <w:color w:val="FF0000"/>
          <w:sz w:val="24"/>
          <w:u w:val="single"/>
        </w:rPr>
        <w:t>c.3250del，p.I1084Sfs*15；18.09%</w:t>
      </w:r>
    </w:p>
    <w:p w14:paraId="00B3B842">
      <w:pPr>
        <w:spacing w:after="0"/>
      </w:pPr>
      <w:r>
        <w:rPr>
          <w:rFonts w:ascii="微软雅黑" w:hAnsi="微软雅黑" w:cs="微软雅黑"/>
          <w:b/>
        </w:rPr>
        <w:t>基因简介：</w:t>
      </w:r>
    </w:p>
    <w:p w14:paraId="6E8A256E">
      <w:pPr>
        <w:keepNext w:val="0"/>
        <w:keepLines w:val="0"/>
        <w:pageBreakBefore w:val="0"/>
        <w:widowControl/>
        <w:kinsoku/>
        <w:wordWrap/>
        <w:overflowPunct/>
        <w:topLinePunct w:val="0"/>
        <w:autoSpaceDE/>
        <w:autoSpaceDN/>
        <w:bidi w:val="0"/>
        <w:adjustRightInd w:val="0"/>
        <w:snapToGrid w:val="0"/>
        <w:spacing w:beforeLines="0" w:after="0"/>
        <w:ind w:firstLine="420" w:firstLineChars="200"/>
        <w:jc w:val="both"/>
        <w:textAlignment w:val="auto"/>
        <w:outlineLvl w:val="9"/>
        <w:rPr>
          <w:rFonts w:ascii="微软雅黑" w:hAnsi="微软雅黑" w:cs="微软雅黑"/>
          <w:sz w:val="21"/>
        </w:rPr>
      </w:pPr>
      <w:r>
        <w:rPr>
          <w:rFonts w:hint="eastAsia" w:ascii="微软雅黑" w:hAnsi="微软雅黑" w:cs="Times New Roman"/>
          <w:bCs/>
          <w:color w:val="auto"/>
          <w:kern w:val="2"/>
          <w:sz w:val="21"/>
          <w:szCs w:val="21"/>
          <w:highlight w:val="none"/>
          <w:lang w:val="en-US" w:eastAsia="zh-CN"/>
        </w:rPr>
        <w:t>CREBBP基因编码的蛋白是环AMP应答元件结合蛋白（CBP），广泛表达并参与许多不同转录因子的转录共激活。CREBBP基因在胚胎发育、生长控制和通过染色质重塑与转录因子识别偶联来维持细胞稳态中发挥关键作用[10887150]。CBP蛋白具有组蛋白乙酰转移酶活性，并且能作为稳定一些蛋白与转录复合物的相互作用的支架。CREBBP基因突变损害其组蛋白乙酰化功能和靶基因转录调控功能，与急性淋巴细胞白血病相关[21390130]。CREBBP基因的胚系突变与导致儿童恶性肿瘤的易感性增加Rubinstein-Taybi综合征有关[15156177]。</w:t>
      </w:r>
    </w:p>
    <w:p w14:paraId="1BC44CDE">
      <w:pPr>
        <w:spacing w:after="0"/>
      </w:pPr>
      <w:r>
        <w:rPr>
          <w:rFonts w:ascii="微软雅黑" w:hAnsi="微软雅黑" w:cs="微软雅黑"/>
          <w:b/>
        </w:rPr>
        <w:t>基因变异说明：</w:t>
      </w:r>
    </w:p>
    <w:p w14:paraId="2AFFCE50">
      <w:pPr>
        <w:spacing w:after="0"/>
        <w:ind w:firstLine="400"/>
        <w:jc w:val="both"/>
        <w:rPr>
          <w:rFonts w:ascii="微软雅黑" w:hAnsi="微软雅黑" w:cs="微软雅黑"/>
          <w:sz w:val="21"/>
        </w:rPr>
      </w:pPr>
      <w:r>
        <w:rPr>
          <w:rFonts w:hint="eastAsia" w:ascii="微软雅黑" w:hAnsi="微软雅黑" w:cs="微软雅黑"/>
          <w:sz w:val="21"/>
        </w:rPr>
        <w:t>该样本检出CREBBP基因c.3250del，p.I1084Sfs*15碱基缺失引起的移码突变，第3250位核苷酸缺失，导致相应蛋白序列中第1084位氨基酸由异亮氨酸突变为丝氨酸，并开始发生移码，于此后第15位氨基酸处翻译终止，此突变在样本中的突变丰度为18.09%。</w:t>
      </w:r>
    </w:p>
    <w:p w14:paraId="1559C34F">
      <w:pPr>
        <w:spacing w:after="0"/>
      </w:pPr>
      <w:r>
        <w:rPr>
          <w:rFonts w:ascii="微软雅黑" w:hAnsi="微软雅黑" w:cs="微软雅黑"/>
          <w:b/>
        </w:rPr>
        <w:t xml:space="preserve">基因变异解析： </w:t>
      </w:r>
    </w:p>
    <w:p w14:paraId="29D25A6D">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20" w:firstLineChars="200"/>
        <w:jc w:val="both"/>
        <w:textAlignment w:val="auto"/>
        <w:rPr>
          <w:rFonts w:hint="eastAsia" w:ascii="微软雅黑" w:hAnsi="微软雅黑" w:cs="Times New Roman"/>
          <w:bCs/>
          <w:color w:val="auto"/>
          <w:kern w:val="2"/>
          <w:sz w:val="21"/>
          <w:szCs w:val="21"/>
          <w:highlight w:val="none"/>
          <w:lang w:val="en-US" w:eastAsia="zh-CN"/>
        </w:rPr>
      </w:pPr>
      <w:r>
        <w:rPr>
          <w:rFonts w:hint="eastAsia" w:ascii="微软雅黑" w:hAnsi="微软雅黑" w:cs="Times New Roman"/>
          <w:bCs/>
          <w:color w:val="auto"/>
          <w:kern w:val="2"/>
          <w:sz w:val="21"/>
          <w:szCs w:val="21"/>
          <w:highlight w:val="none"/>
          <w:lang w:val="en-US" w:eastAsia="zh-CN"/>
        </w:rPr>
        <w:t>CREBBP基因编码的蛋白全长为2442个氨基酸，主要包含ZnF_TAZ结构域（348-433位和1766-1844位氨基酸）、KIX结构域（587-667位氨基酸）、BROMO结构域（1084-1194位氨基酸）、KAT11结构域（1342-1648位氨基酸）、ZnF_ZZ结构域（1701-1742位氨基酸）以及Creb_binding结构域（2016-2115位氨基酸）。</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p.I1084Sfs*15</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49D0AB82">
      <w:pPr>
        <w:numPr>
          <w:ilvl w:val="255"/>
          <w:numId w:val="0"/>
        </w:numPr>
        <w:adjustRightInd/>
        <w:snapToGrid/>
        <w:spacing w:after="0"/>
        <w:ind w:firstLine="420" w:firstLineChars="200"/>
        <w:jc w:val="both"/>
        <w:rPr>
          <w:rFonts w:ascii="微软雅黑" w:hAnsi="微软雅黑" w:cs="Arial Unicode MS"/>
          <w:kern w:val="2"/>
          <w:sz w:val="21"/>
          <w:szCs w:val="21"/>
          <w:highlight w:val="none"/>
        </w:rPr>
      </w:pPr>
      <w:r>
        <w:rPr>
          <w:rFonts w:hint="eastAsia" w:ascii="微软雅黑" w:hAnsi="微软雅黑" w:cs="Times New Roman"/>
          <w:bCs/>
          <w:color w:val="auto"/>
          <w:kern w:val="2"/>
          <w:sz w:val="21"/>
          <w:szCs w:val="21"/>
          <w:highlight w:val="none"/>
          <w:lang w:val="en-US" w:eastAsia="zh-CN"/>
        </w:rPr>
        <w:t>有研究表明，CREBBP功能缺失导致组蛋白乙酰化失效并导致BCL6/SMRT/HDAC3复合物在B细胞信号传导和免疫应答的基因的异常转录沉默，无法对抗组蛋白去乙酰化[27733359]。因此，该样本检出的突变可能与疾病的发生发展相关。</w:t>
      </w:r>
    </w:p>
    <w:p w14:paraId="40F82F8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ARID1A</w:t>
      </w:r>
      <w:r>
        <w:rPr>
          <w:rFonts w:ascii="微软雅黑" w:hAnsi="微软雅黑" w:cs="微软雅黑"/>
          <w:b/>
          <w:color w:val="FF0000"/>
          <w:sz w:val="24"/>
          <w:u w:val="single"/>
        </w:rPr>
        <w:t>：</w:t>
      </w:r>
      <w:r>
        <w:rPr>
          <w:rFonts w:hint="eastAsia" w:ascii="微软雅黑" w:hAnsi="微软雅黑" w:cs="微软雅黑"/>
          <w:b/>
          <w:color w:val="FF0000"/>
          <w:sz w:val="24"/>
          <w:u w:val="single"/>
        </w:rPr>
        <w:t>c.1015del，p.A339Lfs*24；17.69%</w:t>
      </w:r>
    </w:p>
    <w:p w14:paraId="5D9BFA31">
      <w:pPr>
        <w:spacing w:after="0"/>
      </w:pPr>
      <w:r>
        <w:rPr>
          <w:rFonts w:ascii="微软雅黑" w:hAnsi="微软雅黑" w:cs="微软雅黑"/>
          <w:b/>
        </w:rPr>
        <w:t>基因简介：</w:t>
      </w:r>
    </w:p>
    <w:p w14:paraId="0CDF3CAC">
      <w:pPr>
        <w:spacing w:after="0"/>
        <w:ind w:firstLine="400"/>
        <w:jc w:val="both"/>
        <w:rPr>
          <w:rFonts w:ascii="微软雅黑" w:hAnsi="微软雅黑" w:cs="微软雅黑"/>
          <w:sz w:val="21"/>
        </w:rPr>
      </w:pPr>
      <w:r>
        <w:rPr>
          <w:rFonts w:hint="eastAsia" w:ascii="微软雅黑" w:hAnsi="微软雅黑" w:cs="微软雅黑"/>
          <w:sz w:val="21"/>
        </w:rPr>
        <w:t>ARID1A是SWI/SNF复合物的亚基之一。SWI/SNF复合物是一种多亚基染色质重塑复合物，与胚胎发育、组织再生、细胞衰老、细胞凋亡和癌症抑制等密切相关。当其亚基功能失调时，局部染色质重塑发生异常，基因表达调节紊乱，从而导致多种疾病如肿瘤的发生。已有研究表明，ARID1A在胃癌、肝细胞癌、乳腺癌、胰腺癌、肺癌、前列腺癌、髓母细胞癌等多种癌症中存在失活突变，可能参与肿瘤的发生与进展。</w:t>
      </w:r>
    </w:p>
    <w:p w14:paraId="024A84D0">
      <w:pPr>
        <w:spacing w:after="0"/>
      </w:pPr>
      <w:r>
        <w:rPr>
          <w:rFonts w:ascii="微软雅黑" w:hAnsi="微软雅黑" w:cs="微软雅黑"/>
          <w:b/>
        </w:rPr>
        <w:t>基因变异说明：</w:t>
      </w:r>
    </w:p>
    <w:p w14:paraId="19184136">
      <w:pPr>
        <w:spacing w:after="0"/>
        <w:ind w:firstLine="400"/>
        <w:jc w:val="both"/>
        <w:rPr>
          <w:rFonts w:ascii="微软雅黑" w:hAnsi="微软雅黑" w:cs="微软雅黑"/>
          <w:sz w:val="21"/>
        </w:rPr>
      </w:pPr>
      <w:r>
        <w:rPr>
          <w:rFonts w:hint="eastAsia" w:ascii="微软雅黑" w:hAnsi="微软雅黑" w:cs="微软雅黑"/>
          <w:sz w:val="21"/>
        </w:rPr>
        <w:t>该样本检出ARID1A基因c.1015del，p.A339Lfs*24碱基缺失引起的移码突变，第1015位核苷酸缺失，导致相应蛋白序列中第339位氨基酸由丙氨酸突变为亮氨酸，并开始发生移码，于此后第24位氨基酸处翻译终止，此突变在样本中的突变丰度为17.69%。</w:t>
      </w:r>
    </w:p>
    <w:p w14:paraId="1D116F79">
      <w:pPr>
        <w:spacing w:after="0"/>
      </w:pPr>
      <w:r>
        <w:rPr>
          <w:rFonts w:ascii="微软雅黑" w:hAnsi="微软雅黑" w:cs="微软雅黑"/>
          <w:b/>
        </w:rPr>
        <w:t xml:space="preserve">基因变异解析： </w:t>
      </w:r>
    </w:p>
    <w:p w14:paraId="6EB343BD">
      <w:pPr>
        <w:spacing w:after="0"/>
        <w:ind w:firstLine="400"/>
        <w:jc w:val="both"/>
        <w:rPr>
          <w:rFonts w:hint="eastAsia" w:ascii="微软雅黑" w:hAnsi="微软雅黑" w:cs="微软雅黑"/>
          <w:sz w:val="21"/>
        </w:rPr>
      </w:pPr>
      <w:r>
        <w:rPr>
          <w:rFonts w:hint="eastAsia" w:ascii="微软雅黑" w:hAnsi="微软雅黑" w:cs="微软雅黑"/>
          <w:sz w:val="21"/>
        </w:rPr>
        <w:t>ARID1A基因编码的蛋白全长为2285个氨基酸，主要包含内部重复序列1结构域（713-786位氨基酸）、内部重复2结构域（876-977和1165-1275位氨基酸）、内部重复3结构域（1272-1354和1448-1523位氨基酸）、BRIGHT结构域（1018-1109位氨基酸）和DUF3518结构域（1975-2231位氨基酸）</w:t>
      </w:r>
      <w:r>
        <w:rPr>
          <w:rFonts w:hint="eastAsia" w:ascii="微软雅黑" w:hAnsi="微软雅黑" w:cs="微软雅黑"/>
          <w:sz w:val="21"/>
          <w:lang w:eastAsia="zh-CN"/>
        </w:rPr>
        <w:t>。</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p.A339Lfs*24</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6C47559D">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有研究表明，ARID1A基因表达缺失发生于胃癌、肝细胞癌、乳腺癌、胰腺癌、肺癌、结直肠癌等多种癌症中，其与错配修复缺陷以及与体细胞超甲基化相关的临床病理学特征显著相关[24925223]。另有研究报道，ARID1A基因无义突变会导致DNA双链断裂的检查点激活和修复受损[26069190]。因此，该样本检出的突变可能与疾病的发生发展相关。</w:t>
      </w:r>
    </w:p>
    <w:p w14:paraId="0C159503">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PTCH1</w:t>
      </w:r>
      <w:r>
        <w:rPr>
          <w:rFonts w:ascii="微软雅黑" w:hAnsi="微软雅黑" w:cs="微软雅黑"/>
          <w:b/>
          <w:color w:val="FF0000"/>
          <w:sz w:val="24"/>
          <w:u w:val="single"/>
        </w:rPr>
        <w:t>：</w:t>
      </w:r>
      <w:r>
        <w:rPr>
          <w:rFonts w:hint="eastAsia" w:ascii="微软雅黑" w:hAnsi="微软雅黑" w:cs="微软雅黑"/>
          <w:b/>
          <w:color w:val="FF0000"/>
          <w:sz w:val="24"/>
          <w:u w:val="single"/>
        </w:rPr>
        <w:t>c.3606del，p.S1203Afs*52；16.79%</w:t>
      </w:r>
    </w:p>
    <w:p w14:paraId="510DA322">
      <w:pPr>
        <w:spacing w:after="0"/>
      </w:pPr>
      <w:r>
        <w:rPr>
          <w:rFonts w:ascii="微软雅黑" w:hAnsi="微软雅黑" w:cs="微软雅黑"/>
          <w:b/>
        </w:rPr>
        <w:t>基因简介：</w:t>
      </w:r>
    </w:p>
    <w:p w14:paraId="6A24ADB0">
      <w:pPr>
        <w:spacing w:after="0"/>
        <w:ind w:firstLine="420" w:firstLineChars="200"/>
        <w:jc w:val="both"/>
        <w:rPr>
          <w:rFonts w:ascii="微软雅黑" w:hAnsi="微软雅黑" w:cs="Arial Unicode MS"/>
          <w:kern w:val="2"/>
          <w:sz w:val="21"/>
          <w:szCs w:val="21"/>
        </w:rPr>
      </w:pPr>
      <w:r>
        <w:rPr>
          <w:rFonts w:hint="eastAsia" w:ascii="微软雅黑" w:hAnsi="微软雅黑" w:cs="微软雅黑"/>
          <w:sz w:val="21"/>
          <w:highlight w:val="none"/>
        </w:rPr>
        <w:t>PTCH1基因编码的蛋白是Hh信号通路的关键蛋白，是一种膜结合型受体，其配体为SHH、IHH和DHH，当PTCH1与其配体结合后，可通过活化SMO（一种膜结合型蛋白）将信号转导至细胞内。该信号通路在胚胎发育中发挥着重要作用，在成人胃部上皮细胞的分化、增殖、胃部疾病中发挥着重要作用[27750091]。Hh信号通路的异常活化可驱动肿瘤的发生以及肿瘤的维持[27554855]。PTCH1是一个肿瘤抑制基因，该基因的失活与肿瘤的形成密切相关。PTCH1突变是痣样基底细胞癌（NBCCS）发生的根本原因，其突变也零星地分布在其它癌症中[16419085]。有研究报道，Hedgehog信号通路失调在胰腺癌的发生中起重要作用，PTCH1基因是Hedgehog信号通路的成分之一，PTCH1失活突变导致Hedgehog信号通路失控而不断激活[14520413，21775419，24368541]。</w:t>
      </w:r>
    </w:p>
    <w:p w14:paraId="276F3F3E">
      <w:pPr>
        <w:spacing w:after="0"/>
      </w:pPr>
      <w:r>
        <w:rPr>
          <w:rFonts w:ascii="微软雅黑" w:hAnsi="微软雅黑" w:cs="微软雅黑"/>
          <w:b/>
        </w:rPr>
        <w:t>基因变异说明：</w:t>
      </w:r>
    </w:p>
    <w:p w14:paraId="6D362331">
      <w:pPr>
        <w:spacing w:after="0"/>
        <w:ind w:firstLine="400"/>
        <w:jc w:val="both"/>
        <w:rPr>
          <w:rFonts w:ascii="微软雅黑" w:hAnsi="微软雅黑" w:cs="微软雅黑"/>
          <w:sz w:val="21"/>
        </w:rPr>
      </w:pPr>
      <w:r>
        <w:rPr>
          <w:rFonts w:hint="eastAsia" w:ascii="微软雅黑" w:hAnsi="微软雅黑" w:cs="微软雅黑"/>
          <w:sz w:val="21"/>
        </w:rPr>
        <w:t>该样本检出PTCH1基因c.3606del，p.S1203Afs*52碱基缺失引起的移码突变，第3606位核苷酸缺失，导致相应蛋白序列中第1203位氨基酸由丝氨酸突变为丙氨酸，并开始发生移码，于此后第52位氨基酸处翻译终止，此突变在样本中的突变丰度为16.79%。</w:t>
      </w:r>
    </w:p>
    <w:p w14:paraId="14DA68D6">
      <w:pPr>
        <w:spacing w:after="0"/>
      </w:pPr>
      <w:r>
        <w:rPr>
          <w:rFonts w:ascii="微软雅黑" w:hAnsi="微软雅黑" w:cs="微软雅黑"/>
          <w:b/>
        </w:rPr>
        <w:t xml:space="preserve">基因变异解析： </w:t>
      </w:r>
    </w:p>
    <w:p w14:paraId="2B0C9A7B">
      <w:pPr>
        <w:spacing w:after="0"/>
        <w:ind w:firstLine="420" w:firstLineChars="200"/>
        <w:jc w:val="both"/>
        <w:rPr>
          <w:rFonts w:hint="eastAsia" w:ascii="微软雅黑" w:hAnsi="微软雅黑" w:cs="微软雅黑"/>
          <w:sz w:val="21"/>
          <w:highlight w:val="none"/>
        </w:rPr>
      </w:pPr>
      <w:r>
        <w:rPr>
          <w:rFonts w:hint="eastAsia" w:ascii="微软雅黑" w:hAnsi="微软雅黑" w:cs="微软雅黑"/>
          <w:sz w:val="21"/>
          <w:highlight w:val="none"/>
        </w:rPr>
        <w:t>PTCH1基因编码的蛋白全长为1447个氨基酸，主要包含Sterol-sensing结构域（461-616位氨基酸）和Patched结构域（362-1180位氨基酸）。</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p.S1203Afs*52</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2EBCFCA8">
      <w:pPr>
        <w:spacing w:after="0"/>
        <w:ind w:firstLine="420" w:firstLineChars="200"/>
        <w:jc w:val="both"/>
        <w:rPr>
          <w:rFonts w:hint="eastAsia" w:ascii="微软雅黑" w:hAnsi="微软雅黑" w:cs="微软雅黑"/>
          <w:sz w:val="21"/>
          <w:highlight w:val="none"/>
        </w:rPr>
      </w:pPr>
      <w:r>
        <w:rPr>
          <w:rFonts w:hint="eastAsia" w:ascii="微软雅黑" w:hAnsi="微软雅黑" w:cs="微软雅黑"/>
          <w:sz w:val="21"/>
          <w:highlight w:val="none"/>
        </w:rPr>
        <w:t>有研究报道，Hedgehog信号通路失调在胰腺癌的发生中起重要作用，PTCH1基因是Hedgehog信号通路的成分之一，PTCH1失活突变导致Hedgehog信号通路失控而不断激活[14520413，21775419，24368541]。因此，该样本检出的突变可能与疾病的发生发展相关。</w:t>
      </w:r>
    </w:p>
    <w:p w14:paraId="6131EF6C">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c.817C&gt;T，p.R273C；16.35%</w:t>
      </w:r>
    </w:p>
    <w:p w14:paraId="7C942071">
      <w:pPr>
        <w:spacing w:after="0"/>
      </w:pPr>
      <w:r>
        <w:rPr>
          <w:rFonts w:ascii="微软雅黑" w:hAnsi="微软雅黑" w:cs="微软雅黑"/>
          <w:b/>
        </w:rPr>
        <w:t>基因简介：</w:t>
      </w:r>
    </w:p>
    <w:p w14:paraId="1198306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2A85244D">
      <w:pPr>
        <w:spacing w:after="0"/>
      </w:pPr>
      <w:r>
        <w:rPr>
          <w:rFonts w:ascii="微软雅黑" w:hAnsi="微软雅黑" w:cs="微软雅黑"/>
          <w:b/>
        </w:rPr>
        <w:t>基因变异说明：</w:t>
      </w:r>
    </w:p>
    <w:p w14:paraId="7FDD49C5">
      <w:pPr>
        <w:spacing w:after="0"/>
        <w:ind w:firstLine="400"/>
        <w:jc w:val="both"/>
        <w:rPr>
          <w:rFonts w:ascii="微软雅黑" w:hAnsi="微软雅黑" w:cs="微软雅黑"/>
          <w:sz w:val="21"/>
        </w:rPr>
      </w:pPr>
      <w:r>
        <w:rPr>
          <w:rFonts w:hint="eastAsia" w:ascii="微软雅黑" w:hAnsi="微软雅黑" w:cs="微软雅黑"/>
          <w:sz w:val="21"/>
        </w:rPr>
        <w:t>该样本检出TP53基因c.817C&gt;T，p.R273C错义突变，第817位核苷酸由C突变为T，导致相应蛋白序列中第273位氨基酸由精氨酸突变为半胱氨酸，此突变在样本中的突变丰度为16.35%。</w:t>
      </w:r>
    </w:p>
    <w:p w14:paraId="5092F64D">
      <w:pPr>
        <w:spacing w:after="0"/>
      </w:pPr>
      <w:r>
        <w:rPr>
          <w:rFonts w:ascii="微软雅黑" w:hAnsi="微软雅黑" w:cs="微软雅黑"/>
          <w:b/>
        </w:rPr>
        <w:t xml:space="preserve">基因变异解析： </w:t>
      </w:r>
    </w:p>
    <w:p w14:paraId="2B177D59">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该样本检出的p.R273C突变位于DNA结合结构域，该突变导致野生型TP53靶基因活化降低，基因表达异常活化，促进细胞增殖和迁移[23264849，23612969，16861262]。</w:t>
      </w:r>
    </w:p>
    <w:p w14:paraId="52CBC091">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p>
    <w:p w14:paraId="59AE7D32">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TSC1</w:t>
      </w:r>
      <w:r>
        <w:rPr>
          <w:rFonts w:ascii="微软雅黑" w:hAnsi="微软雅黑" w:cs="微软雅黑"/>
          <w:b/>
          <w:color w:val="FF0000"/>
          <w:sz w:val="24"/>
          <w:u w:val="single"/>
        </w:rPr>
        <w:t>：</w:t>
      </w:r>
      <w:r>
        <w:rPr>
          <w:rFonts w:hint="eastAsia" w:ascii="微软雅黑" w:hAnsi="微软雅黑" w:cs="微软雅黑"/>
          <w:b/>
          <w:color w:val="FF0000"/>
          <w:sz w:val="24"/>
          <w:u w:val="single"/>
        </w:rPr>
        <w:t>c.381_383del，p.V128del；13.94%</w:t>
      </w:r>
    </w:p>
    <w:p w14:paraId="26BFFC97">
      <w:pPr>
        <w:spacing w:after="0"/>
      </w:pPr>
      <w:r>
        <w:rPr>
          <w:rFonts w:ascii="微软雅黑" w:hAnsi="微软雅黑" w:cs="微软雅黑"/>
          <w:b/>
        </w:rPr>
        <w:t>基因简介：</w:t>
      </w:r>
    </w:p>
    <w:p w14:paraId="6DA2DDB4">
      <w:pPr>
        <w:pBdr>
          <w:top w:val="none" w:color="auto" w:sz="0" w:space="0"/>
          <w:left w:val="none" w:color="auto" w:sz="0" w:space="0"/>
          <w:bottom w:val="none" w:color="auto" w:sz="0" w:space="0"/>
          <w:right w:val="none" w:color="auto" w:sz="0" w:space="0"/>
        </w:pBdr>
        <w:shd w:val="clear" w:color="auto" w:fill="auto"/>
        <w:spacing w:beforeLines="0" w:after="0"/>
        <w:ind w:firstLine="420" w:firstLineChars="200"/>
        <w:jc w:val="both"/>
        <w:rPr>
          <w:rFonts w:ascii="微软雅黑" w:hAnsi="微软雅黑" w:cs="微软雅黑"/>
          <w:sz w:val="21"/>
        </w:rPr>
      </w:pPr>
      <w:r>
        <w:rPr>
          <w:rFonts w:hint="eastAsia" w:ascii="微软雅黑" w:hAnsi="微软雅黑" w:eastAsia="微软雅黑" w:cs="微软雅黑"/>
          <w:sz w:val="21"/>
        </w:rPr>
        <w:t>TSC1基因是一种肿瘤抑制基因，位于 PI3K-AKT-mTOR 信号通路，其编码的 TSC 蛋白能够刺激特异性的GTP酶，形成的 TSC1/TSC2 复合物可以抑制 mTOR 的刺激蛋白，因而起到肿瘤抑制的作用，在调节细胞生长和增殖的信号通路中被认为起核心作用。在结节性硬化症患者中的研究表明，抑癌基因TSC1或TSC2的突变将导致PI3K/PTEN-AKT-mTOR信号通路的异常，进而影响机体细胞的正常生命活动，导致疾病的发生。TSC1基因突变也在膀胱癌、乳腺癌等多种癌症中发现[19789314，20658316]。</w:t>
      </w:r>
    </w:p>
    <w:p w14:paraId="30240C85">
      <w:pPr>
        <w:spacing w:after="0"/>
      </w:pPr>
      <w:r>
        <w:rPr>
          <w:rFonts w:ascii="微软雅黑" w:hAnsi="微软雅黑" w:cs="微软雅黑"/>
          <w:b/>
        </w:rPr>
        <w:t>基因变异说明：</w:t>
      </w:r>
    </w:p>
    <w:p w14:paraId="7BDD2E6A">
      <w:pPr>
        <w:spacing w:after="0"/>
        <w:ind w:firstLine="400"/>
        <w:jc w:val="both"/>
        <w:rPr>
          <w:rFonts w:ascii="微软雅黑" w:hAnsi="微软雅黑" w:cs="微软雅黑"/>
          <w:sz w:val="21"/>
        </w:rPr>
      </w:pPr>
      <w:r>
        <w:rPr>
          <w:rFonts w:hint="eastAsia" w:ascii="微软雅黑" w:hAnsi="微软雅黑" w:cs="微软雅黑"/>
          <w:sz w:val="21"/>
        </w:rPr>
        <w:t>该样本检出TSC1基因c.381_383del，p.V128del缺失突变，第381位至第383位核苷酸缺失，导致相应蛋白序列中第128位缬氨酸缺失，此突变在样本中的突变丰度为13.94%。</w:t>
      </w:r>
    </w:p>
    <w:p w14:paraId="16426125">
      <w:pPr>
        <w:spacing w:after="0"/>
      </w:pPr>
      <w:r>
        <w:rPr>
          <w:rFonts w:ascii="微软雅黑" w:hAnsi="微软雅黑" w:cs="微软雅黑"/>
          <w:b/>
        </w:rPr>
        <w:t xml:space="preserve">基因变异解析： </w:t>
      </w:r>
    </w:p>
    <w:p w14:paraId="540ED211">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highlight w:val="none"/>
        </w:rPr>
        <w:t>TSC1基因编码的蛋白</w:t>
      </w:r>
      <w:r>
        <w:rPr>
          <w:rFonts w:hint="eastAsia" w:ascii="微软雅黑" w:hAnsi="微软雅黑" w:cs="微软雅黑"/>
          <w:sz w:val="21"/>
          <w:highlight w:val="none"/>
          <w:lang w:eastAsia="zh-CN"/>
        </w:rPr>
        <w:t>全长为</w:t>
      </w:r>
      <w:r>
        <w:rPr>
          <w:rFonts w:hint="eastAsia" w:ascii="微软雅黑" w:hAnsi="微软雅黑" w:cs="微软雅黑"/>
          <w:sz w:val="21"/>
          <w:highlight w:val="none"/>
          <w:lang w:val="en-US" w:eastAsia="zh-CN"/>
        </w:rPr>
        <w:t>1164个氨基酸，</w:t>
      </w:r>
      <w:r>
        <w:rPr>
          <w:rFonts w:hint="eastAsia" w:ascii="微软雅黑" w:hAnsi="微软雅黑" w:eastAsia="微软雅黑" w:cs="微软雅黑"/>
          <w:sz w:val="21"/>
          <w:highlight w:val="none"/>
        </w:rPr>
        <w:t>主要包含Hamartin结构域（2-719位氨基酸）。该样本检出的</w:t>
      </w:r>
      <w:r>
        <w:rPr>
          <w:rFonts w:hint="eastAsia" w:ascii="微软雅黑" w:hAnsi="微软雅黑" w:cs="微软雅黑"/>
          <w:sz w:val="21"/>
        </w:rPr>
        <w:t>p.V128del</w:t>
      </w:r>
      <w:r>
        <w:rPr>
          <w:rFonts w:hint="eastAsia" w:ascii="微软雅黑" w:hAnsi="微软雅黑" w:cs="微软雅黑"/>
          <w:sz w:val="21"/>
          <w:lang w:val="en-US" w:eastAsia="zh-CN"/>
        </w:rPr>
        <w:t>突变位于上述结构域内，研究发现，与野生型相比，转染了TSC1 V128del突变的细胞显示出TSC1蛋白水平的下降，对mTOR通路的抑制效率较低[18830229]</w:t>
      </w:r>
      <w:r>
        <w:rPr>
          <w:rFonts w:hint="eastAsia" w:ascii="微软雅黑" w:hAnsi="微软雅黑" w:cs="微软雅黑"/>
          <w:sz w:val="21"/>
          <w:highlight w:val="none"/>
          <w:lang w:eastAsia="zh-CN"/>
        </w:rPr>
        <w:t>。</w:t>
      </w:r>
    </w:p>
    <w:p w14:paraId="3D1A0E02">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TSC1或TSC2的突变将导致PI3K/PTEN-AKT-mTOR信号通路的异常，进而影响机体细胞的正常生命活动，导致疾病的发生。</w:t>
      </w:r>
      <w:r>
        <w:rPr>
          <w:rFonts w:ascii="微软雅黑" w:hAnsi="微软雅黑" w:eastAsia="微软雅黑" w:cs="微软雅黑"/>
          <w:sz w:val="21"/>
        </w:rPr>
        <w:t>有研究表明，TSC1基因的单核苷酸多态性与结直肠癌的预后相关[24770722]。</w:t>
      </w:r>
      <w:r>
        <w:rPr>
          <w:rFonts w:ascii="微软雅黑" w:hAnsi="微软雅黑" w:eastAsia="微软雅黑" w:cs="微软雅黑"/>
          <w:sz w:val="21"/>
          <w:highlight w:val="none"/>
        </w:rPr>
        <w:t>因此</w:t>
      </w:r>
      <w:r>
        <w:rPr>
          <w:rFonts w:ascii="微软雅黑" w:hAnsi="微软雅黑" w:eastAsia="微软雅黑" w:cs="微软雅黑"/>
          <w:sz w:val="21"/>
        </w:rPr>
        <w:t>，该样本检出的突变可能与疾病的发生发展相关</w:t>
      </w:r>
      <w:r>
        <w:rPr>
          <w:rFonts w:hint="eastAsia" w:ascii="微软雅黑" w:hAnsi="微软雅黑" w:eastAsia="微软雅黑" w:cs="微软雅黑"/>
          <w:sz w:val="21"/>
        </w:rPr>
        <w:t>。</w:t>
      </w:r>
    </w:p>
    <w:p w14:paraId="4F00FF6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c.7143del，p.S2382Lfs*29；13.33%</w:t>
      </w:r>
    </w:p>
    <w:p w14:paraId="1BC1AAF4">
      <w:pPr>
        <w:spacing w:after="0"/>
      </w:pPr>
      <w:r>
        <w:rPr>
          <w:rFonts w:ascii="微软雅黑" w:hAnsi="微软雅黑" w:cs="微软雅黑"/>
          <w:b/>
        </w:rPr>
        <w:t>基因简介：</w:t>
      </w:r>
    </w:p>
    <w:p w14:paraId="6060CF5F">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2D413EAA">
      <w:pPr>
        <w:spacing w:after="0"/>
        <w:ind w:firstLine="420" w:firstLineChars="200"/>
        <w:jc w:val="both"/>
        <w:outlineLvl w:val="9"/>
        <w:rPr>
          <w:rFonts w:hint="eastAsia" w:ascii="微软雅黑" w:hAnsi="微软雅黑" w:cs="Arial Unicode MS"/>
          <w:kern w:val="2"/>
          <w:sz w:val="21"/>
          <w:szCs w:val="21"/>
        </w:rPr>
      </w:pPr>
    </w:p>
    <w:p w14:paraId="59D2373F">
      <w:pPr>
        <w:spacing w:after="0"/>
        <w:ind w:firstLine="420" w:firstLineChars="200"/>
        <w:jc w:val="both"/>
        <w:outlineLvl w:val="9"/>
        <w:rPr>
          <w:rFonts w:hint="eastAsia" w:ascii="微软雅黑" w:hAnsi="微软雅黑" w:cs="Arial Unicode MS"/>
          <w:kern w:val="2"/>
          <w:sz w:val="21"/>
          <w:szCs w:val="21"/>
        </w:rPr>
      </w:pPr>
    </w:p>
    <w:p w14:paraId="66675C04">
      <w:pPr>
        <w:spacing w:after="0"/>
      </w:pPr>
      <w:r>
        <w:rPr>
          <w:rFonts w:ascii="微软雅黑" w:hAnsi="微软雅黑" w:cs="微软雅黑"/>
          <w:b/>
        </w:rPr>
        <w:t>基因变异说明：</w:t>
      </w:r>
    </w:p>
    <w:p w14:paraId="24CF70A6">
      <w:pPr>
        <w:spacing w:after="0"/>
        <w:ind w:firstLine="400"/>
        <w:jc w:val="both"/>
        <w:rPr>
          <w:rFonts w:ascii="微软雅黑" w:hAnsi="微软雅黑" w:cs="微软雅黑"/>
          <w:sz w:val="21"/>
        </w:rPr>
      </w:pPr>
      <w:r>
        <w:rPr>
          <w:rFonts w:hint="eastAsia" w:ascii="微软雅黑" w:hAnsi="微软雅黑" w:cs="微软雅黑"/>
          <w:sz w:val="21"/>
        </w:rPr>
        <w:t>该样本检出SETD2基因c.7143del，p.S2382Lfs*29碱基缺失引起的移码突变，第7143位核苷酸缺失，导致相应蛋白序列中第2382位氨基酸由丝氨酸突变为亮氨酸，并开始发生移码，于此后第29位氨基酸处翻译终止，此突变在样本中的突变丰度为13.33%。</w:t>
      </w:r>
    </w:p>
    <w:p w14:paraId="036AB973">
      <w:pPr>
        <w:spacing w:after="0"/>
      </w:pPr>
      <w:r>
        <w:rPr>
          <w:rFonts w:ascii="微软雅黑" w:hAnsi="微软雅黑" w:cs="微软雅黑"/>
          <w:b/>
        </w:rPr>
        <w:t xml:space="preserve">基因变异解析： </w:t>
      </w:r>
    </w:p>
    <w:p w14:paraId="748FE689">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p.S2382Lfs*29</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12F0856A">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63A2ED09">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PTEN</w:t>
      </w:r>
      <w:r>
        <w:rPr>
          <w:rFonts w:ascii="微软雅黑" w:hAnsi="微软雅黑" w:cs="微软雅黑"/>
          <w:b/>
          <w:color w:val="FF0000"/>
          <w:sz w:val="24"/>
          <w:u w:val="single"/>
        </w:rPr>
        <w:t>：</w:t>
      </w:r>
      <w:r>
        <w:rPr>
          <w:rFonts w:hint="eastAsia" w:ascii="微软雅黑" w:hAnsi="微软雅黑" w:cs="微软雅黑"/>
          <w:b/>
          <w:color w:val="FF0000"/>
          <w:sz w:val="24"/>
          <w:u w:val="single"/>
        </w:rPr>
        <w:t>c.697C&gt;T，p.R233*；0.54%</w:t>
      </w:r>
    </w:p>
    <w:p w14:paraId="5784D866">
      <w:pPr>
        <w:spacing w:after="0"/>
      </w:pPr>
      <w:r>
        <w:rPr>
          <w:rFonts w:ascii="微软雅黑" w:hAnsi="微软雅黑" w:cs="微软雅黑"/>
          <w:b/>
        </w:rPr>
        <w:t>基因简介：</w:t>
      </w:r>
    </w:p>
    <w:p w14:paraId="45CE786F">
      <w:pPr>
        <w:spacing w:after="0"/>
        <w:ind w:firstLine="400"/>
        <w:jc w:val="both"/>
        <w:rPr>
          <w:rFonts w:ascii="微软雅黑" w:hAnsi="微软雅黑" w:cs="微软雅黑"/>
          <w:sz w:val="21"/>
        </w:rPr>
      </w:pPr>
      <w:r>
        <w:rPr>
          <w:rFonts w:hint="eastAsia" w:ascii="微软雅黑" w:hAnsi="微软雅黑" w:cs="微软雅黑"/>
          <w:sz w:val="21"/>
        </w:rPr>
        <w:t>PTEN基因是具有磷酸酶活性的抑癌基因，编码磷脂酰肌醇-3，4，5-三磷酸酯3-磷酸酶，包含一个张力蛋白样结构域和一个催化结构域，类似于双重特异性的蛋白酪氨酸磷酸酶。然而，与多数酪氨酸磷酸酶不同，该蛋白优先将磷酸肌醇底物去磷酸化[NCBI]。PTEN能够负调节细胞内磷脂酰肌醇-3，4，5-三磷酸（PIP3）的水平，即从PIP3上转移特异的磷酸基团，使PIP2向PIP3的转化发生逆转，从而抑制PI3K的磷酸化作用[14557489，15843377]。此外，PTEN参与负调节PI3K/AKT信号途径，抑制FAK/PI30C和MAPK信号通路等。PTEN还与P53通路相互作用，当细胞损伤或存在突变时，p53能诱导PTEN表达，PTEN又能增进p53蛋白稳定性，促进细胞凋亡[15843377，19221500]。PTEN在多种肿瘤中发生高频率突变或缺失[NCBI]。研究证明，PTEN功能异常会造成PI3K/AKT通路活化，而活化的AKT可通过催化一系列蛋白质磷酸化促进肿瘤细胞的生长、增殖、侵袭和转移，抑制肿瘤细胞凋亡，调控血管生成等[17604717，18288938]。</w:t>
      </w:r>
    </w:p>
    <w:p w14:paraId="61484030">
      <w:pPr>
        <w:spacing w:after="0"/>
      </w:pPr>
      <w:r>
        <w:rPr>
          <w:rFonts w:ascii="微软雅黑" w:hAnsi="微软雅黑" w:cs="微软雅黑"/>
          <w:b/>
        </w:rPr>
        <w:t>基因变异说明：</w:t>
      </w:r>
    </w:p>
    <w:p w14:paraId="4A6D8292">
      <w:pPr>
        <w:spacing w:after="0"/>
        <w:ind w:firstLine="400"/>
        <w:jc w:val="both"/>
        <w:rPr>
          <w:rFonts w:ascii="微软雅黑" w:hAnsi="微软雅黑" w:cs="微软雅黑"/>
          <w:sz w:val="21"/>
        </w:rPr>
      </w:pPr>
      <w:r>
        <w:rPr>
          <w:rFonts w:hint="eastAsia" w:ascii="微软雅黑" w:hAnsi="微软雅黑" w:cs="微软雅黑"/>
          <w:sz w:val="21"/>
        </w:rPr>
        <w:t>该样本检出PTEN基因c.697C&gt;T，p.R233*无义突变，第697位核苷酸由C突变为T，导致相应蛋白序列中第233位氨基酸由精氨酸突变为终止密码子，此突变在样本中的突变丰度为0.54%。</w:t>
      </w:r>
    </w:p>
    <w:p w14:paraId="2F2899DC">
      <w:pPr>
        <w:spacing w:after="0"/>
      </w:pPr>
      <w:r>
        <w:rPr>
          <w:rFonts w:ascii="微软雅黑" w:hAnsi="微软雅黑" w:cs="微软雅黑"/>
          <w:b/>
        </w:rPr>
        <w:t xml:space="preserve">基因变异解析： </w:t>
      </w:r>
    </w:p>
    <w:p w14:paraId="00FEFB04">
      <w:pPr>
        <w:spacing w:after="0"/>
        <w:ind w:firstLine="400"/>
        <w:jc w:val="both"/>
        <w:rPr>
          <w:rFonts w:hint="eastAsia" w:ascii="微软雅黑" w:hAnsi="微软雅黑" w:cs="微软雅黑"/>
          <w:sz w:val="21"/>
        </w:rPr>
      </w:pPr>
      <w:r>
        <w:rPr>
          <w:rFonts w:hint="eastAsia" w:ascii="微软雅黑" w:hAnsi="微软雅黑" w:cs="微软雅黑"/>
          <w:sz w:val="21"/>
        </w:rPr>
        <w:t>PTEN基因编码具有蛋白磷酸酶活性和脂质磷酸酶活性的双重特异性磷酸酶。该蛋白含有403个氨基酸残基，包括氨基端磷酸酶张力蛋白型结构域（47-175位氨基酸）、C2结构域（188-349位氨基酸残基）以及羧基端区域。</w:t>
      </w:r>
      <w:r>
        <w:rPr>
          <w:rFonts w:hint="eastAsia" w:ascii="微软雅黑" w:hAnsi="微软雅黑" w:cs="Arial Unicode MS"/>
          <w:bCs/>
          <w:color w:val="auto"/>
          <w:kern w:val="2"/>
          <w:sz w:val="21"/>
          <w:szCs w:val="21"/>
          <w:lang w:val="en-US" w:eastAsia="zh-CN"/>
        </w:rPr>
        <w:t>该样本检出的</w:t>
      </w:r>
      <w:r>
        <w:rPr>
          <w:rFonts w:hint="eastAsia" w:ascii="微软雅黑" w:hAnsi="微软雅黑" w:cs="微软雅黑"/>
          <w:sz w:val="21"/>
        </w:rPr>
        <w:t>p.R233*</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p>
    <w:p w14:paraId="4691C959">
      <w:pPr>
        <w:spacing w:after="0"/>
        <w:ind w:firstLine="400"/>
        <w:jc w:val="both"/>
        <w:rPr>
          <w:rFonts w:ascii="Wingdings" w:hAnsi="Wingdings" w:eastAsia="Wingdings" w:cs="Wingdings"/>
          <w:sz w:val="24"/>
        </w:rPr>
      </w:pPr>
      <w:r>
        <w:rPr>
          <w:rFonts w:hint="eastAsia" w:ascii="微软雅黑" w:hAnsi="微软雅黑" w:cs="微软雅黑"/>
          <w:sz w:val="21"/>
        </w:rPr>
        <w:t>PTEN基因的突变与许多癌症的发生发展相关[19437103]。在结直肠癌中的研究显示，PTEN表达缺失的患者存活率低于PTEN正常表达的患者，表明PTEN表达缺失可能有助于结直肠癌的生长、侵袭和转移，可作为预后不良的生物标志物[26787105]。因此，该样本检出的突变可能与疾病的发生发展相关。</w:t>
      </w:r>
    </w:p>
    <w:p w14:paraId="617B8950">
      <w:pPr>
        <w:spacing w:before="0" w:after="0"/>
        <w:ind w:firstLine="420" w:firstLineChars="200"/>
        <w:jc w:val="both"/>
        <w:outlineLvl w:val="9"/>
        <w:rPr>
          <w:rFonts w:hint="eastAsia" w:ascii="微软雅黑" w:hAnsi="微软雅黑" w:cs="Arial Unicode MS"/>
          <w:bCs/>
          <w:kern w:val="2"/>
          <w:sz w:val="21"/>
          <w:szCs w:val="21"/>
          <w:lang w:val="en-US" w:eastAsia="zh-CN"/>
        </w:rPr>
      </w:pPr>
    </w:p>
    <w:p w14:paraId="39E55578">
      <w:pPr>
        <w:spacing w:before="0" w:after="0"/>
        <w:ind w:firstLine="420" w:firstLineChars="200"/>
        <w:jc w:val="both"/>
        <w:outlineLvl w:val="9"/>
        <w:rPr>
          <w:rFonts w:hint="eastAsia" w:ascii="微软雅黑" w:hAnsi="微软雅黑" w:cs="Arial Unicode MS"/>
          <w:bCs/>
          <w:kern w:val="2"/>
          <w:sz w:val="21"/>
          <w:szCs w:val="21"/>
          <w:lang w:val="en-US" w:eastAsia="zh-CN"/>
        </w:rPr>
      </w:pPr>
    </w:p>
    <w:p w14:paraId="10D9484B">
      <w:pPr>
        <w:numPr>
          <w:ilvl w:val="-1"/>
          <w:numId w:val="0"/>
        </w:numPr>
        <w:adjustRightInd/>
        <w:snapToGrid/>
        <w:spacing w:after="0"/>
        <w:ind w:firstLine="0" w:firstLineChars="0"/>
        <w:jc w:val="left"/>
        <w:rPr>
          <w:rFonts w:hint="eastAsia" w:ascii="微软雅黑" w:hAnsi="微软雅黑" w:eastAsia="微软雅黑" w:cs="微软雅黑"/>
          <w:color w:val="auto"/>
          <w:sz w:val="21"/>
          <w:highlight w:val="none"/>
        </w:rPr>
      </w:pPr>
    </w:p>
    <w:p w14:paraId="71FCF989">
      <w:pPr>
        <w:numPr>
          <w:ilvl w:val="0"/>
          <w:numId w:val="9"/>
        </w:numPr>
        <w:spacing w:after="0"/>
        <w:jc w:val="both"/>
        <w:rPr>
          <w:rFonts w:ascii="微软雅黑" w:hAnsi="微软雅黑"/>
          <w:b/>
          <w:sz w:val="24"/>
          <w:szCs w:val="24"/>
        </w:rPr>
      </w:pPr>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758FF5DC">
      <w:pPr>
        <w:numPr>
          <w:ilvl w:val="1"/>
          <w:numId w:val="9"/>
        </w:numPr>
        <w:spacing w:before="200"/>
        <w:outlineLvl w:val="3"/>
        <w:rPr>
          <w:rFonts w:ascii="微软雅黑" w:hAnsi="微软雅黑"/>
          <w:b/>
          <w:sz w:val="24"/>
          <w:szCs w:val="24"/>
        </w:rPr>
      </w:pPr>
      <w:bookmarkStart w:id="196"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96"/>
      <w:bookmarkStart w:id="197" w:name="AZD1775bao"/>
      <w:bookmarkStart w:id="198" w:name="奥拉帕尼（Olaparib）lan"/>
      <w:bookmarkStart w:id="199" w:name="色瑞替尼（Ceritinib）"/>
      <w:bookmarkStart w:id="200" w:name="AZD1775恩"/>
      <w:bookmarkStart w:id="201" w:name="OLE_LINK11"/>
      <w:bookmarkStart w:id="202" w:name="Dinaciclib恩"/>
      <w:bookmarkStart w:id="203" w:name="色瑞替尼友10"/>
    </w:p>
    <w:p w14:paraId="4C727C0A">
      <w:pPr>
        <w:keepNext w:val="0"/>
        <w:keepLines w:val="0"/>
        <w:pageBreakBefore w:val="0"/>
        <w:numPr>
          <w:ilvl w:val="0"/>
          <w:numId w:val="11"/>
        </w:numPr>
        <w:kinsoku/>
        <w:wordWrap/>
        <w:overflowPunct/>
        <w:topLinePunct w:val="0"/>
        <w:bidi w:val="0"/>
        <w:spacing w:before="200"/>
        <w:outlineLvl w:val="9"/>
        <w:rPr>
          <w:rStyle w:val="21"/>
          <w:rFonts w:ascii="微软雅黑" w:hAnsi="微软雅黑" w:cs="微软雅黑"/>
          <w:b/>
          <w:bCs/>
          <w:color w:val="FF0000"/>
          <w:sz w:val="24"/>
          <w:szCs w:val="24"/>
          <w:u w:val="none"/>
        </w:rPr>
      </w:pPr>
      <w:r>
        <w:rPr>
          <w:rStyle w:val="21"/>
          <w:rFonts w:hint="eastAsia" w:ascii="微软雅黑" w:hAnsi="微软雅黑" w:cs="微软雅黑"/>
          <w:b/>
          <w:bCs/>
          <w:color w:val="FF0000"/>
          <w:sz w:val="24"/>
          <w:szCs w:val="24"/>
          <w:u w:val="none"/>
        </w:rPr>
        <w:t>KRAS/NRAS/BRAF未突变相应靶向药物</w:t>
      </w:r>
    </w:p>
    <w:p w14:paraId="333901EE">
      <w:pPr>
        <w:keepNext w:val="0"/>
        <w:keepLines w:val="0"/>
        <w:pageBreakBefore w:val="0"/>
        <w:numPr>
          <w:ilvl w:val="0"/>
          <w:numId w:val="12"/>
        </w:numPr>
        <w:kinsoku/>
        <w:wordWrap/>
        <w:overflowPunct/>
        <w:topLinePunct w:val="0"/>
        <w:bidi w:val="0"/>
        <w:outlineLvl w:val="9"/>
        <w:rPr>
          <w:rFonts w:ascii="微软雅黑" w:hAnsi="微软雅黑" w:cs="微软雅黑"/>
          <w:b/>
          <w:bCs/>
          <w:sz w:val="24"/>
          <w:szCs w:val="24"/>
        </w:rPr>
      </w:pPr>
      <w:r>
        <w:rPr>
          <w:rFonts w:hint="eastAsia" w:ascii="微软雅黑" w:hAnsi="微软雅黑" w:cs="微软雅黑"/>
          <w:b/>
          <w:bCs/>
          <w:sz w:val="24"/>
          <w:szCs w:val="24"/>
        </w:rPr>
        <w:fldChar w:fldCharType="begin"/>
      </w:r>
      <w:r>
        <w:rPr>
          <w:rFonts w:hint="eastAsia" w:ascii="微软雅黑" w:hAnsi="微软雅黑" w:cs="微软雅黑"/>
          <w:b/>
          <w:bCs/>
          <w:sz w:val="24"/>
          <w:szCs w:val="24"/>
        </w:rPr>
        <w:instrText xml:space="preserve"> HYPERLINK \l "重要基因变异及潜在靶向药物信息" </w:instrText>
      </w:r>
      <w:r>
        <w:rPr>
          <w:rFonts w:hint="eastAsia" w:ascii="微软雅黑" w:hAnsi="微软雅黑" w:cs="微软雅黑"/>
          <w:b/>
          <w:bCs/>
          <w:sz w:val="24"/>
          <w:szCs w:val="24"/>
        </w:rPr>
        <w:fldChar w:fldCharType="separate"/>
      </w:r>
      <w:r>
        <w:rPr>
          <w:rStyle w:val="21"/>
          <w:rFonts w:hint="eastAsia" w:ascii="微软雅黑" w:hAnsi="微软雅黑" w:cs="微软雅黑"/>
          <w:b/>
          <w:bCs/>
          <w:color w:val="0000FF"/>
          <w:sz w:val="24"/>
          <w:szCs w:val="24"/>
        </w:rPr>
        <w:t>西妥昔单抗（Cetuximab）</w:t>
      </w:r>
      <w:r>
        <w:rPr>
          <w:rFonts w:hint="eastAsia" w:ascii="微软雅黑" w:hAnsi="微软雅黑" w:cs="微软雅黑"/>
          <w:b/>
          <w:bCs/>
          <w:sz w:val="24"/>
          <w:szCs w:val="24"/>
        </w:rPr>
        <w:fldChar w:fldCharType="end"/>
      </w:r>
    </w:p>
    <w:p w14:paraId="2211E203">
      <w:pPr>
        <w:keepNext w:val="0"/>
        <w:keepLines w:val="0"/>
        <w:pageBreakBefore w:val="0"/>
        <w:kinsoku/>
        <w:wordWrap/>
        <w:overflowPunct/>
        <w:topLinePunct w:val="0"/>
        <w:bidi w:val="0"/>
        <w:spacing w:after="0"/>
        <w:jc w:val="both"/>
        <w:outlineLvl w:val="9"/>
        <w:rPr>
          <w:b/>
          <w:bCs/>
          <w:kern w:val="2"/>
        </w:rPr>
      </w:pPr>
      <w:r>
        <w:rPr>
          <w:rFonts w:hint="eastAsia"/>
          <w:b/>
          <w:bCs/>
          <w:kern w:val="2"/>
        </w:rPr>
        <w:t>基因变异与药物关联分析：</w:t>
      </w:r>
    </w:p>
    <w:p w14:paraId="31284001">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default" w:ascii="微软雅黑" w:hAnsi="微软雅黑" w:cs="Arial Unicode MS"/>
          <w:bCs/>
          <w:kern w:val="2"/>
          <w:sz w:val="21"/>
          <w:szCs w:val="21"/>
          <w:highlight w:val="red"/>
          <w:lang w:val="en-US" w:eastAsia="zh-CN"/>
        </w:rPr>
      </w:pPr>
      <w:r>
        <w:rPr>
          <w:rFonts w:hint="eastAsia" w:ascii="微软雅黑" w:hAnsi="微软雅黑" w:cs="Arial Unicode MS"/>
          <w:bCs/>
          <w:kern w:val="2"/>
          <w:sz w:val="21"/>
          <w:szCs w:val="21"/>
          <w:lang w:val="en-US" w:eastAsia="zh-CN"/>
        </w:rPr>
        <w:t>该样本未检出KRAS/NRAS/BRAF基因突变，这3个基因为野生型。2022年结肠癌和直肠癌NCCN指南中指出，转移性结直肠癌如需使用西妥昔单抗或帕尼单抗治疗，需检测肿瘤KRAS/NRAS/BRAF基因的状态，仅限KRAS/NRAS/BRAF基因野生型患者使用，突变型患者基本无效。该患者未检测到KRAS/NRAS/BRAF基因突变，因此可能从西妥昔单抗或帕尼单抗的治疗中获益。FDA和NMPA批准西妥昔单抗用于治疗头颈部鳞状细胞癌、结直肠癌。</w:t>
      </w:r>
      <w:r>
        <w:rPr>
          <w:rFonts w:hint="eastAsia" w:ascii="微软雅黑" w:hAnsi="微软雅黑"/>
          <w:kern w:val="1"/>
          <w:sz w:val="21"/>
          <w:szCs w:val="21"/>
          <w:lang w:eastAsia="zh-CN"/>
        </w:rPr>
        <w:t>此外，2022年结肠癌NCCN指南推荐西妥昔单抗的使用仅限于原发瘤位于左侧结肠的患者（KRAS/NRAS/BRAF基因野生型）。</w:t>
      </w:r>
    </w:p>
    <w:p w14:paraId="27778FF5">
      <w:pPr>
        <w:keepNext w:val="0"/>
        <w:keepLines w:val="0"/>
        <w:pageBreakBefore w:val="0"/>
        <w:kinsoku/>
        <w:wordWrap/>
        <w:overflowPunct/>
        <w:topLinePunct w:val="0"/>
        <w:bidi w:val="0"/>
        <w:spacing w:after="0"/>
        <w:jc w:val="both"/>
        <w:outlineLvl w:val="9"/>
        <w:rPr>
          <w:b/>
          <w:bCs/>
          <w:kern w:val="2"/>
          <w:highlight w:val="none"/>
        </w:rPr>
      </w:pPr>
      <w:r>
        <w:rPr>
          <w:b/>
          <w:bCs/>
          <w:kern w:val="2"/>
          <w:highlight w:val="none"/>
        </w:rPr>
        <w:t>药物疗效临床解析：</w:t>
      </w:r>
    </w:p>
    <w:p w14:paraId="75A5D2BD">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一项临床研究，87例KRAS 12/13密码子野生型患者中，有7例具有61号密码子突变，与KRAS野生型患者相比，在使用西妥昔单抗联合伊立替康治疗时，KRAS突变型患者的PFS更短，在用药前进行KRAS基因筛选更有利于患者进行anti-EGFR药物的相关治疗[19603018]。另一项临床Ⅲ期关键试验，比较了FOLFIRI+西妥昔单抗和FOLFIRI+贝伐珠单抗作为转移性结直肠癌的一线治疗方案的疗效。592例KRAS基因2号外显子野生型的肿瘤患者被随机分配接受上述两种方案的治疗。西妥昔单抗组中位无进展生存期（PFS）为10.0个月（95％CI：8.8-10.8），贝伐珠单抗组为10.3个月（95％CI：9.8-11.3），（HR = 1.06，95％CI：0.88-1.26，P = 0.55），两组间的PFS无显著差异；然而，西妥昔单抗组中位总生存期为28.7个月（95％CI：24.0-36.6），贝伐珠单抗组为25.0个月（22.7-27.6）（HR = 0.77，95％CI：0.62-0.96，P=0.017），西妥昔单抗组的 OS显著延长，并且这些患者对抗EGFR单克隆抗体的耐受性良好[25088940]。一项转移性结直肠癌回顾性研究表明，与BRAF突变型患者相比，BRAF野生型患者接受西妥昔单抗治疗的反应率显著升高（2/24，83%；124/326，38.0%；P=0.0012）[20619739]。</w:t>
      </w:r>
    </w:p>
    <w:p w14:paraId="719EA08E">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p w14:paraId="442E220C">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p w14:paraId="2F5B3E7F">
      <w:pPr>
        <w:keepNext w:val="0"/>
        <w:keepLines w:val="0"/>
        <w:pageBreakBefore w:val="0"/>
        <w:numPr>
          <w:ilvl w:val="0"/>
          <w:numId w:val="12"/>
        </w:numPr>
        <w:kinsoku/>
        <w:wordWrap/>
        <w:overflowPunct/>
        <w:topLinePunct w:val="0"/>
        <w:bidi w:val="0"/>
        <w:spacing w:before="200"/>
        <w:outlineLvl w:val="9"/>
        <w:rPr>
          <w:rFonts w:ascii="微软雅黑" w:hAnsi="微软雅黑" w:cs="微软雅黑"/>
          <w:b/>
          <w:bCs/>
          <w:sz w:val="24"/>
          <w:szCs w:val="24"/>
          <w:highlight w:val="none"/>
        </w:rPr>
      </w:pPr>
      <w:bookmarkStart w:id="204" w:name="帕尼单抗（Panitumumab）谷"/>
      <w:r>
        <w:rPr>
          <w:rFonts w:hint="eastAsia" w:ascii="微软雅黑" w:hAnsi="微软雅黑" w:cs="微软雅黑"/>
          <w:b/>
          <w:bCs/>
          <w:sz w:val="24"/>
          <w:szCs w:val="24"/>
          <w:highlight w:val="none"/>
        </w:rPr>
        <w:fldChar w:fldCharType="begin"/>
      </w:r>
      <w:r>
        <w:rPr>
          <w:rFonts w:hint="eastAsia" w:ascii="微软雅黑" w:hAnsi="微软雅黑" w:cs="微软雅黑"/>
          <w:b/>
          <w:bCs/>
          <w:sz w:val="24"/>
          <w:szCs w:val="24"/>
          <w:highlight w:val="none"/>
        </w:rPr>
        <w:instrText xml:space="preserve"> HYPERLINK \l "重要基因变异及潜在靶向药物信息" </w:instrText>
      </w:r>
      <w:r>
        <w:rPr>
          <w:rFonts w:hint="eastAsia" w:ascii="微软雅黑" w:hAnsi="微软雅黑" w:cs="微软雅黑"/>
          <w:b/>
          <w:bCs/>
          <w:sz w:val="24"/>
          <w:szCs w:val="24"/>
          <w:highlight w:val="none"/>
        </w:rPr>
        <w:fldChar w:fldCharType="separate"/>
      </w:r>
      <w:r>
        <w:rPr>
          <w:rStyle w:val="21"/>
          <w:rFonts w:hint="eastAsia" w:ascii="微软雅黑" w:hAnsi="微软雅黑" w:cs="微软雅黑"/>
          <w:b/>
          <w:bCs/>
          <w:color w:val="0000FF"/>
          <w:sz w:val="24"/>
          <w:szCs w:val="24"/>
          <w:highlight w:val="none"/>
        </w:rPr>
        <w:t>帕尼单抗（Panitumumab）</w:t>
      </w:r>
      <w:r>
        <w:rPr>
          <w:rFonts w:hint="eastAsia" w:ascii="微软雅黑" w:hAnsi="微软雅黑" w:cs="微软雅黑"/>
          <w:b/>
          <w:bCs/>
          <w:sz w:val="24"/>
          <w:szCs w:val="24"/>
          <w:highlight w:val="none"/>
        </w:rPr>
        <w:fldChar w:fldCharType="end"/>
      </w:r>
      <w:bookmarkEnd w:id="204"/>
    </w:p>
    <w:p w14:paraId="134A108A">
      <w:pPr>
        <w:keepNext w:val="0"/>
        <w:keepLines w:val="0"/>
        <w:pageBreakBefore w:val="0"/>
        <w:kinsoku/>
        <w:wordWrap/>
        <w:overflowPunct/>
        <w:topLinePunct w:val="0"/>
        <w:bidi w:val="0"/>
        <w:spacing w:after="0"/>
        <w:jc w:val="both"/>
        <w:outlineLvl w:val="9"/>
        <w:rPr>
          <w:b/>
          <w:bCs/>
          <w:kern w:val="2"/>
          <w:highlight w:val="none"/>
        </w:rPr>
      </w:pPr>
      <w:r>
        <w:rPr>
          <w:rFonts w:hint="eastAsia"/>
          <w:b/>
          <w:bCs/>
          <w:kern w:val="2"/>
          <w:highlight w:val="none"/>
        </w:rPr>
        <w:t>基因变异与药物关联分析：</w:t>
      </w:r>
    </w:p>
    <w:p w14:paraId="335F579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该样本未检出KRAS/NRAS/BRAF基因突变，这3个基因为野生型。2022年结肠癌和直肠癌NCCN指南中均指出，转移性结直肠癌如需使用西妥昔单抗或帕尼单抗治疗，需检测肿瘤KRAS/NRAS/BRAF基因的状态，仅限KRAS/NRAS/BRAF基因野生型患者使用，突变型患者基本无效。该患者未检测到KRAS/NRAS/BRAF基因突变，因此可能从西妥昔单抗或帕尼单抗的治疗中获益。FDA批准帕尼单抗用于治疗转移性结直肠癌。</w:t>
      </w:r>
      <w:r>
        <w:rPr>
          <w:rFonts w:hint="eastAsia" w:ascii="微软雅黑" w:hAnsi="微软雅黑"/>
          <w:kern w:val="2"/>
          <w:sz w:val="21"/>
          <w:szCs w:val="21"/>
        </w:rPr>
        <w:t>此外，2022年结肠癌NCCN指南推荐帕尼单抗的使用仅限于原发瘤位于左侧结肠的患者（KRAS/NRAS/BRAF基因野生型）。</w:t>
      </w:r>
    </w:p>
    <w:p w14:paraId="254A5A20">
      <w:pPr>
        <w:keepNext w:val="0"/>
        <w:keepLines w:val="0"/>
        <w:pageBreakBefore w:val="0"/>
        <w:kinsoku/>
        <w:wordWrap/>
        <w:overflowPunct/>
        <w:topLinePunct w:val="0"/>
        <w:bidi w:val="0"/>
        <w:spacing w:after="0"/>
        <w:jc w:val="both"/>
        <w:outlineLvl w:val="9"/>
        <w:rPr>
          <w:b/>
          <w:bCs/>
          <w:kern w:val="2"/>
          <w:highlight w:val="none"/>
        </w:rPr>
      </w:pPr>
      <w:r>
        <w:rPr>
          <w:rFonts w:hint="eastAsia"/>
          <w:b/>
          <w:bCs/>
          <w:kern w:val="2"/>
          <w:highlight w:val="none"/>
        </w:rPr>
        <w:t>药物疗效临床解析：</w:t>
      </w:r>
    </w:p>
    <w:p w14:paraId="1F5CEBFF">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r>
        <w:rPr>
          <w:rFonts w:hint="eastAsia" w:ascii="微软雅黑" w:hAnsi="微软雅黑" w:cs="Arial Unicode MS"/>
          <w:bCs/>
          <w:kern w:val="2"/>
          <w:sz w:val="21"/>
          <w:szCs w:val="21"/>
          <w:lang w:val="en-US" w:eastAsia="zh-CN"/>
        </w:rPr>
        <w:t>一些临床试验对转移性结直肠癌一线治疗使用帕尼单抗联合FOLFOX方案或FOLFIRI的方案进行了研究[20921465，24718886]。最近一项大型开放性随机对照PRIME研究比较了FOLFOX加或不加帕尼单抗治疗晚期KRAS/NRAS野生型结直肠癌的效果。结果显示帕尼单抗加入治疗后显著延长PFS（HR=0.72，95% CI：0.58-0.90，P=0.004）和OS（HR=0.77，95% CI：0.64-0.94，P=0.009）。因此，FOLFOX+帕尼单抗仍然是转移性结直肠癌一线治疗的一个治疗选择。值得注意的重要一点是，在PRIME试验中观察到联合帕尼单抗治疗KRAS/NRAS突变型患者时，患者的PFS有所减少[NCT00364013，24024839]。一项回顾性研究分析了接受西妥昔单抗或帕尼单抗治疗的转移性结直肠癌患者的KRAS和BRAF突变状态，结果显示，BRAF野生型的患者对治疗有反应，而BRAF突变的患者对治疗无反应甚至削弱了治疗效果。与BRAF突变型患者相比，BRAF野生型患者的PFS（P=0.011）和OS（P&lt;0.0001）显著延长[19001320]。</w:t>
      </w:r>
    </w:p>
    <w:p w14:paraId="59420D67">
      <w:pPr>
        <w:keepNext w:val="0"/>
        <w:keepLines w:val="0"/>
        <w:pageBreakBefore w:val="0"/>
        <w:widowControl/>
        <w:numPr>
          <w:ilvl w:val="0"/>
          <w:numId w:val="11"/>
        </w:numPr>
        <w:kinsoku/>
        <w:wordWrap/>
        <w:overflowPunct/>
        <w:topLinePunct w:val="0"/>
        <w:autoSpaceDE/>
        <w:autoSpaceDN/>
        <w:bidi w:val="0"/>
        <w:adjustRightInd w:val="0"/>
        <w:snapToGrid w:val="0"/>
        <w:spacing w:before="200" w:after="0" w:line="288" w:lineRule="auto"/>
        <w:ind w:left="420" w:leftChars="0" w:right="0" w:rightChars="0" w:hanging="420" w:firstLineChars="0"/>
        <w:jc w:val="both"/>
        <w:textAlignment w:val="auto"/>
        <w:outlineLvl w:val="9"/>
        <w:rPr>
          <w:rFonts w:hint="eastAsia" w:ascii="微软雅黑" w:hAnsi="微软雅黑"/>
          <w:b/>
          <w:color w:val="FF0000"/>
          <w:sz w:val="24"/>
          <w:szCs w:val="24"/>
          <w:lang w:val="en-US" w:eastAsia="zh-CN"/>
        </w:rPr>
      </w:pPr>
      <w:r>
        <w:rPr>
          <w:rStyle w:val="21"/>
          <w:rFonts w:hint="eastAsia" w:ascii="微软雅黑" w:hAnsi="微软雅黑" w:cs="微软雅黑"/>
          <w:b/>
          <w:bCs/>
          <w:color w:val="FF0000"/>
          <w:kern w:val="0"/>
          <w:sz w:val="24"/>
          <w:szCs w:val="24"/>
          <w:highlight w:val="none"/>
          <w:u w:val="none"/>
          <w:lang w:val="en-US" w:eastAsia="zh-CN"/>
        </w:rPr>
        <w:t>RNF43：</w:t>
      </w:r>
      <w:r>
        <w:rPr>
          <w:rFonts w:hint="eastAsia" w:ascii="微软雅黑" w:hAnsi="微软雅黑" w:cs="微软雅黑"/>
          <w:b/>
          <w:color w:val="FF0000"/>
          <w:sz w:val="24"/>
          <w:u w:val="none"/>
        </w:rPr>
        <w:t>c.349del，p.R117Afs*41</w:t>
      </w:r>
      <w:r>
        <w:rPr>
          <w:rStyle w:val="21"/>
          <w:rFonts w:hint="eastAsia" w:ascii="微软雅黑" w:hAnsi="微软雅黑" w:cs="微软雅黑"/>
          <w:b/>
          <w:bCs/>
          <w:color w:val="FF0000"/>
          <w:kern w:val="0"/>
          <w:sz w:val="24"/>
          <w:szCs w:val="24"/>
          <w:highlight w:val="none"/>
          <w:u w:val="none"/>
          <w:lang w:val="en-US" w:eastAsia="zh-CN"/>
        </w:rPr>
        <w:t>突变相应靶向药物</w:t>
      </w:r>
    </w:p>
    <w:p w14:paraId="2DE03598">
      <w:pPr>
        <w:keepNext w:val="0"/>
        <w:keepLines w:val="0"/>
        <w:pageBreakBefore w:val="0"/>
        <w:widowControl/>
        <w:numPr>
          <w:ilvl w:val="0"/>
          <w:numId w:val="12"/>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Style w:val="21"/>
          <w:rFonts w:hint="eastAsia" w:ascii="微软雅黑" w:hAnsi="微软雅黑" w:cs="微软雅黑"/>
          <w:b/>
          <w:bCs/>
          <w:color w:val="0000FF"/>
          <w:kern w:val="0"/>
          <w:sz w:val="24"/>
          <w:szCs w:val="24"/>
          <w:highlight w:val="none"/>
          <w:lang w:eastAsia="zh-CN"/>
        </w:rPr>
        <w:t>LGK974</w:t>
      </w:r>
      <w:r>
        <w:rPr>
          <w:rFonts w:hint="eastAsia" w:ascii="微软雅黑" w:hAnsi="微软雅黑" w:eastAsia="微软雅黑" w:cs="微软雅黑"/>
          <w:b/>
          <w:bCs/>
          <w:color w:val="0000FF"/>
          <w:kern w:val="0"/>
          <w:sz w:val="24"/>
          <w:szCs w:val="24"/>
          <w:highlight w:val="none"/>
          <w:u w:val="single"/>
        </w:rPr>
        <w:fldChar w:fldCharType="end"/>
      </w:r>
      <w:r>
        <w:rPr>
          <w:rStyle w:val="21"/>
          <w:rFonts w:hint="eastAsia" w:ascii="微软雅黑" w:hAnsi="微软雅黑" w:cs="微软雅黑"/>
          <w:b/>
          <w:bCs/>
          <w:color w:val="0000FF"/>
          <w:sz w:val="24"/>
          <w:szCs w:val="24"/>
        </w:rPr>
        <w:t>、</w:t>
      </w: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Style w:val="21"/>
          <w:rFonts w:hint="eastAsia" w:ascii="微软雅黑" w:hAnsi="微软雅黑" w:cs="微软雅黑"/>
          <w:b/>
          <w:bCs/>
          <w:color w:val="0000FF"/>
          <w:kern w:val="0"/>
          <w:sz w:val="24"/>
          <w:szCs w:val="24"/>
          <w:highlight w:val="none"/>
          <w:lang w:eastAsia="zh-CN"/>
        </w:rPr>
        <w:t>LGK974</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val="en-US" w:eastAsia="zh-CN"/>
        </w:rPr>
        <w:t>+康奈非尼+西妥昔单抗（Encorafenib+ Cetuximab）</w:t>
      </w:r>
    </w:p>
    <w:p w14:paraId="46FA32CC">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18AAD355">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kern w:val="2"/>
          <w:sz w:val="21"/>
          <w:szCs w:val="21"/>
        </w:rPr>
        <w:t>该样本检出RNF43</w:t>
      </w:r>
      <w:r>
        <w:rPr>
          <w:rFonts w:hint="eastAsia" w:ascii="微软雅黑" w:hAnsi="微软雅黑" w:cs="Arial Unicode MS"/>
          <w:kern w:val="2"/>
          <w:sz w:val="21"/>
          <w:szCs w:val="21"/>
          <w:lang w:eastAsia="zh-CN"/>
        </w:rPr>
        <w:t>基因c.349del，p.R117Afs*41</w:t>
      </w:r>
      <w:r>
        <w:rPr>
          <w:rFonts w:hint="eastAsia" w:ascii="微软雅黑" w:hAnsi="微软雅黑" w:cs="微软雅黑"/>
          <w:sz w:val="21"/>
        </w:rPr>
        <w:t>碱基缺失引起的移码突变</w:t>
      </w:r>
      <w:r>
        <w:rPr>
          <w:rFonts w:hint="eastAsia" w:ascii="微软雅黑" w:hAnsi="微软雅黑" w:cs="Arial Unicode MS"/>
          <w:kern w:val="2"/>
          <w:sz w:val="21"/>
          <w:szCs w:val="21"/>
        </w:rPr>
        <w:t>，</w:t>
      </w:r>
      <w:r>
        <w:rPr>
          <w:rFonts w:hint="eastAsia" w:ascii="微软雅黑" w:hAnsi="微软雅黑" w:cs="Arial Unicode MS"/>
          <w:kern w:val="2"/>
          <w:sz w:val="21"/>
          <w:szCs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eastAsia="微软雅黑" w:cs="Arial Unicode MS"/>
          <w:color w:val="auto"/>
          <w:kern w:val="2"/>
          <w:sz w:val="21"/>
          <w:szCs w:val="21"/>
          <w:highlight w:val="none"/>
          <w:lang w:val="en-US" w:eastAsia="zh-CN"/>
        </w:rPr>
        <w:t>研究表明，携带RNF43突变的肿瘤患者可能对Wnt信号通路抑制剂敏感[25344691]。</w:t>
      </w:r>
      <w:r>
        <w:rPr>
          <w:rFonts w:hint="eastAsia" w:ascii="微软雅黑" w:hAnsi="微软雅黑" w:cs="Arial Unicode MS"/>
          <w:color w:val="auto"/>
          <w:kern w:val="2"/>
          <w:sz w:val="21"/>
          <w:szCs w:val="21"/>
          <w:highlight w:val="none"/>
          <w:lang w:val="en-US" w:eastAsia="zh-CN"/>
        </w:rPr>
        <w:t>因此，患者可能从</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\l "重要基因变异及潜在靶向药物信息"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LGK974</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及相关抑制剂的治疗中获益。</w:t>
      </w:r>
    </w:p>
    <w:p w14:paraId="44749583">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default"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LGK974</w:t>
      </w:r>
      <w:r>
        <w:rPr>
          <w:rFonts w:hint="eastAsia" w:ascii="微软雅黑" w:hAnsi="微软雅黑" w:cs="Arial Unicode MS"/>
          <w:color w:val="auto"/>
          <w:kern w:val="2"/>
          <w:sz w:val="21"/>
          <w:szCs w:val="21"/>
          <w:highlight w:val="none"/>
          <w:lang w:val="en-US" w:eastAsia="zh-CN"/>
        </w:rPr>
        <w:t>（又名</w:t>
      </w:r>
      <w:r>
        <w:rPr>
          <w:rFonts w:hint="eastAsia" w:ascii="微软雅黑" w:hAnsi="微软雅黑" w:eastAsia="微软雅黑" w:cs="Arial Unicode MS"/>
          <w:color w:val="auto"/>
          <w:kern w:val="2"/>
          <w:sz w:val="21"/>
          <w:szCs w:val="21"/>
          <w:highlight w:val="none"/>
          <w:lang w:val="en-US" w:eastAsia="zh-CN"/>
        </w:rPr>
        <w:t>WNT974</w:t>
      </w:r>
      <w:r>
        <w:rPr>
          <w:rFonts w:hint="eastAsia" w:ascii="微软雅黑" w:hAnsi="微软雅黑" w:cs="Arial Unicode MS"/>
          <w:color w:val="auto"/>
          <w:kern w:val="2"/>
          <w:sz w:val="21"/>
          <w:szCs w:val="21"/>
          <w:highlight w:val="none"/>
          <w:lang w:val="en-US" w:eastAsia="zh-CN"/>
        </w:rPr>
        <w:t>）</w:t>
      </w:r>
      <w:r>
        <w:rPr>
          <w:rFonts w:hint="eastAsia" w:ascii="微软雅黑" w:hAnsi="微软雅黑" w:eastAsia="微软雅黑" w:cs="Arial Unicode MS"/>
          <w:color w:val="auto"/>
          <w:kern w:val="2"/>
          <w:sz w:val="21"/>
          <w:szCs w:val="21"/>
          <w:highlight w:val="none"/>
          <w:lang w:val="en-US" w:eastAsia="zh-CN"/>
        </w:rPr>
        <w:t>是一种有效且特异性的Porcupine</w:t>
      </w:r>
      <w:r>
        <w:rPr>
          <w:rFonts w:hint="eastAsia" w:ascii="微软雅黑" w:hAnsi="微软雅黑" w:cs="Arial Unicode MS"/>
          <w:color w:val="auto"/>
          <w:kern w:val="2"/>
          <w:sz w:val="21"/>
          <w:szCs w:val="21"/>
          <w:highlight w:val="none"/>
          <w:lang w:val="en-US" w:eastAsia="zh-CN"/>
        </w:rPr>
        <w:t>（</w:t>
      </w:r>
      <w:r>
        <w:rPr>
          <w:rFonts w:hint="eastAsia" w:ascii="微软雅黑" w:hAnsi="微软雅黑" w:eastAsia="微软雅黑" w:cs="Arial Unicode MS"/>
          <w:color w:val="auto"/>
          <w:kern w:val="2"/>
          <w:sz w:val="21"/>
          <w:szCs w:val="21"/>
          <w:highlight w:val="none"/>
          <w:lang w:val="en-US" w:eastAsia="zh-CN"/>
        </w:rPr>
        <w:t>PORCN</w:t>
      </w:r>
      <w:r>
        <w:rPr>
          <w:rFonts w:hint="eastAsia" w:ascii="微软雅黑" w:hAnsi="微软雅黑" w:cs="Arial Unicode MS"/>
          <w:color w:val="auto"/>
          <w:kern w:val="2"/>
          <w:sz w:val="21"/>
          <w:szCs w:val="21"/>
          <w:highlight w:val="none"/>
          <w:lang w:val="en-US" w:eastAsia="zh-CN"/>
        </w:rPr>
        <w:t>）</w:t>
      </w:r>
      <w:r>
        <w:rPr>
          <w:rFonts w:hint="eastAsia" w:ascii="微软雅黑" w:hAnsi="微软雅黑" w:eastAsia="微软雅黑" w:cs="Arial Unicode MS"/>
          <w:color w:val="auto"/>
          <w:kern w:val="2"/>
          <w:sz w:val="21"/>
          <w:szCs w:val="21"/>
          <w:highlight w:val="none"/>
          <w:lang w:val="en-US" w:eastAsia="zh-CN"/>
        </w:rPr>
        <w:t>抑制剂</w:t>
      </w:r>
      <w:r>
        <w:rPr>
          <w:rFonts w:hint="eastAsia" w:ascii="微软雅黑" w:hAnsi="微软雅黑" w:cs="Arial Unicode MS"/>
          <w:color w:val="auto"/>
          <w:kern w:val="2"/>
          <w:sz w:val="21"/>
          <w:szCs w:val="21"/>
          <w:highlight w:val="none"/>
          <w:lang w:val="en-US" w:eastAsia="zh-CN"/>
        </w:rPr>
        <w:t>，体外研究表明，LGK974可有效降低HN30细胞中Wnt信号的传导[24277854]。目前，该药正在临床试验中。相关抑制剂有康奈非尼、西妥昔单抗。其中，康奈非尼是一种激酶抑制剂，FDA批准康奈非尼与贝美替尼联合用于治疗BRAF V600E或V600K突变的不可切除或转移性黑色素瘤患者。</w:t>
      </w:r>
      <w:r>
        <w:rPr>
          <w:rFonts w:hint="eastAsia" w:ascii="微软雅黑" w:hAnsi="微软雅黑"/>
          <w:color w:val="auto"/>
          <w:kern w:val="1"/>
          <w:sz w:val="21"/>
          <w:szCs w:val="21"/>
          <w:highlight w:val="none"/>
        </w:rPr>
        <w:t>西妥昔单抗是一种人/鼠重组的IgG1单克隆抗体，FDA</w:t>
      </w:r>
      <w:r>
        <w:rPr>
          <w:rFonts w:hint="eastAsia" w:ascii="微软雅黑" w:hAnsi="微软雅黑"/>
          <w:color w:val="auto"/>
          <w:kern w:val="1"/>
          <w:sz w:val="21"/>
          <w:szCs w:val="21"/>
          <w:highlight w:val="none"/>
          <w:lang w:val="en-US" w:eastAsia="zh-CN"/>
        </w:rPr>
        <w:t>和NMPA</w:t>
      </w:r>
      <w:r>
        <w:rPr>
          <w:rFonts w:hint="eastAsia" w:ascii="微软雅黑" w:hAnsi="微软雅黑"/>
          <w:color w:val="auto"/>
          <w:kern w:val="1"/>
          <w:sz w:val="21"/>
          <w:szCs w:val="21"/>
          <w:highlight w:val="none"/>
        </w:rPr>
        <w:t>批准西妥昔单抗</w:t>
      </w:r>
      <w:r>
        <w:rPr>
          <w:rFonts w:hint="eastAsia" w:ascii="微软雅黑" w:hAnsi="微软雅黑"/>
          <w:color w:val="auto"/>
          <w:kern w:val="1"/>
          <w:sz w:val="21"/>
          <w:szCs w:val="21"/>
          <w:highlight w:val="none"/>
          <w:lang w:val="en-US" w:eastAsia="zh-CN"/>
        </w:rPr>
        <w:t>用于治疗结直肠癌和头颈癌</w:t>
      </w:r>
      <w:r>
        <w:rPr>
          <w:rFonts w:hint="eastAsia" w:ascii="微软雅黑" w:hAnsi="微软雅黑"/>
          <w:color w:val="auto"/>
          <w:kern w:val="1"/>
          <w:sz w:val="21"/>
          <w:szCs w:val="21"/>
          <w:highlight w:val="none"/>
        </w:rPr>
        <w:t>。</w:t>
      </w:r>
    </w:p>
    <w:p w14:paraId="1560FA6C">
      <w:pPr>
        <w:spacing w:after="0"/>
        <w:jc w:val="both"/>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0E31F965">
      <w:pPr>
        <w:numPr>
          <w:ilvl w:val="0"/>
          <w:numId w:val="0"/>
        </w:numPr>
        <w:pBdr>
          <w:top w:val="none" w:color="auto" w:sz="0" w:space="0"/>
          <w:left w:val="none" w:color="auto" w:sz="0" w:space="0"/>
          <w:bottom w:val="none" w:color="auto" w:sz="0" w:space="0"/>
          <w:right w:val="none" w:color="auto" w:sz="0" w:space="0"/>
        </w:pBdr>
        <w:shd w:val="clear"/>
        <w:spacing w:before="0" w:beforeLines="-2147483648" w:after="0" w:afterLines="-2147483648" w:line="240" w:lineRule="auto"/>
        <w:ind w:firstLine="420" w:firstLineChars="200"/>
        <w:jc w:val="both"/>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olor w:val="auto"/>
          <w:kern w:val="1"/>
          <w:sz w:val="21"/>
          <w:szCs w:val="21"/>
          <w:highlight w:val="none"/>
          <w:lang w:val="en-US" w:eastAsia="zh-CN"/>
        </w:rPr>
        <w:t>一项I期临床试验，旨在探究LGK974单药或与PDR001联合，用于治疗恶性肿瘤的推荐剂量。其中包括LGK974单药治疗携带RNF43突变和/或RSPO融合的BRAF突变的结直肠癌患者及RNF43突变或RSPO融合肿瘤患者，目前该试验正在招募中[NCT01351103]。</w:t>
      </w:r>
      <w:r>
        <w:rPr>
          <w:rFonts w:hint="eastAsia" w:ascii="微软雅黑" w:hAnsi="微软雅黑"/>
          <w:color w:val="auto"/>
          <w:kern w:val="1"/>
          <w:sz w:val="21"/>
          <w:szCs w:val="21"/>
          <w:highlight w:val="none"/>
          <w:lang w:eastAsia="zh-CN"/>
        </w:rPr>
        <w:t>另一项</w:t>
      </w:r>
      <w:r>
        <w:rPr>
          <w:rFonts w:hint="eastAsia" w:ascii="微软雅黑" w:hAnsi="微软雅黑"/>
          <w:color w:val="auto"/>
          <w:kern w:val="1"/>
          <w:sz w:val="21"/>
          <w:szCs w:val="21"/>
          <w:highlight w:val="none"/>
          <w:lang w:val="en-US" w:eastAsia="zh-CN"/>
        </w:rPr>
        <w:t>I/II期</w:t>
      </w:r>
      <w:r>
        <w:rPr>
          <w:rFonts w:hint="eastAsia" w:ascii="微软雅黑" w:hAnsi="微软雅黑"/>
          <w:color w:val="auto"/>
          <w:kern w:val="1"/>
          <w:sz w:val="21"/>
          <w:szCs w:val="21"/>
          <w:highlight w:val="none"/>
          <w:lang w:eastAsia="zh-CN"/>
        </w:rPr>
        <w:t>临床试验，旨在评估三药联合方案，即</w:t>
      </w:r>
      <w:r>
        <w:rPr>
          <w:rFonts w:hint="eastAsia" w:ascii="微软雅黑" w:hAnsi="微软雅黑" w:cs="Arial Unicode MS"/>
          <w:color w:val="auto"/>
          <w:kern w:val="2"/>
          <w:sz w:val="21"/>
          <w:szCs w:val="21"/>
          <w:highlight w:val="none"/>
          <w:lang w:val="en-US" w:eastAsia="zh-CN"/>
        </w:rPr>
        <w:t>LGK974、康奈非尼和西妥昔单抗用于治疗携带</w:t>
      </w:r>
      <w:r>
        <w:rPr>
          <w:rFonts w:hint="eastAsia" w:ascii="微软雅黑" w:hAnsi="微软雅黑" w:eastAsia="微软雅黑" w:cs="Arial Unicode MS"/>
          <w:color w:val="auto"/>
          <w:kern w:val="2"/>
          <w:sz w:val="21"/>
          <w:szCs w:val="21"/>
          <w:highlight w:val="none"/>
          <w:lang w:val="en-US" w:eastAsia="zh-CN"/>
        </w:rPr>
        <w:t>RNF43</w:t>
      </w:r>
      <w:r>
        <w:rPr>
          <w:rFonts w:hint="eastAsia" w:ascii="微软雅黑" w:hAnsi="微软雅黑" w:cs="Arial Unicode MS"/>
          <w:color w:val="auto"/>
          <w:kern w:val="2"/>
          <w:sz w:val="21"/>
          <w:szCs w:val="21"/>
          <w:highlight w:val="none"/>
          <w:lang w:val="en-US" w:eastAsia="zh-CN"/>
        </w:rPr>
        <w:t>突变和/或RSPO融合的KRAS野生型或BRAF V600突变的结直肠癌患者的安全性和抗肿瘤活性，目前该试验已完成，结果尚未公布</w:t>
      </w:r>
      <w:r>
        <w:rPr>
          <w:rFonts w:hint="eastAsia" w:ascii="微软雅黑" w:hAnsi="微软雅黑"/>
          <w:color w:val="auto"/>
          <w:kern w:val="1"/>
          <w:sz w:val="21"/>
          <w:szCs w:val="21"/>
          <w:highlight w:val="none"/>
          <w:lang w:val="en-US" w:eastAsia="zh-CN"/>
        </w:rPr>
        <w:t>[</w:t>
      </w:r>
      <w:bookmarkStart w:id="205" w:name="OLE_LINK47"/>
      <w:r>
        <w:rPr>
          <w:rFonts w:hint="eastAsia" w:ascii="微软雅黑" w:hAnsi="微软雅黑"/>
          <w:color w:val="auto"/>
          <w:kern w:val="1"/>
          <w:sz w:val="21"/>
          <w:szCs w:val="21"/>
          <w:highlight w:val="none"/>
          <w:lang w:val="en-US" w:eastAsia="zh-CN"/>
        </w:rPr>
        <w:t>NCT02278133</w:t>
      </w:r>
      <w:bookmarkEnd w:id="205"/>
      <w:r>
        <w:rPr>
          <w:rFonts w:hint="eastAsia" w:ascii="微软雅黑" w:hAnsi="微软雅黑"/>
          <w:color w:val="auto"/>
          <w:kern w:val="1"/>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ATR</w:t>
      </w:r>
      <w:r>
        <w:rPr>
          <w:rFonts w:ascii="微软雅黑" w:hAnsi="微软雅黑" w:cs="微软雅黑"/>
          <w:b/>
          <w:color w:val="FF0000"/>
          <w:sz w:val="24"/>
        </w:rPr>
        <w:t>：</w:t>
      </w:r>
      <w:r>
        <w:rPr>
          <w:rFonts w:hint="eastAsia" w:ascii="微软雅黑" w:hAnsi="微软雅黑" w:cs="微软雅黑"/>
          <w:b/>
          <w:color w:val="FF0000"/>
          <w:sz w:val="24"/>
        </w:rPr>
        <w:t>c.2320del，p.I774Yfs*5</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奥拉帕利（Olaparib）、芦卡帕利（Rucaparib）、尼拉帕利（Niraparib）、他拉唑帕利（Talazoparib）、奥拉帕利+帕博利珠单抗（Olaparib+Pembrolizumab）、他拉唑帕利+阿替利珠单抗（Talazoparib+Atezolizumab）、LY2606368、SRA737</w:t>
      </w:r>
    </w:p>
    <w:p w14:paraId="5CBBE8C1">
      <w:pPr>
        <w:spacing w:after="0"/>
        <w:jc w:val="both"/>
        <w:rPr>
          <w:rFonts w:hint="eastAsia"/>
          <w:b/>
          <w:bCs/>
          <w:kern w:val="2"/>
        </w:rPr>
      </w:pPr>
      <w:r>
        <w:rPr>
          <w:rFonts w:hint="eastAsia"/>
          <w:b/>
          <w:bCs/>
          <w:kern w:val="2"/>
        </w:rPr>
        <w:t>基因变异与药物关联分析：</w:t>
      </w:r>
    </w:p>
    <w:p w14:paraId="5EE02759">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该样本检出ATR基因c.2320del，p.I774Yfs*5碱基缺失引起的移码突变，</w:t>
      </w:r>
      <w:r>
        <w:rPr>
          <w:rFonts w:hint="eastAsia" w:ascii="微软雅黑" w:hAnsi="微软雅黑" w:cs="Arial Unicode MS"/>
          <w:kern w:val="2"/>
          <w:sz w:val="21"/>
          <w:szCs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cs="微软雅黑"/>
          <w:sz w:val="21"/>
        </w:rPr>
        <w:t xml:space="preserve"> 。</w:t>
      </w:r>
      <w:r>
        <w:rPr>
          <w:rFonts w:hint="eastAsia" w:ascii="微软雅黑" w:hAnsi="微软雅黑" w:cs="Arial Unicode MS"/>
          <w:color w:val="000000" w:themeColor="text1"/>
          <w:kern w:val="2"/>
          <w:sz w:val="21"/>
          <w:szCs w:val="21"/>
          <w14:textFill>
            <w14:solidFill>
              <w14:schemeClr w14:val="tx1"/>
            </w14:solidFill>
          </w14:textFill>
        </w:rPr>
        <w:t>临床前研究表明，ATR缺失的细胞系对PARP抑制剂敏感。因此，该患者可能从PARP抑制剂及相关抑制剂的治疗中获益。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FDA批准奥拉帕利用于上皮性卵巢癌、输卵管癌或原发性腹膜癌患者的维持治疗、胰腺癌的维持治疗，卵巢癌和乳腺癌，以及前列腺癌患者的治疗，NMPA批准奥拉帕利用于治疗卵巢癌、前列腺癌。FDA批准芦卡帕利用于治疗卵巢癌、输卵管癌、原发性腹膜癌以及前列腺癌患者。FDA批准尼拉帕利用于治疗上皮性卵巢癌、输卵管癌或原发性腹膜癌患者，中国（香港）批准尼拉帕利用于治疗高级别浆液性上皮性卵巢癌患者，中国大陆（NMPA）批准尼拉帕利用于复发性卵巢癌的维持治疗。FDA批准他拉唑帕利用于治疗前列腺癌和乳腺癌成年患者。NMPA批准他拉唑帕利用于治疗前列腺癌患者。</w:t>
      </w:r>
    </w:p>
    <w:p w14:paraId="02A991C6">
      <w:pPr>
        <w:spacing w:after="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
相关抑制剂包括帕博利珠单抗、阿替利珠单抗、LY2606368、SRA737。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阿替利珠单抗已获FDA批准用于治疗尿路上皮癌、非小细胞癌、小细胞肺癌、肝细胞癌、黑色素瘤患者，已获NMPA批准用于治疗小细胞肺癌、肝细胞癌、非小细胞肺癌患者。LY2606368是一种ATP竞争性CHK1抑制剂，目前正处于临床期。SRA737是一种高效的口服CHK1抑制剂，目前正处于临床期。</w:t>
      </w:r>
    </w:p>
    <w:p w14:paraId="288DCE32">
      <w:pPr>
        <w:spacing w:after="0"/>
        <w:jc w:val="both"/>
        <w:rPr>
          <w:rFonts w:hint="eastAsia" w:ascii="微软雅黑" w:hAnsi="微软雅黑" w:cs="Arial Unicode MS"/>
          <w:color w:val="000000" w:themeColor="text1"/>
          <w:kern w:val="2"/>
          <w:sz w:val="21"/>
          <w:szCs w:val="21"/>
          <w14:textFill>
            <w14:solidFill>
              <w14:schemeClr w14:val="tx1"/>
            </w14:solidFill>
          </w14:textFill>
        </w:rPr>
      </w:pPr>
    </w:p>
    <w:p w14:paraId="1B20A2B3">
      <w:pPr>
        <w:spacing w:after="0"/>
        <w:jc w:val="both"/>
        <w:rPr>
          <w:rFonts w:hint="eastAsia"/>
          <w:b/>
          <w:bCs/>
          <w:kern w:val="2"/>
        </w:rPr>
      </w:pPr>
      <w:r>
        <w:rPr>
          <w:rFonts w:hint="eastAsia"/>
          <w:b/>
          <w:bCs/>
          <w:kern w:val="2"/>
        </w:rPr>
        <w:t>药物疗效临床解析：</w:t>
      </w:r>
    </w:p>
    <w:p w14:paraId="5D44F2CD">
      <w:pPr>
        <w:spacing w:after="0"/>
        <w:ind w:firstLine="400"/>
        <w:jc w:val="both"/>
        <w:rPr>
          <w:rFonts w:ascii="微软雅黑" w:hAnsi="微软雅黑" w:cs="微软雅黑"/>
          <w:color w:val="FF0000"/>
          <w:kern w:val="1"/>
          <w:sz w:val="21"/>
          <w:szCs w:val="21"/>
        </w:rPr>
      </w:pPr>
      <w:r>
        <w:rPr>
          <w:rFonts w:hint="eastAsia" w:ascii="微软雅黑" w:hAnsi="微软雅黑" w:cs="Arial Unicode MS"/>
          <w:color w:val="000000" w:themeColor="text1"/>
          <w:kern w:val="2"/>
          <w:sz w:val="21"/>
          <w:szCs w:val="21"/>
          <w14:textFill>
            <w14:solidFill>
              <w14:schemeClr w14:val="tx1"/>
            </w14:solidFill>
          </w14:textFill>
        </w:rPr>
        <w:t>一项II期临床试验，旨在评估奥拉帕利治疗具有DNA修复缺陷（包括ATM、ATR、BARD1、BRCA1、BRCA2、BRIP1、CHEK1、CHEK2、RAD50、FANCG、FANCD2等基因突变）的尿路上皮癌患者的效果，该临床试验目前正在招募中[NCT03375307]。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已有研究表明，芦卡帕利在同源重组基因敲除的细胞系（如RAD51、FANCM、PALB2、ATR、BARD1），具有“合成致死”作用[29606854]。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他拉唑帕利用于治疗具有ATM、BRCA1、BRCA2、PALB2、ARID1A、MER11、RAD50、NBS1、ATR基因突变的晚期恶性肿瘤患者的II期临床试验正在开展，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临床I/II期试验，旨在评估SRA737用于治疗参与DNA修复过程的基因（包括：CCNE1、MYC、BRCA1、BRCA2、FANC、TP53、RAD50、CHEK1、ATR）相关突变/扩增的晚期癌症患者的疗效，试验结果观察到大肠癌患者（PFS：1.84个月，OS：5.72个月），高级别浆液性卵巢癌患者（PFS：1.94个月，OS：6.93个月），非小细胞肺癌患者（PFS：1.76个月，OS：6.08个月），前列腺癌患者（PFS：3.02个月），头颈部鳞状细胞癌患者（PFS：3.55个月）临床获益[NCT02797964]。</w:t>
      </w:r>
    </w:p>
    <w:p w14:paraId="21BB142A">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FBXW7</w:t>
      </w:r>
      <w:r>
        <w:rPr>
          <w:rFonts w:ascii="微软雅黑" w:hAnsi="微软雅黑" w:cs="微软雅黑"/>
          <w:b/>
          <w:color w:val="FF0000"/>
          <w:sz w:val="24"/>
        </w:rPr>
        <w:t>：</w:t>
      </w:r>
      <w:r>
        <w:rPr>
          <w:rFonts w:hint="eastAsia" w:ascii="微软雅黑" w:hAnsi="微软雅黑" w:cs="微软雅黑"/>
          <w:b/>
          <w:color w:val="FF0000"/>
          <w:sz w:val="24"/>
        </w:rPr>
        <w:t>c.1393C&gt;T，p.R465C</w:t>
      </w:r>
      <w:r>
        <w:rPr>
          <w:rStyle w:val="21"/>
          <w:rFonts w:hint="eastAsia" w:ascii="微软雅黑" w:hAnsi="微软雅黑" w:cs="微软雅黑"/>
          <w:b/>
          <w:bCs/>
          <w:color w:val="FF0000"/>
          <w:sz w:val="24"/>
          <w:szCs w:val="24"/>
          <w:u w:val="none"/>
        </w:rPr>
        <w:t>突变相应靶向药物</w:t>
      </w:r>
    </w:p>
    <w:p w14:paraId="74D36830">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依维莫司（Everolimus）、西罗莫司（Sirolimus）、替西罗莫司（Temsirolimus）</w:t>
      </w:r>
    </w:p>
    <w:p w14:paraId="355B621D">
      <w:pPr>
        <w:spacing w:after="0"/>
        <w:jc w:val="both"/>
        <w:rPr>
          <w:rFonts w:hint="eastAsia"/>
          <w:b/>
          <w:bCs/>
          <w:kern w:val="2"/>
        </w:rPr>
      </w:pPr>
      <w:r>
        <w:rPr>
          <w:rFonts w:hint="eastAsia"/>
          <w:b/>
          <w:bCs/>
          <w:kern w:val="2"/>
        </w:rPr>
        <w:t>基因变异与药物关联分析：</w:t>
      </w:r>
    </w:p>
    <w:p w14:paraId="6C44A369">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该样本检出FBXW7基因c.1393C&gt;T，p.R465C错义突变，生化实验表明，FBXW7 R465C可与NOTCH1的下游靶标MYC结合，从而可能稳定MYC蛋白并激活下游信号通路[17646409]。</w:t>
      </w:r>
      <w:r>
        <w:rPr>
          <w:rFonts w:hint="eastAsia" w:ascii="微软雅黑" w:hAnsi="微软雅黑" w:cs="Arial Unicode MS"/>
          <w:color w:val="000000" w:themeColor="text1"/>
          <w:kern w:val="2"/>
          <w:sz w:val="21"/>
          <w:szCs w:val="21"/>
          <w14:textFill>
            <w14:solidFill>
              <w14:schemeClr w14:val="tx1"/>
            </w14:solidFill>
          </w14:textFill>
        </w:rPr>
        <w:t>FBXW7为抑癌基因，mTOR 是 FBXW7介导的泛素化降解的底物之一，FBXW7功能缺失会增加 mTOR 蛋白水平，多项体外研究显示，携带FBXW7缺失变异的结直肠癌、乳腺癌细胞系对mTOR抑制剂西罗莫司敏感[23558291，18787170]。因此，该患者可能从mTOR抑制剂的治疗中获益。mTOR抑制剂包括依维莫司、西罗莫司和替西罗莫司等。FDA批准依维莫司用于治疗肾细胞癌、乳腺癌等疾病，NMPA批准其用于治疗肾细胞癌、室管膜下巨细胞型星形细胞瘤。FDA批准西罗莫司用于治疗淋巴管肌瘤病等，NMPA批准其用于预防器官排异。FDA批准替西罗莫司用于治疗肾细胞癌。</w:t>
      </w:r>
    </w:p>
    <w:p w14:paraId="7C4D4CCE">
      <w:pPr>
        <w:spacing w:after="0"/>
        <w:jc w:val="both"/>
        <w:rPr>
          <w:rFonts w:hint="eastAsia"/>
          <w:b/>
          <w:bCs/>
          <w:kern w:val="2"/>
        </w:rPr>
      </w:pPr>
      <w:r>
        <w:rPr>
          <w:rFonts w:hint="eastAsia"/>
          <w:b/>
          <w:bCs/>
          <w:kern w:val="2"/>
        </w:rPr>
        <w:t>药物疗效临床解析：</w:t>
      </w:r>
    </w:p>
    <w:p w14:paraId="15C3594B">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mTOR抑制剂（包括依维莫司、西罗莫司、替西罗莫司）用于治疗携带FBXW7基因突变的晚期实体瘤（包括结直肠癌、肝癌、头颈癌和卵巢癌）患者的临床研究中，418例受试者中有17例患者携带FBXW7突变，小样本的研究结果没有得到预期的数据，推测可能原因是携带FBXW7基因突变的患者，同时还存在KRAS基因、TP53基因等突变，尤其是在结直肠癌患者中；其中1例具有FBXW7基因突变的肝癌患者（无其它基因突变）接受mTOR抑制剂治疗后疾病稳定，已持续6.8个月，研究结果发表时患者仍在接受治疗[24586741]。1 例63岁确诊为肺腺癌的患者，在接受化疗和放疗后PD；1例患者基因检测显示EGFR基因、KRAS基因、BRAF基因、ALK基因重排、MET基因扩增突变均为阴性，检出FBXW7基因R465H功能失活突变；随后换用替西罗莫司，治疗2个周期后，肿大的纵隔淋巴结开始缩小，治疗8周期后观察到响应[24360397]。替西罗莫司用于治疗具有AKT1、AKT2、AKT3、FBXW7、FLCN、mTOR、NF1、NF2、NTRK3、PIK3CA、PIK3R1、PTEN、RHEB、STK11、TSC1、TSC2突变的转移性实体瘤（不包括原发性脑肿瘤）、多发性骨髓瘤或 B 细胞非霍奇金淋巴瘤（不包括 CLL、SLL 和 HCL）的成人（≥ 18 岁）患者的II期临床试验正在开展，正在招募患者[NCT03297606]。</w:t>
      </w:r>
    </w:p>
    <w:p w14:paraId="0BAFBAA0">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SMARCA4</w:t>
      </w:r>
      <w:r>
        <w:rPr>
          <w:rFonts w:ascii="微软雅黑" w:hAnsi="微软雅黑" w:cs="微软雅黑"/>
          <w:b/>
          <w:color w:val="FF0000"/>
          <w:sz w:val="24"/>
        </w:rPr>
        <w:t>：</w:t>
      </w:r>
      <w:r>
        <w:rPr>
          <w:rFonts w:hint="eastAsia" w:ascii="微软雅黑" w:hAnsi="微软雅黑" w:cs="微软雅黑"/>
          <w:b/>
          <w:color w:val="FF0000"/>
          <w:sz w:val="24"/>
        </w:rPr>
        <w:t>c.2644G&gt;A，p.E882K</w:t>
      </w:r>
      <w:r>
        <w:rPr>
          <w:rStyle w:val="21"/>
          <w:rFonts w:hint="eastAsia" w:ascii="微软雅黑" w:hAnsi="微软雅黑" w:cs="微软雅黑"/>
          <w:b/>
          <w:bCs/>
          <w:color w:val="FF0000"/>
          <w:sz w:val="24"/>
          <w:szCs w:val="24"/>
          <w:u w:val="none"/>
        </w:rPr>
        <w:t>突变相应靶向药物</w:t>
      </w:r>
    </w:p>
    <w:p w14:paraId="19A98D15">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伏立诺他（Vorinostat）、VX-680、哌柏西利（Palbociclib）、他泽司他（Tazemetostat）</w:t>
      </w:r>
    </w:p>
    <w:p w14:paraId="5A343938">
      <w:pPr>
        <w:spacing w:after="0"/>
        <w:jc w:val="both"/>
        <w:rPr>
          <w:rFonts w:hint="eastAsia"/>
          <w:b/>
          <w:bCs/>
          <w:kern w:val="2"/>
        </w:rPr>
      </w:pPr>
      <w:r>
        <w:rPr>
          <w:rFonts w:hint="eastAsia"/>
          <w:b/>
          <w:bCs/>
          <w:kern w:val="2"/>
        </w:rPr>
        <w:t>基因变异与药物关联分析：</w:t>
      </w:r>
    </w:p>
    <w:p w14:paraId="0CDCA312">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该样本检出SMARCA4基因c.2644G&gt;A，p.E882K错义突变，</w:t>
      </w:r>
      <w:r>
        <w:rPr>
          <w:rFonts w:hint="eastAsia" w:ascii="微软雅黑" w:hAnsi="微软雅黑" w:cs="微软雅黑"/>
          <w:sz w:val="21"/>
          <w:lang w:val="en-US" w:eastAsia="zh-CN"/>
        </w:rPr>
        <w:t>研究发现，该突变具有失活作用，表现为</w:t>
      </w:r>
      <w:r>
        <w:rPr>
          <w:rFonts w:hint="eastAsia" w:ascii="微软雅黑" w:hAnsi="微软雅黑" w:cs="微软雅黑"/>
          <w:sz w:val="21"/>
          <w:lang w:eastAsia="zh-CN"/>
        </w:rPr>
        <w:t>不能挽救 SMARCA2 的缺失</w:t>
      </w:r>
      <w:r>
        <w:rPr>
          <w:rFonts w:hint="eastAsia" w:ascii="微软雅黑" w:hAnsi="微软雅黑" w:cs="微软雅黑"/>
          <w:sz w:val="21"/>
          <w:lang w:val="en-US" w:eastAsia="zh-CN"/>
        </w:rPr>
        <w:t>[</w:t>
      </w:r>
      <w:r>
        <w:rPr>
          <w:rFonts w:hint="eastAsia" w:ascii="微软雅黑" w:hAnsi="微软雅黑" w:cs="微软雅黑"/>
          <w:sz w:val="21"/>
          <w:lang w:eastAsia="zh-CN"/>
        </w:rPr>
        <w:t>33144586</w:t>
      </w:r>
      <w:r>
        <w:rPr>
          <w:rFonts w:hint="eastAsia" w:ascii="微软雅黑" w:hAnsi="微软雅黑" w:cs="微软雅黑"/>
          <w:sz w:val="21"/>
          <w:lang w:val="en-US" w:eastAsia="zh-CN"/>
        </w:rPr>
        <w:t>]</w:t>
      </w:r>
      <w:r>
        <w:rPr>
          <w:rFonts w:hint="eastAsia" w:ascii="微软雅黑" w:hAnsi="微软雅黑" w:cs="微软雅黑"/>
          <w:sz w:val="21"/>
        </w:rPr>
        <w:t>。</w:t>
      </w:r>
      <w:r>
        <w:rPr>
          <w:rFonts w:hint="eastAsia" w:ascii="微软雅黑" w:hAnsi="微软雅黑" w:cs="Arial Unicode MS"/>
          <w:color w:val="000000" w:themeColor="text1"/>
          <w:kern w:val="2"/>
          <w:sz w:val="21"/>
          <w:szCs w:val="21"/>
          <w14:textFill>
            <w14:solidFill>
              <w14:schemeClr w14:val="tx1"/>
            </w14:solidFill>
          </w14:textFill>
        </w:rPr>
        <w:t>体外药物筛选实验研究发现，与正常表达SMARCA4及SMARCA2的4个卵巢癌细胞系相比，缺陷型的SCCOHT细胞系对泛HDAC抑制剂伏立诺他敏感，提示伏立诺他作为靶向药物治疗SMARCA4缺陷型患者可能有效[2015 AACR Abstract 5381]</w:t>
      </w:r>
      <w:r>
        <w:rPr>
          <w:rFonts w:hint="eastAsia" w:ascii="微软雅黑" w:hAnsi="微软雅黑" w:cs="Arial Unicode MS"/>
          <w:color w:val="000000" w:themeColor="text1"/>
          <w:kern w:val="2"/>
          <w:sz w:val="21"/>
          <w:szCs w:val="21"/>
          <w:lang w:eastAsia="zh-CN"/>
          <w14:textFill>
            <w14:solidFill>
              <w14:schemeClr w14:val="tx1"/>
            </w14:solidFill>
          </w14:textFill>
        </w:rPr>
        <w:t>。</w:t>
      </w:r>
      <w:r>
        <w:rPr>
          <w:rFonts w:hint="eastAsia" w:ascii="微软雅黑" w:hAnsi="微软雅黑" w:cs="Arial Unicode MS"/>
          <w:color w:val="000000" w:themeColor="text1"/>
          <w:kern w:val="2"/>
          <w:sz w:val="21"/>
          <w:szCs w:val="21"/>
          <w14:textFill>
            <w14:solidFill>
              <w14:schemeClr w14:val="tx1"/>
            </w14:solidFill>
          </w14:textFill>
        </w:rPr>
        <w:t>伏立诺他是一种泛HDAC抑制剂，FDA已批准伏立诺他用于治疗皮肤T细胞淋巴瘤。另有研究发现，SMARCA4失活突变可增加对Aurora激酶A抑制剂VX-680的敏感性[28102363]。VX-680是一种Aurora激酶A抑制剂，目前正在开展临床试验。哌柏西利是一种细胞周期蛋白依赖性激酶（CDK4和CDK6）抑制剂，已获FDA和NMPA批准用于治疗乳腺癌患者。他泽司他是一种甲基转移酶抑制剂，已获FDA批准用于治疗上皮样肉瘤、复发性或难治性滤泡性淋巴瘤患者</w:t>
      </w:r>
      <w:r>
        <w:rPr>
          <w:rFonts w:hint="eastAsia" w:ascii="微软雅黑" w:hAnsi="微软雅黑" w:cs="Arial Unicode MS"/>
          <w:color w:val="000000" w:themeColor="text1"/>
          <w:kern w:val="2"/>
          <w:sz w:val="21"/>
          <w:szCs w:val="21"/>
          <w:lang w:eastAsia="zh-CN"/>
          <w14:textFill>
            <w14:solidFill>
              <w14:schemeClr w14:val="tx1"/>
            </w14:solidFill>
          </w14:textFill>
        </w:rPr>
        <w:t>，NMPA批准用于治疗复发或难治性滤泡性淋巴瘤</w:t>
      </w:r>
      <w:r>
        <w:rPr>
          <w:rFonts w:hint="eastAsia" w:ascii="微软雅黑" w:hAnsi="微软雅黑" w:cs="Arial Unicode MS"/>
          <w:color w:val="000000" w:themeColor="text1"/>
          <w:kern w:val="2"/>
          <w:sz w:val="21"/>
          <w:szCs w:val="21"/>
          <w14:textFill>
            <w14:solidFill>
              <w14:schemeClr w14:val="tx1"/>
            </w14:solidFill>
          </w14:textFill>
        </w:rPr>
        <w:t>。</w:t>
      </w:r>
    </w:p>
    <w:p w14:paraId="490C1260">
      <w:pPr>
        <w:spacing w:after="0"/>
        <w:jc w:val="both"/>
        <w:rPr>
          <w:rFonts w:hint="eastAsia"/>
          <w:b/>
          <w:bCs/>
          <w:kern w:val="2"/>
        </w:rPr>
      </w:pPr>
      <w:r>
        <w:rPr>
          <w:rFonts w:hint="eastAsia"/>
          <w:b/>
          <w:bCs/>
          <w:kern w:val="2"/>
        </w:rPr>
        <w:t>药物疗效临床解析：</w:t>
      </w:r>
    </w:p>
    <w:p w14:paraId="6D3E41D0">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SMARCA4以及SMARCA2失活突变在一种罕见致命性卵巢癌（SCCOHT）中频繁发生，重新表达SMARCA4或SMARCA2可有效抑制细胞增殖[26356327]。体外药物筛选实验研究发现，与正常表达SMARCA4及SMARCA2的4个卵巢癌细胞系相比，缺陷型的SCCOHT细胞系对泛HDAC抑制剂伏立诺他敏感，提示伏立诺他作为靶向药物治疗 SMARCA4 缺陷型肿瘤患者可能有效[2015 AACR Abstract 5381]。体外研究表明，Aurora激酶A是缺乏SMARCA4 的非小细胞肺癌细胞所必需的，该研究采用携带SMARCA4失活突变的NSCLC细胞系、SMARCA4野生型的NSCLC细胞系以及永生化的正常人支气管上皮细胞系，开展包含紫杉醇、培美曲塞、依托泊苷、厄洛替尼、克唑替尼等多种癌症治疗药物在内的药物试验，结果表明SMARCA4失活的NSCLC细胞系对VX-680选择性更敏感，但对其他抗癌剂或细胞毒素不敏感，提示VX-680可能作为SMARCA4缺陷型肿瘤的靶向药物[28102363]。一项旨在评估针对癌症异常基因变化的靶向治疗药物疗效（该试验组中包括使用哌柏西利治疗携带CDKN2A、CDK4、CCND1、SMARCA4突变的患者）的II期篮子试验正在招募患者[NCT03297606]。一项旨在评估他泽司他用于治疗携带EZH2、SMARCB1或SMARCA4基因突变的脑瘤、非霍奇金淋巴瘤、实体瘤疗效的II期临床实验正在招募患者[NCT03213665]。</w:t>
      </w:r>
    </w:p>
    <w:p w14:paraId="6CD8C745">
      <w:pPr>
        <w:keepNext w:val="0"/>
        <w:keepLines w:val="0"/>
        <w:pageBreakBefore w:val="0"/>
        <w:numPr>
          <w:ilvl w:val="0"/>
          <w:numId w:val="11"/>
        </w:numPr>
        <w:kinsoku/>
        <w:wordWrap/>
        <w:overflowPunct/>
        <w:topLinePunct w:val="0"/>
        <w:bidi w:val="0"/>
        <w:spacing w:before="200"/>
        <w:outlineLvl w:val="9"/>
        <w:rPr>
          <w:rStyle w:val="21"/>
          <w:rFonts w:hint="eastAsia" w:ascii="微软雅黑" w:hAnsi="微软雅黑" w:eastAsia="宋体" w:cs="微软雅黑"/>
          <w:b/>
          <w:bCs/>
          <w:color w:val="FF0000"/>
          <w:sz w:val="24"/>
          <w:szCs w:val="24"/>
          <w:u w:val="none"/>
        </w:rPr>
      </w:pPr>
      <w:r>
        <w:rPr>
          <w:rStyle w:val="21"/>
          <w:rFonts w:hint="eastAsia" w:ascii="微软雅黑" w:hAnsi="微软雅黑" w:eastAsia="微软雅黑" w:cs="微软雅黑"/>
          <w:b/>
          <w:bCs/>
          <w:color w:val="FF0000"/>
          <w:kern w:val="0"/>
          <w:sz w:val="24"/>
          <w:szCs w:val="24"/>
          <w:highlight w:val="none"/>
          <w:u w:val="none"/>
          <w:lang w:val="en-US" w:eastAsia="zh-CN"/>
        </w:rPr>
        <w:t>CREBBP</w:t>
      </w:r>
      <w:r>
        <w:rPr>
          <w:rStyle w:val="21"/>
          <w:rFonts w:hint="eastAsia" w:ascii="微软雅黑" w:hAnsi="微软雅黑" w:cs="微软雅黑"/>
          <w:b/>
          <w:bCs/>
          <w:color w:val="FF0000"/>
          <w:kern w:val="0"/>
          <w:sz w:val="24"/>
          <w:szCs w:val="24"/>
          <w:highlight w:val="none"/>
          <w:u w:val="none"/>
          <w:lang w:val="en-US" w:eastAsia="zh-CN"/>
        </w:rPr>
        <w:t>：c.3250del，p.I1084Sfs*15</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32AA0E50">
      <w:pPr>
        <w:numPr>
          <w:ilvl w:val="0"/>
          <w:numId w:val="12"/>
        </w:numPr>
        <w:spacing w:before="181" w:beforeLines="50" w:after="181" w:afterLines="50"/>
        <w:ind w:left="420" w:leftChars="0" w:hanging="420" w:firstLineChars="0"/>
        <w:rPr>
          <w:rFonts w:hint="eastAsia" w:ascii="微软雅黑" w:hAnsi="微软雅黑" w:eastAsia="微软雅黑" w:cs="微软雅黑"/>
          <w:b/>
          <w:bCs/>
          <w:color w:val="auto"/>
          <w:sz w:val="24"/>
          <w:szCs w:val="24"/>
          <w:highlight w:val="none"/>
          <w:u w:val="none"/>
          <w:lang w:val="en-US" w:eastAsia="zh-CN"/>
        </w:rPr>
      </w:pPr>
      <w:bookmarkStart w:id="206" w:name="帕比司他兰8"/>
      <w:bookmarkStart w:id="207" w:name="帕比司他（Panobinostat）"/>
      <w:bookmarkStart w:id="208" w:name="帕比司他（Panobinostat）怀"/>
      <w:r>
        <w:rPr>
          <w:rFonts w:hint="eastAsia" w:ascii="微软雅黑" w:hAnsi="微软雅黑" w:eastAsia="微软雅黑" w:cs="微软雅黑"/>
          <w:b/>
          <w:bCs/>
          <w:color w:val="0000FF"/>
          <w:kern w:val="0"/>
          <w:sz w:val="24"/>
          <w:szCs w:val="24"/>
          <w:highlight w:val="none"/>
          <w:u w:val="none"/>
        </w:rPr>
        <w:fldChar w:fldCharType="begin"/>
      </w:r>
      <w:r>
        <w:rPr>
          <w:rFonts w:hint="eastAsia" w:ascii="微软雅黑" w:hAnsi="微软雅黑" w:eastAsia="微软雅黑" w:cs="微软雅黑"/>
          <w:b/>
          <w:bCs/>
          <w:color w:val="0000FF"/>
          <w:kern w:val="0"/>
          <w:sz w:val="24"/>
          <w:szCs w:val="24"/>
          <w:highlight w:val="none"/>
          <w:u w:val="non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none"/>
        </w:rPr>
        <w:fldChar w:fldCharType="separate"/>
      </w:r>
      <w:r>
        <w:rPr>
          <w:rStyle w:val="21"/>
          <w:rFonts w:hint="eastAsia" w:ascii="微软雅黑" w:hAnsi="微软雅黑" w:eastAsia="微软雅黑" w:cs="微软雅黑"/>
          <w:b/>
          <w:bCs/>
          <w:color w:val="0000FF"/>
          <w:kern w:val="0"/>
          <w:sz w:val="24"/>
          <w:szCs w:val="24"/>
          <w:highlight w:val="none"/>
        </w:rPr>
        <w:t>帕比司他（Panobinostat）</w:t>
      </w:r>
      <w:r>
        <w:rPr>
          <w:rFonts w:hint="eastAsia" w:ascii="微软雅黑" w:hAnsi="微软雅黑" w:eastAsia="微软雅黑" w:cs="微软雅黑"/>
          <w:b/>
          <w:bCs/>
          <w:color w:val="0000FF"/>
          <w:kern w:val="0"/>
          <w:sz w:val="24"/>
          <w:szCs w:val="24"/>
          <w:highlight w:val="none"/>
          <w:u w:val="none"/>
        </w:rPr>
        <w:fldChar w:fldCharType="end"/>
      </w:r>
      <w:bookmarkEnd w:id="206"/>
      <w:bookmarkEnd w:id="207"/>
      <w:r>
        <w:rPr>
          <w:rFonts w:hint="eastAsia" w:ascii="微软雅黑" w:hAnsi="微软雅黑" w:cs="微软雅黑"/>
          <w:b/>
          <w:bCs/>
          <w:color w:val="0000FF"/>
          <w:kern w:val="0"/>
          <w:sz w:val="24"/>
          <w:szCs w:val="24"/>
          <w:highlight w:val="none"/>
          <w:u w:val="single"/>
          <w:lang w:eastAsia="zh-CN"/>
        </w:rPr>
        <w:t>、</w:t>
      </w:r>
      <w:r>
        <w:rPr>
          <w:rFonts w:hint="eastAsia" w:ascii="微软雅黑" w:hAnsi="微软雅黑" w:eastAsia="微软雅黑" w:cs="微软雅黑"/>
          <w:b/>
          <w:bCs/>
          <w:color w:val="0000FF"/>
          <w:kern w:val="0"/>
          <w:sz w:val="24"/>
          <w:szCs w:val="24"/>
          <w:highlight w:val="none"/>
          <w:u w:val="none"/>
        </w:rPr>
        <w:fldChar w:fldCharType="begin"/>
      </w:r>
      <w:r>
        <w:rPr>
          <w:rFonts w:hint="eastAsia" w:ascii="微软雅黑" w:hAnsi="微软雅黑" w:eastAsia="微软雅黑" w:cs="微软雅黑"/>
          <w:b/>
          <w:bCs/>
          <w:color w:val="0000FF"/>
          <w:kern w:val="0"/>
          <w:sz w:val="24"/>
          <w:szCs w:val="24"/>
          <w:highlight w:val="none"/>
          <w:u w:val="non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none"/>
        </w:rPr>
        <w:fldChar w:fldCharType="separate"/>
      </w:r>
      <w:r>
        <w:rPr>
          <w:rStyle w:val="21"/>
          <w:rFonts w:hint="eastAsia" w:ascii="微软雅黑" w:hAnsi="微软雅黑" w:eastAsia="微软雅黑" w:cs="微软雅黑"/>
          <w:b/>
          <w:bCs/>
          <w:color w:val="0000FF"/>
          <w:kern w:val="0"/>
          <w:sz w:val="24"/>
          <w:szCs w:val="24"/>
          <w:highlight w:val="none"/>
        </w:rPr>
        <w:t>伏立诺他（Vorinostat）</w:t>
      </w:r>
      <w:r>
        <w:rPr>
          <w:rFonts w:hint="eastAsia" w:ascii="微软雅黑" w:hAnsi="微软雅黑" w:eastAsia="微软雅黑" w:cs="微软雅黑"/>
          <w:b/>
          <w:bCs/>
          <w:color w:val="0000FF"/>
          <w:kern w:val="0"/>
          <w:sz w:val="24"/>
          <w:szCs w:val="24"/>
          <w:highlight w:val="none"/>
          <w:u w:val="none"/>
        </w:rPr>
        <w:fldChar w:fldCharType="end"/>
      </w:r>
    </w:p>
    <w:bookmarkEnd w:id="208"/>
    <w:p w14:paraId="63D68E66">
      <w:pPr>
        <w:spacing w:beforeLines="0" w:after="0" w:afterLines="0"/>
        <w:ind w:firstLine="0" w:firstLineChars="0"/>
        <w:jc w:val="both"/>
        <w:rPr>
          <w:rFonts w:hint="eastAsia" w:ascii="微软雅黑" w:hAnsi="微软雅黑" w:cs="Arial Unicode MS"/>
          <w:color w:val="auto"/>
          <w:kern w:val="2"/>
          <w:sz w:val="21"/>
          <w:szCs w:val="21"/>
          <w:highlight w:val="none"/>
          <w:lang w:val="en-US" w:eastAsia="zh-CN"/>
        </w:rPr>
      </w:pPr>
      <w:r>
        <w:rPr>
          <w:rFonts w:hint="eastAsia"/>
          <w:b/>
          <w:bCs/>
          <w:kern w:val="2"/>
          <w:highlight w:val="none"/>
          <w:lang w:eastAsia="zh-CN"/>
        </w:rPr>
        <w:t>基因变异与药物关联分析：</w:t>
      </w:r>
    </w:p>
    <w:p w14:paraId="647EEE99">
      <w:pPr>
        <w:keepNext w:val="0"/>
        <w:keepLines w:val="0"/>
        <w:pageBreakBefore w:val="0"/>
        <w:widowControl/>
        <w:kinsoku/>
        <w:wordWrap/>
        <w:overflowPunct/>
        <w:topLinePunct w:val="0"/>
        <w:autoSpaceDE/>
        <w:autoSpaceDN/>
        <w:bidi w:val="0"/>
        <w:adjustRightInd w:val="0"/>
        <w:snapToGrid w:val="0"/>
        <w:spacing w:beforeLines="0" w:after="0"/>
        <w:ind w:firstLine="420" w:firstLineChars="200"/>
        <w:jc w:val="both"/>
        <w:textAlignment w:val="auto"/>
        <w:outlineLvl w:val="9"/>
        <w:rPr>
          <w:rFonts w:hint="eastAsia" w:ascii="微软雅黑" w:hAnsi="微软雅黑" w:cs="Arial Unicode MS"/>
          <w:kern w:val="2"/>
          <w:sz w:val="21"/>
          <w:szCs w:val="21"/>
          <w:highlight w:val="none"/>
          <w:lang w:eastAsia="zh-CN"/>
        </w:rPr>
      </w:pPr>
      <w:r>
        <w:rPr>
          <w:rFonts w:hint="eastAsia" w:ascii="微软雅黑" w:hAnsi="微软雅黑" w:cs="Arial Unicode MS"/>
          <w:kern w:val="2"/>
          <w:sz w:val="21"/>
          <w:szCs w:val="21"/>
          <w:highlight w:val="none"/>
          <w:lang w:eastAsia="zh-CN"/>
        </w:rPr>
        <w:t>该样本检出CREBBP基因c.3250del，p.I1084Sfs*15</w:t>
      </w:r>
      <w:r>
        <w:rPr>
          <w:rFonts w:hint="eastAsia" w:ascii="微软雅黑" w:hAnsi="微软雅黑" w:cs="Arial Unicode MS"/>
          <w:kern w:val="2"/>
          <w:sz w:val="21"/>
          <w:szCs w:val="21"/>
          <w:highlight w:val="none"/>
          <w:lang w:val="en-US" w:eastAsia="zh-CN"/>
        </w:rPr>
        <w:t>碱基缺失引起的移码</w:t>
      </w:r>
      <w:r>
        <w:rPr>
          <w:rFonts w:hint="eastAsia" w:ascii="微软雅黑" w:hAnsi="微软雅黑" w:cs="微软雅黑"/>
          <w:sz w:val="21"/>
        </w:rPr>
        <w:t>突变</w:t>
      </w:r>
      <w:r>
        <w:rPr>
          <w:rFonts w:hint="eastAsia" w:ascii="微软雅黑" w:hAnsi="微软雅黑" w:cs="Times New Roman"/>
          <w:bCs/>
          <w:color w:val="auto"/>
          <w:kern w:val="2"/>
          <w:sz w:val="21"/>
          <w:szCs w:val="21"/>
          <w:highlight w:val="none"/>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ascii="微软雅黑" w:hAnsi="微软雅黑" w:eastAsia="微软雅黑" w:cs="微软雅黑"/>
          <w:sz w:val="21"/>
          <w:highlight w:val="none"/>
        </w:rPr>
        <w:t>。</w:t>
      </w:r>
      <w:r>
        <w:rPr>
          <w:rFonts w:hint="eastAsia" w:ascii="微软雅黑" w:hAnsi="微软雅黑" w:cs="Arial Unicode MS"/>
          <w:kern w:val="2"/>
          <w:sz w:val="21"/>
          <w:szCs w:val="21"/>
          <w:highlight w:val="none"/>
          <w:lang w:eastAsia="zh-CN"/>
        </w:rPr>
        <w:t>CREBBP 基因编码具有内在组蛋白乙酰转移酶（HAT）活性的转录辅助激活物，与 EP300 为共激活剂。在细胞核内，组蛋白乙酰化与组蛋白去乙酰化过程处于动态平衡，并由组蛋白乙酰化转移酶（histone acetyltransferase，HAT）和组蛋白去乙酰化酶（histone deacetylase，HDAC）共同调控。有研究表明，CREBBP功能缺失导致组蛋白乙酰化失效并导致</w:t>
      </w:r>
      <w:r>
        <w:rPr>
          <w:rFonts w:hint="eastAsia" w:ascii="微软雅黑" w:hAnsi="微软雅黑" w:cs="Arial Unicode MS"/>
          <w:kern w:val="2"/>
          <w:sz w:val="21"/>
          <w:szCs w:val="21"/>
          <w:highlight w:val="none"/>
          <w:lang w:val="en-US" w:eastAsia="zh-CN"/>
        </w:rPr>
        <w:t>BCL6/SMRT/HDAC3复合物</w:t>
      </w:r>
      <w:r>
        <w:rPr>
          <w:rFonts w:hint="eastAsia" w:ascii="微软雅黑" w:hAnsi="微软雅黑" w:cs="Arial Unicode MS"/>
          <w:kern w:val="2"/>
          <w:sz w:val="21"/>
          <w:szCs w:val="21"/>
          <w:highlight w:val="none"/>
          <w:lang w:eastAsia="zh-CN"/>
        </w:rPr>
        <w:t>在</w:t>
      </w:r>
      <w:r>
        <w:rPr>
          <w:rFonts w:hint="eastAsia" w:ascii="微软雅黑" w:hAnsi="微软雅黑" w:cs="Arial Unicode MS"/>
          <w:kern w:val="2"/>
          <w:sz w:val="21"/>
          <w:szCs w:val="21"/>
          <w:highlight w:val="none"/>
          <w:lang w:val="en-US" w:eastAsia="zh-CN"/>
        </w:rPr>
        <w:t>B细胞信号传导和免疫应答的基因的异常转录沉默，无法对抗组蛋白去乙酰化[27733359]。</w:t>
      </w:r>
      <w:r>
        <w:rPr>
          <w:rFonts w:hint="eastAsia" w:ascii="微软雅黑" w:hAnsi="微软雅黑" w:cs="Arial Unicode MS"/>
          <w:kern w:val="2"/>
          <w:sz w:val="21"/>
          <w:szCs w:val="21"/>
          <w:highlight w:val="none"/>
          <w:lang w:eastAsia="zh-CN"/>
        </w:rPr>
        <w:t>帕比司他是一种HDAC抑制剂，可在低浓度下抑制HDACs 的酶活性，增强组蛋白的乙酰化，使核染色质松弛，激活转录。FDA批准帕比司他联合硼替佐米和地塞米松用于治疗多发性骨髓瘤。伏立诺他是一种泛HDAC抑制剂，结合HDACs催化结构域，抑制脱乙酰作用，导致高乙酰化组蛋白和转录因子积累，诱导细胞周期停止，细胞凋亡。FDA 已批准伏立诺他用于治疗皮肤T细胞淋巴瘤。</w:t>
      </w:r>
    </w:p>
    <w:p w14:paraId="39C36B19">
      <w:pPr>
        <w:keepNext w:val="0"/>
        <w:keepLines w:val="0"/>
        <w:pageBreakBefore w:val="0"/>
        <w:widowControl/>
        <w:kinsoku/>
        <w:wordWrap/>
        <w:overflowPunct/>
        <w:topLinePunct w:val="0"/>
        <w:autoSpaceDE/>
        <w:autoSpaceDN/>
        <w:bidi w:val="0"/>
        <w:adjustRightInd w:val="0"/>
        <w:snapToGrid w:val="0"/>
        <w:spacing w:beforeLines="0" w:after="0"/>
        <w:ind w:firstLine="420" w:firstLineChars="200"/>
        <w:jc w:val="both"/>
        <w:textAlignment w:val="auto"/>
        <w:outlineLvl w:val="9"/>
        <w:rPr>
          <w:rFonts w:hint="eastAsia" w:ascii="微软雅黑" w:hAnsi="微软雅黑" w:cs="Arial Unicode MS"/>
          <w:kern w:val="2"/>
          <w:sz w:val="21"/>
          <w:szCs w:val="21"/>
          <w:highlight w:val="none"/>
          <w:lang w:eastAsia="zh-CN"/>
        </w:rPr>
      </w:pPr>
    </w:p>
    <w:p w14:paraId="224F78FF">
      <w:pPr>
        <w:spacing w:after="0"/>
        <w:jc w:val="both"/>
        <w:rPr>
          <w:rFonts w:hint="eastAsia"/>
          <w:b/>
          <w:bCs/>
          <w:kern w:val="2"/>
          <w:highlight w:val="none"/>
          <w:lang w:eastAsia="zh-CN"/>
        </w:rPr>
      </w:pPr>
      <w:r>
        <w:rPr>
          <w:rFonts w:hint="eastAsia"/>
          <w:b/>
          <w:bCs/>
          <w:kern w:val="2"/>
          <w:highlight w:val="none"/>
          <w:lang w:eastAsia="zh-CN"/>
        </w:rPr>
        <w:t>药物疗效临床解析：</w:t>
      </w:r>
    </w:p>
    <w:p w14:paraId="7072FA4B">
      <w:pPr>
        <w:spacing w:after="0"/>
        <w:ind w:firstLine="420" w:firstLineChars="200"/>
        <w:jc w:val="both"/>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lang w:eastAsia="zh-CN"/>
        </w:rPr>
        <w:t>帕比司他用于复发性弥漫性大</w:t>
      </w:r>
      <w:r>
        <w:rPr>
          <w:rFonts w:hint="eastAsia" w:ascii="微软雅黑" w:hAnsi="微软雅黑" w:cs="Arial Unicode MS"/>
          <w:kern w:val="2"/>
          <w:sz w:val="21"/>
          <w:szCs w:val="21"/>
          <w:highlight w:val="none"/>
          <w:lang w:val="en-US" w:eastAsia="zh-CN"/>
        </w:rPr>
        <w:t>B细胞淋巴瘤（</w:t>
      </w:r>
      <w:r>
        <w:rPr>
          <w:rFonts w:hint="eastAsia" w:ascii="微软雅黑" w:hAnsi="微软雅黑" w:cs="Arial Unicode MS"/>
          <w:kern w:val="2"/>
          <w:sz w:val="21"/>
          <w:szCs w:val="21"/>
          <w:highlight w:val="none"/>
          <w:lang w:eastAsia="zh-CN"/>
        </w:rPr>
        <w:t>DLBCL</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患者的</w:t>
      </w:r>
      <w:r>
        <w:rPr>
          <w:rFonts w:hint="eastAsia" w:ascii="微软雅黑" w:hAnsi="微软雅黑" w:cs="Arial Unicode MS"/>
          <w:kern w:val="2"/>
          <w:sz w:val="21"/>
          <w:szCs w:val="21"/>
          <w:highlight w:val="none"/>
          <w:lang w:eastAsia="zh-CN"/>
        </w:rPr>
        <w:fldChar w:fldCharType="begin"/>
      </w:r>
      <w:r>
        <w:rPr>
          <w:rFonts w:hint="eastAsia" w:ascii="微软雅黑" w:hAnsi="微软雅黑" w:cs="Arial Unicode MS"/>
          <w:kern w:val="2"/>
          <w:sz w:val="21"/>
          <w:szCs w:val="21"/>
          <w:highlight w:val="none"/>
          <w:lang w:eastAsia="zh-CN"/>
        </w:rPr>
        <w:instrText xml:space="preserve"> = 2 \* ROMAN \* MERGEFORMAT </w:instrText>
      </w:r>
      <w:r>
        <w:rPr>
          <w:rFonts w:hint="eastAsia" w:ascii="微软雅黑" w:hAnsi="微软雅黑" w:cs="Arial Unicode MS"/>
          <w:kern w:val="2"/>
          <w:sz w:val="21"/>
          <w:szCs w:val="21"/>
          <w:highlight w:val="none"/>
          <w:lang w:eastAsia="zh-CN"/>
        </w:rPr>
        <w:fldChar w:fldCharType="separate"/>
      </w:r>
      <w:r>
        <w:rPr>
          <w:highlight w:val="none"/>
        </w:rPr>
        <w:t>II</w:t>
      </w:r>
      <w:r>
        <w:rPr>
          <w:rFonts w:hint="eastAsia" w:ascii="微软雅黑" w:hAnsi="微软雅黑" w:cs="Arial Unicode MS"/>
          <w:kern w:val="2"/>
          <w:sz w:val="21"/>
          <w:szCs w:val="21"/>
          <w:highlight w:val="none"/>
          <w:lang w:eastAsia="zh-CN"/>
        </w:rPr>
        <w:fldChar w:fldCharType="end"/>
      </w:r>
      <w:r>
        <w:rPr>
          <w:rFonts w:hint="eastAsia" w:ascii="微软雅黑" w:hAnsi="微软雅黑" w:cs="Arial Unicode MS"/>
          <w:kern w:val="2"/>
          <w:sz w:val="21"/>
          <w:szCs w:val="21"/>
          <w:highlight w:val="none"/>
          <w:lang w:eastAsia="zh-CN"/>
        </w:rPr>
        <w:t>期临床试验结果显示，28%的患者（11/40）获得响应，包括13例具有CREBBP或EP300基因突变患者中2例患者</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27166360</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体外研究显示，HDAC抑制剂伏立诺他可诱导携带CREBBP或EP300基因突变的</w:t>
      </w:r>
      <w:r>
        <w:rPr>
          <w:rFonts w:hint="eastAsia" w:ascii="微软雅黑" w:hAnsi="微软雅黑" w:cs="Arial Unicode MS"/>
          <w:kern w:val="2"/>
          <w:sz w:val="21"/>
          <w:szCs w:val="21"/>
          <w:highlight w:val="none"/>
          <w:lang w:eastAsia="zh-CN"/>
        </w:rPr>
        <w:t>弥漫型大</w:t>
      </w:r>
      <w:r>
        <w:rPr>
          <w:rFonts w:hint="eastAsia" w:ascii="微软雅黑" w:hAnsi="微软雅黑" w:cs="Arial Unicode MS"/>
          <w:kern w:val="2"/>
          <w:sz w:val="21"/>
          <w:szCs w:val="21"/>
          <w:highlight w:val="none"/>
          <w:lang w:val="en-US" w:eastAsia="zh-CN"/>
        </w:rPr>
        <w:t>B细胞淋巴瘤（</w:t>
      </w:r>
      <w:r>
        <w:rPr>
          <w:rFonts w:hint="eastAsia" w:ascii="微软雅黑" w:hAnsi="微软雅黑" w:cs="Arial Unicode MS"/>
          <w:kern w:val="2"/>
          <w:sz w:val="21"/>
          <w:szCs w:val="21"/>
          <w:highlight w:val="none"/>
        </w:rPr>
        <w:t>DLBCL</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细胞系快速凋亡</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24371765</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。一项伏立诺他用于治疗难治性DLBCL患者的临床</w:t>
      </w:r>
      <w:r>
        <w:rPr>
          <w:rFonts w:hint="eastAsia" w:ascii="微软雅黑" w:hAnsi="微软雅黑" w:cs="Arial Unicode MS"/>
          <w:kern w:val="2"/>
          <w:sz w:val="21"/>
          <w:szCs w:val="21"/>
          <w:highlight w:val="none"/>
          <w:lang w:eastAsia="zh-CN"/>
        </w:rPr>
        <w:fldChar w:fldCharType="begin"/>
      </w:r>
      <w:r>
        <w:rPr>
          <w:rFonts w:hint="eastAsia" w:ascii="微软雅黑" w:hAnsi="微软雅黑" w:cs="Arial Unicode MS"/>
          <w:kern w:val="2"/>
          <w:sz w:val="21"/>
          <w:szCs w:val="21"/>
          <w:highlight w:val="none"/>
          <w:lang w:eastAsia="zh-CN"/>
        </w:rPr>
        <w:instrText xml:space="preserve"> = 2 \* ROMAN \* MERGEFORMAT </w:instrText>
      </w:r>
      <w:r>
        <w:rPr>
          <w:rFonts w:hint="eastAsia" w:ascii="微软雅黑" w:hAnsi="微软雅黑" w:cs="Arial Unicode MS"/>
          <w:kern w:val="2"/>
          <w:sz w:val="21"/>
          <w:szCs w:val="21"/>
          <w:highlight w:val="none"/>
          <w:lang w:eastAsia="zh-CN"/>
        </w:rPr>
        <w:fldChar w:fldCharType="separate"/>
      </w:r>
      <w:r>
        <w:rPr>
          <w:highlight w:val="none"/>
        </w:rPr>
        <w:t>II</w:t>
      </w:r>
      <w:r>
        <w:rPr>
          <w:rFonts w:hint="eastAsia" w:ascii="微软雅黑" w:hAnsi="微软雅黑" w:cs="Arial Unicode MS"/>
          <w:kern w:val="2"/>
          <w:sz w:val="21"/>
          <w:szCs w:val="21"/>
          <w:highlight w:val="none"/>
          <w:lang w:eastAsia="zh-CN"/>
        </w:rPr>
        <w:fldChar w:fldCharType="end"/>
      </w:r>
      <w:r>
        <w:rPr>
          <w:rFonts w:hint="eastAsia" w:ascii="微软雅黑" w:hAnsi="微软雅黑" w:cs="Arial Unicode MS"/>
          <w:kern w:val="2"/>
          <w:sz w:val="21"/>
          <w:szCs w:val="21"/>
          <w:highlight w:val="none"/>
        </w:rPr>
        <w:t>期试验，共纳入18例患者，其中</w:t>
      </w:r>
      <w:r>
        <w:rPr>
          <w:rFonts w:hint="eastAsia" w:ascii="微软雅黑" w:hAnsi="微软雅黑" w:cs="Arial Unicode MS"/>
          <w:kern w:val="2"/>
          <w:sz w:val="21"/>
          <w:szCs w:val="21"/>
          <w:highlight w:val="none"/>
          <w:lang w:val="en-US" w:eastAsia="zh-CN"/>
        </w:rPr>
        <w:t>1</w:t>
      </w:r>
      <w:r>
        <w:rPr>
          <w:rFonts w:hint="eastAsia" w:ascii="微软雅黑" w:hAnsi="微软雅黑" w:cs="Arial Unicode MS"/>
          <w:kern w:val="2"/>
          <w:sz w:val="21"/>
          <w:szCs w:val="21"/>
          <w:highlight w:val="none"/>
        </w:rPr>
        <w:t>例携带CREBBP基因突变的患者获得响应</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18296419</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rPr>
        <w:t>。</w:t>
      </w:r>
    </w:p>
    <w:p w14:paraId="330B3249">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ARID1A</w:t>
      </w:r>
      <w:r>
        <w:rPr>
          <w:rFonts w:ascii="微软雅黑" w:hAnsi="微软雅黑" w:cs="微软雅黑"/>
          <w:b/>
          <w:color w:val="FF0000"/>
          <w:sz w:val="24"/>
        </w:rPr>
        <w:t>：</w:t>
      </w:r>
      <w:r>
        <w:rPr>
          <w:rFonts w:hint="eastAsia" w:ascii="微软雅黑" w:hAnsi="微软雅黑" w:cs="微软雅黑"/>
          <w:b/>
          <w:color w:val="FF0000"/>
          <w:sz w:val="24"/>
        </w:rPr>
        <w:t>c.1015del，p.A339Lfs*24</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65F68659">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尼拉帕利（Niraparib）、他拉唑帕利（Talazoparib）、AZD5363+奥拉帕利（Olaparib）、盐酸可泮利塞+奥拉帕利+度伐利尤单抗（Copanlisib+Olaparib+Durvalumab）、PLX2853、奥拉帕利+帕博利珠单抗（Olaparib+Pembrolizumab）、帕米帕利+替雷利珠单抗（Pamiparib+Tislelizumab）、NXP800、芦卡帕利（Rucaparib）</w:t>
      </w:r>
    </w:p>
    <w:p w14:paraId="6DDFF863">
      <w:pPr>
        <w:spacing w:after="0"/>
        <w:jc w:val="both"/>
        <w:rPr>
          <w:rFonts w:hint="eastAsia"/>
          <w:b/>
          <w:bCs/>
          <w:kern w:val="2"/>
        </w:rPr>
      </w:pPr>
      <w:r>
        <w:rPr>
          <w:rFonts w:hint="eastAsia"/>
          <w:b/>
          <w:bCs/>
          <w:kern w:val="2"/>
        </w:rPr>
        <w:t>基因变异与药物关联分析：</w:t>
      </w:r>
    </w:p>
    <w:p w14:paraId="5A8968DC">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该样本检出ARID1A基因c.1015del，p.A339Lfs*24碱基缺失引起的移码突变，</w:t>
      </w:r>
      <w:r>
        <w:rPr>
          <w:rFonts w:hint="eastAsia" w:ascii="微软雅黑" w:hAnsi="微软雅黑" w:cs="微软雅黑"/>
          <w:sz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cs="微软雅黑"/>
          <w:sz w:val="21"/>
        </w:rPr>
        <w:t xml:space="preserve"> 。</w:t>
      </w:r>
      <w:r>
        <w:rPr>
          <w:rFonts w:hint="eastAsia" w:ascii="微软雅黑" w:hAnsi="微软雅黑" w:cs="Arial Unicode MS"/>
          <w:color w:val="000000" w:themeColor="text1"/>
          <w:kern w:val="2"/>
          <w:sz w:val="21"/>
          <w:szCs w:val="21"/>
          <w14:textFill>
            <w14:solidFill>
              <w14:schemeClr w14:val="tx1"/>
            </w14:solidFill>
          </w14:textFill>
        </w:rPr>
        <w:t>体外和体内研究表明，ARID1A缺陷的癌细胞均对PARP抑制剂敏感[26069190]。因此，该患者可能从PARP抑制剂及相关抑制剂的治疗中获益。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治疗卵巢癌和前列腺癌患者。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NMPA）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替雷利珠单抗、AZD5363、盐酸可泮利塞、度伐利尤单抗、帕博利珠单抗、PLX2853、NXP800。替雷利珠单抗已获NMPA批准用于治疗经典型霍奇金淋巴瘤、尿路上皮癌、非小细胞肺癌、肝细胞癌患者。AZD5363是一种AKT激酶抑制剂，目前正处于临床期。盐酸可泮利塞是一种PI3K抑制剂，已获FDA和NMPA批准用于治疗滤泡性淋巴瘤。度伐利尤单抗是一种PD-L1抑制剂，已获FDA和NMPA批准用于治疗广泛期小细胞癌、III期非小细胞肺癌患者。帕博利珠单抗已获FDA批准用于治疗黑色素瘤、转移性非小细胞肺癌、头颈部鳞状细胞癌、对卡介苗无反应的非肌层浸润性膀胱癌、微卫星不稳定性高（MSI-H）或错配修复缺陷的实体瘤等多种癌症，NMPA批准帕博利珠单抗用于治疗黑色素瘤、非小细胞肺癌患者等。PLX2853是BRD4抑制剂，目前正处于临床期。NXP800是一种HSF1通路抑制剂，目前处于临床期；FDA授予NXP800用于治疗铂抗药性、ARID1A基因突变性卵巢癌的快速通道资格。</w:t>
      </w:r>
    </w:p>
    <w:p w14:paraId="3C81BC5F">
      <w:pPr>
        <w:spacing w:after="0"/>
        <w:jc w:val="both"/>
        <w:rPr>
          <w:rFonts w:hint="eastAsia"/>
          <w:b/>
          <w:bCs/>
          <w:kern w:val="2"/>
        </w:rPr>
      </w:pPr>
      <w:r>
        <w:rPr>
          <w:rFonts w:hint="eastAsia"/>
          <w:b/>
          <w:bCs/>
          <w:kern w:val="2"/>
        </w:rPr>
        <w:t>药物疗效临床解析：</w:t>
      </w:r>
    </w:p>
    <w:p w14:paraId="4944C549">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体外和体内研究表明，ARID1A缺陷的癌细胞对PARP抑制剂（奥拉帕利、芦卡帕利等）敏感[26069190，24979463]。一项II期临床试验，旨在评估奥拉帕利单药以及奥拉帕利联合AZD5363治疗携带PTEN、PIK3CA、AKT、ARID1A突变或其它突变（可导致PI3K/AKT途径失调）的实体瘤患者的疗效[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多机构Ⅰ期剂量递增和剂量扩展试验，旨在评估尼拉帕利联合卡铂用于治疗具有HRD（同源重组脱氧核糖核酸修复途径缺陷）的实体瘤患者的有效性和安全性。患者需通过下一代DNA测序（NGS）检测出至少一个涉及DNA损伤修复基因的突变（包括但不限于：ARID1A、ATM、ATRX、MRE11A、NBN、PTEN、RAD50/51/51B、BARD1、BLM、BRCA1、BRCA2、BRIP1、FANCA/C/D2/E/F/G/L、PALB2、WRN、CHEK2、CHEK1、BAP1、FAM175A、SLX4、MLL2 或XRCC）才能入组，目前该试验正在招募患者[NCT03209401]。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他拉唑帕利用于治疗具有ATM、BRCA1、BRCA2、PALB2、ARID1A、MER11、RAD50、NBS1、ATR基因突变的晚期恶性肿瘤患者的II期临床试验正在开展，不招募患者[NCT02286687]。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PLX2853用于治疗具有ARID1A基因突变的实体瘤的I/II期临床试验已完成，但数据尚未公布[NCT03297424]。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I期临床试验，评估NXP800在晚期实体瘤患者中的安全性、耐受性和潜在疗效，特别关注铂类耐药的ARID1A基因突变的卵巢癌患者。截至2023年4月，已有18名患者接受了至少一剂NXP800，其中最长的治疗持续时间为10个月，疗效可观，安全性可控[NCT05226507]。</w:t>
      </w:r>
    </w:p>
    <w:p w14:paraId="73350887">
      <w:pPr>
        <w:keepNext w:val="0"/>
        <w:keepLines w:val="0"/>
        <w:pageBreakBefore w:val="0"/>
        <w:widowControl/>
        <w:numPr>
          <w:ilvl w:val="0"/>
          <w:numId w:val="11"/>
        </w:numPr>
        <w:kinsoku/>
        <w:wordWrap/>
        <w:overflowPunct/>
        <w:topLinePunct w:val="0"/>
        <w:autoSpaceDE/>
        <w:autoSpaceDN/>
        <w:bidi w:val="0"/>
        <w:adjustRightInd w:val="0"/>
        <w:snapToGrid w:val="0"/>
        <w:spacing w:before="200"/>
        <w:ind w:left="420" w:hanging="420"/>
        <w:jc w:val="both"/>
        <w:textAlignment w:val="auto"/>
        <w:rPr>
          <w:rStyle w:val="21"/>
          <w:b/>
          <w:bCs/>
          <w:color w:val="FF0000"/>
          <w:sz w:val="24"/>
          <w:szCs w:val="24"/>
          <w:u w:val="none"/>
        </w:rPr>
      </w:pPr>
      <w:r>
        <w:rPr>
          <w:rStyle w:val="21"/>
          <w:rFonts w:hint="eastAsia" w:ascii="微软雅黑" w:hAnsi="微软雅黑" w:cs="微软雅黑"/>
          <w:b/>
          <w:bCs/>
          <w:color w:val="FF0000"/>
          <w:sz w:val="24"/>
          <w:szCs w:val="24"/>
          <w:u w:val="none"/>
          <w:lang w:val="en-US" w:eastAsia="zh-CN"/>
        </w:rPr>
        <w:t>PTCH1：</w:t>
      </w:r>
      <w:r>
        <w:rPr>
          <w:rStyle w:val="21"/>
          <w:rFonts w:hint="eastAsia" w:ascii="微软雅黑" w:hAnsi="微软雅黑" w:eastAsia="宋体" w:cs="微软雅黑"/>
          <w:b/>
          <w:bCs/>
          <w:color w:val="FF0000"/>
          <w:sz w:val="24"/>
          <w:szCs w:val="24"/>
          <w:u w:val="none"/>
          <w:lang w:val="en-US" w:eastAsia="zh-CN"/>
        </w:rPr>
        <w:t>c.3606del</w:t>
      </w:r>
      <w:r>
        <w:rPr>
          <w:rFonts w:hint="eastAsia" w:ascii="微软雅黑" w:hAnsi="微软雅黑" w:cs="微软雅黑"/>
          <w:b/>
          <w:color w:val="FF0000"/>
          <w:sz w:val="24"/>
        </w:rPr>
        <w:t>，</w:t>
      </w:r>
      <w:r>
        <w:rPr>
          <w:rStyle w:val="21"/>
          <w:rFonts w:hint="eastAsia" w:ascii="微软雅黑" w:hAnsi="微软雅黑" w:eastAsia="宋体" w:cs="微软雅黑"/>
          <w:b/>
          <w:bCs/>
          <w:color w:val="FF0000"/>
          <w:sz w:val="24"/>
          <w:szCs w:val="24"/>
          <w:u w:val="none"/>
          <w:lang w:val="en-US" w:eastAsia="zh-CN"/>
        </w:rPr>
        <w:t>p.S1203Afs*52</w:t>
      </w:r>
      <w:r>
        <w:rPr>
          <w:rStyle w:val="21"/>
          <w:rFonts w:hint="eastAsia" w:ascii="微软雅黑" w:hAnsi="微软雅黑" w:cs="微软雅黑"/>
          <w:b/>
          <w:bCs/>
          <w:color w:val="FF0000"/>
          <w:sz w:val="24"/>
          <w:szCs w:val="24"/>
          <w:u w:val="none"/>
        </w:rPr>
        <w:t>突变相应靶向药物</w:t>
      </w:r>
    </w:p>
    <w:p w14:paraId="015DC1C2">
      <w:pPr>
        <w:numPr>
          <w:ilvl w:val="0"/>
          <w:numId w:val="12"/>
        </w:numPr>
        <w:jc w:val="both"/>
        <w:rPr>
          <w:rFonts w:ascii="微软雅黑" w:hAnsi="微软雅黑" w:cs="微软雅黑"/>
          <w:b/>
          <w:bCs/>
          <w:sz w:val="24"/>
          <w:szCs w:val="24"/>
        </w:rPr>
      </w:pPr>
      <w:bookmarkStart w:id="209" w:name="维莫德吉（Vismodegib）、索尼德吉（Sonidegib）"/>
      <w:bookmarkStart w:id="210" w:name="维莫德吉（Vismodegib）"/>
      <w:r>
        <w:rPr>
          <w:rFonts w:hint="eastAsia" w:ascii="微软雅黑" w:hAnsi="微软雅黑" w:cs="微软雅黑"/>
          <w:b/>
          <w:bCs/>
          <w:color w:val="0000FF"/>
          <w:sz w:val="24"/>
          <w:szCs w:val="24"/>
        </w:rPr>
        <w:fldChar w:fldCharType="begin"/>
      </w:r>
      <w:r>
        <w:rPr>
          <w:rFonts w:hint="eastAsia" w:ascii="微软雅黑" w:hAnsi="微软雅黑" w:cs="微软雅黑"/>
          <w:b/>
          <w:bCs/>
          <w:color w:val="0000FF"/>
          <w:sz w:val="24"/>
          <w:szCs w:val="24"/>
        </w:rPr>
        <w:instrText xml:space="preserve"> HYPERLINK \l "重要基因变异及潜在靶向药物信息" </w:instrText>
      </w:r>
      <w:r>
        <w:rPr>
          <w:rFonts w:hint="eastAsia" w:ascii="微软雅黑" w:hAnsi="微软雅黑" w:cs="微软雅黑"/>
          <w:b/>
          <w:bCs/>
          <w:color w:val="0000FF"/>
          <w:sz w:val="24"/>
          <w:szCs w:val="24"/>
        </w:rPr>
        <w:fldChar w:fldCharType="separate"/>
      </w:r>
      <w:r>
        <w:rPr>
          <w:rStyle w:val="23"/>
          <w:rFonts w:hint="eastAsia" w:ascii="微软雅黑" w:hAnsi="微软雅黑" w:cs="微软雅黑"/>
          <w:b/>
          <w:bCs/>
          <w:color w:val="0000FF"/>
          <w:sz w:val="24"/>
          <w:szCs w:val="24"/>
        </w:rPr>
        <w:t>维莫德吉（Vismodegib）、索立德吉（Sonidegib）</w:t>
      </w:r>
      <w:r>
        <w:rPr>
          <w:rFonts w:hint="eastAsia" w:ascii="微软雅黑" w:hAnsi="微软雅黑" w:cs="微软雅黑"/>
          <w:b/>
          <w:bCs/>
          <w:color w:val="0000FF"/>
          <w:sz w:val="24"/>
          <w:szCs w:val="24"/>
        </w:rPr>
        <w:fldChar w:fldCharType="end"/>
      </w:r>
      <w:bookmarkEnd w:id="209"/>
      <w:bookmarkEnd w:id="210"/>
    </w:p>
    <w:p w14:paraId="32FFB8E1">
      <w:pPr>
        <w:spacing w:after="0"/>
        <w:jc w:val="both"/>
        <w:rPr>
          <w:b/>
          <w:bCs/>
          <w:kern w:val="2"/>
        </w:rPr>
      </w:pPr>
      <w:r>
        <w:rPr>
          <w:rFonts w:hint="eastAsia"/>
          <w:b/>
          <w:bCs/>
          <w:kern w:val="2"/>
        </w:rPr>
        <w:t>基因变异与药物关联分析：</w:t>
      </w:r>
    </w:p>
    <w:p w14:paraId="2B6B713A">
      <w:pPr>
        <w:numPr>
          <w:ilvl w:val="0"/>
          <w:numId w:val="0"/>
        </w:numPr>
        <w:spacing w:beforeLines="0" w:after="0" w:afterLines="0"/>
        <w:ind w:firstLine="420" w:firstLineChars="200"/>
        <w:jc w:val="both"/>
        <w:outlineLvl w:val="9"/>
        <w:rPr>
          <w:rFonts w:ascii="微软雅黑" w:hAnsi="微软雅黑" w:cs="Arial Unicode MS"/>
          <w:kern w:val="2"/>
          <w:sz w:val="21"/>
          <w:szCs w:val="21"/>
        </w:rPr>
      </w:pPr>
      <w:r>
        <w:rPr>
          <w:rFonts w:hint="eastAsia" w:ascii="微软雅黑" w:hAnsi="微软雅黑" w:cs="Arial Unicode MS"/>
          <w:kern w:val="2"/>
          <w:sz w:val="21"/>
          <w:szCs w:val="21"/>
        </w:rPr>
        <w:t>该样</w:t>
      </w:r>
      <w:r>
        <w:rPr>
          <w:rFonts w:hint="eastAsia" w:ascii="微软雅黑" w:hAnsi="微软雅黑" w:cs="Arial Unicode MS"/>
          <w:kern w:val="2"/>
          <w:sz w:val="21"/>
          <w:szCs w:val="21"/>
          <w:lang w:eastAsia="zh-CN"/>
        </w:rPr>
        <w:t>本</w:t>
      </w:r>
      <w:r>
        <w:rPr>
          <w:rFonts w:hint="eastAsia" w:ascii="微软雅黑" w:hAnsi="微软雅黑" w:cs="Arial Unicode MS"/>
          <w:kern w:val="2"/>
          <w:sz w:val="21"/>
          <w:szCs w:val="21"/>
        </w:rPr>
        <w:t>检出PTCH</w:t>
      </w:r>
      <w:r>
        <w:rPr>
          <w:rFonts w:hint="eastAsia" w:ascii="微软雅黑" w:hAnsi="微软雅黑" w:cs="Arial Unicode MS"/>
          <w:kern w:val="2"/>
          <w:sz w:val="21"/>
          <w:szCs w:val="21"/>
          <w:lang w:val="en-US" w:eastAsia="zh-CN"/>
        </w:rPr>
        <w:t>1</w:t>
      </w:r>
      <w:r>
        <w:rPr>
          <w:rFonts w:hint="eastAsia" w:ascii="微软雅黑" w:hAnsi="微软雅黑" w:cs="Arial Unicode MS"/>
          <w:kern w:val="2"/>
          <w:sz w:val="21"/>
          <w:szCs w:val="21"/>
        </w:rPr>
        <w:t>基因c.3606del，p.S1203Afs*52</w:t>
      </w:r>
      <w:r>
        <w:rPr>
          <w:rFonts w:hint="eastAsia" w:ascii="微软雅黑" w:hAnsi="微软雅黑" w:cs="微软雅黑"/>
          <w:sz w:val="21"/>
        </w:rPr>
        <w:t>碱基缺失引起的移码突变，</w:t>
      </w:r>
      <w:r>
        <w:rPr>
          <w:rFonts w:hint="eastAsia" w:ascii="微软雅黑" w:hAnsi="微软雅黑" w:cs="微软雅黑"/>
          <w:sz w:val="21"/>
          <w:lang w:val="en-US" w:eastAsia="zh-CN"/>
        </w:rPr>
        <w:t>该</w:t>
      </w:r>
      <w:r>
        <w:rPr>
          <w:rFonts w:hint="eastAsia" w:ascii="微软雅黑" w:hAnsi="微软雅黑" w:cs="Arial Unicode MS"/>
          <w:bCs/>
          <w:color w:val="auto"/>
          <w:kern w:val="2"/>
          <w:sz w:val="21"/>
          <w:szCs w:val="21"/>
          <w:lang w:val="en-US" w:eastAsia="zh-CN"/>
        </w:rPr>
        <w:t>突变</w:t>
      </w:r>
      <w:r>
        <w:rPr>
          <w:rFonts w:hint="eastAsia" w:ascii="微软雅黑" w:hAnsi="微软雅黑" w:cstheme="minorBidi"/>
          <w:bCs w:val="0"/>
          <w:color w:val="auto"/>
          <w:kern w:val="2"/>
          <w:sz w:val="21"/>
          <w:szCs w:val="21"/>
          <w:lang w:val="en-US" w:eastAsia="zh-CN"/>
        </w:rPr>
        <w:t>导致蛋白翻译提前终止，产生截短的蛋白，可能导致蛋白功能缺失</w:t>
      </w:r>
      <w:r>
        <w:rPr>
          <w:rFonts w:hint="eastAsia" w:ascii="微软雅黑" w:hAnsi="微软雅黑" w:cs="微软雅黑"/>
          <w:sz w:val="21"/>
        </w:rPr>
        <w:t xml:space="preserve"> 。</w:t>
      </w:r>
      <w:r>
        <w:rPr>
          <w:rFonts w:hint="eastAsia" w:ascii="微软雅黑" w:hAnsi="微软雅黑" w:cs="Arial Unicode MS"/>
          <w:kern w:val="2"/>
          <w:sz w:val="21"/>
          <w:szCs w:val="21"/>
        </w:rPr>
        <w:t>体外研究表明，PTCH2调节SMO定位和活性，与PTCH1具有协同作用[25448692]。另有研究报道，PTCH1失活突变导致Hedgehog信号通路失控而不断激活[21775419，24368541]，因此，该患者可能从Hedgehog信号通路抑制剂的治疗中获益。</w:t>
      </w:r>
    </w:p>
    <w:p w14:paraId="0A577FAE">
      <w:pPr>
        <w:spacing w:after="0"/>
        <w:ind w:firstLine="420" w:firstLineChars="200"/>
        <w:jc w:val="both"/>
        <w:rPr>
          <w:rFonts w:ascii="微软雅黑" w:hAnsi="微软雅黑"/>
          <w:kern w:val="1"/>
          <w:sz w:val="21"/>
          <w:szCs w:val="21"/>
        </w:rPr>
      </w:pPr>
      <w:r>
        <w:rPr>
          <w:rFonts w:hint="eastAsia" w:ascii="微软雅黑" w:hAnsi="微软雅黑" w:cs="Arial Unicode MS"/>
          <w:kern w:val="2"/>
          <w:sz w:val="21"/>
          <w:szCs w:val="21"/>
        </w:rPr>
        <w:t>Hedgehog信号通路抑制剂包括维莫德吉、</w:t>
      </w:r>
      <w:r>
        <w:rPr>
          <w:rFonts w:hint="eastAsia" w:ascii="微软雅黑" w:hAnsi="微软雅黑" w:cs="Arial Unicode MS"/>
          <w:kern w:val="2"/>
          <w:sz w:val="21"/>
          <w:szCs w:val="21"/>
          <w:lang w:eastAsia="zh-CN"/>
        </w:rPr>
        <w:t>索立德吉</w:t>
      </w:r>
      <w:r>
        <w:rPr>
          <w:rFonts w:hint="eastAsia" w:ascii="微软雅黑" w:hAnsi="微软雅黑" w:cs="Arial Unicode MS"/>
          <w:kern w:val="2"/>
          <w:sz w:val="21"/>
          <w:szCs w:val="21"/>
        </w:rPr>
        <w:t>。维莫德吉是一种Hedgehog信号通路的抑制剂，结合并抑制Hedgehog信号转导的跨膜蛋白Smoothened（SMO）。目前FDA批准维莫德吉用于治疗基底细胞癌。</w:t>
      </w:r>
      <w:r>
        <w:rPr>
          <w:rFonts w:hint="eastAsia" w:ascii="微软雅黑" w:hAnsi="微软雅黑" w:cs="Arial Unicode MS"/>
          <w:kern w:val="2"/>
          <w:sz w:val="21"/>
          <w:szCs w:val="21"/>
          <w:lang w:eastAsia="zh-CN"/>
        </w:rPr>
        <w:t>索立德吉</w:t>
      </w:r>
      <w:r>
        <w:rPr>
          <w:rFonts w:hint="eastAsia" w:ascii="微软雅黑" w:hAnsi="微软雅黑" w:cs="Arial Unicode MS"/>
          <w:kern w:val="2"/>
          <w:sz w:val="21"/>
          <w:szCs w:val="21"/>
        </w:rPr>
        <w:t>是一种Hedgehog信号通路的抑制剂，结合并抑制Hedgehog信号转导的跨膜蛋白SMO。目前FDA批准</w:t>
      </w:r>
      <w:r>
        <w:rPr>
          <w:rFonts w:hint="eastAsia" w:ascii="微软雅黑" w:hAnsi="微软雅黑" w:cs="Arial Unicode MS"/>
          <w:kern w:val="2"/>
          <w:sz w:val="21"/>
          <w:szCs w:val="21"/>
          <w:lang w:eastAsia="zh-CN"/>
        </w:rPr>
        <w:t>索立德吉</w:t>
      </w:r>
      <w:r>
        <w:rPr>
          <w:rFonts w:hint="eastAsia" w:ascii="微软雅黑" w:hAnsi="微软雅黑" w:cs="Arial Unicode MS"/>
          <w:kern w:val="2"/>
          <w:sz w:val="21"/>
          <w:szCs w:val="21"/>
        </w:rPr>
        <w:t>用于治疗基底细胞癌。</w:t>
      </w:r>
    </w:p>
    <w:p w14:paraId="507EDEA8">
      <w:pPr>
        <w:spacing w:after="0"/>
        <w:jc w:val="both"/>
        <w:rPr>
          <w:rFonts w:hint="eastAsia"/>
          <w:b/>
          <w:bCs/>
          <w:kern w:val="2"/>
        </w:rPr>
      </w:pPr>
      <w:r>
        <w:rPr>
          <w:rFonts w:hint="eastAsia"/>
          <w:b/>
          <w:bCs/>
          <w:kern w:val="2"/>
        </w:rPr>
        <w:t>药物疗效临床解析：</w:t>
      </w:r>
    </w:p>
    <w:p w14:paraId="6154FD70">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kern w:val="2"/>
          <w:sz w:val="21"/>
          <w:szCs w:val="21"/>
          <w:lang w:eastAsia="zh-CN"/>
        </w:rPr>
        <w:t>一项</w:t>
      </w:r>
      <w:r>
        <w:rPr>
          <w:rFonts w:hint="eastAsia" w:ascii="微软雅黑" w:hAnsi="微软雅黑" w:cs="Arial Unicode MS"/>
          <w:kern w:val="2"/>
          <w:sz w:val="21"/>
          <w:szCs w:val="21"/>
        </w:rPr>
        <w:t>I期和II期临床试验荟萃分析</w:t>
      </w:r>
      <w:r>
        <w:rPr>
          <w:rFonts w:hint="eastAsia" w:ascii="微软雅黑" w:hAnsi="微软雅黑" w:cs="Arial Unicode MS"/>
          <w:kern w:val="2"/>
          <w:sz w:val="21"/>
          <w:szCs w:val="21"/>
          <w:lang w:eastAsia="zh-CN"/>
        </w:rPr>
        <w:t>发现</w:t>
      </w:r>
      <w:r>
        <w:rPr>
          <w:rFonts w:hint="eastAsia" w:ascii="微软雅黑" w:hAnsi="微软雅黑" w:cs="Arial Unicode MS"/>
          <w:kern w:val="2"/>
          <w:sz w:val="21"/>
          <w:szCs w:val="21"/>
        </w:rPr>
        <w:t>，GLI1、GLI2、PTCH1、PTCH2和MYCN的变异均有可能导致SHH信号通路激活</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维莫德吉和索</w:t>
      </w:r>
      <w:r>
        <w:rPr>
          <w:rFonts w:hint="eastAsia" w:ascii="微软雅黑" w:hAnsi="微软雅黑" w:cs="Arial Unicode MS"/>
          <w:kern w:val="2"/>
          <w:sz w:val="21"/>
          <w:szCs w:val="21"/>
          <w:lang w:eastAsia="zh-CN"/>
        </w:rPr>
        <w:t>立</w:t>
      </w:r>
      <w:r>
        <w:rPr>
          <w:rFonts w:hint="eastAsia" w:ascii="微软雅黑" w:hAnsi="微软雅黑" w:cs="Arial Unicode MS"/>
          <w:kern w:val="2"/>
          <w:sz w:val="21"/>
          <w:szCs w:val="21"/>
        </w:rPr>
        <w:t>德吉通过有效抑制Hedgehog信号传导，在SHH驱动的成神经管细胞瘤儿科和成人患者中具有良好的耐受性和抗肿瘤活性[31362788]。</w:t>
      </w:r>
      <w:r>
        <w:rPr>
          <w:rFonts w:hint="eastAsia" w:ascii="微软雅黑" w:hAnsi="微软雅黑" w:cs="Arial Unicode MS"/>
          <w:color w:val="auto"/>
          <w:kern w:val="2"/>
          <w:sz w:val="21"/>
          <w:szCs w:val="21"/>
          <w:highlight w:val="none"/>
          <w:lang w:eastAsia="zh-CN"/>
        </w:rPr>
        <w:t>一项由美国国立癌症研究所（</w:t>
      </w:r>
      <w:r>
        <w:rPr>
          <w:rFonts w:hint="eastAsia" w:ascii="微软雅黑" w:hAnsi="微软雅黑" w:cs="Arial Unicode MS"/>
          <w:color w:val="auto"/>
          <w:kern w:val="2"/>
          <w:sz w:val="21"/>
          <w:szCs w:val="21"/>
          <w:highlight w:val="none"/>
          <w:lang w:val="en-US" w:eastAsia="zh-CN"/>
        </w:rPr>
        <w:t>NCI</w:t>
      </w:r>
      <w:r>
        <w:rPr>
          <w:rFonts w:hint="eastAsia" w:ascii="微软雅黑" w:hAnsi="微软雅黑" w:cs="Arial Unicode MS"/>
          <w:color w:val="auto"/>
          <w:kern w:val="2"/>
          <w:sz w:val="21"/>
          <w:szCs w:val="21"/>
          <w:highlight w:val="none"/>
          <w:lang w:eastAsia="zh-CN"/>
        </w:rPr>
        <w:t>）举办的临床</w:t>
      </w:r>
      <w:r>
        <w:rPr>
          <w:rFonts w:hint="eastAsia" w:ascii="微软雅黑" w:hAnsi="微软雅黑" w:cs="Arial Unicode MS"/>
          <w:color w:val="auto"/>
          <w:kern w:val="2"/>
          <w:sz w:val="21"/>
          <w:szCs w:val="21"/>
          <w:highlight w:val="none"/>
          <w:lang w:eastAsia="zh-CN"/>
        </w:rPr>
        <w:fldChar w:fldCharType="begin"/>
      </w:r>
      <w:r>
        <w:rPr>
          <w:rFonts w:hint="eastAsia" w:ascii="微软雅黑" w:hAnsi="微软雅黑" w:cs="Arial Unicode MS"/>
          <w:color w:val="auto"/>
          <w:kern w:val="2"/>
          <w:sz w:val="21"/>
          <w:szCs w:val="21"/>
          <w:highlight w:val="none"/>
          <w:lang w:eastAsia="zh-CN"/>
        </w:rPr>
        <w:instrText xml:space="preserve"> = 2 \* ROMAN \* MERGEFORMAT </w:instrText>
      </w:r>
      <w:r>
        <w:rPr>
          <w:rFonts w:hint="eastAsia" w:ascii="微软雅黑" w:hAnsi="微软雅黑" w:cs="Arial Unicode MS"/>
          <w:color w:val="auto"/>
          <w:kern w:val="2"/>
          <w:sz w:val="21"/>
          <w:szCs w:val="21"/>
          <w:highlight w:val="none"/>
          <w:lang w:eastAsia="zh-CN"/>
        </w:rPr>
        <w:fldChar w:fldCharType="separate"/>
      </w:r>
      <w:r>
        <w:t>II</w:t>
      </w:r>
      <w:r>
        <w:rPr>
          <w:rFonts w:hint="eastAsia" w:ascii="微软雅黑" w:hAnsi="微软雅黑" w:cs="Arial Unicode MS"/>
          <w:color w:val="auto"/>
          <w:kern w:val="2"/>
          <w:sz w:val="21"/>
          <w:szCs w:val="21"/>
          <w:highlight w:val="none"/>
          <w:lang w:eastAsia="zh-CN"/>
        </w:rPr>
        <w:fldChar w:fldCharType="end"/>
      </w:r>
      <w:r>
        <w:rPr>
          <w:rFonts w:hint="eastAsia" w:ascii="微软雅黑" w:hAnsi="微软雅黑" w:cs="Arial Unicode MS"/>
          <w:color w:val="auto"/>
          <w:kern w:val="2"/>
          <w:sz w:val="21"/>
          <w:szCs w:val="21"/>
          <w:highlight w:val="none"/>
          <w:lang w:eastAsia="zh-CN"/>
        </w:rPr>
        <w:t>期试验，旨在通过基因检测指导晚期实体瘤的靶向治疗，所采用的靶向药物包括维莫德吉（</w:t>
      </w:r>
      <w:r>
        <w:rPr>
          <w:rFonts w:hint="eastAsia" w:ascii="微软雅黑" w:hAnsi="微软雅黑" w:cs="Arial Unicode MS"/>
          <w:color w:val="auto"/>
          <w:kern w:val="2"/>
          <w:sz w:val="21"/>
          <w:szCs w:val="21"/>
          <w:highlight w:val="none"/>
          <w:lang w:val="en-US" w:eastAsia="zh-CN"/>
        </w:rPr>
        <w:t>针对携带SMO或PTCH1突变的患者</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lang w:val="en-US" w:eastAsia="zh-CN"/>
        </w:rPr>
        <w:t>[NCT02465060]</w:t>
      </w:r>
      <w:r>
        <w:rPr>
          <w:rFonts w:hint="eastAsia" w:ascii="微软雅黑" w:hAnsi="微软雅黑" w:cs="Arial Unicode MS"/>
          <w:color w:val="auto"/>
          <w:kern w:val="2"/>
          <w:sz w:val="21"/>
          <w:szCs w:val="21"/>
          <w:highlight w:val="none"/>
          <w:lang w:eastAsia="zh-CN"/>
        </w:rPr>
        <w:t>。</w:t>
      </w:r>
      <w:r>
        <w:rPr>
          <w:rFonts w:hint="eastAsia" w:ascii="微软雅黑" w:hAnsi="微软雅黑" w:cs="Arial Unicode MS"/>
          <w:color w:val="auto"/>
          <w:kern w:val="2"/>
          <w:sz w:val="21"/>
          <w:szCs w:val="21"/>
          <w:highlight w:val="none"/>
          <w:lang w:val="en-US" w:eastAsia="zh-CN"/>
        </w:rPr>
        <w:t>索立德吉用于治疗携带PTCH1基因突变的难治性或复发性髓母细胞瘤的I期临床试验，正在招募患者[NCT03434262]。</w:t>
      </w:r>
    </w:p>
    <w:p w14:paraId="276A11DE">
      <w:pPr>
        <w:keepNext w:val="0"/>
        <w:keepLines w:val="0"/>
        <w:pageBreakBefore w:val="0"/>
        <w:numPr>
          <w:ilvl w:val="0"/>
          <w:numId w:val="11"/>
        </w:numPr>
        <w:kinsoku/>
        <w:wordWrap/>
        <w:overflowPunct/>
        <w:topLinePunct w:val="0"/>
        <w:bidi w:val="0"/>
        <w:spacing w:before="200"/>
        <w:outlineLvl w:val="9"/>
        <w:rPr>
          <w:rStyle w:val="21"/>
          <w:rFonts w:ascii="微软雅黑" w:hAnsi="微软雅黑" w:eastAsia="宋体" w:cs="微软雅黑"/>
          <w:b/>
          <w:bCs/>
          <w:color w:val="FF0000"/>
          <w:sz w:val="24"/>
          <w:szCs w:val="24"/>
          <w:u w:val="none"/>
        </w:rPr>
      </w:pPr>
      <w:r>
        <w:rPr>
          <w:rFonts w:hint="eastAsia" w:ascii="微软雅黑" w:hAnsi="微软雅黑" w:eastAsia="宋体" w:cs="微软雅黑"/>
          <w:b/>
          <w:color w:val="FF0000"/>
          <w:sz w:val="24"/>
          <w:u w:val="none"/>
        </w:rPr>
        <w:t>TP53</w:t>
      </w:r>
      <w:r>
        <w:rPr>
          <w:rFonts w:ascii="微软雅黑" w:hAnsi="微软雅黑" w:cs="微软雅黑"/>
          <w:b/>
          <w:color w:val="FF0000"/>
          <w:sz w:val="24"/>
          <w:u w:val="none"/>
        </w:rPr>
        <w:t>：</w:t>
      </w:r>
      <w:r>
        <w:rPr>
          <w:rFonts w:hint="eastAsia" w:ascii="微软雅黑" w:hAnsi="微软雅黑" w:cs="微软雅黑"/>
          <w:b/>
          <w:color w:val="FF0000"/>
          <w:sz w:val="24"/>
          <w:u w:val="none"/>
        </w:rPr>
        <w:t>c.817C&gt;T</w:t>
      </w:r>
      <w:r>
        <w:rPr>
          <w:rFonts w:hint="eastAsia" w:ascii="微软雅黑" w:hAnsi="微软雅黑" w:cs="微软雅黑"/>
          <w:b/>
          <w:color w:val="FF0000"/>
          <w:sz w:val="24"/>
          <w:u w:val="none"/>
          <w:lang w:eastAsia="zh-CN"/>
        </w:rPr>
        <w:t>，p.R273C</w:t>
      </w:r>
      <w:r>
        <w:rPr>
          <w:rStyle w:val="21"/>
          <w:rFonts w:hint="eastAsia" w:ascii="微软雅黑" w:hAnsi="微软雅黑" w:cs="微软雅黑"/>
          <w:b/>
          <w:bCs/>
          <w:color w:val="FF0000"/>
          <w:sz w:val="24"/>
          <w:szCs w:val="24"/>
          <w:u w:val="none"/>
        </w:rPr>
        <w:t>突变相应靶向药物</w:t>
      </w:r>
    </w:p>
    <w:p w14:paraId="54BBC26C">
      <w:pPr>
        <w:numPr>
          <w:ilvl w:val="0"/>
          <w:numId w:val="13"/>
        </w:numPr>
        <w:spacing w:before="20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52C95D10">
      <w:pPr>
        <w:spacing w:after="0"/>
        <w:jc w:val="both"/>
        <w:rPr>
          <w:rFonts w:ascii="微软雅黑" w:hAnsi="微软雅黑" w:cs="Arial Unicode MS"/>
          <w:kern w:val="2"/>
          <w:sz w:val="21"/>
          <w:szCs w:val="21"/>
        </w:rPr>
      </w:pPr>
      <w:r>
        <w:rPr>
          <w:rFonts w:hint="eastAsia"/>
          <w:b/>
          <w:bCs/>
          <w:kern w:val="2"/>
        </w:rPr>
        <w:t>基因变异与药物关联分析：</w:t>
      </w:r>
    </w:p>
    <w:p w14:paraId="22A05795">
      <w:pPr>
        <w:spacing w:after="0"/>
        <w:ind w:firstLine="420" w:firstLineChars="200"/>
        <w:jc w:val="both"/>
        <w:rPr>
          <w:rFonts w:hint="eastAsia" w:ascii="微软雅黑" w:hAnsi="微软雅黑" w:cs="微软雅黑"/>
          <w:b w:val="0"/>
          <w:bCs w:val="0"/>
          <w:kern w:val="2"/>
          <w:sz w:val="21"/>
          <w:szCs w:val="24"/>
          <w:vertAlign w:val="baseline"/>
          <w:lang w:val="en-US" w:eastAsia="zh-CN"/>
        </w:rPr>
      </w:pPr>
      <w:r>
        <w:rPr>
          <w:rFonts w:hint="eastAsia" w:ascii="微软雅黑" w:hAnsi="微软雅黑" w:cs="Arial Unicode MS"/>
          <w:kern w:val="2"/>
          <w:sz w:val="21"/>
          <w:szCs w:val="21"/>
        </w:rPr>
        <w:t>该样本检出TP53基因c.817C&gt;T，p.R273C</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该突变导致野生型TP53靶基因活化降低，基因表达异常活化，促进细胞增殖和迁移[23264849，23612969，16861262]。</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5CCB642">
      <w:pPr>
        <w:spacing w:after="0"/>
        <w:ind w:firstLine="420" w:firstLineChars="200"/>
        <w:jc w:val="both"/>
        <w:rPr>
          <w:rFonts w:hint="eastAsia" w:ascii="微软雅黑" w:hAnsi="微软雅黑" w:cs="微软雅黑"/>
          <w:b w:val="0"/>
          <w:bCs w:val="0"/>
          <w:kern w:val="2"/>
          <w:sz w:val="21"/>
          <w:szCs w:val="24"/>
          <w:vertAlign w:val="baseline"/>
          <w:lang w:val="en-US" w:eastAsia="zh-CN"/>
        </w:rPr>
      </w:pPr>
    </w:p>
    <w:p w14:paraId="383A3BFD">
      <w:pPr>
        <w:spacing w:after="0"/>
        <w:ind w:firstLine="420" w:firstLineChars="200"/>
        <w:jc w:val="both"/>
        <w:rPr>
          <w:rFonts w:hint="eastAsia" w:ascii="微软雅黑" w:hAnsi="微软雅黑" w:cs="微软雅黑"/>
          <w:b w:val="0"/>
          <w:bCs w:val="0"/>
          <w:kern w:val="2"/>
          <w:sz w:val="21"/>
          <w:szCs w:val="24"/>
          <w:vertAlign w:val="baseline"/>
          <w:lang w:val="en-US" w:eastAsia="zh-CN"/>
        </w:rPr>
      </w:pPr>
    </w:p>
    <w:p w14:paraId="43CF1193">
      <w:pPr>
        <w:spacing w:after="0"/>
        <w:jc w:val="both"/>
        <w:rPr>
          <w:b/>
          <w:bCs/>
          <w:kern w:val="2"/>
        </w:rPr>
      </w:pPr>
      <w:r>
        <w:rPr>
          <w:rFonts w:hint="eastAsia"/>
          <w:b/>
          <w:bCs/>
          <w:kern w:val="2"/>
        </w:rPr>
        <w:t>药物疗效临床解析：</w:t>
      </w:r>
    </w:p>
    <w:p w14:paraId="103ECD32">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4F06EF7B">
      <w:pPr>
        <w:numPr>
          <w:ilvl w:val="0"/>
          <w:numId w:val="12"/>
        </w:numPr>
        <w:spacing w:before="20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05C0BE3D">
      <w:pPr>
        <w:spacing w:after="0"/>
        <w:jc w:val="both"/>
        <w:rPr>
          <w:rFonts w:ascii="微软雅黑" w:hAnsi="微软雅黑" w:cs="Arial Unicode MS"/>
          <w:kern w:val="2"/>
          <w:sz w:val="21"/>
          <w:szCs w:val="21"/>
        </w:rPr>
      </w:pPr>
      <w:r>
        <w:rPr>
          <w:rFonts w:hint="eastAsia"/>
          <w:b/>
          <w:bCs/>
          <w:kern w:val="2"/>
        </w:rPr>
        <w:t>基因变异与药物关联分析：</w:t>
      </w:r>
    </w:p>
    <w:p w14:paraId="46BDEFB5">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该样本检出TP53基因c.817C&gt;T，p.R273C</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该突变导致野生型TP53靶基因活化降低，基因表达异常活化，促进细胞增殖和迁移[23264849，23612969，16861262]。</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51B9B39F">
      <w:pPr>
        <w:spacing w:after="0"/>
        <w:jc w:val="both"/>
        <w:rPr>
          <w:rFonts w:hint="eastAsia"/>
          <w:b/>
          <w:bCs/>
          <w:kern w:val="2"/>
        </w:rPr>
      </w:pPr>
      <w:r>
        <w:rPr>
          <w:rFonts w:hint="eastAsia"/>
          <w:b/>
          <w:bCs/>
          <w:kern w:val="2"/>
        </w:rPr>
        <w:t>药物疗效临床解析：</w:t>
      </w:r>
    </w:p>
    <w:p w14:paraId="2446FF38">
      <w:pPr>
        <w:spacing w:after="0"/>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9A64AB9">
      <w:pPr>
        <w:numPr>
          <w:ilvl w:val="0"/>
          <w:numId w:val="12"/>
        </w:numPr>
        <w:spacing w:before="20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014CCF80">
      <w:pPr>
        <w:spacing w:beforeLines="50" w:after="0"/>
        <w:jc w:val="both"/>
        <w:rPr>
          <w:b/>
          <w:bCs/>
          <w:kern w:val="2"/>
        </w:rPr>
      </w:pPr>
      <w:r>
        <w:rPr>
          <w:rFonts w:hint="eastAsia"/>
          <w:b/>
          <w:bCs/>
          <w:kern w:val="2"/>
        </w:rPr>
        <w:t>基因变异与药物关联分析：</w:t>
      </w:r>
    </w:p>
    <w:p w14:paraId="098AF971">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该样本检出TP53基因c.817C&gt;T，p.R273C</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该突变导致野生型TP53靶基因活化降低，基因表达异常活化，促进细胞增殖和迁移[23264849，23612969，16861262]。</w:t>
      </w:r>
      <w:r>
        <w:rPr>
          <w:rFonts w:hint="eastAsia" w:ascii="微软雅黑" w:hAnsi="微软雅黑" w:cs="Arial Unicode MS"/>
          <w:kern w:val="2"/>
          <w:sz w:val="21"/>
          <w:szCs w:val="21"/>
          <w:lang w:eastAsia="zh-CN"/>
        </w:rPr>
        <w:t>Eprenetapopt（APR-246）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35691960">
      <w:pPr>
        <w:spacing w:after="0"/>
        <w:jc w:val="both"/>
        <w:rPr>
          <w:b/>
          <w:bCs/>
          <w:kern w:val="2"/>
        </w:rPr>
      </w:pPr>
      <w:r>
        <w:rPr>
          <w:rFonts w:hint="eastAsia"/>
          <w:b/>
          <w:bCs/>
          <w:kern w:val="2"/>
        </w:rPr>
        <w:t>药物疗效临床解析：</w:t>
      </w:r>
    </w:p>
    <w:p w14:paraId="1F18D7AA">
      <w:pPr>
        <w:pBdr>
          <w:top w:val="none" w:color="auto" w:sz="0" w:space="0"/>
          <w:left w:val="none" w:color="auto" w:sz="0" w:space="0"/>
          <w:bottom w:val="none" w:color="auto" w:sz="0" w:space="0"/>
          <w:right w:val="none" w:color="auto" w:sz="0" w:space="0"/>
        </w:pBdr>
        <w:shd w:val="clear"/>
        <w:spacing w:before="0" w:beforeLines="0" w:after="0" w:afterLines="0" w:line="240" w:lineRule="auto"/>
        <w:ind w:firstLine="420" w:firstLineChars="200"/>
        <w:jc w:val="both"/>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21154AD8">
      <w:pPr>
        <w:numPr>
          <w:ilvl w:val="0"/>
          <w:numId w:val="14"/>
        </w:numPr>
        <w:spacing w:before="200" w:beforeLines="0" w:after="200" w:afterLines="0"/>
        <w:ind w:left="420" w:hanging="420" w:firstLineChars="0"/>
        <w:jc w:val="both"/>
        <w:outlineLvl w:val="9"/>
        <w:rPr>
          <w:rStyle w:val="21"/>
          <w:rFonts w:cs="微软雅黑"/>
          <w:b/>
          <w:bCs/>
          <w:color w:val="FF0000"/>
          <w:sz w:val="24"/>
          <w:szCs w:val="24"/>
          <w:highlight w:val="none"/>
          <w:u w:val="none"/>
        </w:rPr>
      </w:pPr>
      <w:r>
        <w:rPr>
          <w:rStyle w:val="21"/>
          <w:rFonts w:hint="eastAsia" w:ascii="微软雅黑" w:hAnsi="微软雅黑" w:cs="微软雅黑"/>
          <w:b/>
          <w:bCs/>
          <w:color w:val="FF0000"/>
          <w:sz w:val="24"/>
          <w:szCs w:val="24"/>
          <w:highlight w:val="none"/>
          <w:u w:val="none"/>
        </w:rPr>
        <w:t>TSC</w:t>
      </w:r>
      <w:r>
        <w:rPr>
          <w:rStyle w:val="21"/>
          <w:rFonts w:hint="eastAsia" w:ascii="微软雅黑" w:hAnsi="微软雅黑" w:cs="微软雅黑"/>
          <w:b/>
          <w:bCs/>
          <w:color w:val="FF0000"/>
          <w:sz w:val="24"/>
          <w:szCs w:val="24"/>
          <w:highlight w:val="none"/>
          <w:u w:val="none"/>
          <w:lang w:val="en-US" w:eastAsia="zh-CN"/>
        </w:rPr>
        <w:t>1</w:t>
      </w:r>
      <w:r>
        <w:rPr>
          <w:rStyle w:val="21"/>
          <w:rFonts w:hint="eastAsia" w:ascii="微软雅黑" w:hAnsi="微软雅黑" w:cs="微软雅黑"/>
          <w:b/>
          <w:bCs/>
          <w:color w:val="FF0000"/>
          <w:sz w:val="24"/>
          <w:szCs w:val="24"/>
          <w:highlight w:val="none"/>
          <w:u w:val="none"/>
        </w:rPr>
        <w:t>：c.381_383del，p.V128del</w:t>
      </w:r>
      <w:r>
        <w:rPr>
          <w:rStyle w:val="21"/>
          <w:rFonts w:hint="eastAsia" w:ascii="微软雅黑" w:hAnsi="微软雅黑" w:cs="微软雅黑"/>
          <w:b/>
          <w:bCs/>
          <w:color w:val="FF0000"/>
          <w:kern w:val="0"/>
          <w:sz w:val="24"/>
          <w:szCs w:val="24"/>
          <w:highlight w:val="none"/>
          <w:u w:val="none"/>
          <w:lang w:val="en-US" w:eastAsia="zh-CN"/>
        </w:rPr>
        <w:t>突变相应靶向药物</w:t>
      </w:r>
    </w:p>
    <w:p w14:paraId="033CDC28">
      <w:pPr>
        <w:numPr>
          <w:ilvl w:val="0"/>
          <w:numId w:val="12"/>
        </w:numPr>
        <w:jc w:val="both"/>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lang w:val="en-US" w:eastAsia="zh-CN"/>
        </w:rPr>
        <w:fldChar w:fldCharType="begin"/>
      </w:r>
      <w:r>
        <w:rPr>
          <w:rFonts w:hint="eastAsia" w:ascii="微软雅黑" w:hAnsi="微软雅黑" w:cs="微软雅黑"/>
          <w:b/>
          <w:bCs/>
          <w:color w:val="0000FF"/>
          <w:sz w:val="24"/>
          <w:szCs w:val="24"/>
          <w:highlight w:val="none"/>
          <w:lang w:val="en-US" w:eastAsia="zh-CN"/>
        </w:rPr>
        <w:instrText xml:space="preserve"> HYPERLINK \l "重要基因变异及潜在靶向药物信息" </w:instrText>
      </w:r>
      <w:r>
        <w:rPr>
          <w:rFonts w:hint="eastAsia" w:ascii="微软雅黑" w:hAnsi="微软雅黑" w:cs="微软雅黑"/>
          <w:b/>
          <w:bCs/>
          <w:color w:val="0000FF"/>
          <w:sz w:val="24"/>
          <w:szCs w:val="24"/>
          <w:highlight w:val="none"/>
          <w:lang w:val="en-US" w:eastAsia="zh-CN"/>
        </w:rPr>
        <w:fldChar w:fldCharType="separate"/>
      </w:r>
      <w:r>
        <w:rPr>
          <w:rStyle w:val="21"/>
          <w:rFonts w:hint="eastAsia" w:ascii="微软雅黑" w:hAnsi="微软雅黑" w:cs="微软雅黑"/>
          <w:b/>
          <w:bCs/>
          <w:color w:val="0000FF"/>
          <w:sz w:val="24"/>
          <w:szCs w:val="24"/>
          <w:highlight w:val="none"/>
          <w:lang w:val="en-US" w:eastAsia="zh-CN"/>
        </w:rPr>
        <w:t>依维莫司（</w:t>
      </w:r>
      <w:r>
        <w:rPr>
          <w:rStyle w:val="21"/>
          <w:rFonts w:hint="eastAsia" w:ascii="微软雅黑" w:hAnsi="微软雅黑" w:cs="微软雅黑"/>
          <w:b/>
          <w:bCs/>
          <w:color w:val="0000FF"/>
          <w:sz w:val="24"/>
          <w:szCs w:val="24"/>
          <w:highlight w:val="none"/>
        </w:rPr>
        <w:t>Everolimus</w:t>
      </w:r>
      <w:r>
        <w:rPr>
          <w:rStyle w:val="21"/>
          <w:rFonts w:hint="eastAsia" w:ascii="微软雅黑" w:hAnsi="微软雅黑" w:cs="微软雅黑"/>
          <w:b/>
          <w:bCs/>
          <w:color w:val="0000FF"/>
          <w:sz w:val="24"/>
          <w:szCs w:val="24"/>
          <w:highlight w:val="none"/>
          <w:lang w:eastAsia="zh-CN"/>
        </w:rPr>
        <w:t>）、依维莫司</w:t>
      </w:r>
      <w:r>
        <w:rPr>
          <w:rStyle w:val="21"/>
          <w:rFonts w:hint="eastAsia" w:ascii="微软雅黑" w:hAnsi="微软雅黑" w:cs="微软雅黑"/>
          <w:b/>
          <w:bCs/>
          <w:color w:val="0000FF"/>
          <w:sz w:val="24"/>
          <w:szCs w:val="24"/>
          <w:highlight w:val="none"/>
          <w:lang w:val="en-US" w:eastAsia="zh-CN"/>
        </w:rPr>
        <w:t>（</w:t>
      </w:r>
      <w:r>
        <w:rPr>
          <w:rStyle w:val="21"/>
          <w:rFonts w:hint="eastAsia" w:ascii="微软雅黑" w:hAnsi="微软雅黑" w:cs="微软雅黑"/>
          <w:b/>
          <w:bCs/>
          <w:color w:val="0000FF"/>
          <w:sz w:val="24"/>
          <w:szCs w:val="24"/>
          <w:highlight w:val="none"/>
        </w:rPr>
        <w:t>Everolimus</w:t>
      </w:r>
      <w:r>
        <w:rPr>
          <w:rStyle w:val="21"/>
          <w:rFonts w:hint="eastAsia" w:ascii="微软雅黑" w:hAnsi="微软雅黑" w:cs="微软雅黑"/>
          <w:b/>
          <w:bCs/>
          <w:color w:val="0000FF"/>
          <w:sz w:val="24"/>
          <w:szCs w:val="24"/>
          <w:highlight w:val="none"/>
          <w:lang w:eastAsia="zh-CN"/>
        </w:rPr>
        <w:t>）</w:t>
      </w:r>
      <w:r>
        <w:rPr>
          <w:rStyle w:val="21"/>
          <w:rFonts w:hint="eastAsia" w:ascii="微软雅黑" w:hAnsi="微软雅黑" w:cs="微软雅黑"/>
          <w:b/>
          <w:bCs/>
          <w:color w:val="0000FF"/>
          <w:sz w:val="24"/>
          <w:szCs w:val="24"/>
          <w:highlight w:val="none"/>
          <w:lang w:val="en-US" w:eastAsia="zh-CN"/>
        </w:rPr>
        <w:t>+</w:t>
      </w:r>
      <w:r>
        <w:rPr>
          <w:rStyle w:val="21"/>
          <w:rFonts w:hint="eastAsia" w:ascii="微软雅黑" w:hAnsi="微软雅黑" w:cs="微软雅黑"/>
          <w:b/>
          <w:bCs/>
          <w:color w:val="0000FF"/>
          <w:sz w:val="24"/>
          <w:szCs w:val="24"/>
          <w:highlight w:val="none"/>
          <w:lang w:eastAsia="zh-CN"/>
        </w:rPr>
        <w:t>Buparlisib、西罗莫司（Sirolimus）</w:t>
      </w:r>
      <w:r>
        <w:rPr>
          <w:rFonts w:hint="eastAsia" w:ascii="微软雅黑" w:hAnsi="微软雅黑" w:cs="微软雅黑"/>
          <w:b/>
          <w:bCs/>
          <w:color w:val="0000FF"/>
          <w:sz w:val="24"/>
          <w:szCs w:val="24"/>
          <w:highlight w:val="none"/>
          <w:lang w:val="en-US" w:eastAsia="zh-CN"/>
        </w:rPr>
        <w:fldChar w:fldCharType="end"/>
      </w:r>
      <w:r>
        <w:rPr>
          <w:rStyle w:val="21"/>
          <w:rFonts w:hint="eastAsia" w:ascii="微软雅黑" w:hAnsi="微软雅黑" w:cs="微软雅黑"/>
          <w:b/>
          <w:bCs/>
          <w:color w:val="0000FF"/>
          <w:sz w:val="24"/>
          <w:szCs w:val="24"/>
          <w:highlight w:val="none"/>
        </w:rPr>
        <w:t>、替西罗莫司（Temsirolimus）、Sapanisertib</w:t>
      </w:r>
    </w:p>
    <w:p w14:paraId="63017B65">
      <w:pPr>
        <w:spacing w:after="0"/>
        <w:jc w:val="both"/>
        <w:rPr>
          <w:b/>
          <w:bCs/>
          <w:kern w:val="2"/>
          <w:highlight w:val="none"/>
        </w:rPr>
      </w:pPr>
      <w:r>
        <w:rPr>
          <w:rFonts w:hint="eastAsia"/>
          <w:b/>
          <w:bCs/>
          <w:kern w:val="2"/>
          <w:highlight w:val="none"/>
        </w:rPr>
        <w:t>基因变异与药物关联分析：</w:t>
      </w:r>
    </w:p>
    <w:p w14:paraId="7F0B929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highlight w:val="none"/>
        </w:rPr>
        <w:t>该样本检出TSC</w:t>
      </w:r>
      <w:r>
        <w:rPr>
          <w:rFonts w:hint="eastAsia" w:ascii="微软雅黑" w:hAnsi="微软雅黑" w:cs="Arial Unicode MS"/>
          <w:kern w:val="2"/>
          <w:sz w:val="21"/>
          <w:szCs w:val="21"/>
          <w:highlight w:val="none"/>
          <w:lang w:val="en-US" w:eastAsia="zh-CN"/>
        </w:rPr>
        <w:t>1</w:t>
      </w:r>
      <w:r>
        <w:rPr>
          <w:rFonts w:hint="eastAsia" w:ascii="微软雅黑" w:hAnsi="微软雅黑" w:cs="Arial Unicode MS"/>
          <w:kern w:val="2"/>
          <w:sz w:val="21"/>
          <w:szCs w:val="21"/>
          <w:highlight w:val="none"/>
        </w:rPr>
        <w:t>基因c.381_383del，p.V128del</w:t>
      </w:r>
      <w:r>
        <w:rPr>
          <w:rFonts w:hint="eastAsia" w:ascii="微软雅黑" w:hAnsi="微软雅黑" w:cs="Arial Unicode MS"/>
          <w:kern w:val="2"/>
          <w:sz w:val="21"/>
          <w:szCs w:val="21"/>
          <w:highlight w:val="none"/>
          <w:lang w:val="en-US" w:eastAsia="zh-CN"/>
        </w:rPr>
        <w:t>缺失</w:t>
      </w:r>
      <w:r>
        <w:rPr>
          <w:rFonts w:hint="eastAsia" w:ascii="微软雅黑" w:hAnsi="微软雅黑" w:cs="微软雅黑"/>
          <w:sz w:val="21"/>
        </w:rPr>
        <w:t>突变</w:t>
      </w:r>
      <w:r>
        <w:rPr>
          <w:rFonts w:hint="eastAsia" w:ascii="微软雅黑" w:hAnsi="微软雅黑" w:cs="Arial Unicode MS"/>
          <w:kern w:val="2"/>
          <w:sz w:val="21"/>
          <w:szCs w:val="21"/>
          <w:highlight w:val="none"/>
        </w:rPr>
        <w:t>，</w:t>
      </w:r>
      <w:r>
        <w:rPr>
          <w:rFonts w:hint="eastAsia" w:ascii="微软雅黑" w:hAnsi="微软雅黑" w:cs="微软雅黑"/>
          <w:sz w:val="21"/>
          <w:lang w:val="en-US" w:eastAsia="zh-CN"/>
        </w:rPr>
        <w:t>研究发现，与野生型相比，转染了TSC1 V128del突变的细胞显示出TSC1蛋白水平的下降，对mTOR通路的抑制效率较低[18830229]</w:t>
      </w:r>
      <w:r>
        <w:rPr>
          <w:rFonts w:hint="eastAsia" w:ascii="微软雅黑" w:hAnsi="微软雅黑" w:cs="微软雅黑"/>
          <w:sz w:val="21"/>
          <w:highlight w:val="none"/>
          <w:lang w:eastAsia="zh-CN"/>
        </w:rPr>
        <w:t>。</w:t>
      </w:r>
      <w:r>
        <w:rPr>
          <w:rFonts w:hint="eastAsia" w:ascii="微软雅黑" w:hAnsi="微软雅黑" w:cs="Arial Unicode MS"/>
          <w:kern w:val="2"/>
          <w:sz w:val="21"/>
          <w:szCs w:val="21"/>
          <w:lang w:eastAsia="zh-CN"/>
        </w:rPr>
        <w:t>有研究表明，TSC</w:t>
      </w:r>
      <w:r>
        <w:rPr>
          <w:rFonts w:hint="eastAsia" w:ascii="微软雅黑" w:hAnsi="微软雅黑" w:cs="Arial Unicode MS"/>
          <w:kern w:val="2"/>
          <w:sz w:val="21"/>
          <w:szCs w:val="21"/>
          <w:lang w:val="en-US" w:eastAsia="zh-CN"/>
        </w:rPr>
        <w:t>1、</w:t>
      </w:r>
      <w:r>
        <w:rPr>
          <w:rFonts w:hint="eastAsia" w:ascii="微软雅黑" w:hAnsi="微软雅黑" w:cs="Arial Unicode MS"/>
          <w:kern w:val="2"/>
          <w:sz w:val="21"/>
          <w:szCs w:val="21"/>
          <w:lang w:eastAsia="zh-CN"/>
        </w:rPr>
        <w:t>TSC2的缺失能导致mTOR信号通路的活化，提示对</w:t>
      </w:r>
      <w:r>
        <w:rPr>
          <w:rFonts w:hint="eastAsia" w:ascii="微软雅黑" w:hAnsi="微软雅黑" w:cs="Arial Unicode MS"/>
          <w:kern w:val="2"/>
          <w:sz w:val="21"/>
          <w:szCs w:val="21"/>
          <w:lang w:val="en-US" w:eastAsia="zh-CN"/>
        </w:rPr>
        <w:t>mTOR抑制剂敏感[</w:t>
      </w:r>
      <w:r>
        <w:rPr>
          <w:rFonts w:hint="eastAsia" w:ascii="微软雅黑" w:hAnsi="微软雅黑" w:cs="Arial Unicode MS"/>
          <w:kern w:val="2"/>
          <w:sz w:val="21"/>
          <w:szCs w:val="21"/>
          <w:lang w:eastAsia="zh-CN"/>
        </w:rPr>
        <w:t>26795955</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lang w:eastAsia="zh-CN"/>
        </w:rPr>
        <w:t>。因此，该患者可能从</w:t>
      </w:r>
      <w:r>
        <w:rPr>
          <w:rFonts w:hint="eastAsia" w:ascii="微软雅黑" w:hAnsi="微软雅黑" w:cs="Arial Unicode MS"/>
          <w:kern w:val="2"/>
          <w:sz w:val="21"/>
          <w:szCs w:val="21"/>
          <w:lang w:val="en-US" w:eastAsia="zh-CN"/>
        </w:rPr>
        <w:t>mTOR抑制剂及相关抑制剂的治疗中获益。</w:t>
      </w:r>
    </w:p>
    <w:p w14:paraId="069A2973">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lang w:eastAsia="zh-CN"/>
        </w:rPr>
      </w:pPr>
      <w:r>
        <w:rPr>
          <w:rFonts w:hint="eastAsia" w:ascii="微软雅黑" w:hAnsi="微软雅黑" w:cs="Arial Unicode MS"/>
          <w:kern w:val="2"/>
          <w:sz w:val="21"/>
          <w:szCs w:val="21"/>
        </w:rPr>
        <w:t>mTOR抑制剂包括依维莫司、西罗莫司和替西罗莫司等。FDA已批准依维莫司用于治疗肾细胞癌、乳腺癌等，同时NMPA批准用于治疗肾细胞癌、室管膜下巨细胞型星形细胞瘤；FDA已批准西罗莫司用于治疗淋巴管肌瘤病等，同时NMPA批准用于治疗器官排异；FDA已批准替西罗莫司用于治疗肾细胞癌。Buparlisib是一种选择性的PI3K抑制剂，目前正在开展临床试验。Sapanisertib是一种有效的</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选择性mTOR抑制剂，目前正在开展临床试验</w:t>
      </w:r>
      <w:r>
        <w:rPr>
          <w:rFonts w:hint="eastAsia" w:ascii="微软雅黑" w:hAnsi="微软雅黑" w:cs="Arial Unicode MS"/>
          <w:color w:val="000000" w:themeColor="text1"/>
          <w:kern w:val="2"/>
          <w:sz w:val="21"/>
          <w:szCs w:val="21"/>
          <w14:textFill>
            <w14:solidFill>
              <w14:schemeClr w14:val="tx1"/>
            </w14:solidFill>
          </w14:textFill>
        </w:rPr>
        <w:t>。</w:t>
      </w:r>
    </w:p>
    <w:p w14:paraId="734400E0">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BFB7948">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pP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t>病例研究表明，携带MTOR、TSC1、TSC2体细胞突变的肿瘤患者可能对依维莫司敏感[Martin HV.et al]。基因组变异与依维莫司敏感性研究显示，38例接受依维莫司治疗的实体瘤患者中有21例显示临床获益；目标区域捕获测序发现，其中8名患者具有激活的mTOR信号通路，包括 mTOR、TSC1、TSC2、NF1和PIK3CA基因变异[2015 ASCO Abstract 11010]。</w:t>
      </w:r>
      <w:r>
        <w:rPr>
          <w:rFonts w:hint="eastAsia" w:ascii="微软雅黑" w:hAnsi="微软雅黑" w:cs="Arial Unicode MS"/>
          <w:kern w:val="2"/>
          <w:sz w:val="21"/>
          <w:szCs w:val="21"/>
          <w:highlight w:val="none"/>
          <w:lang w:val="en-US" w:eastAsia="zh-CN"/>
        </w:rPr>
        <w:t>一项临床</w:t>
      </w:r>
      <w:r>
        <w:rPr>
          <w:rFonts w:hint="eastAsia" w:ascii="微软雅黑" w:hAnsi="微软雅黑" w:cs="Arial Unicode MS"/>
          <w:kern w:val="2"/>
          <w:sz w:val="21"/>
          <w:szCs w:val="21"/>
          <w:highlight w:val="none"/>
          <w:lang w:eastAsia="zh-CN"/>
        </w:rPr>
        <w:t>I期试验招募由TSC1</w:t>
      </w:r>
      <w:r>
        <w:rPr>
          <w:rFonts w:hint="eastAsia" w:ascii="微软雅黑" w:hAnsi="微软雅黑" w:cs="Arial Unicode MS"/>
          <w:kern w:val="2"/>
          <w:sz w:val="21"/>
          <w:szCs w:val="21"/>
          <w:highlight w:val="none"/>
          <w:lang w:val="en-US" w:eastAsia="zh-CN"/>
        </w:rPr>
        <w:t>/</w:t>
      </w:r>
      <w:r>
        <w:rPr>
          <w:rFonts w:hint="eastAsia" w:ascii="微软雅黑" w:hAnsi="微软雅黑" w:cs="Arial Unicode MS"/>
          <w:kern w:val="2"/>
          <w:sz w:val="21"/>
          <w:szCs w:val="21"/>
          <w:highlight w:val="none"/>
          <w:lang w:eastAsia="zh-CN"/>
        </w:rPr>
        <w:t>TSC2、PIK3CA、PTEN等基因突变导致的 mTOR/PI3K信号通路活化的肺癌患者以及其他晚期恶性实体肿瘤患者，评估这些患者接受依维莫司联合Buparlisib</w:t>
      </w:r>
      <w:r>
        <w:rPr>
          <w:rFonts w:hint="eastAsia" w:ascii="微软雅黑" w:hAnsi="微软雅黑" w:cs="Arial Unicode MS"/>
          <w:kern w:val="2"/>
          <w:sz w:val="21"/>
          <w:szCs w:val="21"/>
          <w:highlight w:val="none"/>
          <w:lang w:val="en-US" w:eastAsia="zh-CN"/>
        </w:rPr>
        <w:t>治疗的安全性，目前该试验已完成，结果尚未公布[NCT01470209]。</w:t>
      </w:r>
      <w:r>
        <w:rPr>
          <w:rFonts w:hint="eastAsia" w:ascii="微软雅黑" w:hAnsi="微软雅黑" w:cs="Arial Unicode MS"/>
          <w:kern w:val="2"/>
          <w:sz w:val="21"/>
          <w:szCs w:val="21"/>
          <w:lang w:eastAsia="zh-CN"/>
        </w:rPr>
        <w:t>一项白蛋白结合型西罗莫司用于治疗具有TSC1或TSC2基因致病性失活突变的恶性实体瘤患者的多中心、开放标签临床试验，正在招募患者[NCT05103358]。西罗莫司白蛋白结合纳米颗粒用于治疗晚期血管周围上皮样细胞肿瘤（PEComa）患者和具有TSC1、TSC2基因突</w:t>
      </w:r>
      <w:r>
        <w:rPr>
          <w:rFonts w:hint="eastAsia" w:ascii="微软雅黑" w:hAnsi="微软雅黑" w:cs="Arial Unicode MS"/>
          <w:kern w:val="2"/>
          <w:sz w:val="21"/>
          <w:szCs w:val="21"/>
          <w:highlight w:val="none"/>
          <w:lang w:eastAsia="zh-CN"/>
        </w:rPr>
        <w:t>变以及mTOR通路激活的恶性肿瘤患者的临床试验，目前已批准用于市场营销[NCT03817515]。</w:t>
      </w:r>
      <w:r>
        <w:rPr>
          <w:rFonts w:hint="eastAsia" w:ascii="微软雅黑" w:hAnsi="微软雅黑" w:cs="Arial Unicode MS"/>
          <w:color w:val="auto"/>
          <w:kern w:val="2"/>
          <w:sz w:val="21"/>
          <w:szCs w:val="21"/>
          <w:highlight w:val="none"/>
          <w:lang w:eastAsia="zh-CN"/>
        </w:rPr>
        <w:t>一项</w:t>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t>II</w:t>
      </w:r>
      <w:r>
        <w:rPr>
          <w:rFonts w:hint="eastAsia" w:ascii="微软雅黑" w:hAnsi="微软雅黑" w:cs="Arial Unicode MS"/>
          <w:color w:val="auto"/>
          <w:kern w:val="2"/>
          <w:sz w:val="21"/>
          <w:szCs w:val="21"/>
          <w:highlight w:val="none"/>
          <w:lang w:eastAsia="zh-CN"/>
        </w:rPr>
        <w:t>期临床试验，旨在评估替西罗莫司用于治疗携带</w:t>
      </w:r>
      <w:r>
        <w:rPr>
          <w:rFonts w:hint="eastAsia" w:ascii="微软雅黑" w:hAnsi="微软雅黑" w:cs="微软雅黑"/>
          <w:b w:val="0"/>
          <w:kern w:val="2"/>
          <w:sz w:val="21"/>
          <w:szCs w:val="21"/>
          <w:highlight w:val="none"/>
          <w:lang w:val="en-US" w:eastAsia="zh-CN"/>
        </w:rPr>
        <w:t>mTOR信号通路上基因（AKT1、AKT2、AKT3、FBXW7、FLCN、mTOR、NF1、NF2、NTRK3、PIK3CA、PIK3R1、PTEN、RHEB、STK11、TSC1、TSC2等）突变的实体瘤的疗效，正在招募患者[NCT03297606]。</w:t>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t>一项II期临床试验（MATCH筛查试验），旨在评估基因检测指导的靶向治疗，用于治疗晚期难治性实体瘤的安全性和有效性。其中一队列为Sapanisertib治疗携带TSC1、TSC2突变的肿瘤患者，该试验正在招募中[NCT02465060]。</w:t>
      </w:r>
    </w:p>
    <w:p w14:paraId="3B608CDD">
      <w:pPr>
        <w:numPr>
          <w:ilvl w:val="0"/>
          <w:numId w:val="15"/>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SETD2：c.7143del，p.S2382Lfs*29</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3CF442C6">
      <w:pPr>
        <w:numPr>
          <w:ilvl w:val="0"/>
          <w:numId w:val="13"/>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5C365F0E">
      <w:pPr>
        <w:spacing w:after="0"/>
        <w:jc w:val="both"/>
        <w:rPr>
          <w:b/>
          <w:bCs/>
          <w:kern w:val="2"/>
        </w:rPr>
      </w:pPr>
      <w:r>
        <w:rPr>
          <w:rFonts w:hint="eastAsia"/>
          <w:b/>
          <w:bCs/>
          <w:kern w:val="2"/>
        </w:rPr>
        <w:t>基因变异与药物关联分析：</w:t>
      </w:r>
    </w:p>
    <w:p w14:paraId="63778DCA">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该样本检出SETD2基因c.7143del，p.S2382Lfs*29</w:t>
      </w:r>
      <w:r>
        <w:rPr>
          <w:rFonts w:hint="eastAsia" w:ascii="微软雅黑" w:hAnsi="微软雅黑" w:cs="微软雅黑"/>
          <w:sz w:val="21"/>
        </w:rPr>
        <w:t>碱基缺失引起的移码突变</w:t>
      </w:r>
      <w:r>
        <w:rPr>
          <w:rFonts w:hint="eastAsia" w:ascii="微软雅黑" w:hAnsi="微软雅黑" w:cs="Arial Unicode MS"/>
          <w:kern w:val="2"/>
          <w:sz w:val="21"/>
          <w:szCs w:val="21"/>
          <w:lang w:val="en-US" w:eastAsia="zh-CN"/>
        </w:rPr>
        <w:t>，该突变导致蛋白翻译提前终止，产生截短的蛋白，可能导致蛋白功能缺失。有研究表明，SETD2缺失与WEE1抑制剂具有“合成致死”作用[29955114]。因此，可能从WEE1抑制剂的治疗中获益。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5B1311EA">
      <w:pPr>
        <w:spacing w:after="0"/>
        <w:jc w:val="both"/>
        <w:rPr>
          <w:b/>
          <w:bCs/>
          <w:kern w:val="2"/>
        </w:rPr>
      </w:pPr>
      <w:r>
        <w:rPr>
          <w:rFonts w:hint="eastAsia"/>
          <w:b/>
          <w:bCs/>
          <w:kern w:val="2"/>
        </w:rPr>
        <w:t>药物疗效临床解析：</w:t>
      </w:r>
    </w:p>
    <w:p w14:paraId="24C3BA7F">
      <w:pPr>
        <w:keepNext w:val="0"/>
        <w:keepLines w:val="0"/>
        <w:pageBreakBefore w:val="0"/>
        <w:widowControl/>
        <w:numPr>
          <w:ilvl w:val="-1"/>
          <w:numId w:val="0"/>
        </w:numPr>
        <w:kinsoku/>
        <w:wordWrap/>
        <w:overflowPunct/>
        <w:topLinePunct w:val="0"/>
        <w:autoSpaceDE/>
        <w:autoSpaceDN/>
        <w:bidi w:val="0"/>
        <w:adjustRightInd w:val="0"/>
        <w:snapToGrid w:val="0"/>
        <w:spacing w:before="0" w:after="0"/>
        <w:ind w:left="0" w:firstLine="420" w:firstLineChars="200"/>
        <w:jc w:val="both"/>
        <w:textAlignment w:val="auto"/>
        <w:rPr>
          <w:rStyle w:val="21"/>
          <w:rFonts w:ascii="微软雅黑" w:hAnsi="微软雅黑" w:cs="微软雅黑"/>
          <w:b/>
          <w:bCs/>
          <w:color w:val="FF0000"/>
          <w:sz w:val="24"/>
          <w:szCs w:val="24"/>
          <w:u w:val="none"/>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目前正在开展，不招募患者[NCT03284385]</w:t>
      </w:r>
      <w:r>
        <w:rPr>
          <w:rFonts w:hint="eastAsia" w:ascii="微软雅黑" w:hAnsi="微软雅黑" w:cs="Arial Unicode MS"/>
          <w:kern w:val="2"/>
          <w:sz w:val="21"/>
          <w:szCs w:val="21"/>
        </w:rPr>
        <w:t>。</w:t>
      </w:r>
    </w:p>
    <w:p w14:paraId="66A4A056">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PTEN</w:t>
      </w:r>
      <w:r>
        <w:rPr>
          <w:rFonts w:ascii="微软雅黑" w:hAnsi="微软雅黑" w:cs="微软雅黑"/>
          <w:b/>
          <w:color w:val="FF0000"/>
          <w:sz w:val="24"/>
        </w:rPr>
        <w:t>：</w:t>
      </w:r>
      <w:r>
        <w:rPr>
          <w:rFonts w:hint="eastAsia" w:ascii="微软雅黑" w:hAnsi="微软雅黑" w:cs="微软雅黑"/>
          <w:b/>
          <w:color w:val="FF0000"/>
          <w:sz w:val="24"/>
        </w:rPr>
        <w:t>c.697C&gt;T，p.R233*</w:t>
      </w:r>
      <w:r>
        <w:rPr>
          <w:rStyle w:val="21"/>
          <w:rFonts w:hint="eastAsia" w:ascii="微软雅黑" w:hAnsi="微软雅黑" w:cs="微软雅黑"/>
          <w:b/>
          <w:bCs/>
          <w:color w:val="FF0000"/>
          <w:sz w:val="24"/>
          <w:szCs w:val="24"/>
          <w:u w:val="none"/>
        </w:rPr>
        <w:t>突变相应靶向药物</w:t>
      </w:r>
    </w:p>
    <w:p w14:paraId="04AED1B2">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依维莫司（Everolimus）、依维莫司+培唑帕尼（Everolimus+Pazopanib）、替西罗莫司（Temsirolimus）、阿培利司（Alpelisib）、Capivasertib</w:t>
      </w:r>
    </w:p>
    <w:p w14:paraId="07708F57">
      <w:pPr>
        <w:spacing w:after="0"/>
        <w:jc w:val="both"/>
        <w:rPr>
          <w:b/>
          <w:bCs/>
          <w:kern w:val="2"/>
        </w:rPr>
      </w:pPr>
      <w:r>
        <w:rPr>
          <w:rFonts w:hint="eastAsia"/>
          <w:b/>
          <w:bCs/>
          <w:kern w:val="2"/>
        </w:rPr>
        <w:t>基因变异与药物关联分析：</w:t>
      </w:r>
    </w:p>
    <w:p w14:paraId="6F455077">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PTEN基因参与PI3K信号通路的负调控，PTEN基因缺陷或失活可能对mTOR抑制剂及PI3K信号通路相关抑制剂敏感。FDA批准依维莫司用于治疗肾细胞癌、乳腺癌等疾病，NMPA批准其用于治疗肾细胞癌、室管膜下巨细胞型星形细胞瘤；培唑帕尼已获FDA批准用于治疗肾细胞癌、软组织肉瘤，NMPA批准用于治疗肾细胞癌；FDA批准替西罗莫司用于治疗肾细胞癌；阿培利司（BYL-719）是PI3K的抑制剂，FDA已批准阿培利司联合氟维司群用于治疗HR阳性、HER2阴性、PIK3CA突变的晚期或转移性乳腺癌的绝经后女性患者和男性患者。Capivasertib是一种口服的AKT通路高效抑制剂，可抑制所有三种AKT异构体（AKT1/2/3）。FDA批准Capivasertib联合氟维司群用于治疗激素受体 (HR) 阳性、人表皮生长因子受体2（HER2）阴性、伴有一种或多种生物标志物改变（PIK3CA、AKT1或PTEN）的局部晚期或转移性乳腺癌患者曾接受至少一种内分泌治疗后出现病情进展，或在完成辅助治疗后12个月内复发。</w:t>
      </w:r>
    </w:p>
    <w:p w14:paraId="151C498F">
      <w:pPr>
        <w:spacing w:after="0"/>
        <w:jc w:val="both"/>
        <w:rPr>
          <w:rFonts w:ascii="微软雅黑" w:hAnsi="微软雅黑" w:cs="Arial Unicode MS"/>
          <w:kern w:val="2"/>
          <w:sz w:val="21"/>
          <w:szCs w:val="21"/>
        </w:rPr>
      </w:pPr>
      <w:r>
        <w:rPr>
          <w:rFonts w:hint="eastAsia"/>
          <w:b/>
          <w:bCs/>
          <w:kern w:val="2"/>
        </w:rPr>
        <w:t>药物疗效临床解析：</w:t>
      </w:r>
    </w:p>
    <w:p w14:paraId="3CD58933">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临床前研究显示，PTEN缺陷的子宫内膜癌异种移植模型对依维莫司敏感，具有潜在的抗肿瘤活性[22662154]。体内动物研究证明，依维莫司用于PTEN敲除的小鼠，可有效抑制甲状腺增生、子宫内膜癌、平滑肌肉瘤生长[23471917，17496901]。一项旨在评估依维莫司用于治疗携带PIK3CA扩增、PTEN缺失和PIK3CA突变的难治性实体瘤患者的安全性和有效性的Ⅱ期临床试验已完成，暂未公布结果[NCT02449538]。一项依维莫司联合培唑帕尼用于治疗PIK3CA或PTEN突变的晚期实体瘤患者的临床I期试验，结果显示，在14例获得SD≥6个月或PR的患者中，有11携带PIK3CA激活或PTEN失活突变，提示联合治疗具有较好的疗效且可耐受[25902899]。培唑帕尼联合依维莫司用于治疗PIK3CA突变阳性或PTEN缺失的实体瘤患者的I期临床试验正在开展，不招募患者[NCT01430572]。一项Ⅱ期临床试验，旨在评估替西罗莫司用于治疗携带mTOR信号通路上基因（AKT1、AKT2、AKT3、FBXW7、FLCN、mTOR、NF1、NF2、NTRK3、PIK3CA、PIK3R1、PTEN、RHEB、STK11、TSC1、TSC2等）突变的实体瘤的疗效，正在招募患者[NCT03297606]。一项体外研究显示，阿培利司在多种肿瘤细胞系中具有显著的抗肿瘤活性，且对具有PTEN基因突变的细胞系更敏感[24608574]。有研究报道，阿培利司治疗PTEN功能缺失突变的患者具有部分或完全反应[29401002]。一项旨在评估阿培利司联合白蛋白紫杉醇治疗携带PIK3CA突变或PTEN缺失的晚期三阴性乳腺癌患者的疗效和安全性的Ⅲ期临床试验正在招募中[NCT04251533]。</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CAPItello-291是一项Ⅲ期的双盲、随机试验，旨在评估Capivasertib与氟维司群联合治疗与安慰剂加氟维司群联合治疗在局部晚期（不可手术）或转移性激素受体阳性、HER2低表达或阴性且存在AKT通路改变（PIK3CA、AKT1或PTEN突变）的乳腺癌患者中的疗效，结果显示，在总体人群和伴有AKT途径改变的肿瘤患者中，Capivasertib联合氟维司群的无进展生存期显著长于安慰剂联合氟维司群，即在总人群中Capivasertib+氟维司群组中位PFS为7.2个月vs 对照组3.3个月；伴有AKT途径改变的患者中位PFS为7.3个月vs 对照组3.1个月[37256976，NCT04305496]。</w:t>
      </w:r>
    </w:p>
    <w:p w14:paraId="0E15E89B">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Buparlisib、Dactolisib、Taselisib、盐酸可泮利塞（Copanlisib）、Serabelisib、GSK2636771、AZD8186</w:t>
      </w:r>
    </w:p>
    <w:p w14:paraId="1DF37166">
      <w:pPr>
        <w:spacing w:after="0"/>
        <w:jc w:val="both"/>
        <w:rPr>
          <w:b/>
          <w:bCs/>
          <w:kern w:val="2"/>
        </w:rPr>
      </w:pPr>
      <w:r>
        <w:rPr>
          <w:rFonts w:hint="eastAsia"/>
          <w:b/>
          <w:bCs/>
          <w:kern w:val="2"/>
        </w:rPr>
        <w:t>基因变异与药物关联分析：</w:t>
      </w:r>
    </w:p>
    <w:p w14:paraId="2537A2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研究表明，PTEN功能异常会造成PI3K/AKT通路活化，而活化的AKT可通过催化一系列蛋白质磷酸化来促进肿瘤细胞的生长、增殖、侵袭和转移，抑制肿瘤细胞凋亡，调控血管生成等[17604717，18288938]。因此，该患者可能从该信号通路抑制剂及相关抑制剂的治疗中获益。Buparlisib（BKM120）是一种选择性的PI3K抑制剂，目前正在开展临床试验。Dactolisib（NVP-BEZ235）是一种双重ATP竞争性PI3K和mTOR抑制剂，对p110α/γ/δ/β和 mTOR（p70S6K）均有抑制作用；Dactolisib 同时也是 mTORC1/2催化剂的抑制剂，能够明显降低mTOR激活激酶 p70S6K的磷酸化水平，还能降低S6核糖体蛋白在Ser235/236位点的磷酸化水平，目前正在开展临床试验。Taselisib为选择性PI3K 抑制剂，目前正在开展临床试验。盐酸可泮利塞是PI3K的抑制剂，FDA和NMPA批准用于治疗复发性滤泡性淋巴瘤。Serabelisib是选择性PI3Kα抑制剂，目前正在开展临床试验。GSK2636771是一种有效的、选择性的、可口服的PI3K-β抑制剂，目前正在开展临床试验。AZD8186是一种有效的选择性PI3Kβ和PI3Kδ抑制剂，目前正在开展临床试验。</w:t>
      </w:r>
    </w:p>
    <w:p w14:paraId="24A5913D">
      <w:pPr>
        <w:spacing w:after="0"/>
        <w:jc w:val="both"/>
        <w:rPr>
          <w:rFonts w:ascii="微软雅黑" w:hAnsi="微软雅黑" w:cs="Arial Unicode MS"/>
          <w:kern w:val="2"/>
          <w:sz w:val="21"/>
          <w:szCs w:val="21"/>
        </w:rPr>
      </w:pPr>
      <w:r>
        <w:rPr>
          <w:rFonts w:hint="eastAsia"/>
          <w:b/>
          <w:bCs/>
          <w:kern w:val="2"/>
        </w:rPr>
        <w:t>药物疗效临床解析：</w:t>
      </w:r>
    </w:p>
    <w:p w14:paraId="3A18EDD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2014年ASCO年会发布了Buparlisib用于复发胶质母细胞瘤治疗的一项Ⅱ期临床试验结果，结果显示药物耐受性较好，PFS和OS分别为1.8月和10.9月，最好治疗反应是疾病病情稳定；63例患者中有13例患者携带PTEN基因的突变[2014 ASCO Abstract 2019]。一项由诺华制药公司举办的临床II期试验，旨在评估Buparlisib用于治疗PI3K通路激活的肿瘤患者的疗效，招募的患者携带PIK3CA基因突变、PTEN基因突变、PIK3CA基因扩增或PIK3R1基因突变。结果显示，可评估的146例患者的第16周临床受益率为15.1（95%CI：9.7-21.9），部分反应率为1.4（95%CI：0.2-4.9）[NCT01833169]。体外研究结果表明，PI3K/mTOR双重抑制剂Dactolisib在表达PTEN失活的细胞和动物模型中均表现出有效的抗肿瘤活性[18606717]。Taselisib用于PIK3CA基因突变或扩增和PTEN突变的实体瘤患者的NCI-MATCH临床试验正在招募中[NCT02465060]。盐酸可泮利塞联合检查点抑制剂用于治疗携带PIK3CA突变、PTEN缺失的晚期实体瘤患者的I/II期临床试验正在招募中[NCT04317105]。一项旨在评估Serabelisib联合胰岛素抑制饮食在携带PIK3CA突变伴或不伴PTEN缺失的晚期实体瘤疗效的Ⅰb期临床试验正在招募中[NCT05300048]。一项 I/IIa 期、首次人体临床研究，旨在评估GSK2636771对PTEN基因缺陷的晚期实体瘤患者的安全性、耐受性、药代动力学和药效（PD）反应[NCT01458067]。一项 I 期、开放标签的多中心临床研究，旨在评估AZD8186 在前列腺癌、三阴性乳腺癌、鳞状非小细胞肺癌和PTEN/PIK3CB缺陷的实体瘤患者的单药治疗和联合治疗的 RP2D 安全性、耐受性药效学和初步抗肿瘤活性研究，初步证据表明 AZD8186 具有抗肿瘤活性，值得在随后的 PI3Kβ 通路依赖性癌症研究中进一步探索[35247924]。</w:t>
      </w:r>
    </w:p>
    <w:p w14:paraId="0CE47E6D">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奥拉帕利（Olaparib）、尼拉帕利（Niraparib）、他拉唑帕利（Talazoparib）</w:t>
      </w:r>
    </w:p>
    <w:p w14:paraId="05B4C3B4">
      <w:pPr>
        <w:spacing w:after="0"/>
        <w:jc w:val="both"/>
        <w:rPr>
          <w:b/>
          <w:bCs/>
          <w:kern w:val="2"/>
        </w:rPr>
      </w:pPr>
      <w:r>
        <w:rPr>
          <w:rFonts w:hint="eastAsia"/>
          <w:b/>
          <w:bCs/>
          <w:kern w:val="2"/>
        </w:rPr>
        <w:t>基因变异与药物关联分析：</w:t>
      </w:r>
    </w:p>
    <w:p w14:paraId="01AA1006">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。有研究表明，PTEN功能缺失对PARP抑制剂敏感[20049735]。因此，该患者可能从PARP抑制剂的治疗中获益。</w:t>
      </w:r>
    </w:p>
    <w:p w14:paraId="5EFACC0C">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FDA批准奥拉帕利用于卵巢癌、输卵管癌、原发性腹膜癌、胰腺癌、乳腺癌以及前列腺癌患者的治疗；NMPA批准奥拉帕利用于治疗卵巢癌和前列腺癌患者。FDA批准尼拉帕利用于治疗上皮性卵巢癌、输卵管癌或原发性腹膜癌患者，中国（香港）批准尼拉帕利用于治疗高级别浆液性上皮性卵巢癌患者，中国大陆（NMPA）批准尼拉帕利用于复发性卵巢癌的维持治疗。FDA批准他拉唑帕利用于治疗乳腺癌、前列腺癌成年患者；NMPA批准他拉唑帕利用于治疗前列腺癌成年患者。</w:t>
      </w:r>
    </w:p>
    <w:p w14:paraId="2D2AC5E8">
      <w:pPr>
        <w:spacing w:after="0"/>
        <w:jc w:val="both"/>
        <w:rPr>
          <w:rFonts w:ascii="微软雅黑" w:hAnsi="微软雅黑" w:cs="Arial Unicode MS"/>
          <w:kern w:val="2"/>
          <w:sz w:val="21"/>
          <w:szCs w:val="21"/>
        </w:rPr>
      </w:pPr>
      <w:r>
        <w:rPr>
          <w:rFonts w:hint="eastAsia"/>
          <w:b/>
          <w:bCs/>
          <w:kern w:val="2"/>
        </w:rPr>
        <w:t>药物疗效临床解析：</w:t>
      </w:r>
    </w:p>
    <w:p w14:paraId="25575701">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已有研究表明，奥拉帕利可以有效抑制PTEN缺陷型HCT116结直肠肿瘤细胞的迅速生长[20049735]。一项奥拉帕利用于治疗DNA修复基因（包括 ATM、ATR、CHEK2、BRCA1/2、RAD51、BRIP1、PALB2、PTEN、FANC、NBN、EMSY、MRE11、ARID1A）突变的晚期胆道癌患者的临床II期试验正在招募中[NCT04042831]。一项多中心Ⅰ期剂量递增和剂量扩展试验，旨在评估尼拉帕利联合卡铂用于治疗具有HRD（同源重组脱氧核糖核酸修复途径缺陷）的实体瘤患者的有效性和安全性。患者需通过下一代DNA测序（NGS）检测出至少一个涉及DNA损伤修复基因的突变（包括但不限于：ARID1A、ATM、ATRX、MRE11A、NBN、PTEN、RAD50/51/51B、BARD1、BLM、BRCA1、BRCA2、BRIP1、FANCA/C/D2/E/F/G/L、PALB2、WRN、CHEK2、CHEK1、BAP1、FAM175A、SLX4、MLL2 或XRCC）才能入组，目前该试验正在招募中[NCT03209401]。一项旨在评估他拉唑帕利联合卡铂用于治疗携带IDH突变、PTEN失活突变的复发性高级神经胶质瘤患者疗效的II期临床试验，正在招募中[NCT04740190]。他拉唑帕利用于治疗同源重组途径相关基因（包括PTEN、PALB2、CHEK2、ATM、NBN、BARD1、BRIP1、RAD50、RAD51C、RAD51D、MRE11、ATR、Fanconi贫血途径相关基因：FANCA、FANCC、FANCD2、FANCE、FANCF、FANCG、FANCL）突变的实体瘤患者的临床II期试验正在招募中[NCT02401347]。</w:t>
      </w:r>
    </w:p>
    <w:p w14:paraId="3C843D2D">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p w14:paraId="074EC181">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outlineLvl w:val="9"/>
        <w:rPr>
          <w:rFonts w:hint="eastAsia" w:ascii="微软雅黑" w:hAnsi="微软雅黑" w:cs="Arial Unicode MS"/>
          <w:bCs/>
          <w:kern w:val="2"/>
          <w:sz w:val="21"/>
          <w:szCs w:val="21"/>
          <w:lang w:val="en-US" w:eastAsia="zh-CN"/>
        </w:rPr>
      </w:pPr>
    </w:p>
    <w:bookmarkEnd w:id="197"/>
    <w:bookmarkEnd w:id="198"/>
    <w:bookmarkEnd w:id="199"/>
    <w:bookmarkEnd w:id="200"/>
    <w:bookmarkEnd w:id="201"/>
    <w:bookmarkEnd w:id="202"/>
    <w:bookmarkEnd w:id="203"/>
    <w:p w14:paraId="12AD6A7D">
      <w:pPr>
        <w:keepNext w:val="0"/>
        <w:keepLines w:val="0"/>
        <w:pageBreakBefore w:val="0"/>
        <w:widowControl/>
        <w:numPr>
          <w:ilvl w:val="1"/>
          <w:numId w:val="9"/>
        </w:numPr>
        <w:kinsoku/>
        <w:wordWrap/>
        <w:overflowPunct/>
        <w:topLinePunct w:val="0"/>
        <w:autoSpaceDE/>
        <w:autoSpaceDN/>
        <w:bidi w:val="0"/>
        <w:adjustRightInd w:val="0"/>
        <w:snapToGrid w:val="0"/>
        <w:spacing w:before="200" w:beforeLines="0" w:after="200" w:afterLines="0"/>
        <w:ind w:left="0" w:leftChars="0" w:firstLine="0" w:firstLineChars="0"/>
        <w:jc w:val="both"/>
        <w:textAlignment w:val="auto"/>
        <w:outlineLvl w:val="9"/>
        <w:rPr>
          <w:rFonts w:ascii="微软雅黑" w:hAnsi="微软雅黑"/>
          <w:b/>
          <w:sz w:val="24"/>
          <w:szCs w:val="24"/>
        </w:rPr>
      </w:pPr>
      <w:bookmarkStart w:id="211" w:name="_Toc14966"/>
      <w:bookmarkStart w:id="212" w:name="_Toc262"/>
      <w:bookmarkStart w:id="213" w:name="_Toc27599"/>
      <w:bookmarkStart w:id="214" w:name="_Toc2621"/>
      <w:bookmarkStart w:id="215" w:name="_Toc2661"/>
      <w:bookmarkStart w:id="216" w:name="_Toc17999"/>
      <w:bookmarkStart w:id="217" w:name="_Toc640"/>
      <w:bookmarkStart w:id="218" w:name="_Toc3412"/>
      <w:bookmarkStart w:id="219" w:name="_Toc26839"/>
      <w:bookmarkStart w:id="220" w:name="_Toc14028"/>
      <w:bookmarkStart w:id="221" w:name="_Toc23860"/>
      <w:bookmarkStart w:id="222" w:name="_Toc18826"/>
      <w:bookmarkStart w:id="223" w:name="_Toc5421"/>
      <w:bookmarkStart w:id="224" w:name="_Toc14744"/>
      <w:bookmarkStart w:id="225" w:name="_Toc27815"/>
      <w:bookmarkStart w:id="226" w:name="_Toc26633"/>
      <w:bookmarkStart w:id="227" w:name="_Toc20981"/>
      <w:bookmarkStart w:id="228" w:name="_Toc1360"/>
      <w:bookmarkStart w:id="229" w:name="_Toc21469"/>
      <w:bookmarkStart w:id="230" w:name="_Toc28900"/>
      <w:bookmarkStart w:id="231" w:name="_Toc17513"/>
      <w:bookmarkStart w:id="232" w:name="_Toc16037"/>
      <w:bookmarkStart w:id="233" w:name="_Toc9204"/>
      <w:bookmarkStart w:id="234" w:name="_Toc28429"/>
      <w:bookmarkStart w:id="235" w:name="_Toc22019"/>
      <w:bookmarkStart w:id="236" w:name="_Toc13972"/>
      <w:bookmarkStart w:id="237" w:name="_Toc14474"/>
      <w:r>
        <w:rPr>
          <w:rFonts w:ascii="微软雅黑" w:hAnsi="微软雅黑"/>
          <w:b/>
          <w:sz w:val="24"/>
          <w:szCs w:val="24"/>
        </w:rPr>
        <w:t>潜在</w:t>
      </w:r>
      <w:r>
        <w:rPr>
          <w:rFonts w:hint="eastAsia" w:ascii="微软雅黑" w:hAnsi="微软雅黑"/>
          <w:b/>
          <w:sz w:val="24"/>
          <w:szCs w:val="24"/>
          <w:lang w:eastAsia="zh-CN"/>
        </w:rPr>
        <w:t>负相关</w:t>
      </w:r>
      <w:r>
        <w:rPr>
          <w:rFonts w:ascii="微软雅黑" w:hAnsi="微软雅黑"/>
          <w:b/>
          <w:sz w:val="24"/>
          <w:szCs w:val="24"/>
        </w:rPr>
        <w:t>靶向</w:t>
      </w:r>
      <w:r>
        <w:rPr>
          <w:rFonts w:hint="eastAsia" w:ascii="微软雅黑" w:hAnsi="微软雅黑"/>
          <w:b/>
          <w:sz w:val="24"/>
          <w:szCs w:val="24"/>
          <w:lang w:val="en-US" w:eastAsia="zh-CN"/>
        </w:rPr>
        <w:t>/免疫</w:t>
      </w:r>
      <w:r>
        <w:rPr>
          <w:rFonts w:ascii="微软雅黑" w:hAnsi="微软雅黑"/>
          <w:b/>
          <w:sz w:val="24"/>
          <w:szCs w:val="24"/>
        </w:rPr>
        <w:t>药物解析</w:t>
      </w:r>
    </w:p>
    <w:p w14:paraId="470851B5">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FBXW7</w:t>
      </w:r>
      <w:r>
        <w:rPr>
          <w:rFonts w:ascii="微软雅黑" w:hAnsi="微软雅黑" w:cs="微软雅黑"/>
          <w:b/>
          <w:color w:val="FF0000"/>
          <w:sz w:val="24"/>
        </w:rPr>
        <w:t>：</w:t>
      </w:r>
      <w:r>
        <w:rPr>
          <w:rFonts w:hint="eastAsia" w:ascii="微软雅黑" w:hAnsi="微软雅黑" w:cs="微软雅黑"/>
          <w:b/>
          <w:color w:val="FF0000"/>
          <w:sz w:val="24"/>
        </w:rPr>
        <w:t>c.1393C&gt;T，p.R465C</w:t>
      </w:r>
      <w:r>
        <w:rPr>
          <w:rStyle w:val="21"/>
          <w:rFonts w:hint="eastAsia" w:ascii="微软雅黑" w:hAnsi="微软雅黑" w:cs="微软雅黑"/>
          <w:b/>
          <w:bCs/>
          <w:color w:val="FF0000"/>
          <w:sz w:val="24"/>
          <w:szCs w:val="24"/>
          <w:u w:val="none"/>
        </w:rPr>
        <w:t>突变相应负相关靶向药物</w:t>
      </w:r>
    </w:p>
    <w:p w14:paraId="21657E71">
      <w:pPr>
        <w:numPr>
          <w:ilvl w:val="0"/>
          <w:numId w:val="12"/>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西妥昔单抗（Cetuximab）、帕尼单抗（Panitumumab）</w:t>
      </w:r>
    </w:p>
    <w:p w14:paraId="6C9879B5">
      <w:pPr>
        <w:spacing w:after="0"/>
        <w:jc w:val="both"/>
        <w:rPr>
          <w:rFonts w:hint="eastAsia"/>
          <w:b/>
          <w:bCs/>
          <w:kern w:val="2"/>
        </w:rPr>
      </w:pPr>
      <w:r>
        <w:rPr>
          <w:rFonts w:hint="eastAsia"/>
          <w:b/>
          <w:bCs/>
          <w:kern w:val="2"/>
        </w:rPr>
        <w:t>基因变异与药物关联分析：</w:t>
      </w:r>
    </w:p>
    <w:p w14:paraId="2768CEB8">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该样本检出FBXW7基因c.1393C&gt;T，p.R465C错义突变，生化实验表明，FBXW7 R465C可与NOTCH1的下游靶标MYC结合，从而可能稳定MYC蛋白并激活下游信号通路[17646409]。</w:t>
      </w:r>
      <w:r>
        <w:rPr>
          <w:rFonts w:hint="eastAsia" w:ascii="微软雅黑" w:hAnsi="微软雅黑" w:cs="Arial Unicode MS"/>
          <w:color w:val="000000" w:themeColor="text1"/>
          <w:kern w:val="2"/>
          <w:sz w:val="21"/>
          <w:szCs w:val="21"/>
          <w14:textFill>
            <w14:solidFill>
              <w14:schemeClr w14:val="tx1"/>
            </w14:solidFill>
          </w14:textFill>
        </w:rPr>
        <w:t>FBXW7基因是一种抑癌基因，mTOR 是 FBXW7介导的泛素化降解的底物之一，FBXW7功能缺失会增加mTOR 蛋白水平，并影响EGFR抗体的疗效，因此，该患者可能对EGFR抗体药物负相关。西妥昔单抗是一种抗EGFR人/鼠重组的IgG1单克隆抗体，FDA和NMPA已批准西妥昔单抗用于治疗头颈部鳞状细胞癌、结直肠癌。帕尼单抗是针对EGFR的完全人源化的单克隆抗体，FDA已批准帕尼单抗用于治疗转移性结直肠癌。</w:t>
      </w:r>
    </w:p>
    <w:p w14:paraId="2C31B647">
      <w:pPr>
        <w:spacing w:after="0"/>
        <w:jc w:val="both"/>
        <w:rPr>
          <w:rFonts w:hint="eastAsia"/>
          <w:b/>
          <w:bCs/>
          <w:kern w:val="2"/>
        </w:rPr>
      </w:pPr>
      <w:r>
        <w:rPr>
          <w:rFonts w:hint="eastAsia"/>
          <w:b/>
          <w:bCs/>
          <w:kern w:val="2"/>
        </w:rPr>
        <w:t>药物疗效临床解析：</w:t>
      </w:r>
    </w:p>
    <w:p w14:paraId="2B02CA01">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一项预测结直肠癌EGFR抗体（西妥昔单抗或帕尼单抗）疗效的研究显示，FBXW7基因突变在耐药组患者中常见，5例耐药患者及1例疾病稳定的患者均检出FBXW7基因突变。该研究显示FBXW7基因突变与EGFR抗体耐药显著相关，其耐药机制有待进一步研究[26508446，30086763]。</w:t>
      </w:r>
    </w:p>
    <w:p w14:paraId="3EF425F3">
      <w:pPr>
        <w:numPr>
          <w:ilvl w:val="0"/>
          <w:numId w:val="12"/>
        </w:numPr>
        <w:spacing w:before="240" w:beforeLines="100" w:after="240" w:afterLines="100"/>
        <w:jc w:val="both"/>
        <w:rPr>
          <w:rStyle w:val="21"/>
          <w:rFonts w:ascii="微软雅黑" w:hAnsi="微软雅黑" w:cs="微软雅黑"/>
          <w:b/>
          <w:bCs/>
          <w:color w:val="0000FF"/>
          <w:sz w:val="24"/>
          <w:szCs w:val="24"/>
        </w:rPr>
      </w:pPr>
      <w:r>
        <w:rPr>
          <w:rFonts w:hint="eastAsia" w:ascii="微软雅黑" w:hAnsi="微软雅黑" w:cs="微软雅黑"/>
          <w:b/>
          <w:bCs/>
          <w:color w:val="0000FF"/>
          <w:sz w:val="24"/>
          <w:szCs w:val="24"/>
          <w:u w:val="single"/>
        </w:rPr>
        <w:t>瑞戈非尼（Regorafenib）、索拉非尼（Sorafenib）</w:t>
      </w:r>
    </w:p>
    <w:p w14:paraId="6E8C6602">
      <w:pPr>
        <w:spacing w:after="0"/>
        <w:jc w:val="both"/>
        <w:rPr>
          <w:rFonts w:hint="eastAsia"/>
          <w:b/>
          <w:bCs/>
          <w:kern w:val="2"/>
        </w:rPr>
      </w:pPr>
      <w:r>
        <w:rPr>
          <w:rFonts w:hint="eastAsia"/>
          <w:b/>
          <w:bCs/>
          <w:kern w:val="2"/>
        </w:rPr>
        <w:t>基因变异与药物关联分析：</w:t>
      </w:r>
    </w:p>
    <w:p w14:paraId="23C404EB">
      <w:pPr>
        <w:spacing w:after="0"/>
        <w:ind w:firstLine="400"/>
        <w:jc w:val="both"/>
        <w:rPr>
          <w:rFonts w:hint="eastAsia"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微软雅黑"/>
          <w:sz w:val="21"/>
        </w:rPr>
        <w:t>该样本检出FBXW7基因c.1393C&gt;T，p.R465C错义突变，生化实验表明，FBXW7 R465C可与NOTCH1的下游靶标MYC结合，从而可能稳定MYC蛋白并激活下游信号通路[17646409]。</w:t>
      </w:r>
      <w:r>
        <w:rPr>
          <w:rFonts w:hint="eastAsia" w:ascii="微软雅黑" w:hAnsi="微软雅黑" w:cs="Arial Unicode MS"/>
          <w:color w:val="000000" w:themeColor="text1"/>
          <w:kern w:val="2"/>
          <w:sz w:val="21"/>
          <w:szCs w:val="21"/>
          <w14:textFill>
            <w14:solidFill>
              <w14:schemeClr w14:val="tx1"/>
            </w14:solidFill>
          </w14:textFill>
        </w:rPr>
        <w:t>FBXW7基因是一种抑癌基因，mTOR是FBXW7介导的泛素化降解的底物之一，FBXW7功能缺失会增加mTOR蛋白水平，体内及体外细胞系试验结果显示，携带FBXW7基因失活突变的结直肠癌细胞系对瑞戈非尼及索拉非尼等RAS/RAF/MEK/ERK多激酶抑制剂表现耐药[27399335]。瑞戈非尼是一种多激酶抑制剂，结合并抑制ERBB2、ERBB3、RET、KIT、PDGFR和RAF激酶，导致肿瘤血管生长及细胞分化受抑制，FDA和NMPA已批准瑞戈非尼用于治疗结直肠癌、胃肠道间质瘤、肝细胞癌。索拉非尼是多靶点丝氨酸/苏氨酸及受体酪氨酸激酶抑制剂，FDA已批准索拉非尼用于治疗肾癌、肝细胞癌及分化型甲状腺癌，NMPA已批准索拉非尼用于治疗肾癌、肝细胞癌。</w:t>
      </w:r>
    </w:p>
    <w:p w14:paraId="5468B769">
      <w:pPr>
        <w:spacing w:after="0"/>
        <w:jc w:val="both"/>
        <w:rPr>
          <w:b/>
          <w:bCs/>
          <w:kern w:val="2"/>
        </w:rPr>
      </w:pPr>
      <w:r>
        <w:rPr>
          <w:rFonts w:hint="eastAsia"/>
          <w:b/>
          <w:bCs/>
          <w:kern w:val="2"/>
        </w:rPr>
        <w:t>药物疗效临床解析：</w:t>
      </w:r>
    </w:p>
    <w:p w14:paraId="703AEE65">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研究显示，携带FBXW7基因失活突变的结直肠癌细胞系对瑞戈非尼及索拉非尼等RAS/RAF/MEK/ERK多激酶抑制剂表现耐药。FBXW7基因失活突变可导致Mcl-1降解诱导的细胞凋亡过程受阻，而使用Mcl-1抑制剂可恢复FBXW7基因突变细胞系对瑞戈非尼的敏感；同时，瑞戈非尼耐药性细胞系对不诱导Mcl-1降解的药物（如 MET/ALK、mTOR抑制剂）敏感性不受影响[27399335]。</w:t>
      </w:r>
    </w:p>
    <w:p w14:paraId="5063D8FA">
      <w:pPr>
        <w:numPr>
          <w:ilvl w:val="0"/>
          <w:numId w:val="11"/>
        </w:numPr>
        <w:spacing w:before="200"/>
        <w:jc w:val="both"/>
        <w:rPr>
          <w:rStyle w:val="21"/>
          <w:rFonts w:ascii="微软雅黑" w:hAnsi="微软雅黑" w:cs="微软雅黑"/>
          <w:b/>
          <w:bCs/>
          <w:color w:val="FF0000"/>
          <w:sz w:val="24"/>
          <w:szCs w:val="24"/>
          <w:u w:val="none"/>
        </w:rPr>
      </w:pPr>
      <w:r>
        <w:rPr>
          <w:rFonts w:hint="eastAsia" w:ascii="微软雅黑" w:hAnsi="微软雅黑" w:cs="微软雅黑"/>
          <w:b/>
          <w:color w:val="FF0000"/>
          <w:sz w:val="24"/>
        </w:rPr>
        <w:t>PTEN</w:t>
      </w:r>
      <w:r>
        <w:rPr>
          <w:rFonts w:ascii="微软雅黑" w:hAnsi="微软雅黑" w:cs="微软雅黑"/>
          <w:b/>
          <w:color w:val="FF0000"/>
          <w:sz w:val="24"/>
        </w:rPr>
        <w:t>：</w:t>
      </w:r>
      <w:r>
        <w:rPr>
          <w:rFonts w:hint="eastAsia" w:ascii="微软雅黑" w:hAnsi="微软雅黑" w:cs="微软雅黑"/>
          <w:b/>
          <w:color w:val="FF0000"/>
          <w:sz w:val="24"/>
        </w:rPr>
        <w:t>c.697C&gt;T，p.R233*</w:t>
      </w:r>
      <w:r>
        <w:rPr>
          <w:rStyle w:val="21"/>
          <w:rFonts w:hint="eastAsia" w:ascii="微软雅黑" w:hAnsi="微软雅黑" w:cs="微软雅黑"/>
          <w:b/>
          <w:bCs/>
          <w:color w:val="FF0000"/>
          <w:sz w:val="24"/>
          <w:szCs w:val="24"/>
          <w:u w:val="none"/>
        </w:rPr>
        <w:t>突变相应负相关靶向药物</w:t>
      </w:r>
    </w:p>
    <w:p w14:paraId="52320DAD">
      <w:pPr>
        <w:numPr>
          <w:ilvl w:val="0"/>
          <w:numId w:val="12"/>
        </w:numPr>
        <w:spacing w:before="240" w:beforeLines="100" w:after="240" w:afterLines="100"/>
        <w:jc w:val="both"/>
        <w:rPr>
          <w:rStyle w:val="21"/>
          <w:rFonts w:ascii="微软雅黑" w:hAnsi="微软雅黑" w:cs="微软雅黑"/>
          <w:b/>
          <w:bCs/>
          <w:color w:val="0000FF"/>
          <w:sz w:val="24"/>
          <w:szCs w:val="24"/>
        </w:rPr>
      </w:pPr>
      <w:r>
        <w:rPr>
          <w:rFonts w:hint="eastAsia" w:ascii="微软雅黑" w:hAnsi="微软雅黑" w:cs="微软雅黑"/>
          <w:b/>
          <w:bCs/>
          <w:color w:val="0000FF"/>
          <w:sz w:val="24"/>
          <w:szCs w:val="24"/>
          <w:u w:val="single"/>
        </w:rPr>
        <w:t>西妥昔单抗（Cetuximab）、帕尼单抗（Panitumumab）</w:t>
      </w:r>
    </w:p>
    <w:p w14:paraId="3F95E16F">
      <w:pPr>
        <w:spacing w:after="0"/>
        <w:jc w:val="both"/>
        <w:rPr>
          <w:rFonts w:hint="eastAsia"/>
          <w:b/>
          <w:bCs/>
          <w:kern w:val="2"/>
        </w:rPr>
      </w:pPr>
      <w:r>
        <w:rPr>
          <w:rFonts w:hint="eastAsia"/>
          <w:b/>
          <w:bCs/>
          <w:kern w:val="2"/>
        </w:rPr>
        <w:t>基因变异与药物关联分析：</w:t>
      </w:r>
    </w:p>
    <w:p w14:paraId="16CD670E">
      <w:pPr>
        <w:spacing w:after="0"/>
        <w:ind w:firstLine="400"/>
        <w:jc w:val="both"/>
        <w:rPr>
          <w:kern w:val="2"/>
        </w:rPr>
      </w:pPr>
      <w:r>
        <w:rPr>
          <w:rFonts w:hint="eastAsia" w:ascii="微软雅黑" w:hAnsi="微软雅黑" w:cs="微软雅黑"/>
          <w:sz w:val="21"/>
        </w:rPr>
        <w:t>该样本检出PTEN基因c.697C&gt;T，p.R233*无义突变</w:t>
      </w:r>
      <w:r>
        <w:rPr>
          <w:rFonts w:hint="eastAsia" w:ascii="微软雅黑" w:hAnsi="微软雅黑" w:cs="微软雅黑"/>
          <w:sz w:val="21"/>
          <w:lang w:eastAsia="zh-CN"/>
        </w:rPr>
        <w:t>，</w:t>
      </w:r>
      <w:r>
        <w:rPr>
          <w:rFonts w:hint="eastAsia" w:ascii="微软雅黑" w:hAnsi="微软雅黑" w:cs="微软雅黑"/>
          <w:sz w:val="21"/>
          <w:lang w:val="en-US" w:eastAsia="zh-CN"/>
        </w:rPr>
        <w:t>该</w:t>
      </w:r>
      <w:r>
        <w:rPr>
          <w:rFonts w:hint="eastAsia" w:ascii="微软雅黑" w:hAnsi="微软雅黑" w:cs="微软雅黑"/>
          <w:sz w:val="21"/>
        </w:rPr>
        <w:t>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研究表明，PTEN功能异常会造成AKT通路活化，而活化的AKT可通过催化一系列蛋白质磷酸化来促进肿瘤细胞的生长、增殖、侵袭和转移，抑制肿瘤细胞凋亡，调控血管生成等[17604717，18288938]。研究显示，PTEN失活突变导致结直肠癌患者对西妥昔单抗治疗产生耐药[18669866]。FDA和NMPA批准西妥昔单抗用于治疗结直肠癌和头颈部鳞状细胞癌。FDA批准帕尼单抗用于治疗转移性结直肠癌。</w:t>
      </w:r>
    </w:p>
    <w:p w14:paraId="429306DF">
      <w:pPr>
        <w:spacing w:after="0"/>
        <w:jc w:val="both"/>
        <w:rPr>
          <w:b/>
          <w:bCs/>
          <w:kern w:val="2"/>
        </w:rPr>
      </w:pPr>
      <w:r>
        <w:rPr>
          <w:rFonts w:hint="eastAsia"/>
          <w:b/>
          <w:bCs/>
          <w:kern w:val="2"/>
        </w:rPr>
        <w:t>药物疗效临床解析：</w:t>
      </w:r>
    </w:p>
    <w:p w14:paraId="0F91CF86">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对31例转移性结直肠癌患者进行PIK3CA和PTEN突变检测，其中4例患者检测到PIK3CA突变，4例患者检测到PTEN突变，这8例患者对西妥昔单抗的治疗均无响应[18669866]。另有研究，旨在评估PTEN表达缺失对西妥昔单抗在转移性结直肠癌患者中的治疗效果。结果发现，11例PTEN活性丧失的结直肠癌患者均无明显获益[17940504]。一项81例转移性结直肠癌患者接受西妥昔单抗或帕尼单抗治疗的研究显示，PTEN蛋白表达缺失与对帕尼单抗或西妥昔单抗无应答之间显著相关。与PTEN表达的肿瘤患者相比，无PTEN表达的肿瘤患者的总生存期较短[1922354]。</w:t>
      </w:r>
    </w:p>
    <w:p w14:paraId="4729A667">
      <w:pPr>
        <w:rPr>
          <w:rFonts w:hint="eastAsia" w:ascii="微软雅黑" w:hAnsi="微软雅黑"/>
          <w:b/>
          <w:sz w:val="24"/>
          <w:szCs w:val="24"/>
        </w:rPr>
      </w:pPr>
      <w:r>
        <w:rPr>
          <w:rFonts w:hint="eastAsia" w:ascii="微软雅黑" w:hAnsi="微软雅黑"/>
          <w:b/>
          <w:sz w:val="24"/>
          <w:szCs w:val="24"/>
        </w:rPr>
        <w:br w:type="page"/>
      </w:r>
    </w:p>
    <w:p w14:paraId="7AD09B66">
      <w:pPr>
        <w:adjustRightInd/>
        <w:snapToGrid/>
        <w:spacing w:line="220" w:lineRule="atLeast"/>
        <w:outlineLvl w:val="1"/>
        <w:rPr>
          <w:rFonts w:ascii="微软雅黑" w:hAnsi="微软雅黑"/>
          <w:b/>
          <w:sz w:val="24"/>
          <w:szCs w:val="24"/>
        </w:rPr>
      </w:pPr>
      <w:r>
        <w:rPr>
          <w:rFonts w:hint="eastAsia" w:ascii="微软雅黑" w:hAnsi="微软雅黑"/>
          <w:b/>
          <w:sz w:val="24"/>
          <w:szCs w:val="24"/>
        </w:rPr>
        <w:t>3. 阅读说明</w:t>
      </w:r>
    </w:p>
    <w:p w14:paraId="1FB25E05">
      <w:pPr>
        <w:jc w:val="both"/>
        <w:outlineLvl w:val="1"/>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592A40DA">
      <w:pPr>
        <w:numPr>
          <w:ilvl w:val="0"/>
          <w:numId w:val="16"/>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55CBC978">
      <w:pPr>
        <w:numPr>
          <w:ilvl w:val="0"/>
          <w:numId w:val="16"/>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238"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238"/>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239" w:name="OLE_LINK106"/>
      <w:r>
        <w:rPr>
          <w:rFonts w:hint="eastAsia" w:ascii="微软雅黑" w:hAnsi="微软雅黑" w:cs="微软雅黑"/>
          <w:sz w:val="21"/>
          <w:szCs w:val="21"/>
        </w:rPr>
        <w:t>ChiCTR</w:t>
      </w:r>
      <w:bookmarkEnd w:id="239"/>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240" w:name="OLE_LINK107"/>
      <w:r>
        <w:rPr>
          <w:rFonts w:hint="eastAsia" w:ascii="微软雅黑" w:hAnsi="微软雅黑" w:cs="微软雅黑"/>
          <w:sz w:val="21"/>
          <w:szCs w:val="21"/>
        </w:rPr>
        <w:t>国内临床试验网站：http://www.chinadrugtrials.org.cn</w:t>
      </w:r>
      <w:bookmarkStart w:id="241" w:name="OLE_LINK104"/>
      <w:r>
        <w:rPr>
          <w:rFonts w:hint="eastAsia" w:ascii="微软雅黑" w:hAnsi="微软雅黑" w:cs="微软雅黑"/>
          <w:sz w:val="21"/>
          <w:szCs w:val="21"/>
        </w:rPr>
        <w:t>、http://www.chictr.org.cn</w:t>
      </w:r>
      <w:bookmarkEnd w:id="240"/>
      <w:bookmarkEnd w:id="241"/>
      <w:r>
        <w:rPr>
          <w:rFonts w:hint="eastAsia" w:ascii="微软雅黑" w:hAnsi="微软雅黑" w:cs="微软雅黑"/>
          <w:sz w:val="21"/>
          <w:szCs w:val="21"/>
        </w:rPr>
        <w:t>。这三个网站的临床试验信息持续更新，患者也可以通过上述网站关注后续更多的参与临床试验机会。</w:t>
      </w:r>
    </w:p>
    <w:p w14:paraId="766202D8">
      <w:pPr>
        <w:spacing w:before="200"/>
        <w:jc w:val="both"/>
        <w:outlineLvl w:val="1"/>
        <w:rPr>
          <w:rFonts w:ascii="微软雅黑" w:hAnsi="微软雅黑"/>
          <w:b/>
          <w:sz w:val="24"/>
          <w:szCs w:val="24"/>
        </w:rPr>
      </w:pPr>
      <w:r>
        <w:rPr>
          <w:rFonts w:hint="eastAsia" w:ascii="微软雅黑" w:hAnsi="微软雅黑"/>
          <w:b/>
          <w:sz w:val="24"/>
          <w:szCs w:val="24"/>
        </w:rPr>
        <w:t>3.2 文中医学及生物学常见名词说明</w:t>
      </w:r>
    </w:p>
    <w:p w14:paraId="4AC8A082">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00CBD56C">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28441F48">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3939261D">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0F8591DC">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6C534975">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789419C8">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282EDE53">
      <w:pPr>
        <w:pStyle w:val="14"/>
        <w:keepNext w:val="0"/>
        <w:keepLines w:val="0"/>
        <w:pageBreakBefore w:val="0"/>
        <w:widowControl/>
        <w:shd w:val="clear" w:color="auto" w:fill="FFFFFF"/>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1A20135C">
      <w:pPr>
        <w:pStyle w:val="14"/>
        <w:keepNext w:val="0"/>
        <w:keepLines w:val="0"/>
        <w:pageBreakBefore w:val="0"/>
        <w:widowControl/>
        <w:numPr>
          <w:ilvl w:val="0"/>
          <w:numId w:val="17"/>
        </w:numPr>
        <w:shd w:val="clear" w:color="auto" w:fill="FFFFFF"/>
        <w:kinsoku/>
        <w:wordWrap/>
        <w:overflowPunct/>
        <w:topLinePunct w:val="0"/>
        <w:autoSpaceDE/>
        <w:autoSpaceDN/>
        <w:bidi w:val="0"/>
        <w:adjustRightInd w:val="0"/>
        <w:snapToGrid w:val="0"/>
        <w:spacing w:beforeAutospacing="0" w:afterAutospacing="0" w:line="264" w:lineRule="auto"/>
        <w:jc w:val="both"/>
        <w:textAlignment w:val="auto"/>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6DC32A9B">
      <w:pPr>
        <w:pStyle w:val="14"/>
        <w:keepNext w:val="0"/>
        <w:keepLines w:val="0"/>
        <w:pageBreakBefore w:val="0"/>
        <w:widowControl/>
        <w:kinsoku/>
        <w:wordWrap/>
        <w:overflowPunct/>
        <w:topLinePunct w:val="0"/>
        <w:autoSpaceDE/>
        <w:autoSpaceDN/>
        <w:bidi w:val="0"/>
        <w:adjustRightInd w:val="0"/>
        <w:snapToGrid w:val="0"/>
        <w:spacing w:beforeAutospacing="0" w:afterAutospacing="0" w:line="264" w:lineRule="auto"/>
        <w:ind w:firstLine="420" w:firstLineChars="200"/>
        <w:jc w:val="both"/>
        <w:textAlignment w:val="auto"/>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648CD009">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21D62ACD">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7B17BE6A">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6D20C564">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4796D1F5">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69EB1203">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5258B403">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5DB9B8D2">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694EE118">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AB20F6F">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1852DC98">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486388B4">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640AFC8D">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29CD40D8">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78C8A09D">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441C6472">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44014E5F">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25E61A58">
      <w:pPr>
        <w:pStyle w:val="14"/>
        <w:numPr>
          <w:ilvl w:val="0"/>
          <w:numId w:val="17"/>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3EAD3CF1">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0A3D531C">
      <w:pPr>
        <w:keepNext w:val="0"/>
        <w:keepLines w:val="0"/>
        <w:pageBreakBefore w:val="0"/>
        <w:widowControl/>
        <w:kinsoku/>
        <w:wordWrap/>
        <w:overflowPunct/>
        <w:topLinePunct w:val="0"/>
        <w:autoSpaceDE/>
        <w:autoSpaceDN/>
        <w:bidi w:val="0"/>
        <w:adjustRightInd w:val="0"/>
        <w:snapToGrid w:val="0"/>
        <w:spacing w:after="200" w:line="264" w:lineRule="auto"/>
        <w:jc w:val="both"/>
        <w:textAlignment w:val="auto"/>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53B9838A">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7867D744">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29D6BBD2">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0E2331E5">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11123D65">
      <w:pPr>
        <w:numPr>
          <w:ilvl w:val="0"/>
          <w:numId w:val="18"/>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69610F9E">
      <w:pPr>
        <w:numPr>
          <w:ilvl w:val="0"/>
          <w:numId w:val="18"/>
        </w:numPr>
        <w:adjustRightInd/>
        <w:snapToGrid/>
        <w:spacing w:after="0" w:line="264" w:lineRule="auto"/>
        <w:jc w:val="both"/>
        <w:rPr>
          <w:rFonts w:ascii="微软雅黑" w:hAnsi="微软雅黑" w:cs="Arial Unicode MS"/>
          <w:b/>
          <w:bCs/>
          <w:kern w:val="2"/>
          <w:sz w:val="21"/>
          <w:szCs w:val="21"/>
        </w:rPr>
      </w:pPr>
      <w:bookmarkStart w:id="242" w:name="OLE_LINK43"/>
      <w:r>
        <w:rPr>
          <w:rFonts w:hint="eastAsia" w:ascii="微软雅黑" w:hAnsi="微软雅黑" w:cs="Arial Unicode MS"/>
          <w:b/>
          <w:bCs/>
          <w:kern w:val="2"/>
          <w:sz w:val="21"/>
          <w:szCs w:val="21"/>
        </w:rPr>
        <w:t>生殖细胞突变</w:t>
      </w:r>
      <w:bookmarkEnd w:id="242"/>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4198AE7B">
      <w:pPr>
        <w:numPr>
          <w:ilvl w:val="0"/>
          <w:numId w:val="18"/>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5C7006C6">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568F90">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68541BEC">
      <w:pPr>
        <w:numPr>
          <w:ilvl w:val="0"/>
          <w:numId w:val="18"/>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6706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43016A61">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0A2B9E85">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8C8972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BEF4A6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218F308">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264268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14:paraId="5524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24200CF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4EE9A22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25BB8AC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E0684A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FE9D7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D4147A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7F9D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69DE7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1FAB2D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CCE25F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45FD79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C0863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A760F4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7185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EA52FA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EE5872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3C187E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38EA27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21DF61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9845A7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353E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5E32CE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8EB88B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E34F57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6DB404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0280A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1AB363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003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D08B8E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F773AE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C4B31E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3DC350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33984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B8B0C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5E1A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A9472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B2F62E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64DB00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60A54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09C273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CCE58A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574C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64FA621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6D4A715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32BFEE1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D4DD61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1EC7866">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5B5AD886">
            <w:pPr>
              <w:numPr>
                <w:ilvl w:val="255"/>
                <w:numId w:val="0"/>
              </w:numPr>
              <w:adjustRightInd/>
              <w:snapToGrid/>
              <w:spacing w:after="0"/>
              <w:jc w:val="center"/>
              <w:rPr>
                <w:rFonts w:ascii="微软雅黑" w:hAnsi="微软雅黑" w:cs="Arial Unicode MS"/>
                <w:color w:val="000000"/>
                <w:kern w:val="2"/>
                <w:sz w:val="21"/>
                <w:szCs w:val="21"/>
              </w:rPr>
            </w:pPr>
          </w:p>
        </w:tc>
      </w:tr>
    </w:tbl>
    <w:p w14:paraId="0317A041">
      <w:pPr>
        <w:pStyle w:val="29"/>
        <w:adjustRightInd/>
        <w:snapToGrid/>
        <w:spacing w:after="300" w:line="220" w:lineRule="atLeast"/>
        <w:ind w:firstLine="0" w:firstLineChars="0"/>
        <w:jc w:val="center"/>
        <w:outlineLvl w:val="0"/>
        <w:rPr>
          <w:rFonts w:ascii="微软雅黑" w:hAnsi="微软雅黑"/>
          <w:b/>
          <w:sz w:val="36"/>
          <w:szCs w:val="36"/>
        </w:rPr>
      </w:pPr>
    </w:p>
    <w:p w14:paraId="30AB594E">
      <w:pPr>
        <w:pStyle w:val="29"/>
        <w:adjustRightInd/>
        <w:snapToGrid/>
        <w:spacing w:after="300" w:line="220" w:lineRule="atLeast"/>
        <w:ind w:firstLine="0" w:firstLineChars="0"/>
        <w:jc w:val="center"/>
        <w:outlineLvl w:val="0"/>
        <w:rPr>
          <w:rFonts w:ascii="微软雅黑" w:hAnsi="微软雅黑"/>
          <w:b/>
          <w:sz w:val="36"/>
          <w:szCs w:val="36"/>
        </w:rPr>
      </w:pPr>
    </w:p>
    <w:p w14:paraId="6B8B76CE">
      <w:pPr>
        <w:pStyle w:val="29"/>
        <w:adjustRightInd/>
        <w:snapToGrid/>
        <w:spacing w:after="300" w:line="220" w:lineRule="atLeast"/>
        <w:ind w:firstLine="0" w:firstLineChars="0"/>
        <w:jc w:val="center"/>
        <w:outlineLvl w:val="0"/>
        <w:rPr>
          <w:rFonts w:ascii="微软雅黑" w:hAnsi="微软雅黑"/>
          <w:b/>
          <w:sz w:val="36"/>
          <w:szCs w:val="36"/>
        </w:rPr>
      </w:pPr>
      <w:r>
        <w:rPr>
          <w:rFonts w:hint="eastAsia" w:ascii="微软雅黑" w:hAnsi="微软雅黑"/>
          <w:b/>
          <w:sz w:val="36"/>
          <w:szCs w:val="36"/>
        </w:rPr>
        <w:t>第四部分：附录</w:t>
      </w:r>
      <w:bookmarkEnd w:id="211"/>
      <w:bookmarkEnd w:id="212"/>
      <w:bookmarkEnd w:id="213"/>
      <w:bookmarkEnd w:id="214"/>
      <w:bookmarkEnd w:id="215"/>
      <w:bookmarkEnd w:id="216"/>
      <w:bookmarkEnd w:id="217"/>
      <w:bookmarkEnd w:id="218"/>
      <w:bookmarkEnd w:id="219"/>
      <w:bookmarkEnd w:id="220"/>
      <w:bookmarkEnd w:id="221"/>
      <w:bookmarkEnd w:id="222"/>
      <w:bookmarkEnd w:id="223"/>
    </w:p>
    <w:p w14:paraId="47E8AF59">
      <w:pPr>
        <w:numPr>
          <w:ilvl w:val="0"/>
          <w:numId w:val="19"/>
        </w:numPr>
        <w:spacing w:afterLines="100" w:line="288" w:lineRule="auto"/>
        <w:jc w:val="both"/>
        <w:outlineLvl w:val="1"/>
        <w:rPr>
          <w:rFonts w:ascii="微软雅黑" w:hAnsi="微软雅黑"/>
          <w:b/>
          <w:sz w:val="24"/>
          <w:szCs w:val="24"/>
        </w:rPr>
      </w:pPr>
      <w:bookmarkStart w:id="243" w:name="_Toc11173"/>
      <w:bookmarkStart w:id="244" w:name="_Toc3318"/>
      <w:bookmarkStart w:id="245" w:name="_Toc15057"/>
      <w:bookmarkStart w:id="246" w:name="_Toc6795"/>
      <w:bookmarkStart w:id="247" w:name="_Toc30037"/>
      <w:bookmarkStart w:id="248" w:name="_Toc4199"/>
      <w:bookmarkStart w:id="249" w:name="_Toc7887"/>
      <w:bookmarkStart w:id="250" w:name="_Toc7531"/>
      <w:bookmarkStart w:id="251" w:name="_Toc8652"/>
      <w:bookmarkStart w:id="252" w:name="_Toc2981"/>
      <w:bookmarkStart w:id="253" w:name="_Toc28988"/>
      <w:r>
        <w:rPr>
          <w:rFonts w:hint="eastAsia" w:ascii="微软雅黑" w:hAnsi="微软雅黑"/>
          <w:b/>
          <w:sz w:val="24"/>
          <w:szCs w:val="24"/>
        </w:rPr>
        <w:t>常见问题解答</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09B6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38490C82">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F0F82B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5567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5A38631">
            <w:pPr>
              <w:numPr>
                <w:ilvl w:val="0"/>
                <w:numId w:val="20"/>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3C2FE9B5">
            <w:pPr>
              <w:numPr>
                <w:ilvl w:val="0"/>
                <w:numId w:val="20"/>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747BE2B5">
            <w:pPr>
              <w:numPr>
                <w:ilvl w:val="0"/>
                <w:numId w:val="20"/>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23FC186C">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2AA664F0">
            <w:pPr>
              <w:numPr>
                <w:ilvl w:val="0"/>
                <w:numId w:val="20"/>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6B15DE59">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EBA95E0">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DD3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90729C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1D6952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14:paraId="7285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B63E98">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11628B11">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81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0B6467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160A164">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4C0A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652B16B">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4D94E639">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56B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9900C9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CA220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67EB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9C161B7">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66CE29D3">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A2F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499339A">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447111E">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7697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2327171">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0C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CD7BF14">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5BED5D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133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6F79B3A">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32E5A707">
      <w:pPr>
        <w:spacing w:after="0" w:line="240" w:lineRule="atLeast"/>
        <w:jc w:val="both"/>
        <w:rPr>
          <w:rFonts w:ascii="微软雅黑" w:hAnsi="微软雅黑" w:cs="微软雅黑"/>
          <w:sz w:val="21"/>
          <w:szCs w:val="21"/>
          <w:shd w:val="clear" w:color="auto" w:fill="FFFFFF"/>
        </w:rPr>
      </w:pPr>
    </w:p>
    <w:p w14:paraId="5CEAB475">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022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41B77F0">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C8DB0B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E1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867280">
            <w:pPr>
              <w:numPr>
                <w:ilvl w:val="0"/>
                <w:numId w:val="20"/>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6BA4FF87">
            <w:pPr>
              <w:numPr>
                <w:ilvl w:val="0"/>
                <w:numId w:val="20"/>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070D6F83">
      <w:pPr>
        <w:spacing w:after="0" w:line="140" w:lineRule="atLeast"/>
        <w:jc w:val="both"/>
        <w:rPr>
          <w:rFonts w:ascii="微软雅黑" w:hAnsi="微软雅黑" w:cs="微软雅黑"/>
          <w:sz w:val="21"/>
          <w:szCs w:val="21"/>
          <w:shd w:val="clear" w:color="auto" w:fill="FFFFFF"/>
        </w:rPr>
      </w:pPr>
    </w:p>
    <w:p w14:paraId="5E706905">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sz w:val="21"/>
          <w:szCs w:val="21"/>
          <w:shd w:val="clear" w:color="auto" w:fill="FFFFFF"/>
        </w:rPr>
      </w:pPr>
    </w:p>
    <w:p w14:paraId="06B444A9">
      <w:pPr>
        <w:spacing w:line="460" w:lineRule="exact"/>
        <w:ind w:firstLine="420" w:firstLineChars="200"/>
        <w:jc w:val="both"/>
        <w:rPr>
          <w:rFonts w:ascii="微软雅黑" w:hAnsi="微软雅黑" w:cs="微软雅黑"/>
          <w:sz w:val="21"/>
          <w:szCs w:val="21"/>
          <w:shd w:val="clear" w:color="auto" w:fill="FFFFFF"/>
        </w:rPr>
      </w:pPr>
    </w:p>
    <w:p w14:paraId="5E4599F3">
      <w:pPr>
        <w:spacing w:line="460" w:lineRule="exact"/>
        <w:ind w:firstLine="420" w:firstLineChars="200"/>
        <w:jc w:val="both"/>
        <w:rPr>
          <w:rFonts w:ascii="微软雅黑" w:hAnsi="微软雅黑" w:cs="微软雅黑"/>
          <w:sz w:val="21"/>
          <w:szCs w:val="21"/>
          <w:shd w:val="clear" w:color="auto" w:fill="FFFFFF"/>
        </w:rPr>
      </w:pPr>
    </w:p>
    <w:p w14:paraId="5CB74460">
      <w:pPr>
        <w:rPr>
          <w:rFonts w:ascii="微软雅黑" w:hAnsi="微软雅黑"/>
          <w:b/>
          <w:sz w:val="24"/>
          <w:szCs w:val="24"/>
        </w:rPr>
      </w:pPr>
      <w:r>
        <w:rPr>
          <w:rFonts w:hint="eastAsia" w:ascii="微软雅黑" w:hAnsi="微软雅黑"/>
          <w:b/>
          <w:sz w:val="24"/>
          <w:szCs w:val="24"/>
        </w:rPr>
        <w:br w:type="page"/>
      </w:r>
    </w:p>
    <w:bookmarkEnd w:id="243"/>
    <w:p w14:paraId="67FB361E">
      <w:pPr>
        <w:spacing w:after="0" w:line="288" w:lineRule="auto"/>
        <w:ind w:left="0" w:leftChars="0" w:firstLine="0" w:firstLineChars="0"/>
        <w:jc w:val="both"/>
        <w:outlineLvl w:val="1"/>
        <w:rPr>
          <w:rFonts w:ascii="微软雅黑" w:hAnsi="微软雅黑"/>
          <w:b/>
          <w:sz w:val="24"/>
          <w:szCs w:val="24"/>
        </w:rPr>
      </w:pPr>
      <w:bookmarkStart w:id="254" w:name="_Toc21727"/>
      <w:bookmarkStart w:id="255" w:name="OLE_LINK34"/>
      <w:r>
        <w:rPr>
          <w:rFonts w:hint="eastAsia" w:ascii="微软雅黑" w:hAnsi="微软雅黑"/>
          <w:b/>
          <w:sz w:val="24"/>
          <w:szCs w:val="24"/>
        </w:rPr>
        <w:t>2. 结直肠癌诊疗知识</w:t>
      </w:r>
    </w:p>
    <w:p w14:paraId="70CC46B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w:t>
      </w:r>
      <w:r>
        <w:rPr>
          <w:rFonts w:hint="eastAsia" w:ascii="微软雅黑" w:hAnsi="微软雅黑" w:cs="微软雅黑"/>
          <w:sz w:val="21"/>
          <w:szCs w:val="21"/>
          <w:lang w:eastAsia="zh-CN"/>
        </w:rPr>
        <w:t>为</w:t>
      </w:r>
      <w:r>
        <w:rPr>
          <w:rFonts w:hint="eastAsia" w:ascii="微软雅黑" w:hAnsi="微软雅黑" w:cs="微软雅黑"/>
          <w:sz w:val="21"/>
          <w:szCs w:val="21"/>
        </w:rPr>
        <w:t>贫血、体重减轻等全身症状。</w:t>
      </w:r>
      <w:r>
        <w:rPr>
          <w:rFonts w:hint="eastAsia" w:ascii="微软雅黑" w:hAnsi="微软雅黑" w:cs="微软雅黑"/>
          <w:sz w:val="21"/>
          <w:szCs w:val="21"/>
          <w:lang w:eastAsia="zh-CN"/>
        </w:rPr>
        <w:t>结直肠癌</w:t>
      </w:r>
      <w:r>
        <w:rPr>
          <w:rFonts w:hint="eastAsia" w:ascii="微软雅黑" w:hAnsi="微软雅黑" w:cs="微软雅黑"/>
          <w:sz w:val="21"/>
          <w:szCs w:val="21"/>
        </w:rPr>
        <w:t>约占全世界每年</w:t>
      </w:r>
      <w:r>
        <w:rPr>
          <w:rFonts w:hint="eastAsia" w:ascii="微软雅黑" w:hAnsi="微软雅黑" w:cs="微软雅黑"/>
          <w:sz w:val="21"/>
          <w:szCs w:val="21"/>
          <w:lang w:eastAsia="zh-CN"/>
        </w:rPr>
        <w:t>新增诊断</w:t>
      </w:r>
      <w:r>
        <w:rPr>
          <w:rFonts w:hint="eastAsia" w:ascii="微软雅黑" w:hAnsi="微软雅黑" w:cs="微软雅黑"/>
          <w:sz w:val="21"/>
          <w:szCs w:val="21"/>
        </w:rPr>
        <w:t>癌症和癌症相关死亡的10%</w:t>
      </w:r>
      <w:r>
        <w:rPr>
          <w:rFonts w:hint="eastAsia" w:ascii="微软雅黑" w:hAnsi="微软雅黑" w:cs="微软雅黑"/>
          <w:sz w:val="21"/>
          <w:szCs w:val="21"/>
          <w:lang w:eastAsia="zh-CN"/>
        </w:rPr>
        <w:t>，在女性常见癌种中排名第二，男性常见癌种中排名第三</w:t>
      </w:r>
      <w:r>
        <w:rPr>
          <w:rFonts w:hint="eastAsia" w:ascii="微软雅黑" w:hAnsi="微软雅黑" w:cs="微软雅黑"/>
          <w:sz w:val="21"/>
          <w:szCs w:val="21"/>
          <w:vertAlign w:val="superscript"/>
          <w:lang w:val="en-US" w:eastAsia="zh-CN"/>
        </w:rPr>
        <w:t>[1]</w:t>
      </w:r>
      <w:r>
        <w:rPr>
          <w:rFonts w:hint="eastAsia" w:ascii="微软雅黑" w:hAnsi="微软雅黑" w:cs="微软雅黑"/>
          <w:sz w:val="21"/>
          <w:szCs w:val="21"/>
          <w:lang w:eastAsia="zh-CN"/>
        </w:rPr>
        <w:t>。结直肠癌发病率因性别、地区而异，男性的大肠癌的年龄标准化发病率（ASRi）（每十万人中20.6）高于女性（每十万人中14.3），</w:t>
      </w:r>
      <w:r>
        <w:rPr>
          <w:rFonts w:hint="default" w:ascii="微软雅黑" w:hAnsi="微软雅黑" w:cs="微软雅黑"/>
          <w:sz w:val="21"/>
          <w:szCs w:val="21"/>
          <w:lang w:eastAsia="zh-CN"/>
        </w:rPr>
        <w:t>较发达的地区</w:t>
      </w:r>
      <w:r>
        <w:rPr>
          <w:rFonts w:hint="eastAsia" w:ascii="微软雅黑" w:hAnsi="微软雅黑" w:cs="微软雅黑"/>
          <w:sz w:val="21"/>
          <w:szCs w:val="21"/>
          <w:lang w:eastAsia="zh-CN"/>
        </w:rPr>
        <w:t>高于欠发达地区（图</w:t>
      </w:r>
      <w:r>
        <w:rPr>
          <w:rFonts w:hint="eastAsia" w:ascii="微软雅黑" w:hAnsi="微软雅黑" w:cs="微软雅黑"/>
          <w:sz w:val="21"/>
          <w:szCs w:val="21"/>
          <w:lang w:val="en-US" w:eastAsia="zh-CN"/>
        </w:rPr>
        <w:t>1</w:t>
      </w:r>
      <w:r>
        <w:rPr>
          <w:rFonts w:hint="eastAsia" w:ascii="微软雅黑" w:hAnsi="微软雅黑" w:cs="微软雅黑"/>
          <w:sz w:val="21"/>
          <w:szCs w:val="21"/>
          <w:lang w:eastAsia="zh-CN"/>
        </w:rPr>
        <w:t>）。发病率和死亡率在消化系统恶性肿瘤中仅次于胃癌、食管癌和原发性肝癌，2013年全球约77.1万人死于大肠癌，成为继肺癌、肝癌和胃癌之后全球第四大最常见的癌症相关死亡原因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lang w:val="en-US" w:eastAsia="zh-CN"/>
        </w:rPr>
        <w:t>[2]</w:t>
      </w:r>
      <w:r>
        <w:rPr>
          <w:rFonts w:hint="eastAsia" w:ascii="微软雅黑" w:hAnsi="微软雅黑" w:cs="微软雅黑"/>
          <w:sz w:val="21"/>
          <w:szCs w:val="21"/>
          <w:lang w:eastAsia="zh-CN"/>
        </w:rPr>
        <w:t>。</w:t>
      </w:r>
    </w:p>
    <w:p w14:paraId="5B21C4FF">
      <w:pPr>
        <w:ind w:left="0" w:leftChars="0" w:firstLine="0" w:firstLineChars="0"/>
        <w:jc w:val="center"/>
      </w:pPr>
      <w:r>
        <w:drawing>
          <wp:inline distT="0" distB="0" distL="114300" distR="114300">
            <wp:extent cx="5220335" cy="3353435"/>
            <wp:effectExtent l="0" t="0" r="18415" b="184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7"/>
                    <a:srcRect l="988"/>
                    <a:stretch>
                      <a:fillRect/>
                    </a:stretch>
                  </pic:blipFill>
                  <pic:spPr>
                    <a:xfrm>
                      <a:off x="0" y="0"/>
                      <a:ext cx="5220335" cy="3353435"/>
                    </a:xfrm>
                    <a:prstGeom prst="rect">
                      <a:avLst/>
                    </a:prstGeom>
                    <a:noFill/>
                    <a:ln>
                      <a:noFill/>
                    </a:ln>
                  </pic:spPr>
                </pic:pic>
              </a:graphicData>
            </a:graphic>
          </wp:inline>
        </w:drawing>
      </w:r>
    </w:p>
    <w:p w14:paraId="7D5394A2">
      <w:pPr>
        <w:jc w:val="center"/>
        <w:rPr>
          <w:rFonts w:hint="eastAsia"/>
          <w:sz w:val="20"/>
          <w:szCs w:val="20"/>
          <w:lang w:val="en-US" w:eastAsia="zh-CN"/>
        </w:rPr>
      </w:pPr>
      <w:r>
        <w:rPr>
          <w:rFonts w:hint="eastAsia"/>
          <w:sz w:val="20"/>
          <w:szCs w:val="20"/>
          <w:lang w:eastAsia="zh-CN"/>
        </w:rPr>
        <w:t>图</w:t>
      </w:r>
      <w:r>
        <w:rPr>
          <w:rFonts w:hint="eastAsia"/>
          <w:sz w:val="20"/>
          <w:szCs w:val="20"/>
          <w:lang w:val="en-US" w:eastAsia="zh-CN"/>
        </w:rPr>
        <w:t>1 各地理区域男女（每10万人）的年龄标准化发病率和死亡率</w:t>
      </w:r>
      <w:r>
        <w:rPr>
          <w:rFonts w:hint="eastAsia" w:ascii="微软雅黑" w:hAnsi="微软雅黑" w:cs="微软雅黑"/>
          <w:sz w:val="20"/>
          <w:szCs w:val="20"/>
          <w:vertAlign w:val="superscript"/>
          <w:lang w:val="en-US" w:eastAsia="zh-CN"/>
        </w:rPr>
        <w:t>[3]</w:t>
      </w:r>
    </w:p>
    <w:p w14:paraId="235F2C8D">
      <w:pPr>
        <w:ind w:left="0" w:leftChars="0" w:firstLine="0" w:firstLineChars="0"/>
        <w:jc w:val="both"/>
        <w:rPr>
          <w:rFonts w:hint="default"/>
          <w:b/>
          <w:bCs/>
          <w:lang w:val="en-US" w:eastAsia="zh-CN"/>
        </w:rPr>
      </w:pPr>
      <w:r>
        <w:rPr>
          <w:rFonts w:hint="eastAsia"/>
          <w:b/>
          <w:bCs/>
          <w:lang w:val="en-US" w:eastAsia="zh-CN"/>
        </w:rPr>
        <w:t>1、高危患病因素</w:t>
      </w:r>
    </w:p>
    <w:p w14:paraId="0EABB60A">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lang w:val="en-US" w:eastAsia="zh-CN"/>
        </w:rPr>
        <w:t>[4]</w:t>
      </w:r>
      <w:r>
        <w:rPr>
          <w:rFonts w:hint="eastAsia" w:ascii="微软雅黑" w:hAnsi="微软雅黑" w:cs="微软雅黑"/>
          <w:sz w:val="21"/>
          <w:szCs w:val="21"/>
          <w:lang w:val="en-US" w:eastAsia="zh-CN"/>
        </w:rPr>
        <w:t>，其患病风险取决于患病家属年龄与数量</w:t>
      </w:r>
      <w:r>
        <w:rPr>
          <w:rFonts w:hint="eastAsia" w:ascii="微软雅黑" w:hAnsi="微软雅黑" w:cs="微软雅黑"/>
          <w:sz w:val="21"/>
          <w:szCs w:val="21"/>
          <w:vertAlign w:val="superscript"/>
          <w:lang w:val="en-US" w:eastAsia="zh-CN"/>
        </w:rPr>
        <w:t>[5]</w:t>
      </w:r>
      <w:r>
        <w:rPr>
          <w:rFonts w:hint="eastAsia" w:ascii="微软雅黑" w:hAnsi="微软雅黑" w:cs="微软雅黑"/>
          <w:sz w:val="21"/>
          <w:szCs w:val="21"/>
          <w:lang w:val="en-US" w:eastAsia="zh-CN"/>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lang w:val="en-US" w:eastAsia="zh-CN"/>
        </w:rPr>
        <w:t>[6，7]</w:t>
      </w:r>
      <w:r>
        <w:rPr>
          <w:rFonts w:hint="eastAsia" w:ascii="微软雅黑" w:hAnsi="微软雅黑" w:cs="微软雅黑"/>
          <w:sz w:val="21"/>
          <w:szCs w:val="21"/>
          <w:lang w:val="en-US" w:eastAsia="zh-CN"/>
        </w:rPr>
        <w:t>。</w:t>
      </w:r>
    </w:p>
    <w:p w14:paraId="00753727">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pPr>
      <w:r>
        <w:drawing>
          <wp:inline distT="0" distB="0" distL="114300" distR="114300">
            <wp:extent cx="5175885" cy="3589020"/>
            <wp:effectExtent l="0" t="0" r="571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8"/>
                    <a:srcRect b="2092"/>
                    <a:stretch>
                      <a:fillRect/>
                    </a:stretch>
                  </pic:blipFill>
                  <pic:spPr>
                    <a:xfrm>
                      <a:off x="0" y="0"/>
                      <a:ext cx="5175885" cy="3589020"/>
                    </a:xfrm>
                    <a:prstGeom prst="rect">
                      <a:avLst/>
                    </a:prstGeom>
                    <a:noFill/>
                    <a:ln>
                      <a:noFill/>
                    </a:ln>
                  </pic:spPr>
                </pic:pic>
              </a:graphicData>
            </a:graphic>
          </wp:inline>
        </w:drawing>
      </w:r>
    </w:p>
    <w:p w14:paraId="200B264D">
      <w:pPr>
        <w:keepNext w:val="0"/>
        <w:keepLines w:val="0"/>
        <w:pageBreakBefore w:val="0"/>
        <w:widowControl/>
        <w:kinsoku/>
        <w:wordWrap/>
        <w:overflowPunct/>
        <w:topLinePunct w:val="0"/>
        <w:autoSpaceDE/>
        <w:autoSpaceDN/>
        <w:bidi w:val="0"/>
        <w:adjustRightInd w:val="0"/>
        <w:snapToGrid w:val="0"/>
        <w:jc w:val="center"/>
        <w:textAlignment w:val="auto"/>
        <w:rPr>
          <w:rFonts w:hint="default" w:eastAsia="微软雅黑"/>
          <w:sz w:val="20"/>
          <w:szCs w:val="20"/>
          <w:lang w:val="en-US" w:eastAsia="zh-CN"/>
        </w:rPr>
      </w:pPr>
      <w:r>
        <w:rPr>
          <w:rFonts w:hint="eastAsia"/>
          <w:sz w:val="20"/>
          <w:szCs w:val="20"/>
          <w:lang w:eastAsia="zh-CN"/>
        </w:rPr>
        <w:t>图</w:t>
      </w:r>
      <w:r>
        <w:rPr>
          <w:rFonts w:hint="eastAsia"/>
          <w:sz w:val="20"/>
          <w:szCs w:val="20"/>
          <w:lang w:val="en-US" w:eastAsia="zh-CN"/>
        </w:rPr>
        <w:t>2 结直肠癌发病危险因素</w:t>
      </w:r>
      <w:r>
        <w:rPr>
          <w:rFonts w:hint="eastAsia" w:ascii="微软雅黑" w:hAnsi="微软雅黑" w:cs="微软雅黑"/>
          <w:sz w:val="20"/>
          <w:szCs w:val="20"/>
          <w:vertAlign w:val="superscript"/>
          <w:lang w:val="en-US" w:eastAsia="zh-CN"/>
        </w:rPr>
        <w:t>[1]</w:t>
      </w:r>
    </w:p>
    <w:p w14:paraId="0A147C8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遗传性</w:t>
      </w:r>
      <w:r>
        <w:rPr>
          <w:rFonts w:hint="eastAsia" w:ascii="微软雅黑" w:hAnsi="微软雅黑" w:cs="微软雅黑"/>
          <w:sz w:val="21"/>
          <w:szCs w:val="21"/>
          <w:lang w:val="en-US" w:eastAsia="zh-CN"/>
        </w:rPr>
        <w:t>结直肠</w:t>
      </w:r>
      <w:r>
        <w:rPr>
          <w:rFonts w:hint="default" w:ascii="微软雅黑" w:hAnsi="微软雅黑" w:cs="微软雅黑"/>
          <w:sz w:val="21"/>
          <w:szCs w:val="21"/>
          <w:lang w:val="en-US" w:eastAsia="zh-CN"/>
        </w:rPr>
        <w:t>癌综合</w:t>
      </w:r>
      <w:r>
        <w:rPr>
          <w:rFonts w:hint="eastAsia" w:ascii="微软雅黑" w:hAnsi="微软雅黑" w:cs="微软雅黑"/>
          <w:sz w:val="21"/>
          <w:szCs w:val="21"/>
          <w:lang w:val="en-US" w:eastAsia="zh-CN"/>
        </w:rPr>
        <w:t>征主要包括：</w:t>
      </w:r>
      <w:bookmarkStart w:id="256" w:name="OLE_LINK8"/>
      <w:r>
        <w:rPr>
          <w:rFonts w:hint="default" w:ascii="微软雅黑" w:hAnsi="微软雅黑" w:cs="微软雅黑"/>
          <w:sz w:val="21"/>
          <w:szCs w:val="21"/>
          <w:lang w:val="en-US" w:eastAsia="zh-CN"/>
        </w:rPr>
        <w:t>林奇</w:t>
      </w:r>
      <w:bookmarkEnd w:id="256"/>
      <w:r>
        <w:rPr>
          <w:rFonts w:hint="default" w:ascii="微软雅黑" w:hAnsi="微软雅黑" w:cs="微软雅黑"/>
          <w:sz w:val="21"/>
          <w:szCs w:val="21"/>
          <w:lang w:val="en-US" w:eastAsia="zh-CN"/>
        </w:rPr>
        <w:t>综合征</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Lynch</w:t>
      </w:r>
      <w:r>
        <w:rPr>
          <w:rFonts w:hint="eastAsia" w:ascii="微软雅黑" w:hAnsi="微软雅黑" w:cs="微软雅黑"/>
          <w:sz w:val="21"/>
          <w:szCs w:val="21"/>
          <w:lang w:val="en-US" w:eastAsia="zh-CN"/>
        </w:rPr>
        <w:t xml:space="preserve"> syndrome）、</w:t>
      </w:r>
      <w:r>
        <w:rPr>
          <w:rFonts w:hint="default" w:ascii="微软雅黑" w:hAnsi="微软雅黑" w:cs="微软雅黑"/>
          <w:sz w:val="21"/>
          <w:szCs w:val="21"/>
          <w:lang w:val="en-US" w:eastAsia="zh-CN"/>
        </w:rPr>
        <w:t>家族性腺瘤性息肉病</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mutY DNA糖基化酶（MUTYH）基因突变相关的息肉病</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Peutz Jeghers综合征</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锯齿状息肉病和青少年息肉病</w:t>
      </w:r>
      <w:r>
        <w:rPr>
          <w:rFonts w:hint="eastAsia" w:ascii="微软雅黑" w:hAnsi="微软雅黑" w:cs="微软雅黑"/>
          <w:sz w:val="21"/>
          <w:szCs w:val="21"/>
          <w:lang w:val="en-US" w:eastAsia="zh-CN"/>
        </w:rPr>
        <w:t>，其中较为常见的是</w:t>
      </w:r>
      <w:r>
        <w:rPr>
          <w:rFonts w:hint="default" w:ascii="微软雅黑" w:hAnsi="微软雅黑" w:cs="微软雅黑"/>
          <w:sz w:val="21"/>
          <w:szCs w:val="21"/>
          <w:lang w:val="en-US" w:eastAsia="zh-CN"/>
        </w:rPr>
        <w:t>林奇综合征</w:t>
      </w:r>
      <w:r>
        <w:rPr>
          <w:rFonts w:hint="eastAsia" w:ascii="微软雅黑" w:hAnsi="微软雅黑" w:cs="微软雅黑"/>
          <w:sz w:val="21"/>
          <w:szCs w:val="21"/>
          <w:lang w:val="en-US" w:eastAsia="zh-CN"/>
        </w:rPr>
        <w:t>与</w:t>
      </w:r>
      <w:r>
        <w:rPr>
          <w:rFonts w:hint="default" w:ascii="微软雅黑" w:hAnsi="微软雅黑" w:cs="微软雅黑"/>
          <w:sz w:val="21"/>
          <w:szCs w:val="21"/>
          <w:lang w:val="en-US" w:eastAsia="zh-CN"/>
        </w:rPr>
        <w:t>家族性腺瘤性息肉病</w:t>
      </w:r>
      <w:r>
        <w:rPr>
          <w:rFonts w:hint="eastAsia" w:ascii="微软雅黑" w:hAnsi="微软雅黑" w:cs="微软雅黑"/>
          <w:sz w:val="21"/>
          <w:szCs w:val="21"/>
          <w:lang w:val="en-US" w:eastAsia="zh-CN"/>
        </w:rPr>
        <w:t>。</w:t>
      </w:r>
    </w:p>
    <w:p w14:paraId="1108B2CA">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default" w:ascii="微软雅黑" w:hAnsi="微软雅黑" w:cs="微软雅黑"/>
          <w:sz w:val="21"/>
          <w:szCs w:val="21"/>
          <w:lang w:val="en-US" w:eastAsia="zh-CN"/>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MSI</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，在免疫组织化学上显示</w:t>
      </w:r>
      <w:r>
        <w:rPr>
          <w:rFonts w:hint="eastAsia" w:ascii="微软雅黑" w:hAnsi="微软雅黑" w:cs="微软雅黑"/>
          <w:sz w:val="21"/>
          <w:szCs w:val="21"/>
          <w:lang w:val="en-US" w:eastAsia="zh-CN"/>
        </w:rPr>
        <w:t>错配</w:t>
      </w:r>
      <w:r>
        <w:rPr>
          <w:rFonts w:hint="default" w:ascii="微软雅黑" w:hAnsi="微软雅黑" w:cs="微软雅黑"/>
          <w:sz w:val="21"/>
          <w:szCs w:val="21"/>
          <w:lang w:val="en-US" w:eastAsia="zh-CN"/>
        </w:rPr>
        <w:t>修复蛋白的缺</w:t>
      </w:r>
      <w:r>
        <w:rPr>
          <w:rFonts w:hint="eastAsia" w:ascii="微软雅黑" w:hAnsi="微软雅黑" w:cs="微软雅黑"/>
          <w:sz w:val="21"/>
          <w:szCs w:val="21"/>
          <w:lang w:val="en-US" w:eastAsia="zh-CN"/>
        </w:rPr>
        <w:t>失。但</w:t>
      </w:r>
      <w:r>
        <w:rPr>
          <w:rFonts w:hint="default" w:ascii="微软雅黑" w:hAnsi="微软雅黑" w:cs="微软雅黑"/>
          <w:sz w:val="21"/>
          <w:szCs w:val="21"/>
          <w:lang w:val="en-US" w:eastAsia="zh-CN"/>
        </w:rPr>
        <w:t>MSI并不是Lynch综合征的</w:t>
      </w:r>
      <w:r>
        <w:rPr>
          <w:rFonts w:hint="eastAsia" w:ascii="微软雅黑" w:hAnsi="微软雅黑" w:cs="微软雅黑"/>
          <w:sz w:val="21"/>
          <w:szCs w:val="21"/>
          <w:lang w:val="en-US" w:eastAsia="zh-CN"/>
        </w:rPr>
        <w:t>特有标志</w:t>
      </w:r>
      <w:r>
        <w:rPr>
          <w:rFonts w:hint="default" w:ascii="微软雅黑" w:hAnsi="微软雅黑" w:cs="微软雅黑"/>
          <w:sz w:val="21"/>
          <w:szCs w:val="21"/>
          <w:lang w:val="en-US" w:eastAsia="zh-CN"/>
        </w:rPr>
        <w:t>，大约15%的散发性结肠直肠癌</w:t>
      </w:r>
      <w:r>
        <w:rPr>
          <w:rFonts w:hint="eastAsia" w:ascii="微软雅黑" w:hAnsi="微软雅黑" w:cs="微软雅黑"/>
          <w:sz w:val="21"/>
          <w:szCs w:val="21"/>
          <w:lang w:val="en-US" w:eastAsia="zh-CN"/>
        </w:rPr>
        <w:t>患者分子表型为</w:t>
      </w:r>
      <w:r>
        <w:rPr>
          <w:rFonts w:hint="default" w:ascii="微软雅黑" w:hAnsi="微软雅黑" w:cs="微软雅黑"/>
          <w:sz w:val="21"/>
          <w:szCs w:val="21"/>
          <w:lang w:val="en-US" w:eastAsia="zh-CN"/>
        </w:rPr>
        <w:t>MSI</w:t>
      </w:r>
      <w:r>
        <w:rPr>
          <w:rFonts w:hint="eastAsia" w:ascii="微软雅黑" w:hAnsi="微软雅黑" w:cs="微软雅黑"/>
          <w:sz w:val="21"/>
          <w:szCs w:val="21"/>
          <w:lang w:val="en-US" w:eastAsia="zh-CN"/>
        </w:rPr>
        <w:t>，其病因与MLH1基因启动子区域CpG岛过度甲基化（CpG island methylator phenotypes，CIMP）导致MLH1基因表达沉默相关</w:t>
      </w:r>
      <w:r>
        <w:rPr>
          <w:rFonts w:hint="eastAsia" w:ascii="微软雅黑" w:hAnsi="微软雅黑" w:cs="微软雅黑"/>
          <w:sz w:val="21"/>
          <w:szCs w:val="21"/>
          <w:vertAlign w:val="superscript"/>
          <w:lang w:val="en-US" w:eastAsia="zh-CN"/>
        </w:rPr>
        <w:t>[9]</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林奇综合征患者从20岁到25岁应经常进行结肠镜检查</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每年1</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2次</w:t>
      </w:r>
      <w:r>
        <w:rPr>
          <w:rFonts w:hint="eastAsia" w:ascii="微软雅黑" w:hAnsi="微软雅黑" w:cs="微软雅黑"/>
          <w:sz w:val="21"/>
          <w:szCs w:val="21"/>
          <w:vertAlign w:val="superscript"/>
          <w:lang w:val="en-US" w:eastAsia="zh-CN"/>
        </w:rPr>
        <w:t>[10，11]</w:t>
      </w:r>
      <w:r>
        <w:rPr>
          <w:rFonts w:hint="default" w:ascii="微软雅黑" w:hAnsi="微软雅黑" w:cs="微软雅黑"/>
          <w:sz w:val="21"/>
          <w:szCs w:val="21"/>
          <w:lang w:val="en-US" w:eastAsia="zh-CN"/>
        </w:rPr>
        <w:t>。此外，林奇综合征患者患子宫内膜癌</w:t>
      </w:r>
      <w:r>
        <w:rPr>
          <w:rFonts w:hint="eastAsia" w:ascii="微软雅黑" w:hAnsi="微软雅黑" w:cs="微软雅黑"/>
          <w:sz w:val="21"/>
          <w:szCs w:val="21"/>
          <w:lang w:val="en-US" w:eastAsia="zh-CN"/>
        </w:rPr>
        <w:t>及</w:t>
      </w:r>
      <w:r>
        <w:rPr>
          <w:rFonts w:hint="default" w:ascii="微软雅黑" w:hAnsi="微软雅黑" w:cs="微软雅黑"/>
          <w:sz w:val="21"/>
          <w:szCs w:val="21"/>
          <w:lang w:val="en-US" w:eastAsia="zh-CN"/>
        </w:rPr>
        <w:t>小肠、胃、卵巢、肾盂、输尿管和肝胆系统癌症</w:t>
      </w:r>
      <w:r>
        <w:rPr>
          <w:rFonts w:hint="eastAsia" w:ascii="微软雅黑" w:hAnsi="微软雅黑" w:cs="微软雅黑"/>
          <w:sz w:val="21"/>
          <w:szCs w:val="21"/>
          <w:lang w:val="en-US" w:eastAsia="zh-CN"/>
        </w:rPr>
        <w:t>等</w:t>
      </w:r>
      <w:r>
        <w:rPr>
          <w:rFonts w:hint="default" w:ascii="微软雅黑" w:hAnsi="微软雅黑" w:cs="微软雅黑"/>
          <w:sz w:val="21"/>
          <w:szCs w:val="21"/>
          <w:lang w:val="en-US" w:eastAsia="zh-CN"/>
        </w:rPr>
        <w:t>其</w:t>
      </w:r>
      <w:r>
        <w:rPr>
          <w:rFonts w:hint="eastAsia" w:ascii="微软雅黑" w:hAnsi="微软雅黑" w:cs="微软雅黑"/>
          <w:sz w:val="21"/>
          <w:szCs w:val="21"/>
          <w:lang w:val="en-US" w:eastAsia="zh-CN"/>
        </w:rPr>
        <w:t>它</w:t>
      </w:r>
      <w:r>
        <w:rPr>
          <w:rFonts w:hint="default" w:ascii="微软雅黑" w:hAnsi="微软雅黑" w:cs="微软雅黑"/>
          <w:sz w:val="21"/>
          <w:szCs w:val="21"/>
          <w:lang w:val="en-US" w:eastAsia="zh-CN"/>
        </w:rPr>
        <w:t>恶性肿瘤</w:t>
      </w:r>
      <w:r>
        <w:rPr>
          <w:rFonts w:hint="eastAsia" w:ascii="微软雅黑" w:hAnsi="微软雅黑" w:cs="微软雅黑"/>
          <w:sz w:val="21"/>
          <w:szCs w:val="21"/>
          <w:lang w:val="en-US" w:eastAsia="zh-CN"/>
        </w:rPr>
        <w:t>患病</w:t>
      </w:r>
      <w:r>
        <w:rPr>
          <w:rFonts w:hint="default" w:ascii="微软雅黑" w:hAnsi="微软雅黑" w:cs="微软雅黑"/>
          <w:sz w:val="21"/>
          <w:szCs w:val="21"/>
          <w:lang w:val="en-US" w:eastAsia="zh-CN"/>
        </w:rPr>
        <w:t>风险增加。</w:t>
      </w:r>
    </w:p>
    <w:p w14:paraId="17F0920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家族性腺瘤性息肉病是由控制Wnt信号通路活性的腺瘤性息肉病大肠杆菌（APC）基因突变引起的</w:t>
      </w:r>
      <w:r>
        <w:rPr>
          <w:rFonts w:hint="eastAsia" w:ascii="微软雅黑" w:hAnsi="微软雅黑" w:cs="微软雅黑"/>
          <w:sz w:val="21"/>
          <w:szCs w:val="21"/>
          <w:vertAlign w:val="superscript"/>
          <w:lang w:val="en-US" w:eastAsia="zh-CN"/>
        </w:rPr>
        <w:t>[12]</w:t>
      </w:r>
      <w:r>
        <w:rPr>
          <w:rFonts w:hint="eastAsia" w:ascii="微软雅黑" w:hAnsi="微软雅黑" w:cs="微软雅黑"/>
          <w:sz w:val="21"/>
          <w:szCs w:val="21"/>
          <w:lang w:val="en-US" w:eastAsia="zh-CN"/>
        </w:rPr>
        <w:t>。大多数家族性腺瘤性息肉病患者在年轻时会发生大量结直肠腺瘤进而发展为结直肠癌。</w:t>
      </w:r>
    </w:p>
    <w:p w14:paraId="66807CF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除遗传因素外，</w:t>
      </w:r>
      <w:r>
        <w:rPr>
          <w:rFonts w:hint="default" w:ascii="微软雅黑" w:hAnsi="微软雅黑" w:cs="微软雅黑"/>
          <w:sz w:val="21"/>
          <w:szCs w:val="21"/>
          <w:lang w:val="en-US" w:eastAsia="zh-CN"/>
        </w:rPr>
        <w:t>吸烟</w:t>
      </w:r>
      <w:r>
        <w:rPr>
          <w:rFonts w:hint="eastAsia" w:ascii="微软雅黑" w:hAnsi="微软雅黑" w:cs="微软雅黑"/>
          <w:sz w:val="21"/>
          <w:szCs w:val="21"/>
          <w:vertAlign w:val="superscript"/>
          <w:lang w:val="en-US" w:eastAsia="zh-CN"/>
        </w:rPr>
        <w:t>[13]</w:t>
      </w:r>
      <w:r>
        <w:rPr>
          <w:rFonts w:hint="eastAsia" w:ascii="微软雅黑" w:hAnsi="微软雅黑" w:cs="微软雅黑"/>
          <w:sz w:val="21"/>
          <w:szCs w:val="21"/>
          <w:lang w:val="en-US" w:eastAsia="zh-CN"/>
        </w:rPr>
        <w:t>、酗酒</w:t>
      </w:r>
      <w:r>
        <w:rPr>
          <w:rFonts w:hint="eastAsia" w:ascii="微软雅黑" w:hAnsi="微软雅黑" w:cs="微软雅黑"/>
          <w:sz w:val="21"/>
          <w:szCs w:val="21"/>
          <w:vertAlign w:val="superscript"/>
          <w:lang w:val="en-US" w:eastAsia="zh-CN"/>
        </w:rPr>
        <w:t>[14]</w:t>
      </w:r>
      <w:r>
        <w:rPr>
          <w:rFonts w:hint="eastAsia" w:ascii="微软雅黑" w:hAnsi="微软雅黑" w:cs="微软雅黑"/>
          <w:sz w:val="21"/>
          <w:szCs w:val="21"/>
          <w:lang w:val="en-US" w:eastAsia="zh-CN"/>
        </w:rPr>
        <w:t>、肥胖</w:t>
      </w:r>
      <w:r>
        <w:rPr>
          <w:rFonts w:hint="eastAsia" w:ascii="微软雅黑" w:hAnsi="微软雅黑" w:cs="微软雅黑"/>
          <w:sz w:val="21"/>
          <w:szCs w:val="21"/>
          <w:vertAlign w:val="superscript"/>
          <w:lang w:val="en-US" w:eastAsia="zh-CN"/>
        </w:rPr>
        <w:t>[15]</w:t>
      </w:r>
      <w:r>
        <w:rPr>
          <w:rFonts w:hint="eastAsia" w:ascii="微软雅黑" w:hAnsi="微软雅黑" w:cs="微软雅黑"/>
          <w:sz w:val="21"/>
          <w:szCs w:val="21"/>
          <w:lang w:val="en-US" w:eastAsia="zh-CN"/>
        </w:rPr>
        <w:t>、红肉和加工肉过量摄入</w:t>
      </w:r>
      <w:r>
        <w:rPr>
          <w:rFonts w:hint="eastAsia" w:ascii="微软雅黑" w:hAnsi="微软雅黑" w:cs="微软雅黑"/>
          <w:sz w:val="21"/>
          <w:szCs w:val="21"/>
          <w:vertAlign w:val="superscript"/>
          <w:lang w:val="en-US" w:eastAsia="zh-CN"/>
        </w:rPr>
        <w:t>[16]</w:t>
      </w:r>
      <w:r>
        <w:rPr>
          <w:rFonts w:hint="eastAsia" w:ascii="微软雅黑" w:hAnsi="微软雅黑" w:cs="微软雅黑"/>
          <w:sz w:val="21"/>
          <w:szCs w:val="21"/>
          <w:lang w:val="en-US" w:eastAsia="zh-CN"/>
        </w:rPr>
        <w:t>等不良</w:t>
      </w:r>
      <w:r>
        <w:rPr>
          <w:rFonts w:hint="default" w:ascii="微软雅黑" w:hAnsi="微软雅黑" w:cs="微软雅黑"/>
          <w:sz w:val="21"/>
          <w:szCs w:val="21"/>
          <w:lang w:val="en-US" w:eastAsia="zh-CN"/>
        </w:rPr>
        <w:t>生活方式因素</w:t>
      </w:r>
      <w:r>
        <w:rPr>
          <w:rFonts w:hint="eastAsia" w:ascii="微软雅黑" w:hAnsi="微软雅黑" w:cs="微软雅黑"/>
          <w:sz w:val="21"/>
          <w:szCs w:val="21"/>
          <w:lang w:val="en-US" w:eastAsia="zh-CN"/>
        </w:rPr>
        <w:t>可能</w:t>
      </w:r>
      <w:r>
        <w:rPr>
          <w:rFonts w:hint="default" w:ascii="微软雅黑" w:hAnsi="微软雅黑" w:cs="微软雅黑"/>
          <w:sz w:val="21"/>
          <w:szCs w:val="21"/>
          <w:lang w:val="en-US" w:eastAsia="zh-CN"/>
        </w:rPr>
        <w:t>增加患结肠直肠癌的风险，</w:t>
      </w:r>
      <w:r>
        <w:rPr>
          <w:rFonts w:hint="eastAsia" w:ascii="微软雅黑" w:hAnsi="微软雅黑" w:cs="微软雅黑"/>
          <w:sz w:val="21"/>
          <w:szCs w:val="21"/>
          <w:lang w:val="en-US" w:eastAsia="zh-CN"/>
        </w:rPr>
        <w:t>相关研究表明，</w:t>
      </w:r>
      <w:r>
        <w:rPr>
          <w:rFonts w:hint="eastAsia" w:ascii="微软雅黑" w:hAnsi="微软雅黑" w:eastAsia="微软雅黑" w:cs="微软雅黑"/>
          <w:sz w:val="21"/>
          <w:szCs w:val="21"/>
          <w:lang w:val="en-US" w:eastAsia="zh-CN"/>
        </w:rPr>
        <w:t>Ⅱ</w:t>
      </w:r>
      <w:r>
        <w:rPr>
          <w:rFonts w:hint="default" w:ascii="微软雅黑" w:hAnsi="微软雅黑" w:cs="微软雅黑"/>
          <w:sz w:val="21"/>
          <w:szCs w:val="21"/>
          <w:lang w:val="en-US" w:eastAsia="zh-CN"/>
        </w:rPr>
        <w:t>型糖尿病</w:t>
      </w:r>
      <w:r>
        <w:rPr>
          <w:rFonts w:hint="eastAsia" w:ascii="微软雅黑" w:hAnsi="微软雅黑" w:cs="微软雅黑"/>
          <w:sz w:val="21"/>
          <w:szCs w:val="21"/>
          <w:lang w:val="en-US" w:eastAsia="zh-CN"/>
        </w:rPr>
        <w:t>与</w:t>
      </w:r>
      <w:r>
        <w:rPr>
          <w:rFonts w:hint="default" w:ascii="微软雅黑" w:hAnsi="微软雅黑" w:cs="微软雅黑"/>
          <w:sz w:val="21"/>
          <w:szCs w:val="21"/>
          <w:lang w:val="en-US" w:eastAsia="zh-CN"/>
        </w:rPr>
        <w:t>感染核梭杆菌和脆弱拟杆菌</w:t>
      </w:r>
      <w:r>
        <w:rPr>
          <w:rFonts w:hint="eastAsia" w:ascii="微软雅黑" w:hAnsi="微软雅黑" w:cs="微软雅黑"/>
          <w:sz w:val="21"/>
          <w:szCs w:val="21"/>
          <w:lang w:val="en-US" w:eastAsia="zh-CN"/>
        </w:rPr>
        <w:t>等</w:t>
      </w:r>
      <w:r>
        <w:rPr>
          <w:rFonts w:hint="default" w:ascii="微软雅黑" w:hAnsi="微软雅黑" w:cs="微软雅黑"/>
          <w:sz w:val="21"/>
          <w:szCs w:val="21"/>
          <w:lang w:val="en-US" w:eastAsia="zh-CN"/>
        </w:rPr>
        <w:t>特定</w:t>
      </w:r>
      <w:r>
        <w:rPr>
          <w:rFonts w:hint="default" w:ascii="微软雅黑" w:hAnsi="微软雅黑" w:cs="微软雅黑"/>
          <w:sz w:val="21"/>
          <w:szCs w:val="21"/>
          <w:highlight w:val="none"/>
          <w:lang w:val="en-US" w:eastAsia="zh-CN"/>
        </w:rPr>
        <w:t>细菌</w:t>
      </w:r>
      <w:r>
        <w:rPr>
          <w:rFonts w:hint="eastAsia" w:ascii="微软雅黑" w:hAnsi="微软雅黑" w:cs="微软雅黑"/>
          <w:sz w:val="21"/>
          <w:szCs w:val="21"/>
          <w:highlight w:val="none"/>
          <w:lang w:val="en-US" w:eastAsia="zh-CN"/>
        </w:rPr>
        <w:t>的</w:t>
      </w:r>
      <w:r>
        <w:rPr>
          <w:rFonts w:hint="default" w:ascii="微软雅黑" w:hAnsi="微软雅黑" w:cs="微软雅黑"/>
          <w:sz w:val="21"/>
          <w:szCs w:val="21"/>
          <w:highlight w:val="none"/>
          <w:lang w:val="en-US" w:eastAsia="zh-CN"/>
        </w:rPr>
        <w:t>患者</w:t>
      </w:r>
      <w:r>
        <w:rPr>
          <w:rFonts w:hint="eastAsia" w:ascii="微软雅黑" w:hAnsi="微软雅黑" w:cs="微软雅黑"/>
          <w:sz w:val="21"/>
          <w:szCs w:val="21"/>
          <w:highlight w:val="none"/>
          <w:lang w:val="en-US" w:eastAsia="zh-CN"/>
        </w:rPr>
        <w:t>，</w:t>
      </w:r>
      <w:r>
        <w:rPr>
          <w:rFonts w:hint="default" w:ascii="微软雅黑" w:hAnsi="微软雅黑" w:cs="微软雅黑"/>
          <w:sz w:val="21"/>
          <w:szCs w:val="21"/>
          <w:highlight w:val="none"/>
          <w:lang w:val="en-US" w:eastAsia="zh-CN"/>
        </w:rPr>
        <w:t>结直肠癌</w:t>
      </w:r>
      <w:r>
        <w:rPr>
          <w:rFonts w:hint="eastAsia" w:ascii="微软雅黑" w:hAnsi="微软雅黑" w:cs="微软雅黑"/>
          <w:sz w:val="21"/>
          <w:szCs w:val="21"/>
          <w:highlight w:val="none"/>
          <w:lang w:val="en-US" w:eastAsia="zh-CN"/>
        </w:rPr>
        <w:t>患病</w:t>
      </w:r>
      <w:r>
        <w:rPr>
          <w:rFonts w:hint="default" w:ascii="微软雅黑" w:hAnsi="微软雅黑" w:cs="微软雅黑"/>
          <w:sz w:val="21"/>
          <w:szCs w:val="21"/>
          <w:highlight w:val="none"/>
          <w:lang w:val="en-US" w:eastAsia="zh-CN"/>
        </w:rPr>
        <w:t>风险增加</w:t>
      </w:r>
      <w:r>
        <w:rPr>
          <w:rFonts w:hint="eastAsia" w:ascii="微软雅黑" w:hAnsi="微软雅黑" w:cs="微软雅黑"/>
          <w:sz w:val="21"/>
          <w:szCs w:val="21"/>
          <w:highlight w:val="none"/>
          <w:vertAlign w:val="superscript"/>
          <w:lang w:val="en-US" w:eastAsia="zh-CN"/>
        </w:rPr>
        <w:t>[17，18]</w:t>
      </w:r>
      <w:r>
        <w:rPr>
          <w:rFonts w:hint="eastAsia" w:ascii="微软雅黑" w:hAnsi="微软雅黑" w:cs="微软雅黑"/>
          <w:sz w:val="21"/>
          <w:szCs w:val="21"/>
          <w:highlight w:val="none"/>
          <w:lang w:val="en-US" w:eastAsia="zh-CN"/>
        </w:rPr>
        <w:t>。相关环境因素可能导致结直肠癌肿瘤异质性，相关研究即</w:t>
      </w:r>
      <w:r>
        <w:rPr>
          <w:rFonts w:hint="eastAsia" w:ascii="微软雅黑" w:hAnsi="微软雅黑" w:cs="微软雅黑"/>
          <w:sz w:val="21"/>
          <w:szCs w:val="21"/>
          <w:lang w:val="en-US" w:eastAsia="zh-CN"/>
        </w:rPr>
        <w:t>根据环境、遗传因素以及分子之间的相关性，分析肠道微生物群和结直肠癌之间的相关性。</w:t>
      </w:r>
    </w:p>
    <w:p w14:paraId="71709FC4">
      <w:pPr>
        <w:ind w:left="0" w:leftChars="0" w:firstLine="0" w:firstLineChars="0"/>
        <w:jc w:val="both"/>
        <w:rPr>
          <w:rFonts w:hint="eastAsia"/>
          <w:b/>
          <w:bCs/>
          <w:lang w:val="en-US" w:eastAsia="zh-CN"/>
        </w:rPr>
      </w:pPr>
      <w:r>
        <w:rPr>
          <w:rFonts w:hint="eastAsia"/>
          <w:b/>
          <w:bCs/>
          <w:lang w:val="en-US" w:eastAsia="zh-CN"/>
        </w:rPr>
        <w:t>2、致病机理</w:t>
      </w:r>
    </w:p>
    <w:p w14:paraId="0203EAB1">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绝大多数癌症</w:t>
      </w:r>
      <w:r>
        <w:rPr>
          <w:rFonts w:hint="eastAsia" w:ascii="微软雅黑" w:hAnsi="微软雅黑" w:cs="微软雅黑"/>
          <w:sz w:val="21"/>
          <w:szCs w:val="21"/>
          <w:lang w:val="en-US" w:eastAsia="zh-CN"/>
        </w:rPr>
        <w:t>是由</w:t>
      </w:r>
      <w:r>
        <w:rPr>
          <w:rFonts w:hint="default" w:ascii="微软雅黑" w:hAnsi="微软雅黑" w:cs="微软雅黑"/>
          <w:sz w:val="21"/>
          <w:szCs w:val="21"/>
          <w:lang w:val="en-US" w:eastAsia="zh-CN"/>
        </w:rPr>
        <w:t>息肉</w:t>
      </w:r>
      <w:r>
        <w:rPr>
          <w:rFonts w:hint="eastAsia" w:ascii="微软雅黑" w:hAnsi="微软雅黑" w:cs="微软雅黑"/>
          <w:sz w:val="21"/>
          <w:szCs w:val="21"/>
          <w:lang w:val="en-US" w:eastAsia="zh-CN"/>
        </w:rPr>
        <w:t>引起的，在典型</w:t>
      </w:r>
      <w:r>
        <w:rPr>
          <w:rFonts w:hint="default" w:ascii="微软雅黑" w:hAnsi="微软雅黑" w:cs="微软雅黑"/>
          <w:sz w:val="21"/>
          <w:szCs w:val="21"/>
          <w:lang w:val="en-US" w:eastAsia="zh-CN"/>
        </w:rPr>
        <w:t>结直肠癌形成模型中，</w:t>
      </w:r>
      <w:r>
        <w:rPr>
          <w:rFonts w:hint="eastAsia" w:ascii="微软雅黑" w:hAnsi="微软雅黑" w:cs="微软雅黑"/>
          <w:sz w:val="21"/>
          <w:szCs w:val="21"/>
          <w:lang w:val="en-US" w:eastAsia="zh-CN"/>
        </w:rPr>
        <w:t>肿瘤始于</w:t>
      </w:r>
      <w:r>
        <w:rPr>
          <w:rFonts w:hint="default" w:ascii="微软雅黑" w:hAnsi="微软雅黑" w:cs="微软雅黑"/>
          <w:sz w:val="21"/>
          <w:szCs w:val="21"/>
          <w:lang w:val="en-US" w:eastAsia="zh-CN"/>
        </w:rPr>
        <w:t>异常隐窝，</w:t>
      </w:r>
      <w:r>
        <w:rPr>
          <w:rFonts w:hint="eastAsia" w:ascii="微软雅黑" w:hAnsi="微软雅黑" w:cs="微软雅黑"/>
          <w:sz w:val="21"/>
          <w:szCs w:val="21"/>
          <w:lang w:val="en-US" w:eastAsia="zh-CN"/>
        </w:rPr>
        <w:t>随后</w:t>
      </w:r>
      <w:r>
        <w:rPr>
          <w:rFonts w:hint="default" w:ascii="微软雅黑" w:hAnsi="微软雅黑" w:cs="微软雅黑"/>
          <w:sz w:val="21"/>
          <w:szCs w:val="21"/>
          <w:lang w:val="en-US" w:eastAsia="zh-CN"/>
        </w:rPr>
        <w:t>演变为早期腺瘤（大小&lt;1 cm，具有肾小管或微管组织学），腺瘤发展为晚期腺瘤（大小&gt; 1cm，和/或有绒毛组织学），最终</w:t>
      </w:r>
      <w:r>
        <w:rPr>
          <w:rFonts w:hint="eastAsia" w:ascii="微软雅黑" w:hAnsi="微软雅黑" w:cs="微软雅黑"/>
          <w:sz w:val="21"/>
          <w:szCs w:val="21"/>
          <w:lang w:val="en-US" w:eastAsia="zh-CN"/>
        </w:rPr>
        <w:t>发展</w:t>
      </w:r>
      <w:r>
        <w:rPr>
          <w:rFonts w:hint="default" w:ascii="微软雅黑" w:hAnsi="微软雅黑" w:cs="微软雅黑"/>
          <w:sz w:val="21"/>
          <w:szCs w:val="21"/>
          <w:lang w:val="en-US" w:eastAsia="zh-CN"/>
        </w:rPr>
        <w:t>为结直肠癌。目前认为大多数结直肠癌细胞来源</w:t>
      </w:r>
      <w:r>
        <w:rPr>
          <w:rFonts w:hint="eastAsia" w:ascii="微软雅黑" w:hAnsi="微软雅黑" w:cs="微软雅黑"/>
          <w:sz w:val="21"/>
          <w:szCs w:val="21"/>
          <w:lang w:val="en-US" w:eastAsia="zh-CN"/>
        </w:rPr>
        <w:t>于</w:t>
      </w:r>
      <w:r>
        <w:rPr>
          <w:rFonts w:hint="default" w:ascii="微软雅黑" w:hAnsi="微软雅黑" w:cs="微软雅黑"/>
          <w:sz w:val="21"/>
          <w:szCs w:val="21"/>
          <w:lang w:val="en-US" w:eastAsia="zh-CN"/>
        </w:rPr>
        <w:t>干细胞或类干细胞</w:t>
      </w:r>
      <w:r>
        <w:rPr>
          <w:rFonts w:hint="eastAsia" w:ascii="微软雅黑" w:hAnsi="微软雅黑" w:cs="微软雅黑"/>
          <w:sz w:val="21"/>
          <w:szCs w:val="21"/>
          <w:vertAlign w:val="superscript"/>
          <w:lang w:val="en-US" w:eastAsia="zh-CN"/>
        </w:rPr>
        <w:t>[19，20]</w:t>
      </w:r>
      <w:r>
        <w:rPr>
          <w:rFonts w:hint="eastAsia" w:ascii="微软雅黑" w:hAnsi="微软雅黑" w:cs="微软雅黑"/>
          <w:sz w:val="21"/>
          <w:szCs w:val="21"/>
          <w:lang w:val="en-US" w:eastAsia="zh-CN"/>
        </w:rPr>
        <w:t>，该</w:t>
      </w:r>
      <w:r>
        <w:rPr>
          <w:rFonts w:hint="default" w:ascii="微软雅黑" w:hAnsi="微软雅黑" w:cs="微软雅黑"/>
          <w:sz w:val="21"/>
          <w:szCs w:val="21"/>
          <w:lang w:val="en-US" w:eastAsia="zh-CN"/>
        </w:rPr>
        <w:t>过程由突变和表观遗传改变积累驱动，肿瘤</w:t>
      </w:r>
      <w:r>
        <w:rPr>
          <w:rFonts w:hint="eastAsia" w:ascii="微软雅黑" w:hAnsi="微软雅黑" w:cs="微软雅黑"/>
          <w:sz w:val="21"/>
          <w:szCs w:val="21"/>
          <w:lang w:val="en-US" w:eastAsia="zh-CN"/>
        </w:rPr>
        <w:t>抑癌</w:t>
      </w:r>
      <w:r>
        <w:rPr>
          <w:rFonts w:hint="default" w:ascii="微软雅黑" w:hAnsi="微软雅黑" w:cs="微软雅黑"/>
          <w:sz w:val="21"/>
          <w:szCs w:val="21"/>
          <w:lang w:val="en-US" w:eastAsia="zh-CN"/>
        </w:rPr>
        <w:t>基因失活</w:t>
      </w:r>
      <w:r>
        <w:rPr>
          <w:rFonts w:hint="eastAsia" w:ascii="微软雅黑" w:hAnsi="微软雅黑" w:cs="微软雅黑"/>
          <w:sz w:val="21"/>
          <w:szCs w:val="21"/>
          <w:lang w:val="en-US" w:eastAsia="zh-CN"/>
        </w:rPr>
        <w:t>、原癌基因</w:t>
      </w:r>
      <w:r>
        <w:rPr>
          <w:rFonts w:hint="default" w:ascii="微软雅黑" w:hAnsi="微软雅黑" w:cs="微软雅黑"/>
          <w:sz w:val="21"/>
          <w:szCs w:val="21"/>
          <w:lang w:val="en-US" w:eastAsia="zh-CN"/>
        </w:rPr>
        <w:t>激活</w:t>
      </w:r>
      <w:r>
        <w:rPr>
          <w:rFonts w:hint="eastAsia" w:ascii="微软雅黑" w:hAnsi="微软雅黑" w:cs="微软雅黑"/>
          <w:sz w:val="21"/>
          <w:szCs w:val="21"/>
          <w:lang w:val="en-US" w:eastAsia="zh-CN"/>
        </w:rPr>
        <w:t>，历时</w:t>
      </w:r>
      <w:r>
        <w:rPr>
          <w:rFonts w:hint="default" w:ascii="微软雅黑" w:hAnsi="微软雅黑" w:cs="微软雅黑"/>
          <w:sz w:val="21"/>
          <w:szCs w:val="21"/>
          <w:lang w:val="en-US" w:eastAsia="zh-CN"/>
        </w:rPr>
        <w:t>10到15年</w:t>
      </w:r>
      <w:r>
        <w:rPr>
          <w:rFonts w:hint="eastAsia" w:ascii="微软雅黑" w:hAnsi="微软雅黑" w:cs="微软雅黑"/>
          <w:sz w:val="21"/>
          <w:szCs w:val="21"/>
          <w:lang w:val="en-US" w:eastAsia="zh-CN"/>
        </w:rPr>
        <w:t>发展为恶性肿瘤。</w:t>
      </w:r>
      <w:r>
        <w:rPr>
          <w:rFonts w:hint="default" w:ascii="微软雅黑" w:hAnsi="微软雅黑" w:cs="微软雅黑"/>
          <w:sz w:val="21"/>
          <w:szCs w:val="21"/>
          <w:lang w:val="en-US" w:eastAsia="zh-CN"/>
        </w:rPr>
        <w:t>但是在某些情况下（如林奇综合征患者）</w:t>
      </w:r>
      <w:r>
        <w:rPr>
          <w:rFonts w:hint="eastAsia" w:ascii="微软雅黑" w:hAnsi="微软雅黑" w:cs="微软雅黑"/>
          <w:sz w:val="21"/>
          <w:szCs w:val="21"/>
          <w:lang w:val="en-US" w:eastAsia="zh-CN"/>
        </w:rPr>
        <w:t>肿瘤发展更快</w:t>
      </w:r>
      <w:r>
        <w:rPr>
          <w:rFonts w:hint="eastAsia" w:ascii="微软雅黑" w:hAnsi="微软雅黑" w:cs="微软雅黑"/>
          <w:sz w:val="21"/>
          <w:szCs w:val="21"/>
          <w:vertAlign w:val="superscript"/>
          <w:lang w:val="en-US" w:eastAsia="zh-CN"/>
        </w:rPr>
        <w:t>[21]</w:t>
      </w:r>
      <w:r>
        <w:rPr>
          <w:rFonts w:hint="default" w:ascii="微软雅黑" w:hAnsi="微软雅黑" w:cs="微软雅黑"/>
          <w:sz w:val="21"/>
          <w:szCs w:val="21"/>
          <w:lang w:val="en-US" w:eastAsia="zh-CN"/>
        </w:rPr>
        <w:t>。值得注意的是，常规管状腺瘤组织</w:t>
      </w:r>
      <w:r>
        <w:rPr>
          <w:rFonts w:hint="eastAsia" w:ascii="微软雅黑" w:hAnsi="微软雅黑" w:cs="微软雅黑"/>
          <w:sz w:val="21"/>
          <w:szCs w:val="21"/>
          <w:lang w:val="en-US" w:eastAsia="zh-CN"/>
        </w:rPr>
        <w:t>较为</w:t>
      </w:r>
      <w:r>
        <w:rPr>
          <w:rFonts w:hint="default" w:ascii="微软雅黑" w:hAnsi="微软雅黑" w:cs="微软雅黑"/>
          <w:sz w:val="21"/>
          <w:szCs w:val="21"/>
          <w:lang w:val="en-US" w:eastAsia="zh-CN"/>
        </w:rPr>
        <w:t>均匀，</w:t>
      </w:r>
      <w:r>
        <w:rPr>
          <w:rFonts w:hint="eastAsia" w:ascii="微软雅黑" w:hAnsi="微软雅黑" w:cs="微软雅黑"/>
          <w:sz w:val="21"/>
          <w:szCs w:val="21"/>
          <w:lang w:val="en-US" w:eastAsia="zh-CN"/>
        </w:rPr>
        <w:t>但</w:t>
      </w:r>
      <w:r>
        <w:rPr>
          <w:rFonts w:hint="default" w:ascii="微软雅黑" w:hAnsi="微软雅黑" w:cs="微软雅黑"/>
          <w:sz w:val="21"/>
          <w:szCs w:val="21"/>
          <w:lang w:val="en-US" w:eastAsia="zh-CN"/>
        </w:rPr>
        <w:t>息肉</w:t>
      </w:r>
      <w:r>
        <w:rPr>
          <w:rFonts w:hint="eastAsia" w:ascii="微软雅黑" w:hAnsi="微软雅黑" w:cs="微软雅黑"/>
          <w:sz w:val="21"/>
          <w:szCs w:val="21"/>
          <w:lang w:val="en-US" w:eastAsia="zh-CN"/>
        </w:rPr>
        <w:t>存在</w:t>
      </w:r>
      <w:r>
        <w:rPr>
          <w:rFonts w:hint="default" w:ascii="微软雅黑" w:hAnsi="微软雅黑" w:cs="微软雅黑"/>
          <w:sz w:val="21"/>
          <w:szCs w:val="21"/>
          <w:lang w:val="en-US" w:eastAsia="zh-CN"/>
        </w:rPr>
        <w:t>异质</w:t>
      </w:r>
      <w:r>
        <w:rPr>
          <w:rFonts w:hint="eastAsia" w:ascii="微软雅黑" w:hAnsi="微软雅黑" w:cs="微软雅黑"/>
          <w:sz w:val="21"/>
          <w:szCs w:val="21"/>
          <w:lang w:val="en-US" w:eastAsia="zh-CN"/>
        </w:rPr>
        <w:t>性</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由此</w:t>
      </w:r>
      <w:r>
        <w:rPr>
          <w:rFonts w:hint="default" w:ascii="微软雅黑" w:hAnsi="微软雅黑" w:cs="微软雅黑"/>
          <w:sz w:val="21"/>
          <w:szCs w:val="21"/>
          <w:lang w:val="en-US" w:eastAsia="zh-CN"/>
        </w:rPr>
        <w:t>解释</w:t>
      </w:r>
      <w:r>
        <w:rPr>
          <w:rFonts w:hint="eastAsia" w:ascii="微软雅黑" w:hAnsi="微软雅黑" w:cs="微软雅黑"/>
          <w:sz w:val="21"/>
          <w:szCs w:val="21"/>
          <w:lang w:val="en-US" w:eastAsia="zh-CN"/>
        </w:rPr>
        <w:t>部分</w:t>
      </w:r>
      <w:r>
        <w:rPr>
          <w:rFonts w:hint="default" w:ascii="微软雅黑" w:hAnsi="微软雅黑" w:cs="微软雅黑"/>
          <w:sz w:val="21"/>
          <w:szCs w:val="21"/>
          <w:lang w:val="en-US" w:eastAsia="zh-CN"/>
        </w:rPr>
        <w:t>腺瘤进展为结肠直肠癌</w:t>
      </w:r>
      <w:r>
        <w:rPr>
          <w:rFonts w:hint="eastAsia" w:ascii="微软雅黑" w:hAnsi="微软雅黑" w:cs="微软雅黑"/>
          <w:sz w:val="21"/>
          <w:szCs w:val="21"/>
          <w:vertAlign w:val="superscript"/>
          <w:lang w:val="en-US" w:eastAsia="zh-CN"/>
        </w:rPr>
        <w:t>[22，23]</w:t>
      </w:r>
      <w:r>
        <w:rPr>
          <w:rFonts w:hint="eastAsia" w:ascii="微软雅黑" w:hAnsi="微软雅黑" w:cs="微软雅黑"/>
          <w:sz w:val="21"/>
          <w:szCs w:val="21"/>
          <w:lang w:val="en-US" w:eastAsia="zh-CN"/>
        </w:rPr>
        <w:t>。</w:t>
      </w:r>
    </w:p>
    <w:p w14:paraId="326DD22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目前，主要有2种结直肠癌前体病变途径，</w:t>
      </w:r>
      <w:r>
        <w:rPr>
          <w:rFonts w:hint="default" w:ascii="微软雅黑" w:hAnsi="微软雅黑" w:cs="微软雅黑"/>
          <w:sz w:val="21"/>
          <w:szCs w:val="21"/>
          <w:lang w:val="en-US" w:eastAsia="zh-CN"/>
        </w:rPr>
        <w:t>70%</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90%结直肠癌</w:t>
      </w:r>
      <w:r>
        <w:rPr>
          <w:rFonts w:hint="eastAsia" w:ascii="微软雅黑" w:hAnsi="微软雅黑" w:cs="微软雅黑"/>
          <w:sz w:val="21"/>
          <w:szCs w:val="21"/>
          <w:lang w:val="en-US" w:eastAsia="zh-CN"/>
        </w:rPr>
        <w:t>由</w:t>
      </w:r>
      <w:r>
        <w:rPr>
          <w:rFonts w:hint="default" w:ascii="微软雅黑" w:hAnsi="微软雅黑" w:cs="微软雅黑"/>
          <w:sz w:val="21"/>
          <w:szCs w:val="21"/>
          <w:lang w:val="en-US" w:eastAsia="zh-CN"/>
        </w:rPr>
        <w:t>传统的腺瘤癌途径(也称染色体不稳定序列)</w:t>
      </w:r>
      <w:r>
        <w:rPr>
          <w:rFonts w:hint="eastAsia" w:ascii="微软雅黑" w:hAnsi="微软雅黑" w:cs="微软雅黑"/>
          <w:sz w:val="21"/>
          <w:szCs w:val="21"/>
          <w:lang w:val="en-US" w:eastAsia="zh-CN"/>
        </w:rPr>
        <w:t>引起</w:t>
      </w:r>
      <w:r>
        <w:rPr>
          <w:rFonts w:hint="default" w:ascii="微软雅黑" w:hAnsi="微软雅黑" w:cs="微软雅黑"/>
          <w:sz w:val="21"/>
          <w:szCs w:val="21"/>
          <w:lang w:val="en-US" w:eastAsia="zh-CN"/>
        </w:rPr>
        <w:t>，10</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20%结直肠癌</w:t>
      </w:r>
      <w:r>
        <w:rPr>
          <w:rFonts w:hint="eastAsia" w:ascii="微软雅黑" w:hAnsi="微软雅黑" w:cs="微软雅黑"/>
          <w:sz w:val="21"/>
          <w:szCs w:val="21"/>
          <w:lang w:val="en-US" w:eastAsia="zh-CN"/>
        </w:rPr>
        <w:t>由</w:t>
      </w:r>
      <w:r>
        <w:rPr>
          <w:rFonts w:hint="default" w:ascii="微软雅黑" w:hAnsi="微软雅黑" w:cs="微软雅黑"/>
          <w:sz w:val="21"/>
          <w:szCs w:val="21"/>
          <w:lang w:val="en-US" w:eastAsia="zh-CN"/>
        </w:rPr>
        <w:t>锯齿状瘤变途径</w:t>
      </w:r>
      <w:r>
        <w:rPr>
          <w:rFonts w:hint="eastAsia" w:ascii="微软雅黑" w:hAnsi="微软雅黑" w:cs="微软雅黑"/>
          <w:sz w:val="21"/>
          <w:szCs w:val="21"/>
          <w:lang w:val="en-US" w:eastAsia="zh-CN"/>
        </w:rPr>
        <w:t>引起（</w:t>
      </w:r>
      <w:r>
        <w:rPr>
          <w:rFonts w:hint="default" w:ascii="微软雅黑" w:hAnsi="微软雅黑" w:cs="微软雅黑"/>
          <w:sz w:val="21"/>
          <w:szCs w:val="21"/>
          <w:lang w:val="en-US" w:eastAsia="zh-CN"/>
        </w:rPr>
        <w:t>图3</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。染色体不稳定表型通常发生在APC突变之后，随后是RAS</w:t>
      </w:r>
      <w:r>
        <w:rPr>
          <w:rFonts w:hint="eastAsia" w:ascii="微软雅黑" w:hAnsi="微软雅黑" w:cs="微软雅黑"/>
          <w:sz w:val="21"/>
          <w:szCs w:val="21"/>
          <w:lang w:val="en-US" w:eastAsia="zh-CN"/>
        </w:rPr>
        <w:t>通路</w:t>
      </w:r>
      <w:r>
        <w:rPr>
          <w:rFonts w:hint="default" w:ascii="微软雅黑" w:hAnsi="微软雅黑" w:cs="微软雅黑"/>
          <w:sz w:val="21"/>
          <w:szCs w:val="21"/>
          <w:lang w:val="en-US" w:eastAsia="zh-CN"/>
        </w:rPr>
        <w:t>激活或TP53功能缺失。锯齿状瘤变</w:t>
      </w:r>
      <w:r>
        <w:rPr>
          <w:rFonts w:hint="eastAsia" w:ascii="微软雅黑" w:hAnsi="微软雅黑" w:cs="微软雅黑"/>
          <w:sz w:val="21"/>
          <w:szCs w:val="21"/>
          <w:lang w:val="en-US" w:eastAsia="zh-CN"/>
        </w:rPr>
        <w:t>途径</w:t>
      </w:r>
      <w:r>
        <w:rPr>
          <w:rFonts w:hint="default" w:ascii="微软雅黑" w:hAnsi="微软雅黑" w:cs="微软雅黑"/>
          <w:sz w:val="21"/>
          <w:szCs w:val="21"/>
          <w:lang w:val="en-US" w:eastAsia="zh-CN"/>
        </w:rPr>
        <w:t>与RAS</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RAF突变以及以CpG岛甲基化表型为特征的表观遗传不稳定相关</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全基因组研究发现</w:t>
      </w:r>
      <w:r>
        <w:rPr>
          <w:rFonts w:hint="eastAsia" w:ascii="微软雅黑" w:hAnsi="微软雅黑" w:cs="微软雅黑"/>
          <w:sz w:val="21"/>
          <w:szCs w:val="21"/>
          <w:lang w:val="en-US" w:eastAsia="zh-CN"/>
        </w:rPr>
        <w:t>，一些新的分子</w:t>
      </w:r>
      <w:r>
        <w:rPr>
          <w:rFonts w:hint="default" w:ascii="微软雅黑" w:hAnsi="微软雅黑" w:cs="微软雅黑"/>
          <w:sz w:val="21"/>
          <w:szCs w:val="21"/>
          <w:lang w:val="en-US" w:eastAsia="zh-CN"/>
        </w:rPr>
        <w:t>标记和亚型</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如</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聚合酶ε</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POLE突变</w:t>
      </w:r>
      <w:r>
        <w:rPr>
          <w:rFonts w:hint="eastAsia" w:ascii="微软雅黑" w:hAnsi="微软雅黑" w:cs="微软雅黑"/>
          <w:sz w:val="21"/>
          <w:szCs w:val="21"/>
          <w:lang w:val="en-US" w:eastAsia="zh-CN"/>
        </w:rPr>
        <w:t>、错配</w:t>
      </w:r>
      <w:r>
        <w:rPr>
          <w:rFonts w:hint="default" w:ascii="微软雅黑" w:hAnsi="微软雅黑" w:cs="微软雅黑"/>
          <w:sz w:val="21"/>
          <w:szCs w:val="21"/>
          <w:lang w:val="en-US" w:eastAsia="zh-CN"/>
        </w:rPr>
        <w:t>修复缺陷[dMMR]</w:t>
      </w:r>
      <w:r>
        <w:rPr>
          <w:rFonts w:hint="eastAsia" w:ascii="微软雅黑" w:hAnsi="微软雅黑" w:cs="微软雅黑"/>
          <w:sz w:val="21"/>
          <w:szCs w:val="21"/>
          <w:lang w:val="en-US" w:eastAsia="zh-CN"/>
        </w:rPr>
        <w:t>）可</w:t>
      </w:r>
      <w:r>
        <w:rPr>
          <w:rFonts w:hint="default" w:ascii="微软雅黑" w:hAnsi="微软雅黑" w:cs="微软雅黑"/>
          <w:sz w:val="21"/>
          <w:szCs w:val="21"/>
          <w:lang w:val="en-US" w:eastAsia="zh-CN"/>
        </w:rPr>
        <w:t>导致高突变表型。</w:t>
      </w:r>
    </w:p>
    <w:p w14:paraId="4E786FA3">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drawing>
          <wp:inline distT="0" distB="0" distL="114300" distR="114300">
            <wp:extent cx="5189855" cy="2466340"/>
            <wp:effectExtent l="0" t="0" r="10795" b="1016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9"/>
                    <a:stretch>
                      <a:fillRect/>
                    </a:stretch>
                  </pic:blipFill>
                  <pic:spPr>
                    <a:xfrm>
                      <a:off x="0" y="0"/>
                      <a:ext cx="5189855" cy="2466340"/>
                    </a:xfrm>
                    <a:prstGeom prst="rect">
                      <a:avLst/>
                    </a:prstGeom>
                    <a:noFill/>
                    <a:ln>
                      <a:noFill/>
                    </a:ln>
                  </pic:spPr>
                </pic:pic>
              </a:graphicData>
            </a:graphic>
          </wp:inline>
        </w:drawing>
      </w:r>
    </w:p>
    <w:p w14:paraId="0757BB56">
      <w:pPr>
        <w:keepNext w:val="0"/>
        <w:keepLines w:val="0"/>
        <w:pageBreakBefore w:val="0"/>
        <w:widowControl/>
        <w:kinsoku/>
        <w:wordWrap/>
        <w:overflowPunct/>
        <w:topLinePunct w:val="0"/>
        <w:autoSpaceDE/>
        <w:autoSpaceDN/>
        <w:bidi w:val="0"/>
        <w:adjustRightInd w:val="0"/>
        <w:snapToGrid w:val="0"/>
        <w:jc w:val="center"/>
        <w:textAlignment w:val="auto"/>
        <w:rPr>
          <w:rFonts w:hint="eastAsia"/>
          <w:sz w:val="20"/>
          <w:szCs w:val="20"/>
          <w:lang w:val="en-US" w:eastAsia="zh-CN"/>
        </w:rPr>
      </w:pPr>
      <w:r>
        <w:rPr>
          <w:rFonts w:hint="eastAsia"/>
          <w:sz w:val="20"/>
          <w:szCs w:val="20"/>
          <w:lang w:eastAsia="zh-CN"/>
        </w:rPr>
        <w:t>图</w:t>
      </w:r>
      <w:r>
        <w:rPr>
          <w:rFonts w:hint="eastAsia"/>
          <w:sz w:val="20"/>
          <w:szCs w:val="20"/>
          <w:lang w:val="en-US" w:eastAsia="zh-CN"/>
        </w:rPr>
        <w:t>3 息肉到结直肠癌形成过程</w:t>
      </w:r>
      <w:r>
        <w:rPr>
          <w:rFonts w:hint="eastAsia" w:ascii="微软雅黑" w:hAnsi="微软雅黑" w:cs="微软雅黑"/>
          <w:sz w:val="20"/>
          <w:szCs w:val="20"/>
          <w:vertAlign w:val="superscript"/>
          <w:lang w:val="en-US" w:eastAsia="zh-CN"/>
        </w:rPr>
        <w:t>[3]</w:t>
      </w:r>
    </w:p>
    <w:p w14:paraId="6B7903A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lang w:val="en-US" w:eastAsia="zh-CN"/>
        </w:rPr>
      </w:pPr>
      <w:r>
        <w:rPr>
          <w:rFonts w:hint="default" w:ascii="微软雅黑" w:hAnsi="微软雅黑" w:cs="微软雅黑"/>
          <w:sz w:val="21"/>
          <w:szCs w:val="21"/>
          <w:lang w:val="en-US" w:eastAsia="zh-CN"/>
        </w:rPr>
        <w:t>侧边性在转移灶起着关键作用，并且被认为是抗表皮生长因子受体药物反应的预测指标</w:t>
      </w:r>
      <w:r>
        <w:rPr>
          <w:rFonts w:hint="eastAsia" w:ascii="微软雅黑" w:hAnsi="微软雅黑" w:cs="微软雅黑"/>
          <w:sz w:val="21"/>
          <w:szCs w:val="21"/>
          <w:vertAlign w:val="superscript"/>
          <w:lang w:val="en-US" w:eastAsia="zh-CN"/>
        </w:rPr>
        <w:t>[24，25]</w:t>
      </w:r>
      <w:r>
        <w:rPr>
          <w:rFonts w:hint="eastAsia" w:ascii="微软雅黑" w:hAnsi="微软雅黑" w:cs="微软雅黑"/>
          <w:sz w:val="21"/>
          <w:szCs w:val="21"/>
          <w:lang w:val="en-US" w:eastAsia="zh-CN"/>
        </w:rPr>
        <w:t>。从病灶位置看，</w:t>
      </w:r>
      <w:r>
        <w:rPr>
          <w:rFonts w:hint="default" w:ascii="微软雅黑" w:hAnsi="微软雅黑" w:cs="微软雅黑"/>
          <w:sz w:val="21"/>
          <w:szCs w:val="21"/>
          <w:lang w:val="en-US" w:eastAsia="zh-CN"/>
        </w:rPr>
        <w:t>右</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近端</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结肠癌与左</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远端</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结肠癌和直肠癌的分子特征不同。除分子</w:t>
      </w:r>
      <w:r>
        <w:rPr>
          <w:rFonts w:hint="eastAsia" w:ascii="微软雅黑" w:hAnsi="微软雅黑" w:cs="微软雅黑"/>
          <w:sz w:val="21"/>
          <w:szCs w:val="21"/>
          <w:lang w:val="en-US" w:eastAsia="zh-CN"/>
        </w:rPr>
        <w:t>特征</w:t>
      </w:r>
      <w:r>
        <w:rPr>
          <w:rFonts w:hint="default" w:ascii="微软雅黑" w:hAnsi="微软雅黑" w:cs="微软雅黑"/>
          <w:sz w:val="21"/>
          <w:szCs w:val="21"/>
          <w:lang w:val="en-US" w:eastAsia="zh-CN"/>
        </w:rPr>
        <w:t>差异外，左</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结肠和右</w:t>
      </w:r>
      <w:r>
        <w:rPr>
          <w:rFonts w:hint="eastAsia" w:ascii="微软雅黑" w:hAnsi="微软雅黑" w:cs="微软雅黑"/>
          <w:sz w:val="21"/>
          <w:szCs w:val="21"/>
          <w:lang w:val="en-US" w:eastAsia="zh-CN"/>
        </w:rPr>
        <w:t>半</w:t>
      </w:r>
      <w:r>
        <w:rPr>
          <w:rFonts w:hint="default" w:ascii="微软雅黑" w:hAnsi="微软雅黑" w:cs="微软雅黑"/>
          <w:sz w:val="21"/>
          <w:szCs w:val="21"/>
          <w:lang w:val="en-US" w:eastAsia="zh-CN"/>
        </w:rPr>
        <w:t>结肠还在胚胎学、生物学和解剖学上</w:t>
      </w:r>
      <w:r>
        <w:rPr>
          <w:rFonts w:hint="eastAsia" w:ascii="微软雅黑" w:hAnsi="微软雅黑" w:cs="微软雅黑"/>
          <w:sz w:val="21"/>
          <w:szCs w:val="21"/>
          <w:lang w:val="en-US" w:eastAsia="zh-CN"/>
        </w:rPr>
        <w:t>存在</w:t>
      </w:r>
      <w:r>
        <w:rPr>
          <w:rFonts w:hint="default" w:ascii="微软雅黑" w:hAnsi="微软雅黑" w:cs="微软雅黑"/>
          <w:sz w:val="21"/>
          <w:szCs w:val="21"/>
          <w:lang w:val="en-US" w:eastAsia="zh-CN"/>
        </w:rPr>
        <w:t>差异。</w:t>
      </w:r>
      <w:r>
        <w:rPr>
          <w:rFonts w:hint="eastAsia" w:ascii="微软雅黑" w:hAnsi="微软雅黑" w:cs="微软雅黑"/>
          <w:sz w:val="21"/>
          <w:szCs w:val="21"/>
          <w:lang w:val="en-US" w:eastAsia="zh-CN"/>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lang w:val="en-US" w:eastAsia="zh-CN"/>
        </w:rPr>
        <w:t>。</w:t>
      </w:r>
    </w:p>
    <w:p w14:paraId="748F91F9">
      <w:pPr>
        <w:ind w:left="0" w:leftChars="0" w:firstLine="0" w:firstLineChars="0"/>
        <w:jc w:val="center"/>
      </w:pPr>
      <w:r>
        <w:drawing>
          <wp:inline distT="0" distB="0" distL="114300" distR="114300">
            <wp:extent cx="5024755" cy="2521585"/>
            <wp:effectExtent l="0" t="0" r="4445" b="1206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0"/>
                    <a:stretch>
                      <a:fillRect/>
                    </a:stretch>
                  </pic:blipFill>
                  <pic:spPr>
                    <a:xfrm>
                      <a:off x="0" y="0"/>
                      <a:ext cx="5024755" cy="2521585"/>
                    </a:xfrm>
                    <a:prstGeom prst="rect">
                      <a:avLst/>
                    </a:prstGeom>
                    <a:noFill/>
                    <a:ln>
                      <a:noFill/>
                    </a:ln>
                  </pic:spPr>
                </pic:pic>
              </a:graphicData>
            </a:graphic>
          </wp:inline>
        </w:drawing>
      </w:r>
    </w:p>
    <w:p w14:paraId="41AEEF38">
      <w:pPr>
        <w:jc w:val="center"/>
        <w:rPr>
          <w:sz w:val="20"/>
          <w:szCs w:val="20"/>
        </w:rPr>
      </w:pPr>
      <w:r>
        <w:rPr>
          <w:rFonts w:hint="eastAsia"/>
          <w:sz w:val="20"/>
          <w:szCs w:val="20"/>
          <w:lang w:val="en-US" w:eastAsia="zh-CN"/>
        </w:rPr>
        <w:t>图4 右半结肠癌与左半结肠癌和直肠癌的区别</w:t>
      </w:r>
      <w:r>
        <w:rPr>
          <w:rFonts w:hint="eastAsia" w:ascii="微软雅黑" w:hAnsi="微软雅黑" w:cs="微软雅黑"/>
          <w:sz w:val="20"/>
          <w:szCs w:val="20"/>
          <w:vertAlign w:val="superscript"/>
          <w:lang w:val="en-US" w:eastAsia="zh-CN"/>
        </w:rPr>
        <w:t>[1]</w:t>
      </w:r>
    </w:p>
    <w:p w14:paraId="47873E1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lang w:val="en-US" w:eastAsia="zh-CN"/>
        </w:rPr>
        <w:t>[26]</w:t>
      </w:r>
      <w:r>
        <w:rPr>
          <w:rFonts w:hint="eastAsia" w:ascii="微软雅黑" w:hAnsi="微软雅黑" w:cs="微软雅黑"/>
          <w:sz w:val="21"/>
          <w:szCs w:val="21"/>
          <w:lang w:val="en-US" w:eastAsia="zh-CN"/>
        </w:rPr>
        <w:t>，如图5。</w:t>
      </w:r>
    </w:p>
    <w:p w14:paraId="0FD22560">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5131435" cy="3287395"/>
            <wp:effectExtent l="0" t="0" r="1206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1" cstate="print"/>
                    <a:stretch>
                      <a:fillRect/>
                    </a:stretch>
                  </pic:blipFill>
                  <pic:spPr>
                    <a:xfrm>
                      <a:off x="0" y="0"/>
                      <a:ext cx="5131435" cy="3287395"/>
                    </a:xfrm>
                    <a:prstGeom prst="rect">
                      <a:avLst/>
                    </a:prstGeom>
                    <a:noFill/>
                    <a:ln w="9525">
                      <a:noFill/>
                    </a:ln>
                  </pic:spPr>
                </pic:pic>
              </a:graphicData>
            </a:graphic>
          </wp:inline>
        </w:drawing>
      </w:r>
    </w:p>
    <w:p w14:paraId="1B549315">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1"/>
          <w:szCs w:val="21"/>
          <w:lang w:val="en-US" w:eastAsia="zh-CN"/>
        </w:rPr>
      </w:pPr>
      <w:bookmarkStart w:id="257" w:name="OLE_LINK10"/>
      <w:r>
        <w:rPr>
          <w:rFonts w:hint="eastAsia" w:ascii="微软雅黑" w:hAnsi="微软雅黑" w:cs="微软雅黑"/>
          <w:sz w:val="20"/>
          <w:szCs w:val="20"/>
          <w:lang w:val="en-US" w:eastAsia="zh-CN"/>
        </w:rPr>
        <w:t>图5 结肠直肠癌发病机制相关信号通路</w:t>
      </w:r>
    </w:p>
    <w:bookmarkEnd w:id="257"/>
    <w:p w14:paraId="32FE93F6">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（*165位非超重和30位超重结直肠癌患者完整数据结果，基因改变包括体细胞突变、纯合子缺失、局部扩增及基因表达显著上调或下调。）</w:t>
      </w:r>
    </w:p>
    <w:p w14:paraId="067C98A3">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除基因突变外，表观遗传学改变也与息肉、肿瘤的形成相关，并与基因突变共同促进肿瘤的发生发展</w:t>
      </w:r>
      <w:r>
        <w:rPr>
          <w:rFonts w:hint="eastAsia" w:ascii="微软雅黑" w:hAnsi="微软雅黑" w:cs="微软雅黑"/>
          <w:sz w:val="21"/>
          <w:szCs w:val="21"/>
          <w:vertAlign w:val="superscript"/>
          <w:lang w:val="en-US" w:eastAsia="zh-CN"/>
        </w:rPr>
        <w:t>[27,28]</w:t>
      </w:r>
      <w:r>
        <w:rPr>
          <w:rFonts w:hint="eastAsia" w:ascii="微软雅黑" w:hAnsi="微软雅黑" w:cs="微软雅黑"/>
          <w:sz w:val="21"/>
          <w:szCs w:val="21"/>
          <w:lang w:val="en-US" w:eastAsia="zh-CN"/>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lang w:val="en-US" w:eastAsia="zh-CN"/>
        </w:rPr>
        <w:t>[29]</w:t>
      </w:r>
      <w:r>
        <w:rPr>
          <w:rFonts w:hint="eastAsia" w:ascii="微软雅黑" w:hAnsi="微软雅黑" w:cs="微软雅黑"/>
          <w:sz w:val="21"/>
          <w:szCs w:val="21"/>
          <w:lang w:val="en-US" w:eastAsia="zh-CN"/>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lang w:val="en-US" w:eastAsia="zh-CN"/>
        </w:rPr>
        <w:t>[30]</w:t>
      </w:r>
      <w:r>
        <w:rPr>
          <w:rFonts w:hint="eastAsia" w:ascii="微软雅黑" w:hAnsi="微软雅黑" w:cs="微软雅黑"/>
          <w:sz w:val="21"/>
          <w:szCs w:val="21"/>
          <w:lang w:val="en-US" w:eastAsia="zh-CN"/>
        </w:rPr>
        <w:t>。</w:t>
      </w:r>
    </w:p>
    <w:p w14:paraId="7DBD29F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lang w:val="en-US" w:eastAsia="zh-CN"/>
        </w:rPr>
        <w:t>[31]</w:t>
      </w:r>
      <w:r>
        <w:rPr>
          <w:rFonts w:hint="eastAsia" w:ascii="微软雅黑" w:hAnsi="微软雅黑" w:cs="微软雅黑"/>
          <w:sz w:val="21"/>
          <w:szCs w:val="21"/>
          <w:lang w:val="en-US" w:eastAsia="zh-CN"/>
        </w:rPr>
        <w:t>。</w:t>
      </w:r>
    </w:p>
    <w:p w14:paraId="3DEF5914">
      <w:pPr>
        <w:ind w:left="0" w:leftChars="0" w:firstLine="0" w:firstLineChars="0"/>
        <w:jc w:val="both"/>
        <w:rPr>
          <w:rFonts w:hint="default"/>
          <w:b/>
          <w:bCs/>
          <w:lang w:val="en-US" w:eastAsia="zh-CN"/>
        </w:rPr>
      </w:pPr>
      <w:r>
        <w:rPr>
          <w:rFonts w:hint="eastAsia"/>
          <w:b/>
          <w:bCs/>
          <w:lang w:val="en-US" w:eastAsia="zh-CN"/>
        </w:rPr>
        <w:t>3、诊断、筛查与预防</w:t>
      </w:r>
    </w:p>
    <w:p w14:paraId="0A2CDAA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0FD8550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lang w:val="en-US" w:eastAsia="zh-CN"/>
        </w:rPr>
        <w:t>≥</w:t>
      </w:r>
      <w:r>
        <w:rPr>
          <w:rFonts w:hint="eastAsia" w:ascii="微软雅黑" w:hAnsi="微软雅黑" w:cs="微软雅黑"/>
          <w:sz w:val="21"/>
          <w:szCs w:val="21"/>
          <w:lang w:val="en-US" w:eastAsia="zh-CN"/>
        </w:rPr>
        <w:t>6mm的息肉，灵敏度约为60％，特异性&gt; 80％</w:t>
      </w:r>
      <w:r>
        <w:rPr>
          <w:rFonts w:hint="eastAsia" w:ascii="微软雅黑" w:hAnsi="微软雅黑" w:cs="微软雅黑"/>
          <w:sz w:val="21"/>
          <w:szCs w:val="21"/>
          <w:vertAlign w:val="superscript"/>
          <w:lang w:val="en-US" w:eastAsia="zh-CN"/>
        </w:rPr>
        <w:t>[32]</w:t>
      </w:r>
      <w:r>
        <w:rPr>
          <w:rFonts w:hint="eastAsia" w:ascii="微软雅黑" w:hAnsi="微软雅黑" w:cs="微软雅黑"/>
          <w:sz w:val="21"/>
          <w:szCs w:val="21"/>
          <w:lang w:val="en-US" w:eastAsia="zh-CN"/>
        </w:rPr>
        <w:t>。CT结肠造影使用低剂量CT扫描来获得结肠的内部视图，目前该技术已被广泛确立为大肠癌的诊断手段</w:t>
      </w:r>
      <w:r>
        <w:rPr>
          <w:rFonts w:hint="eastAsia" w:ascii="微软雅黑" w:hAnsi="微软雅黑" w:cs="微软雅黑"/>
          <w:sz w:val="21"/>
          <w:szCs w:val="21"/>
          <w:vertAlign w:val="superscript"/>
          <w:lang w:val="en-US" w:eastAsia="zh-CN"/>
        </w:rPr>
        <w:t>[33]</w:t>
      </w:r>
      <w:r>
        <w:rPr>
          <w:rFonts w:hint="eastAsia" w:ascii="微软雅黑" w:hAnsi="微软雅黑" w:cs="微软雅黑"/>
          <w:sz w:val="21"/>
          <w:szCs w:val="21"/>
          <w:lang w:val="en-US" w:eastAsia="zh-CN"/>
        </w:rPr>
        <w:t>。</w:t>
      </w:r>
    </w:p>
    <w:p w14:paraId="6C8B8BA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检验方面，指南建议在诊断时检测血球计数与癌胚抗原的浓度</w:t>
      </w:r>
      <w:r>
        <w:rPr>
          <w:rFonts w:hint="eastAsia" w:ascii="微软雅黑" w:hAnsi="微软雅黑" w:cs="微软雅黑"/>
          <w:sz w:val="21"/>
          <w:szCs w:val="21"/>
          <w:vertAlign w:val="superscript"/>
          <w:lang w:val="en-US" w:eastAsia="zh-CN"/>
        </w:rPr>
        <w:t>[34]</w:t>
      </w:r>
      <w:r>
        <w:rPr>
          <w:rFonts w:hint="eastAsia" w:ascii="微软雅黑" w:hAnsi="微软雅黑" w:cs="微软雅黑"/>
          <w:sz w:val="21"/>
          <w:szCs w:val="21"/>
          <w:lang w:val="en-US" w:eastAsia="zh-CN"/>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lang w:val="en-US" w:eastAsia="zh-CN"/>
        </w:rPr>
        <w:t>[35]</w:t>
      </w:r>
      <w:r>
        <w:rPr>
          <w:rFonts w:hint="eastAsia" w:ascii="微软雅黑" w:hAnsi="微软雅黑" w:cs="微软雅黑"/>
          <w:sz w:val="21"/>
          <w:szCs w:val="21"/>
          <w:lang w:val="en-US" w:eastAsia="zh-CN"/>
        </w:rPr>
        <w:t>。</w:t>
      </w:r>
    </w:p>
    <w:p w14:paraId="50DF402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lang w:val="en-US" w:eastAsia="zh-CN"/>
        </w:rPr>
        <w:t>[36，37]</w:t>
      </w:r>
      <w:r>
        <w:rPr>
          <w:rFonts w:hint="eastAsia" w:ascii="微软雅黑" w:hAnsi="微软雅黑" w:cs="微软雅黑"/>
          <w:sz w:val="21"/>
          <w:szCs w:val="21"/>
          <w:lang w:val="en-US" w:eastAsia="zh-CN"/>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lang w:val="en-US" w:eastAsia="zh-CN"/>
        </w:rPr>
        <w:t>[37]</w:t>
      </w:r>
      <w:r>
        <w:rPr>
          <w:rFonts w:hint="eastAsia" w:ascii="微软雅黑" w:hAnsi="微软雅黑" w:cs="微软雅黑"/>
          <w:sz w:val="21"/>
          <w:szCs w:val="21"/>
          <w:lang w:val="en-US" w:eastAsia="zh-CN"/>
        </w:rPr>
        <w:t>。此外，RAS和RAF突变能够调节增殖、凋亡和血管生成，并在结直肠癌治疗中作为预后和预测标记发挥着不断发展的作用。</w:t>
      </w:r>
    </w:p>
    <w:p w14:paraId="5E37D773">
      <w:pPr>
        <w:ind w:left="0" w:leftChars="0" w:firstLine="0" w:firstLineChars="0"/>
        <w:jc w:val="both"/>
        <w:rPr>
          <w:rFonts w:hint="eastAsia"/>
          <w:b/>
          <w:bCs/>
          <w:lang w:val="en-US" w:eastAsia="zh-CN"/>
        </w:rPr>
      </w:pPr>
      <w:r>
        <w:rPr>
          <w:rFonts w:hint="eastAsia"/>
          <w:b/>
          <w:bCs/>
          <w:lang w:val="en-US" w:eastAsia="zh-CN"/>
        </w:rPr>
        <w:t>4、治疗方法</w:t>
      </w:r>
    </w:p>
    <w:p w14:paraId="11F7C48C">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b/>
          <w:bCs/>
          <w:sz w:val="21"/>
          <w:szCs w:val="21"/>
          <w:lang w:val="en-US" w:eastAsia="zh-CN"/>
        </w:rPr>
      </w:pPr>
      <w:r>
        <w:rPr>
          <w:rFonts w:hint="eastAsia" w:ascii="微软雅黑" w:hAnsi="微软雅黑" w:cs="微软雅黑"/>
          <w:b/>
          <w:bCs/>
          <w:sz w:val="21"/>
          <w:szCs w:val="21"/>
          <w:lang w:val="en-US" w:eastAsia="zh-CN"/>
        </w:rPr>
        <w:t>4.1 手术</w:t>
      </w:r>
    </w:p>
    <w:p w14:paraId="574806E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在考虑对患者进行手术时，年龄</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健康状况</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围手术期管理计划</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肿瘤分期</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手术类型（包括切除平面和重建）</w:t>
      </w:r>
      <w:r>
        <w:rPr>
          <w:rFonts w:hint="eastAsia" w:ascii="微软雅黑" w:hAnsi="微软雅黑" w:cs="微软雅黑"/>
          <w:sz w:val="21"/>
          <w:szCs w:val="21"/>
          <w:lang w:val="en-US" w:eastAsia="zh-CN"/>
        </w:rPr>
        <w:t>以及</w:t>
      </w:r>
      <w:r>
        <w:rPr>
          <w:rFonts w:hint="default" w:ascii="微软雅黑" w:hAnsi="微软雅黑" w:cs="微软雅黑"/>
          <w:sz w:val="21"/>
          <w:szCs w:val="21"/>
          <w:lang w:val="en-US" w:eastAsia="zh-CN"/>
        </w:rPr>
        <w:t>质量保证</w:t>
      </w:r>
      <w:r>
        <w:rPr>
          <w:rFonts w:hint="eastAsia" w:ascii="微软雅黑" w:hAnsi="微软雅黑" w:cs="微软雅黑"/>
          <w:sz w:val="21"/>
          <w:szCs w:val="21"/>
          <w:lang w:val="en-US" w:eastAsia="zh-CN"/>
        </w:rPr>
        <w:t>十分</w:t>
      </w:r>
      <w:r>
        <w:rPr>
          <w:rFonts w:hint="default" w:ascii="微软雅黑" w:hAnsi="微软雅黑" w:cs="微软雅黑"/>
          <w:sz w:val="21"/>
          <w:szCs w:val="21"/>
          <w:lang w:val="en-US" w:eastAsia="zh-CN"/>
        </w:rPr>
        <w:t>重要。就年龄而言，老年结直肠癌患者的总生存率低于年轻患者</w:t>
      </w:r>
      <w:r>
        <w:rPr>
          <w:rFonts w:hint="eastAsia" w:ascii="微软雅黑" w:hAnsi="微软雅黑" w:cs="微软雅黑"/>
          <w:sz w:val="21"/>
          <w:szCs w:val="21"/>
          <w:vertAlign w:val="superscript"/>
          <w:lang w:val="en-US" w:eastAsia="zh-CN"/>
        </w:rPr>
        <w:t>[38]</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目前，</w:t>
      </w:r>
      <w:r>
        <w:rPr>
          <w:rFonts w:hint="default" w:ascii="微软雅黑" w:hAnsi="微软雅黑" w:cs="微软雅黑"/>
          <w:sz w:val="21"/>
          <w:szCs w:val="21"/>
          <w:lang w:val="en-US" w:eastAsia="zh-CN"/>
        </w:rPr>
        <w:t>腹腔镜切除</w:t>
      </w:r>
      <w:r>
        <w:rPr>
          <w:rFonts w:hint="eastAsia" w:ascii="微软雅黑" w:hAnsi="微软雅黑" w:cs="微软雅黑"/>
          <w:sz w:val="21"/>
          <w:szCs w:val="21"/>
          <w:lang w:val="en-US" w:eastAsia="zh-CN"/>
        </w:rPr>
        <w:t>术安全性</w:t>
      </w:r>
      <w:r>
        <w:rPr>
          <w:rFonts w:hint="default" w:ascii="微软雅黑" w:hAnsi="微软雅黑" w:cs="微软雅黑"/>
          <w:sz w:val="21"/>
          <w:szCs w:val="21"/>
          <w:lang w:val="en-US" w:eastAsia="zh-CN"/>
        </w:rPr>
        <w:t>已被证明与开腹手术</w:t>
      </w:r>
      <w:r>
        <w:rPr>
          <w:rFonts w:hint="eastAsia" w:ascii="微软雅黑" w:hAnsi="微软雅黑" w:cs="微软雅黑"/>
          <w:sz w:val="21"/>
          <w:szCs w:val="21"/>
          <w:lang w:val="en-US" w:eastAsia="zh-CN"/>
        </w:rPr>
        <w:t>相同</w:t>
      </w:r>
      <w:r>
        <w:rPr>
          <w:rFonts w:hint="eastAsia" w:ascii="微软雅黑" w:hAnsi="微软雅黑" w:cs="微软雅黑"/>
          <w:sz w:val="21"/>
          <w:szCs w:val="21"/>
          <w:vertAlign w:val="superscript"/>
          <w:lang w:val="en-US" w:eastAsia="zh-CN"/>
        </w:rPr>
        <w:t>[39，40]</w:t>
      </w:r>
      <w:r>
        <w:rPr>
          <w:rFonts w:hint="eastAsia" w:ascii="微软雅黑" w:hAnsi="微软雅黑" w:cs="微软雅黑"/>
          <w:sz w:val="21"/>
          <w:szCs w:val="21"/>
          <w:vertAlign w:val="baseline"/>
          <w:lang w:val="en-US" w:eastAsia="zh-CN"/>
        </w:rPr>
        <w:t>。此外，</w:t>
      </w:r>
      <w:r>
        <w:rPr>
          <w:rFonts w:hint="default" w:ascii="微软雅黑" w:hAnsi="微软雅黑" w:cs="微软雅黑"/>
          <w:sz w:val="21"/>
          <w:szCs w:val="21"/>
          <w:lang w:val="en-US" w:eastAsia="zh-CN"/>
        </w:rPr>
        <w:t>结肠癌也可以表现为结肠癌梗阻或穿孔</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结肠梗阻可通过减压结肠造口或内镜下支架植入术来缓解</w:t>
      </w:r>
      <w:r>
        <w:rPr>
          <w:rFonts w:hint="eastAsia" w:ascii="微软雅黑" w:hAnsi="微软雅黑" w:cs="微软雅黑"/>
          <w:sz w:val="21"/>
          <w:szCs w:val="21"/>
          <w:lang w:val="en-US" w:eastAsia="zh-CN"/>
        </w:rPr>
        <w:t>。</w:t>
      </w:r>
    </w:p>
    <w:p w14:paraId="20C4FBA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lang w:val="en-US" w:eastAsia="zh-CN"/>
        </w:rPr>
        <w:t>[41，42]</w:t>
      </w:r>
      <w:r>
        <w:rPr>
          <w:rFonts w:hint="eastAsia" w:ascii="微软雅黑" w:hAnsi="微软雅黑" w:cs="微软雅黑"/>
          <w:sz w:val="21"/>
          <w:szCs w:val="21"/>
          <w:lang w:val="en-US" w:eastAsia="zh-CN"/>
        </w:rPr>
        <w:t>，但不建议将TEM用于无法被完全切除的肿瘤，以及分化程度低、局部复发风险高的肿瘤。</w:t>
      </w:r>
    </w:p>
    <w:p w14:paraId="035BFEB8">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default" w:ascii="微软雅黑" w:hAnsi="微软雅黑" w:cs="微软雅黑"/>
          <w:b/>
          <w:bCs/>
          <w:sz w:val="21"/>
          <w:szCs w:val="21"/>
          <w:lang w:val="en-US" w:eastAsia="zh-CN"/>
        </w:rPr>
      </w:pPr>
      <w:r>
        <w:rPr>
          <w:rFonts w:hint="eastAsia" w:ascii="微软雅黑" w:hAnsi="微软雅黑" w:cs="微软雅黑"/>
          <w:b/>
          <w:bCs/>
          <w:sz w:val="21"/>
          <w:szCs w:val="21"/>
          <w:lang w:val="en-US" w:eastAsia="zh-CN"/>
        </w:rPr>
        <w:t>4.2 辅助治疗</w:t>
      </w:r>
    </w:p>
    <w:p w14:paraId="124F822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lang w:val="en-US" w:eastAsia="zh-CN"/>
        </w:rPr>
        <w:t>[43，44]</w:t>
      </w:r>
      <w:r>
        <w:rPr>
          <w:rFonts w:hint="eastAsia" w:ascii="微软雅黑" w:hAnsi="微软雅黑" w:cs="微软雅黑"/>
          <w:sz w:val="21"/>
          <w:szCs w:val="21"/>
          <w:lang w:val="en-US" w:eastAsia="zh-CN"/>
        </w:rPr>
        <w:t>。</w:t>
      </w:r>
    </w:p>
    <w:p w14:paraId="74EBAD3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lang w:val="en-US" w:eastAsia="zh-CN"/>
        </w:rPr>
        <w:t>[45]</w:t>
      </w:r>
      <w:r>
        <w:rPr>
          <w:rFonts w:hint="eastAsia" w:ascii="微软雅黑" w:hAnsi="微软雅黑" w:cs="微软雅黑"/>
          <w:sz w:val="21"/>
          <w:szCs w:val="21"/>
          <w:lang w:val="en-US" w:eastAsia="zh-CN"/>
        </w:rPr>
        <w:t>。对于直肠癌，如果未进行术前治疗且存在某些危险因素，可采取术后放化疗的手段，辅助化疗通常使用氟嘧啶为基础的药物组合。</w:t>
      </w:r>
    </w:p>
    <w:p w14:paraId="2CB33AE4">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b/>
          <w:bCs/>
          <w:sz w:val="21"/>
          <w:szCs w:val="21"/>
          <w:lang w:val="en-US" w:eastAsia="zh-CN"/>
        </w:rPr>
      </w:pPr>
      <w:r>
        <w:rPr>
          <w:rFonts w:hint="eastAsia" w:ascii="微软雅黑" w:hAnsi="微软雅黑" w:cs="微软雅黑"/>
          <w:b/>
          <w:bCs/>
          <w:sz w:val="21"/>
          <w:szCs w:val="21"/>
          <w:lang w:val="en-US" w:eastAsia="zh-CN"/>
        </w:rPr>
        <w:t>4.3 化疗</w:t>
      </w:r>
    </w:p>
    <w:p w14:paraId="23607D8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default" w:ascii="微软雅黑" w:hAnsi="微软雅黑" w:cs="微软雅黑"/>
          <w:sz w:val="21"/>
          <w:szCs w:val="21"/>
          <w:lang w:val="en-US" w:eastAsia="zh-CN"/>
        </w:rPr>
        <w:t>在过去的二十年中，转移性</w:t>
      </w:r>
      <w:r>
        <w:rPr>
          <w:rFonts w:hint="eastAsia" w:ascii="微软雅黑" w:hAnsi="微软雅黑" w:cs="微软雅黑"/>
          <w:sz w:val="21"/>
          <w:szCs w:val="21"/>
          <w:lang w:val="en-US" w:eastAsia="zh-CN"/>
        </w:rPr>
        <w:t>结直肠</w:t>
      </w:r>
      <w:r>
        <w:rPr>
          <w:rFonts w:hint="default" w:ascii="微软雅黑" w:hAnsi="微软雅黑" w:cs="微软雅黑"/>
          <w:sz w:val="21"/>
          <w:szCs w:val="21"/>
          <w:lang w:val="en-US" w:eastAsia="zh-CN"/>
        </w:rPr>
        <w:t>患者的生存率已大大提高，临床试验平均总生存期为30个月。生存率的提高可归因于奥沙利铂和伊立替康</w:t>
      </w:r>
      <w:r>
        <w:rPr>
          <w:rFonts w:hint="eastAsia" w:ascii="微软雅黑" w:hAnsi="微软雅黑" w:cs="微软雅黑"/>
          <w:sz w:val="21"/>
          <w:szCs w:val="21"/>
          <w:lang w:val="en-US" w:eastAsia="zh-CN"/>
        </w:rPr>
        <w:t>等化疗手段</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以及</w:t>
      </w:r>
      <w:r>
        <w:rPr>
          <w:rFonts w:hint="default" w:ascii="微软雅黑" w:hAnsi="微软雅黑" w:cs="微软雅黑"/>
          <w:sz w:val="21"/>
          <w:szCs w:val="21"/>
          <w:lang w:val="en-US" w:eastAsia="zh-CN"/>
        </w:rPr>
        <w:t>针对肿瘤微环境特定特性的靶向疗法</w:t>
      </w:r>
      <w:r>
        <w:rPr>
          <w:rFonts w:hint="eastAsia" w:ascii="微软雅黑" w:hAnsi="微软雅黑" w:cs="微软雅黑"/>
          <w:sz w:val="21"/>
          <w:szCs w:val="21"/>
          <w:lang w:val="en-US" w:eastAsia="zh-CN"/>
        </w:rPr>
        <w:t>和</w:t>
      </w:r>
      <w:r>
        <w:rPr>
          <w:rFonts w:hint="default" w:ascii="微软雅黑" w:hAnsi="微软雅黑" w:cs="微软雅黑"/>
          <w:sz w:val="21"/>
          <w:szCs w:val="21"/>
          <w:lang w:val="en-US" w:eastAsia="zh-CN"/>
        </w:rPr>
        <w:t>包括外科手术切除肝转移在内的多学科方法的结合。</w:t>
      </w:r>
    </w:p>
    <w:p w14:paraId="44026C3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default" w:ascii="微软雅黑" w:hAnsi="微软雅黑" w:cs="微软雅黑"/>
          <w:sz w:val="21"/>
          <w:szCs w:val="21"/>
          <w:lang w:val="en-US" w:eastAsia="zh-CN"/>
        </w:rPr>
        <w:t>与氟嘧啶单药</w:t>
      </w:r>
      <w:r>
        <w:rPr>
          <w:rFonts w:hint="eastAsia" w:ascii="微软雅黑" w:hAnsi="微软雅黑" w:cs="微软雅黑"/>
          <w:sz w:val="21"/>
          <w:szCs w:val="21"/>
          <w:lang w:val="en-US" w:eastAsia="zh-CN"/>
        </w:rPr>
        <w:t>治疗</w:t>
      </w:r>
      <w:r>
        <w:rPr>
          <w:rFonts w:hint="default" w:ascii="微软雅黑" w:hAnsi="微软雅黑" w:cs="微软雅黑"/>
          <w:sz w:val="21"/>
          <w:szCs w:val="21"/>
          <w:lang w:val="en-US" w:eastAsia="zh-CN"/>
        </w:rPr>
        <w:t>相比，联合化疗可更好地控制肿瘤生长。转移性</w:t>
      </w:r>
      <w:r>
        <w:rPr>
          <w:rFonts w:hint="eastAsia" w:ascii="微软雅黑" w:hAnsi="微软雅黑" w:cs="微软雅黑"/>
          <w:sz w:val="21"/>
          <w:szCs w:val="21"/>
          <w:lang w:val="en-US" w:eastAsia="zh-CN"/>
        </w:rPr>
        <w:t>结直肠癌一线化疗方案是</w:t>
      </w:r>
      <w:r>
        <w:rPr>
          <w:rFonts w:hint="default" w:ascii="微软雅黑" w:hAnsi="微软雅黑" w:cs="微软雅黑"/>
          <w:sz w:val="21"/>
          <w:szCs w:val="21"/>
          <w:lang w:val="en-US" w:eastAsia="zh-CN"/>
        </w:rPr>
        <w:t>5-氟尿嘧啶，亚叶酸和奥沙利铂（FOLFOX方案）或伊立替康（FOLFIRI方案）的组合</w:t>
      </w:r>
      <w:r>
        <w:rPr>
          <w:rFonts w:hint="eastAsia" w:ascii="微软雅黑" w:hAnsi="微软雅黑" w:cs="微软雅黑"/>
          <w:sz w:val="21"/>
          <w:szCs w:val="21"/>
          <w:lang w:val="en-US" w:eastAsia="zh-CN"/>
        </w:rPr>
        <w:t>用药。</w:t>
      </w:r>
      <w:r>
        <w:rPr>
          <w:rFonts w:hint="default" w:ascii="微软雅黑" w:hAnsi="微软雅黑" w:cs="微软雅黑"/>
          <w:sz w:val="21"/>
          <w:szCs w:val="21"/>
          <w:lang w:val="en-US" w:eastAsia="zh-CN"/>
        </w:rPr>
        <w:t>卡培他滨</w:t>
      </w:r>
      <w:r>
        <w:rPr>
          <w:rFonts w:hint="eastAsia" w:ascii="微软雅黑" w:hAnsi="微软雅黑" w:cs="微软雅黑"/>
          <w:sz w:val="21"/>
          <w:szCs w:val="21"/>
          <w:lang w:val="en-US" w:eastAsia="zh-CN"/>
        </w:rPr>
        <w:t>可</w:t>
      </w:r>
      <w:r>
        <w:rPr>
          <w:rFonts w:hint="default" w:ascii="微软雅黑" w:hAnsi="微软雅黑" w:cs="微软雅黑"/>
          <w:sz w:val="21"/>
          <w:szCs w:val="21"/>
          <w:lang w:val="en-US" w:eastAsia="zh-CN"/>
        </w:rPr>
        <w:t>代替FOLFOX方案中的5-氟尿嘧啶，但是卡培他滨与伊立替康</w:t>
      </w:r>
      <w:r>
        <w:rPr>
          <w:rFonts w:hint="eastAsia" w:ascii="微软雅黑" w:hAnsi="微软雅黑" w:cs="微软雅黑"/>
          <w:sz w:val="21"/>
          <w:szCs w:val="21"/>
          <w:lang w:val="en-US" w:eastAsia="zh-CN"/>
        </w:rPr>
        <w:t>联合用药与</w:t>
      </w:r>
      <w:r>
        <w:rPr>
          <w:rFonts w:hint="default" w:ascii="微软雅黑" w:hAnsi="微软雅黑" w:cs="微软雅黑"/>
          <w:sz w:val="21"/>
          <w:szCs w:val="21"/>
          <w:lang w:val="en-US" w:eastAsia="zh-CN"/>
        </w:rPr>
        <w:t>FOLFIRI</w:t>
      </w:r>
      <w:r>
        <w:rPr>
          <w:rFonts w:hint="eastAsia" w:ascii="微软雅黑" w:hAnsi="微软雅黑" w:cs="微软雅黑"/>
          <w:sz w:val="21"/>
          <w:szCs w:val="21"/>
          <w:lang w:val="en-US" w:eastAsia="zh-CN"/>
        </w:rPr>
        <w:t>相</w:t>
      </w:r>
      <w:r>
        <w:rPr>
          <w:rFonts w:hint="default" w:ascii="微软雅黑" w:hAnsi="微软雅黑" w:cs="微软雅黑"/>
          <w:sz w:val="21"/>
          <w:szCs w:val="21"/>
          <w:lang w:val="en-US" w:eastAsia="zh-CN"/>
        </w:rPr>
        <w:t>比毒性</w:t>
      </w:r>
      <w:r>
        <w:rPr>
          <w:rFonts w:hint="eastAsia" w:ascii="微软雅黑" w:hAnsi="微软雅黑" w:cs="微软雅黑"/>
          <w:sz w:val="21"/>
          <w:szCs w:val="21"/>
          <w:lang w:val="en-US" w:eastAsia="zh-CN"/>
        </w:rPr>
        <w:t>更高</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lang w:val="en-US" w:eastAsia="zh-CN"/>
        </w:rPr>
        <w:t>[46]</w:t>
      </w:r>
      <w:r>
        <w:rPr>
          <w:rFonts w:hint="eastAsia" w:ascii="微软雅黑" w:hAnsi="微软雅黑" w:cs="微软雅黑"/>
          <w:sz w:val="21"/>
          <w:szCs w:val="21"/>
          <w:lang w:val="en-US" w:eastAsia="zh-CN"/>
        </w:rPr>
        <w:t>。同时，</w:t>
      </w:r>
      <w:r>
        <w:rPr>
          <w:rFonts w:hint="default" w:ascii="微软雅黑" w:hAnsi="微软雅黑" w:cs="微软雅黑"/>
          <w:sz w:val="21"/>
          <w:szCs w:val="21"/>
          <w:lang w:val="en-US" w:eastAsia="zh-CN"/>
        </w:rPr>
        <w:t>dMMR是II期</w:t>
      </w:r>
      <w:r>
        <w:rPr>
          <w:rFonts w:hint="eastAsia" w:ascii="微软雅黑" w:hAnsi="微软雅黑" w:cs="微软雅黑"/>
          <w:sz w:val="21"/>
          <w:szCs w:val="21"/>
          <w:lang w:val="en-US" w:eastAsia="zh-CN"/>
        </w:rPr>
        <w:t>结直肠癌患者</w:t>
      </w:r>
      <w:r>
        <w:rPr>
          <w:rFonts w:hint="default" w:ascii="微软雅黑" w:hAnsi="微软雅黑" w:cs="微软雅黑"/>
          <w:sz w:val="21"/>
          <w:szCs w:val="21"/>
          <w:lang w:val="en-US" w:eastAsia="zh-CN"/>
        </w:rPr>
        <w:t>的</w:t>
      </w:r>
      <w:r>
        <w:rPr>
          <w:rFonts w:hint="eastAsia" w:ascii="微软雅黑" w:hAnsi="微软雅黑" w:cs="微软雅黑"/>
          <w:sz w:val="21"/>
          <w:szCs w:val="21"/>
          <w:lang w:val="en-US" w:eastAsia="zh-CN"/>
        </w:rPr>
        <w:t>良好</w:t>
      </w:r>
      <w:r>
        <w:rPr>
          <w:rFonts w:hint="default" w:ascii="微软雅黑" w:hAnsi="微软雅黑" w:cs="微软雅黑"/>
          <w:sz w:val="21"/>
          <w:szCs w:val="21"/>
          <w:lang w:val="en-US" w:eastAsia="zh-CN"/>
        </w:rPr>
        <w:t>预后标志，dMMR患者</w:t>
      </w:r>
      <w:r>
        <w:rPr>
          <w:rFonts w:hint="eastAsia" w:ascii="微软雅黑" w:hAnsi="微软雅黑" w:cs="微软雅黑"/>
          <w:sz w:val="21"/>
          <w:szCs w:val="21"/>
          <w:lang w:val="en-US" w:eastAsia="zh-CN"/>
        </w:rPr>
        <w:t>无法</w:t>
      </w:r>
      <w:r>
        <w:rPr>
          <w:rFonts w:hint="default" w:ascii="微软雅黑" w:hAnsi="微软雅黑" w:cs="微软雅黑"/>
          <w:sz w:val="21"/>
          <w:szCs w:val="21"/>
          <w:lang w:val="en-US" w:eastAsia="zh-CN"/>
        </w:rPr>
        <w:t>从辅助治疗中获益</w:t>
      </w:r>
      <w:r>
        <w:rPr>
          <w:rFonts w:hint="eastAsia" w:ascii="微软雅黑" w:hAnsi="微软雅黑" w:cs="微软雅黑"/>
          <w:sz w:val="21"/>
          <w:szCs w:val="21"/>
          <w:vertAlign w:val="superscript"/>
          <w:lang w:val="en-US" w:eastAsia="zh-CN"/>
        </w:rPr>
        <w:t>[47，48]</w:t>
      </w:r>
      <w:r>
        <w:rPr>
          <w:rFonts w:hint="default" w:ascii="微软雅黑" w:hAnsi="微软雅黑" w:cs="微软雅黑"/>
          <w:sz w:val="21"/>
          <w:szCs w:val="21"/>
          <w:lang w:val="en-US" w:eastAsia="zh-CN"/>
        </w:rPr>
        <w:t>。</w:t>
      </w:r>
    </w:p>
    <w:p w14:paraId="1DFE2084">
      <w:pPr>
        <w:keepNext w:val="0"/>
        <w:keepLines w:val="0"/>
        <w:pageBreakBefore w:val="0"/>
        <w:widowControl/>
        <w:kinsoku/>
        <w:wordWrap/>
        <w:overflowPunct/>
        <w:topLinePunct w:val="0"/>
        <w:autoSpaceDE/>
        <w:autoSpaceDN/>
        <w:bidi w:val="0"/>
        <w:adjustRightInd w:val="0"/>
        <w:snapToGrid w:val="0"/>
        <w:ind w:firstLine="420" w:firstLineChars="200"/>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研究表明</w:t>
      </w:r>
      <w:r>
        <w:rPr>
          <w:rFonts w:hint="default" w:ascii="微软雅黑" w:hAnsi="微软雅黑" w:cs="微软雅黑"/>
          <w:sz w:val="21"/>
          <w:szCs w:val="21"/>
          <w:lang w:val="en-US" w:eastAsia="zh-CN"/>
        </w:rPr>
        <w:t>，5-氟尿嘧啶</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亚叶酸</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奥沙利铂</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伊立替康（FOLFOXIRI方案）组成的双联体（两种化学治疗剂）和三联体（三种化学治疗剂）</w:t>
      </w:r>
      <w:r>
        <w:rPr>
          <w:rFonts w:hint="eastAsia" w:ascii="微软雅黑" w:hAnsi="微软雅黑" w:cs="微软雅黑"/>
          <w:sz w:val="21"/>
          <w:szCs w:val="21"/>
          <w:lang w:val="en-US" w:eastAsia="zh-CN"/>
        </w:rPr>
        <w:t>疗效较好</w:t>
      </w:r>
      <w:r>
        <w:rPr>
          <w:rFonts w:hint="eastAsia" w:ascii="微软雅黑" w:hAnsi="微软雅黑" w:cs="微软雅黑"/>
          <w:sz w:val="21"/>
          <w:szCs w:val="21"/>
          <w:vertAlign w:val="superscript"/>
          <w:lang w:val="en-US" w:eastAsia="zh-CN"/>
        </w:rPr>
        <w:t>[49]</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与氟嘧啶单药相比，化疗</w:t>
      </w:r>
      <w:r>
        <w:rPr>
          <w:rFonts w:hint="eastAsia" w:ascii="微软雅黑" w:hAnsi="微软雅黑" w:cs="微软雅黑"/>
          <w:sz w:val="21"/>
          <w:szCs w:val="21"/>
          <w:lang w:val="en-US" w:eastAsia="zh-CN"/>
        </w:rPr>
        <w:t>联合方案</w:t>
      </w:r>
      <w:r>
        <w:rPr>
          <w:rFonts w:hint="default" w:ascii="微软雅黑" w:hAnsi="微软雅黑" w:cs="微软雅黑"/>
          <w:sz w:val="21"/>
          <w:szCs w:val="21"/>
          <w:lang w:val="en-US" w:eastAsia="zh-CN"/>
        </w:rPr>
        <w:t>控制肿瘤生长</w:t>
      </w:r>
      <w:r>
        <w:rPr>
          <w:rFonts w:hint="eastAsia" w:ascii="微软雅黑" w:hAnsi="微软雅黑" w:cs="微软雅黑"/>
          <w:sz w:val="21"/>
          <w:szCs w:val="21"/>
          <w:lang w:val="en-US" w:eastAsia="zh-CN"/>
        </w:rPr>
        <w:t>效果更好</w:t>
      </w:r>
      <w:r>
        <w:rPr>
          <w:rFonts w:hint="default" w:ascii="微软雅黑" w:hAnsi="微软雅黑" w:cs="微软雅黑"/>
          <w:sz w:val="21"/>
          <w:szCs w:val="21"/>
          <w:lang w:val="en-US" w:eastAsia="zh-CN"/>
        </w:rPr>
        <w:t>。但是，老年和体弱</w:t>
      </w:r>
      <w:r>
        <w:rPr>
          <w:rFonts w:hint="eastAsia" w:ascii="微软雅黑" w:hAnsi="微软雅黑" w:cs="微软雅黑"/>
          <w:sz w:val="21"/>
          <w:szCs w:val="21"/>
          <w:lang w:val="en-US" w:eastAsia="zh-CN"/>
        </w:rPr>
        <w:t>的</w:t>
      </w:r>
      <w:r>
        <w:rPr>
          <w:rFonts w:hint="default" w:ascii="微软雅黑" w:hAnsi="微软雅黑" w:cs="微软雅黑"/>
          <w:sz w:val="21"/>
          <w:szCs w:val="21"/>
          <w:lang w:val="en-US" w:eastAsia="zh-CN"/>
        </w:rPr>
        <w:t>患者可能会受益于先后采用单药氟嘧啶单药化疗或氟嘧啶与VEGF-A靶向疗法联合治疗</w:t>
      </w:r>
      <w:r>
        <w:rPr>
          <w:rFonts w:hint="eastAsia" w:ascii="微软雅黑" w:hAnsi="微软雅黑" w:cs="微软雅黑"/>
          <w:sz w:val="21"/>
          <w:szCs w:val="21"/>
          <w:lang w:val="en-US" w:eastAsia="zh-CN"/>
        </w:rPr>
        <w:t>手段（图6）。</w:t>
      </w:r>
    </w:p>
    <w:p w14:paraId="4EF2998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lang w:val="en-US" w:eastAsia="zh-CN"/>
        </w:rPr>
        <w:t>[50]</w:t>
      </w:r>
      <w:r>
        <w:rPr>
          <w:rFonts w:hint="eastAsia" w:ascii="微软雅黑" w:hAnsi="微软雅黑" w:cs="微软雅黑"/>
          <w:sz w:val="21"/>
          <w:szCs w:val="21"/>
          <w:lang w:val="en-US" w:eastAsia="zh-CN"/>
        </w:rPr>
        <w:t>。</w:t>
      </w:r>
    </w:p>
    <w:p w14:paraId="2997680E">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4368165" cy="3756025"/>
            <wp:effectExtent l="0" t="0" r="13335" b="1587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32"/>
                    <a:stretch>
                      <a:fillRect/>
                    </a:stretch>
                  </pic:blipFill>
                  <pic:spPr>
                    <a:xfrm>
                      <a:off x="0" y="0"/>
                      <a:ext cx="4368165" cy="3756025"/>
                    </a:xfrm>
                    <a:prstGeom prst="rect">
                      <a:avLst/>
                    </a:prstGeom>
                    <a:noFill/>
                    <a:ln>
                      <a:noFill/>
                    </a:ln>
                  </pic:spPr>
                </pic:pic>
              </a:graphicData>
            </a:graphic>
          </wp:inline>
        </w:drawing>
      </w:r>
    </w:p>
    <w:p w14:paraId="54FD4EB8">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图6 结直肠癌系统治疗药物组合</w:t>
      </w:r>
      <w:r>
        <w:rPr>
          <w:rFonts w:hint="eastAsia" w:ascii="微软雅黑" w:hAnsi="微软雅黑" w:cs="微软雅黑"/>
          <w:sz w:val="20"/>
          <w:szCs w:val="20"/>
          <w:vertAlign w:val="superscript"/>
          <w:lang w:val="en-US" w:eastAsia="zh-CN"/>
        </w:rPr>
        <w:t>[1]</w:t>
      </w:r>
    </w:p>
    <w:p w14:paraId="267D8CB6">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b/>
          <w:bCs/>
          <w:sz w:val="21"/>
          <w:szCs w:val="21"/>
          <w:lang w:val="en-US" w:eastAsia="zh-CN"/>
        </w:rPr>
      </w:pPr>
      <w:r>
        <w:rPr>
          <w:rFonts w:hint="eastAsia" w:ascii="微软雅黑" w:hAnsi="微软雅黑" w:cs="微软雅黑"/>
          <w:b/>
          <w:bCs/>
          <w:sz w:val="21"/>
          <w:szCs w:val="21"/>
          <w:lang w:val="en-US" w:eastAsia="zh-CN"/>
        </w:rPr>
        <w:t>4.4 靶向与免疫治疗</w:t>
      </w:r>
    </w:p>
    <w:p w14:paraId="683856E7">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目前结直肠癌靶向及免疫治疗主要包括四大类药物：单克隆抗体、抗血管生成抑制剂、特异性位点靶向药以及免疫检查点抑制剂。根据肿瘤突变状态的不同，治疗决策有所不同。</w:t>
      </w:r>
    </w:p>
    <w:p w14:paraId="1795DD81">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4.4.1 EGFR单克隆抗体</w:t>
      </w:r>
    </w:p>
    <w:p w14:paraId="5E6A2A9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大约</w:t>
      </w:r>
      <w:r>
        <w:rPr>
          <w:rFonts w:hint="default" w:ascii="微软雅黑" w:hAnsi="微软雅黑" w:cs="微软雅黑"/>
          <w:sz w:val="21"/>
          <w:szCs w:val="21"/>
          <w:lang w:val="en-US" w:eastAsia="zh-CN"/>
        </w:rPr>
        <w:t>80％</w:t>
      </w:r>
      <w:r>
        <w:rPr>
          <w:rFonts w:hint="eastAsia" w:ascii="微软雅黑" w:hAnsi="微软雅黑" w:cs="微软雅黑"/>
          <w:sz w:val="21"/>
          <w:szCs w:val="21"/>
          <w:lang w:val="en-US" w:eastAsia="zh-CN"/>
        </w:rPr>
        <w:t>左右的结直</w:t>
      </w:r>
      <w:r>
        <w:rPr>
          <w:rFonts w:hint="default" w:ascii="微软雅黑" w:hAnsi="微软雅黑" w:cs="微软雅黑"/>
          <w:sz w:val="21"/>
          <w:szCs w:val="21"/>
          <w:lang w:val="en-US" w:eastAsia="zh-CN"/>
        </w:rPr>
        <w:t>肠癌表达或过表达EGFR</w:t>
      </w:r>
      <w:r>
        <w:rPr>
          <w:rFonts w:hint="eastAsia" w:ascii="微软雅黑" w:hAnsi="微软雅黑" w:cs="微软雅黑"/>
          <w:sz w:val="21"/>
          <w:szCs w:val="21"/>
          <w:lang w:val="en-US" w:eastAsia="zh-CN"/>
        </w:rPr>
        <w:t>，且</w:t>
      </w:r>
      <w:r>
        <w:rPr>
          <w:rFonts w:hint="default" w:ascii="微软雅黑" w:hAnsi="微软雅黑" w:cs="微软雅黑"/>
          <w:sz w:val="21"/>
          <w:szCs w:val="21"/>
          <w:lang w:val="en-US" w:eastAsia="zh-CN"/>
        </w:rPr>
        <w:t>EGFR过表达</w:t>
      </w:r>
      <w:r>
        <w:rPr>
          <w:rFonts w:hint="eastAsia" w:ascii="微软雅黑" w:hAnsi="微软雅黑" w:cs="微软雅黑"/>
          <w:sz w:val="21"/>
          <w:szCs w:val="21"/>
          <w:lang w:val="en-US" w:eastAsia="zh-CN"/>
        </w:rPr>
        <w:t>的结直肠癌患者</w:t>
      </w:r>
      <w:r>
        <w:rPr>
          <w:rFonts w:hint="default" w:ascii="微软雅黑" w:hAnsi="微软雅黑" w:cs="微软雅黑"/>
          <w:sz w:val="21"/>
          <w:szCs w:val="21"/>
          <w:lang w:val="en-US" w:eastAsia="zh-CN"/>
        </w:rPr>
        <w:t>生存率降低</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转移</w:t>
      </w:r>
      <w:r>
        <w:rPr>
          <w:rFonts w:hint="eastAsia" w:ascii="微软雅黑" w:hAnsi="微软雅黑" w:cs="微软雅黑"/>
          <w:sz w:val="21"/>
          <w:szCs w:val="21"/>
          <w:lang w:val="en-US" w:eastAsia="zh-CN"/>
        </w:rPr>
        <w:t>风</w:t>
      </w:r>
      <w:r>
        <w:rPr>
          <w:rFonts w:hint="default" w:ascii="微软雅黑" w:hAnsi="微软雅黑" w:cs="微软雅黑"/>
          <w:sz w:val="21"/>
          <w:szCs w:val="21"/>
          <w:lang w:val="en-US" w:eastAsia="zh-CN"/>
        </w:rPr>
        <w:t>险增加。</w:t>
      </w:r>
      <w:r>
        <w:rPr>
          <w:rFonts w:hint="eastAsia" w:ascii="微软雅黑" w:hAnsi="微软雅黑" w:cs="微软雅黑"/>
          <w:sz w:val="21"/>
          <w:szCs w:val="21"/>
          <w:lang w:val="en-US" w:eastAsia="zh-CN"/>
        </w:rPr>
        <w:t>EGFR单克隆抗体通过</w:t>
      </w:r>
      <w:r>
        <w:rPr>
          <w:rFonts w:hint="default" w:ascii="微软雅黑" w:hAnsi="微软雅黑" w:cs="微软雅黑"/>
          <w:sz w:val="21"/>
          <w:szCs w:val="21"/>
          <w:lang w:val="en-US" w:eastAsia="zh-CN"/>
        </w:rPr>
        <w:t>诱饵受体</w:t>
      </w:r>
      <w:r>
        <w:rPr>
          <w:rFonts w:hint="eastAsia" w:ascii="微软雅黑" w:hAnsi="微软雅黑" w:cs="微软雅黑"/>
          <w:sz w:val="21"/>
          <w:szCs w:val="21"/>
          <w:lang w:val="en-US" w:eastAsia="zh-CN"/>
        </w:rPr>
        <w:t>与</w:t>
      </w:r>
      <w:r>
        <w:rPr>
          <w:rFonts w:hint="default" w:ascii="微软雅黑" w:hAnsi="微软雅黑" w:cs="微软雅黑"/>
          <w:sz w:val="21"/>
          <w:szCs w:val="21"/>
          <w:lang w:val="en-US" w:eastAsia="zh-CN"/>
        </w:rPr>
        <w:t>可溶性配体结合阻断</w:t>
      </w:r>
      <w:r>
        <w:rPr>
          <w:rFonts w:hint="eastAsia" w:ascii="微软雅黑" w:hAnsi="微软雅黑" w:cs="微软雅黑"/>
          <w:sz w:val="21"/>
          <w:szCs w:val="21"/>
          <w:lang w:val="en-US" w:eastAsia="zh-CN"/>
        </w:rPr>
        <w:t>、</w:t>
      </w:r>
      <w:r>
        <w:rPr>
          <w:rFonts w:hint="default" w:ascii="微软雅黑" w:hAnsi="微软雅黑" w:cs="微软雅黑"/>
          <w:sz w:val="21"/>
          <w:szCs w:val="21"/>
          <w:lang w:val="en-US" w:eastAsia="zh-CN"/>
        </w:rPr>
        <w:t>抑制受体二聚化</w:t>
      </w:r>
      <w:r>
        <w:rPr>
          <w:rFonts w:hint="eastAsia" w:ascii="微软雅黑" w:hAnsi="微软雅黑" w:cs="微软雅黑"/>
          <w:sz w:val="21"/>
          <w:szCs w:val="21"/>
          <w:lang w:val="en-US" w:eastAsia="zh-CN"/>
        </w:rPr>
        <w:t>，或通过与酪氨酸激酶结构域ATP受体口袋结合的方式，使</w:t>
      </w:r>
      <w:r>
        <w:rPr>
          <w:rFonts w:hint="default" w:ascii="微软雅黑" w:hAnsi="微软雅黑" w:cs="微软雅黑"/>
          <w:sz w:val="21"/>
          <w:szCs w:val="21"/>
          <w:lang w:val="en-US" w:eastAsia="zh-CN"/>
        </w:rPr>
        <w:t>EGFR酪氨酸激酶受体胞外区域被单克隆抗体特异性阻断。</w:t>
      </w:r>
      <w:r>
        <w:rPr>
          <w:rFonts w:hint="eastAsia" w:ascii="微软雅黑" w:hAnsi="微软雅黑" w:cs="微软雅黑"/>
          <w:sz w:val="21"/>
          <w:szCs w:val="21"/>
          <w:lang w:val="en-US" w:eastAsia="zh-CN"/>
        </w:rPr>
        <w:t>多项临床数据表明，</w:t>
      </w:r>
      <w:r>
        <w:rPr>
          <w:rFonts w:hint="default" w:ascii="微软雅黑" w:hAnsi="微软雅黑" w:cs="微软雅黑"/>
          <w:sz w:val="21"/>
          <w:szCs w:val="21"/>
          <w:lang w:val="en-US" w:eastAsia="zh-CN"/>
        </w:rPr>
        <w:t>西妥昔单抗（重组嵌合</w:t>
      </w:r>
      <w:r>
        <w:rPr>
          <w:rFonts w:hint="eastAsia" w:ascii="微软雅黑" w:hAnsi="微软雅黑" w:cs="微软雅黑"/>
          <w:sz w:val="21"/>
          <w:szCs w:val="21"/>
          <w:lang w:val="en-US" w:eastAsia="zh-CN"/>
        </w:rPr>
        <w:t>型</w:t>
      </w:r>
      <w:r>
        <w:rPr>
          <w:rFonts w:hint="default" w:ascii="微软雅黑" w:hAnsi="微软雅黑" w:cs="微软雅黑"/>
          <w:sz w:val="21"/>
          <w:szCs w:val="21"/>
          <w:lang w:val="en-US" w:eastAsia="zh-CN"/>
        </w:rPr>
        <w:t>IgG1单克隆抗体）和帕尼单抗（</w:t>
      </w:r>
      <w:r>
        <w:rPr>
          <w:rFonts w:hint="eastAsia" w:ascii="微软雅黑" w:hAnsi="微软雅黑" w:cs="微软雅黑"/>
          <w:sz w:val="21"/>
          <w:szCs w:val="21"/>
          <w:lang w:val="en-US" w:eastAsia="zh-CN"/>
        </w:rPr>
        <w:t>人</w:t>
      </w:r>
      <w:r>
        <w:rPr>
          <w:rFonts w:hint="default" w:ascii="微软雅黑" w:hAnsi="微软雅黑" w:cs="微软雅黑"/>
          <w:sz w:val="21"/>
          <w:szCs w:val="21"/>
          <w:lang w:val="en-US" w:eastAsia="zh-CN"/>
        </w:rPr>
        <w:t>EGFR特异性抗体）</w:t>
      </w:r>
      <w:r>
        <w:rPr>
          <w:rFonts w:hint="eastAsia" w:ascii="微软雅黑" w:hAnsi="微软雅黑" w:cs="微软雅黑"/>
          <w:sz w:val="21"/>
          <w:szCs w:val="21"/>
          <w:lang w:val="en-US" w:eastAsia="zh-CN"/>
        </w:rPr>
        <w:t>能够</w:t>
      </w:r>
      <w:r>
        <w:rPr>
          <w:rFonts w:hint="default" w:ascii="微软雅黑" w:hAnsi="微软雅黑" w:cs="微软雅黑"/>
          <w:sz w:val="21"/>
          <w:szCs w:val="21"/>
          <w:lang w:val="en-US" w:eastAsia="zh-CN"/>
        </w:rPr>
        <w:t>提高肿瘤的总体缓解率，</w:t>
      </w:r>
      <w:r>
        <w:rPr>
          <w:rFonts w:hint="eastAsia" w:ascii="微软雅黑" w:hAnsi="微软雅黑" w:cs="微软雅黑"/>
          <w:sz w:val="21"/>
          <w:szCs w:val="21"/>
          <w:lang w:val="en-US" w:eastAsia="zh-CN"/>
        </w:rPr>
        <w:t>对</w:t>
      </w:r>
      <w:r>
        <w:rPr>
          <w:rFonts w:hint="default" w:ascii="微软雅黑" w:hAnsi="微软雅黑" w:cs="微软雅黑"/>
          <w:sz w:val="21"/>
          <w:szCs w:val="21"/>
          <w:lang w:val="en-US" w:eastAsia="zh-CN"/>
        </w:rPr>
        <w:t>未接受过化疗及</w:t>
      </w:r>
      <w:r>
        <w:rPr>
          <w:rFonts w:hint="eastAsia" w:ascii="微软雅黑" w:hAnsi="微软雅黑" w:cs="微软雅黑"/>
          <w:sz w:val="21"/>
          <w:szCs w:val="21"/>
          <w:lang w:val="en-US" w:eastAsia="zh-CN"/>
        </w:rPr>
        <w:t>化疗难治型</w:t>
      </w:r>
      <w:r>
        <w:rPr>
          <w:rFonts w:hint="default" w:ascii="微软雅黑" w:hAnsi="微软雅黑" w:cs="微软雅黑"/>
          <w:sz w:val="21"/>
          <w:szCs w:val="21"/>
          <w:lang w:val="en-US" w:eastAsia="zh-CN"/>
        </w:rPr>
        <w:t>患者</w:t>
      </w:r>
      <w:r>
        <w:rPr>
          <w:rFonts w:hint="eastAsia" w:ascii="微软雅黑" w:hAnsi="微软雅黑" w:cs="微软雅黑"/>
          <w:sz w:val="21"/>
          <w:szCs w:val="21"/>
          <w:lang w:val="en-US" w:eastAsia="zh-CN"/>
        </w:rPr>
        <w:t>有效，从而</w:t>
      </w:r>
      <w:r>
        <w:rPr>
          <w:rFonts w:hint="default" w:ascii="微软雅黑" w:hAnsi="微软雅黑" w:cs="微软雅黑"/>
          <w:sz w:val="21"/>
          <w:szCs w:val="21"/>
          <w:lang w:val="en-US" w:eastAsia="zh-CN"/>
        </w:rPr>
        <w:t>改善转移性结直肠癌患者的无进展生存期</w:t>
      </w:r>
      <w:r>
        <w:rPr>
          <w:rFonts w:hint="eastAsia" w:ascii="微软雅黑" w:hAnsi="微软雅黑" w:cs="微软雅黑"/>
          <w:sz w:val="21"/>
          <w:szCs w:val="21"/>
          <w:lang w:val="en-US" w:eastAsia="zh-CN"/>
        </w:rPr>
        <w:t>（PFS）</w:t>
      </w:r>
      <w:r>
        <w:rPr>
          <w:rFonts w:hint="default" w:ascii="微软雅黑" w:hAnsi="微软雅黑" w:cs="微软雅黑"/>
          <w:sz w:val="21"/>
          <w:szCs w:val="21"/>
          <w:lang w:val="en-US" w:eastAsia="zh-CN"/>
        </w:rPr>
        <w:t>甚至总体生存期</w:t>
      </w:r>
      <w:r>
        <w:rPr>
          <w:rFonts w:hint="eastAsia" w:ascii="微软雅黑" w:hAnsi="微软雅黑" w:cs="微软雅黑"/>
          <w:sz w:val="21"/>
          <w:szCs w:val="21"/>
          <w:lang w:val="en-US" w:eastAsia="zh-CN"/>
        </w:rPr>
        <w:t>（OS）</w:t>
      </w:r>
      <w:r>
        <w:rPr>
          <w:rFonts w:hint="default" w:ascii="微软雅黑" w:hAnsi="微软雅黑" w:cs="微软雅黑"/>
          <w:sz w:val="21"/>
          <w:szCs w:val="21"/>
          <w:lang w:val="en-US" w:eastAsia="zh-CN"/>
        </w:rPr>
        <w:t>。</w:t>
      </w:r>
      <w:r>
        <w:rPr>
          <w:rFonts w:hint="eastAsia" w:ascii="微软雅黑" w:hAnsi="微软雅黑" w:cs="微软雅黑"/>
          <w:sz w:val="21"/>
          <w:szCs w:val="21"/>
          <w:lang w:val="en-US" w:eastAsia="zh-CN"/>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lang w:val="en-US" w:eastAsia="zh-CN"/>
        </w:rPr>
        <w:t>[51]</w:t>
      </w:r>
      <w:r>
        <w:rPr>
          <w:rFonts w:hint="eastAsia" w:ascii="微软雅黑" w:hAnsi="微软雅黑" w:cs="微软雅黑"/>
          <w:sz w:val="21"/>
          <w:szCs w:val="21"/>
          <w:lang w:val="en-US" w:eastAsia="zh-CN"/>
        </w:rPr>
        <w:t>，并在多项随机研究合并分析中得到证实</w:t>
      </w:r>
      <w:r>
        <w:rPr>
          <w:rFonts w:hint="eastAsia" w:ascii="微软雅黑" w:hAnsi="微软雅黑" w:cs="微软雅黑"/>
          <w:sz w:val="21"/>
          <w:szCs w:val="21"/>
          <w:vertAlign w:val="superscript"/>
          <w:lang w:val="en-US" w:eastAsia="zh-CN"/>
        </w:rPr>
        <w:t>[52]</w:t>
      </w:r>
      <w:r>
        <w:rPr>
          <w:rFonts w:hint="eastAsia" w:ascii="微软雅黑" w:hAnsi="微软雅黑" w:cs="微软雅黑"/>
          <w:sz w:val="21"/>
          <w:szCs w:val="21"/>
          <w:lang w:val="en-US" w:eastAsia="zh-CN"/>
        </w:rPr>
        <w:t>。除了侧边性，结直肠癌接受EGFR单抗治疗前，还应该进行RAS和RAF (KRAS、NRAS和BRAF)突变检测</w:t>
      </w:r>
      <w:r>
        <w:rPr>
          <w:rFonts w:hint="eastAsia" w:ascii="微软雅黑" w:hAnsi="微软雅黑" w:cs="微软雅黑"/>
          <w:sz w:val="21"/>
          <w:szCs w:val="21"/>
          <w:vertAlign w:val="superscript"/>
          <w:lang w:val="en-US" w:eastAsia="zh-CN"/>
        </w:rPr>
        <w:t>[53,54]</w:t>
      </w:r>
      <w:r>
        <w:rPr>
          <w:rFonts w:hint="eastAsia" w:ascii="微软雅黑" w:hAnsi="微软雅黑" w:cs="微软雅黑"/>
          <w:sz w:val="21"/>
          <w:szCs w:val="21"/>
          <w:lang w:val="en-US" w:eastAsia="zh-CN"/>
        </w:rPr>
        <w:t>，携带KRAS、NRAS、BRAF</w:t>
      </w:r>
      <w:r>
        <w:rPr>
          <w:rFonts w:hint="default" w:ascii="微软雅黑" w:hAnsi="微软雅黑" w:cs="微软雅黑"/>
          <w:sz w:val="21"/>
          <w:szCs w:val="21"/>
          <w:lang w:val="en-US" w:eastAsia="zh-CN"/>
        </w:rPr>
        <w:t>激活突变</w:t>
      </w:r>
      <w:r>
        <w:rPr>
          <w:rFonts w:hint="eastAsia" w:ascii="微软雅黑" w:hAnsi="微软雅黑" w:cs="微软雅黑"/>
          <w:sz w:val="21"/>
          <w:szCs w:val="21"/>
          <w:lang w:val="en-US" w:eastAsia="zh-CN"/>
        </w:rPr>
        <w:t>的肿瘤对西妥昔单抗、帕尼单抗无效</w:t>
      </w:r>
      <w:r>
        <w:rPr>
          <w:rFonts w:hint="eastAsia" w:ascii="微软雅黑" w:hAnsi="微软雅黑" w:cs="微软雅黑"/>
          <w:sz w:val="21"/>
          <w:szCs w:val="21"/>
          <w:vertAlign w:val="superscript"/>
          <w:lang w:val="en-US" w:eastAsia="zh-CN"/>
        </w:rPr>
        <w:t>[55,56]</w:t>
      </w:r>
      <w:r>
        <w:rPr>
          <w:rFonts w:hint="eastAsia" w:ascii="微软雅黑" w:hAnsi="微软雅黑" w:cs="微软雅黑"/>
          <w:sz w:val="21"/>
          <w:szCs w:val="21"/>
          <w:lang w:val="en-US" w:eastAsia="zh-CN"/>
        </w:rPr>
        <w:t>。</w:t>
      </w:r>
    </w:p>
    <w:p w14:paraId="0DA9B2E0">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4.4.2抗血管生成抑制剂</w:t>
      </w:r>
    </w:p>
    <w:p w14:paraId="5335D1AA">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肿瘤达到临界尺寸</w:t>
      </w:r>
      <w:r>
        <w:rPr>
          <w:rFonts w:hint="eastAsia" w:ascii="微软雅黑" w:hAnsi="微软雅黑" w:cs="微软雅黑"/>
          <w:sz w:val="21"/>
          <w:szCs w:val="21"/>
          <w:vertAlign w:val="superscript"/>
          <w:lang w:val="en-US" w:eastAsia="zh-CN"/>
        </w:rPr>
        <w:t>[57]</w:t>
      </w:r>
      <w:r>
        <w:rPr>
          <w:rFonts w:hint="eastAsia" w:ascii="微软雅黑" w:hAnsi="微软雅黑" w:cs="微软雅黑"/>
          <w:sz w:val="21"/>
          <w:szCs w:val="21"/>
          <w:lang w:val="en-US" w:eastAsia="zh-CN"/>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7EF4996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lang w:val="en-US" w:eastAsia="zh-CN"/>
        </w:rPr>
        <w:t>[58]</w:t>
      </w:r>
      <w:r>
        <w:rPr>
          <w:rFonts w:hint="eastAsia" w:ascii="微软雅黑" w:hAnsi="微软雅黑" w:cs="微软雅黑"/>
          <w:sz w:val="21"/>
          <w:szCs w:val="21"/>
          <w:lang w:val="en-US" w:eastAsia="zh-CN"/>
        </w:rPr>
        <w:t>。</w:t>
      </w:r>
    </w:p>
    <w:p w14:paraId="2EF8A48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lang w:val="en-US" w:eastAsia="zh-CN"/>
        </w:rPr>
        <w:t>[59]</w:t>
      </w:r>
      <w:r>
        <w:rPr>
          <w:rFonts w:hint="eastAsia" w:ascii="微软雅黑" w:hAnsi="微软雅黑" w:cs="微软雅黑"/>
          <w:sz w:val="21"/>
          <w:szCs w:val="21"/>
          <w:lang w:val="en-US" w:eastAsia="zh-CN"/>
        </w:rPr>
        <w:t>。</w:t>
      </w:r>
    </w:p>
    <w:p w14:paraId="05E31434">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4.4.3 染色体不稳定（CIN）及RAS基因突变</w:t>
      </w:r>
    </w:p>
    <w:p w14:paraId="1C280E98">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4.4.3.1 染色体不稳定（CIN）</w:t>
      </w:r>
    </w:p>
    <w:p w14:paraId="00B707B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lang w:val="en-US" w:eastAsia="zh-CN"/>
        </w:rPr>
        <w:t>[60]</w:t>
      </w:r>
      <w:r>
        <w:rPr>
          <w:rFonts w:hint="eastAsia" w:ascii="微软雅黑" w:hAnsi="微软雅黑" w:cs="微软雅黑"/>
          <w:sz w:val="21"/>
          <w:szCs w:val="21"/>
          <w:lang w:val="en-US" w:eastAsia="zh-CN"/>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lang w:val="en-US" w:eastAsia="zh-CN"/>
        </w:rPr>
        <w:t>[61]</w:t>
      </w:r>
      <w:r>
        <w:rPr>
          <w:rFonts w:hint="eastAsia" w:ascii="微软雅黑" w:hAnsi="微软雅黑" w:cs="微软雅黑"/>
          <w:sz w:val="21"/>
          <w:szCs w:val="21"/>
          <w:lang w:val="en-US" w:eastAsia="zh-CN"/>
        </w:rPr>
        <w:t>。CIN是导致染色体数量（异倍体）的失衡、亚染色体基因的扩增以及杂合性缺失的高频出现的原因之一。</w:t>
      </w:r>
    </w:p>
    <w:p w14:paraId="786F1A18">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0" distR="0">
            <wp:extent cx="5164455" cy="2489835"/>
            <wp:effectExtent l="0" t="0" r="17145" b="5715"/>
            <wp:docPr id="48"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Library/Containers/com.tencent.qq/Data/Library/Application%20Support/QQ/Users/823908067/QQ/Temp.db/05C1A0B5-D29D-44D7-8AE5-B12732649BFB.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5D05F2F4">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1"/>
          <w:szCs w:val="21"/>
          <w:lang w:val="en-US" w:eastAsia="zh-CN"/>
        </w:rPr>
      </w:pPr>
      <w:r>
        <w:rPr>
          <w:rFonts w:hint="eastAsia" w:ascii="微软雅黑" w:hAnsi="微软雅黑" w:cs="微软雅黑"/>
          <w:sz w:val="20"/>
          <w:szCs w:val="20"/>
          <w:lang w:val="en-US" w:eastAsia="zh-CN"/>
        </w:rPr>
        <w:t>图7 正常黏膜上皮-腺瘤-腺癌途径</w:t>
      </w:r>
    </w:p>
    <w:p w14:paraId="7B278E0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lang w:val="en-US" w:eastAsia="zh-CN"/>
        </w:rPr>
        <w:t>[87]</w:t>
      </w:r>
      <w:r>
        <w:rPr>
          <w:rFonts w:hint="eastAsia" w:ascii="微软雅黑" w:hAnsi="微软雅黑" w:cs="微软雅黑"/>
          <w:sz w:val="21"/>
          <w:szCs w:val="21"/>
          <w:lang w:val="en-US" w:eastAsia="zh-CN"/>
        </w:rPr>
        <w:t>，进而参与了家族性及散发性结直肠癌的发生发展。约有80%的结直肠腺瘤和腺癌中存在APC基因失活突变。</w:t>
      </w:r>
    </w:p>
    <w:p w14:paraId="3CF4F136">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4.4.3.2 RAS基因突变及相关治疗策略</w:t>
      </w:r>
    </w:p>
    <w:p w14:paraId="1E92486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lang w:val="en-US" w:eastAsia="zh-CN"/>
        </w:rPr>
        <w:t>[62]</w:t>
      </w:r>
      <w:r>
        <w:rPr>
          <w:rFonts w:hint="eastAsia" w:ascii="微软雅黑" w:hAnsi="微软雅黑" w:cs="微软雅黑"/>
          <w:sz w:val="21"/>
          <w:szCs w:val="21"/>
          <w:lang w:val="en-US" w:eastAsia="zh-CN"/>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08639BA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lang w:val="en-US" w:eastAsia="zh-CN"/>
        </w:rPr>
        <w:t>[3]</w:t>
      </w:r>
      <w:r>
        <w:rPr>
          <w:rFonts w:hint="eastAsia" w:ascii="微软雅黑" w:hAnsi="微软雅黑" w:cs="微软雅黑"/>
          <w:sz w:val="21"/>
          <w:szCs w:val="21"/>
          <w:lang w:val="en-US" w:eastAsia="zh-CN"/>
        </w:rPr>
        <w:t>。</w:t>
      </w:r>
    </w:p>
    <w:p w14:paraId="606D86C6">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lang w:val="en-US" w:eastAsia="zh-CN"/>
        </w:rPr>
        <w:t>[63]</w:t>
      </w:r>
      <w:r>
        <w:rPr>
          <w:rFonts w:hint="eastAsia" w:ascii="微软雅黑" w:hAnsi="微软雅黑" w:cs="微软雅黑"/>
          <w:sz w:val="21"/>
          <w:szCs w:val="21"/>
          <w:lang w:val="en-US" w:eastAsia="zh-CN"/>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lang w:val="en-US" w:eastAsia="zh-CN"/>
        </w:rPr>
        <w:t>[63]</w:t>
      </w:r>
      <w:r>
        <w:rPr>
          <w:rFonts w:hint="eastAsia" w:ascii="微软雅黑" w:hAnsi="微软雅黑" w:cs="微软雅黑"/>
          <w:sz w:val="21"/>
          <w:szCs w:val="21"/>
          <w:lang w:val="en-US" w:eastAsia="zh-CN"/>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1C57DC34">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lang w:val="en-US" w:eastAsia="zh-CN"/>
        </w:rPr>
        <w:t>[88]</w:t>
      </w:r>
      <w:r>
        <w:rPr>
          <w:rFonts w:hint="eastAsia" w:ascii="微软雅黑" w:hAnsi="微软雅黑" w:cs="微软雅黑"/>
          <w:sz w:val="21"/>
          <w:szCs w:val="21"/>
          <w:lang w:val="en-US" w:eastAsia="zh-CN"/>
        </w:rPr>
        <w:t>。索托拉西布分别获得FDA批准治疗非小细胞肺癌（NSCLC）和结直肠癌（CRC）的孤儿药资格。今年3月9日，CDE（国家药监局）官网更新索托拉西布将在不久后开始招募国内晚期肿瘤患者（JXHL2000044）。</w:t>
      </w:r>
    </w:p>
    <w:p w14:paraId="404A30F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临床前研究中，Adagrasib在阻断 KRAS 依赖性信号转导和癌细胞活力方面具有很高的效力。Adagrasib研发公司Mirati官网数据中，</w:t>
      </w:r>
      <w:r>
        <w:rPr>
          <w:rFonts w:hint="eastAsia" w:ascii="微软雅黑" w:hAnsi="微软雅黑" w:eastAsia="微软雅黑" w:cs="微软雅黑"/>
          <w:sz w:val="21"/>
          <w:szCs w:val="21"/>
          <w:lang w:val="en-US" w:eastAsia="zh-CN"/>
        </w:rPr>
        <w:t>Ⅰ</w:t>
      </w:r>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val="en-US" w:eastAsia="zh-CN"/>
        </w:rPr>
        <w:t>Ⅰ</w:t>
      </w:r>
      <w:r>
        <w:rPr>
          <w:rFonts w:hint="eastAsia" w:ascii="微软雅黑" w:hAnsi="微软雅黑" w:cs="微软雅黑"/>
          <w:sz w:val="21"/>
          <w:szCs w:val="21"/>
          <w:lang w:val="en-US" w:eastAsia="zh-CN"/>
        </w:rPr>
        <w:t>b期临床试验和</w:t>
      </w:r>
      <w:r>
        <w:rPr>
          <w:rFonts w:hint="eastAsia" w:ascii="微软雅黑" w:hAnsi="微软雅黑" w:eastAsia="微软雅黑" w:cs="微软雅黑"/>
          <w:sz w:val="21"/>
          <w:szCs w:val="21"/>
          <w:lang w:val="en-US" w:eastAsia="zh-CN"/>
        </w:rPr>
        <w:t>Ⅱ</w:t>
      </w:r>
      <w:r>
        <w:rPr>
          <w:rFonts w:hint="eastAsia" w:ascii="微软雅黑" w:hAnsi="微软雅黑" w:cs="微软雅黑"/>
          <w:sz w:val="21"/>
          <w:szCs w:val="21"/>
          <w:lang w:val="en-US" w:eastAsia="zh-CN"/>
        </w:rPr>
        <w:t>期临床试验数据显示，Adagrasib单药治疗确认客观缓解率达到45%（23/51），且96%（49/51）的患者能够从Adagrasib单药治疗中获益，在确认获得缓解的患者中，70%（16/23）患者的肿瘤与基线相比缩小40%以上。</w:t>
      </w:r>
    </w:p>
    <w:p w14:paraId="574E22C4">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491F5DC">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eastAsia" w:ascii="微软雅黑" w:hAnsi="微软雅黑" w:cs="微软雅黑"/>
          <w:sz w:val="21"/>
          <w:szCs w:val="21"/>
          <w:lang w:val="en-US" w:eastAsia="zh-CN"/>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58C78A9F">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default" w:ascii="微软雅黑" w:hAnsi="微软雅黑" w:cs="微软雅黑"/>
          <w:sz w:val="21"/>
          <w:szCs w:val="21"/>
          <w:lang w:val="en-US" w:eastAsia="zh-CN"/>
        </w:rPr>
      </w:pPr>
      <w:r>
        <w:rPr>
          <w:rFonts w:hint="eastAsia" w:ascii="微软雅黑" w:hAnsi="微软雅黑" w:cs="微软雅黑"/>
          <w:sz w:val="21"/>
          <w:szCs w:val="21"/>
          <w:lang w:val="en-US" w:eastAsia="zh-CN"/>
        </w:rPr>
        <w:t>4.4.4 靶向药及相关基因</w:t>
      </w:r>
    </w:p>
    <w:p w14:paraId="1E3C70B1">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bookmarkStart w:id="258" w:name="OLE_LINK6"/>
      <w:r>
        <w:rPr>
          <w:rFonts w:hint="eastAsia" w:ascii="微软雅黑" w:hAnsi="微软雅黑" w:cs="微软雅黑"/>
          <w:sz w:val="21"/>
          <w:szCs w:val="21"/>
          <w:lang w:val="en-US" w:eastAsia="zh-CN"/>
        </w:rPr>
        <w:t>4.4.4</w:t>
      </w:r>
      <w:bookmarkEnd w:id="258"/>
      <w:r>
        <w:rPr>
          <w:rFonts w:hint="eastAsia" w:ascii="微软雅黑" w:hAnsi="微软雅黑" w:cs="微软雅黑"/>
          <w:sz w:val="21"/>
          <w:szCs w:val="21"/>
          <w:lang w:val="en-US" w:eastAsia="zh-CN"/>
        </w:rPr>
        <w:t>.1 BRAF V600E突变型及相关治疗</w:t>
      </w:r>
    </w:p>
    <w:p w14:paraId="79DB4EE8">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default" w:ascii="微软雅黑" w:hAnsi="微软雅黑" w:cs="微软雅黑"/>
          <w:sz w:val="21"/>
          <w:szCs w:val="21"/>
          <w:lang w:val="en-US" w:eastAsia="zh-CN"/>
        </w:rPr>
      </w:pPr>
      <w:r>
        <w:rPr>
          <w:rFonts w:hint="eastAsia" w:ascii="微软雅黑" w:hAnsi="微软雅黑" w:cs="微软雅黑"/>
          <w:sz w:val="21"/>
          <w:szCs w:val="21"/>
          <w:lang w:val="en-US" w:eastAsia="zh-CN"/>
        </w:rPr>
        <w:t>在mCRC中，BRAF突变率为5%~10%</w:t>
      </w:r>
      <w:r>
        <w:rPr>
          <w:rFonts w:hint="eastAsia" w:ascii="微软雅黑" w:hAnsi="微软雅黑" w:cs="微软雅黑"/>
          <w:sz w:val="21"/>
          <w:szCs w:val="21"/>
          <w:vertAlign w:val="superscript"/>
          <w:lang w:val="en-US" w:eastAsia="zh-CN"/>
        </w:rPr>
        <w:t>[64]</w:t>
      </w:r>
      <w:r>
        <w:rPr>
          <w:rFonts w:hint="eastAsia" w:ascii="微软雅黑" w:hAnsi="微软雅黑" w:cs="微软雅黑"/>
          <w:sz w:val="21"/>
          <w:szCs w:val="21"/>
          <w:lang w:val="en-US" w:eastAsia="zh-CN"/>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lang w:val="en-US" w:eastAsia="zh-CN"/>
        </w:rPr>
        <w:t>[65]</w:t>
      </w:r>
      <w:r>
        <w:rPr>
          <w:rFonts w:hint="eastAsia" w:ascii="微软雅黑" w:hAnsi="微软雅黑" w:cs="微软雅黑"/>
          <w:sz w:val="21"/>
          <w:szCs w:val="21"/>
          <w:lang w:val="en-US" w:eastAsia="zh-CN"/>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46749979">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4.4.4.2 HER2突变型及相关治疗</w:t>
      </w:r>
    </w:p>
    <w:p w14:paraId="0568CB7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约2%-11%的mCRC中存在HER2扩增，且在左半结肠癌和直肠癌中较为常见，也是EGFR单克隆抗体耐药的原因之一</w:t>
      </w:r>
      <w:r>
        <w:rPr>
          <w:rFonts w:hint="eastAsia" w:ascii="微软雅黑" w:hAnsi="微软雅黑" w:cs="微软雅黑"/>
          <w:sz w:val="21"/>
          <w:szCs w:val="21"/>
          <w:vertAlign w:val="superscript"/>
          <w:lang w:val="en-US" w:eastAsia="zh-CN"/>
        </w:rPr>
        <w:t>[66]</w:t>
      </w:r>
      <w:r>
        <w:rPr>
          <w:rFonts w:hint="eastAsia" w:ascii="微软雅黑" w:hAnsi="微软雅黑" w:cs="微软雅黑"/>
          <w:sz w:val="21"/>
          <w:szCs w:val="21"/>
          <w:lang w:val="en-US" w:eastAsia="zh-CN"/>
        </w:rPr>
        <w:t xml:space="preserve">。HERACLES </w:t>
      </w:r>
      <w:r>
        <w:rPr>
          <w:rFonts w:hint="eastAsia" w:ascii="微软雅黑" w:hAnsi="微软雅黑" w:eastAsia="微软雅黑" w:cs="微软雅黑"/>
          <w:sz w:val="21"/>
          <w:szCs w:val="21"/>
          <w:lang w:val="en-US" w:eastAsia="zh-CN"/>
        </w:rPr>
        <w:t>Ⅱ</w:t>
      </w:r>
      <w:r>
        <w:rPr>
          <w:rFonts w:hint="eastAsia" w:ascii="微软雅黑" w:hAnsi="微软雅黑" w:cs="微软雅黑"/>
          <w:sz w:val="21"/>
          <w:szCs w:val="21"/>
          <w:lang w:val="en-US" w:eastAsia="zh-CN"/>
        </w:rPr>
        <w:t>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lang w:val="en-US" w:eastAsia="zh-CN"/>
        </w:rPr>
        <w:t>[67]</w:t>
      </w:r>
      <w:r>
        <w:rPr>
          <w:rFonts w:hint="eastAsia" w:ascii="微软雅黑" w:hAnsi="微软雅黑" w:cs="微软雅黑"/>
          <w:sz w:val="21"/>
          <w:szCs w:val="21"/>
          <w:lang w:val="en-US" w:eastAsia="zh-CN"/>
        </w:rPr>
        <w:t xml:space="preserve">。MyPathway </w:t>
      </w:r>
      <w:r>
        <w:rPr>
          <w:rFonts w:hint="eastAsia" w:ascii="微软雅黑" w:hAnsi="微软雅黑" w:eastAsia="微软雅黑" w:cs="微软雅黑"/>
          <w:sz w:val="21"/>
          <w:szCs w:val="21"/>
          <w:lang w:val="en-US" w:eastAsia="zh-CN"/>
        </w:rPr>
        <w:t>Ⅱ</w:t>
      </w:r>
      <w:r>
        <w:rPr>
          <w:rFonts w:hint="eastAsia" w:ascii="微软雅黑" w:hAnsi="微软雅黑" w:cs="微软雅黑"/>
          <w:sz w:val="21"/>
          <w:szCs w:val="21"/>
          <w:lang w:val="en-US" w:eastAsia="zh-CN"/>
        </w:rPr>
        <w:t>期篮子试验结果显示，57名可评估患者中，1名患者具有完全的客观缓解，17名患者部分缓解，ORR为32％（95％CI 20-45）</w:t>
      </w:r>
      <w:r>
        <w:rPr>
          <w:rFonts w:hint="eastAsia" w:ascii="微软雅黑" w:hAnsi="微软雅黑" w:cs="微软雅黑"/>
          <w:sz w:val="21"/>
          <w:szCs w:val="21"/>
          <w:vertAlign w:val="superscript"/>
          <w:lang w:val="en-US" w:eastAsia="zh-CN"/>
        </w:rPr>
        <w:t>[68]</w:t>
      </w:r>
      <w:r>
        <w:rPr>
          <w:rFonts w:hint="eastAsia" w:ascii="微软雅黑" w:hAnsi="微软雅黑" w:cs="微软雅黑"/>
          <w:sz w:val="21"/>
          <w:szCs w:val="21"/>
          <w:lang w:val="en-US" w:eastAsia="zh-CN"/>
        </w:rPr>
        <w:t>。结直肠癌NCCN指南推荐HER2扩增阳性且RAS、BRAF野生型患者使用曲妥珠单抗联合帕妥珠单抗或拉帕替尼进行治疗。</w:t>
      </w:r>
    </w:p>
    <w:p w14:paraId="4578949E">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4.4.4.3 其它信号通路及相应创新药物</w:t>
      </w:r>
    </w:p>
    <w:p w14:paraId="30631C9B">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020657AF">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5153660" cy="4201795"/>
            <wp:effectExtent l="0" t="0" r="8890" b="825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34"/>
                    <a:stretch>
                      <a:fillRect/>
                    </a:stretch>
                  </pic:blipFill>
                  <pic:spPr>
                    <a:xfrm>
                      <a:off x="0" y="0"/>
                      <a:ext cx="5153660" cy="4201795"/>
                    </a:xfrm>
                    <a:prstGeom prst="rect">
                      <a:avLst/>
                    </a:prstGeom>
                    <a:noFill/>
                    <a:ln>
                      <a:noFill/>
                    </a:ln>
                  </pic:spPr>
                </pic:pic>
              </a:graphicData>
            </a:graphic>
          </wp:inline>
        </w:drawing>
      </w:r>
    </w:p>
    <w:p w14:paraId="13CD191F">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default" w:ascii="微软雅黑" w:hAnsi="微软雅黑" w:cs="微软雅黑"/>
          <w:sz w:val="20"/>
          <w:szCs w:val="20"/>
          <w:lang w:val="en-US" w:eastAsia="zh-CN"/>
        </w:rPr>
      </w:pPr>
      <w:r>
        <w:rPr>
          <w:rFonts w:hint="eastAsia" w:ascii="微软雅黑" w:hAnsi="微软雅黑" w:cs="微软雅黑"/>
          <w:sz w:val="20"/>
          <w:szCs w:val="20"/>
          <w:lang w:val="en-US" w:eastAsia="zh-CN"/>
        </w:rPr>
        <w:t>图8 结肠直肠癌的新药靶点和候选药物</w:t>
      </w:r>
      <w:r>
        <w:rPr>
          <w:rFonts w:hint="eastAsia" w:ascii="微软雅黑" w:hAnsi="微软雅黑" w:cs="微软雅黑"/>
          <w:sz w:val="20"/>
          <w:szCs w:val="20"/>
          <w:vertAlign w:val="superscript"/>
          <w:lang w:val="en-US" w:eastAsia="zh-CN"/>
        </w:rPr>
        <w:t>[3]</w:t>
      </w:r>
    </w:p>
    <w:p w14:paraId="78555C98">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4.4.5  免疫检查点抑制剂</w:t>
      </w:r>
    </w:p>
    <w:p w14:paraId="102A7A3E">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4.4.5.1 DNA错配修复缺陷（dMMR）与微卫星不稳定（MSI）</w:t>
      </w:r>
    </w:p>
    <w:p w14:paraId="282BC5A3">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lang w:val="en-US" w:eastAsia="zh-CN"/>
        </w:rPr>
        <w:t>[69]</w:t>
      </w:r>
      <w:r>
        <w:rPr>
          <w:rFonts w:hint="eastAsia" w:ascii="微软雅黑" w:hAnsi="微软雅黑" w:cs="微软雅黑"/>
          <w:sz w:val="21"/>
          <w:szCs w:val="21"/>
          <w:lang w:val="en-US" w:eastAsia="zh-CN"/>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lang w:val="en-US" w:eastAsia="zh-CN"/>
        </w:rPr>
        <w:t>[70]</w:t>
      </w:r>
      <w:r>
        <w:rPr>
          <w:rFonts w:hint="eastAsia" w:ascii="微软雅黑" w:hAnsi="微软雅黑" w:cs="微软雅黑"/>
          <w:sz w:val="21"/>
          <w:szCs w:val="21"/>
          <w:lang w:val="en-US" w:eastAsia="zh-CN"/>
        </w:rPr>
        <w:t>，如图9 。</w:t>
      </w:r>
    </w:p>
    <w:p w14:paraId="5DCFA23C">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0" distR="0">
            <wp:extent cx="5221605" cy="2280285"/>
            <wp:effectExtent l="0" t="0" r="17145"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cstate="print"/>
                    <a:stretch>
                      <a:fillRect/>
                    </a:stretch>
                  </pic:blipFill>
                  <pic:spPr>
                    <a:xfrm>
                      <a:off x="0" y="0"/>
                      <a:ext cx="5221605" cy="2280285"/>
                    </a:xfrm>
                    <a:prstGeom prst="rect">
                      <a:avLst/>
                    </a:prstGeom>
                  </pic:spPr>
                </pic:pic>
              </a:graphicData>
            </a:graphic>
          </wp:inline>
        </w:drawing>
      </w:r>
    </w:p>
    <w:p w14:paraId="4F92BB35">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图9 锯齿状息肉癌变途径</w:t>
      </w:r>
    </w:p>
    <w:p w14:paraId="3F46C74D">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lang w:val="en-US" w:eastAsia="zh-CN"/>
        </w:rPr>
        <w:t>[71]</w:t>
      </w:r>
      <w:r>
        <w:rPr>
          <w:rFonts w:hint="eastAsia" w:ascii="微软雅黑" w:hAnsi="微软雅黑" w:cs="微软雅黑"/>
          <w:sz w:val="21"/>
          <w:szCs w:val="21"/>
          <w:lang w:val="en-US" w:eastAsia="zh-CN"/>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4D4A0AA2">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lang w:val="en-US" w:eastAsia="zh-CN"/>
        </w:rPr>
        <w:t>[72]</w:t>
      </w:r>
      <w:r>
        <w:rPr>
          <w:rFonts w:hint="eastAsia" w:ascii="微软雅黑" w:hAnsi="微软雅黑" w:cs="微软雅黑"/>
          <w:sz w:val="21"/>
          <w:szCs w:val="21"/>
          <w:lang w:val="en-US" w:eastAsia="zh-CN"/>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lang w:val="en-US" w:eastAsia="zh-CN"/>
        </w:rPr>
        <w:t>[73]</w:t>
      </w:r>
      <w:r>
        <w:rPr>
          <w:rFonts w:hint="eastAsia" w:ascii="微软雅黑" w:hAnsi="微软雅黑" w:cs="微软雅黑"/>
          <w:sz w:val="21"/>
          <w:szCs w:val="21"/>
          <w:lang w:val="en-US" w:eastAsia="zh-CN"/>
        </w:rPr>
        <w:t>。另一项研究中，40例MSI-H或免疫组织化学dMMR的结直肠癌患者，抗PD-1单抗的ORR达52％，而在与Lynch综合征相关和无关的肿瘤中，ORR</w:t>
      </w:r>
      <w:r>
        <w:rPr>
          <w:rFonts w:hint="eastAsia" w:ascii="微软雅黑" w:hAnsi="微软雅黑" w:cs="微软雅黑"/>
          <w:sz w:val="21"/>
          <w:szCs w:val="21"/>
          <w:highlight w:val="none"/>
          <w:lang w:val="en-US" w:eastAsia="zh-CN"/>
        </w:rPr>
        <w:t>差</w:t>
      </w:r>
      <w:r>
        <w:rPr>
          <w:rFonts w:hint="eastAsia" w:ascii="微软雅黑" w:hAnsi="微软雅黑" w:cs="微软雅黑"/>
          <w:sz w:val="21"/>
          <w:szCs w:val="21"/>
          <w:lang w:val="en-US" w:eastAsia="zh-CN"/>
        </w:rPr>
        <w:t>异无统计学意义（46％vs59％，Ｐ=0.27）</w:t>
      </w:r>
      <w:r>
        <w:rPr>
          <w:rFonts w:hint="eastAsia" w:ascii="微软雅黑" w:hAnsi="微软雅黑" w:cs="微软雅黑"/>
          <w:sz w:val="21"/>
          <w:szCs w:val="21"/>
          <w:vertAlign w:val="superscript"/>
          <w:lang w:val="en-US" w:eastAsia="zh-CN"/>
        </w:rPr>
        <w:t>[74]</w:t>
      </w:r>
      <w:r>
        <w:rPr>
          <w:rFonts w:hint="eastAsia" w:ascii="微软雅黑" w:hAnsi="微软雅黑" w:cs="微软雅黑"/>
          <w:sz w:val="21"/>
          <w:szCs w:val="21"/>
          <w:lang w:val="en-US" w:eastAsia="zh-CN"/>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lang w:val="en-US" w:eastAsia="zh-CN"/>
        </w:rPr>
        <w:t>[75]</w:t>
      </w:r>
      <w:r>
        <w:rPr>
          <w:rFonts w:hint="eastAsia" w:ascii="微软雅黑" w:hAnsi="微软雅黑" w:cs="微软雅黑"/>
          <w:sz w:val="21"/>
          <w:szCs w:val="21"/>
          <w:lang w:val="en-US" w:eastAsia="zh-CN"/>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34819CD5">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4853305" cy="3787140"/>
            <wp:effectExtent l="0" t="0" r="4445" b="381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36"/>
                    <a:stretch>
                      <a:fillRect/>
                    </a:stretch>
                  </pic:blipFill>
                  <pic:spPr>
                    <a:xfrm>
                      <a:off x="0" y="0"/>
                      <a:ext cx="4853305" cy="3787140"/>
                    </a:xfrm>
                    <a:prstGeom prst="rect">
                      <a:avLst/>
                    </a:prstGeom>
                    <a:noFill/>
                    <a:ln>
                      <a:noFill/>
                    </a:ln>
                  </pic:spPr>
                </pic:pic>
              </a:graphicData>
            </a:graphic>
          </wp:inline>
        </w:drawing>
      </w:r>
    </w:p>
    <w:p w14:paraId="29C76040">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default" w:ascii="微软雅黑" w:hAnsi="微软雅黑" w:cs="微软雅黑"/>
          <w:sz w:val="20"/>
          <w:szCs w:val="20"/>
          <w:lang w:val="en-US" w:eastAsia="zh-CN"/>
        </w:rPr>
      </w:pPr>
      <w:r>
        <w:rPr>
          <w:rFonts w:hint="eastAsia" w:ascii="微软雅黑" w:hAnsi="微软雅黑" w:cs="微软雅黑"/>
          <w:sz w:val="20"/>
          <w:szCs w:val="20"/>
          <w:lang w:val="en-US" w:eastAsia="zh-CN"/>
        </w:rPr>
        <w:t>图10 dMMR或MSI-H阳性肿瘤患者中免疫检查点抑制剂作用机制</w:t>
      </w:r>
      <w:r>
        <w:rPr>
          <w:rFonts w:hint="eastAsia" w:ascii="微软雅黑" w:hAnsi="微软雅黑" w:cs="微软雅黑"/>
          <w:sz w:val="20"/>
          <w:szCs w:val="20"/>
          <w:vertAlign w:val="superscript"/>
          <w:lang w:val="en-US" w:eastAsia="zh-CN"/>
        </w:rPr>
        <w:t>[72]</w:t>
      </w:r>
    </w:p>
    <w:p w14:paraId="1D6D4FAF">
      <w:pPr>
        <w:keepNext w:val="0"/>
        <w:keepLines w:val="0"/>
        <w:pageBreakBefore w:val="0"/>
        <w:widowControl/>
        <w:kinsoku/>
        <w:wordWrap/>
        <w:overflowPunct/>
        <w:topLinePunct w:val="0"/>
        <w:autoSpaceDE/>
        <w:autoSpaceDN/>
        <w:bidi w:val="0"/>
        <w:adjustRightInd w:val="0"/>
        <w:snapToGrid w:val="0"/>
        <w:ind w:left="0" w:leftChars="0" w:firstLine="0" w:firstLineChars="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4.4.5.2  POLE基因突变</w:t>
      </w:r>
    </w:p>
    <w:p w14:paraId="3CB0D81E">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研究表明，在高突变型转移性结直肠癌（mCRC）中，75%的患者为高度微卫星不稳定</w:t>
      </w:r>
      <w:bookmarkStart w:id="259" w:name="OLE_LINK22"/>
      <w:bookmarkStart w:id="260" w:name="OLE_LINK21"/>
      <w:r>
        <w:rPr>
          <w:rFonts w:hint="eastAsia" w:ascii="微软雅黑" w:hAnsi="微软雅黑" w:cs="微软雅黑"/>
          <w:sz w:val="21"/>
          <w:szCs w:val="21"/>
          <w:lang w:val="en-US" w:eastAsia="zh-CN"/>
        </w:rPr>
        <w:t>（microsatellite instability-high，MSI-H）</w:t>
      </w:r>
      <w:bookmarkEnd w:id="259"/>
      <w:bookmarkEnd w:id="260"/>
      <w:r>
        <w:rPr>
          <w:rFonts w:hint="eastAsia" w:ascii="微软雅黑" w:hAnsi="微软雅黑" w:cs="微软雅黑"/>
          <w:sz w:val="21"/>
          <w:szCs w:val="21"/>
          <w:lang w:val="en-US" w:eastAsia="zh-CN"/>
        </w:rPr>
        <w:t>，其余患者的高突变负荷主要与POLE基因突变相关</w:t>
      </w:r>
      <w:r>
        <w:rPr>
          <w:rFonts w:hint="eastAsia" w:ascii="微软雅黑" w:hAnsi="微软雅黑" w:cs="微软雅黑"/>
          <w:sz w:val="21"/>
          <w:szCs w:val="21"/>
          <w:vertAlign w:val="superscript"/>
          <w:lang w:val="en-US" w:eastAsia="zh-CN"/>
        </w:rPr>
        <w:t>[76]</w:t>
      </w:r>
      <w:r>
        <w:rPr>
          <w:rFonts w:hint="eastAsia" w:ascii="微软雅黑" w:hAnsi="微软雅黑" w:cs="微软雅黑"/>
          <w:sz w:val="21"/>
          <w:szCs w:val="21"/>
          <w:lang w:val="en-US" w:eastAsia="zh-CN"/>
        </w:rPr>
        <w:t>。</w:t>
      </w:r>
    </w:p>
    <w:p w14:paraId="135E0FE9">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lang w:val="en-US" w:eastAsia="zh-CN"/>
        </w:rPr>
        <w:t>[77]</w:t>
      </w:r>
      <w:r>
        <w:rPr>
          <w:rFonts w:hint="eastAsia" w:ascii="微软雅黑" w:hAnsi="微软雅黑" w:cs="微软雅黑"/>
          <w:sz w:val="21"/>
          <w:szCs w:val="21"/>
          <w:lang w:val="en-US" w:eastAsia="zh-CN"/>
        </w:rPr>
        <w:t>。</w:t>
      </w:r>
    </w:p>
    <w:p w14:paraId="203CE8A5">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lang w:val="en-US" w:eastAsia="zh-CN"/>
        </w:rPr>
        <w:t>[78-80]</w:t>
      </w:r>
      <w:r>
        <w:rPr>
          <w:rFonts w:hint="eastAsia" w:ascii="微软雅黑" w:hAnsi="微软雅黑" w:cs="微软雅黑"/>
          <w:sz w:val="21"/>
          <w:szCs w:val="21"/>
          <w:lang w:val="en-US" w:eastAsia="zh-CN"/>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lang w:val="en-US" w:eastAsia="zh-CN"/>
        </w:rPr>
        <w:t>[81，82]</w:t>
      </w:r>
      <w:r>
        <w:rPr>
          <w:rFonts w:hint="eastAsia" w:ascii="微软雅黑" w:hAnsi="微软雅黑" w:cs="微软雅黑"/>
          <w:sz w:val="21"/>
          <w:szCs w:val="21"/>
          <w:vertAlign w:val="baseline"/>
          <w:lang w:val="en-US" w:eastAsia="zh-CN"/>
        </w:rPr>
        <w:t>。</w:t>
      </w:r>
      <w:r>
        <w:rPr>
          <w:rFonts w:hint="eastAsia" w:ascii="微软雅黑" w:hAnsi="微软雅黑" w:cs="微软雅黑"/>
          <w:sz w:val="21"/>
          <w:szCs w:val="21"/>
          <w:lang w:val="en-US" w:eastAsia="zh-CN"/>
        </w:rPr>
        <w:t>子宫内膜癌病理研究表明，POLE突变也是免疫检查点抑制剂的预测标志物</w:t>
      </w:r>
      <w:r>
        <w:rPr>
          <w:rFonts w:hint="eastAsia" w:ascii="微软雅黑" w:hAnsi="微软雅黑" w:cs="微软雅黑"/>
          <w:sz w:val="21"/>
          <w:szCs w:val="21"/>
          <w:vertAlign w:val="superscript"/>
          <w:lang w:val="en-US" w:eastAsia="zh-CN"/>
        </w:rPr>
        <w:t>[83-85]</w:t>
      </w:r>
      <w:r>
        <w:rPr>
          <w:rFonts w:hint="eastAsia" w:ascii="微软雅黑" w:hAnsi="微软雅黑" w:cs="微软雅黑"/>
          <w:sz w:val="21"/>
          <w:szCs w:val="21"/>
          <w:lang w:val="en-US" w:eastAsia="zh-CN"/>
        </w:rPr>
        <w:t>。目前，三项抗PD-L1免疫检查点抑制剂在POLE突变的CRC中的临床获益相关临床试验在研（NCT03435107、NCT03150706、NCT03827044）。</w:t>
      </w:r>
    </w:p>
    <w:p w14:paraId="7F50F078">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drawing>
          <wp:inline distT="0" distB="0" distL="114300" distR="114300">
            <wp:extent cx="4732655" cy="4027170"/>
            <wp:effectExtent l="0" t="0" r="10795"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37"/>
                    <a:stretch>
                      <a:fillRect/>
                    </a:stretch>
                  </pic:blipFill>
                  <pic:spPr>
                    <a:xfrm>
                      <a:off x="0" y="0"/>
                      <a:ext cx="4732655" cy="4027170"/>
                    </a:xfrm>
                    <a:prstGeom prst="rect">
                      <a:avLst/>
                    </a:prstGeom>
                    <a:noFill/>
                    <a:ln>
                      <a:noFill/>
                    </a:ln>
                  </pic:spPr>
                </pic:pic>
              </a:graphicData>
            </a:graphic>
          </wp:inline>
        </w:drawing>
      </w:r>
    </w:p>
    <w:p w14:paraId="3D9E7C36">
      <w:pPr>
        <w:keepNext w:val="0"/>
        <w:keepLines w:val="0"/>
        <w:pageBreakBefore w:val="0"/>
        <w:widowControl/>
        <w:kinsoku/>
        <w:wordWrap/>
        <w:overflowPunct/>
        <w:topLinePunct w:val="0"/>
        <w:autoSpaceDE/>
        <w:autoSpaceDN/>
        <w:bidi w:val="0"/>
        <w:adjustRightInd w:val="0"/>
        <w:snapToGrid w:val="0"/>
        <w:ind w:firstLine="400" w:firstLineChars="200"/>
        <w:jc w:val="center"/>
        <w:textAlignment w:val="auto"/>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图11 免疫检查点抑制剂在不同类型结直肠癌中疗效预估</w:t>
      </w:r>
      <w:r>
        <w:rPr>
          <w:rFonts w:hint="eastAsia" w:ascii="微软雅黑" w:hAnsi="微软雅黑" w:cs="微软雅黑"/>
          <w:sz w:val="20"/>
          <w:szCs w:val="20"/>
          <w:vertAlign w:val="superscript"/>
          <w:lang w:val="en-US" w:eastAsia="zh-CN"/>
        </w:rPr>
        <w:t>[86]</w:t>
      </w:r>
    </w:p>
    <w:p w14:paraId="447C0397">
      <w:pPr>
        <w:ind w:left="0" w:leftChars="0" w:firstLine="0" w:firstLineChars="0"/>
        <w:jc w:val="both"/>
        <w:rPr>
          <w:rFonts w:hint="eastAsia"/>
          <w:b/>
          <w:bCs/>
          <w:lang w:val="en-US" w:eastAsia="zh-CN"/>
        </w:rPr>
      </w:pPr>
      <w:r>
        <w:rPr>
          <w:rFonts w:hint="eastAsia"/>
          <w:b/>
          <w:bCs/>
          <w:lang w:val="en-US" w:eastAsia="zh-CN"/>
        </w:rPr>
        <w:t>5、结论</w:t>
      </w:r>
    </w:p>
    <w:p w14:paraId="27BDEA40">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szCs w:val="21"/>
          <w:lang w:val="en-US" w:eastAsia="zh-CN"/>
        </w:rPr>
      </w:pPr>
      <w:r>
        <w:rPr>
          <w:rFonts w:hint="eastAsia" w:ascii="微软雅黑" w:hAnsi="微软雅黑" w:cs="微软雅黑"/>
          <w:sz w:val="21"/>
          <w:szCs w:val="21"/>
          <w:lang w:val="en-US" w:eastAsia="zh-CN"/>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7FC1CD9B">
      <w:pPr>
        <w:numPr>
          <w:ilvl w:val="0"/>
          <w:numId w:val="0"/>
        </w:numPr>
        <w:autoSpaceDE w:val="0"/>
        <w:autoSpaceDN w:val="0"/>
        <w:spacing w:after="0" w:line="312" w:lineRule="auto"/>
        <w:jc w:val="both"/>
        <w:rPr>
          <w:rFonts w:hint="default" w:ascii="微软雅黑" w:hAnsi="微软雅黑" w:cs="微软雅黑"/>
          <w:b w:val="0"/>
          <w:bCs w:val="0"/>
          <w:sz w:val="21"/>
          <w:szCs w:val="21"/>
          <w:lang w:val="en-US" w:eastAsia="zh-CN"/>
        </w:rPr>
      </w:pPr>
    </w:p>
    <w:p w14:paraId="3E8C3A26">
      <w:pPr>
        <w:keepNext w:val="0"/>
        <w:keepLines w:val="0"/>
        <w:pageBreakBefore w:val="0"/>
        <w:widowControl/>
        <w:kinsoku/>
        <w:wordWrap/>
        <w:overflowPunct/>
        <w:topLinePunct w:val="0"/>
        <w:autoSpaceDE/>
        <w:autoSpaceDN/>
        <w:bidi w:val="0"/>
        <w:adjustRightInd w:val="0"/>
        <w:snapToGrid w:val="0"/>
        <w:ind w:firstLine="440" w:firstLineChars="200"/>
        <w:jc w:val="center"/>
        <w:textAlignment w:val="auto"/>
        <w:rPr>
          <w:rFonts w:hint="default"/>
          <w:lang w:val="en-US" w:eastAsia="zh-CN"/>
        </w:rPr>
      </w:pPr>
    </w:p>
    <w:p w14:paraId="6A862201">
      <w:pPr>
        <w:keepNext w:val="0"/>
        <w:keepLines w:val="0"/>
        <w:pageBreakBefore w:val="0"/>
        <w:widowControl/>
        <w:kinsoku/>
        <w:wordWrap/>
        <w:overflowPunct/>
        <w:topLinePunct w:val="0"/>
        <w:autoSpaceDE/>
        <w:autoSpaceDN/>
        <w:bidi w:val="0"/>
        <w:adjustRightInd w:val="0"/>
        <w:snapToGrid w:val="0"/>
        <w:ind w:firstLine="440" w:firstLineChars="200"/>
        <w:jc w:val="both"/>
        <w:textAlignment w:val="auto"/>
        <w:rPr>
          <w:rFonts w:hint="eastAsia"/>
          <w:lang w:val="en-US" w:eastAsia="zh-CN"/>
        </w:rPr>
      </w:pPr>
    </w:p>
    <w:p w14:paraId="2BD0D6D0">
      <w:pPr>
        <w:keepNext w:val="0"/>
        <w:keepLines w:val="0"/>
        <w:pageBreakBefore w:val="0"/>
        <w:widowControl/>
        <w:kinsoku/>
        <w:wordWrap/>
        <w:overflowPunct/>
        <w:topLinePunct w:val="0"/>
        <w:autoSpaceDE/>
        <w:autoSpaceDN/>
        <w:bidi w:val="0"/>
        <w:adjustRightInd w:val="0"/>
        <w:snapToGrid w:val="0"/>
        <w:jc w:val="both"/>
        <w:textAlignment w:val="auto"/>
        <w:rPr>
          <w:rFonts w:hint="eastAsia" w:ascii="微软雅黑" w:hAnsi="微软雅黑" w:cs="微软雅黑"/>
          <w:b/>
          <w:bCs/>
          <w:sz w:val="21"/>
          <w:szCs w:val="21"/>
        </w:rPr>
      </w:pPr>
      <w:r>
        <w:rPr>
          <w:rFonts w:hint="eastAsia" w:ascii="微软雅黑" w:hAnsi="微软雅黑" w:cs="微软雅黑"/>
          <w:b/>
          <w:bCs/>
          <w:sz w:val="21"/>
          <w:szCs w:val="21"/>
        </w:rPr>
        <w:br w:type="page"/>
      </w:r>
    </w:p>
    <w:p w14:paraId="677E3192">
      <w:pPr>
        <w:ind w:left="0" w:leftChars="0" w:firstLine="0" w:firstLineChars="0"/>
        <w:jc w:val="both"/>
        <w:rPr>
          <w:rFonts w:hint="eastAsia"/>
          <w:b/>
          <w:bCs/>
          <w:lang w:val="en-US" w:eastAsia="zh-CN"/>
        </w:rPr>
      </w:pPr>
      <w:r>
        <w:rPr>
          <w:rFonts w:hint="eastAsia"/>
          <w:b/>
          <w:bCs/>
          <w:lang w:val="en-US" w:eastAsia="zh-CN"/>
        </w:rPr>
        <w:t>参考文献：</w:t>
      </w:r>
    </w:p>
    <w:p w14:paraId="0FC3C32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eastAsia" w:hAnsi="Calibri" w:cs="Calibri" w:asciiTheme="minorAscii"/>
          <w:sz w:val="20"/>
          <w:szCs w:val="20"/>
        </w:rPr>
        <w:t>Weitz J, Koch M, Debus J,</w:t>
      </w:r>
      <w:r>
        <w:rPr>
          <w:rFonts w:hint="eastAsia" w:hAnsi="Calibri" w:cs="Calibri" w:asciiTheme="minorAscii"/>
          <w:sz w:val="20"/>
          <w:szCs w:val="20"/>
          <w:lang w:val="en-US" w:eastAsia="zh-CN"/>
        </w:rPr>
        <w:t xml:space="preserve"> et al</w:t>
      </w:r>
      <w:r>
        <w:rPr>
          <w:rFonts w:hint="eastAsia" w:hAnsi="Calibri" w:cs="Calibri" w:asciiTheme="minorAscii"/>
          <w:sz w:val="20"/>
          <w:szCs w:val="20"/>
        </w:rPr>
        <w:t>. Colorectal cancer.[J]. Lancet, 2004, 365(9454):153-165.</w:t>
      </w:r>
    </w:p>
    <w:p w14:paraId="2C550AE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eastAsia" w:hAnsi="Calibri" w:cs="Calibri" w:asciiTheme="minorAscii"/>
          <w:sz w:val="20"/>
          <w:szCs w:val="20"/>
        </w:rPr>
        <w:t>GBD 2013 Mortality and Causes of Death Collaborators</w:t>
      </w:r>
      <w:r>
        <w:rPr>
          <w:rFonts w:hint="eastAsia" w:hAnsi="Calibri" w:cs="Calibri" w:asciiTheme="minorAscii"/>
          <w:sz w:val="20"/>
          <w:szCs w:val="20"/>
          <w:lang w:val="en-US" w:eastAsia="zh-CN"/>
        </w:rPr>
        <w:t>.Global, regional, and national age-sex specific all-cause and cause-specific mortality for 240 causes of death, 1990-2013: a systematic analysis for the Global Burden of Disease Study 2013.Lancet,2015 Jan 10,385(9963):117-71.</w:t>
      </w:r>
    </w:p>
    <w:p w14:paraId="40C6D51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Kuipers E J , Grady W M , Lieberman D , et al. Colorectal cancer.[J]. Nature Reviews Disease Primers, 2015, 1:15065.</w:t>
      </w:r>
    </w:p>
    <w:p w14:paraId="68D2518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Walker D P , Rogier D J . European guidelines for quality assurance in colorectal cancer screening and diagnosis: Overview and introduction to the full Supplement publication[J]. Endoscopy, 2012, 44 Suppl 3(S 03):SE131.</w:t>
      </w:r>
    </w:p>
    <w:p w14:paraId="64EF5F9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Ervik, M，Soerjomataram, I，Ferlay, J</w:t>
      </w:r>
      <w:r>
        <w:rPr>
          <w:rFonts w:hint="eastAsia" w:hAnsi="Calibri" w:cs="Calibri" w:asciiTheme="minorAscii"/>
          <w:sz w:val="20"/>
          <w:szCs w:val="20"/>
          <w:lang w:val="en-US" w:eastAsia="zh-CN"/>
        </w:rPr>
        <w:t>.</w:t>
      </w:r>
      <w:r>
        <w:rPr>
          <w:rFonts w:hint="eastAsia" w:hAnsi="Calibri" w:cs="Calibri" w:asciiTheme="minorAscii"/>
          <w:sz w:val="20"/>
          <w:szCs w:val="20"/>
        </w:rPr>
        <w:t>,</w:t>
      </w:r>
      <w:r>
        <w:rPr>
          <w:rFonts w:hint="eastAsia" w:hAnsi="Calibri" w:cs="Calibri" w:asciiTheme="minorAscii"/>
          <w:sz w:val="20"/>
          <w:szCs w:val="20"/>
          <w:lang w:val="en-US" w:eastAsia="zh-CN"/>
        </w:rPr>
        <w:t xml:space="preserve"> et al</w:t>
      </w:r>
      <w:r>
        <w:rPr>
          <w:rFonts w:hint="eastAsia" w:hAnsi="Calibri" w:cs="Calibri" w:asciiTheme="minorAscii"/>
          <w:sz w:val="20"/>
          <w:szCs w:val="20"/>
        </w:rPr>
        <w:t>.GLOBOCAN 2012 Estimated Cancer Incidence, Mortality and Prevalence Worldwide in 2012</w:t>
      </w:r>
      <w:r>
        <w:rPr>
          <w:rFonts w:hint="eastAsia" w:hAnsi="Calibri" w:cs="Calibri" w:asciiTheme="minorAscii"/>
          <w:sz w:val="20"/>
          <w:szCs w:val="20"/>
          <w:lang w:val="en-US" w:eastAsia="zh-CN"/>
        </w:rPr>
        <w:t>.[online], http://globocan.iarc.fr/Default.aspx (2015).</w:t>
      </w:r>
    </w:p>
    <w:p w14:paraId="54322B5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Lier M G F V , Leenen C H M , Wagner A , et al. Yield of routine molecular analyses in colorectal cancer patients ≤70 years to detect underlying Lynch syndrome[J]. Journal of Pathology, 2012, 226(5):764-774.</w:t>
      </w:r>
    </w:p>
    <w:p w14:paraId="2F57C47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Jess T , Rungoe C , Peyrin–Biroulet, Laurent. Risk of Colorectal Cancer in Patients With Ulcerative Colitis: A Meta-analysis of Population-Based Cohort Studies[J]. Clinical Gastroenterology &amp; Hepatology, 2012, 10(6):639-645.</w:t>
      </w:r>
    </w:p>
    <w:p w14:paraId="79D1D11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Jess T , Simonsen J , J?Rgensen K T , et al. Decreasing risk of colorectal cancer in patients with inflammatory bowel disease over 30 years.[J]. Gastroenterology, 2012, 143(2):375-381.e1.</w:t>
      </w:r>
    </w:p>
    <w:p w14:paraId="06AF8FF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Calibri" w:cs="Calibri" w:asciiTheme="minorAscii"/>
          <w:sz w:val="20"/>
          <w:szCs w:val="20"/>
        </w:rPr>
        <w:t>Haraldsdottir S, Hampel H, Tomsic J, et al. Colon and endometrial cancers with mismatch repair deficiency can arise from somatic, rather than germline, mutations[J]. Gastroenterology, 2014, 147(6):1308-1316.e1.</w:t>
      </w:r>
    </w:p>
    <w:p w14:paraId="3259484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Perez-Carbonell L , Ruiz-Ponte C , Guarinos C , et al. Comparison between universal molecular screening for Lynch syndrome and revised Bethesda guidelines in a large population-based cohort of patients with colorectal cancer[J]. Gut, 2012, 61(6):865.</w:t>
      </w:r>
    </w:p>
    <w:p w14:paraId="0841D74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Casta?O-Milla C , Chaparro M , Gisbert J P . Systematic review with meta-analysis: the declining risk of colorectal cancer in ulcerative colitis.[J]. Aliment Pharmacol Ther, 2014, 39(7):645-659.</w:t>
      </w:r>
    </w:p>
    <w:p w14:paraId="03ADF39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Half EE, Bresalier RS. Clinical management of hereditary colorectal cancer syndromes.[J]. Current Opinion in Gastroenterology, 2015, 20(2):88.</w:t>
      </w:r>
    </w:p>
    <w:p w14:paraId="1DC539F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微软雅黑" w:eastAsia="微软雅黑" w:cs="微软雅黑" w:asciiTheme="minorAscii"/>
          <w:i w:val="0"/>
          <w:caps w:val="0"/>
          <w:color w:val="000000"/>
          <w:spacing w:val="0"/>
          <w:sz w:val="20"/>
          <w:szCs w:val="20"/>
          <w:shd w:val="clear" w:fill="FFFFFF"/>
        </w:rPr>
        <w:t>Herrinton L J , Liu L , Levin T R , et al. Incidence and Mortality of Colorectal Adenocarcinoma in Persons With Inflammatory Bowel Disease From 1998 to 2010[J]. Gastroenterology, 2012, 143(2):382-389.</w:t>
      </w:r>
    </w:p>
    <w:p w14:paraId="7F5FBB6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World Cancer Research Fund/American Institute for Cancer Research. Continuous update project report. Food, nutrition, physical activity, and the prevention of colorectal cancer. Diet and Cancer Report [online]</w:t>
      </w:r>
    </w:p>
    <w:p w14:paraId="6DEC07E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微软雅黑" w:eastAsia="微软雅黑" w:cs="微软雅黑" w:asciiTheme="minorAscii"/>
          <w:i w:val="0"/>
          <w:caps w:val="0"/>
          <w:color w:val="000000"/>
          <w:spacing w:val="0"/>
          <w:sz w:val="20"/>
          <w:szCs w:val="20"/>
          <w:shd w:val="clear" w:fill="FFFFFF"/>
        </w:rPr>
        <w:t>Guraya S Y . Association of type 2 diabetes mellitus and the risk ofcolorectal cancer: A meta-analysis and systematic review[J]. 世界胃肠病学杂志:英文版(电子版), 2015(19):6026-6031.</w:t>
      </w:r>
    </w:p>
    <w:p w14:paraId="7F2322C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 Fedirko, I Tramacere, V Bagnardi , et al.Alcohol drinking and colorectal cancer risk: an overall and dose-response meta-analysis of published studies</w:t>
      </w:r>
      <w:r>
        <w:rPr>
          <w:rFonts w:hint="eastAsia" w:hAnsi="Calibri" w:cs="Calibri" w:asciiTheme="minorAscii"/>
          <w:sz w:val="20"/>
          <w:szCs w:val="20"/>
          <w:lang w:val="en-US" w:eastAsia="zh-CN"/>
        </w:rPr>
        <w:t>.Ann Oncol. 2011 Sep;22(9):1958-1972.</w:t>
      </w:r>
    </w:p>
    <w:p w14:paraId="6936932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Heike U Krämer</w:t>
      </w:r>
      <w:r>
        <w:rPr>
          <w:rFonts w:hint="eastAsia" w:hAnsi="Calibri" w:cs="Calibri" w:asciiTheme="minorAscii"/>
          <w:sz w:val="20"/>
          <w:szCs w:val="20"/>
          <w:lang w:val="en-US" w:eastAsia="zh-CN"/>
        </w:rPr>
        <w:t>,</w:t>
      </w:r>
      <w:r>
        <w:rPr>
          <w:rFonts w:hint="eastAsia" w:hAnsi="Calibri" w:cs="Calibri" w:asciiTheme="minorAscii"/>
          <w:sz w:val="20"/>
          <w:szCs w:val="20"/>
        </w:rPr>
        <w:t>, Ben Schöttker, Elke Raum,</w:t>
      </w:r>
      <w:r>
        <w:rPr>
          <w:rFonts w:hint="eastAsia" w:hAnsi="Calibri" w:cs="Calibri" w:asciiTheme="minorAscii"/>
          <w:sz w:val="20"/>
          <w:szCs w:val="20"/>
          <w:lang w:val="en-US" w:eastAsia="zh-CN"/>
        </w:rPr>
        <w:t xml:space="preserve"> </w:t>
      </w:r>
      <w:r>
        <w:rPr>
          <w:rFonts w:hint="eastAsia" w:hAnsi="Calibri" w:cs="Calibri" w:asciiTheme="minorAscii"/>
          <w:sz w:val="20"/>
          <w:szCs w:val="20"/>
        </w:rPr>
        <w:t>et al.Type 2 diabetes mellitus and colorectal cancer: meta-analysis on sex-specific differences</w:t>
      </w:r>
      <w:r>
        <w:rPr>
          <w:rFonts w:hint="eastAsia" w:hAnsi="Calibri" w:cs="Calibri" w:asciiTheme="minorAscii"/>
          <w:sz w:val="20"/>
          <w:szCs w:val="20"/>
          <w:lang w:val="en-US" w:eastAsia="zh-CN"/>
        </w:rPr>
        <w:t xml:space="preserve">.Eur J Cancer. 2012 Jun;48(9):1269-82. </w:t>
      </w:r>
    </w:p>
    <w:p w14:paraId="214DB0B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Nakatsu G , Li X , Zhou H , et al. Gut mucosal microbiome across stages of colorectal carcinogenesis[J]. Nature Communications, 2015, 6:8727.</w:t>
      </w:r>
    </w:p>
    <w:p w14:paraId="72D573B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Helvetica" w:eastAsia="Helvetica" w:cs="Helvetica" w:asciiTheme="minorAscii"/>
          <w:i w:val="0"/>
          <w:caps w:val="0"/>
          <w:color w:val="000000"/>
          <w:spacing w:val="0"/>
          <w:sz w:val="20"/>
          <w:szCs w:val="20"/>
          <w:shd w:val="clear" w:fill="FFFFFF"/>
        </w:rPr>
        <w:t>Arem H , Moore S C , Park Y , et al. Physical activity and cancer-specific mortality in the N</w:t>
      </w:r>
      <w:r>
        <w:rPr>
          <w:rFonts w:hint="eastAsia" w:hAnsi="Calibri" w:cs="Calibri" w:asciiTheme="minorAscii"/>
          <w:sz w:val="20"/>
          <w:szCs w:val="20"/>
        </w:rPr>
        <w:t>IH-AARP Diet and Health Study cohort[J]. International Journal of Cancer, 2014, 135(2):423-431.</w:t>
      </w:r>
    </w:p>
    <w:p w14:paraId="1A1E618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fldChar w:fldCharType="begin"/>
      </w:r>
      <w:r>
        <w:rPr>
          <w:rFonts w:hint="eastAsia" w:hAnsi="Calibri" w:cs="Calibri" w:asciiTheme="minorAscii"/>
          <w:sz w:val="20"/>
          <w:szCs w:val="20"/>
        </w:rPr>
        <w:instrText xml:space="preserve"> HYPERLINK "https://pubmed.ncbi.nlm.nih.gov/?term=Algra+AM&amp;cauthor_id=22440112" </w:instrText>
      </w:r>
      <w:r>
        <w:rPr>
          <w:rFonts w:hint="eastAsia" w:hAnsi="Calibri" w:cs="Calibri" w:asciiTheme="minorAscii"/>
          <w:sz w:val="20"/>
          <w:szCs w:val="20"/>
        </w:rPr>
        <w:fldChar w:fldCharType="separate"/>
      </w:r>
      <w:r>
        <w:rPr>
          <w:rFonts w:hint="default" w:hAnsi="Calibri" w:cs="Calibri" w:asciiTheme="minorAscii"/>
          <w:sz w:val="20"/>
          <w:szCs w:val="20"/>
        </w:rPr>
        <w:t>Annemijn M Algra</w:t>
      </w:r>
      <w:r>
        <w:rPr>
          <w:rFonts w:hint="default" w:hAnsi="Calibri" w:cs="Calibri" w:asciiTheme="minorAscii"/>
          <w:sz w:val="20"/>
          <w:szCs w:val="20"/>
        </w:rPr>
        <w:fldChar w:fldCharType="end"/>
      </w:r>
      <w:r>
        <w:rPr>
          <w:rFonts w:hint="default" w:hAnsi="Calibri" w:cs="Calibri" w:asciiTheme="minorAscii"/>
          <w:sz w:val="20"/>
          <w:szCs w:val="20"/>
        </w:rPr>
        <w:t> , </w:t>
      </w:r>
      <w:r>
        <w:rPr>
          <w:rFonts w:hint="default" w:hAnsi="Calibri" w:cs="Calibri" w:asciiTheme="minorAscii"/>
          <w:sz w:val="20"/>
          <w:szCs w:val="20"/>
        </w:rPr>
        <w:fldChar w:fldCharType="begin"/>
      </w:r>
      <w:r>
        <w:rPr>
          <w:rFonts w:hint="default" w:hAnsi="Calibri" w:cs="Calibri" w:asciiTheme="minorAscii"/>
          <w:sz w:val="20"/>
          <w:szCs w:val="20"/>
        </w:rPr>
        <w:instrText xml:space="preserve"> HYPERLINK "https://pubmed.ncbi.nlm.nih.gov/?term=Rothwell+PM&amp;cauthor_id=22440112" </w:instrText>
      </w:r>
      <w:r>
        <w:rPr>
          <w:rFonts w:hint="default" w:hAnsi="Calibri" w:cs="Calibri" w:asciiTheme="minorAscii"/>
          <w:sz w:val="20"/>
          <w:szCs w:val="20"/>
        </w:rPr>
        <w:fldChar w:fldCharType="separate"/>
      </w:r>
      <w:r>
        <w:rPr>
          <w:rFonts w:hint="default" w:hAnsi="Calibri" w:cs="Calibri" w:asciiTheme="minorAscii"/>
          <w:sz w:val="20"/>
          <w:szCs w:val="20"/>
        </w:rPr>
        <w:t>Peter M Rothwell</w:t>
      </w:r>
      <w:r>
        <w:rPr>
          <w:rFonts w:hint="default" w:hAnsi="Calibri" w:cs="Calibri" w:asciiTheme="minorAscii"/>
          <w:sz w:val="20"/>
          <w:szCs w:val="20"/>
        </w:rPr>
        <w:fldChar w:fldCharType="end"/>
      </w:r>
      <w:r>
        <w:rPr>
          <w:rFonts w:hint="eastAsia" w:hAnsi="Calibri" w:cs="Calibri" w:asciiTheme="minorAscii"/>
          <w:sz w:val="20"/>
          <w:szCs w:val="20"/>
          <w:lang w:val="en-US" w:eastAsia="zh-CN"/>
        </w:rPr>
        <w:t xml:space="preserve">.Effects of regular aspirin on long-term cancer incidence and metastasis: a systematic comparison of evidence from observational studies versus randomised trials.Lancet Oncol.2012 May;13(5):518-27. </w:t>
      </w:r>
    </w:p>
    <w:p w14:paraId="3DD37F6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Mismatch repair deficiency predicts response of solid tumors to PD-1 blockade[J]. ence, 2017, 357(6349):409.</w:t>
      </w:r>
    </w:p>
    <w:p w14:paraId="7763A73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Engeland M V , Derks S , Smits K M , et al. Colorectal Cancer Epigenetics: Complex Simplicity[J]. Journal of Clinical Oncology, 2011, 29(10):1382-1391.</w:t>
      </w:r>
    </w:p>
    <w:p w14:paraId="585DB06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Goldstein N S . Serrated Pathway and APC (Conventional)-Type Colorectal PolypsMolecular-Morphologic Correlations, Genetic Pathways, and Implications for Classification[J]. American Journal of Clinical Pathology(1):146-153.</w:t>
      </w:r>
    </w:p>
    <w:p w14:paraId="1F725BE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Loree J M , Pereira A A , Lam M , et al. Classifying colorectal cancer by tumor location rather than sidedness highlights a continuum in mutation profiles and Consensus Molecular Subtypes.[J]. Clinical Cancer Research, 2017:clincanres.2484.2017.</w:t>
      </w:r>
    </w:p>
    <w:p w14:paraId="20F4D74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31E0143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Cancer Genome Atlas Network. Comprehensive molecular characterization of human colon and rectal cancer[J]. Nature, 2012,487(7407): 330-337.</w:t>
      </w:r>
    </w:p>
    <w:p w14:paraId="1E01F29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Starr, T. K</w:t>
      </w:r>
      <w:r>
        <w:rPr>
          <w:rFonts w:hint="eastAsia" w:hAnsi="Calibri" w:cs="Calibri" w:asciiTheme="minorAscii"/>
          <w:sz w:val="20"/>
          <w:szCs w:val="20"/>
          <w:lang w:val="en-US" w:eastAsia="zh-CN"/>
        </w:rPr>
        <w:t xml:space="preserve">, Raha A, Kevin A T S, </w:t>
      </w:r>
      <w:r>
        <w:rPr>
          <w:rFonts w:hint="eastAsia" w:hAnsi="Calibri" w:cs="Calibri" w:asciiTheme="minorAscii"/>
          <w:sz w:val="20"/>
          <w:szCs w:val="20"/>
        </w:rPr>
        <w:t>et al. A transposon-based genetic screen in mice identifies genes altered in colorectal cancer. Science 323, 1747–1750 (2009).</w:t>
      </w:r>
    </w:p>
    <w:p w14:paraId="7CBFAD8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Kim, Y.-H</w:t>
      </w:r>
      <w:r>
        <w:rPr>
          <w:rFonts w:hint="eastAsia" w:hAnsi="Calibri" w:cs="Calibri" w:asciiTheme="minorAscii"/>
          <w:sz w:val="20"/>
          <w:szCs w:val="20"/>
          <w:lang w:val="en-US" w:eastAsia="zh-CN"/>
        </w:rPr>
        <w:t>, Petko Z, Dzieciatkowski S</w:t>
      </w:r>
      <w:r>
        <w:rPr>
          <w:rFonts w:hint="eastAsia" w:hAnsi="Calibri" w:cs="Calibri" w:asciiTheme="minorAscii"/>
          <w:sz w:val="20"/>
          <w:szCs w:val="20"/>
        </w:rPr>
        <w:t xml:space="preserve">. et al. CpG island methylation of genes accumulates during the adenoma progression step of the multistep pathogenesis of colorectal cancer.2006 Aug;45(8):781-9. </w:t>
      </w:r>
    </w:p>
    <w:p w14:paraId="1D6544A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Worthley D L , Whitehall V L J , Buttenshaw R L , et al. DNA methylation within the normal colorectal mucosa is associated with pathway-specific predisposition to cancer[J]. Oncogene, 2010.</w:t>
      </w:r>
    </w:p>
    <w:p w14:paraId="6253CDF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Yamauchi</w:t>
      </w:r>
      <w:r>
        <w:rPr>
          <w:rFonts w:hint="eastAsia" w:hAnsi="Calibri" w:cs="Calibri" w:asciiTheme="minorAscii"/>
          <w:sz w:val="20"/>
          <w:szCs w:val="20"/>
          <w:lang w:val="en-US" w:eastAsia="zh-CN"/>
        </w:rPr>
        <w:t xml:space="preserve"> </w:t>
      </w:r>
      <w:r>
        <w:rPr>
          <w:rFonts w:hint="eastAsia" w:hAnsi="Calibri" w:cs="Calibri" w:asciiTheme="minorAscii"/>
          <w:sz w:val="20"/>
          <w:szCs w:val="20"/>
        </w:rPr>
        <w:t>M</w:t>
      </w:r>
      <w:r>
        <w:rPr>
          <w:rFonts w:hint="eastAsia" w:hAnsi="Calibri" w:cs="Calibri" w:asciiTheme="minorAscii"/>
          <w:sz w:val="20"/>
          <w:szCs w:val="20"/>
          <w:lang w:val="en-US" w:eastAsia="zh-CN"/>
        </w:rPr>
        <w:t>,</w:t>
      </w:r>
      <w:r>
        <w:rPr>
          <w:rFonts w:hint="eastAsia" w:hAnsi="Calibri" w:cs="Calibri" w:asciiTheme="minorAscii"/>
          <w:sz w:val="20"/>
          <w:szCs w:val="20"/>
        </w:rPr>
        <w:t>Morikawa</w:t>
      </w:r>
      <w:r>
        <w:rPr>
          <w:rFonts w:hint="eastAsia" w:hAnsi="Calibri" w:cs="Calibri" w:asciiTheme="minorAscii"/>
          <w:sz w:val="20"/>
          <w:szCs w:val="20"/>
          <w:lang w:val="en-US" w:eastAsia="zh-CN"/>
        </w:rPr>
        <w:t xml:space="preserve"> T</w:t>
      </w:r>
      <w:r>
        <w:rPr>
          <w:rFonts w:hint="eastAsia" w:hAnsi="Calibri" w:cs="Calibri" w:asciiTheme="minorAscii"/>
          <w:sz w:val="20"/>
          <w:szCs w:val="20"/>
        </w:rPr>
        <w:t>, Kuchiba</w:t>
      </w:r>
      <w:r>
        <w:rPr>
          <w:rFonts w:hint="eastAsia" w:hAnsi="Calibri" w:cs="Calibri" w:asciiTheme="minorAscii"/>
          <w:sz w:val="20"/>
          <w:szCs w:val="20"/>
          <w:lang w:val="en-US" w:eastAsia="zh-CN"/>
        </w:rPr>
        <w:t xml:space="preserve"> A, </w:t>
      </w:r>
      <w:r>
        <w:rPr>
          <w:rFonts w:hint="eastAsia" w:hAnsi="Calibri" w:cs="Calibri" w:asciiTheme="minorAscii"/>
          <w:sz w:val="20"/>
          <w:szCs w:val="20"/>
        </w:rPr>
        <w:t>et al. Assessment of colorectal cancer molecular features along bowel subsites challenges the conception of distinct dichotomy of proximal versus distal colorectum. Gut 61, 847–854 (2012).</w:t>
      </w:r>
    </w:p>
    <w:p w14:paraId="128BF51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Chittenden T W , Howe E A , Culhane A C , et al. Functional classification analysis of somatically mutated genes in human breast and colorectal cancers[J]. Genomics, 2008, 91(6):508-511.</w:t>
      </w:r>
    </w:p>
    <w:p w14:paraId="3F83FB3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Spada C , Hassan C , Marmo R , et al. Meta-analysis Shows Colon Capsule Endoscopy Is Effective in Detecting Colorectal Polyps[J]. Clin Gastroenterol Hepatol, 2010, 8(6):516-522.e8.</w:t>
      </w:r>
    </w:p>
    <w:p w14:paraId="4EE4FF3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Spada C , Hassan C , Barbaro B , et al. Colon capsule versus CT colonography in patients with incomplete colonoscopy: a prospective, comparative trial[J]. Gut, 2015, 64(2):272-81.</w:t>
      </w:r>
    </w:p>
    <w:p w14:paraId="7913660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Kenneth, W, Kinzler,</w:t>
      </w:r>
      <w:r>
        <w:rPr>
          <w:rFonts w:hint="eastAsia" w:hAnsi="Calibri" w:cs="Calibri" w:asciiTheme="minorAscii"/>
          <w:sz w:val="20"/>
          <w:szCs w:val="20"/>
          <w:lang w:val="en-US" w:eastAsia="zh-CN"/>
        </w:rPr>
        <w:t xml:space="preserve"> </w:t>
      </w:r>
      <w:r>
        <w:rPr>
          <w:rFonts w:hint="eastAsia" w:hAnsi="Calibri" w:cs="Calibri" w:asciiTheme="minorAscii"/>
          <w:sz w:val="20"/>
          <w:szCs w:val="20"/>
        </w:rPr>
        <w:t>et al. Lessons from Hereditary Colorectal Cancer[J]. Cell, 1996.</w:t>
      </w:r>
    </w:p>
    <w:p w14:paraId="0476C63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Ahlquist, D. A</w:t>
      </w:r>
      <w:r>
        <w:rPr>
          <w:rFonts w:hint="eastAsia" w:hAnsi="Calibri" w:cs="Calibri" w:asciiTheme="minorAscii"/>
          <w:sz w:val="20"/>
          <w:szCs w:val="20"/>
          <w:lang w:val="en-US" w:eastAsia="zh-CN"/>
        </w:rPr>
        <w:t>, Sargent D J , Loprinzi C L,</w:t>
      </w:r>
      <w:r>
        <w:rPr>
          <w:rFonts w:hint="eastAsia" w:hAnsi="Calibri" w:cs="Calibri" w:asciiTheme="minorAscii"/>
          <w:sz w:val="20"/>
          <w:szCs w:val="20"/>
        </w:rPr>
        <w:t xml:space="preserve"> et al. Stool DNA and occult blood testing for screen detection of colorectal neoplasia. Ann. Intern. Med. 149, 441–450 (2008).</w:t>
      </w:r>
    </w:p>
    <w:p w14:paraId="0C8F178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Pages F , Mlecnik B , Marliot F , et al. International validation of the consensus Immunoscore for the classification of colon cancer: a prognostic and accuracy study[J]. Lancet (London, England).</w:t>
      </w:r>
    </w:p>
    <w:p w14:paraId="63A1409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Mismatch repair deficiency predicts response of solid tumors to PD-1 blockade[J]. ence, 2017, 357(6349):409.</w:t>
      </w:r>
    </w:p>
    <w:p w14:paraId="3D14B64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Quirke P , West N P , Nagtegaal I D . EURECCA consensus conference highlights about colorectal cancer clinical management: the pathologists expert review[J]. Virchows Archiv, 2014, 464(2):129-134.</w:t>
      </w:r>
    </w:p>
    <w:p w14:paraId="67D8E6E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864040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Graaf E J R D , Doornebosch P G , Tollenaar R A E M , et al. Transanal endoscopic microsurgery versus total mesorectal excision of T1 rectal adenocarcinomas with curative intention[J]. European Journal of Surgical Oncology, 2009, 35(12):1280-1285.</w:t>
      </w:r>
    </w:p>
    <w:p w14:paraId="55F9819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7D88A03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Karim, M, Ramji, et al. Comparison of clinical and economic outcomes between robotic, laparoscopic, and open rectal cancer surgery: early experience at a tertiary care center[J]. Surgical Endoscopy, 2016.</w:t>
      </w:r>
    </w:p>
    <w:p w14:paraId="0C221F7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Habr-Gama A , Perez R O , Juli?O G P S , et al. Nonoperative Approaches to Rectal Cancer: A Critical Evaluation[J]. Seminars in Radiation Oncology, 2011, 21(3):234-239.</w:t>
      </w:r>
    </w:p>
    <w:p w14:paraId="562DA0C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Amado R G , Wolf M , Peeters M , et al. Wild-Type KRAS Is Required for Panitumumab Efficacy in Patients With Metastatic Colorectal Cancer[J]. Journal of Clinical Oncology, 2008, 26(10):1626-1634.</w:t>
      </w:r>
    </w:p>
    <w:p w14:paraId="65B8DB7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Willett, C. G</w:t>
      </w:r>
      <w:r>
        <w:rPr>
          <w:rFonts w:hint="eastAsia" w:hAnsi="Calibri" w:cs="Calibri" w:asciiTheme="minorAscii"/>
          <w:sz w:val="20"/>
          <w:szCs w:val="20"/>
          <w:lang w:eastAsia="zh-CN"/>
        </w:rPr>
        <w:t>，</w:t>
      </w:r>
      <w:r>
        <w:rPr>
          <w:rFonts w:hint="eastAsia" w:hAnsi="Calibri" w:cs="Calibri" w:asciiTheme="minorAscii"/>
          <w:sz w:val="20"/>
          <w:szCs w:val="20"/>
        </w:rPr>
        <w:t>Boucher</w:t>
      </w:r>
      <w:r>
        <w:rPr>
          <w:rFonts w:hint="eastAsia" w:hAnsi="Calibri" w:cs="Calibri" w:asciiTheme="minorAscii"/>
          <w:sz w:val="20"/>
          <w:szCs w:val="20"/>
          <w:lang w:val="en-US" w:eastAsia="zh-CN"/>
        </w:rPr>
        <w:t xml:space="preserve"> </w:t>
      </w:r>
      <w:r>
        <w:rPr>
          <w:rFonts w:hint="eastAsia" w:hAnsi="Calibri" w:cs="Calibri" w:asciiTheme="minorAscii"/>
          <w:sz w:val="20"/>
          <w:szCs w:val="20"/>
        </w:rPr>
        <w:t>Y, Tomaso E</w:t>
      </w:r>
      <w:r>
        <w:rPr>
          <w:rFonts w:hint="eastAsia" w:hAnsi="Calibri" w:cs="Calibri" w:asciiTheme="minorAscii"/>
          <w:sz w:val="20"/>
          <w:szCs w:val="20"/>
          <w:lang w:val="en-US" w:eastAsia="zh-CN"/>
        </w:rPr>
        <w:t xml:space="preserve"> </w:t>
      </w:r>
      <w:r>
        <w:rPr>
          <w:rFonts w:hint="eastAsia" w:hAnsi="Calibri" w:cs="Calibri" w:asciiTheme="minorAscii"/>
          <w:sz w:val="20"/>
          <w:szCs w:val="20"/>
        </w:rPr>
        <w:t>d,</w:t>
      </w:r>
      <w:r>
        <w:rPr>
          <w:rFonts w:hint="eastAsia" w:hAnsi="Calibri" w:cs="Calibri" w:asciiTheme="minorAscii"/>
          <w:sz w:val="20"/>
          <w:szCs w:val="20"/>
          <w:lang w:val="en-US" w:eastAsia="zh-CN"/>
        </w:rPr>
        <w:t xml:space="preserve"> </w:t>
      </w:r>
      <w:r>
        <w:rPr>
          <w:rFonts w:hint="eastAsia" w:hAnsi="Calibri" w:cs="Calibri" w:asciiTheme="minorAscii"/>
          <w:sz w:val="20"/>
          <w:szCs w:val="20"/>
        </w:rPr>
        <w:t>et al. Direct evidence that the VEGF</w:t>
      </w:r>
      <w:r>
        <w:rPr>
          <w:rFonts w:hint="eastAsia" w:hAnsi="Calibri" w:cs="Calibri" w:asciiTheme="minorAscii"/>
          <w:sz w:val="20"/>
          <w:szCs w:val="20"/>
          <w:lang w:val="en-US" w:eastAsia="zh-CN"/>
        </w:rPr>
        <w:t xml:space="preserve"> </w:t>
      </w:r>
      <w:r>
        <w:rPr>
          <w:rFonts w:hint="eastAsia" w:hAnsi="Calibri" w:cs="Calibri" w:asciiTheme="minorAscii"/>
          <w:sz w:val="20"/>
          <w:szCs w:val="20"/>
        </w:rPr>
        <w:t>specific antibody bevacizumab has antivascular effects in human rectal cancer. Nat. Med. 10, 145–147 (2004).</w:t>
      </w:r>
    </w:p>
    <w:p w14:paraId="261628B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Henricks LM, Lunenburg CATC, de Man FM, et al. DPYD</w:t>
      </w:r>
      <w:r>
        <w:rPr>
          <w:rFonts w:hint="eastAsia" w:hAnsi="Calibri" w:cs="Calibri" w:asciiTheme="minorAscii"/>
          <w:sz w:val="20"/>
          <w:szCs w:val="20"/>
          <w:lang w:val="en-US" w:eastAsia="zh-CN"/>
        </w:rPr>
        <w:t xml:space="preserve"> </w:t>
      </w:r>
      <w:r>
        <w:rPr>
          <w:rFonts w:hint="eastAsia" w:hAnsi="Calibri" w:cs="Calibri" w:asciiTheme="minorAscii"/>
          <w:sz w:val="20"/>
          <w:szCs w:val="20"/>
        </w:rPr>
        <w:t>genotype-guided dose individualisation of fluoropyrimidine therapy in patients with cancer: a prospective safety analysis. Lancet Oncol</w:t>
      </w:r>
      <w:r>
        <w:rPr>
          <w:rFonts w:hint="eastAsia" w:hAnsi="Calibri" w:cs="Calibri" w:asciiTheme="minorAscii"/>
          <w:sz w:val="20"/>
          <w:szCs w:val="20"/>
          <w:lang w:val="en-US" w:eastAsia="zh-CN"/>
        </w:rPr>
        <w:t xml:space="preserve"> </w:t>
      </w:r>
      <w:r>
        <w:rPr>
          <w:rFonts w:hint="eastAsia" w:hAnsi="Calibri" w:cs="Calibri" w:asciiTheme="minorAscii"/>
          <w:sz w:val="20"/>
          <w:szCs w:val="20"/>
        </w:rPr>
        <w:t>2018; 19: 1459–67</w:t>
      </w:r>
    </w:p>
    <w:p w14:paraId="660FDEF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4706BAD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Pages F , Mlecnik B , Marliot F , et al. International validation of the consensus Immunoscore for the classification of colon cancer: a prognostic and accuracy study[J]. Lancet. 2018 May 26;391(10135):2128-2139.</w:t>
      </w:r>
    </w:p>
    <w:p w14:paraId="03DB161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1A98951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Grothey A , Sobrero A F , Shields A F , et al. Duration of adjuvant chemotherapy for stage III colon cancer[J]. N Engl J Med, 2018, PP(13):1177-1188.</w:t>
      </w:r>
    </w:p>
    <w:p w14:paraId="1D4D173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75BA864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Arnold D, Lueza B, Douillard JY, et al. Prognostic and predictive value</w:t>
      </w:r>
      <w:r>
        <w:rPr>
          <w:rFonts w:hint="eastAsia" w:hAnsi="Calibri" w:cs="Calibri" w:asciiTheme="minorAscii"/>
          <w:sz w:val="20"/>
          <w:szCs w:val="20"/>
          <w:lang w:val="en-US" w:eastAsia="zh-CN"/>
        </w:rPr>
        <w:t xml:space="preserve"> </w:t>
      </w:r>
      <w:r>
        <w:rPr>
          <w:rFonts w:hint="eastAsia" w:hAnsi="Calibri" w:cs="Calibri" w:asciiTheme="minorAscii"/>
          <w:sz w:val="20"/>
          <w:szCs w:val="20"/>
        </w:rPr>
        <w:t>of primary tumour side in patients with RAS wild-type metastatic colorectal cancer treated with chemotherapy and EGFR directed antibodies in six randomized trials. Ann Oncol 2017; 28: 1713–29.</w:t>
      </w:r>
    </w:p>
    <w:p w14:paraId="6CFDE7F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Bokemeyer C, Bondarenko I, Makhson A, et al. Fluorouracil,leucovorin, and oxaliplatin with and without cetuximab in the first-line treatment of metastatic colorectal cancer. J Clin Oncol 2009; 27: 663–71.</w:t>
      </w:r>
    </w:p>
    <w:p w14:paraId="405A00DA">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Pietrantonio F, Petrelli F, Coinu A, et al. Predictive role of BRAF</w:t>
      </w:r>
      <w:r>
        <w:rPr>
          <w:rFonts w:hint="eastAsia" w:hAnsi="Calibri" w:cs="Calibri" w:asciiTheme="minorAscii"/>
          <w:sz w:val="20"/>
          <w:szCs w:val="20"/>
          <w:lang w:val="en-US" w:eastAsia="zh-CN"/>
        </w:rPr>
        <w:t xml:space="preserve"> </w:t>
      </w:r>
      <w:r>
        <w:rPr>
          <w:rFonts w:hint="eastAsia" w:hAnsi="Calibri" w:cs="Calibri" w:asciiTheme="minorAscii"/>
          <w:sz w:val="20"/>
          <w:szCs w:val="20"/>
        </w:rPr>
        <w:t>mutations in patients with advanced colorectal cancer receiving cetuximab and panitumumab: a meta-analysis. Eur J Cancer 2015; 51: 587–94</w:t>
      </w:r>
    </w:p>
    <w:p w14:paraId="53798A6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0C86223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Van Cutsem, E</w:t>
      </w:r>
      <w:r>
        <w:rPr>
          <w:rFonts w:hint="eastAsia" w:hAnsi="Calibri" w:cs="Calibri" w:asciiTheme="minorAscii"/>
          <w:sz w:val="20"/>
          <w:szCs w:val="20"/>
          <w:lang w:val="en-US" w:eastAsia="zh-CN"/>
        </w:rPr>
        <w:t xml:space="preserve">, </w:t>
      </w:r>
      <w:r>
        <w:rPr>
          <w:rFonts w:hint="eastAsia" w:hAnsi="Calibri" w:cs="Calibri" w:asciiTheme="minorAscii"/>
          <w:sz w:val="20"/>
          <w:szCs w:val="20"/>
        </w:rPr>
        <w:fldChar w:fldCharType="begin"/>
      </w:r>
      <w:r>
        <w:rPr>
          <w:rFonts w:hint="eastAsia" w:hAnsi="Calibri" w:cs="Calibri" w:asciiTheme="minorAscii"/>
          <w:sz w:val="20"/>
          <w:szCs w:val="20"/>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rPr>
        <w:fldChar w:fldCharType="separate"/>
      </w:r>
      <w:r>
        <w:rPr>
          <w:rFonts w:hint="eastAsia" w:hAnsi="Calibri" w:cs="Calibri" w:asciiTheme="minorAscii"/>
          <w:sz w:val="20"/>
          <w:szCs w:val="20"/>
        </w:rPr>
        <w:t>Tabernero, J.</w:t>
      </w:r>
      <w:r>
        <w:rPr>
          <w:rFonts w:hint="eastAsia" w:hAnsi="Calibri" w:cs="Calibri" w:asciiTheme="minorAscii"/>
          <w:sz w:val="20"/>
          <w:szCs w:val="20"/>
        </w:rPr>
        <w:fldChar w:fldCharType="end"/>
      </w:r>
      <w:r>
        <w:rPr>
          <w:rFonts w:hint="eastAsia" w:hAnsi="Calibri" w:cs="Calibri" w:asciiTheme="minorAscii"/>
          <w:sz w:val="20"/>
          <w:szCs w:val="20"/>
          <w:lang w:val="en-US" w:eastAsia="zh-CN"/>
        </w:rPr>
        <w:t xml:space="preserve">, </w:t>
      </w:r>
      <w:r>
        <w:rPr>
          <w:rFonts w:hint="eastAsia" w:hAnsi="Calibri" w:cs="Calibri" w:asciiTheme="minorAscii"/>
          <w:sz w:val="20"/>
          <w:szCs w:val="20"/>
        </w:rPr>
        <w:fldChar w:fldCharType="begin"/>
      </w:r>
      <w:r>
        <w:rPr>
          <w:rFonts w:hint="eastAsia" w:hAnsi="Calibri" w:cs="Calibri" w:asciiTheme="minorAscii"/>
          <w:sz w:val="20"/>
          <w:szCs w:val="20"/>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rPr>
        <w:fldChar w:fldCharType="separate"/>
      </w:r>
      <w:r>
        <w:rPr>
          <w:rFonts w:hint="eastAsia" w:hAnsi="Calibri" w:cs="Calibri" w:asciiTheme="minorAscii"/>
          <w:sz w:val="20"/>
          <w:szCs w:val="20"/>
        </w:rPr>
        <w:t>Lakomy, R.</w:t>
      </w:r>
      <w:r>
        <w:rPr>
          <w:rFonts w:hint="eastAsia" w:hAnsi="Calibri" w:cs="Calibri" w:asciiTheme="minorAscii"/>
          <w:sz w:val="20"/>
          <w:szCs w:val="20"/>
        </w:rPr>
        <w:fldChar w:fldCharType="end"/>
      </w:r>
      <w:r>
        <w:rPr>
          <w:rFonts w:hint="eastAsia" w:hAnsi="Calibri" w:cs="Calibri" w:asciiTheme="minorAscii"/>
          <w:sz w:val="20"/>
          <w:szCs w:val="20"/>
          <w:lang w:val="en-US" w:eastAsia="zh-CN"/>
        </w:rPr>
        <w:t xml:space="preserve">, </w:t>
      </w:r>
      <w:r>
        <w:rPr>
          <w:rFonts w:hint="eastAsia" w:hAnsi="Calibri" w:cs="Calibri" w:asciiTheme="minorAscii"/>
          <w:sz w:val="20"/>
          <w:szCs w:val="20"/>
        </w:rPr>
        <w:t>et al. Addition of aflibercept to fluorouracil, leucovorin, and irinotecan improves survival in a Phase III randomized trial in patients with metastatic colorectal cancer previously treated with an oxaliplatin-based regimen. J. Clin. Oncol. 30, 3499–3506 (2012).</w:t>
      </w:r>
    </w:p>
    <w:p w14:paraId="74BDB05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Helvetica" w:eastAsia="Helvetica" w:cs="Helvetica" w:asciiTheme="minorAscii"/>
          <w:i w:val="0"/>
          <w:caps w:val="0"/>
          <w:color w:val="000000"/>
          <w:spacing w:val="0"/>
          <w:sz w:val="20"/>
          <w:szCs w:val="20"/>
          <w:shd w:val="clear" w:fill="FFFFFF"/>
        </w:rPr>
        <w:t>Tomlinson J S , Jarnagin W R , Dematteo R P , et al. Actual 10-year survival after resection of colorectal liver metastases defines cure.[J]. Journal of Clinical Oncology, 2007, 25(29):4575-4580.</w:t>
      </w:r>
    </w:p>
    <w:p w14:paraId="645C918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lang w:val="en-US" w:eastAsia="zh-CN"/>
        </w:rPr>
        <w:t>A</w:t>
      </w:r>
      <w:r>
        <w:rPr>
          <w:rFonts w:hint="eastAsia" w:hAnsi="Calibri" w:cs="Calibri" w:asciiTheme="minorAscii"/>
          <w:sz w:val="20"/>
          <w:szCs w:val="20"/>
        </w:rPr>
        <w:t>yez</w:t>
      </w:r>
      <w:r>
        <w:rPr>
          <w:rFonts w:hint="eastAsia" w:hAnsi="Calibri" w:cs="Calibri" w:asciiTheme="minorAscii"/>
          <w:sz w:val="20"/>
          <w:szCs w:val="20"/>
          <w:lang w:val="en-US" w:eastAsia="zh-CN"/>
        </w:rPr>
        <w:t xml:space="preserve"> </w:t>
      </w:r>
      <w:r>
        <w:rPr>
          <w:rFonts w:hint="eastAsia" w:hAnsi="Calibri" w:cs="Calibri" w:asciiTheme="minorAscii"/>
          <w:sz w:val="20"/>
          <w:szCs w:val="20"/>
        </w:rPr>
        <w:t>N</w:t>
      </w:r>
      <w:r>
        <w:rPr>
          <w:rFonts w:hint="eastAsia" w:hAnsi="Calibri" w:cs="Calibri" w:asciiTheme="minorAscii"/>
          <w:sz w:val="20"/>
          <w:szCs w:val="20"/>
          <w:lang w:val="en-US" w:eastAsia="zh-CN"/>
        </w:rPr>
        <w:t xml:space="preserve">,Lalmahomed Z S，Eggermont A M M , </w:t>
      </w:r>
      <w:r>
        <w:rPr>
          <w:rFonts w:hint="eastAsia" w:hAnsi="Calibri" w:cs="Calibri" w:asciiTheme="minorAscii"/>
          <w:sz w:val="20"/>
          <w:szCs w:val="20"/>
        </w:rPr>
        <w:t>et al. Outcome of microscopic incomplete resection (R1) of colorectal liver metastases in the era of neoadjuvant chemotherapy. Ann. Surg. Oncol. 19, 1618–1627 (2012).</w:t>
      </w:r>
    </w:p>
    <w:p w14:paraId="4D48966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Heinemann, V</w:t>
      </w:r>
      <w:r>
        <w:rPr>
          <w:rFonts w:hint="eastAsia" w:hAnsi="Calibri" w:cs="Calibri" w:asciiTheme="minorAscii"/>
          <w:sz w:val="20"/>
          <w:szCs w:val="20"/>
          <w:lang w:val="en-US" w:eastAsia="zh-CN"/>
        </w:rPr>
        <w:t>,von Weikersthal LF, Decker T,</w:t>
      </w:r>
      <w:r>
        <w:rPr>
          <w:rFonts w:hint="eastAsia" w:hAnsi="Calibri" w:cs="Calibri" w:asciiTheme="minorAscii"/>
          <w:sz w:val="20"/>
          <w:szCs w:val="20"/>
        </w:rPr>
        <w:t xml:space="preserve"> et al. FOLFIRI plus cetuximab versus FOLFIRI plus bevacizumab as first-line treatment for patients with metastatic colorectal cancer (FIRE-3): a randomised, open-label, phase 3 trial. Lancet Oncol. 15, 1065–1075 (2014).</w:t>
      </w:r>
    </w:p>
    <w:p w14:paraId="343D890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Amarpreet Bhalla, Muhammad Zulfiqar, Martin H. Bluth. Molecular Diagnostics in Colorectal Carcinoma : Advances and Applications for 2018[J]. Clinics in Laboratory Medicine, 2018, 38(2):311-342.</w:t>
      </w:r>
    </w:p>
    <w:p w14:paraId="11E9651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Kanthan R, Senger J L, Kanthan S C. Molecular Events in Primary and Metastatic Colorectal Carcinoma: A Review[J]. Pathology Research International,2012,(2012-5-9), 2012, 2012:597497.</w:t>
      </w:r>
    </w:p>
    <w:p w14:paraId="77A002E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Tan C, Du X. KRAS mutation testing in metastatic colorectal cancer[J]. World Journal of Gastroenterology, 2012, 18(37):5171-5180.</w:t>
      </w:r>
    </w:p>
    <w:p w14:paraId="1251B45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Heinemann V, von Weikersthal L F, Decker T, et al. FOLFIRI plus cetuximab versus FOLFIRI plus bevacizumab as first-line treatment for patients with metastatic colorectal cancer (FIRE-3): a randomised, open-label, phase 3 trial[J]. Lancet Oncology, 2014, 15(10):1065-1075.</w:t>
      </w:r>
    </w:p>
    <w:p w14:paraId="43A39E3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Ma B B, Mo F, Tong J H, et al. Elucidating the prognostic significance of KRAS, NRAS, BRAF and PIK3CA mutations in Chinese patients with metastatic colorectal cancer[J]. Asia Pac J Clin Oncol, 2015, 11(2):160-169.</w:t>
      </w:r>
    </w:p>
    <w:p w14:paraId="3852EEF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Tsuneo I, Yohko H, Fumihiko K,</w:t>
      </w:r>
      <w:r>
        <w:rPr>
          <w:rFonts w:hAnsi="Calibri" w:cs="Calibri" w:asciiTheme="minorAscii"/>
          <w:sz w:val="20"/>
          <w:szCs w:val="20"/>
        </w:rPr>
        <w:t xml:space="preserve"> et al.</w:t>
      </w:r>
      <w:r>
        <w:rPr>
          <w:rFonts w:hint="eastAsia" w:hAnsi="Calibri" w:cs="Calibri" w:asciiTheme="minorAscii"/>
          <w:sz w:val="20"/>
          <w:szCs w:val="20"/>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lang w:val="en-US" w:eastAsia="zh-CN"/>
        </w:rPr>
        <w:t>.Cancer Res. 2004 May 15;64(10):3428-35.</w:t>
      </w:r>
    </w:p>
    <w:p w14:paraId="578F336C">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Siena S, Sartore-Bianchi A, Marsoni S, et al. Targeting the human epidermal growth factor receptor 2 in colorectal cancer. Ann Oncol. 2018;29:1108-1119.</w:t>
      </w:r>
    </w:p>
    <w:p w14:paraId="59794B4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1CCA1C0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int="eastAsia" w:hAnsi="Calibri" w:cs="Calibri" w:asciiTheme="minorAscii"/>
          <w:sz w:val="20"/>
          <w:szCs w:val="20"/>
        </w:rPr>
        <w:t>Pertuzumab plus trastuzumab for HER2-amplified metastatic colorectal cancer (MyPathway): an updated report from a multicentre, open-label, phase 2a, multiple basket study.[J]. The Lancet. Oncology, 2019.</w:t>
      </w:r>
    </w:p>
    <w:p w14:paraId="7107292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Peltomäki P. Deficient DNA mismatch repair: a common etiologic factor for colon cancer.[J]. Human Molecular Genetics, 2001, 10(7):735-740.</w:t>
      </w:r>
    </w:p>
    <w:p w14:paraId="773D4C0B">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eastAsia" w:hAnsi="Calibri" w:cs="Calibri" w:asciiTheme="minorAscii"/>
          <w:sz w:val="20"/>
          <w:szCs w:val="20"/>
        </w:rPr>
      </w:pPr>
      <w:r>
        <w:rPr>
          <w:rFonts w:hAnsi="Calibri" w:cs="Calibri" w:asciiTheme="minorAscii"/>
          <w:sz w:val="20"/>
          <w:szCs w:val="20"/>
        </w:rPr>
        <w:t>Amarpreet Bhalla, Muhammad Zulfiqar, Martin H. Bluth. Molecular Diagnostics in Colorectal Carcinoma : Advances and Applications for 2018[J]. Clinics in Laboratory Medicine, 2018, 38(2):311-342.</w:t>
      </w:r>
    </w:p>
    <w:p w14:paraId="2B3AC03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Palomaki G E, Mcclain M R, Melillo S, et al. EGAPP supplementary evidence review: DNA testing strategies aimed at reducing morbidity and mortality from Lynch syndrome[J]. Genetics in Medicine, 2009, 11(1):42-65.</w:t>
      </w:r>
    </w:p>
    <w:p w14:paraId="47570B15">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微软雅黑" w:eastAsia="微软雅黑" w:cs="微软雅黑" w:asciiTheme="minorAscii"/>
          <w:i w:val="0"/>
          <w:caps w:val="0"/>
          <w:color w:val="000000"/>
          <w:spacing w:val="0"/>
          <w:sz w:val="20"/>
          <w:szCs w:val="20"/>
          <w:shd w:val="clear" w:fill="FFFFFF"/>
        </w:rPr>
        <w:t>Boyiadzis M M , Kirkwood J M , Marshall J L , et al. Significance and implications of FDA approval of pembrolizumab for biomarker-defined disease[J]. Journal for ImmunoTherapy of Cancer, 2018, 6(1):35.</w:t>
      </w:r>
    </w:p>
    <w:p w14:paraId="2C78C84E">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Aparicio T. PD-1 blockade in tumors with mismatch-repair deficiency[J]. New England Journal of Medicine, 2015, 373(20):2509-2520.</w:t>
      </w:r>
    </w:p>
    <w:p w14:paraId="0997C452">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Le D T, Durham J N, Smith K N, et al. Mismatch-repair deficiency predicts response of solid tumors to PD-1 blockade.[J]. Science, 2017, 357(6349):409.</w:t>
      </w:r>
    </w:p>
    <w:p w14:paraId="3A367D5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Overman M J, Mcdermott R, Leach J L, et al. Nivolumab in patients with metastatic DNA mismatch repair-deficient or microsatellite instability-high colorectal cancer (CheckMate 142): an open-label, multicentre, phase 2 study.[J]. Lancet Oncology, 2017, 18(9):1182.</w:t>
      </w:r>
    </w:p>
    <w:p w14:paraId="2DAEFA39">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Link J T, Overman M J. Immunotherapy Progress in Mismatch Repair-Deficient Colorectal Cancer and Future Therapeutic Challenges[J]. Cancer Journal, 2016, 22(3):190.</w:t>
      </w:r>
    </w:p>
    <w:p w14:paraId="4504EFED">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Giannakis M, Shukla S, Mu JX, et al. Comprehensive molecular characterization of colorectal cancer reveals genomic predictors of immune cell infiltrates[J]. Bioorgan Med Chem, 2015, 17(2): 569-575.</w:t>
      </w:r>
    </w:p>
    <w:p w14:paraId="44F03943">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Mehnert J M, Panda A, Hua Z, et al. Immune activation and response to pembrolizumab in POLE-mutant endometrial cancer[J]. Journal of Clinical Investigation, 2016, 126(6):2334.</w:t>
      </w:r>
    </w:p>
    <w:p w14:paraId="7C9EB551">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NA Rizvi, MD Hellmann, A Snyder, et al. Cancer immunology. Mutational landscape determines sensitivity to PD-1 blockade in non-small cell lung cancer.[J]. Science, 2015, 348(6230):124-128.</w:t>
      </w:r>
    </w:p>
    <w:p w14:paraId="19FFD17F">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Ansi="Calibri" w:cs="Calibri" w:asciiTheme="minorAscii"/>
          <w:sz w:val="20"/>
          <w:szCs w:val="20"/>
        </w:rPr>
        <w:t>Domingo E, Freeman-Mills L, Rayner E, et al. Somatic POLE, proofreading domain mutation, immune response, and prognosis in colorectal cancer: a retrospective, pooled biomarker study[J]. Lancet Gastroenterology &amp; Hepatology, 2016, 1(3):207-216.</w:t>
      </w:r>
    </w:p>
    <w:p w14:paraId="5BFB5594">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Calibri" w:cs="Calibri" w:asciiTheme="minorAscii"/>
          <w:sz w:val="20"/>
          <w:szCs w:val="20"/>
          <w:lang w:val="en-US" w:eastAsia="zh-CN"/>
        </w:rPr>
        <w:t xml:space="preserve">Jun G, Chongkai W, Peter PL, </w:t>
      </w:r>
      <w:r>
        <w:rPr>
          <w:rFonts w:hAnsi="Calibri" w:cs="Calibri" w:asciiTheme="minorAscii"/>
          <w:sz w:val="20"/>
          <w:szCs w:val="20"/>
        </w:rPr>
        <w:t>et al.</w:t>
      </w:r>
      <w:r>
        <w:rPr>
          <w:rFonts w:hint="default" w:hAnsi="Calibri" w:cs="Calibri" w:asciiTheme="minorAscii"/>
          <w:sz w:val="20"/>
          <w:szCs w:val="20"/>
          <w:lang w:val="en-US" w:eastAsia="zh-CN"/>
        </w:rPr>
        <w:t> Response to PD-1 blockade in microsatellite stable metastatic colorectal cancer harboring a POLE mutation.</w:t>
      </w:r>
    </w:p>
    <w:p w14:paraId="3CD3AD2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Calibri" w:cs="Calibri" w:asciiTheme="minorAscii"/>
          <w:sz w:val="20"/>
          <w:szCs w:val="20"/>
          <w:lang w:val="en-US" w:eastAsia="zh-CN"/>
        </w:rPr>
        <w:t xml:space="preserve">Wang C, Gong J, Tu TY, </w:t>
      </w:r>
      <w:r>
        <w:rPr>
          <w:rFonts w:hAnsi="Calibri" w:cs="Calibri" w:asciiTheme="minorAscii"/>
          <w:sz w:val="20"/>
          <w:szCs w:val="20"/>
        </w:rPr>
        <w:t>et al.</w:t>
      </w:r>
      <w:r>
        <w:rPr>
          <w:rFonts w:hint="default" w:hAnsi="Calibri" w:cs="Calibri" w:asciiTheme="minorAscii"/>
          <w:sz w:val="20"/>
          <w:szCs w:val="20"/>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lang w:val="en-US" w:eastAsia="zh-CN"/>
        </w:rPr>
        <w:t>.</w:t>
      </w:r>
    </w:p>
    <w:p w14:paraId="14D66E77">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微软雅黑" w:cs="微软雅黑" w:asciiTheme="minorAscii"/>
          <w:sz w:val="20"/>
          <w:szCs w:val="20"/>
          <w:lang w:val="en-US" w:eastAsia="zh-CN"/>
        </w:rPr>
        <w:t>M</w:t>
      </w:r>
      <w:r>
        <w:rPr>
          <w:rFonts w:hint="default" w:hAnsi="Calibri" w:cs="Calibri" w:asciiTheme="minorAscii"/>
          <w:sz w:val="20"/>
          <w:szCs w:val="20"/>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lang w:val="en-US" w:eastAsia="zh-CN"/>
        </w:rPr>
        <w:t xml:space="preserve"> </w:t>
      </w:r>
    </w:p>
    <w:p w14:paraId="4F6F8858">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Ansi="Calibri" w:cs="Calibri" w:asciiTheme="minorAscii"/>
          <w:sz w:val="20"/>
          <w:szCs w:val="20"/>
        </w:rPr>
      </w:pPr>
      <w:r>
        <w:rPr>
          <w:rFonts w:hint="default" w:hAnsi="Calibri" w:cs="Calibri" w:asciiTheme="minorAscii"/>
          <w:sz w:val="20"/>
          <w:szCs w:val="20"/>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lang w:val="en-US" w:eastAsia="zh-CN"/>
        </w:rPr>
        <w:t xml:space="preserve"> 100</w:t>
      </w:r>
      <w:r>
        <w:rPr>
          <w:rFonts w:hint="default" w:hAnsi="Calibri" w:cs="Calibri" w:asciiTheme="minorAscii"/>
          <w:sz w:val="20"/>
          <w:szCs w:val="20"/>
          <w:lang w:val="en-US" w:eastAsia="zh-CN"/>
        </w:rPr>
        <w:t>.</w:t>
      </w:r>
    </w:p>
    <w:p w14:paraId="5AA37CE6">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default" w:hAnsi="Calibri" w:cs="Calibri" w:asciiTheme="minorAscii"/>
          <w:sz w:val="20"/>
          <w:szCs w:val="20"/>
          <w:lang w:val="en-US" w:eastAsia="zh-CN"/>
        </w:rPr>
      </w:pPr>
      <w:r>
        <w:rPr>
          <w:rFonts w:hint="default" w:hAnsi="Calibri" w:cs="Calibri" w:asciiTheme="minorAscii"/>
          <w:sz w:val="20"/>
          <w:szCs w:val="20"/>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7BDB9FD0">
      <w:pPr>
        <w:keepNext w:val="0"/>
        <w:keepLines w:val="0"/>
        <w:pageBreakBefore w:val="0"/>
        <w:widowControl/>
        <w:numPr>
          <w:ilvl w:val="0"/>
          <w:numId w:val="21"/>
        </w:numPr>
        <w:kinsoku/>
        <w:wordWrap/>
        <w:overflowPunct/>
        <w:topLinePunct w:val="0"/>
        <w:autoSpaceDE/>
        <w:autoSpaceDN/>
        <w:bidi w:val="0"/>
        <w:adjustRightInd w:val="0"/>
        <w:snapToGrid w:val="0"/>
        <w:spacing w:after="0" w:line="360" w:lineRule="auto"/>
        <w:ind w:firstLine="0" w:firstLineChars="0"/>
        <w:jc w:val="both"/>
        <w:textAlignment w:val="auto"/>
        <w:rPr>
          <w:rFonts w:hint="default" w:hAnsi="Calibri" w:cs="Calibri" w:asciiTheme="minorAscii"/>
          <w:sz w:val="20"/>
          <w:szCs w:val="20"/>
          <w:lang w:val="en-US" w:eastAsia="zh-CN"/>
        </w:rPr>
      </w:pPr>
      <w:r>
        <w:rPr>
          <w:rFonts w:hint="default" w:hAnsi="Calibri" w:cs="Calibri" w:asciiTheme="minorAscii"/>
          <w:sz w:val="20"/>
          <w:szCs w:val="20"/>
          <w:lang w:val="en-US" w:eastAsia="zh-CN"/>
        </w:rPr>
        <w:t>Picard E , Verschoor C P , Ma G W , et al. Relationships Between Immune Landscapes, Genetic Subtypes and Responses to Immunotherapy in Colorectal Cancer[J]. Frontiers in Immunology, 2020, 11:-.</w:t>
      </w:r>
    </w:p>
    <w:p w14:paraId="3FAD90C7">
      <w:pPr>
        <w:numPr>
          <w:ilvl w:val="0"/>
          <w:numId w:val="21"/>
        </w:numPr>
        <w:spacing w:after="0" w:line="360" w:lineRule="auto"/>
        <w:ind w:firstLine="0" w:firstLineChars="0"/>
        <w:jc w:val="both"/>
        <w:rPr>
          <w:rFonts w:hAnsi="Calibri" w:cs="Calibri" w:asciiTheme="minorAscii"/>
          <w:sz w:val="20"/>
          <w:szCs w:val="20"/>
        </w:rPr>
      </w:pPr>
      <w:r>
        <w:rPr>
          <w:rFonts w:hAnsi="Calibri" w:cs="Calibri" w:asciiTheme="minorAscii"/>
          <w:sz w:val="20"/>
          <w:szCs w:val="20"/>
        </w:rPr>
        <w:t>Booth R A. Minimally invasive biomarkers for detection and staging of colorectal cancer[J]. Cancer Letters, 2007, 249(1):87-96.</w:t>
      </w:r>
    </w:p>
    <w:p w14:paraId="2C3E1DE4">
      <w:pPr>
        <w:numPr>
          <w:ilvl w:val="0"/>
          <w:numId w:val="21"/>
        </w:numPr>
        <w:spacing w:after="0" w:line="360" w:lineRule="auto"/>
        <w:ind w:firstLine="0" w:firstLineChars="0"/>
        <w:jc w:val="both"/>
        <w:rPr>
          <w:rFonts w:hAnsi="Calibri" w:cs="Calibri" w:asciiTheme="minorAscii"/>
          <w:sz w:val="20"/>
          <w:szCs w:val="20"/>
        </w:rPr>
      </w:pPr>
      <w:r>
        <w:rPr>
          <w:rFonts w:hint="eastAsia" w:hAnsi="Calibri" w:cs="Calibri" w:asciiTheme="minorAscii"/>
          <w:sz w:val="20"/>
          <w:szCs w:val="20"/>
        </w:rPr>
        <w:t>Hong D S , Fakih M G , Strickler J H , et al. KRASG12C Inhibition with Sotorasib in Advanced Solid Tumors[J]. New England Journal of Medicine, 2020.</w:t>
      </w:r>
    </w:p>
    <w:p w14:paraId="290C8D26">
      <w:pPr>
        <w:adjustRightInd/>
        <w:snapToGrid/>
        <w:jc w:val="both"/>
        <w:rPr>
          <w:rFonts w:hAnsi="微软雅黑" w:cs="微软雅黑" w:asciiTheme="minorHAnsi"/>
          <w:color w:val="222222"/>
          <w:sz w:val="18"/>
          <w:szCs w:val="18"/>
          <w:shd w:val="clear" w:color="auto" w:fill="FFFFFF"/>
        </w:rPr>
      </w:pPr>
    </w:p>
    <w:p w14:paraId="782C8E6C">
      <w:pPr>
        <w:spacing w:line="312" w:lineRule="auto"/>
        <w:jc w:val="both"/>
        <w:outlineLvl w:val="1"/>
        <w:rPr>
          <w:rFonts w:ascii="微软雅黑" w:hAnsi="微软雅黑"/>
          <w:b/>
          <w:sz w:val="28"/>
          <w:szCs w:val="28"/>
        </w:rPr>
      </w:pPr>
      <w:r>
        <w:rPr>
          <w:rFonts w:hint="eastAsia" w:ascii="微软雅黑" w:hAnsi="微软雅黑"/>
          <w:b/>
          <w:sz w:val="28"/>
          <w:szCs w:val="28"/>
        </w:rPr>
        <w:br w:type="page"/>
      </w:r>
    </w:p>
    <w:p w14:paraId="0CE67180">
      <w:pPr>
        <w:spacing w:line="312" w:lineRule="auto"/>
        <w:jc w:val="both"/>
        <w:outlineLvl w:val="1"/>
        <w:rPr>
          <w:rFonts w:ascii="微软雅黑" w:hAnsi="微软雅黑"/>
          <w:b/>
          <w:sz w:val="24"/>
          <w:szCs w:val="24"/>
        </w:rPr>
      </w:pPr>
      <w:bookmarkStart w:id="261" w:name="_Toc12428"/>
      <w:r>
        <w:rPr>
          <w:rFonts w:hint="eastAsia" w:ascii="微软雅黑" w:hAnsi="微软雅黑"/>
          <w:b/>
          <w:sz w:val="24"/>
          <w:szCs w:val="24"/>
        </w:rPr>
        <w:t>3. 癌症相关信号通路</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44"/>
      <w:bookmarkEnd w:id="245"/>
      <w:bookmarkEnd w:id="246"/>
      <w:bookmarkEnd w:id="247"/>
      <w:bookmarkEnd w:id="248"/>
      <w:bookmarkEnd w:id="249"/>
      <w:bookmarkEnd w:id="250"/>
      <w:bookmarkEnd w:id="251"/>
      <w:bookmarkEnd w:id="252"/>
      <w:bookmarkEnd w:id="253"/>
      <w:bookmarkEnd w:id="254"/>
      <w:bookmarkEnd w:id="261"/>
    </w:p>
    <w:bookmarkEnd w:id="255"/>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0BF7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21C751">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EC48896">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PI3K-Akt-mTOR signaling pathway</w:t>
            </w:r>
          </w:p>
        </w:tc>
      </w:tr>
      <w:tr w14:paraId="2291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F974245">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D58D7FD">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32DD35AB">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ascii="微软雅黑" w:hAnsi="微软雅黑" w:cs="微软雅黑"/>
                <w:kern w:val="2"/>
                <w:sz w:val="18"/>
                <w:szCs w:val="18"/>
              </w:rPr>
              <w:t>（</w:t>
            </w:r>
            <w:r>
              <w:rPr>
                <w:rFonts w:hint="eastAsia" w:ascii="微软雅黑" w:hAnsi="微软雅黑" w:cs="微软雅黑"/>
                <w:kern w:val="2"/>
                <w:sz w:val="18"/>
                <w:szCs w:val="18"/>
              </w:rPr>
              <w:t>如EGF、HGF</w:t>
            </w:r>
            <w:r>
              <w:rPr>
                <w:rFonts w:ascii="微软雅黑" w:hAnsi="微软雅黑" w:cs="微软雅黑"/>
                <w:kern w:val="2"/>
                <w:sz w:val="18"/>
                <w:szCs w:val="18"/>
              </w:rPr>
              <w:t>）</w:t>
            </w:r>
            <w:r>
              <w:rPr>
                <w:rFonts w:hint="eastAsia" w:ascii="微软雅黑" w:hAnsi="微软雅黑" w:cs="微软雅黑"/>
                <w:kern w:val="2"/>
                <w:sz w:val="18"/>
                <w:szCs w:val="18"/>
              </w:rPr>
              <w:t>与受体酪氨酸激酶</w:t>
            </w:r>
            <w:r>
              <w:rPr>
                <w:rFonts w:ascii="微软雅黑" w:hAnsi="微软雅黑" w:cs="微软雅黑"/>
                <w:kern w:val="2"/>
                <w:sz w:val="18"/>
                <w:szCs w:val="18"/>
              </w:rPr>
              <w:t>（</w:t>
            </w:r>
            <w:r>
              <w:rPr>
                <w:rFonts w:hint="eastAsia" w:ascii="微软雅黑" w:hAnsi="微软雅黑" w:cs="微软雅黑"/>
                <w:kern w:val="2"/>
                <w:sz w:val="18"/>
                <w:szCs w:val="18"/>
              </w:rPr>
              <w:t>RTK</w:t>
            </w:r>
            <w:r>
              <w:rPr>
                <w:rFonts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ascii="微软雅黑" w:hAnsi="微软雅黑" w:cs="微软雅黑"/>
                <w:kern w:val="2"/>
                <w:sz w:val="18"/>
                <w:szCs w:val="18"/>
              </w:rPr>
              <w:t>（</w:t>
            </w:r>
            <w:r>
              <w:rPr>
                <w:rFonts w:hint="eastAsia" w:ascii="微软雅黑" w:hAnsi="微软雅黑" w:cs="微软雅黑"/>
                <w:kern w:val="2"/>
                <w:sz w:val="18"/>
                <w:szCs w:val="18"/>
              </w:rPr>
              <w:t>IRS-1</w:t>
            </w:r>
            <w:r>
              <w:rPr>
                <w:rFonts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ascii="微软雅黑" w:hAnsi="微软雅黑" w:cs="微软雅黑"/>
                <w:kern w:val="2"/>
                <w:sz w:val="18"/>
                <w:szCs w:val="18"/>
              </w:rPr>
              <w:t>-</w:t>
            </w:r>
            <w:r>
              <w:rPr>
                <w:rFonts w:hint="eastAsia" w:ascii="微软雅黑" w:hAnsi="微软雅黑" w:cs="微软雅黑"/>
                <w:kern w:val="2"/>
                <w:sz w:val="18"/>
                <w:szCs w:val="18"/>
              </w:rPr>
              <w:t>激酶</w:t>
            </w:r>
            <w:r>
              <w:rPr>
                <w:rFonts w:ascii="微软雅黑" w:hAnsi="微软雅黑" w:cs="微软雅黑"/>
                <w:kern w:val="2"/>
                <w:sz w:val="18"/>
                <w:szCs w:val="18"/>
              </w:rPr>
              <w:t>（</w:t>
            </w:r>
            <w:r>
              <w:rPr>
                <w:rFonts w:hint="eastAsia" w:ascii="微软雅黑" w:hAnsi="微软雅黑" w:cs="微软雅黑"/>
                <w:kern w:val="2"/>
                <w:sz w:val="18"/>
                <w:szCs w:val="18"/>
              </w:rPr>
              <w:t>PI3K</w:t>
            </w:r>
            <w:r>
              <w:rPr>
                <w:rFonts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ascii="微软雅黑" w:hAnsi="微软雅黑" w:cs="微软雅黑"/>
                <w:kern w:val="2"/>
                <w:sz w:val="18"/>
                <w:szCs w:val="18"/>
              </w:rPr>
              <w:t>（</w:t>
            </w:r>
            <w:r>
              <w:rPr>
                <w:rFonts w:hint="eastAsia" w:ascii="微软雅黑" w:hAnsi="微软雅黑" w:cs="微软雅黑"/>
                <w:kern w:val="2"/>
                <w:sz w:val="18"/>
                <w:szCs w:val="18"/>
              </w:rPr>
              <w:t>PIP2</w:t>
            </w:r>
            <w:r>
              <w:rPr>
                <w:rFonts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7B12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7717A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B69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F8CB531">
            <w:pPr>
              <w:spacing w:after="0" w:line="220" w:lineRule="atLeast"/>
              <w:jc w:val="both"/>
              <w:rPr>
                <w:rFonts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603DD12A">
      <w:pPr>
        <w:adjustRightInd/>
        <w:snapToGrid/>
        <w:spacing w:after="0" w:line="240" w:lineRule="atLeast"/>
        <w:outlineLvl w:val="1"/>
        <w:rPr>
          <w:rFonts w:ascii="微软雅黑" w:hAnsi="微软雅黑"/>
          <w:bCs/>
          <w:sz w:val="21"/>
          <w:szCs w:val="21"/>
        </w:rPr>
      </w:pPr>
    </w:p>
    <w:p w14:paraId="3A9C5723">
      <w:pPr>
        <w:adjustRightInd/>
        <w:snapToGrid/>
        <w:spacing w:line="220" w:lineRule="atLeast"/>
        <w:jc w:val="center"/>
        <w:outlineLvl w:val="1"/>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32"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k"/>
                    <pic:cNvPicPr>
                      <a:picLocks noChangeAspect="1"/>
                    </pic:cNvPicPr>
                  </pic:nvPicPr>
                  <pic:blipFill>
                    <a:blip r:embed="rId38" cstate="print"/>
                    <a:stretch>
                      <a:fillRect/>
                    </a:stretch>
                  </pic:blipFill>
                  <pic:spPr>
                    <a:xfrm>
                      <a:off x="0" y="0"/>
                      <a:ext cx="2753360" cy="2493645"/>
                    </a:xfrm>
                    <a:prstGeom prst="rect">
                      <a:avLst/>
                    </a:prstGeom>
                  </pic:spPr>
                </pic:pic>
              </a:graphicData>
            </a:graphic>
          </wp:inline>
        </w:drawing>
      </w:r>
    </w:p>
    <w:p w14:paraId="48092521">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05E025BC">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B6AF6F5">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216C0411">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141F0619">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4E0DF316">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0201A0AE">
      <w:pPr>
        <w:adjustRightInd/>
        <w:snapToGrid/>
        <w:spacing w:line="220" w:lineRule="atLeast"/>
        <w:outlineLvl w:val="1"/>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951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8734124">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D26CB7C">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MAPK/ERK Signaling Pathway</w:t>
            </w:r>
          </w:p>
        </w:tc>
      </w:tr>
      <w:tr w14:paraId="5760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570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16C7940">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6EF92C2B">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ascii="微软雅黑" w:hAnsi="微软雅黑" w:cs="微软雅黑"/>
                <w:kern w:val="2"/>
                <w:sz w:val="18"/>
                <w:szCs w:val="18"/>
              </w:rPr>
              <w:t>。</w:t>
            </w:r>
          </w:p>
        </w:tc>
      </w:tr>
      <w:tr w14:paraId="470D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5DFBF5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C36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085254F">
            <w:pPr>
              <w:widowControl w:val="0"/>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FG</w:t>
            </w:r>
            <w:r>
              <w:rPr>
                <w:rFonts w:ascii="微软雅黑" w:hAnsi="微软雅黑" w:cs="微软雅黑"/>
                <w:color w:val="000000" w:themeColor="text1"/>
                <w:kern w:val="2"/>
                <w:sz w:val="18"/>
                <w:szCs w:val="18"/>
                <w14:textFill>
                  <w14:solidFill>
                    <w14:schemeClr w14:val="tx1"/>
                  </w14:solidFill>
                </w14:textFill>
              </w:rPr>
              <w:t>FR4 KRAS RET A</w:t>
            </w:r>
            <w:r>
              <w:rPr>
                <w:rFonts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7B21E806">
      <w:pPr>
        <w:adjustRightInd/>
        <w:snapToGrid/>
        <w:spacing w:after="0"/>
        <w:outlineLvl w:val="1"/>
        <w:rPr>
          <w:rFonts w:ascii="微软雅黑" w:hAnsi="微软雅黑"/>
          <w:b/>
          <w:sz w:val="24"/>
          <w:szCs w:val="24"/>
        </w:rPr>
      </w:pPr>
    </w:p>
    <w:p w14:paraId="497E4D99">
      <w:pPr>
        <w:adjustRightInd/>
        <w:snapToGrid/>
        <w:spacing w:line="220" w:lineRule="atLeast"/>
        <w:jc w:val="center"/>
        <w:outlineLvl w:val="1"/>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33"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apk"/>
                    <pic:cNvPicPr>
                      <a:picLocks noChangeAspect="1"/>
                    </pic:cNvPicPr>
                  </pic:nvPicPr>
                  <pic:blipFill>
                    <a:blip r:embed="rId39" cstate="print"/>
                    <a:stretch>
                      <a:fillRect/>
                    </a:stretch>
                  </pic:blipFill>
                  <pic:spPr>
                    <a:xfrm>
                      <a:off x="0" y="0"/>
                      <a:ext cx="3298825" cy="3857625"/>
                    </a:xfrm>
                    <a:prstGeom prst="rect">
                      <a:avLst/>
                    </a:prstGeom>
                  </pic:spPr>
                </pic:pic>
              </a:graphicData>
            </a:graphic>
          </wp:inline>
        </w:drawing>
      </w:r>
    </w:p>
    <w:p w14:paraId="04AFDDF3">
      <w:pPr>
        <w:adjustRightInd/>
        <w:snapToGrid/>
        <w:spacing w:line="220" w:lineRule="atLeast"/>
        <w:jc w:val="center"/>
        <w:outlineLvl w:val="1"/>
        <w:rPr>
          <w:rFonts w:ascii="微软雅黑" w:hAnsi="微软雅黑"/>
          <w:b/>
          <w:sz w:val="24"/>
          <w:szCs w:val="24"/>
        </w:rPr>
      </w:pPr>
      <w:r>
        <w:rPr>
          <w:rFonts w:hint="eastAsia" w:ascii="微软雅黑" w:hAnsi="微软雅黑" w:cs="微软雅黑"/>
          <w:sz w:val="18"/>
          <w:szCs w:val="18"/>
        </w:rPr>
        <w:t>MAPK/ERK Signaling Pathway</w:t>
      </w:r>
    </w:p>
    <w:p w14:paraId="1140D328">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610D31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5DDA14E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2DF985B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26B8332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8BE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5397AAB">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711C8E9">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Pathway</w:t>
            </w:r>
          </w:p>
        </w:tc>
      </w:tr>
      <w:tr w14:paraId="7170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B3C541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8293758">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316226DF">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28EC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F39928">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1BC3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5737CFB">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14:paraId="4B22EA8D">
      <w:pPr>
        <w:adjustRightInd/>
        <w:snapToGrid/>
        <w:spacing w:line="220" w:lineRule="atLeast"/>
        <w:jc w:val="center"/>
        <w:outlineLvl w:val="1"/>
      </w:pPr>
    </w:p>
    <w:p w14:paraId="67D97832">
      <w:pPr>
        <w:adjustRightInd/>
        <w:snapToGrid/>
        <w:spacing w:line="220" w:lineRule="atLeast"/>
        <w:jc w:val="center"/>
        <w:outlineLvl w:val="1"/>
        <w:rPr>
          <w:rFonts w:ascii="微软雅黑" w:hAnsi="微软雅黑"/>
          <w:b/>
          <w:sz w:val="24"/>
          <w:szCs w:val="24"/>
        </w:rPr>
      </w:pPr>
      <w:r>
        <w:drawing>
          <wp:inline distT="0" distB="0" distL="114300" distR="114300">
            <wp:extent cx="4990465" cy="2981325"/>
            <wp:effectExtent l="0" t="0" r="635" b="952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40" cstate="print"/>
                    <a:stretch>
                      <a:fillRect/>
                    </a:stretch>
                  </pic:blipFill>
                  <pic:spPr>
                    <a:xfrm>
                      <a:off x="0" y="0"/>
                      <a:ext cx="4990465" cy="2981325"/>
                    </a:xfrm>
                    <a:prstGeom prst="rect">
                      <a:avLst/>
                    </a:prstGeom>
                    <a:noFill/>
                    <a:ln>
                      <a:noFill/>
                    </a:ln>
                  </pic:spPr>
                </pic:pic>
              </a:graphicData>
            </a:graphic>
          </wp:inline>
        </w:drawing>
      </w:r>
    </w:p>
    <w:p w14:paraId="3637EE9E">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6A8678E8">
      <w:pPr>
        <w:adjustRightInd/>
        <w:snapToGrid/>
        <w:spacing w:after="40"/>
        <w:jc w:val="both"/>
        <w:rPr>
          <w:rFonts w:ascii="微软雅黑" w:hAnsi="微软雅黑" w:cs="微软雅黑"/>
          <w:b/>
          <w:bCs/>
          <w:sz w:val="18"/>
          <w:szCs w:val="18"/>
        </w:rPr>
      </w:pPr>
    </w:p>
    <w:p w14:paraId="41F27D26">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16793064">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0C95640B">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249091E">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CE4EA3B">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A70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5BF5289">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DAB56DF">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14:paraId="7A70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4D53192">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700A6E6">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A11FDB9">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6586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8D0367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218A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74774C5">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14:paraId="3BE2C917">
      <w:pPr>
        <w:adjustRightInd/>
        <w:snapToGrid/>
        <w:spacing w:line="220" w:lineRule="atLeast"/>
        <w:outlineLvl w:val="1"/>
        <w:rPr>
          <w:rFonts w:ascii="微软雅黑" w:hAnsi="微软雅黑"/>
          <w:b/>
          <w:sz w:val="24"/>
          <w:szCs w:val="24"/>
        </w:rPr>
      </w:pPr>
    </w:p>
    <w:p w14:paraId="0FA49360">
      <w:pPr>
        <w:jc w:val="center"/>
      </w:pPr>
      <w:r>
        <w:rPr>
          <w:rFonts w:ascii="宋体" w:hAnsi="宋体" w:eastAsia="宋体" w:cs="宋体"/>
          <w:sz w:val="24"/>
          <w:szCs w:val="24"/>
        </w:rPr>
        <w:drawing>
          <wp:inline distT="0" distB="0" distL="114300" distR="114300">
            <wp:extent cx="3504565" cy="3209925"/>
            <wp:effectExtent l="0" t="0" r="635"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41" cstate="print"/>
                    <a:stretch>
                      <a:fillRect/>
                    </a:stretch>
                  </pic:blipFill>
                  <pic:spPr>
                    <a:xfrm>
                      <a:off x="0" y="0"/>
                      <a:ext cx="3504565" cy="3209925"/>
                    </a:xfrm>
                    <a:prstGeom prst="rect">
                      <a:avLst/>
                    </a:prstGeom>
                    <a:noFill/>
                    <a:ln w="9525">
                      <a:noFill/>
                    </a:ln>
                  </pic:spPr>
                </pic:pic>
              </a:graphicData>
            </a:graphic>
          </wp:inline>
        </w:drawing>
      </w:r>
    </w:p>
    <w:p w14:paraId="6CB7FDDA">
      <w:pPr>
        <w:adjustRightInd/>
        <w:snapToGrid/>
        <w:spacing w:line="220" w:lineRule="atLeast"/>
        <w:jc w:val="center"/>
        <w:outlineLvl w:val="1"/>
        <w:rPr>
          <w:rFonts w:ascii="微软雅黑" w:hAnsi="微软雅黑"/>
          <w:b/>
          <w:sz w:val="24"/>
          <w:szCs w:val="24"/>
        </w:rPr>
      </w:pPr>
      <w:r>
        <w:rPr>
          <w:rFonts w:hint="eastAsia" w:ascii="微软雅黑" w:hAnsi="微软雅黑" w:cs="微软雅黑"/>
          <w:kern w:val="2"/>
          <w:sz w:val="18"/>
          <w:szCs w:val="18"/>
        </w:rPr>
        <w:t>JAK/STAT Signaling Pathway</w:t>
      </w:r>
    </w:p>
    <w:p w14:paraId="44481600">
      <w:pPr>
        <w:adjustRightInd/>
        <w:snapToGrid/>
        <w:spacing w:after="40"/>
        <w:jc w:val="both"/>
        <w:rPr>
          <w:rFonts w:ascii="微软雅黑" w:hAnsi="微软雅黑" w:cs="微软雅黑"/>
          <w:b/>
          <w:bCs/>
          <w:sz w:val="18"/>
          <w:szCs w:val="18"/>
        </w:rPr>
      </w:pPr>
    </w:p>
    <w:p w14:paraId="0940EC93">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5D2863B8">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391D2444">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6FE0B1EB">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0733B52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364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A84CF08">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569640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14:paraId="36D9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D1D1C3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0D256BC">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615B7808">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6A62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79965FE8">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E5C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7510EE8">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14:paraId="748F9331">
      <w:pPr>
        <w:adjustRightInd/>
        <w:snapToGrid/>
        <w:spacing w:after="0" w:line="220" w:lineRule="atLeast"/>
        <w:jc w:val="center"/>
        <w:outlineLvl w:val="1"/>
      </w:pPr>
    </w:p>
    <w:p w14:paraId="17F48A8E">
      <w:pPr>
        <w:adjustRightInd/>
        <w:snapToGrid/>
        <w:spacing w:line="220" w:lineRule="atLeast"/>
        <w:jc w:val="center"/>
        <w:outlineLvl w:val="1"/>
        <w:rPr>
          <w:rFonts w:ascii="微软雅黑" w:hAnsi="微软雅黑"/>
          <w:b/>
          <w:sz w:val="24"/>
          <w:szCs w:val="24"/>
        </w:rPr>
      </w:pPr>
      <w:r>
        <w:drawing>
          <wp:inline distT="0" distB="0" distL="114300" distR="114300">
            <wp:extent cx="2727325" cy="3348355"/>
            <wp:effectExtent l="0" t="0" r="15875"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2" cstate="print"/>
                    <a:stretch>
                      <a:fillRect/>
                    </a:stretch>
                  </pic:blipFill>
                  <pic:spPr>
                    <a:xfrm>
                      <a:off x="0" y="0"/>
                      <a:ext cx="2727325" cy="3348355"/>
                    </a:xfrm>
                    <a:prstGeom prst="rect">
                      <a:avLst/>
                    </a:prstGeom>
                    <a:noFill/>
                    <a:ln>
                      <a:noFill/>
                    </a:ln>
                  </pic:spPr>
                </pic:pic>
              </a:graphicData>
            </a:graphic>
          </wp:inline>
        </w:drawing>
      </w:r>
    </w:p>
    <w:p w14:paraId="582E288D">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37A7BE9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6DE72B82">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3FE34748">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3434732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738A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5572476">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75E57E5F">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14:paraId="31F4D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C99BCE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313FA9CD">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32425029">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60CF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71931AD">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2E8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575D449">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14:paraId="42557C7F">
      <w:pPr>
        <w:adjustRightInd/>
        <w:snapToGrid/>
        <w:spacing w:line="220" w:lineRule="atLeast"/>
        <w:jc w:val="center"/>
        <w:outlineLvl w:val="1"/>
      </w:pPr>
    </w:p>
    <w:p w14:paraId="6F2F88A6">
      <w:pPr>
        <w:adjustRightInd/>
        <w:snapToGrid/>
        <w:spacing w:line="220" w:lineRule="atLeast"/>
        <w:jc w:val="center"/>
        <w:outlineLvl w:val="1"/>
        <w:rPr>
          <w:rFonts w:ascii="微软雅黑" w:hAnsi="微软雅黑"/>
          <w:b/>
          <w:sz w:val="24"/>
          <w:szCs w:val="24"/>
        </w:rPr>
      </w:pPr>
      <w:r>
        <w:drawing>
          <wp:inline distT="0" distB="0" distL="114300" distR="114300">
            <wp:extent cx="5267325" cy="2696845"/>
            <wp:effectExtent l="0" t="0" r="9525" b="825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3" cstate="print"/>
                    <a:stretch>
                      <a:fillRect/>
                    </a:stretch>
                  </pic:blipFill>
                  <pic:spPr>
                    <a:xfrm>
                      <a:off x="0" y="0"/>
                      <a:ext cx="5267325" cy="2696845"/>
                    </a:xfrm>
                    <a:prstGeom prst="rect">
                      <a:avLst/>
                    </a:prstGeom>
                    <a:noFill/>
                    <a:ln>
                      <a:noFill/>
                    </a:ln>
                  </pic:spPr>
                </pic:pic>
              </a:graphicData>
            </a:graphic>
          </wp:inline>
        </w:drawing>
      </w:r>
    </w:p>
    <w:p w14:paraId="5CE9D668">
      <w:pPr>
        <w:adjustRightInd/>
        <w:snapToGrid/>
        <w:spacing w:line="220" w:lineRule="atLeast"/>
        <w:jc w:val="center"/>
        <w:outlineLvl w:val="1"/>
        <w:rPr>
          <w:rFonts w:ascii="微软雅黑" w:hAnsi="微软雅黑" w:cs="微软雅黑"/>
          <w:sz w:val="18"/>
          <w:szCs w:val="18"/>
        </w:rPr>
      </w:pPr>
      <w:r>
        <w:rPr>
          <w:rFonts w:hint="eastAsia" w:ascii="微软雅黑" w:hAnsi="微软雅黑" w:cs="微软雅黑"/>
          <w:sz w:val="18"/>
          <w:szCs w:val="18"/>
        </w:rPr>
        <w:t>Hedgehog Signaling Pathway</w:t>
      </w:r>
    </w:p>
    <w:p w14:paraId="16ABC94A">
      <w:pPr>
        <w:adjustRightInd/>
        <w:snapToGrid/>
        <w:spacing w:before="40" w:after="40"/>
        <w:jc w:val="both"/>
        <w:outlineLvl w:val="1"/>
        <w:rPr>
          <w:rFonts w:ascii="微软雅黑" w:hAnsi="微软雅黑" w:cs="微软雅黑"/>
          <w:b/>
          <w:bCs/>
          <w:sz w:val="18"/>
          <w:szCs w:val="18"/>
        </w:rPr>
      </w:pPr>
      <w:r>
        <w:rPr>
          <w:rFonts w:hint="eastAsia" w:ascii="微软雅黑" w:hAnsi="微软雅黑" w:cs="微软雅黑"/>
          <w:b/>
          <w:bCs/>
          <w:sz w:val="18"/>
          <w:szCs w:val="18"/>
        </w:rPr>
        <w:t>参考文献：</w:t>
      </w:r>
    </w:p>
    <w:p w14:paraId="772C5F05">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183A66A6">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BMC Dev Biol. 2002 Mar 19;2:4.</w:t>
      </w:r>
    </w:p>
    <w:p w14:paraId="5D5F3850">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69E64A3F">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95C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7B516D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690F0DB4">
            <w:pPr>
              <w:spacing w:after="0" w:line="220" w:lineRule="atLeast"/>
              <w:rPr>
                <w:rFonts w:ascii="微软雅黑" w:hAnsi="微软雅黑" w:cs="Times New Roman"/>
                <w:b/>
                <w:color w:val="F9FBFA"/>
                <w:kern w:val="2"/>
                <w:sz w:val="20"/>
                <w:szCs w:val="20"/>
              </w:rPr>
            </w:pPr>
            <w:bookmarkStart w:id="262" w:name="OLE_LINK33"/>
            <w:r>
              <w:rPr>
                <w:rFonts w:ascii="微软雅黑" w:hAnsi="微软雅黑" w:cs="Times New Roman"/>
                <w:b/>
                <w:color w:val="F9FBFA"/>
                <w:kern w:val="2"/>
                <w:sz w:val="20"/>
                <w:szCs w:val="20"/>
              </w:rPr>
              <w:t>Cell cycle signaling pathway</w:t>
            </w:r>
            <w:bookmarkEnd w:id="262"/>
          </w:p>
        </w:tc>
      </w:tr>
      <w:tr w14:paraId="2DD1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5BD1A18">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16CDE33">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14:paraId="2C3C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D5A644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6DB1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A7309E4">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49B3F5E0">
      <w:pPr>
        <w:adjustRightInd/>
        <w:snapToGrid/>
        <w:spacing w:after="0"/>
        <w:outlineLvl w:val="1"/>
        <w:rPr>
          <w:rFonts w:ascii="微软雅黑" w:hAnsi="微软雅黑"/>
          <w:b/>
          <w:sz w:val="24"/>
          <w:szCs w:val="24"/>
        </w:rPr>
      </w:pPr>
    </w:p>
    <w:p w14:paraId="7251A887">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44" cstate="print"/>
                    <a:stretch>
                      <a:fillRect/>
                    </a:stretch>
                  </pic:blipFill>
                  <pic:spPr>
                    <a:xfrm>
                      <a:off x="0" y="0"/>
                      <a:ext cx="4167505" cy="3260725"/>
                    </a:xfrm>
                    <a:prstGeom prst="rect">
                      <a:avLst/>
                    </a:prstGeom>
                  </pic:spPr>
                </pic:pic>
              </a:graphicData>
            </a:graphic>
          </wp:inline>
        </w:drawing>
      </w:r>
    </w:p>
    <w:p w14:paraId="25A405EB">
      <w:pPr>
        <w:adjustRightInd/>
        <w:snapToGrid/>
        <w:spacing w:line="220" w:lineRule="atLeast"/>
        <w:jc w:val="center"/>
        <w:outlineLvl w:val="1"/>
        <w:rPr>
          <w:rFonts w:ascii="微软雅黑" w:hAnsi="微软雅黑"/>
          <w:b/>
          <w:sz w:val="24"/>
          <w:szCs w:val="24"/>
        </w:rPr>
      </w:pPr>
    </w:p>
    <w:p w14:paraId="3204880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2753CDCF">
      <w:pPr>
        <w:adjustRightInd/>
        <w:snapToGrid/>
        <w:spacing w:after="40"/>
        <w:jc w:val="both"/>
        <w:rPr>
          <w:rFonts w:ascii="微软雅黑" w:hAnsi="微软雅黑" w:cs="微软雅黑"/>
          <w:b/>
          <w:bCs/>
          <w:sz w:val="18"/>
          <w:szCs w:val="18"/>
        </w:rPr>
      </w:pPr>
    </w:p>
    <w:p w14:paraId="17833176">
      <w:pPr>
        <w:adjustRightInd/>
        <w:snapToGrid/>
        <w:spacing w:after="40"/>
        <w:jc w:val="both"/>
        <w:rPr>
          <w:rFonts w:ascii="微软雅黑" w:hAnsi="微软雅黑" w:cs="微软雅黑"/>
          <w:b/>
          <w:bCs/>
          <w:sz w:val="18"/>
          <w:szCs w:val="18"/>
        </w:rPr>
      </w:pPr>
    </w:p>
    <w:p w14:paraId="5D7A9228">
      <w:pPr>
        <w:adjustRightInd/>
        <w:snapToGrid/>
        <w:spacing w:after="40"/>
        <w:jc w:val="both"/>
        <w:rPr>
          <w:rFonts w:ascii="微软雅黑" w:hAnsi="微软雅黑" w:cs="微软雅黑"/>
          <w:b/>
          <w:bCs/>
          <w:sz w:val="18"/>
          <w:szCs w:val="18"/>
        </w:rPr>
      </w:pPr>
    </w:p>
    <w:p w14:paraId="31B79BDD">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0D9216C">
      <w:pPr>
        <w:adjustRightInd/>
        <w:snapToGrid/>
        <w:spacing w:after="40" w:line="220" w:lineRule="atLeast"/>
        <w:outlineLvl w:val="1"/>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608E024E">
      <w:pPr>
        <w:adjustRightInd/>
        <w:snapToGrid/>
        <w:spacing w:after="40" w:line="220" w:lineRule="atLeast"/>
        <w:outlineLvl w:val="1"/>
        <w:rPr>
          <w:rFonts w:ascii="微软雅黑" w:hAnsi="微软雅黑" w:cs="微软雅黑"/>
          <w:sz w:val="18"/>
          <w:szCs w:val="18"/>
        </w:rPr>
      </w:pPr>
    </w:p>
    <w:p w14:paraId="34F8FE2D">
      <w:pPr>
        <w:adjustRightInd/>
        <w:snapToGrid/>
        <w:spacing w:after="40" w:line="220" w:lineRule="atLeast"/>
        <w:outlineLvl w:val="1"/>
        <w:rPr>
          <w:rFonts w:ascii="微软雅黑" w:hAnsi="微软雅黑" w:cs="微软雅黑"/>
          <w:sz w:val="18"/>
          <w:szCs w:val="18"/>
        </w:rPr>
      </w:pPr>
    </w:p>
    <w:p w14:paraId="5DEA4DB8">
      <w:pPr>
        <w:adjustRightInd/>
        <w:snapToGrid/>
        <w:spacing w:after="40" w:line="220" w:lineRule="atLeast"/>
        <w:outlineLvl w:val="1"/>
        <w:rPr>
          <w:rFonts w:ascii="微软雅黑" w:hAnsi="微软雅黑" w:cs="微软雅黑"/>
          <w:sz w:val="18"/>
          <w:szCs w:val="18"/>
        </w:rPr>
      </w:pPr>
    </w:p>
    <w:p w14:paraId="427FA64D">
      <w:pPr>
        <w:adjustRightInd/>
        <w:snapToGrid/>
        <w:spacing w:after="40" w:line="220" w:lineRule="atLeast"/>
        <w:outlineLvl w:val="1"/>
        <w:rPr>
          <w:rFonts w:ascii="微软雅黑" w:hAnsi="微软雅黑" w:cs="微软雅黑"/>
          <w:sz w:val="18"/>
          <w:szCs w:val="18"/>
        </w:rPr>
      </w:pPr>
    </w:p>
    <w:p w14:paraId="23C496C4">
      <w:pPr>
        <w:adjustRightInd/>
        <w:snapToGrid/>
        <w:spacing w:after="40" w:line="220" w:lineRule="atLeast"/>
        <w:outlineLvl w:val="1"/>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B3A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A66CDB6">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68D8C594">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14:paraId="1F30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7348D75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E332818">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14:paraId="23CC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B40CBB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5D1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DB2AB5D">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2E5CC755">
      <w:pPr>
        <w:adjustRightInd/>
        <w:snapToGrid/>
        <w:spacing w:after="0"/>
        <w:outlineLvl w:val="1"/>
        <w:rPr>
          <w:rFonts w:ascii="微软雅黑" w:hAnsi="微软雅黑"/>
          <w:b/>
          <w:sz w:val="24"/>
          <w:szCs w:val="24"/>
        </w:rPr>
      </w:pPr>
    </w:p>
    <w:p w14:paraId="679F3DC4">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45" cstate="print"/>
                    <a:stretch>
                      <a:fillRect/>
                    </a:stretch>
                  </pic:blipFill>
                  <pic:spPr>
                    <a:xfrm>
                      <a:off x="0" y="0"/>
                      <a:ext cx="4766310" cy="3221355"/>
                    </a:xfrm>
                    <a:prstGeom prst="rect">
                      <a:avLst/>
                    </a:prstGeom>
                  </pic:spPr>
                </pic:pic>
              </a:graphicData>
            </a:graphic>
          </wp:inline>
        </w:drawing>
      </w:r>
    </w:p>
    <w:p w14:paraId="49D2792B">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29E9F42A">
      <w:pPr>
        <w:adjustRightInd/>
        <w:snapToGrid/>
        <w:spacing w:after="40"/>
        <w:jc w:val="both"/>
        <w:rPr>
          <w:rFonts w:ascii="微软雅黑" w:hAnsi="微软雅黑" w:cs="微软雅黑"/>
          <w:b/>
          <w:bCs/>
          <w:sz w:val="18"/>
          <w:szCs w:val="18"/>
        </w:rPr>
      </w:pPr>
    </w:p>
    <w:p w14:paraId="4775DF2D">
      <w:pPr>
        <w:adjustRightInd/>
        <w:snapToGrid/>
        <w:spacing w:after="40"/>
        <w:jc w:val="both"/>
        <w:rPr>
          <w:rFonts w:ascii="微软雅黑" w:hAnsi="微软雅黑" w:cs="微软雅黑"/>
          <w:b/>
          <w:bCs/>
          <w:sz w:val="18"/>
          <w:szCs w:val="18"/>
        </w:rPr>
      </w:pPr>
    </w:p>
    <w:p w14:paraId="7C30C55B">
      <w:pPr>
        <w:adjustRightInd/>
        <w:snapToGrid/>
        <w:spacing w:after="40"/>
        <w:jc w:val="both"/>
        <w:rPr>
          <w:rFonts w:ascii="微软雅黑" w:hAnsi="微软雅黑" w:cs="微软雅黑"/>
          <w:b/>
          <w:bCs/>
          <w:sz w:val="18"/>
          <w:szCs w:val="18"/>
        </w:rPr>
      </w:pPr>
    </w:p>
    <w:p w14:paraId="6E2EF323">
      <w:pPr>
        <w:adjustRightInd/>
        <w:snapToGrid/>
        <w:spacing w:after="40"/>
        <w:jc w:val="both"/>
        <w:rPr>
          <w:rFonts w:ascii="微软雅黑" w:hAnsi="微软雅黑" w:cs="微软雅黑"/>
          <w:b/>
          <w:bCs/>
          <w:sz w:val="18"/>
          <w:szCs w:val="18"/>
        </w:rPr>
      </w:pPr>
    </w:p>
    <w:p w14:paraId="623A75FB">
      <w:pPr>
        <w:adjustRightInd/>
        <w:snapToGrid/>
        <w:spacing w:after="40"/>
        <w:jc w:val="both"/>
        <w:rPr>
          <w:rFonts w:ascii="微软雅黑" w:hAnsi="微软雅黑" w:cs="微软雅黑"/>
          <w:b/>
          <w:bCs/>
          <w:sz w:val="18"/>
          <w:szCs w:val="18"/>
        </w:rPr>
      </w:pPr>
    </w:p>
    <w:p w14:paraId="305B6CB5">
      <w:pPr>
        <w:adjustRightInd/>
        <w:snapToGrid/>
        <w:spacing w:after="40"/>
        <w:jc w:val="both"/>
        <w:rPr>
          <w:rFonts w:ascii="微软雅黑" w:hAnsi="微软雅黑" w:cs="微软雅黑"/>
          <w:b/>
          <w:bCs/>
          <w:sz w:val="18"/>
          <w:szCs w:val="18"/>
        </w:rPr>
      </w:pPr>
    </w:p>
    <w:p w14:paraId="0F3C766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6D265FE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46B818C1">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6CA22C49">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2E6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8CD94E">
            <w:pPr>
              <w:spacing w:after="0" w:line="220" w:lineRule="atLeast"/>
              <w:jc w:val="center"/>
              <w:rPr>
                <w:rFonts w:ascii="微软雅黑" w:hAnsi="微软雅黑" w:cs="Times New Roman"/>
                <w:b/>
                <w:color w:val="F9FBFA"/>
                <w:kern w:val="2"/>
                <w:sz w:val="20"/>
                <w:szCs w:val="20"/>
              </w:rPr>
            </w:pPr>
            <w:bookmarkStart w:id="263"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18ED0AE">
            <w:pPr>
              <w:spacing w:after="0" w:line="220" w:lineRule="atLeast"/>
              <w:rPr>
                <w:rFonts w:ascii="微软雅黑" w:hAnsi="微软雅黑" w:cs="Times New Roman"/>
                <w:b/>
                <w:color w:val="F9FBFA"/>
                <w:kern w:val="2"/>
                <w:sz w:val="20"/>
                <w:szCs w:val="20"/>
              </w:rPr>
            </w:pPr>
            <w:bookmarkStart w:id="264" w:name="OLE_LINK48"/>
            <w:r>
              <w:rPr>
                <w:rFonts w:ascii="微软雅黑" w:hAnsi="微软雅黑" w:cs="Times New Roman"/>
                <w:b/>
                <w:color w:val="F9FBFA"/>
                <w:kern w:val="2"/>
                <w:sz w:val="20"/>
                <w:szCs w:val="20"/>
              </w:rPr>
              <w:t>DNA damage/repair signaling pathway</w:t>
            </w:r>
            <w:bookmarkEnd w:id="264"/>
          </w:p>
        </w:tc>
      </w:tr>
      <w:tr w14:paraId="42EE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0F778D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F0AC65E">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14:paraId="207A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E7AB81">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4D7D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E0715B3">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63"/>
    </w:tbl>
    <w:p w14:paraId="61D37B76">
      <w:pPr>
        <w:adjustRightInd/>
        <w:snapToGrid/>
        <w:spacing w:after="40" w:line="220" w:lineRule="atLeast"/>
        <w:outlineLvl w:val="1"/>
        <w:rPr>
          <w:rFonts w:ascii="微软雅黑" w:hAnsi="微软雅黑"/>
          <w:b/>
          <w:sz w:val="24"/>
          <w:szCs w:val="24"/>
        </w:rPr>
      </w:pPr>
    </w:p>
    <w:p w14:paraId="17BBB3BA">
      <w:pPr>
        <w:adjustRightInd/>
        <w:snapToGrid/>
        <w:spacing w:after="40" w:line="220" w:lineRule="atLeast"/>
        <w:outlineLvl w:val="1"/>
        <w:rPr>
          <w:rFonts w:ascii="微软雅黑" w:hAnsi="微软雅黑"/>
          <w:b/>
          <w:sz w:val="24"/>
          <w:szCs w:val="24"/>
        </w:rPr>
      </w:pPr>
      <w:r>
        <w:t xml:space="preserve">       </w:t>
      </w:r>
      <w:r>
        <w:drawing>
          <wp:inline distT="0" distB="0" distL="114300" distR="114300">
            <wp:extent cx="4323080" cy="3528060"/>
            <wp:effectExtent l="0" t="0" r="1270" b="1524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46" cstate="print"/>
                    <a:stretch>
                      <a:fillRect/>
                    </a:stretch>
                  </pic:blipFill>
                  <pic:spPr>
                    <a:xfrm>
                      <a:off x="0" y="0"/>
                      <a:ext cx="4323080" cy="3528060"/>
                    </a:xfrm>
                    <a:prstGeom prst="rect">
                      <a:avLst/>
                    </a:prstGeom>
                    <a:noFill/>
                    <a:ln>
                      <a:noFill/>
                    </a:ln>
                  </pic:spPr>
                </pic:pic>
              </a:graphicData>
            </a:graphic>
          </wp:inline>
        </w:drawing>
      </w:r>
    </w:p>
    <w:p w14:paraId="79B3CD99">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26283881">
      <w:pPr>
        <w:adjustRightInd/>
        <w:snapToGrid/>
        <w:spacing w:after="40"/>
        <w:jc w:val="both"/>
        <w:rPr>
          <w:rFonts w:ascii="微软雅黑" w:hAnsi="微软雅黑" w:cs="微软雅黑"/>
          <w:b/>
          <w:bCs/>
          <w:sz w:val="18"/>
          <w:szCs w:val="18"/>
        </w:rPr>
      </w:pPr>
    </w:p>
    <w:p w14:paraId="0CDB974C">
      <w:pPr>
        <w:adjustRightInd/>
        <w:snapToGrid/>
        <w:spacing w:after="40"/>
        <w:jc w:val="both"/>
        <w:rPr>
          <w:rFonts w:ascii="微软雅黑" w:hAnsi="微软雅黑" w:cs="微软雅黑"/>
          <w:b/>
          <w:bCs/>
          <w:sz w:val="18"/>
          <w:szCs w:val="18"/>
        </w:rPr>
      </w:pPr>
    </w:p>
    <w:p w14:paraId="3B7F2E08">
      <w:pPr>
        <w:adjustRightInd/>
        <w:snapToGrid/>
        <w:spacing w:after="40"/>
        <w:jc w:val="both"/>
        <w:rPr>
          <w:rFonts w:ascii="微软雅黑" w:hAnsi="微软雅黑" w:cs="微软雅黑"/>
          <w:b/>
          <w:bCs/>
          <w:sz w:val="18"/>
          <w:szCs w:val="18"/>
        </w:rPr>
      </w:pPr>
    </w:p>
    <w:p w14:paraId="046BAF18">
      <w:pPr>
        <w:adjustRightInd/>
        <w:snapToGrid/>
        <w:spacing w:after="40"/>
        <w:jc w:val="both"/>
        <w:rPr>
          <w:rFonts w:ascii="微软雅黑" w:hAnsi="微软雅黑" w:cs="微软雅黑"/>
          <w:b/>
          <w:bCs/>
          <w:sz w:val="18"/>
          <w:szCs w:val="18"/>
        </w:rPr>
      </w:pPr>
      <w:bookmarkStart w:id="265" w:name="OLE_LINK52"/>
      <w:r>
        <w:rPr>
          <w:rFonts w:hint="eastAsia" w:ascii="微软雅黑" w:hAnsi="微软雅黑" w:cs="微软雅黑"/>
          <w:b/>
          <w:bCs/>
          <w:sz w:val="18"/>
          <w:szCs w:val="18"/>
        </w:rPr>
        <w:t>参考文献：</w:t>
      </w:r>
    </w:p>
    <w:p w14:paraId="4795E67D">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65"/>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4A2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A165AC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5B196A1">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14:paraId="0920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B4E8B1A">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D55E6EE">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C9E5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713A74">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FF7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E970C94">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5ADE54C0">
      <w:pPr>
        <w:jc w:val="center"/>
      </w:pPr>
      <w:r>
        <w:drawing>
          <wp:inline distT="0" distB="0" distL="114300" distR="114300">
            <wp:extent cx="635" cy="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7"/>
                    <a:stretch>
                      <a:fillRect/>
                    </a:stretch>
                  </pic:blipFill>
                  <pic:spPr>
                    <a:xfrm>
                      <a:off x="0" y="0"/>
                      <a:ext cx="635" cy="0"/>
                    </a:xfrm>
                    <a:prstGeom prst="rect">
                      <a:avLst/>
                    </a:prstGeom>
                    <a:noFill/>
                    <a:ln>
                      <a:noFill/>
                    </a:ln>
                  </pic:spPr>
                </pic:pic>
              </a:graphicData>
            </a:graphic>
          </wp:inline>
        </w:drawing>
      </w:r>
    </w:p>
    <w:p w14:paraId="4D57C307">
      <w:pPr>
        <w:jc w:val="center"/>
      </w:pPr>
      <w:r>
        <w:drawing>
          <wp:inline distT="0" distB="0" distL="114300" distR="114300">
            <wp:extent cx="5187315" cy="2586990"/>
            <wp:effectExtent l="0" t="0" r="13335" b="381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8" cstate="print"/>
                    <a:stretch>
                      <a:fillRect/>
                    </a:stretch>
                  </pic:blipFill>
                  <pic:spPr>
                    <a:xfrm>
                      <a:off x="0" y="0"/>
                      <a:ext cx="5187315" cy="2586990"/>
                    </a:xfrm>
                    <a:prstGeom prst="rect">
                      <a:avLst/>
                    </a:prstGeom>
                    <a:noFill/>
                    <a:ln>
                      <a:noFill/>
                    </a:ln>
                  </pic:spPr>
                </pic:pic>
              </a:graphicData>
            </a:graphic>
          </wp:inline>
        </w:drawing>
      </w:r>
    </w:p>
    <w:p w14:paraId="4EBCD41D">
      <w:pPr>
        <w:adjustRightInd/>
        <w:snapToGrid/>
        <w:spacing w:after="40"/>
        <w:jc w:val="center"/>
        <w:rPr>
          <w:rFonts w:ascii="微软雅黑" w:hAnsi="微软雅黑" w:cs="Times New Roman"/>
          <w:bCs/>
          <w:kern w:val="2"/>
          <w:sz w:val="20"/>
          <w:szCs w:val="20"/>
        </w:rPr>
      </w:pPr>
      <w:bookmarkStart w:id="266" w:name="OLE_LINK53"/>
      <w:r>
        <w:rPr>
          <w:rFonts w:ascii="微软雅黑" w:hAnsi="微软雅黑" w:cs="Times New Roman"/>
          <w:bCs/>
          <w:kern w:val="2"/>
          <w:sz w:val="20"/>
          <w:szCs w:val="20"/>
        </w:rPr>
        <w:t>Chromatin remodeling/DNA methylation</w:t>
      </w:r>
      <w:bookmarkEnd w:id="266"/>
    </w:p>
    <w:p w14:paraId="05AB8C25">
      <w:pPr>
        <w:rPr>
          <w:rFonts w:ascii="微软雅黑" w:hAnsi="微软雅黑"/>
          <w:b/>
          <w:sz w:val="24"/>
          <w:szCs w:val="24"/>
        </w:rPr>
      </w:pPr>
    </w:p>
    <w:p w14:paraId="6EED026B">
      <w:pPr>
        <w:adjustRightInd/>
        <w:snapToGrid/>
        <w:spacing w:after="40"/>
        <w:jc w:val="both"/>
        <w:rPr>
          <w:rFonts w:ascii="微软雅黑" w:hAnsi="微软雅黑" w:cs="微软雅黑"/>
          <w:b/>
          <w:bCs/>
          <w:sz w:val="18"/>
          <w:szCs w:val="18"/>
        </w:rPr>
      </w:pPr>
    </w:p>
    <w:p w14:paraId="6A71538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2985E8AE">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3F5AEF0">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620E0B3B">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927464D">
      <w:pPr>
        <w:spacing w:after="0" w:line="312" w:lineRule="auto"/>
        <w:jc w:val="both"/>
        <w:rPr>
          <w:rFonts w:ascii="微软雅黑" w:hAnsi="微软雅黑"/>
          <w:b/>
          <w:sz w:val="28"/>
          <w:szCs w:val="28"/>
        </w:rPr>
      </w:pPr>
    </w:p>
    <w:p w14:paraId="40AF30DE">
      <w:pPr>
        <w:spacing w:after="0" w:line="288" w:lineRule="auto"/>
        <w:jc w:val="both"/>
        <w:outlineLvl w:val="1"/>
        <w:rPr>
          <w:rFonts w:hint="eastAsia" w:ascii="微软雅黑" w:hAnsi="微软雅黑" w:eastAsia="微软雅黑"/>
          <w:b/>
          <w:sz w:val="24"/>
          <w:szCs w:val="24"/>
          <w:lang w:eastAsia="zh-CN"/>
        </w:rPr>
      </w:pPr>
      <w:r>
        <w:rPr>
          <w:rFonts w:hint="eastAsia" w:ascii="微软雅黑" w:hAnsi="微软雅黑"/>
          <w:b/>
          <w:sz w:val="24"/>
          <w:szCs w:val="24"/>
        </w:rPr>
        <w:br w:type="page"/>
      </w:r>
      <w:r>
        <w:rPr>
          <w:rFonts w:hint="eastAsia" w:ascii="微软雅黑" w:hAnsi="微软雅黑"/>
          <w:b/>
          <w:sz w:val="24"/>
          <w:szCs w:val="24"/>
        </w:rPr>
        <w:t>4</w:t>
      </w:r>
      <w:r>
        <w:rPr>
          <w:rFonts w:hint="eastAsia" w:ascii="微软雅黑" w:hAnsi="微软雅黑"/>
          <w:b/>
          <w:sz w:val="24"/>
          <w:szCs w:val="24"/>
          <w:highlight w:val="none"/>
        </w:rPr>
        <w:t>. 基因检测列表</w:t>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49A539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097E47B9">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267" w:name="_Toc8753"/>
            <w:r>
              <w:rPr>
                <w:rFonts w:hint="eastAsia" w:ascii="微软雅黑" w:hAnsi="微软雅黑"/>
                <w:b/>
                <w:sz w:val="28"/>
                <w:szCs w:val="28"/>
                <w:lang w:val="en-US" w:eastAsia="zh-CN"/>
              </w:rPr>
              <w:br w:type="page"/>
            </w:r>
            <w:r>
              <w:rPr>
                <w:rFonts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ascii="Calibri" w:hAnsi="Calibri" w:cs="Calibri"/>
                <w:b/>
                <w:bCs w:val="0"/>
                <w:sz w:val="28"/>
                <w:szCs w:val="28"/>
                <w:highlight w:val="none"/>
              </w:rPr>
              <w:t>)</w:t>
            </w:r>
          </w:p>
        </w:tc>
      </w:tr>
      <w:tr w14:paraId="000789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5F494D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05B017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7772E6B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3BE5438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28CE98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699902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2D0C1CB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7EC48C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00373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7A7BAC9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4A72A9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2252E3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51CF39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5780A2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6A9FD47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21151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8861A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26DA6D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079814A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BBD8C0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4D68743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299A900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281806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583FC0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2A3374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142E07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90DEF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2F11E75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585A73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1E6C3C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FC1A7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68524E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7EC503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2D1FB8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71B9BA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6821CBD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1438E20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260892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4E1D73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0169F8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0E73C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61C27B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DEFFB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726E67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03CEB2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4D89AD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7A17C42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255B22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635F6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34662D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70B0D84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76111C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224B04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0B6BAE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21341F0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08DF5F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42F89B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7BE64D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3FA1D3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1C364B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5A403E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FAAC0E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5ABD0CE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546F23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F36E87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62FB6C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54665BE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5EF973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6A6ECC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4722E2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4FC1B2B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618C34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8C024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0E1E5C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4701162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6A1CFDF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515B8F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64C88F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761B672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7BCFB9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7EE446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F6FDD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5D7FD20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6AB0ED5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86ECE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2780D3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32655D0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60EF6EB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2A65D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62CAB5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1972CBA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B8B1A1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3C9779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0E0A47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7C10A13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0746D5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D6EF9C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58A9BE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0940BB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6E5EE2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49B980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62C408E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5E46B9F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540302D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5402EA3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714F8E0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61B8D1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1993BFA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10CB41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236F79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2C4D8C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48185A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8FEA7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45393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54A990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6944B3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2291BC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3EC8642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754F63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37CBEF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EBBF46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080772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33743E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69D46C8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5F2524E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5E5C5B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3D5D03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45DE06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A8F545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79D9704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0B7B41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20BEB8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5292F6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D501B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7E17E2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159A10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EA876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0D7197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22AD989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7E9777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0BCF7F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768C46E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1E15BEA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17F381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1A397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488995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2C6197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73AC429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5EF01B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4D54101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56E958D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38C108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D4D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31E0E4A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6C2D90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88390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64E7631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71EA29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39013F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30DDDE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18F7C7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26F451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2B21AB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495C32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B9700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784D22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5D539B9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5AD98E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B6A703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4C244D3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1B654E8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26282B1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44A30CD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2F35292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6B7E6C2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021CF7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FC38C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6ED9FB8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7BFA60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3C9F6C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13C2AD4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794A06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4C4EB5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412A16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5B7DAC3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1814A23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63BF10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241EBFF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679D758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7CD855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1CBE0FA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6CF137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2026B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66AC572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3917F21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71197C1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91C0AC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23C9E3A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016695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04C70A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B455A3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46B3794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6139A05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044FF59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45E6D81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BDB509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450515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6AEE0FE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39E839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55DDA4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1B724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3B6A68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53A5010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6B2850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05E51E8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83F8A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A6E72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5D5DE5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0AFA7E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3181ACD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4E3AA3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697A5F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01F41EE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5EF6FA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FAA46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4B9D54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3F0E37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311480E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44667E1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35F63D7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429E82F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6F171A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2E80C5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D3CFBE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0A4684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297A68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B53A3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683CC4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786643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3A1A18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594D2B8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7AE187E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50CA02A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64B873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226CE06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147387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139836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09512F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3A9061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2F08FBF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7E20A64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4321EBA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1EC5387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6317E8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3C24D41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3FBA1A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B565DA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019952F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18791B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5C4209C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223B57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2C8E28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1009060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312112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9775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180678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49A4D2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335D09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5D56FB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087BA35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17F3E8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126314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D9B13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775357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46284F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298250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55F94B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40E49BA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1405D3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815E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3B70B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059EDB7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55F7233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26116E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389965A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448439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245D566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2AAD64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44FE7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2F6DC95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4B2B53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3E78B7B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68272A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188E7A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2FCAF7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23F725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EE8F05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406833C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A1ADA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6F139A1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2094650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12F85AC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5640D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755AA3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F915D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3E1F37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25539A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0AF1D9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41065A1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1F009B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5C9B637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0F9B74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0DAFC0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42B1F9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15F57A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097B7B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7AEC2B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2981E39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378811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0AE40D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3764DA6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1E50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2F9B15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A7857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732E639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51FF8A6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7CF11A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6DEA0F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7DE7CA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E5845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04ECAB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47E58EF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63CB94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792F55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077285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1F53C6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95B939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28B5824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332E8C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3BB4E6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7D84F9B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2BD6F67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7FE993A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70F1AF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7FB468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092FBDB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65EDFC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50C877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359E5E9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32631DB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2DD15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67A863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CFE73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292A3B3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7CC126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01DC9D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0D0ACD0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6B2223E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27CE30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4680698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91D1BE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350A35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5DABA93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BCB67D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52333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273CB7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6968564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EDCBA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278F1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53FC53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0A5B411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650CE42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5BEA621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28C2DE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2FCCCF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6CCFED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8A66C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5B189B8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766A4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24DAED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1EB099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291BC19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1EC88D7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689BD6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5076F1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AB6CEE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13AFB6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31FDA38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19E2B73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005561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1BE02C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1733B9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A9CFA0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306A3A6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456164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33D28E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4E7401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3667FC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53BF7F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3E939F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BB3857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C533D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64D65BD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4CDE63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37B53D8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559ADE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66B774C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3DEC42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9681E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1A59905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AD888B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094367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47A07F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0E7586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26E111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1382A41B">
      <w:pPr>
        <w:rPr>
          <w:rFonts w:hint="eastAsia" w:ascii="微软雅黑" w:hAnsi="微软雅黑"/>
          <w:b/>
          <w:sz w:val="24"/>
          <w:szCs w:val="24"/>
        </w:rPr>
      </w:pPr>
      <w:r>
        <w:rPr>
          <w:rFonts w:hint="eastAsia" w:ascii="微软雅黑" w:hAnsi="微软雅黑"/>
          <w:b/>
          <w:sz w:val="24"/>
          <w:szCs w:val="24"/>
        </w:rPr>
        <w:br w:type="page"/>
      </w:r>
    </w:p>
    <w:p w14:paraId="5F7D783A">
      <w:pPr>
        <w:keepNext w:val="0"/>
        <w:keepLines w:val="0"/>
        <w:pageBreakBefore w:val="0"/>
        <w:widowControl/>
        <w:numPr>
          <w:ilvl w:val="255"/>
          <w:numId w:val="0"/>
        </w:numPr>
        <w:kinsoku/>
        <w:wordWrap/>
        <w:overflowPunct/>
        <w:topLinePunct w:val="0"/>
        <w:autoSpaceDE/>
        <w:autoSpaceDN/>
        <w:bidi w:val="0"/>
        <w:adjustRightInd w:val="0"/>
        <w:snapToGrid w:val="0"/>
        <w:spacing w:after="200"/>
        <w:textAlignment w:val="auto"/>
        <w:outlineLvl w:val="1"/>
        <w:rPr>
          <w:rFonts w:ascii="Calibri" w:hAnsi="Calibri" w:cs="Calibri"/>
          <w:color w:val="000000" w:themeColor="text1"/>
          <w:sz w:val="21"/>
          <w:szCs w:val="21"/>
          <w:highlight w:val="none"/>
          <w14:textFill>
            <w14:solidFill>
              <w14:schemeClr w14:val="tx1"/>
            </w14:solidFill>
          </w14:textFill>
        </w:rPr>
      </w:pPr>
      <w:r>
        <w:rPr>
          <w:rFonts w:hint="eastAsia" w:ascii="微软雅黑" w:hAnsi="微软雅黑"/>
          <w:b/>
          <w:color w:val="000000" w:themeColor="text1"/>
          <w:sz w:val="24"/>
          <w:szCs w:val="24"/>
          <w:highlight w:val="none"/>
          <w14:textFill>
            <w14:solidFill>
              <w14:schemeClr w14:val="tx1"/>
            </w14:solidFill>
          </w14:textFill>
        </w:rPr>
        <w:t>5. 参考文献</w:t>
      </w:r>
      <w:bookmarkEnd w:id="267"/>
    </w:p>
    <w:p w14:paraId="2646CC3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PMID:1922354 Unspoken fears.</w:t>
      </w:r>
    </w:p>
    <w:p w14:paraId="1777A4B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PMID:3510078 Biological and biochemical properties of human rasH genes mutated at codon 61.</w:t>
      </w:r>
    </w:p>
    <w:p w14:paraId="39CD41D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PMID:9700202 Huntingtin interacts with a family of WW domain proteins.</w:t>
      </w:r>
    </w:p>
    <w:p w14:paraId="3FBC734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PMID:10612830 p53 website and analysis of p53 gene mutations in human cancer: forging a link between epidemiology and carcinogenesis.</w:t>
      </w:r>
    </w:p>
    <w:p w14:paraId="4115D99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PMID:10887150 CBP/p300 in cell growth, transformation, and development.</w:t>
      </w:r>
    </w:p>
    <w:p w14:paraId="60F017E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PMID:11296228 Embryonic lethality and fetal liver apoptosis in mice lacking the c-raf-1 gene.</w:t>
      </w:r>
    </w:p>
    <w:p w14:paraId="501DAAA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PMID:12068308 Mutations of the BRAF gene in human cancer.</w:t>
      </w:r>
    </w:p>
    <w:p w14:paraId="6791E59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PMID:12594806 A pivotal role for ERK in the oncogenic behaviour of malignant melanoma?</w:t>
      </w:r>
    </w:p>
    <w:p w14:paraId="32430EC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PMID:12619105 Significance of TP53 mutations in human cancer: a critical analysis of mutations at CpG dinucleotides.</w:t>
      </w:r>
    </w:p>
    <w:p w14:paraId="5FC10AE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PMID:12730288 An epigenetic road map for histone lysine methylation.</w:t>
      </w:r>
    </w:p>
    <w:p w14:paraId="361284F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PMID:14500346 BRAF mutations in colon cancer are not likely attributable to defective DNA mismatch repair.</w:t>
      </w:r>
    </w:p>
    <w:p w14:paraId="4DD2353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PMID:14520413 Hedgehog is an early and late mediator of pancreatic cancer tumorigenesis.</w:t>
      </w:r>
    </w:p>
    <w:p w14:paraId="7A81307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PMID:14557489 Regulation of PTEN (phosphatase and tensin homolog deleted on chromosome 10) expression by estradiol and progesterone in human endometrium.</w:t>
      </w:r>
    </w:p>
    <w:p w14:paraId="418CC61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PMID:15156177 p300/CBP and cancer.</w:t>
      </w:r>
    </w:p>
    <w:p w14:paraId="727425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PMID:15542810 Colorectal cancer with mutation in BRAF, KRAS, and wild-type with respect to both oncogenes showing different patterns of DNA methylation.</w:t>
      </w:r>
    </w:p>
    <w:p w14:paraId="01FDAF9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PMID:15843377 Phosphorylation of human p53 at serine 46 determines promoter selection and whether apoptosis is attenuated or amplified.</w:t>
      </w:r>
    </w:p>
    <w:p w14:paraId="12E1099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PMID:16118227 Identification and characterization of a novel human histone H3 lysine 36-specific methyltransferase.</w:t>
      </w:r>
    </w:p>
    <w:p w14:paraId="421B696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PMID:16337854 Truncating mutations in the ACVR2 gene attenuates activin signaling in prostate cancer cells.</w:t>
      </w:r>
    </w:p>
    <w:p w14:paraId="3146E9F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PMID:16419085 PTCH mutations: distribution and analyses.</w:t>
      </w:r>
    </w:p>
    <w:p w14:paraId="64D2CAD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PMID:16861262 Inactive full-length p53 mutants lacking dominant wild-type p53 inhibition highlight loss of heterozygosity as an important aspect of p53 status in human cancers.</w:t>
      </w:r>
    </w:p>
    <w:p w14:paraId="030D96A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PMID:17496901 The AKT-mTOR pathway plays a critical role in the development of leiomyosarcomas.</w:t>
      </w:r>
    </w:p>
    <w:p w14:paraId="08FA1F2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PMID:17517660 NRAS mutation causes a human autoimmune lymphoproliferative syndrome.</w:t>
      </w:r>
    </w:p>
    <w:p w14:paraId="75E53AF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PMID:17604717 AKT/PKB signaling: navigating downstream.</w:t>
      </w:r>
    </w:p>
    <w:p w14:paraId="428C096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PMID:17646409 FBW7 mutations in leukemic cells mediate NOTCH pathway activation and resistance to gamma-secretase inhibitors.</w:t>
      </w:r>
    </w:p>
    <w:p w14:paraId="43D8DBA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PMID:17909001 FBXW7/hCDC4 is a general tumor suppressor in human cancer.</w:t>
      </w:r>
    </w:p>
    <w:p w14:paraId="0BA487E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PMID:17940504 PTEN loss of expression predicts cetuximab efficacy in metastatic colorectal cancer patients.</w:t>
      </w:r>
    </w:p>
    <w:p w14:paraId="4C0FE86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PMID:18157086 Dynamic histone H3 methylation during gene induction: HYPB/Setd2 mediates all H3K36 trimethylation.</w:t>
      </w:r>
    </w:p>
    <w:p w14:paraId="6D0973F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PMID:18288938 Advances of AKT pathway in human oncogenesis and as a target for anti-cancer drug discovery.</w:t>
      </w:r>
    </w:p>
    <w:p w14:paraId="3B649DC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PMID:18296419 Phase II trial of oral vorinostat (suberoylanilide hydroxamic acid) in relapsed diffuse large-B-cell lymphoma.</w:t>
      </w:r>
    </w:p>
    <w:p w14:paraId="2A62E2A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PMID:18313049 A cancer-associated RING finger protein, RNF43, is a ubiquitin ligase that interacts with a nuclear protein, HAP95.</w:t>
      </w:r>
    </w:p>
    <w:p w14:paraId="2A1D078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PMID:18541364 The Fbxw7/hCdc4 tumor suppressor in human cancer.</w:t>
      </w:r>
    </w:p>
    <w:p w14:paraId="6D50E49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PMID:18606717 Identification and characterization of NVP-BEZ235, a new orally available dual phosphatidylinositol 3-kinase/mammalian target of rapamycin inhibitor with potent in vivo antitumor activity.</w:t>
      </w:r>
    </w:p>
    <w:p w14:paraId="61ED765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PMID:18669866 PI3KCA/PTEN deregulation contributes to impaired responses to cetuximab in metastatic colorectal cancer patients.</w:t>
      </w:r>
    </w:p>
    <w:p w14:paraId="0B48EB4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PMID:18787170 FBXW7 targets mTOR for degradation and cooperates with PTEN in tumor suppression.</w:t>
      </w:r>
    </w:p>
    <w:p w14:paraId="581C751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PMID:18830229 Missense mutations to the TSC1 gene cause tuberous sclerosis complex</w:t>
      </w:r>
    </w:p>
    <w:p w14:paraId="096BFB9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PMID:19001320 Wild-type BRAF is required for response to panitumumab or cetuximab in metastatic colorectal cancer.</w:t>
      </w:r>
    </w:p>
    <w:p w14:paraId="45EF851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PMID:19221500 PTEN and p53 are required for hypoxia induced expression of maspin in glioblastoma cells.</w:t>
      </w:r>
    </w:p>
    <w:p w14:paraId="5E93D26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PMID:19336573 High incidence of protein-truncating TP53 mutations in BRCA1-related breast cancer.</w:t>
      </w:r>
    </w:p>
    <w:p w14:paraId="66A59C0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PMID:19407794 Cytoplasmic functions of the tumour suppressor p53.</w:t>
      </w:r>
    </w:p>
    <w:p w14:paraId="79E1CD7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PMID:19437103 PTEN regulates angiogenesis through PI3K/Akt/VEGF signaling pathway in human pancreatic cancer cells.</w:t>
      </w:r>
    </w:p>
    <w:p w14:paraId="2572E1D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PMID:19603018 KRAS codon 61, 146 and BRAF mutations predict resistance to cetuximab plus irinotecan in KRAS codon 12 and 13 wild-type metastatic colorectal cancer.</w:t>
      </w:r>
    </w:p>
    <w:p w14:paraId="247E7F4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PMID:19603024 Prognostic and predictive value of common mutations for treatment response and survival in patients with metastatic colorectal cancer.</w:t>
      </w:r>
    </w:p>
    <w:p w14:paraId="4EDAA28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PMID:19789314 Spectrum of phosphatidylinositol 3-kinase pathway gene alterations in bladder cancer.</w:t>
      </w:r>
    </w:p>
    <w:p w14:paraId="4701751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PMID:19810096 Combination of p53 codon 72 polymorphism and inactive p53 mutation predicts chemosensitivity to 5-fluorouracil in colorectal cancer.</w:t>
      </w:r>
    </w:p>
    <w:p w14:paraId="682A589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PMID:19884549 KRAS and BRAF mutations in advanced colorectal cancer are associated with poor prognosis but do not preclude benefit from oxaliplatin or irinotecan: results from the MRC FOCUS trial.</w:t>
      </w:r>
    </w:p>
    <w:p w14:paraId="4DFA8B5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PMID:20049735 Synthetic lethal targeting of PTEN mutant cells with PARP inhibitors.</w:t>
      </w:r>
    </w:p>
    <w:p w14:paraId="2F516F5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PMID:20162668 Combined analysis of specific KRAS mutation, BRAF and microsatellite instability identifies prognostic subgroups of sporadic and hereditary colorectal cancer.</w:t>
      </w:r>
    </w:p>
    <w:p w14:paraId="278EE4C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PMID:20501857 Histone methyltransferase gene SETD2 is a novel tumor suppressor gene in clear cell renal cell carcinoma.</w:t>
      </w:r>
    </w:p>
    <w:p w14:paraId="720E5E2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PMID:20619739 Effects of KRAS, BRAF, NRAS, and PIK3CA mutations on the efficacy of cetuximab plus chemotherapy in chemotherapy-refractory metastatic colorectal cancer: a retrospective consortium analysis.</w:t>
      </w:r>
    </w:p>
    <w:p w14:paraId="188D90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PMID:20630094 Incidence of the V600K mutation among melanoma patients with BRAF mutations, and potential therapeutic response to the specific BRAF inhibitor PLX4032.</w:t>
      </w:r>
    </w:p>
    <w:p w14:paraId="49F61F0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PMID:20635392 Optimizing targeted therapeutic development: analysis of a colorectal cancer patient population with the BRAF(V600E) mutation.</w:t>
      </w:r>
    </w:p>
    <w:p w14:paraId="2D72855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PMID:20658316 Polymorphic variants in TSC1 and TSC2 and their association with breast cancer phenotypes.</w:t>
      </w:r>
    </w:p>
    <w:p w14:paraId="3F87FF4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PMID:20921465 Randomized, phase III trial of panitumumab with infusional fluorouracil, leucovorin, and oxaliplatin (FOLFOX4) versus FOLFOX4 alone as first-line treatment in patients with previously untreated metastatic colorectal cancer: the PRIME study.</w:t>
      </w:r>
    </w:p>
    <w:p w14:paraId="358A046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PMID:20944102 Evidence for a tumour suppressor function of SETD2 in human breast cancer: a new hypothesis.</w:t>
      </w:r>
    </w:p>
    <w:p w14:paraId="27A59AF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PMID:21285991 BRAF mutation is a powerful prognostic factor in advanced and recurrent colorectal cancer.</w:t>
      </w:r>
    </w:p>
    <w:p w14:paraId="2F3F81C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PMID:21388974 BRAFV600E: implications for carcinogenesis and molecular therapy.</w:t>
      </w:r>
    </w:p>
    <w:p w14:paraId="1119059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PMID:21390130 CREBBP mutations in relapsed acute lymphoblastic leukaemia.</w:t>
      </w:r>
    </w:p>
    <w:p w14:paraId="62245CC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PMID:21456008 Impact of BRAF mutation and microsatellite instability on the pattern of metastatic spread and prognosis in metastatic colorectal cancer.</w:t>
      </w:r>
    </w:p>
    <w:p w14:paraId="270FED8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PMID:21641636 Addition of cetuximab to oxaliplatin-based first-line combination chemotherapy for treatment of advanced colorectal cancer: results of the randomised phase 3 MRC COIN trial.</w:t>
      </w:r>
    </w:p>
    <w:p w14:paraId="02F1A83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PMID:21728981 Anti-cancer peptides from ras-p21 and p53 proteins.</w:t>
      </w:r>
    </w:p>
    <w:p w14:paraId="34C5E7D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PMID:21775419 Hedgehog signaling: networking to nurture a promalignant tumor microenvironment.</w:t>
      </w:r>
    </w:p>
    <w:p w14:paraId="458C67F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PMID:22575959 ZNRF3 promotes Wnt receptor turnover in an R-spondin-sensitive manner.</w:t>
      </w:r>
    </w:p>
    <w:p w14:paraId="3548E9C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PMID:22662154 Genotype-dependent efficacy of a dual PI3K/mTOR inhibitor, NVP-BEZ235, and an mTOR inhibitor, RAD001, in endometrial carcinomas.</w:t>
      </w:r>
    </w:p>
    <w:p w14:paraId="40AC447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PMID:22753585 Phase I pharmacokinetic/pharmacodynamic study of MLN8237, an investigational, oral, selective aurora a kinase inhibitor, in patients with advanced solid tumors.</w:t>
      </w:r>
    </w:p>
    <w:p w14:paraId="30344AF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PMID:22810696 Comprehensive molecular characterization of human colon and rectal cancer.</w:t>
      </w:r>
    </w:p>
    <w:p w14:paraId="51A3274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PMID:22872685 Combination treatment in vitro with Nutlin, a small-molecule antagonist of MDM2, and pegylated interferon-α 2a specifically targets JAK2V617F-positive polycythemia vera cells.</w:t>
      </w:r>
    </w:p>
    <w:p w14:paraId="5624355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PMID:22965953 Targeting p53 in vivo: a first-in-human study with p53-targeting compound APR-246 in refractory hematologic malignancies and prostate cancer.</w:t>
      </w:r>
    </w:p>
    <w:p w14:paraId="77F888A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PMID:23066310 KRAS mutation testing in metastatic colorectal cancer.</w:t>
      </w:r>
    </w:p>
    <w:p w14:paraId="1168ACC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PMID:23264849 Gain-of-Function Activity of Mutant p53 in Lung Cancer through Up-Regulation of Receptor Protein Tyrosine Kinase Axl.</w:t>
      </w:r>
    </w:p>
    <w:p w14:paraId="786B0A5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PMID:23397951 Mutations of the BRAF gene in human cancer, by Davies et al. (Nature 2002; 417: 949-54).</w:t>
      </w:r>
    </w:p>
    <w:p w14:paraId="0203F77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PMID:23471917 An inducible knockout mouse to model the cell-autonomous role of PTEN in initiating endometrial, prostate and thyroid neoplasias.</w:t>
      </w:r>
    </w:p>
    <w:p w14:paraId="4A042EF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PMID:23515407 Characteristics of lung cancers harboring NRAS mutations.</w:t>
      </w:r>
    </w:p>
    <w:p w14:paraId="6D277C7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PMID:23558291 Rapamycin inhibits FBXW7 loss-induced epithelial-mesenchymal transition and cancer stem cell-like characteristics in colorectal cancer cells.</w:t>
      </w:r>
    </w:p>
    <w:p w14:paraId="3D4890B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PMID:23612969 A novel p53 mutant found in iatrogenic urothelial cancers is dysfunctional and can be rescued by a second-site global suppressor mutation.</w:t>
      </w:r>
    </w:p>
    <w:p w14:paraId="491E3E2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PMID:24024839 Panitumumab-FOLFOX4 treatment and RAS mutations in colorectal cancer.</w:t>
      </w:r>
    </w:p>
    <w:p w14:paraId="3458CF4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PMID:24277854 Targeting Wnt-driven cancer through the inhibition of Porcupine by LGK974.</w:t>
      </w:r>
    </w:p>
    <w:p w14:paraId="08C9D3B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PMID:24360397 Temsirolimus therapy in a patient with lung adenocarcinoma harboring an FBXW7 mutation.</w:t>
      </w:r>
    </w:p>
    <w:p w14:paraId="555F917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PMID:24368541 A loss-of-function mutation in PTCH1 suggests a role for autocrine hedgehog signaling in colorectal tumorigenesis.</w:t>
      </w:r>
    </w:p>
    <w:p w14:paraId="2E66487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PMID:24371765 Somatic mutations of the CREBBP and EP300 genes affect response to histone deacetylase inhibition in malignant DLBCL clones.</w:t>
      </w:r>
    </w:p>
    <w:p w14:paraId="1D3A837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PMID:24509477 Identification of functional cooperative mutations of SETD2 in human acute leukemia.</w:t>
      </w:r>
    </w:p>
    <w:p w14:paraId="3FA90B7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PMID:24586741 FBXW7 mutations in patients with advanced cancers: clinical and molecular characteristics and outcomes with mTOR inhibitors.</w:t>
      </w:r>
    </w:p>
    <w:p w14:paraId="11405EC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PMID:24608574 Characterization of the novel and specific PI3Kα inhibitor NVP-BYL719 and development of the patient stratification strategy for clinical trials.</w:t>
      </w:r>
    </w:p>
    <w:p w14:paraId="0F1FDB2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PMID:24658004 Recurrent SMARCA4 mutations in small cell carcinoma of the ovary.</w:t>
      </w:r>
    </w:p>
    <w:p w14:paraId="476E0B0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PMID:24718886 Final results from PRIME: randomized phase III study of panitumumab with FOLFOX4 for first-line treatment of metastatic colorectal cancer.</w:t>
      </w:r>
    </w:p>
    <w:p w14:paraId="53D499D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PMID:24770722 Genetic variations in STK11, PRKAA1, and TSC1 associated with prognosis for patients with colorectal cancer.</w:t>
      </w:r>
    </w:p>
    <w:p w14:paraId="358939C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PMID:24838627 PRIMA-1, a mutant p53 reactivator, induces apoptosis and enhances chemotherapeutic cytotoxicity in pancreatic cancer cell lines.</w:t>
      </w:r>
    </w:p>
    <w:p w14:paraId="7D610F2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PMID:24925223 Loss of ARID1A expression in colorectal carcinoma is strongly associated with mismatch repair deficiency.</w:t>
      </w:r>
    </w:p>
    <w:p w14:paraId="225E180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PMID:24979463 Loss of ARID1A expression sensitizes cancer cells to PI3K- and AKT-inhibition.</w:t>
      </w:r>
    </w:p>
    <w:p w14:paraId="106ED5C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PMID:25088940 FOLFIRI plus cetuximab versus FOLFIRI plus bevacizumab as first-line treatment for patients with metastatic colorectal cancer (FIRE-3): a randomised, open-label, phase 3 trial.</w:t>
      </w:r>
    </w:p>
    <w:p w14:paraId="4209B2D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PMID:25225355 De Novo proteome analysis of genetically modified tumor cells by a metabolic labeling/azide-alkyne cycloaddition approach.</w:t>
      </w:r>
    </w:p>
    <w:p w14:paraId="6A15BBC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PMID:25344691 RNF43 is frequently mutated in colorectal and endometrial cancers.</w:t>
      </w:r>
    </w:p>
    <w:p w14:paraId="708DA16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PMID:25448692 Ptch2 shares overlapping functions with Ptch1 in Smo regulation and limb development.</w:t>
      </w:r>
    </w:p>
    <w:p w14:paraId="5AC9960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PMID:25555218 F-box protein FBXW7 inhibits cancer metastasis in a non-cell-autonomous manner.</w:t>
      </w:r>
    </w:p>
    <w:p w14:paraId="0B55322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PMID:25902899 Phase I combination of pazopanib and everolimus in PIK3CA mutation positive/PTEN loss patients with advanced solid tumors refractory to standard therapy.</w:t>
      </w:r>
    </w:p>
    <w:p w14:paraId="28DCB2D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PMID:25987188 Aurora kinase A in gastrointestinal cancers: time to target.</w:t>
      </w:r>
    </w:p>
    <w:p w14:paraId="37FF29A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PMID:26069190 ARID1A Deficiency Impairs the DNA Damage Checkpoint and Sensitizes Cells to PARP Inhibitors.</w:t>
      </w:r>
    </w:p>
    <w:p w14:paraId="2A6B137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PMID:26086967 APR-246 overcomes resistance to cisplatin and doxorubicin in ovarian cancer cells.</w:t>
      </w:r>
    </w:p>
    <w:p w14:paraId="39DCFD0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PMID:26350900 The E3 ligase RNF43 inhibits Wnt signaling downstream of mutated β-catenin by sequestering TCF4 to the nuclear membrane.</w:t>
      </w:r>
    </w:p>
    <w:p w14:paraId="34A4FC7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PMID:26356327 Dual loss of the SWI/SNF complex ATPases SMARCA4/BRG1 and SMARCA2/BRM is highly sensitive and specific for small cell carcinoma of the ovary, hypercalcaemic type.</w:t>
      </w:r>
    </w:p>
    <w:p w14:paraId="269B295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PMID:26425688 TP53 Mutational Status and Prediction of Benefit from Adjuvant 5-Fluorouracil in Stage III Colon Cancer Patients.</w:t>
      </w:r>
    </w:p>
    <w:p w14:paraId="0901942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PMID:26452133 PRIMA-1met (APR-246) inhibits growth of colorectal cancer cells with different p53 status through distinct mechanisms.</w:t>
      </w:r>
    </w:p>
    <w:p w14:paraId="6D49105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PMID:26508446 Prediction of response to anti-EGFR antibody-based therapies by multigene sequencing in colorectal cancer patients.</w:t>
      </w:r>
    </w:p>
    <w:p w14:paraId="1DE7E44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PMID:26544513 Mutant HRAS as novel target for MEK and mTOR inhibitors.</w:t>
      </w:r>
    </w:p>
    <w:p w14:paraId="4A2C8A8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PMID:26787105 The prognostic effect of PTEN expression status in colorectal cancer development and evaluation of factors affecting it: miR-21 and promoter methylation.</w:t>
      </w:r>
    </w:p>
    <w:p w14:paraId="0389379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PMID:26795955 Tsc1 deficiency impairs mammary development in mice by suppression of AKT, nuclear ERα, and cell-cycle-driving proteins.</w:t>
      </w:r>
    </w:p>
    <w:p w14:paraId="0436A5F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PMID:26870698 Targeting of Mutant p53 and the Cellular Redox Balance by APR-246 as a Strategy for Efficient Cancer Therapy.</w:t>
      </w:r>
    </w:p>
    <w:p w14:paraId="6108F63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PMID:27166360 Phase 2 study of panobinostat with or without rituximab in relapsed diffuse large B-cell lymphoma.</w:t>
      </w:r>
    </w:p>
    <w:p w14:paraId="7010D36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PMID:27308506 Trial Watch: Targeting ATM-CHK2 and ATR-CHK1 pathways for anticancer therapy.</w:t>
      </w:r>
    </w:p>
    <w:p w14:paraId="183C0FB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PMID:27399335 FBW7 mutations mediate resistance of colorectal cancer to targeted therapies by blocking Mcl-1 degradation.</w:t>
      </w:r>
    </w:p>
    <w:p w14:paraId="17065C05">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PMID:27554855 Hedgehog Signal Transduction: Key Players, Oncogenic Drivers, and Cancer Therapy.</w:t>
      </w:r>
    </w:p>
    <w:p w14:paraId="5B975B0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PMID:27601554 Phase I Study Evaluating WEE1 Inhibitor AZD1775 As Monotherapy and in Combination With Gemcitabine, Cisplatin, or Carboplatin in Patients With Advanced Solid Tumors.</w:t>
      </w:r>
    </w:p>
    <w:p w14:paraId="23E3F34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PMID:27733359 CREBBP Inactivation Promotes the Development of HDAC3-Dependent Lymphomas.</w:t>
      </w:r>
    </w:p>
    <w:p w14:paraId="638849A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PMID:27750091 Hedgehog signaling in the stomach.</w:t>
      </w:r>
    </w:p>
    <w:p w14:paraId="780350E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PMID:28102363 SMARCA4-inactivating mutations increase sensitivity to Aurora kinase A inhibitor VX-680 in non-small cell lung cancers.</w:t>
      </w:r>
    </w:p>
    <w:p w14:paraId="1EEFB0B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PMID:28978051 Mutational status of TP53 defines the efficacy of Wee1 inhibitor AZD1775 in KRAS-mutant non-small cell lung cancer.</w:t>
      </w:r>
    </w:p>
    <w:p w14:paraId="5F9E68C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PMID:29401002 Phosphatidylinositol 3-Kinase α-Selective Inhibition With Alpelisib (BYL719) in PIK3CA-Altered Solid Tumors: Results From the First-in-Human Study.</w:t>
      </w:r>
    </w:p>
    <w:p w14:paraId="670B64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PMID:29489427 Alterations in DNA Damage Response and Repair Genes as Potential Marker of Clinical Benefit From PD-1/PD-L1 Blockade in Advanced Urothelial Cancers.</w:t>
      </w:r>
    </w:p>
    <w:p w14:paraId="48460B0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PMID:29522538 Exome-wide somatic mutation characterization of small bowel adenocarcinoma.</w:t>
      </w:r>
    </w:p>
    <w:p w14:paraId="6C1568A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PMID:29606854 Rucaparib: a novel PARP inhibitor for BRCA advanced ovarian cancer.</w:t>
      </w:r>
    </w:p>
    <w:p w14:paraId="722FF79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PMID:29955114 Synthetic lethal therapies for cancer: what's next after PARP inhibitors?</w:t>
      </w:r>
    </w:p>
    <w:p w14:paraId="532D53A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PMID:30086763 FBXW7: a critical tumor suppressor of human cancers.</w:t>
      </w:r>
    </w:p>
    <w:p w14:paraId="020C60A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PMID:30755439 Combined Aurora Kinase A (AURKA) and WEE1 Inhibition Demonstrates Synergistic Antitumor Effect in Squamous Cell Carcinoma of the Head and Neck.</w:t>
      </w:r>
    </w:p>
    <w:p w14:paraId="17734A1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PMID:31362788 Phase I and phase II sonidegib and vismodegib clinical trials for the treatment of paediatric and adult MB patients: a systemic review and meta-analysis.</w:t>
      </w:r>
    </w:p>
    <w:p w14:paraId="1912CF7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PMID:33144586 Functional characterization of SMARCA4 variants identified by targeted exome-sequencing of 131,668 cancer patients.</w:t>
      </w:r>
    </w:p>
    <w:p w14:paraId="42405FC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PMID:35247924 A Phase I Study Investigating AZD8186, a Potent and Selective Inhibitor of PI3Kβ/δ, in Patients with Advanced Solid Tumors.</w:t>
      </w:r>
    </w:p>
    <w:p w14:paraId="7F5FCBD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PMID:37256976 Capivasertib in Hormone Receptor-Positive Advanced Breast Cancer.</w:t>
      </w:r>
    </w:p>
    <w:p w14:paraId="114C23B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2014 ASCO Abstract 2019 Phase II trial of the phosphatidyinositol-3 kinase (PI3K) inhibitor buparlisib(BKM120) in recurrent glioblastoma.</w:t>
      </w:r>
    </w:p>
    <w:p w14:paraId="2036157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2015 AACR Abstract 5381 Therapeutic potential of HDAC inhibitors in small cell carcinoma of the ovary, hypercalcemic type (SCCOHT).</w:t>
      </w:r>
    </w:p>
    <w:p w14:paraId="2EAB1DC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2015 ASCO Abstract 11010 Next-generation sequencing to reveal somatic mutations that confer sensitivity to everolimus.</w:t>
      </w:r>
    </w:p>
    <w:p w14:paraId="73D418B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NCT00364013 https://clinicaltrials.gov.</w:t>
      </w:r>
    </w:p>
    <w:p w14:paraId="251FD83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NCT01351103 https://clinicaltrials.gov.</w:t>
      </w:r>
    </w:p>
    <w:p w14:paraId="217EEBA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NCT01430572 https://clinicaltrials.gov.</w:t>
      </w:r>
    </w:p>
    <w:p w14:paraId="5DE5720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NCT01458067  https://clinicaltrials.gov.</w:t>
      </w:r>
    </w:p>
    <w:p w14:paraId="44D76E8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NCT01470209 https://clinicaltrials.gov.</w:t>
      </w:r>
    </w:p>
    <w:p w14:paraId="0260842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NCT01833169 https://clinicaltrials.gov.</w:t>
      </w:r>
    </w:p>
    <w:p w14:paraId="28F1F95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NCT02098343 https://clinicaltrials.gov.</w:t>
      </w:r>
    </w:p>
    <w:p w14:paraId="6855EF5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NCT02278133 https://clinicaltrials.gov.</w:t>
      </w:r>
    </w:p>
    <w:p w14:paraId="4D69435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NCT02286687 https://clinicaltrials.gov.</w:t>
      </w:r>
    </w:p>
    <w:p w14:paraId="608C173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NCT02401347 https://clinicaltrials.gov.</w:t>
      </w:r>
    </w:p>
    <w:p w14:paraId="4E5D09A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NCT02449538 https://clinicaltrials.gov.</w:t>
      </w:r>
    </w:p>
    <w:p w14:paraId="70D07283">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NCT02465060 https://clinicaltrials.gov.</w:t>
      </w:r>
    </w:p>
    <w:p w14:paraId="5BE95624">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NCT02576444 https://clinicaltrials.gov.</w:t>
      </w:r>
    </w:p>
    <w:p w14:paraId="5FE099E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NCT02693535 https://clinicaltrials.gov.</w:t>
      </w:r>
    </w:p>
    <w:p w14:paraId="4CD92D1F">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NCT02797964 https://clinicaltrials.gov.</w:t>
      </w:r>
    </w:p>
    <w:p w14:paraId="72850E2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NCT02873975 https://clinicaltrials.gov.</w:t>
      </w:r>
    </w:p>
    <w:p w14:paraId="76B40811">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NCT02906059 https://clinicaltrials.gov.</w:t>
      </w:r>
    </w:p>
    <w:p w14:paraId="012E366A">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NCT03072043 https://clinicaltrials.gov.</w:t>
      </w:r>
    </w:p>
    <w:p w14:paraId="3515908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NCT03207347 https://clinicaltrials.gov.</w:t>
      </w:r>
    </w:p>
    <w:p w14:paraId="5AA7DD6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NCT03209401 https://clinicaltrials.gov.</w:t>
      </w:r>
    </w:p>
    <w:p w14:paraId="3A8EF6D9">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NCT03213665 https://clinicaltrials.gov.</w:t>
      </w:r>
    </w:p>
    <w:p w14:paraId="72A6627B">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NCT03284385 https://clinicaltrials.gov.</w:t>
      </w:r>
    </w:p>
    <w:p w14:paraId="62EFFA9D">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NCT03297424 https://clinicaltrials.gov.</w:t>
      </w:r>
    </w:p>
    <w:p w14:paraId="220F6CF8">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NCT03297606 https://clinicaltrials.gov.</w:t>
      </w:r>
    </w:p>
    <w:p w14:paraId="5324279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NCT03375307 https://clinicaltrials.gov.</w:t>
      </w:r>
    </w:p>
    <w:p w14:paraId="30391926">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NCT03434262 https://clinicaltrials.gov.</w:t>
      </w:r>
    </w:p>
    <w:p w14:paraId="25C8FEE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NCT03817515 https://clinicaltrials.gov.</w:t>
      </w:r>
    </w:p>
    <w:p w14:paraId="7B9A322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NCT03842228 https://clinicaltrials.gov.</w:t>
      </w:r>
    </w:p>
    <w:p w14:paraId="4234580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NCT04042831 https://clinicaltrials.gov.</w:t>
      </w:r>
    </w:p>
    <w:p w14:paraId="04AE7B2C">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NCT04251533 https://clinicaltrials.gov.</w:t>
      </w:r>
    </w:p>
    <w:p w14:paraId="0554214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NCT04305496 https://clinicaltrials.gov.</w:t>
      </w:r>
    </w:p>
    <w:p w14:paraId="596E68C2">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NCT04317105 https://clinicaltrials.gov.</w:t>
      </w:r>
    </w:p>
    <w:p w14:paraId="128E1320">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NCT04633902 https://clinicaltrials.gov.</w:t>
      </w:r>
    </w:p>
    <w:p w14:paraId="5F7973B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NCT04740190 https://clinicaltrials.gov.</w:t>
      </w:r>
    </w:p>
    <w:p w14:paraId="3AE34797">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NCT05103358 https://clinicaltrials.gov.</w:t>
      </w:r>
    </w:p>
    <w:p w14:paraId="24BED98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NCT05226507 https://clinicaltrials.gov.</w:t>
      </w:r>
    </w:p>
    <w:p w14:paraId="45DB738E">
      <w:pPr>
        <w:keepNext w:val="0"/>
        <w:keepLines w:val="0"/>
        <w:pageBreakBefore w:val="0"/>
        <w:widowControl/>
        <w:numPr>
          <w:ilvl w:val="0"/>
          <w:numId w:val="22"/>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NCT05300048 https://clinicaltrials.gov.</w:t>
      </w:r>
    </w:p>
    <w:p w14:paraId="147FEC35">
      <w:pPr>
        <w:numPr>
          <w:ilvl w:val="0"/>
          <w:numId w:val="0"/>
        </w:numPr>
        <w:rPr>
          <w:rFonts w:hint="default"/>
          <w:lang w:val="en-US" w:eastAsia="zh-CN"/>
        </w:rPr>
      </w:pPr>
    </w:p>
    <w:p w14:paraId="4F81779C">
      <w:pPr>
        <w:rPr>
          <w:rFonts w:hint="eastAsia" w:ascii="微软雅黑" w:hAnsi="微软雅黑"/>
          <w:b/>
          <w:color w:val="00C4D8"/>
          <w:sz w:val="28"/>
          <w:szCs w:val="28"/>
        </w:rPr>
      </w:pPr>
      <w:r>
        <w:rPr>
          <w:rFonts w:hint="eastAsia" w:ascii="微软雅黑" w:hAnsi="微软雅黑"/>
          <w:b/>
          <w:color w:val="00C4D8"/>
          <w:sz w:val="28"/>
          <w:szCs w:val="28"/>
        </w:rPr>
        <w:br w:type="page"/>
      </w:r>
    </w:p>
    <w:p w14:paraId="6F87A408">
      <w:pPr>
        <w:adjustRightInd/>
        <w:snapToGrid/>
        <w:spacing w:before="200"/>
        <w:rPr>
          <w:rFonts w:hint="eastAsia" w:ascii="微软雅黑" w:hAnsi="微软雅黑"/>
          <w:b/>
          <w:color w:val="00C4D8"/>
          <w:sz w:val="28"/>
          <w:szCs w:val="28"/>
        </w:rPr>
      </w:pPr>
    </w:p>
    <w:p w14:paraId="66E2C0FB">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0C6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6597A1BA">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304E3A24">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14:paraId="0C6B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81869D1">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9C39BEB">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3AEC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2A30DC6">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791A26D2">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21E7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2C6C02B">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72E99D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5D9E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7788F5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1314E7F0">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5244B67E">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251B4FF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68895621">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14:paraId="5A3112B5">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1D6ADDD0">
      <w:pPr>
        <w:pStyle w:val="14"/>
        <w:keepNext w:val="0"/>
        <w:keepLines w:val="0"/>
        <w:pageBreakBefore w:val="0"/>
        <w:widowControl/>
        <w:kinsoku/>
        <w:wordWrap/>
        <w:overflowPunct/>
        <w:topLinePunct w:val="0"/>
        <w:autoSpaceDE/>
        <w:autoSpaceDN/>
        <w:bidi w:val="0"/>
        <w:adjustRightInd/>
        <w:snapToGrid/>
        <w:spacing w:beforeAutospacing="0" w:afterAutospacing="0" w:line="300" w:lineRule="auto"/>
        <w:jc w:val="both"/>
        <w:textAlignment w:val="auto"/>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08D2E98F">
      <w:pPr>
        <w:pStyle w:val="14"/>
        <w:keepNext w:val="0"/>
        <w:keepLines w:val="0"/>
        <w:pageBreakBefore w:val="0"/>
        <w:widowControl/>
        <w:kinsoku/>
        <w:wordWrap/>
        <w:overflowPunct/>
        <w:topLinePunct w:val="0"/>
        <w:autoSpaceDE/>
        <w:autoSpaceDN/>
        <w:bidi w:val="0"/>
        <w:adjustRightInd/>
        <w:snapToGrid/>
        <w:spacing w:beforeAutospacing="0" w:afterAutospacing="0" w:line="300" w:lineRule="auto"/>
        <w:jc w:val="both"/>
        <w:textAlignment w:val="auto"/>
        <w:rPr>
          <w:rFonts w:ascii="微软雅黑" w:hAnsi="微软雅黑" w:cs="微软雅黑"/>
          <w:sz w:val="21"/>
          <w:szCs w:val="21"/>
        </w:rPr>
      </w:pPr>
      <w:r>
        <w:rPr>
          <w:rFonts w:hint="eastAsia" w:ascii="微软雅黑" w:hAnsi="微软雅黑" w:cs="微软雅黑"/>
          <w:sz w:val="21"/>
          <w:szCs w:val="21"/>
        </w:rPr>
        <w:t xml:space="preserve">2. </w:t>
      </w:r>
      <w:bookmarkStart w:id="268" w:name="OLE_LINK45"/>
      <w:r>
        <w:rPr>
          <w:rFonts w:hint="eastAsia" w:ascii="微软雅黑" w:hAnsi="微软雅黑" w:cs="微软雅黑"/>
          <w:sz w:val="21"/>
          <w:szCs w:val="21"/>
        </w:rPr>
        <w:t>血浆中循环肿瘤DNA</w:t>
      </w:r>
      <w:bookmarkEnd w:id="26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1EB678F4">
      <w:pPr>
        <w:pStyle w:val="14"/>
        <w:keepNext w:val="0"/>
        <w:keepLines w:val="0"/>
        <w:pageBreakBefore w:val="0"/>
        <w:widowControl/>
        <w:kinsoku/>
        <w:wordWrap/>
        <w:overflowPunct/>
        <w:topLinePunct w:val="0"/>
        <w:autoSpaceDE/>
        <w:autoSpaceDN/>
        <w:bidi w:val="0"/>
        <w:adjustRightInd/>
        <w:snapToGrid/>
        <w:spacing w:beforeAutospacing="0" w:afterAutospacing="0" w:line="300" w:lineRule="auto"/>
        <w:jc w:val="both"/>
        <w:textAlignment w:val="auto"/>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5D5A2A76">
      <w:pPr>
        <w:keepNext w:val="0"/>
        <w:keepLines w:val="0"/>
        <w:pageBreakBefore w:val="0"/>
        <w:widowControl/>
        <w:kinsoku/>
        <w:wordWrap/>
        <w:overflowPunct/>
        <w:topLinePunct w:val="0"/>
        <w:autoSpaceDE/>
        <w:autoSpaceDN/>
        <w:bidi w:val="0"/>
        <w:adjustRightInd/>
        <w:snapToGrid/>
        <w:spacing w:after="0" w:line="300" w:lineRule="auto"/>
        <w:jc w:val="both"/>
        <w:textAlignment w:val="auto"/>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59FA2624">
      <w:pPr>
        <w:keepNext w:val="0"/>
        <w:keepLines w:val="0"/>
        <w:pageBreakBefore w:val="0"/>
        <w:widowControl/>
        <w:kinsoku/>
        <w:wordWrap/>
        <w:overflowPunct/>
        <w:topLinePunct w:val="0"/>
        <w:autoSpaceDE/>
        <w:autoSpaceDN/>
        <w:bidi w:val="0"/>
        <w:adjustRightInd/>
        <w:snapToGrid/>
        <w:spacing w:after="0" w:line="300" w:lineRule="auto"/>
        <w:jc w:val="both"/>
        <w:textAlignment w:val="auto"/>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78DF5CA0">
      <w:pPr>
        <w:pStyle w:val="44"/>
        <w:spacing w:line="300" w:lineRule="auto"/>
        <w:ind w:firstLine="0" w:firstLineChars="0"/>
        <w:rPr>
          <w:b/>
          <w:sz w:val="28"/>
          <w:szCs w:val="28"/>
        </w:rPr>
      </w:pPr>
    </w:p>
    <w:p w14:paraId="02CE02C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1767FF2A">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5922A84E">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5292E3C7">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7D08C331">
      <w:pPr>
        <w:spacing w:line="300" w:lineRule="auto"/>
        <w:ind w:firstLine="420" w:firstLineChars="200"/>
        <w:jc w:val="both"/>
        <w:rPr>
          <w:sz w:val="21"/>
          <w:szCs w:val="21"/>
        </w:rPr>
      </w:pPr>
    </w:p>
    <w:p w14:paraId="39857C40">
      <w:pPr>
        <w:spacing w:line="300" w:lineRule="auto"/>
        <w:ind w:firstLine="420" w:firstLineChars="200"/>
        <w:jc w:val="both"/>
        <w:rPr>
          <w:sz w:val="21"/>
          <w:szCs w:val="21"/>
        </w:rPr>
      </w:pPr>
    </w:p>
    <w:p w14:paraId="009582E2">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182FB8AC">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57084255">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39CBA0D6">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2168E792">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17C120FB">
      <w:pPr>
        <w:spacing w:line="300" w:lineRule="auto"/>
        <w:ind w:firstLine="420" w:firstLineChars="200"/>
        <w:jc w:val="both"/>
        <w:rPr>
          <w:sz w:val="21"/>
          <w:szCs w:val="21"/>
        </w:rPr>
      </w:pPr>
    </w:p>
    <w:p w14:paraId="2F4A8657">
      <w:pPr>
        <w:spacing w:line="300" w:lineRule="auto"/>
        <w:ind w:firstLine="440" w:firstLineChars="200"/>
        <w:jc w:val="both"/>
        <w:rPr>
          <w:sz w:val="21"/>
          <w:szCs w:val="21"/>
        </w:rPr>
      </w:pPr>
      <w:r>
        <w:rPr>
          <w:rFonts w:hint="eastAsia"/>
        </w:rPr>
        <w:t xml:space="preserve">  </w:t>
      </w:r>
    </w:p>
    <w:p w14:paraId="13F6AD9E">
      <w:pPr>
        <w:spacing w:line="300" w:lineRule="auto"/>
        <w:rPr>
          <w:sz w:val="21"/>
          <w:szCs w:val="21"/>
        </w:rPr>
        <w:sectPr>
          <w:headerReference r:id="rId9" w:type="default"/>
          <w:footerReference r:id="rId10" w:type="default"/>
          <w:pgSz w:w="11906" w:h="16838"/>
          <w:pgMar w:top="1440" w:right="1800" w:bottom="1440" w:left="1800" w:header="709" w:footer="708" w:gutter="0"/>
          <w:pgBorders>
            <w:top w:val="none" w:sz="0" w:space="0"/>
            <w:left w:val="none" w:sz="0" w:space="0"/>
            <w:bottom w:val="none" w:sz="0" w:space="0"/>
            <w:right w:val="none" w:sz="0" w:space="0"/>
          </w:pgBorders>
          <w:cols w:space="708" w:num="1"/>
          <w:docGrid w:linePitch="360" w:charSpace="0"/>
        </w:sectPr>
      </w:pPr>
    </w:p>
    <w:bookmarkEnd w:id="14"/>
    <w:bookmarkEnd w:id="15"/>
    <w:p w14:paraId="47C8D7F2">
      <w:pPr>
        <w:spacing w:after="0"/>
        <w:jc w:val="center"/>
      </w:pPr>
      <w:r>
        <w:rPr>
          <w:rFonts w:hint="eastAsia" w:ascii="微软雅黑" w:hAnsi="微软雅黑" w:eastAsia="微软雅黑" w:cs="微软雅黑"/>
          <w:b/>
          <w:sz w:val="21"/>
          <w:szCs w:val="21"/>
          <w:lang w:eastAsia="zh-CN"/>
        </w:rPr>
        <w:drawing>
          <wp:anchor distT="0" distB="0" distL="114300" distR="114300" simplePos="0" relativeHeight="251692032"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sectPr>
      <w:headerReference r:id="rId13" w:type="first"/>
      <w:headerReference r:id="rId11" w:type="default"/>
      <w:footerReference r:id="rId14" w:type="default"/>
      <w:headerReference r:id="rId12" w:type="even"/>
      <w:pgSz w:w="11906" w:h="16838"/>
      <w:pgMar w:top="720" w:right="720" w:bottom="720" w:left="720" w:header="709"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altName w:val="宋体"/>
    <w:panose1 w:val="02010509060101010101"/>
    <w:charset w:val="86"/>
    <w:family w:val="modern"/>
    <w:pitch w:val="default"/>
    <w:sig w:usb0="00000000" w:usb1="0000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B09AB">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C4269">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74EE2">
    <w:pPr>
      <w:pStyle w:val="8"/>
      <w:pBdr>
        <w:top w:val="single" w:color="auto" w:sz="4" w:space="0"/>
      </w:pBdr>
      <w:jc w:val="center"/>
      <w:rPr>
        <w:sz w:val="21"/>
        <w:szCs w:val="21"/>
      </w:rPr>
    </w:pPr>
    <w:r>
      <w:drawing>
        <wp:anchor distT="0" distB="0" distL="114300" distR="114300" simplePos="0" relativeHeight="251687936" behindDoc="1" locked="0" layoutInCell="1" allowOverlap="1">
          <wp:simplePos x="0" y="0"/>
          <wp:positionH relativeFrom="margin">
            <wp:posOffset>769620</wp:posOffset>
          </wp:positionH>
          <wp:positionV relativeFrom="margin">
            <wp:posOffset>1937385</wp:posOffset>
          </wp:positionV>
          <wp:extent cx="3599815" cy="3599815"/>
          <wp:effectExtent l="0" t="0" r="0" b="0"/>
          <wp:wrapNone/>
          <wp:docPr id="21"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382153015" descr="脉络生物-单色LOGO"/>
                  <pic:cNvPicPr>
                    <a:picLocks noChangeAspect="1"/>
                  </pic:cNvPicPr>
                </pic:nvPicPr>
                <pic:blipFill>
                  <a:blip r:embed="rId1">
                    <a:lum bright="70000" contrast="-70000"/>
                  </a:blip>
                  <a:stretch>
                    <a:fillRect/>
                  </a:stretch>
                </pic:blipFill>
                <pic:spPr>
                  <a:xfrm>
                    <a:off x="0" y="0"/>
                    <a:ext cx="3599815" cy="3599815"/>
                  </a:xfrm>
                  <a:prstGeom prst="rect">
                    <a:avLst/>
                  </a:prstGeom>
                </pic:spPr>
              </pic:pic>
            </a:graphicData>
          </a:graphic>
        </wp:anchor>
      </w:drawing>
    </w:r>
    <w:r>
      <w:rPr>
        <w:sz w:val="21"/>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033E4E1C">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LPWiFtkBAACxAwAADgAAAAAAAAABACAA&#10;AAAeAQAAZHJzL2Uyb0RvYy54bWxQSwUGAAAAAAYABgBZAQAAaQUAAAAA&#10;">
              <v:fill on="f" focussize="0,0"/>
              <v:stroke on="f"/>
              <v:imagedata o:title=""/>
              <o:lock v:ext="edit" aspectratio="f"/>
              <v:textbox inset="0mm,0mm,0mm,0mm" style="mso-fit-shape-to-text:t;">
                <w:txbxContent>
                  <w:p w14:paraId="033E4E1C">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32412A2A">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B77AE">
    <w:pPr>
      <w:pStyle w:val="8"/>
      <w:pBdr>
        <w:top w:val="single" w:color="auto" w:sz="4" w:space="0"/>
      </w:pBdr>
      <w:jc w:val="center"/>
      <w:rPr>
        <w:sz w:val="21"/>
        <w:szCs w:val="21"/>
      </w:rPr>
    </w:pPr>
    <w:r>
      <w:rPr>
        <w:sz w:val="21"/>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0B908CDB">
                          <w:pPr>
                            <w:rPr>
                              <w:rFonts w:hint="eastAsia" w:eastAsia="微软雅黑"/>
                              <w:sz w:val="21"/>
                              <w:szCs w:val="21"/>
                              <w:lang w:val="en-US" w:eastAsia="zh-CN"/>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14:paraId="0B908CDB">
                    <w:pPr>
                      <w:rPr>
                        <w:rFonts w:hint="eastAsia" w:eastAsia="微软雅黑"/>
                        <w:sz w:val="21"/>
                        <w:szCs w:val="21"/>
                        <w:lang w:val="en-US" w:eastAsia="zh-CN"/>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7D13AFAA">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81C93">
    <w:pPr>
      <w:pStyle w:val="8"/>
      <w:jc w:val="center"/>
    </w:pPr>
    <w: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5338D4E7">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14:paraId="5338D4E7">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60E7BBED">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FDC52">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62349">
    <w:pPr>
      <w:pStyle w:val="9"/>
      <w:tabs>
        <w:tab w:val="left" w:pos="6558"/>
        <w:tab w:val="clear" w:pos="4153"/>
        <w:tab w:val="clear" w:pos="8306"/>
      </w:tabs>
      <w:spacing w:after="0"/>
      <w:jc w:val="left"/>
      <w:rPr>
        <w:rFonts w:hint="eastAsia" w:ascii="幼圆" w:hAnsi="幼圆" w:eastAsia="幼圆" w:cs="幼圆"/>
        <w:sz w:val="21"/>
        <w:szCs w:val="21"/>
        <w:lang w:val="en-US" w:eastAsia="zh-CN"/>
      </w:rPr>
    </w:pPr>
    <w:r>
      <w:drawing>
        <wp:anchor distT="0" distB="0" distL="114300" distR="114300" simplePos="0" relativeHeight="251688960"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74" name="图片 7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lang w:val="en-US" w:eastAsia="zh-CN"/>
      </w:rPr>
      <w:t xml:space="preserve"> </w:t>
    </w:r>
    <w:r>
      <w:drawing>
        <wp:anchor distT="0" distB="0" distL="114300" distR="114300" simplePos="0" relativeHeight="251689984"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76" name="图片 7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72AA4DC">
    <w:pPr>
      <w:pStyle w:val="9"/>
      <w:tabs>
        <w:tab w:val="left" w:pos="6558"/>
        <w:tab w:val="clear" w:pos="4153"/>
        <w:tab w:val="clear" w:pos="8306"/>
      </w:tabs>
      <w:spacing w:after="0"/>
      <w:ind w:firstLine="3570" w:firstLineChars="1700"/>
      <w:jc w:val="left"/>
      <w:rPr>
        <w:rFonts w:hint="eastAsia" w:ascii="幼圆" w:hAnsi="幼圆" w:eastAsia="幼圆" w:cs="幼圆"/>
        <w:sz w:val="21"/>
        <w:szCs w:val="21"/>
      </w:rPr>
    </w:pPr>
    <w:r>
      <w:rPr>
        <w:rFonts w:hint="eastAsia" w:ascii="幼圆" w:hAnsi="幼圆" w:eastAsia="幼圆" w:cs="幼圆"/>
        <w:sz w:val="21"/>
        <w:szCs w:val="21"/>
        <w:lang w:val="en-US" w:eastAsia="zh-CN"/>
      </w:rPr>
      <w:t xml:space="preserve">姓名：杨庆铁                 </w:t>
    </w:r>
    <w:r>
      <w:rPr>
        <w:rFonts w:hint="eastAsia" w:ascii="幼圆" w:hAnsi="幼圆" w:eastAsia="幼圆" w:cs="幼圆"/>
        <w:sz w:val="21"/>
        <w:szCs w:val="21"/>
      </w:rPr>
      <w:t>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1D37E">
    <w:pPr>
      <w:pStyle w:val="9"/>
      <w:tabs>
        <w:tab w:val="left" w:pos="6558"/>
        <w:tab w:val="clear" w:pos="4153"/>
        <w:tab w:val="clear" w:pos="8306"/>
      </w:tabs>
      <w:spacing w:after="0" w:line="360" w:lineRule="auto"/>
      <w:jc w:val="left"/>
    </w:pPr>
    <w:r>
      <w:drawing>
        <wp:anchor distT="0" distB="0" distL="114300" distR="114300" simplePos="0" relativeHeight="251683840"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21534D2">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lang w:val="en-US" w:eastAsia="zh-CN"/>
      </w:rPr>
      <w:t xml:space="preserve">姓名：杨庆铁                 </w:t>
    </w:r>
    <w:r>
      <w:drawing>
        <wp:anchor distT="0" distB="0" distL="114300" distR="114300" simplePos="0" relativeHeight="251685888"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18"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5B57A">
    <w:pPr>
      <w:pStyle w:val="9"/>
      <w:pBdr>
        <w:bottom w:val="none" w:color="auto" w:sz="0" w:space="0"/>
      </w:pBdr>
      <w:tabs>
        <w:tab w:val="left" w:pos="1773"/>
        <w:tab w:val="clear" w:pos="4153"/>
        <w:tab w:val="clear" w:pos="8306"/>
      </w:tabs>
      <w:jc w:val="left"/>
    </w:pPr>
  </w:p>
  <w:p w14:paraId="6D9E45E0">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5F2A3">
    <w:pPr>
      <w:pStyle w:val="9"/>
    </w:pPr>
    <w:r>
      <w:drawing>
        <wp:anchor distT="0" distB="0" distL="114300" distR="114300" simplePos="0" relativeHeight="251677696"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50FE2">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C04903CC"/>
    <w:multiLevelType w:val="singleLevel"/>
    <w:tmpl w:val="C04903CC"/>
    <w:lvl w:ilvl="0" w:tentative="0">
      <w:start w:val="1"/>
      <w:numFmt w:val="decimal"/>
      <w:suff w:val="space"/>
      <w:lvlText w:val="%1."/>
      <w:lvlJc w:val="left"/>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5">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4951CAF1"/>
    <w:multiLevelType w:val="singleLevel"/>
    <w:tmpl w:val="4951CAF1"/>
    <w:lvl w:ilvl="0" w:tentative="0">
      <w:start w:val="1"/>
      <w:numFmt w:val="decimal"/>
      <w:suff w:val="space"/>
      <w:lvlText w:val="[%1]"/>
      <w:lvlJc w:val="left"/>
    </w:lvl>
  </w:abstractNum>
  <w:abstractNum w:abstractNumId="7">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8">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9">
    <w:nsid w:val="5979611E"/>
    <w:multiLevelType w:val="singleLevel"/>
    <w:tmpl w:val="5979611E"/>
    <w:lvl w:ilvl="0" w:tentative="0">
      <w:start w:val="1"/>
      <w:numFmt w:val="bullet"/>
      <w:lvlText w:val=""/>
      <w:lvlJc w:val="left"/>
      <w:pPr>
        <w:ind w:left="420" w:leftChars="0" w:hanging="420" w:firstLineChars="0"/>
      </w:pPr>
      <w:rPr>
        <w:rFonts w:hint="default" w:ascii="Wingdings" w:hAnsi="Wingdings"/>
        <w:color w:val="000000" w:themeColor="text1"/>
        <w14:textFill>
          <w14:solidFill>
            <w14:schemeClr w14:val="tx1"/>
          </w14:solidFill>
        </w14:textFill>
      </w:rPr>
    </w:lvl>
  </w:abstractNum>
  <w:abstractNum w:abstractNumId="10">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1">
    <w:nsid w:val="5B10DDC0"/>
    <w:multiLevelType w:val="singleLevel"/>
    <w:tmpl w:val="5B10DDC0"/>
    <w:lvl w:ilvl="0" w:tentative="0">
      <w:start w:val="1"/>
      <w:numFmt w:val="decimal"/>
      <w:suff w:val="space"/>
      <w:lvlText w:val="[%1]"/>
      <w:lvlJc w:val="left"/>
    </w:lvl>
  </w:abstractNum>
  <w:abstractNum w:abstractNumId="12">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3">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3A48B0C"/>
    <w:multiLevelType w:val="singleLevel"/>
    <w:tmpl w:val="73A48B0C"/>
    <w:lvl w:ilvl="0" w:tentative="0">
      <w:start w:val="1"/>
      <w:numFmt w:val="decimal"/>
      <w:suff w:val="space"/>
      <w:lvlText w:val="[%1]"/>
      <w:lvlJc w:val="left"/>
    </w:lvl>
  </w:abstractNum>
  <w:abstractNum w:abstractNumId="16">
    <w:nsid w:val="74C1E8E5"/>
    <w:multiLevelType w:val="singleLevel"/>
    <w:tmpl w:val="74C1E8E5"/>
    <w:lvl w:ilvl="0" w:tentative="0">
      <w:start w:val="1"/>
      <w:numFmt w:val="bullet"/>
      <w:lvlText w:val=""/>
      <w:lvlJc w:val="left"/>
      <w:pPr>
        <w:ind w:left="420" w:hanging="420"/>
      </w:pPr>
      <w:rPr>
        <w:rFonts w:hint="default" w:ascii="Wingdings" w:hAnsi="Wingdings"/>
      </w:rPr>
    </w:lvl>
  </w:abstractNum>
  <w:abstractNum w:abstractNumId="17">
    <w:nsid w:val="7515515F"/>
    <w:multiLevelType w:val="singleLevel"/>
    <w:tmpl w:val="7515515F"/>
    <w:lvl w:ilvl="0" w:tentative="0">
      <w:start w:val="1"/>
      <w:numFmt w:val="decimal"/>
      <w:suff w:val="space"/>
      <w:lvlText w:val="%1."/>
      <w:lvlJc w:val="left"/>
    </w:lvl>
  </w:abstractNum>
  <w:abstractNum w:abstractNumId="18">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19">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0">
    <w:nsid w:val="78AFFE8A"/>
    <w:multiLevelType w:val="singleLevel"/>
    <w:tmpl w:val="78AFFE8A"/>
    <w:lvl w:ilvl="0" w:tentative="0">
      <w:start w:val="1"/>
      <w:numFmt w:val="bullet"/>
      <w:lvlText w:val=""/>
      <w:lvlJc w:val="left"/>
      <w:pPr>
        <w:ind w:left="420" w:hanging="420"/>
      </w:pPr>
      <w:rPr>
        <w:rFonts w:hint="default" w:ascii="Wingdings" w:hAnsi="Wingdings"/>
        <w:color w:val="FF0000"/>
      </w:rPr>
    </w:lvl>
  </w:abstractNum>
  <w:abstractNum w:abstractNumId="21">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7"/>
  </w:num>
  <w:num w:numId="2">
    <w:abstractNumId w:val="3"/>
  </w:num>
  <w:num w:numId="3">
    <w:abstractNumId w:val="21"/>
  </w:num>
  <w:num w:numId="4">
    <w:abstractNumId w:val="15"/>
  </w:num>
  <w:num w:numId="5">
    <w:abstractNumId w:val="10"/>
  </w:num>
  <w:num w:numId="6">
    <w:abstractNumId w:val="13"/>
  </w:num>
  <w:num w:numId="7">
    <w:abstractNumId w:val="6"/>
  </w:num>
  <w:num w:numId="8">
    <w:abstractNumId w:val="14"/>
  </w:num>
  <w:num w:numId="9">
    <w:abstractNumId w:val="5"/>
  </w:num>
  <w:num w:numId="10">
    <w:abstractNumId w:val="7"/>
  </w:num>
  <w:num w:numId="11">
    <w:abstractNumId w:val="20"/>
  </w:num>
  <w:num w:numId="12">
    <w:abstractNumId w:val="8"/>
  </w:num>
  <w:num w:numId="13">
    <w:abstractNumId w:val="9"/>
  </w:num>
  <w:num w:numId="14">
    <w:abstractNumId w:val="16"/>
  </w:num>
  <w:num w:numId="15">
    <w:abstractNumId w:val="4"/>
  </w:num>
  <w:num w:numId="16">
    <w:abstractNumId w:val="18"/>
  </w:num>
  <w:num w:numId="17">
    <w:abstractNumId w:val="2"/>
  </w:num>
  <w:num w:numId="18">
    <w:abstractNumId w:val="19"/>
  </w:num>
  <w:num w:numId="19">
    <w:abstractNumId w:val="0"/>
  </w:num>
  <w:num w:numId="20">
    <w:abstractNumId w:val="12"/>
  </w:num>
  <w:num w:numId="21">
    <w:abstractNumId w:val="1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YTc3ZTFiNzFmNGE3NDEzYTI4OTgzOTk1NGM1OWM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3654"/>
    <w:rsid w:val="00014CA9"/>
    <w:rsid w:val="000164C7"/>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4934"/>
    <w:rsid w:val="000349D5"/>
    <w:rsid w:val="00035026"/>
    <w:rsid w:val="000353FC"/>
    <w:rsid w:val="00036CCB"/>
    <w:rsid w:val="00037C01"/>
    <w:rsid w:val="00041C6F"/>
    <w:rsid w:val="00042783"/>
    <w:rsid w:val="000446AA"/>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1C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135"/>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CE7"/>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16D"/>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1C92"/>
    <w:rsid w:val="006F3219"/>
    <w:rsid w:val="006F4ECC"/>
    <w:rsid w:val="006F55BE"/>
    <w:rsid w:val="006F5909"/>
    <w:rsid w:val="006F7404"/>
    <w:rsid w:val="006F7B45"/>
    <w:rsid w:val="00703436"/>
    <w:rsid w:val="00703BEB"/>
    <w:rsid w:val="00703C84"/>
    <w:rsid w:val="00703D88"/>
    <w:rsid w:val="00705234"/>
    <w:rsid w:val="00705854"/>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4B1D"/>
    <w:rsid w:val="009F5123"/>
    <w:rsid w:val="009F703E"/>
    <w:rsid w:val="009F7779"/>
    <w:rsid w:val="00A00A23"/>
    <w:rsid w:val="00A00F4C"/>
    <w:rsid w:val="00A01748"/>
    <w:rsid w:val="00A01C7F"/>
    <w:rsid w:val="00A03385"/>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67FB7"/>
    <w:rsid w:val="00A70515"/>
    <w:rsid w:val="00A709FA"/>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3F2F"/>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3D92"/>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26A58"/>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2BF"/>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72A03"/>
    <w:rsid w:val="011851D0"/>
    <w:rsid w:val="011A5E27"/>
    <w:rsid w:val="011F4710"/>
    <w:rsid w:val="012260A7"/>
    <w:rsid w:val="01230210"/>
    <w:rsid w:val="012859AA"/>
    <w:rsid w:val="012B444D"/>
    <w:rsid w:val="012D2227"/>
    <w:rsid w:val="012D66CB"/>
    <w:rsid w:val="01343FD7"/>
    <w:rsid w:val="013479DC"/>
    <w:rsid w:val="01372DB5"/>
    <w:rsid w:val="013872F3"/>
    <w:rsid w:val="0139075A"/>
    <w:rsid w:val="013E4A0E"/>
    <w:rsid w:val="01404CDF"/>
    <w:rsid w:val="01434BFF"/>
    <w:rsid w:val="01443362"/>
    <w:rsid w:val="014E38CB"/>
    <w:rsid w:val="015C2923"/>
    <w:rsid w:val="015C4E27"/>
    <w:rsid w:val="015D2F00"/>
    <w:rsid w:val="015E6F9B"/>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8F4C90"/>
    <w:rsid w:val="01911582"/>
    <w:rsid w:val="01925274"/>
    <w:rsid w:val="01973B44"/>
    <w:rsid w:val="01982D9C"/>
    <w:rsid w:val="019A1986"/>
    <w:rsid w:val="019D3D99"/>
    <w:rsid w:val="019E734E"/>
    <w:rsid w:val="019F3E20"/>
    <w:rsid w:val="01A144FE"/>
    <w:rsid w:val="01A22FE4"/>
    <w:rsid w:val="01A60E15"/>
    <w:rsid w:val="01A73517"/>
    <w:rsid w:val="01A75273"/>
    <w:rsid w:val="01A752C5"/>
    <w:rsid w:val="01A80888"/>
    <w:rsid w:val="01AE03C4"/>
    <w:rsid w:val="01AF6D0A"/>
    <w:rsid w:val="01B07BDF"/>
    <w:rsid w:val="01B5496B"/>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73066"/>
    <w:rsid w:val="01D7699C"/>
    <w:rsid w:val="01D8543F"/>
    <w:rsid w:val="01DA04FD"/>
    <w:rsid w:val="01DB05F2"/>
    <w:rsid w:val="01E55FD7"/>
    <w:rsid w:val="01E72F2E"/>
    <w:rsid w:val="01E75ED0"/>
    <w:rsid w:val="01E93A59"/>
    <w:rsid w:val="01E94C64"/>
    <w:rsid w:val="01EB7A43"/>
    <w:rsid w:val="01EF6EA8"/>
    <w:rsid w:val="01F26BA1"/>
    <w:rsid w:val="01F61FCC"/>
    <w:rsid w:val="01F73C28"/>
    <w:rsid w:val="01FA184C"/>
    <w:rsid w:val="01FB7D73"/>
    <w:rsid w:val="01FC36D0"/>
    <w:rsid w:val="0200793B"/>
    <w:rsid w:val="02022957"/>
    <w:rsid w:val="020335D5"/>
    <w:rsid w:val="0204267E"/>
    <w:rsid w:val="02055DA7"/>
    <w:rsid w:val="02056D00"/>
    <w:rsid w:val="02065212"/>
    <w:rsid w:val="020C19AB"/>
    <w:rsid w:val="021073D7"/>
    <w:rsid w:val="021400E3"/>
    <w:rsid w:val="02142012"/>
    <w:rsid w:val="02153AAC"/>
    <w:rsid w:val="02154A28"/>
    <w:rsid w:val="02182ED7"/>
    <w:rsid w:val="02193033"/>
    <w:rsid w:val="021F011B"/>
    <w:rsid w:val="021F4265"/>
    <w:rsid w:val="0223548A"/>
    <w:rsid w:val="02272F70"/>
    <w:rsid w:val="02281201"/>
    <w:rsid w:val="02312630"/>
    <w:rsid w:val="02314B51"/>
    <w:rsid w:val="02345C73"/>
    <w:rsid w:val="02352BA2"/>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6B1259"/>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243E6"/>
    <w:rsid w:val="02A45EB9"/>
    <w:rsid w:val="02A46519"/>
    <w:rsid w:val="02A47C86"/>
    <w:rsid w:val="02A723C5"/>
    <w:rsid w:val="02A77487"/>
    <w:rsid w:val="02A91D81"/>
    <w:rsid w:val="02AA61B1"/>
    <w:rsid w:val="02B0244E"/>
    <w:rsid w:val="02B16EA5"/>
    <w:rsid w:val="02B87CC3"/>
    <w:rsid w:val="02BA5D3C"/>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16EAC"/>
    <w:rsid w:val="02E90F80"/>
    <w:rsid w:val="02E9467C"/>
    <w:rsid w:val="02EE06DE"/>
    <w:rsid w:val="02F254D6"/>
    <w:rsid w:val="02F64BD6"/>
    <w:rsid w:val="02F730DE"/>
    <w:rsid w:val="02F855D7"/>
    <w:rsid w:val="02FB2C10"/>
    <w:rsid w:val="02FC0103"/>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8714A"/>
    <w:rsid w:val="032C4E8C"/>
    <w:rsid w:val="032D5E42"/>
    <w:rsid w:val="032E32CC"/>
    <w:rsid w:val="032F44CD"/>
    <w:rsid w:val="033170D1"/>
    <w:rsid w:val="033501DF"/>
    <w:rsid w:val="03386CE5"/>
    <w:rsid w:val="033C60AA"/>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426D5"/>
    <w:rsid w:val="03751ED0"/>
    <w:rsid w:val="03757B8F"/>
    <w:rsid w:val="037720BA"/>
    <w:rsid w:val="037759DB"/>
    <w:rsid w:val="03795A4B"/>
    <w:rsid w:val="037B5E26"/>
    <w:rsid w:val="037E2A9C"/>
    <w:rsid w:val="03800D34"/>
    <w:rsid w:val="038275CB"/>
    <w:rsid w:val="03847131"/>
    <w:rsid w:val="03874C94"/>
    <w:rsid w:val="038D51FF"/>
    <w:rsid w:val="03936CB9"/>
    <w:rsid w:val="0394201A"/>
    <w:rsid w:val="03943B4E"/>
    <w:rsid w:val="03985FF1"/>
    <w:rsid w:val="03991DC8"/>
    <w:rsid w:val="039B0BE5"/>
    <w:rsid w:val="039D367E"/>
    <w:rsid w:val="03A12899"/>
    <w:rsid w:val="03A13EF0"/>
    <w:rsid w:val="03A14307"/>
    <w:rsid w:val="03A43C80"/>
    <w:rsid w:val="03AB1570"/>
    <w:rsid w:val="03AC4128"/>
    <w:rsid w:val="03B0486E"/>
    <w:rsid w:val="03B30A60"/>
    <w:rsid w:val="03B87EBB"/>
    <w:rsid w:val="03BD58C5"/>
    <w:rsid w:val="03BF0C92"/>
    <w:rsid w:val="03BF3EB1"/>
    <w:rsid w:val="03C0718C"/>
    <w:rsid w:val="03C47310"/>
    <w:rsid w:val="03C70AA2"/>
    <w:rsid w:val="03C80901"/>
    <w:rsid w:val="03CF5817"/>
    <w:rsid w:val="03D1698B"/>
    <w:rsid w:val="03D23E90"/>
    <w:rsid w:val="03D24147"/>
    <w:rsid w:val="03D33559"/>
    <w:rsid w:val="03D96696"/>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A30F0"/>
    <w:rsid w:val="044B68CB"/>
    <w:rsid w:val="04504672"/>
    <w:rsid w:val="045277AA"/>
    <w:rsid w:val="045571C7"/>
    <w:rsid w:val="04576011"/>
    <w:rsid w:val="0459756B"/>
    <w:rsid w:val="04597A92"/>
    <w:rsid w:val="04610B65"/>
    <w:rsid w:val="04611F50"/>
    <w:rsid w:val="04660ADA"/>
    <w:rsid w:val="046E09E1"/>
    <w:rsid w:val="046F0C24"/>
    <w:rsid w:val="04700AEC"/>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4483F"/>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61EBF"/>
    <w:rsid w:val="04D81727"/>
    <w:rsid w:val="04DA2547"/>
    <w:rsid w:val="04DB199F"/>
    <w:rsid w:val="04DB3607"/>
    <w:rsid w:val="04DC042D"/>
    <w:rsid w:val="04DF5F2E"/>
    <w:rsid w:val="04E10477"/>
    <w:rsid w:val="04E22BDC"/>
    <w:rsid w:val="04E23328"/>
    <w:rsid w:val="04E33A5F"/>
    <w:rsid w:val="04E84DFA"/>
    <w:rsid w:val="04F04546"/>
    <w:rsid w:val="04F206EB"/>
    <w:rsid w:val="04F22572"/>
    <w:rsid w:val="04F30789"/>
    <w:rsid w:val="04F47578"/>
    <w:rsid w:val="04FA0C37"/>
    <w:rsid w:val="04FD1735"/>
    <w:rsid w:val="04FD3BD7"/>
    <w:rsid w:val="04FE40B1"/>
    <w:rsid w:val="05002624"/>
    <w:rsid w:val="05005595"/>
    <w:rsid w:val="05034E4B"/>
    <w:rsid w:val="05063A70"/>
    <w:rsid w:val="05087D42"/>
    <w:rsid w:val="0512089E"/>
    <w:rsid w:val="05142E1B"/>
    <w:rsid w:val="05147879"/>
    <w:rsid w:val="05186906"/>
    <w:rsid w:val="052122D1"/>
    <w:rsid w:val="0523406D"/>
    <w:rsid w:val="05262AD4"/>
    <w:rsid w:val="05272931"/>
    <w:rsid w:val="05277FCB"/>
    <w:rsid w:val="05290F52"/>
    <w:rsid w:val="052A25C0"/>
    <w:rsid w:val="052D695C"/>
    <w:rsid w:val="052F2A11"/>
    <w:rsid w:val="0530259F"/>
    <w:rsid w:val="05330089"/>
    <w:rsid w:val="053437F5"/>
    <w:rsid w:val="0535064C"/>
    <w:rsid w:val="053718C6"/>
    <w:rsid w:val="053C11E9"/>
    <w:rsid w:val="05422541"/>
    <w:rsid w:val="0543026B"/>
    <w:rsid w:val="05511770"/>
    <w:rsid w:val="05523F70"/>
    <w:rsid w:val="05572FE0"/>
    <w:rsid w:val="05585A93"/>
    <w:rsid w:val="05595264"/>
    <w:rsid w:val="055B1E21"/>
    <w:rsid w:val="055E5AE8"/>
    <w:rsid w:val="05621A71"/>
    <w:rsid w:val="05626133"/>
    <w:rsid w:val="05652A24"/>
    <w:rsid w:val="05697EC3"/>
    <w:rsid w:val="056B1DA5"/>
    <w:rsid w:val="056D213B"/>
    <w:rsid w:val="056E37F3"/>
    <w:rsid w:val="05702DF9"/>
    <w:rsid w:val="0573545C"/>
    <w:rsid w:val="0575654D"/>
    <w:rsid w:val="0576263D"/>
    <w:rsid w:val="05776718"/>
    <w:rsid w:val="05815B43"/>
    <w:rsid w:val="05835374"/>
    <w:rsid w:val="05844893"/>
    <w:rsid w:val="05856CAD"/>
    <w:rsid w:val="05857708"/>
    <w:rsid w:val="05877B47"/>
    <w:rsid w:val="058831AE"/>
    <w:rsid w:val="058E3C0E"/>
    <w:rsid w:val="0591547A"/>
    <w:rsid w:val="0594571D"/>
    <w:rsid w:val="05966579"/>
    <w:rsid w:val="059B1FE1"/>
    <w:rsid w:val="059C2EBD"/>
    <w:rsid w:val="05A0242D"/>
    <w:rsid w:val="05A27C21"/>
    <w:rsid w:val="05A37A8F"/>
    <w:rsid w:val="05A43BF5"/>
    <w:rsid w:val="05B20635"/>
    <w:rsid w:val="05B253F0"/>
    <w:rsid w:val="05B6224D"/>
    <w:rsid w:val="05B86847"/>
    <w:rsid w:val="05B9407D"/>
    <w:rsid w:val="05BD1C6F"/>
    <w:rsid w:val="05C262D4"/>
    <w:rsid w:val="05C26988"/>
    <w:rsid w:val="05C362A1"/>
    <w:rsid w:val="05C70A61"/>
    <w:rsid w:val="05CE608C"/>
    <w:rsid w:val="05D074FD"/>
    <w:rsid w:val="05D2173E"/>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3D2F0C"/>
    <w:rsid w:val="0640016E"/>
    <w:rsid w:val="064057D4"/>
    <w:rsid w:val="06464783"/>
    <w:rsid w:val="06474246"/>
    <w:rsid w:val="064A2156"/>
    <w:rsid w:val="064A777B"/>
    <w:rsid w:val="064D0EF3"/>
    <w:rsid w:val="06555530"/>
    <w:rsid w:val="0655664A"/>
    <w:rsid w:val="06581E1C"/>
    <w:rsid w:val="065902A4"/>
    <w:rsid w:val="06593DA0"/>
    <w:rsid w:val="065A602E"/>
    <w:rsid w:val="065C6BD2"/>
    <w:rsid w:val="065E6DDB"/>
    <w:rsid w:val="066160DF"/>
    <w:rsid w:val="06660F96"/>
    <w:rsid w:val="066761DB"/>
    <w:rsid w:val="06681752"/>
    <w:rsid w:val="066C380F"/>
    <w:rsid w:val="066D775C"/>
    <w:rsid w:val="066E7569"/>
    <w:rsid w:val="067036A2"/>
    <w:rsid w:val="06712612"/>
    <w:rsid w:val="067404C7"/>
    <w:rsid w:val="06764AB0"/>
    <w:rsid w:val="067A4D1F"/>
    <w:rsid w:val="067A543D"/>
    <w:rsid w:val="067B6092"/>
    <w:rsid w:val="067D04ED"/>
    <w:rsid w:val="067D3496"/>
    <w:rsid w:val="067E03E5"/>
    <w:rsid w:val="067E0CBB"/>
    <w:rsid w:val="067E4E21"/>
    <w:rsid w:val="068846CE"/>
    <w:rsid w:val="068A69E7"/>
    <w:rsid w:val="068B54B4"/>
    <w:rsid w:val="068E5516"/>
    <w:rsid w:val="068E7973"/>
    <w:rsid w:val="069279CE"/>
    <w:rsid w:val="06967C9E"/>
    <w:rsid w:val="06995C46"/>
    <w:rsid w:val="069B432A"/>
    <w:rsid w:val="069D7C6B"/>
    <w:rsid w:val="06A134EF"/>
    <w:rsid w:val="06A338B0"/>
    <w:rsid w:val="06A36EB2"/>
    <w:rsid w:val="06A3767D"/>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CE0008"/>
    <w:rsid w:val="06D07A7F"/>
    <w:rsid w:val="06D225BC"/>
    <w:rsid w:val="06D43393"/>
    <w:rsid w:val="06D5043A"/>
    <w:rsid w:val="06DE6BCF"/>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97292"/>
    <w:rsid w:val="070A32AF"/>
    <w:rsid w:val="070B511E"/>
    <w:rsid w:val="070E4FA2"/>
    <w:rsid w:val="07141736"/>
    <w:rsid w:val="071F2612"/>
    <w:rsid w:val="072016CA"/>
    <w:rsid w:val="072333AB"/>
    <w:rsid w:val="072516A1"/>
    <w:rsid w:val="07274D15"/>
    <w:rsid w:val="07275776"/>
    <w:rsid w:val="072A2646"/>
    <w:rsid w:val="072D18BC"/>
    <w:rsid w:val="072F6E4E"/>
    <w:rsid w:val="07315318"/>
    <w:rsid w:val="0734480A"/>
    <w:rsid w:val="0736592E"/>
    <w:rsid w:val="0737768B"/>
    <w:rsid w:val="073A60B8"/>
    <w:rsid w:val="074369EC"/>
    <w:rsid w:val="07476BD9"/>
    <w:rsid w:val="074873AA"/>
    <w:rsid w:val="074A3FBA"/>
    <w:rsid w:val="074E4138"/>
    <w:rsid w:val="07502EB3"/>
    <w:rsid w:val="0750348A"/>
    <w:rsid w:val="075217C9"/>
    <w:rsid w:val="075370D0"/>
    <w:rsid w:val="075C60B3"/>
    <w:rsid w:val="07661659"/>
    <w:rsid w:val="076650CA"/>
    <w:rsid w:val="0769536C"/>
    <w:rsid w:val="076E4830"/>
    <w:rsid w:val="076F17EB"/>
    <w:rsid w:val="07707977"/>
    <w:rsid w:val="07726195"/>
    <w:rsid w:val="077330C8"/>
    <w:rsid w:val="07734413"/>
    <w:rsid w:val="07745456"/>
    <w:rsid w:val="07756820"/>
    <w:rsid w:val="07772FF4"/>
    <w:rsid w:val="077C2E29"/>
    <w:rsid w:val="077C3F1C"/>
    <w:rsid w:val="077D347D"/>
    <w:rsid w:val="078125AB"/>
    <w:rsid w:val="07821375"/>
    <w:rsid w:val="078335F9"/>
    <w:rsid w:val="07846868"/>
    <w:rsid w:val="078674DB"/>
    <w:rsid w:val="0788465B"/>
    <w:rsid w:val="07897CED"/>
    <w:rsid w:val="078A03D3"/>
    <w:rsid w:val="078E15A3"/>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CF4038"/>
    <w:rsid w:val="07D01EA4"/>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82844"/>
    <w:rsid w:val="07FF71F1"/>
    <w:rsid w:val="0801772C"/>
    <w:rsid w:val="0807674F"/>
    <w:rsid w:val="08081633"/>
    <w:rsid w:val="08084081"/>
    <w:rsid w:val="081A5251"/>
    <w:rsid w:val="081C3F8C"/>
    <w:rsid w:val="081D5822"/>
    <w:rsid w:val="081E75B4"/>
    <w:rsid w:val="08204893"/>
    <w:rsid w:val="08217F0F"/>
    <w:rsid w:val="08246632"/>
    <w:rsid w:val="082C6949"/>
    <w:rsid w:val="0830035D"/>
    <w:rsid w:val="0833350E"/>
    <w:rsid w:val="08333D7C"/>
    <w:rsid w:val="08407561"/>
    <w:rsid w:val="08433EEC"/>
    <w:rsid w:val="084367D4"/>
    <w:rsid w:val="08487CE5"/>
    <w:rsid w:val="08491DF8"/>
    <w:rsid w:val="0849203C"/>
    <w:rsid w:val="084A3AA2"/>
    <w:rsid w:val="084B76FB"/>
    <w:rsid w:val="084F5179"/>
    <w:rsid w:val="08515373"/>
    <w:rsid w:val="08517143"/>
    <w:rsid w:val="08525A89"/>
    <w:rsid w:val="08555F04"/>
    <w:rsid w:val="08557E70"/>
    <w:rsid w:val="085751F0"/>
    <w:rsid w:val="08592EA9"/>
    <w:rsid w:val="085F4407"/>
    <w:rsid w:val="08630DE0"/>
    <w:rsid w:val="086341DE"/>
    <w:rsid w:val="08674160"/>
    <w:rsid w:val="0867457B"/>
    <w:rsid w:val="086A6B2C"/>
    <w:rsid w:val="08712E33"/>
    <w:rsid w:val="087817AB"/>
    <w:rsid w:val="087A0447"/>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4224E"/>
    <w:rsid w:val="08A600B8"/>
    <w:rsid w:val="08A77AF0"/>
    <w:rsid w:val="08AB0F8D"/>
    <w:rsid w:val="08AC7AC0"/>
    <w:rsid w:val="08AF1CC7"/>
    <w:rsid w:val="08AF5C17"/>
    <w:rsid w:val="08B6091A"/>
    <w:rsid w:val="08BB45BC"/>
    <w:rsid w:val="08BE532B"/>
    <w:rsid w:val="08BE7C80"/>
    <w:rsid w:val="08BF371D"/>
    <w:rsid w:val="08C04C7F"/>
    <w:rsid w:val="08C07AD4"/>
    <w:rsid w:val="08C81750"/>
    <w:rsid w:val="08CA5743"/>
    <w:rsid w:val="08CC67C9"/>
    <w:rsid w:val="08CD76D7"/>
    <w:rsid w:val="08CF7DC7"/>
    <w:rsid w:val="08D102DF"/>
    <w:rsid w:val="08D31906"/>
    <w:rsid w:val="08D71636"/>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90331E8"/>
    <w:rsid w:val="0916780C"/>
    <w:rsid w:val="091709C3"/>
    <w:rsid w:val="091738A8"/>
    <w:rsid w:val="091A5D5A"/>
    <w:rsid w:val="091B21A8"/>
    <w:rsid w:val="091E4A6C"/>
    <w:rsid w:val="091E505F"/>
    <w:rsid w:val="091E738F"/>
    <w:rsid w:val="091F1C84"/>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3F51ED"/>
    <w:rsid w:val="094108C9"/>
    <w:rsid w:val="09425B3E"/>
    <w:rsid w:val="094966CD"/>
    <w:rsid w:val="094A3893"/>
    <w:rsid w:val="094E6366"/>
    <w:rsid w:val="094F366F"/>
    <w:rsid w:val="09503A46"/>
    <w:rsid w:val="09526223"/>
    <w:rsid w:val="09544483"/>
    <w:rsid w:val="09547097"/>
    <w:rsid w:val="095D4A5B"/>
    <w:rsid w:val="095F763D"/>
    <w:rsid w:val="0961286F"/>
    <w:rsid w:val="09630C45"/>
    <w:rsid w:val="09634350"/>
    <w:rsid w:val="096412DC"/>
    <w:rsid w:val="096A705A"/>
    <w:rsid w:val="096B4B00"/>
    <w:rsid w:val="097257A1"/>
    <w:rsid w:val="09743821"/>
    <w:rsid w:val="09744259"/>
    <w:rsid w:val="097C0598"/>
    <w:rsid w:val="097E0986"/>
    <w:rsid w:val="09813405"/>
    <w:rsid w:val="098339A1"/>
    <w:rsid w:val="098506DE"/>
    <w:rsid w:val="098720DC"/>
    <w:rsid w:val="0988545C"/>
    <w:rsid w:val="09906EF8"/>
    <w:rsid w:val="09915DBE"/>
    <w:rsid w:val="099323C1"/>
    <w:rsid w:val="0998469B"/>
    <w:rsid w:val="099D53DD"/>
    <w:rsid w:val="099D7DAE"/>
    <w:rsid w:val="099E1F14"/>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EA5159"/>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855DF"/>
    <w:rsid w:val="0A0C7052"/>
    <w:rsid w:val="0A0E2AA4"/>
    <w:rsid w:val="0A106179"/>
    <w:rsid w:val="0A13672B"/>
    <w:rsid w:val="0A182626"/>
    <w:rsid w:val="0A184B4C"/>
    <w:rsid w:val="0A186EBD"/>
    <w:rsid w:val="0A194B69"/>
    <w:rsid w:val="0A1D3C7D"/>
    <w:rsid w:val="0A1D6E00"/>
    <w:rsid w:val="0A1F0101"/>
    <w:rsid w:val="0A21777C"/>
    <w:rsid w:val="0A267A65"/>
    <w:rsid w:val="0A2B10CA"/>
    <w:rsid w:val="0A2B783A"/>
    <w:rsid w:val="0A2C57AA"/>
    <w:rsid w:val="0A2D3D2D"/>
    <w:rsid w:val="0A33675E"/>
    <w:rsid w:val="0A3665BB"/>
    <w:rsid w:val="0A3B55B1"/>
    <w:rsid w:val="0A3D5C6E"/>
    <w:rsid w:val="0A3E3F41"/>
    <w:rsid w:val="0A3E4117"/>
    <w:rsid w:val="0A3F0320"/>
    <w:rsid w:val="0A3F4106"/>
    <w:rsid w:val="0A406222"/>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964DD"/>
    <w:rsid w:val="0A7A38CD"/>
    <w:rsid w:val="0A802A4C"/>
    <w:rsid w:val="0A8353B3"/>
    <w:rsid w:val="0A855E52"/>
    <w:rsid w:val="0A884069"/>
    <w:rsid w:val="0A895614"/>
    <w:rsid w:val="0A8B7E6C"/>
    <w:rsid w:val="0A944746"/>
    <w:rsid w:val="0A9763CB"/>
    <w:rsid w:val="0A993FFD"/>
    <w:rsid w:val="0A9A2A54"/>
    <w:rsid w:val="0A9C3C2B"/>
    <w:rsid w:val="0A9E5FDC"/>
    <w:rsid w:val="0A9F4A0F"/>
    <w:rsid w:val="0AA238AC"/>
    <w:rsid w:val="0AA3355A"/>
    <w:rsid w:val="0AA408F6"/>
    <w:rsid w:val="0AA4505E"/>
    <w:rsid w:val="0AA60167"/>
    <w:rsid w:val="0AA76F49"/>
    <w:rsid w:val="0AA86904"/>
    <w:rsid w:val="0AAA5618"/>
    <w:rsid w:val="0AB10DE5"/>
    <w:rsid w:val="0AB154B4"/>
    <w:rsid w:val="0AB419D2"/>
    <w:rsid w:val="0AB85910"/>
    <w:rsid w:val="0AC047C8"/>
    <w:rsid w:val="0AC568B2"/>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BC"/>
    <w:rsid w:val="0AFD5923"/>
    <w:rsid w:val="0AFF2194"/>
    <w:rsid w:val="0B021291"/>
    <w:rsid w:val="0B042635"/>
    <w:rsid w:val="0B052264"/>
    <w:rsid w:val="0B073FC6"/>
    <w:rsid w:val="0B0862D7"/>
    <w:rsid w:val="0B0A725B"/>
    <w:rsid w:val="0B0B3C2E"/>
    <w:rsid w:val="0B113070"/>
    <w:rsid w:val="0B16594F"/>
    <w:rsid w:val="0B180DE0"/>
    <w:rsid w:val="0B222B74"/>
    <w:rsid w:val="0B244435"/>
    <w:rsid w:val="0B2724F4"/>
    <w:rsid w:val="0B276735"/>
    <w:rsid w:val="0B293A5F"/>
    <w:rsid w:val="0B2B3E11"/>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61144B"/>
    <w:rsid w:val="0B63212D"/>
    <w:rsid w:val="0B6872D2"/>
    <w:rsid w:val="0B6B1B52"/>
    <w:rsid w:val="0B6B1D48"/>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01C5"/>
    <w:rsid w:val="0B9F1FD4"/>
    <w:rsid w:val="0B9F4790"/>
    <w:rsid w:val="0BA02F9C"/>
    <w:rsid w:val="0BA5707B"/>
    <w:rsid w:val="0BA71F41"/>
    <w:rsid w:val="0BA9414E"/>
    <w:rsid w:val="0BAF42EC"/>
    <w:rsid w:val="0BB27EF8"/>
    <w:rsid w:val="0BB377CC"/>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1AB5"/>
    <w:rsid w:val="0BE55FD0"/>
    <w:rsid w:val="0BE96744"/>
    <w:rsid w:val="0BEF007D"/>
    <w:rsid w:val="0BF13B6C"/>
    <w:rsid w:val="0BF549A2"/>
    <w:rsid w:val="0BF57DE5"/>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C7CAB"/>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126CE"/>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3562"/>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74771"/>
    <w:rsid w:val="0D6A50E3"/>
    <w:rsid w:val="0D6B4803"/>
    <w:rsid w:val="0D6B5955"/>
    <w:rsid w:val="0D6D467B"/>
    <w:rsid w:val="0D703CE2"/>
    <w:rsid w:val="0D7840A1"/>
    <w:rsid w:val="0D804059"/>
    <w:rsid w:val="0D837C87"/>
    <w:rsid w:val="0D853FDD"/>
    <w:rsid w:val="0D880C95"/>
    <w:rsid w:val="0D881039"/>
    <w:rsid w:val="0D885D2E"/>
    <w:rsid w:val="0D8B4C3D"/>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3439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5651D"/>
    <w:rsid w:val="0E166453"/>
    <w:rsid w:val="0E170445"/>
    <w:rsid w:val="0E1B158D"/>
    <w:rsid w:val="0E1D2E39"/>
    <w:rsid w:val="0E201B4B"/>
    <w:rsid w:val="0E210EEB"/>
    <w:rsid w:val="0E230461"/>
    <w:rsid w:val="0E2326F6"/>
    <w:rsid w:val="0E253D79"/>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51048"/>
    <w:rsid w:val="0E55390F"/>
    <w:rsid w:val="0E574D87"/>
    <w:rsid w:val="0E576DC1"/>
    <w:rsid w:val="0E5A3966"/>
    <w:rsid w:val="0E5D7EF6"/>
    <w:rsid w:val="0E6567FC"/>
    <w:rsid w:val="0E66768C"/>
    <w:rsid w:val="0E672D1E"/>
    <w:rsid w:val="0E6F41D1"/>
    <w:rsid w:val="0E722825"/>
    <w:rsid w:val="0E7411AD"/>
    <w:rsid w:val="0E7A141D"/>
    <w:rsid w:val="0E8042DE"/>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625FA"/>
    <w:rsid w:val="0EC90709"/>
    <w:rsid w:val="0ECA37AB"/>
    <w:rsid w:val="0ECB5C77"/>
    <w:rsid w:val="0ECC5050"/>
    <w:rsid w:val="0ECF2B91"/>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62BEE"/>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0532F"/>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401FA"/>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04E3C"/>
    <w:rsid w:val="10A64959"/>
    <w:rsid w:val="10A64C17"/>
    <w:rsid w:val="10A81D75"/>
    <w:rsid w:val="10A96560"/>
    <w:rsid w:val="10B043E9"/>
    <w:rsid w:val="10B15801"/>
    <w:rsid w:val="10B6494E"/>
    <w:rsid w:val="10B64CF0"/>
    <w:rsid w:val="10B77D5F"/>
    <w:rsid w:val="10B822BF"/>
    <w:rsid w:val="10B93A57"/>
    <w:rsid w:val="10C358AD"/>
    <w:rsid w:val="10C5247C"/>
    <w:rsid w:val="10CA4802"/>
    <w:rsid w:val="10CB2E6B"/>
    <w:rsid w:val="10D25F76"/>
    <w:rsid w:val="10D3115B"/>
    <w:rsid w:val="10D46A26"/>
    <w:rsid w:val="10D50142"/>
    <w:rsid w:val="10D63177"/>
    <w:rsid w:val="10D84401"/>
    <w:rsid w:val="10DB60FA"/>
    <w:rsid w:val="10E15560"/>
    <w:rsid w:val="10E1634A"/>
    <w:rsid w:val="10E36AC3"/>
    <w:rsid w:val="10E473F4"/>
    <w:rsid w:val="10E611F7"/>
    <w:rsid w:val="10E70644"/>
    <w:rsid w:val="10E723F2"/>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020F9"/>
    <w:rsid w:val="11116A70"/>
    <w:rsid w:val="1112264B"/>
    <w:rsid w:val="111355CE"/>
    <w:rsid w:val="111451B1"/>
    <w:rsid w:val="111610E7"/>
    <w:rsid w:val="11190AF5"/>
    <w:rsid w:val="11192775"/>
    <w:rsid w:val="111A58D5"/>
    <w:rsid w:val="111C2FCB"/>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60292B"/>
    <w:rsid w:val="1164219C"/>
    <w:rsid w:val="116513EC"/>
    <w:rsid w:val="11653B97"/>
    <w:rsid w:val="11662EB4"/>
    <w:rsid w:val="1168520B"/>
    <w:rsid w:val="116B6BB2"/>
    <w:rsid w:val="116C044A"/>
    <w:rsid w:val="116C06A4"/>
    <w:rsid w:val="116C34F0"/>
    <w:rsid w:val="116E3FD1"/>
    <w:rsid w:val="116E5CDD"/>
    <w:rsid w:val="11723ED3"/>
    <w:rsid w:val="117F087D"/>
    <w:rsid w:val="118206CB"/>
    <w:rsid w:val="1182211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F7D40"/>
    <w:rsid w:val="11B24375"/>
    <w:rsid w:val="11B42DD1"/>
    <w:rsid w:val="11B47664"/>
    <w:rsid w:val="11B50549"/>
    <w:rsid w:val="11B5721B"/>
    <w:rsid w:val="11B70FC9"/>
    <w:rsid w:val="11B823B9"/>
    <w:rsid w:val="11B82541"/>
    <w:rsid w:val="11B9674D"/>
    <w:rsid w:val="11BA1DD9"/>
    <w:rsid w:val="11C0723F"/>
    <w:rsid w:val="11C513C6"/>
    <w:rsid w:val="11C82925"/>
    <w:rsid w:val="11CB1D14"/>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80008"/>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834A2"/>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B210C"/>
    <w:rsid w:val="12FF4867"/>
    <w:rsid w:val="13010D3C"/>
    <w:rsid w:val="130152C1"/>
    <w:rsid w:val="13023513"/>
    <w:rsid w:val="1302674E"/>
    <w:rsid w:val="130513AD"/>
    <w:rsid w:val="130617B1"/>
    <w:rsid w:val="130A6064"/>
    <w:rsid w:val="130B0A73"/>
    <w:rsid w:val="130B27E0"/>
    <w:rsid w:val="130B6250"/>
    <w:rsid w:val="130C4392"/>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4F427F"/>
    <w:rsid w:val="13552D67"/>
    <w:rsid w:val="13555633"/>
    <w:rsid w:val="13563DAD"/>
    <w:rsid w:val="13567904"/>
    <w:rsid w:val="135B0551"/>
    <w:rsid w:val="135B5997"/>
    <w:rsid w:val="135F6956"/>
    <w:rsid w:val="1360506C"/>
    <w:rsid w:val="13615AD3"/>
    <w:rsid w:val="136373F0"/>
    <w:rsid w:val="13644992"/>
    <w:rsid w:val="13683DAF"/>
    <w:rsid w:val="136B514F"/>
    <w:rsid w:val="136E4917"/>
    <w:rsid w:val="13710699"/>
    <w:rsid w:val="13721448"/>
    <w:rsid w:val="137723E0"/>
    <w:rsid w:val="137D465B"/>
    <w:rsid w:val="137E5A7E"/>
    <w:rsid w:val="1380639A"/>
    <w:rsid w:val="138376BF"/>
    <w:rsid w:val="13856AE5"/>
    <w:rsid w:val="13884241"/>
    <w:rsid w:val="138B3C13"/>
    <w:rsid w:val="13937663"/>
    <w:rsid w:val="1394650B"/>
    <w:rsid w:val="139A7BF0"/>
    <w:rsid w:val="139B7CCB"/>
    <w:rsid w:val="139C6134"/>
    <w:rsid w:val="139E0208"/>
    <w:rsid w:val="139E3766"/>
    <w:rsid w:val="139F0256"/>
    <w:rsid w:val="13A079BD"/>
    <w:rsid w:val="13A47323"/>
    <w:rsid w:val="13A715BF"/>
    <w:rsid w:val="13A75E69"/>
    <w:rsid w:val="13A9398F"/>
    <w:rsid w:val="13AB3BAB"/>
    <w:rsid w:val="13AE1A0E"/>
    <w:rsid w:val="13AF056F"/>
    <w:rsid w:val="13B01E32"/>
    <w:rsid w:val="13B0647F"/>
    <w:rsid w:val="13B14567"/>
    <w:rsid w:val="13B23977"/>
    <w:rsid w:val="13B30D50"/>
    <w:rsid w:val="13B6418A"/>
    <w:rsid w:val="13BD4CFD"/>
    <w:rsid w:val="13BF01F0"/>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B044B"/>
    <w:rsid w:val="13F33946"/>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C1EE4"/>
    <w:rsid w:val="142C3433"/>
    <w:rsid w:val="142D7D90"/>
    <w:rsid w:val="142E05E9"/>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64372"/>
    <w:rsid w:val="14AF2B50"/>
    <w:rsid w:val="14B15F56"/>
    <w:rsid w:val="14B32029"/>
    <w:rsid w:val="14B801EF"/>
    <w:rsid w:val="14BA1F6B"/>
    <w:rsid w:val="14BA3269"/>
    <w:rsid w:val="14BE57FC"/>
    <w:rsid w:val="14BE7D4A"/>
    <w:rsid w:val="14BF5874"/>
    <w:rsid w:val="14C15A7E"/>
    <w:rsid w:val="14C35CF5"/>
    <w:rsid w:val="14C978A6"/>
    <w:rsid w:val="14CA42B2"/>
    <w:rsid w:val="14CC211D"/>
    <w:rsid w:val="14CF286D"/>
    <w:rsid w:val="14D0012C"/>
    <w:rsid w:val="14D2682F"/>
    <w:rsid w:val="14D700F7"/>
    <w:rsid w:val="14D82F83"/>
    <w:rsid w:val="14D877A5"/>
    <w:rsid w:val="14D955E8"/>
    <w:rsid w:val="14DB0312"/>
    <w:rsid w:val="14DD7F37"/>
    <w:rsid w:val="14E32BE3"/>
    <w:rsid w:val="14E46C49"/>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26B8D"/>
    <w:rsid w:val="15842B14"/>
    <w:rsid w:val="1585010C"/>
    <w:rsid w:val="158801A5"/>
    <w:rsid w:val="15882CBC"/>
    <w:rsid w:val="158B3C70"/>
    <w:rsid w:val="158C6314"/>
    <w:rsid w:val="158D057E"/>
    <w:rsid w:val="158D422C"/>
    <w:rsid w:val="1590174A"/>
    <w:rsid w:val="15917A25"/>
    <w:rsid w:val="159242BA"/>
    <w:rsid w:val="15947001"/>
    <w:rsid w:val="15965E19"/>
    <w:rsid w:val="15966195"/>
    <w:rsid w:val="159927DE"/>
    <w:rsid w:val="159B0430"/>
    <w:rsid w:val="159C3748"/>
    <w:rsid w:val="15A33948"/>
    <w:rsid w:val="15A5056B"/>
    <w:rsid w:val="15A72264"/>
    <w:rsid w:val="15A925A6"/>
    <w:rsid w:val="15AB47A5"/>
    <w:rsid w:val="15AB60E4"/>
    <w:rsid w:val="15AD1950"/>
    <w:rsid w:val="15AE3862"/>
    <w:rsid w:val="15B20202"/>
    <w:rsid w:val="15B31005"/>
    <w:rsid w:val="15B47DD2"/>
    <w:rsid w:val="15B63792"/>
    <w:rsid w:val="15B66606"/>
    <w:rsid w:val="15B85348"/>
    <w:rsid w:val="15B87ECF"/>
    <w:rsid w:val="15BA1C04"/>
    <w:rsid w:val="15BF29C1"/>
    <w:rsid w:val="15C00173"/>
    <w:rsid w:val="15C10F74"/>
    <w:rsid w:val="15C446D3"/>
    <w:rsid w:val="15C832A4"/>
    <w:rsid w:val="15CE612C"/>
    <w:rsid w:val="15D36E9F"/>
    <w:rsid w:val="15D557E8"/>
    <w:rsid w:val="15D67329"/>
    <w:rsid w:val="15D879FB"/>
    <w:rsid w:val="15DC08ED"/>
    <w:rsid w:val="15DD398E"/>
    <w:rsid w:val="15DE04AE"/>
    <w:rsid w:val="15E24F2A"/>
    <w:rsid w:val="15E27FB6"/>
    <w:rsid w:val="15E802A9"/>
    <w:rsid w:val="15EA042A"/>
    <w:rsid w:val="15EA3B19"/>
    <w:rsid w:val="15EB4347"/>
    <w:rsid w:val="15EB5B02"/>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5A37"/>
    <w:rsid w:val="16136869"/>
    <w:rsid w:val="16165F18"/>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04052"/>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2275E"/>
    <w:rsid w:val="16733A9C"/>
    <w:rsid w:val="167547CA"/>
    <w:rsid w:val="16766911"/>
    <w:rsid w:val="16784FCE"/>
    <w:rsid w:val="16785B0E"/>
    <w:rsid w:val="167C0110"/>
    <w:rsid w:val="167D0261"/>
    <w:rsid w:val="168301D5"/>
    <w:rsid w:val="168A18CF"/>
    <w:rsid w:val="168A640C"/>
    <w:rsid w:val="168B1DF7"/>
    <w:rsid w:val="169857F4"/>
    <w:rsid w:val="16997F27"/>
    <w:rsid w:val="169B62C6"/>
    <w:rsid w:val="169C3CD4"/>
    <w:rsid w:val="169F551D"/>
    <w:rsid w:val="169F75A1"/>
    <w:rsid w:val="16A13986"/>
    <w:rsid w:val="16A20B69"/>
    <w:rsid w:val="16A60D3C"/>
    <w:rsid w:val="16A719BC"/>
    <w:rsid w:val="16A71ED1"/>
    <w:rsid w:val="16A9527E"/>
    <w:rsid w:val="16A96FB6"/>
    <w:rsid w:val="16AD1069"/>
    <w:rsid w:val="16AF730F"/>
    <w:rsid w:val="16B32970"/>
    <w:rsid w:val="16B54D41"/>
    <w:rsid w:val="16B65F24"/>
    <w:rsid w:val="16B70A10"/>
    <w:rsid w:val="16B935BD"/>
    <w:rsid w:val="16BE59E1"/>
    <w:rsid w:val="16BE5BF1"/>
    <w:rsid w:val="16BF34C9"/>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45380"/>
    <w:rsid w:val="17056034"/>
    <w:rsid w:val="170B0F13"/>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C692B"/>
    <w:rsid w:val="175F17AC"/>
    <w:rsid w:val="17625DE8"/>
    <w:rsid w:val="17645EA2"/>
    <w:rsid w:val="176C2904"/>
    <w:rsid w:val="176C62D5"/>
    <w:rsid w:val="176D7C2A"/>
    <w:rsid w:val="17707BBF"/>
    <w:rsid w:val="17723C77"/>
    <w:rsid w:val="17731703"/>
    <w:rsid w:val="177366C3"/>
    <w:rsid w:val="17746E2A"/>
    <w:rsid w:val="17787115"/>
    <w:rsid w:val="177B2BB7"/>
    <w:rsid w:val="177B3EF6"/>
    <w:rsid w:val="17834F82"/>
    <w:rsid w:val="17885646"/>
    <w:rsid w:val="178944FD"/>
    <w:rsid w:val="178D5CA7"/>
    <w:rsid w:val="178F7A55"/>
    <w:rsid w:val="179304E7"/>
    <w:rsid w:val="17940276"/>
    <w:rsid w:val="17945909"/>
    <w:rsid w:val="179629E2"/>
    <w:rsid w:val="179B0E8E"/>
    <w:rsid w:val="179B5E47"/>
    <w:rsid w:val="17A07312"/>
    <w:rsid w:val="17A32A46"/>
    <w:rsid w:val="17A61DD4"/>
    <w:rsid w:val="17A750EB"/>
    <w:rsid w:val="17A80555"/>
    <w:rsid w:val="17AA3629"/>
    <w:rsid w:val="17AC413D"/>
    <w:rsid w:val="17AD2824"/>
    <w:rsid w:val="17AD57B0"/>
    <w:rsid w:val="17AE1FE1"/>
    <w:rsid w:val="17AE4F2B"/>
    <w:rsid w:val="17AF57C6"/>
    <w:rsid w:val="17AF781A"/>
    <w:rsid w:val="17AF79E2"/>
    <w:rsid w:val="17B13DCE"/>
    <w:rsid w:val="17C041B0"/>
    <w:rsid w:val="17C3337D"/>
    <w:rsid w:val="17C604E5"/>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97794"/>
    <w:rsid w:val="182E440C"/>
    <w:rsid w:val="18316EB6"/>
    <w:rsid w:val="18362F57"/>
    <w:rsid w:val="1837201D"/>
    <w:rsid w:val="183A3A48"/>
    <w:rsid w:val="183D49EE"/>
    <w:rsid w:val="183F4446"/>
    <w:rsid w:val="183F5912"/>
    <w:rsid w:val="184876E5"/>
    <w:rsid w:val="184969C5"/>
    <w:rsid w:val="184A3423"/>
    <w:rsid w:val="18514738"/>
    <w:rsid w:val="18531B14"/>
    <w:rsid w:val="18534811"/>
    <w:rsid w:val="18534A25"/>
    <w:rsid w:val="18537302"/>
    <w:rsid w:val="18540DF6"/>
    <w:rsid w:val="18572BB1"/>
    <w:rsid w:val="1859174A"/>
    <w:rsid w:val="185A1CC5"/>
    <w:rsid w:val="185A28FB"/>
    <w:rsid w:val="185C643C"/>
    <w:rsid w:val="185D5773"/>
    <w:rsid w:val="18637B91"/>
    <w:rsid w:val="186B56B7"/>
    <w:rsid w:val="186F5A62"/>
    <w:rsid w:val="18700F1F"/>
    <w:rsid w:val="18730A0F"/>
    <w:rsid w:val="18731B82"/>
    <w:rsid w:val="18731FB0"/>
    <w:rsid w:val="18760463"/>
    <w:rsid w:val="187B51E7"/>
    <w:rsid w:val="187C3B59"/>
    <w:rsid w:val="187C5B16"/>
    <w:rsid w:val="187C6979"/>
    <w:rsid w:val="187F35D3"/>
    <w:rsid w:val="187F46C3"/>
    <w:rsid w:val="187F6C01"/>
    <w:rsid w:val="188268EF"/>
    <w:rsid w:val="188428B3"/>
    <w:rsid w:val="188474B4"/>
    <w:rsid w:val="18887947"/>
    <w:rsid w:val="18894571"/>
    <w:rsid w:val="18895139"/>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1177B"/>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14B52"/>
    <w:rsid w:val="193C3B41"/>
    <w:rsid w:val="1941261B"/>
    <w:rsid w:val="19412CBA"/>
    <w:rsid w:val="1941466A"/>
    <w:rsid w:val="19434886"/>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A0461"/>
    <w:rsid w:val="19AC07A4"/>
    <w:rsid w:val="19AD40D0"/>
    <w:rsid w:val="19AD4CCB"/>
    <w:rsid w:val="19B03763"/>
    <w:rsid w:val="19B13B97"/>
    <w:rsid w:val="19B1709F"/>
    <w:rsid w:val="19B260B8"/>
    <w:rsid w:val="19B87771"/>
    <w:rsid w:val="19BE68EB"/>
    <w:rsid w:val="19C257AA"/>
    <w:rsid w:val="19C32CEE"/>
    <w:rsid w:val="19C649A6"/>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05E"/>
    <w:rsid w:val="1A521ABE"/>
    <w:rsid w:val="1A532EBE"/>
    <w:rsid w:val="1A5B6575"/>
    <w:rsid w:val="1A637C73"/>
    <w:rsid w:val="1A640790"/>
    <w:rsid w:val="1A663942"/>
    <w:rsid w:val="1A6731D9"/>
    <w:rsid w:val="1A674960"/>
    <w:rsid w:val="1A6A1D44"/>
    <w:rsid w:val="1A6E2C42"/>
    <w:rsid w:val="1A6E6AD7"/>
    <w:rsid w:val="1A702D22"/>
    <w:rsid w:val="1A706CBA"/>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5CA5"/>
    <w:rsid w:val="1AD07D4D"/>
    <w:rsid w:val="1AD50082"/>
    <w:rsid w:val="1AD80EAE"/>
    <w:rsid w:val="1AD876AF"/>
    <w:rsid w:val="1ADB455F"/>
    <w:rsid w:val="1AE4782A"/>
    <w:rsid w:val="1AE6272E"/>
    <w:rsid w:val="1AE7212C"/>
    <w:rsid w:val="1AEA7D53"/>
    <w:rsid w:val="1AED2FF5"/>
    <w:rsid w:val="1AEE29A9"/>
    <w:rsid w:val="1AF27FC9"/>
    <w:rsid w:val="1AF53561"/>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56F50"/>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1B24"/>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218BC"/>
    <w:rsid w:val="1BC41784"/>
    <w:rsid w:val="1BC57206"/>
    <w:rsid w:val="1BC962C0"/>
    <w:rsid w:val="1BCB00D1"/>
    <w:rsid w:val="1BCB4452"/>
    <w:rsid w:val="1BCC7929"/>
    <w:rsid w:val="1BCD1315"/>
    <w:rsid w:val="1BCE702F"/>
    <w:rsid w:val="1BD236E5"/>
    <w:rsid w:val="1BD41DDB"/>
    <w:rsid w:val="1BD8309E"/>
    <w:rsid w:val="1BD85BD2"/>
    <w:rsid w:val="1BDA5409"/>
    <w:rsid w:val="1BDC7DA0"/>
    <w:rsid w:val="1BDF3BCC"/>
    <w:rsid w:val="1BE0587A"/>
    <w:rsid w:val="1BE063BC"/>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4B90"/>
    <w:rsid w:val="1C3C78C6"/>
    <w:rsid w:val="1C3D0941"/>
    <w:rsid w:val="1C411445"/>
    <w:rsid w:val="1C447172"/>
    <w:rsid w:val="1C47468D"/>
    <w:rsid w:val="1C485582"/>
    <w:rsid w:val="1C493F61"/>
    <w:rsid w:val="1C4A7CD9"/>
    <w:rsid w:val="1C4C5B5C"/>
    <w:rsid w:val="1C4F71E1"/>
    <w:rsid w:val="1C507555"/>
    <w:rsid w:val="1C5341C2"/>
    <w:rsid w:val="1C5768AF"/>
    <w:rsid w:val="1C5B33DE"/>
    <w:rsid w:val="1C5B5A42"/>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176B6"/>
    <w:rsid w:val="1C920ACB"/>
    <w:rsid w:val="1C933922"/>
    <w:rsid w:val="1C9466ED"/>
    <w:rsid w:val="1C976AA9"/>
    <w:rsid w:val="1C986940"/>
    <w:rsid w:val="1C9B0535"/>
    <w:rsid w:val="1CA23671"/>
    <w:rsid w:val="1CA81192"/>
    <w:rsid w:val="1CA8494E"/>
    <w:rsid w:val="1CAD0834"/>
    <w:rsid w:val="1CB20175"/>
    <w:rsid w:val="1CB225F1"/>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82370"/>
    <w:rsid w:val="1D0D4145"/>
    <w:rsid w:val="1D120041"/>
    <w:rsid w:val="1D160DCE"/>
    <w:rsid w:val="1D167BDC"/>
    <w:rsid w:val="1D171433"/>
    <w:rsid w:val="1D192DA2"/>
    <w:rsid w:val="1D213ABB"/>
    <w:rsid w:val="1D2406F0"/>
    <w:rsid w:val="1D274522"/>
    <w:rsid w:val="1D2A5211"/>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13FCB"/>
    <w:rsid w:val="1DC64084"/>
    <w:rsid w:val="1DC93E51"/>
    <w:rsid w:val="1DCA21A7"/>
    <w:rsid w:val="1DCA411D"/>
    <w:rsid w:val="1DCA6510"/>
    <w:rsid w:val="1DCB3A00"/>
    <w:rsid w:val="1DCD2633"/>
    <w:rsid w:val="1DD737EE"/>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E214C"/>
    <w:rsid w:val="1E2E5DC4"/>
    <w:rsid w:val="1E2E61EA"/>
    <w:rsid w:val="1E2F3CC8"/>
    <w:rsid w:val="1E3418CC"/>
    <w:rsid w:val="1E353E46"/>
    <w:rsid w:val="1E360353"/>
    <w:rsid w:val="1E382A51"/>
    <w:rsid w:val="1E406F8C"/>
    <w:rsid w:val="1E44476F"/>
    <w:rsid w:val="1E460A80"/>
    <w:rsid w:val="1E471FF9"/>
    <w:rsid w:val="1E477CAA"/>
    <w:rsid w:val="1E484DB3"/>
    <w:rsid w:val="1E4C3511"/>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23CC"/>
    <w:rsid w:val="1E7B42A7"/>
    <w:rsid w:val="1E7B54B7"/>
    <w:rsid w:val="1E7C0783"/>
    <w:rsid w:val="1E801171"/>
    <w:rsid w:val="1E8025DB"/>
    <w:rsid w:val="1E8038FE"/>
    <w:rsid w:val="1E8422E4"/>
    <w:rsid w:val="1E872889"/>
    <w:rsid w:val="1E886F14"/>
    <w:rsid w:val="1E8D172E"/>
    <w:rsid w:val="1E8D1D53"/>
    <w:rsid w:val="1E8F161F"/>
    <w:rsid w:val="1E941459"/>
    <w:rsid w:val="1E947205"/>
    <w:rsid w:val="1E9531DC"/>
    <w:rsid w:val="1E954550"/>
    <w:rsid w:val="1E984DD1"/>
    <w:rsid w:val="1E985CD1"/>
    <w:rsid w:val="1E9A7171"/>
    <w:rsid w:val="1E9B0921"/>
    <w:rsid w:val="1E9C11A8"/>
    <w:rsid w:val="1EA16AD0"/>
    <w:rsid w:val="1EA7613A"/>
    <w:rsid w:val="1EAD1042"/>
    <w:rsid w:val="1EB34EC4"/>
    <w:rsid w:val="1EBB0A1A"/>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A6E31"/>
    <w:rsid w:val="1FAB6CE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47FE6"/>
    <w:rsid w:val="1FD505C8"/>
    <w:rsid w:val="1FD54D93"/>
    <w:rsid w:val="1FD82FE4"/>
    <w:rsid w:val="1FDA232A"/>
    <w:rsid w:val="1FDD68F7"/>
    <w:rsid w:val="1FE5169A"/>
    <w:rsid w:val="1FE6240D"/>
    <w:rsid w:val="1FE67D19"/>
    <w:rsid w:val="1FE70FDB"/>
    <w:rsid w:val="1FE76895"/>
    <w:rsid w:val="1FE80B31"/>
    <w:rsid w:val="1FE97A0A"/>
    <w:rsid w:val="1FEA3808"/>
    <w:rsid w:val="1FEB3581"/>
    <w:rsid w:val="1FEB7843"/>
    <w:rsid w:val="1FEF3950"/>
    <w:rsid w:val="1FF30D93"/>
    <w:rsid w:val="1FF3774C"/>
    <w:rsid w:val="1FF647F0"/>
    <w:rsid w:val="1FF670DD"/>
    <w:rsid w:val="1FF70178"/>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53B84"/>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B05444"/>
    <w:rsid w:val="20B130A1"/>
    <w:rsid w:val="20B20B07"/>
    <w:rsid w:val="20B500C1"/>
    <w:rsid w:val="20B66063"/>
    <w:rsid w:val="20B738FF"/>
    <w:rsid w:val="20B77240"/>
    <w:rsid w:val="20B9542D"/>
    <w:rsid w:val="20BB42D2"/>
    <w:rsid w:val="20BB57DA"/>
    <w:rsid w:val="20BF0C96"/>
    <w:rsid w:val="20C2018C"/>
    <w:rsid w:val="20C25F02"/>
    <w:rsid w:val="20C86C49"/>
    <w:rsid w:val="20CD76A5"/>
    <w:rsid w:val="20D1108C"/>
    <w:rsid w:val="20D414E3"/>
    <w:rsid w:val="20D74D5F"/>
    <w:rsid w:val="20D76314"/>
    <w:rsid w:val="20D82020"/>
    <w:rsid w:val="20D9646E"/>
    <w:rsid w:val="20DE0E7A"/>
    <w:rsid w:val="20DE1C9A"/>
    <w:rsid w:val="20E221E4"/>
    <w:rsid w:val="20E53376"/>
    <w:rsid w:val="20E66222"/>
    <w:rsid w:val="20E70C38"/>
    <w:rsid w:val="20E830D5"/>
    <w:rsid w:val="20EE5EF7"/>
    <w:rsid w:val="20FB21BF"/>
    <w:rsid w:val="20FF23F1"/>
    <w:rsid w:val="21022930"/>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13544"/>
    <w:rsid w:val="21354AB4"/>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B40B6"/>
    <w:rsid w:val="216C6E6A"/>
    <w:rsid w:val="216E3857"/>
    <w:rsid w:val="216F5CB3"/>
    <w:rsid w:val="21715339"/>
    <w:rsid w:val="21724273"/>
    <w:rsid w:val="217465D2"/>
    <w:rsid w:val="217A4226"/>
    <w:rsid w:val="217A5A20"/>
    <w:rsid w:val="217F2A3E"/>
    <w:rsid w:val="21816786"/>
    <w:rsid w:val="21816AC6"/>
    <w:rsid w:val="2186527B"/>
    <w:rsid w:val="2188056D"/>
    <w:rsid w:val="21894815"/>
    <w:rsid w:val="2189626E"/>
    <w:rsid w:val="21896825"/>
    <w:rsid w:val="218F2809"/>
    <w:rsid w:val="218F513B"/>
    <w:rsid w:val="21916094"/>
    <w:rsid w:val="21983295"/>
    <w:rsid w:val="219A0DBB"/>
    <w:rsid w:val="219A3DCF"/>
    <w:rsid w:val="219A4DB4"/>
    <w:rsid w:val="219A58D6"/>
    <w:rsid w:val="219C6AE7"/>
    <w:rsid w:val="219E2669"/>
    <w:rsid w:val="219F3D03"/>
    <w:rsid w:val="219F5777"/>
    <w:rsid w:val="21A02DF2"/>
    <w:rsid w:val="21A23CC1"/>
    <w:rsid w:val="21A24300"/>
    <w:rsid w:val="21A25BF8"/>
    <w:rsid w:val="21A26020"/>
    <w:rsid w:val="21A44AD3"/>
    <w:rsid w:val="21A8797C"/>
    <w:rsid w:val="21AF0627"/>
    <w:rsid w:val="21B222C0"/>
    <w:rsid w:val="21B239C6"/>
    <w:rsid w:val="21B764CD"/>
    <w:rsid w:val="21B812D8"/>
    <w:rsid w:val="21C173F3"/>
    <w:rsid w:val="21C3208B"/>
    <w:rsid w:val="21C347B6"/>
    <w:rsid w:val="21C839CE"/>
    <w:rsid w:val="21C979FE"/>
    <w:rsid w:val="21CD2655"/>
    <w:rsid w:val="21CD3378"/>
    <w:rsid w:val="21CD75D5"/>
    <w:rsid w:val="21D20555"/>
    <w:rsid w:val="21D23A45"/>
    <w:rsid w:val="21D327EF"/>
    <w:rsid w:val="21DA6174"/>
    <w:rsid w:val="21DD133D"/>
    <w:rsid w:val="21E026BA"/>
    <w:rsid w:val="21E25679"/>
    <w:rsid w:val="21E42B61"/>
    <w:rsid w:val="21E464DA"/>
    <w:rsid w:val="21E524FD"/>
    <w:rsid w:val="21EB011F"/>
    <w:rsid w:val="21EB292F"/>
    <w:rsid w:val="21EB5ABA"/>
    <w:rsid w:val="21F220A8"/>
    <w:rsid w:val="21F957CF"/>
    <w:rsid w:val="21FA1EDF"/>
    <w:rsid w:val="21FA63AE"/>
    <w:rsid w:val="21FE01EB"/>
    <w:rsid w:val="21FE043B"/>
    <w:rsid w:val="21FF65AB"/>
    <w:rsid w:val="22063755"/>
    <w:rsid w:val="220D1D27"/>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64DFE"/>
    <w:rsid w:val="22266513"/>
    <w:rsid w:val="2228687C"/>
    <w:rsid w:val="2228794E"/>
    <w:rsid w:val="22293DAC"/>
    <w:rsid w:val="222B4109"/>
    <w:rsid w:val="222D66D8"/>
    <w:rsid w:val="222F1E4B"/>
    <w:rsid w:val="223215B0"/>
    <w:rsid w:val="22345C93"/>
    <w:rsid w:val="223C5396"/>
    <w:rsid w:val="2241392C"/>
    <w:rsid w:val="22421B7E"/>
    <w:rsid w:val="224A7E32"/>
    <w:rsid w:val="224D0688"/>
    <w:rsid w:val="224E1A8D"/>
    <w:rsid w:val="22536448"/>
    <w:rsid w:val="22540F67"/>
    <w:rsid w:val="2256273C"/>
    <w:rsid w:val="22570048"/>
    <w:rsid w:val="225C561F"/>
    <w:rsid w:val="22610A32"/>
    <w:rsid w:val="22617B2B"/>
    <w:rsid w:val="22650199"/>
    <w:rsid w:val="2268071D"/>
    <w:rsid w:val="226E18C3"/>
    <w:rsid w:val="22706523"/>
    <w:rsid w:val="2274388F"/>
    <w:rsid w:val="2274695C"/>
    <w:rsid w:val="22761853"/>
    <w:rsid w:val="22783D2E"/>
    <w:rsid w:val="227A10CF"/>
    <w:rsid w:val="227F6D14"/>
    <w:rsid w:val="22805DB8"/>
    <w:rsid w:val="22812EA5"/>
    <w:rsid w:val="228248F7"/>
    <w:rsid w:val="22827D86"/>
    <w:rsid w:val="2283316A"/>
    <w:rsid w:val="22833377"/>
    <w:rsid w:val="22856993"/>
    <w:rsid w:val="22875C06"/>
    <w:rsid w:val="228A4566"/>
    <w:rsid w:val="228B7A47"/>
    <w:rsid w:val="228C6BE1"/>
    <w:rsid w:val="228D6B72"/>
    <w:rsid w:val="228E642E"/>
    <w:rsid w:val="228F15FE"/>
    <w:rsid w:val="228F35EA"/>
    <w:rsid w:val="228F5FE7"/>
    <w:rsid w:val="228F603B"/>
    <w:rsid w:val="22915BE2"/>
    <w:rsid w:val="22951FB4"/>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30A28"/>
    <w:rsid w:val="22D4654E"/>
    <w:rsid w:val="22D94935"/>
    <w:rsid w:val="22DA5D77"/>
    <w:rsid w:val="22DC493D"/>
    <w:rsid w:val="22DF2808"/>
    <w:rsid w:val="22E356C6"/>
    <w:rsid w:val="22E5460B"/>
    <w:rsid w:val="22E64441"/>
    <w:rsid w:val="22E86431"/>
    <w:rsid w:val="22ED5DB9"/>
    <w:rsid w:val="22EE67DF"/>
    <w:rsid w:val="22F05CC6"/>
    <w:rsid w:val="22F81E58"/>
    <w:rsid w:val="22FA1939"/>
    <w:rsid w:val="22FB1D2D"/>
    <w:rsid w:val="22FC1021"/>
    <w:rsid w:val="22FC1804"/>
    <w:rsid w:val="23025FFD"/>
    <w:rsid w:val="23042A2B"/>
    <w:rsid w:val="2305495A"/>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A43C0"/>
    <w:rsid w:val="232F07D6"/>
    <w:rsid w:val="2332271B"/>
    <w:rsid w:val="23372E82"/>
    <w:rsid w:val="23383351"/>
    <w:rsid w:val="23385236"/>
    <w:rsid w:val="233C27BF"/>
    <w:rsid w:val="233E6B04"/>
    <w:rsid w:val="233F4A01"/>
    <w:rsid w:val="23405B5C"/>
    <w:rsid w:val="234731C4"/>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4733"/>
    <w:rsid w:val="23875BFA"/>
    <w:rsid w:val="2387747E"/>
    <w:rsid w:val="2389175A"/>
    <w:rsid w:val="238A6E15"/>
    <w:rsid w:val="238B30B1"/>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3FF13A9"/>
    <w:rsid w:val="240370EB"/>
    <w:rsid w:val="24061787"/>
    <w:rsid w:val="240717E1"/>
    <w:rsid w:val="240B79E4"/>
    <w:rsid w:val="240C73E0"/>
    <w:rsid w:val="240D76AC"/>
    <w:rsid w:val="241119BA"/>
    <w:rsid w:val="2413511F"/>
    <w:rsid w:val="24144A64"/>
    <w:rsid w:val="24164F85"/>
    <w:rsid w:val="241F0DB6"/>
    <w:rsid w:val="241F18CE"/>
    <w:rsid w:val="241F721E"/>
    <w:rsid w:val="24206012"/>
    <w:rsid w:val="24215AB5"/>
    <w:rsid w:val="2425120C"/>
    <w:rsid w:val="242603AF"/>
    <w:rsid w:val="242A5F8D"/>
    <w:rsid w:val="242B0080"/>
    <w:rsid w:val="242E5903"/>
    <w:rsid w:val="243224C7"/>
    <w:rsid w:val="243276BE"/>
    <w:rsid w:val="24342528"/>
    <w:rsid w:val="24357B40"/>
    <w:rsid w:val="24390D5F"/>
    <w:rsid w:val="24392B1A"/>
    <w:rsid w:val="243A0532"/>
    <w:rsid w:val="243C60EA"/>
    <w:rsid w:val="243E45C7"/>
    <w:rsid w:val="24420D9A"/>
    <w:rsid w:val="24455956"/>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A0DC8"/>
    <w:rsid w:val="247D1CDF"/>
    <w:rsid w:val="24816E5D"/>
    <w:rsid w:val="2483408C"/>
    <w:rsid w:val="248507CD"/>
    <w:rsid w:val="24857441"/>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5B8E"/>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E5D48"/>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045B2"/>
    <w:rsid w:val="25517794"/>
    <w:rsid w:val="25602848"/>
    <w:rsid w:val="2560482B"/>
    <w:rsid w:val="25652585"/>
    <w:rsid w:val="25665CF3"/>
    <w:rsid w:val="256707D3"/>
    <w:rsid w:val="25691621"/>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5703B"/>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F5C7C"/>
    <w:rsid w:val="25B773F6"/>
    <w:rsid w:val="25B84F0F"/>
    <w:rsid w:val="25B86CE5"/>
    <w:rsid w:val="25BE3B1F"/>
    <w:rsid w:val="25BF0648"/>
    <w:rsid w:val="25C32FD6"/>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622E5"/>
    <w:rsid w:val="25E63280"/>
    <w:rsid w:val="25EB1AA8"/>
    <w:rsid w:val="25EC1BA3"/>
    <w:rsid w:val="25ED4701"/>
    <w:rsid w:val="25EE1902"/>
    <w:rsid w:val="25F013FE"/>
    <w:rsid w:val="25F548EE"/>
    <w:rsid w:val="25F63DA7"/>
    <w:rsid w:val="25F7527E"/>
    <w:rsid w:val="25F95FB0"/>
    <w:rsid w:val="25FC3DF2"/>
    <w:rsid w:val="25FF40B1"/>
    <w:rsid w:val="26064D94"/>
    <w:rsid w:val="26084E8D"/>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07C03"/>
    <w:rsid w:val="262125D9"/>
    <w:rsid w:val="26215F4F"/>
    <w:rsid w:val="26236EB1"/>
    <w:rsid w:val="26245A7B"/>
    <w:rsid w:val="262616B4"/>
    <w:rsid w:val="262E41C8"/>
    <w:rsid w:val="26324570"/>
    <w:rsid w:val="26327CB5"/>
    <w:rsid w:val="2634044F"/>
    <w:rsid w:val="263D4A60"/>
    <w:rsid w:val="264345C4"/>
    <w:rsid w:val="264D70EC"/>
    <w:rsid w:val="264E4BFD"/>
    <w:rsid w:val="26533519"/>
    <w:rsid w:val="26545489"/>
    <w:rsid w:val="26677D23"/>
    <w:rsid w:val="266B1DF6"/>
    <w:rsid w:val="266B2A8F"/>
    <w:rsid w:val="266B45F8"/>
    <w:rsid w:val="266D11DC"/>
    <w:rsid w:val="267354ED"/>
    <w:rsid w:val="26754D6E"/>
    <w:rsid w:val="267F6685"/>
    <w:rsid w:val="267F67D1"/>
    <w:rsid w:val="268158F0"/>
    <w:rsid w:val="26817F04"/>
    <w:rsid w:val="26831EC9"/>
    <w:rsid w:val="26853881"/>
    <w:rsid w:val="268735D3"/>
    <w:rsid w:val="268907C4"/>
    <w:rsid w:val="268A7DD4"/>
    <w:rsid w:val="268D1F28"/>
    <w:rsid w:val="268E7C6E"/>
    <w:rsid w:val="269364D1"/>
    <w:rsid w:val="26942BE6"/>
    <w:rsid w:val="269448A2"/>
    <w:rsid w:val="26990243"/>
    <w:rsid w:val="269909FA"/>
    <w:rsid w:val="269C36EB"/>
    <w:rsid w:val="269F3F2E"/>
    <w:rsid w:val="26A01AA9"/>
    <w:rsid w:val="26A54056"/>
    <w:rsid w:val="26A76647"/>
    <w:rsid w:val="26A772A6"/>
    <w:rsid w:val="26A83F7A"/>
    <w:rsid w:val="26AD333E"/>
    <w:rsid w:val="26B30D64"/>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20CC5"/>
    <w:rsid w:val="26E55866"/>
    <w:rsid w:val="26E61A05"/>
    <w:rsid w:val="26E66498"/>
    <w:rsid w:val="26E745B0"/>
    <w:rsid w:val="26E767F2"/>
    <w:rsid w:val="26E80D87"/>
    <w:rsid w:val="26E91006"/>
    <w:rsid w:val="26EB2F69"/>
    <w:rsid w:val="26EE4083"/>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1D04C4"/>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41502"/>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95C55"/>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560C0"/>
    <w:rsid w:val="27EF0CFE"/>
    <w:rsid w:val="27F03715"/>
    <w:rsid w:val="27F4149C"/>
    <w:rsid w:val="27FC4762"/>
    <w:rsid w:val="27FC7950"/>
    <w:rsid w:val="28007516"/>
    <w:rsid w:val="28011B94"/>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21BD2"/>
    <w:rsid w:val="2883554F"/>
    <w:rsid w:val="28853CF6"/>
    <w:rsid w:val="28855985"/>
    <w:rsid w:val="288A28B4"/>
    <w:rsid w:val="288D768A"/>
    <w:rsid w:val="288E5220"/>
    <w:rsid w:val="288F7BF0"/>
    <w:rsid w:val="28973104"/>
    <w:rsid w:val="289A03E9"/>
    <w:rsid w:val="289B1FE8"/>
    <w:rsid w:val="289B27AA"/>
    <w:rsid w:val="289C6AF1"/>
    <w:rsid w:val="289E7BEA"/>
    <w:rsid w:val="289F091A"/>
    <w:rsid w:val="28A0413F"/>
    <w:rsid w:val="28A10C81"/>
    <w:rsid w:val="28A349F9"/>
    <w:rsid w:val="28A504A9"/>
    <w:rsid w:val="28A65C8F"/>
    <w:rsid w:val="28A70CC9"/>
    <w:rsid w:val="28A856AA"/>
    <w:rsid w:val="28AC23AD"/>
    <w:rsid w:val="28AD5878"/>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E67D0"/>
    <w:rsid w:val="28EF0462"/>
    <w:rsid w:val="28F06365"/>
    <w:rsid w:val="28F138BF"/>
    <w:rsid w:val="28F22101"/>
    <w:rsid w:val="28F4155B"/>
    <w:rsid w:val="28F60FCD"/>
    <w:rsid w:val="28F624EE"/>
    <w:rsid w:val="28F66332"/>
    <w:rsid w:val="28F84F84"/>
    <w:rsid w:val="28F91A97"/>
    <w:rsid w:val="28FB1B21"/>
    <w:rsid w:val="28FE231D"/>
    <w:rsid w:val="28FF2995"/>
    <w:rsid w:val="29011462"/>
    <w:rsid w:val="2902699B"/>
    <w:rsid w:val="29041346"/>
    <w:rsid w:val="29043336"/>
    <w:rsid w:val="2906111A"/>
    <w:rsid w:val="290833AE"/>
    <w:rsid w:val="290A0F1C"/>
    <w:rsid w:val="290A2BE3"/>
    <w:rsid w:val="290B50DB"/>
    <w:rsid w:val="290C4367"/>
    <w:rsid w:val="290E1A30"/>
    <w:rsid w:val="29112033"/>
    <w:rsid w:val="29116294"/>
    <w:rsid w:val="29121B7F"/>
    <w:rsid w:val="291245CA"/>
    <w:rsid w:val="29131AF2"/>
    <w:rsid w:val="291D63D2"/>
    <w:rsid w:val="29211DC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F3722"/>
    <w:rsid w:val="29701412"/>
    <w:rsid w:val="29755792"/>
    <w:rsid w:val="29766AA9"/>
    <w:rsid w:val="29772C0F"/>
    <w:rsid w:val="29783B5A"/>
    <w:rsid w:val="2978652E"/>
    <w:rsid w:val="297B7724"/>
    <w:rsid w:val="297E54B9"/>
    <w:rsid w:val="29835948"/>
    <w:rsid w:val="29856B6A"/>
    <w:rsid w:val="29910CA1"/>
    <w:rsid w:val="29974748"/>
    <w:rsid w:val="29974A28"/>
    <w:rsid w:val="299D3B3E"/>
    <w:rsid w:val="29AB044A"/>
    <w:rsid w:val="29B015A7"/>
    <w:rsid w:val="29B25C6F"/>
    <w:rsid w:val="29B35110"/>
    <w:rsid w:val="29B570DA"/>
    <w:rsid w:val="29B63F49"/>
    <w:rsid w:val="29BA120C"/>
    <w:rsid w:val="29BC51C0"/>
    <w:rsid w:val="29BF3A53"/>
    <w:rsid w:val="29C07BB3"/>
    <w:rsid w:val="29C33AF8"/>
    <w:rsid w:val="29C45989"/>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86FC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4600D"/>
    <w:rsid w:val="2A264F50"/>
    <w:rsid w:val="2A2906E7"/>
    <w:rsid w:val="2A2F1014"/>
    <w:rsid w:val="2A2F6817"/>
    <w:rsid w:val="2A2F751F"/>
    <w:rsid w:val="2A302AEF"/>
    <w:rsid w:val="2A360F19"/>
    <w:rsid w:val="2A3C392E"/>
    <w:rsid w:val="2A454796"/>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F56CB"/>
    <w:rsid w:val="2A926529"/>
    <w:rsid w:val="2A97058D"/>
    <w:rsid w:val="2A987409"/>
    <w:rsid w:val="2A9922D2"/>
    <w:rsid w:val="2A9A086C"/>
    <w:rsid w:val="2A9B1D2F"/>
    <w:rsid w:val="2AA1254C"/>
    <w:rsid w:val="2AA4746D"/>
    <w:rsid w:val="2AA50E2E"/>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22892"/>
    <w:rsid w:val="2AD57308"/>
    <w:rsid w:val="2ADA0B47"/>
    <w:rsid w:val="2ADB7341"/>
    <w:rsid w:val="2AE0548C"/>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81151"/>
    <w:rsid w:val="2B08148B"/>
    <w:rsid w:val="2B096F0E"/>
    <w:rsid w:val="2B0A7B11"/>
    <w:rsid w:val="2B0B0AA8"/>
    <w:rsid w:val="2B0D41BB"/>
    <w:rsid w:val="2B0D7C58"/>
    <w:rsid w:val="2B1135DF"/>
    <w:rsid w:val="2B113FD3"/>
    <w:rsid w:val="2B115909"/>
    <w:rsid w:val="2B125E66"/>
    <w:rsid w:val="2B186D98"/>
    <w:rsid w:val="2B194F5C"/>
    <w:rsid w:val="2B1A6475"/>
    <w:rsid w:val="2B1B1323"/>
    <w:rsid w:val="2B1C3DB4"/>
    <w:rsid w:val="2B227DE3"/>
    <w:rsid w:val="2B240326"/>
    <w:rsid w:val="2B247A52"/>
    <w:rsid w:val="2B266C6E"/>
    <w:rsid w:val="2B284B68"/>
    <w:rsid w:val="2B3362D4"/>
    <w:rsid w:val="2B357DD6"/>
    <w:rsid w:val="2B36645A"/>
    <w:rsid w:val="2B3A10EB"/>
    <w:rsid w:val="2B3B016F"/>
    <w:rsid w:val="2B3B5DFE"/>
    <w:rsid w:val="2B403175"/>
    <w:rsid w:val="2B4114D5"/>
    <w:rsid w:val="2B43497A"/>
    <w:rsid w:val="2B487612"/>
    <w:rsid w:val="2B490125"/>
    <w:rsid w:val="2B4A23D1"/>
    <w:rsid w:val="2B4B36FF"/>
    <w:rsid w:val="2B4E68FF"/>
    <w:rsid w:val="2B5205AF"/>
    <w:rsid w:val="2B56699D"/>
    <w:rsid w:val="2B5C7894"/>
    <w:rsid w:val="2B5D1579"/>
    <w:rsid w:val="2B6562D3"/>
    <w:rsid w:val="2B686388"/>
    <w:rsid w:val="2B6A58FB"/>
    <w:rsid w:val="2B6A7A50"/>
    <w:rsid w:val="2B6B750C"/>
    <w:rsid w:val="2B740004"/>
    <w:rsid w:val="2B785D3C"/>
    <w:rsid w:val="2B7B6FD3"/>
    <w:rsid w:val="2B7D401E"/>
    <w:rsid w:val="2B7D5189"/>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777BC"/>
    <w:rsid w:val="2B980A61"/>
    <w:rsid w:val="2B9B5222"/>
    <w:rsid w:val="2BA054FE"/>
    <w:rsid w:val="2BA613A2"/>
    <w:rsid w:val="2BA615D6"/>
    <w:rsid w:val="2BA81698"/>
    <w:rsid w:val="2BAB466B"/>
    <w:rsid w:val="2BAC11FE"/>
    <w:rsid w:val="2BAD05E2"/>
    <w:rsid w:val="2BB03972"/>
    <w:rsid w:val="2BB45511"/>
    <w:rsid w:val="2BB46F1D"/>
    <w:rsid w:val="2BB67139"/>
    <w:rsid w:val="2BB67924"/>
    <w:rsid w:val="2BB7389D"/>
    <w:rsid w:val="2BBD1B4D"/>
    <w:rsid w:val="2BBE1332"/>
    <w:rsid w:val="2BC36926"/>
    <w:rsid w:val="2BC4598B"/>
    <w:rsid w:val="2BC81964"/>
    <w:rsid w:val="2BCC13E2"/>
    <w:rsid w:val="2BCC52AB"/>
    <w:rsid w:val="2BCE582A"/>
    <w:rsid w:val="2BD26B1D"/>
    <w:rsid w:val="2BD66D2F"/>
    <w:rsid w:val="2BDC5E0E"/>
    <w:rsid w:val="2BE315B0"/>
    <w:rsid w:val="2BE32FA6"/>
    <w:rsid w:val="2BE43EFD"/>
    <w:rsid w:val="2BE824C1"/>
    <w:rsid w:val="2BE861C9"/>
    <w:rsid w:val="2BE87709"/>
    <w:rsid w:val="2BEE0AFA"/>
    <w:rsid w:val="2BEE40D1"/>
    <w:rsid w:val="2BF05480"/>
    <w:rsid w:val="2BF12638"/>
    <w:rsid w:val="2BF32DDD"/>
    <w:rsid w:val="2BF33EE9"/>
    <w:rsid w:val="2BF44D9C"/>
    <w:rsid w:val="2BF97735"/>
    <w:rsid w:val="2BFA4368"/>
    <w:rsid w:val="2BFB77B1"/>
    <w:rsid w:val="2BFF288E"/>
    <w:rsid w:val="2C002162"/>
    <w:rsid w:val="2C027C88"/>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86FF9"/>
    <w:rsid w:val="2C2960FC"/>
    <w:rsid w:val="2C2B021E"/>
    <w:rsid w:val="2C2D2D0D"/>
    <w:rsid w:val="2C375944"/>
    <w:rsid w:val="2C3B155A"/>
    <w:rsid w:val="2C3F2EB7"/>
    <w:rsid w:val="2C454CDB"/>
    <w:rsid w:val="2C4D7F46"/>
    <w:rsid w:val="2C4F0497"/>
    <w:rsid w:val="2C506442"/>
    <w:rsid w:val="2C541335"/>
    <w:rsid w:val="2C57251C"/>
    <w:rsid w:val="2C5C51D5"/>
    <w:rsid w:val="2C5F6823"/>
    <w:rsid w:val="2C605945"/>
    <w:rsid w:val="2C62700C"/>
    <w:rsid w:val="2C6631F9"/>
    <w:rsid w:val="2C685693"/>
    <w:rsid w:val="2C6E047E"/>
    <w:rsid w:val="2C7374C1"/>
    <w:rsid w:val="2C750454"/>
    <w:rsid w:val="2C77194B"/>
    <w:rsid w:val="2C78360C"/>
    <w:rsid w:val="2C791DFE"/>
    <w:rsid w:val="2C7B41AF"/>
    <w:rsid w:val="2C7E0EC4"/>
    <w:rsid w:val="2C7E31EF"/>
    <w:rsid w:val="2C7E592F"/>
    <w:rsid w:val="2C8132A3"/>
    <w:rsid w:val="2C844B41"/>
    <w:rsid w:val="2C877BAF"/>
    <w:rsid w:val="2C896503"/>
    <w:rsid w:val="2C8A1A4E"/>
    <w:rsid w:val="2C8E4410"/>
    <w:rsid w:val="2C8F3D1D"/>
    <w:rsid w:val="2C907D44"/>
    <w:rsid w:val="2C917D80"/>
    <w:rsid w:val="2C9416C9"/>
    <w:rsid w:val="2C942FC4"/>
    <w:rsid w:val="2C974C95"/>
    <w:rsid w:val="2C9D53B1"/>
    <w:rsid w:val="2C9F04DE"/>
    <w:rsid w:val="2CA22DF0"/>
    <w:rsid w:val="2CA44196"/>
    <w:rsid w:val="2CA73697"/>
    <w:rsid w:val="2CA86A82"/>
    <w:rsid w:val="2CAC40FB"/>
    <w:rsid w:val="2CAD772D"/>
    <w:rsid w:val="2CB0248B"/>
    <w:rsid w:val="2CB063A3"/>
    <w:rsid w:val="2CB10B57"/>
    <w:rsid w:val="2CB54B9C"/>
    <w:rsid w:val="2CB847EB"/>
    <w:rsid w:val="2CB87A66"/>
    <w:rsid w:val="2CBE2DC2"/>
    <w:rsid w:val="2CBE5720"/>
    <w:rsid w:val="2CC0642B"/>
    <w:rsid w:val="2CC43190"/>
    <w:rsid w:val="2CC73674"/>
    <w:rsid w:val="2CC80A14"/>
    <w:rsid w:val="2CC83363"/>
    <w:rsid w:val="2CC83457"/>
    <w:rsid w:val="2CCD59E0"/>
    <w:rsid w:val="2CCE16F2"/>
    <w:rsid w:val="2CCE6BEB"/>
    <w:rsid w:val="2CD15D7C"/>
    <w:rsid w:val="2CD24FC6"/>
    <w:rsid w:val="2CD52468"/>
    <w:rsid w:val="2CD6400B"/>
    <w:rsid w:val="2CD85700"/>
    <w:rsid w:val="2CE85A97"/>
    <w:rsid w:val="2CEB2E12"/>
    <w:rsid w:val="2CF11B08"/>
    <w:rsid w:val="2CF15C47"/>
    <w:rsid w:val="2CF71927"/>
    <w:rsid w:val="2CFC7880"/>
    <w:rsid w:val="2D006738"/>
    <w:rsid w:val="2D011501"/>
    <w:rsid w:val="2D0352B4"/>
    <w:rsid w:val="2D0434FD"/>
    <w:rsid w:val="2D045DB8"/>
    <w:rsid w:val="2D057B99"/>
    <w:rsid w:val="2D067C4C"/>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97E19"/>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913E2D"/>
    <w:rsid w:val="2D937732"/>
    <w:rsid w:val="2D970330"/>
    <w:rsid w:val="2D990AC0"/>
    <w:rsid w:val="2DA56B08"/>
    <w:rsid w:val="2DAB2232"/>
    <w:rsid w:val="2DAC1FE6"/>
    <w:rsid w:val="2DAD2467"/>
    <w:rsid w:val="2DAD345A"/>
    <w:rsid w:val="2DAE06CC"/>
    <w:rsid w:val="2DB37C4B"/>
    <w:rsid w:val="2DB56F81"/>
    <w:rsid w:val="2DB651CE"/>
    <w:rsid w:val="2DB90B37"/>
    <w:rsid w:val="2DBB03DE"/>
    <w:rsid w:val="2DBC4DFA"/>
    <w:rsid w:val="2DBC70EA"/>
    <w:rsid w:val="2DBF56D4"/>
    <w:rsid w:val="2DC0604D"/>
    <w:rsid w:val="2DC23B73"/>
    <w:rsid w:val="2DCC4EAA"/>
    <w:rsid w:val="2DD34C95"/>
    <w:rsid w:val="2DD366DD"/>
    <w:rsid w:val="2DD410FC"/>
    <w:rsid w:val="2DD75A37"/>
    <w:rsid w:val="2DD8146A"/>
    <w:rsid w:val="2DD85FF6"/>
    <w:rsid w:val="2DDC0C17"/>
    <w:rsid w:val="2DDC2996"/>
    <w:rsid w:val="2DDD2C93"/>
    <w:rsid w:val="2DE17C47"/>
    <w:rsid w:val="2DE42621"/>
    <w:rsid w:val="2DE47F8D"/>
    <w:rsid w:val="2DEA131C"/>
    <w:rsid w:val="2DEC6E42"/>
    <w:rsid w:val="2DF328DF"/>
    <w:rsid w:val="2DF57043"/>
    <w:rsid w:val="2DFB0CFD"/>
    <w:rsid w:val="2DFE0923"/>
    <w:rsid w:val="2DFE3326"/>
    <w:rsid w:val="2DFF182D"/>
    <w:rsid w:val="2DFF3E40"/>
    <w:rsid w:val="2E002B06"/>
    <w:rsid w:val="2E013E72"/>
    <w:rsid w:val="2E0349BB"/>
    <w:rsid w:val="2E034A0D"/>
    <w:rsid w:val="2E035F90"/>
    <w:rsid w:val="2E0573D3"/>
    <w:rsid w:val="2E097564"/>
    <w:rsid w:val="2E0E5C82"/>
    <w:rsid w:val="2E0E6014"/>
    <w:rsid w:val="2E0F0F14"/>
    <w:rsid w:val="2E0F48DF"/>
    <w:rsid w:val="2E0F650A"/>
    <w:rsid w:val="2E11427C"/>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427D0E"/>
    <w:rsid w:val="2E446AD1"/>
    <w:rsid w:val="2E460067"/>
    <w:rsid w:val="2E470981"/>
    <w:rsid w:val="2E4834F6"/>
    <w:rsid w:val="2E4A7EB5"/>
    <w:rsid w:val="2E4C147C"/>
    <w:rsid w:val="2E50117F"/>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AE40F8"/>
    <w:rsid w:val="2EB1632E"/>
    <w:rsid w:val="2EB37960"/>
    <w:rsid w:val="2EB447AF"/>
    <w:rsid w:val="2EB4699C"/>
    <w:rsid w:val="2EB53BFB"/>
    <w:rsid w:val="2EB96286"/>
    <w:rsid w:val="2EB97A68"/>
    <w:rsid w:val="2EBB3E0A"/>
    <w:rsid w:val="2EBD7709"/>
    <w:rsid w:val="2EC17BCE"/>
    <w:rsid w:val="2EC8340B"/>
    <w:rsid w:val="2ED36616"/>
    <w:rsid w:val="2ED52D19"/>
    <w:rsid w:val="2EDA4C86"/>
    <w:rsid w:val="2EDC036F"/>
    <w:rsid w:val="2EDC33F8"/>
    <w:rsid w:val="2EDD6A5B"/>
    <w:rsid w:val="2EE027E8"/>
    <w:rsid w:val="2EE56B5D"/>
    <w:rsid w:val="2EE67B0A"/>
    <w:rsid w:val="2EE848E7"/>
    <w:rsid w:val="2EE946DF"/>
    <w:rsid w:val="2EED2BC6"/>
    <w:rsid w:val="2EEE0998"/>
    <w:rsid w:val="2EEF4E14"/>
    <w:rsid w:val="2EF41CC9"/>
    <w:rsid w:val="2EF7595B"/>
    <w:rsid w:val="2EF830F5"/>
    <w:rsid w:val="2EFB3DC5"/>
    <w:rsid w:val="2EFB68D6"/>
    <w:rsid w:val="2F0003D4"/>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70B57"/>
    <w:rsid w:val="2F27590D"/>
    <w:rsid w:val="2F27710F"/>
    <w:rsid w:val="2F281646"/>
    <w:rsid w:val="2F28514D"/>
    <w:rsid w:val="2F2A651E"/>
    <w:rsid w:val="2F2C7FF7"/>
    <w:rsid w:val="2F2D3340"/>
    <w:rsid w:val="2F2E5C57"/>
    <w:rsid w:val="2F30212C"/>
    <w:rsid w:val="2F315864"/>
    <w:rsid w:val="2F32137F"/>
    <w:rsid w:val="2F351AE9"/>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6146"/>
    <w:rsid w:val="2F71797B"/>
    <w:rsid w:val="2F762ECF"/>
    <w:rsid w:val="2F79396A"/>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2501E"/>
    <w:rsid w:val="2FB34EB5"/>
    <w:rsid w:val="2FB500DD"/>
    <w:rsid w:val="2FB50F3A"/>
    <w:rsid w:val="2FB90E30"/>
    <w:rsid w:val="2FBA5307"/>
    <w:rsid w:val="2FBB05D0"/>
    <w:rsid w:val="2FBE65BC"/>
    <w:rsid w:val="2FC038DE"/>
    <w:rsid w:val="2FC17A26"/>
    <w:rsid w:val="2FC2342B"/>
    <w:rsid w:val="2FC33BD3"/>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9730B"/>
    <w:rsid w:val="304C3897"/>
    <w:rsid w:val="304D1B78"/>
    <w:rsid w:val="304F61E8"/>
    <w:rsid w:val="30523B79"/>
    <w:rsid w:val="30530B02"/>
    <w:rsid w:val="30534CAC"/>
    <w:rsid w:val="30596661"/>
    <w:rsid w:val="305A21E2"/>
    <w:rsid w:val="305B3127"/>
    <w:rsid w:val="305B6C67"/>
    <w:rsid w:val="305F3AD5"/>
    <w:rsid w:val="305F65A0"/>
    <w:rsid w:val="306158D5"/>
    <w:rsid w:val="30624661"/>
    <w:rsid w:val="30663CE0"/>
    <w:rsid w:val="306E1D25"/>
    <w:rsid w:val="307621A8"/>
    <w:rsid w:val="307623FD"/>
    <w:rsid w:val="30770529"/>
    <w:rsid w:val="30826653"/>
    <w:rsid w:val="308725A7"/>
    <w:rsid w:val="30881550"/>
    <w:rsid w:val="308A7825"/>
    <w:rsid w:val="308C66BA"/>
    <w:rsid w:val="308E3C46"/>
    <w:rsid w:val="309077B8"/>
    <w:rsid w:val="309115C4"/>
    <w:rsid w:val="309117EF"/>
    <w:rsid w:val="30956884"/>
    <w:rsid w:val="309646B2"/>
    <w:rsid w:val="30985912"/>
    <w:rsid w:val="309B2C14"/>
    <w:rsid w:val="309D467E"/>
    <w:rsid w:val="309E4D64"/>
    <w:rsid w:val="30A1216A"/>
    <w:rsid w:val="30A57154"/>
    <w:rsid w:val="30AB6AB4"/>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A5678"/>
    <w:rsid w:val="30DD0E38"/>
    <w:rsid w:val="30DE6C60"/>
    <w:rsid w:val="30E52A0A"/>
    <w:rsid w:val="30E64F4E"/>
    <w:rsid w:val="30E761B3"/>
    <w:rsid w:val="30E81B43"/>
    <w:rsid w:val="30EB193A"/>
    <w:rsid w:val="30ED25C8"/>
    <w:rsid w:val="30EF3F28"/>
    <w:rsid w:val="30F331EA"/>
    <w:rsid w:val="30F779FC"/>
    <w:rsid w:val="30F9414D"/>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03DCF"/>
    <w:rsid w:val="31634122"/>
    <w:rsid w:val="31635067"/>
    <w:rsid w:val="31673193"/>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D1917"/>
    <w:rsid w:val="31DF76F1"/>
    <w:rsid w:val="31E00FB5"/>
    <w:rsid w:val="31E45B8C"/>
    <w:rsid w:val="31E645B1"/>
    <w:rsid w:val="31EC2F8D"/>
    <w:rsid w:val="31EC756B"/>
    <w:rsid w:val="31EE29B3"/>
    <w:rsid w:val="31EE412C"/>
    <w:rsid w:val="31F745D3"/>
    <w:rsid w:val="31F83CBF"/>
    <w:rsid w:val="31FA339D"/>
    <w:rsid w:val="31FB28EC"/>
    <w:rsid w:val="31FC58E9"/>
    <w:rsid w:val="31FE3095"/>
    <w:rsid w:val="31FE67FD"/>
    <w:rsid w:val="31FF671F"/>
    <w:rsid w:val="32020056"/>
    <w:rsid w:val="32034F14"/>
    <w:rsid w:val="3204181A"/>
    <w:rsid w:val="32056815"/>
    <w:rsid w:val="320A2560"/>
    <w:rsid w:val="320B31DE"/>
    <w:rsid w:val="320B557C"/>
    <w:rsid w:val="321233F7"/>
    <w:rsid w:val="32174B2D"/>
    <w:rsid w:val="3219399B"/>
    <w:rsid w:val="32195A0B"/>
    <w:rsid w:val="321B036C"/>
    <w:rsid w:val="321B5F1A"/>
    <w:rsid w:val="321E67BD"/>
    <w:rsid w:val="32244DFC"/>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85077"/>
    <w:rsid w:val="324E7081"/>
    <w:rsid w:val="324F387C"/>
    <w:rsid w:val="324F6855"/>
    <w:rsid w:val="32541F87"/>
    <w:rsid w:val="325517EA"/>
    <w:rsid w:val="325C1643"/>
    <w:rsid w:val="32657A06"/>
    <w:rsid w:val="326D1DE7"/>
    <w:rsid w:val="326E5131"/>
    <w:rsid w:val="32700190"/>
    <w:rsid w:val="32764E3E"/>
    <w:rsid w:val="32771E4B"/>
    <w:rsid w:val="327A2C6E"/>
    <w:rsid w:val="327E6123"/>
    <w:rsid w:val="32822B91"/>
    <w:rsid w:val="3285274F"/>
    <w:rsid w:val="328D317B"/>
    <w:rsid w:val="328D7338"/>
    <w:rsid w:val="328E5B10"/>
    <w:rsid w:val="328F15D2"/>
    <w:rsid w:val="32903113"/>
    <w:rsid w:val="32920760"/>
    <w:rsid w:val="3294299E"/>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61978"/>
    <w:rsid w:val="32D94D35"/>
    <w:rsid w:val="32DB7ABA"/>
    <w:rsid w:val="32DF2AD1"/>
    <w:rsid w:val="32E378E0"/>
    <w:rsid w:val="32E44E6D"/>
    <w:rsid w:val="32E62C7B"/>
    <w:rsid w:val="32E91759"/>
    <w:rsid w:val="32EA5644"/>
    <w:rsid w:val="32EB4878"/>
    <w:rsid w:val="32EE219B"/>
    <w:rsid w:val="32F15FBB"/>
    <w:rsid w:val="32F3225B"/>
    <w:rsid w:val="32F4463C"/>
    <w:rsid w:val="32F5243A"/>
    <w:rsid w:val="32F72C4D"/>
    <w:rsid w:val="32F84903"/>
    <w:rsid w:val="3300464B"/>
    <w:rsid w:val="3301082C"/>
    <w:rsid w:val="33030EB6"/>
    <w:rsid w:val="330322F7"/>
    <w:rsid w:val="33041BAC"/>
    <w:rsid w:val="330439EA"/>
    <w:rsid w:val="330662B0"/>
    <w:rsid w:val="33074674"/>
    <w:rsid w:val="3307578A"/>
    <w:rsid w:val="330D644D"/>
    <w:rsid w:val="330E5C64"/>
    <w:rsid w:val="331171E1"/>
    <w:rsid w:val="33123F2B"/>
    <w:rsid w:val="33150BE9"/>
    <w:rsid w:val="3316338D"/>
    <w:rsid w:val="33166D0E"/>
    <w:rsid w:val="331775A8"/>
    <w:rsid w:val="331A1CDE"/>
    <w:rsid w:val="331B1691"/>
    <w:rsid w:val="331B2226"/>
    <w:rsid w:val="331C1D31"/>
    <w:rsid w:val="332152BA"/>
    <w:rsid w:val="33220090"/>
    <w:rsid w:val="33220A74"/>
    <w:rsid w:val="33264087"/>
    <w:rsid w:val="33273224"/>
    <w:rsid w:val="332D05DB"/>
    <w:rsid w:val="332F3C0E"/>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13B89"/>
    <w:rsid w:val="338652D4"/>
    <w:rsid w:val="338D6FBB"/>
    <w:rsid w:val="338F55A8"/>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22636"/>
    <w:rsid w:val="33D44600"/>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22441"/>
    <w:rsid w:val="3409075B"/>
    <w:rsid w:val="340A0022"/>
    <w:rsid w:val="340C0534"/>
    <w:rsid w:val="341241D2"/>
    <w:rsid w:val="341B4538"/>
    <w:rsid w:val="342555B9"/>
    <w:rsid w:val="34284126"/>
    <w:rsid w:val="342B1210"/>
    <w:rsid w:val="342E2345"/>
    <w:rsid w:val="34316F6E"/>
    <w:rsid w:val="3432626E"/>
    <w:rsid w:val="3433138C"/>
    <w:rsid w:val="34341EA3"/>
    <w:rsid w:val="34344C01"/>
    <w:rsid w:val="34394463"/>
    <w:rsid w:val="34403FE2"/>
    <w:rsid w:val="3442156A"/>
    <w:rsid w:val="344275DA"/>
    <w:rsid w:val="34463846"/>
    <w:rsid w:val="34473024"/>
    <w:rsid w:val="34496C6F"/>
    <w:rsid w:val="344B1013"/>
    <w:rsid w:val="344F012B"/>
    <w:rsid w:val="344F3BB9"/>
    <w:rsid w:val="344F48A5"/>
    <w:rsid w:val="34552DB6"/>
    <w:rsid w:val="34572B3B"/>
    <w:rsid w:val="345968B4"/>
    <w:rsid w:val="345E036E"/>
    <w:rsid w:val="3460536E"/>
    <w:rsid w:val="34605DAE"/>
    <w:rsid w:val="34613B13"/>
    <w:rsid w:val="346E7417"/>
    <w:rsid w:val="346F60D7"/>
    <w:rsid w:val="347342B3"/>
    <w:rsid w:val="3479318F"/>
    <w:rsid w:val="3479582F"/>
    <w:rsid w:val="347A2085"/>
    <w:rsid w:val="347B4C94"/>
    <w:rsid w:val="347F0216"/>
    <w:rsid w:val="34810281"/>
    <w:rsid w:val="34836B21"/>
    <w:rsid w:val="348475E4"/>
    <w:rsid w:val="348847CF"/>
    <w:rsid w:val="34884FD5"/>
    <w:rsid w:val="348A435C"/>
    <w:rsid w:val="348B3E29"/>
    <w:rsid w:val="348E2208"/>
    <w:rsid w:val="348E4BCA"/>
    <w:rsid w:val="348F7DF7"/>
    <w:rsid w:val="34917532"/>
    <w:rsid w:val="34925E2A"/>
    <w:rsid w:val="34936269"/>
    <w:rsid w:val="34943D90"/>
    <w:rsid w:val="34AA38CA"/>
    <w:rsid w:val="34B01D5A"/>
    <w:rsid w:val="34B04A3D"/>
    <w:rsid w:val="34B2580F"/>
    <w:rsid w:val="34B41020"/>
    <w:rsid w:val="34B962E0"/>
    <w:rsid w:val="34BF33D6"/>
    <w:rsid w:val="34C27A5A"/>
    <w:rsid w:val="34C30824"/>
    <w:rsid w:val="34C64994"/>
    <w:rsid w:val="34C82459"/>
    <w:rsid w:val="34C93E4B"/>
    <w:rsid w:val="34CC7593"/>
    <w:rsid w:val="34D20971"/>
    <w:rsid w:val="34D467DD"/>
    <w:rsid w:val="34D67F04"/>
    <w:rsid w:val="34DB19BE"/>
    <w:rsid w:val="34DB7B3E"/>
    <w:rsid w:val="34E97AB3"/>
    <w:rsid w:val="34EA018F"/>
    <w:rsid w:val="34EA0FA1"/>
    <w:rsid w:val="34EB768F"/>
    <w:rsid w:val="34ED5259"/>
    <w:rsid w:val="34EE186A"/>
    <w:rsid w:val="34F0335F"/>
    <w:rsid w:val="34F52260"/>
    <w:rsid w:val="34FC127E"/>
    <w:rsid w:val="34FC5CDE"/>
    <w:rsid w:val="35020C24"/>
    <w:rsid w:val="35057A63"/>
    <w:rsid w:val="35094118"/>
    <w:rsid w:val="350958B6"/>
    <w:rsid w:val="35097BEB"/>
    <w:rsid w:val="350B7FA6"/>
    <w:rsid w:val="350C1103"/>
    <w:rsid w:val="350C7A7A"/>
    <w:rsid w:val="350D601C"/>
    <w:rsid w:val="350F0980"/>
    <w:rsid w:val="351C27CC"/>
    <w:rsid w:val="351D1349"/>
    <w:rsid w:val="351F7239"/>
    <w:rsid w:val="35243EAF"/>
    <w:rsid w:val="35254870"/>
    <w:rsid w:val="35274FFD"/>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107"/>
    <w:rsid w:val="35702CE1"/>
    <w:rsid w:val="35704EB0"/>
    <w:rsid w:val="35710A55"/>
    <w:rsid w:val="35720AAE"/>
    <w:rsid w:val="357617BA"/>
    <w:rsid w:val="35790CB9"/>
    <w:rsid w:val="357936BF"/>
    <w:rsid w:val="357A6A6C"/>
    <w:rsid w:val="357D5BF1"/>
    <w:rsid w:val="357E7F99"/>
    <w:rsid w:val="357F58ED"/>
    <w:rsid w:val="357F736D"/>
    <w:rsid w:val="3584606C"/>
    <w:rsid w:val="35861800"/>
    <w:rsid w:val="3586192A"/>
    <w:rsid w:val="35872075"/>
    <w:rsid w:val="358D306E"/>
    <w:rsid w:val="358F26DC"/>
    <w:rsid w:val="358F69ED"/>
    <w:rsid w:val="359143C4"/>
    <w:rsid w:val="359202CF"/>
    <w:rsid w:val="35987485"/>
    <w:rsid w:val="359B20D9"/>
    <w:rsid w:val="359C5BC8"/>
    <w:rsid w:val="359E3729"/>
    <w:rsid w:val="359E4EC6"/>
    <w:rsid w:val="359F4467"/>
    <w:rsid w:val="359F51FF"/>
    <w:rsid w:val="35A10512"/>
    <w:rsid w:val="35A81E7D"/>
    <w:rsid w:val="35AF49E7"/>
    <w:rsid w:val="35B069A7"/>
    <w:rsid w:val="35B47FF9"/>
    <w:rsid w:val="35B818C3"/>
    <w:rsid w:val="35B92F9A"/>
    <w:rsid w:val="35C12CD7"/>
    <w:rsid w:val="35C206F0"/>
    <w:rsid w:val="35C25409"/>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17F5D"/>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41386"/>
    <w:rsid w:val="36351176"/>
    <w:rsid w:val="36385E46"/>
    <w:rsid w:val="363D46DF"/>
    <w:rsid w:val="364170E9"/>
    <w:rsid w:val="36450087"/>
    <w:rsid w:val="36481C39"/>
    <w:rsid w:val="36482B5B"/>
    <w:rsid w:val="364D4E00"/>
    <w:rsid w:val="36550EF4"/>
    <w:rsid w:val="3658194D"/>
    <w:rsid w:val="365F3716"/>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17241"/>
    <w:rsid w:val="36824FDE"/>
    <w:rsid w:val="36850670"/>
    <w:rsid w:val="368915AB"/>
    <w:rsid w:val="368F5E38"/>
    <w:rsid w:val="369242A1"/>
    <w:rsid w:val="36981DB9"/>
    <w:rsid w:val="36992376"/>
    <w:rsid w:val="36A02251"/>
    <w:rsid w:val="36A04C6E"/>
    <w:rsid w:val="36A07334"/>
    <w:rsid w:val="36A24C27"/>
    <w:rsid w:val="36A54032"/>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D05B3E"/>
    <w:rsid w:val="36D160AA"/>
    <w:rsid w:val="36D37827"/>
    <w:rsid w:val="36D9332B"/>
    <w:rsid w:val="36DA58CF"/>
    <w:rsid w:val="36DB7A54"/>
    <w:rsid w:val="36DD6410"/>
    <w:rsid w:val="36DE18BC"/>
    <w:rsid w:val="36E16A1D"/>
    <w:rsid w:val="36E71D3E"/>
    <w:rsid w:val="36E92BA2"/>
    <w:rsid w:val="36EA4555"/>
    <w:rsid w:val="36EE3C2B"/>
    <w:rsid w:val="36F04AC6"/>
    <w:rsid w:val="36F113E8"/>
    <w:rsid w:val="36F823B4"/>
    <w:rsid w:val="36F912E1"/>
    <w:rsid w:val="36FB46AE"/>
    <w:rsid w:val="36FB723E"/>
    <w:rsid w:val="36FC068F"/>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564F7"/>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54462"/>
    <w:rsid w:val="37E603F5"/>
    <w:rsid w:val="37E76798"/>
    <w:rsid w:val="37E821C3"/>
    <w:rsid w:val="37E83263"/>
    <w:rsid w:val="37E87083"/>
    <w:rsid w:val="37EA6C16"/>
    <w:rsid w:val="37EB6883"/>
    <w:rsid w:val="37ED50BF"/>
    <w:rsid w:val="37F10FD8"/>
    <w:rsid w:val="37F30DCD"/>
    <w:rsid w:val="37F86459"/>
    <w:rsid w:val="37F87E08"/>
    <w:rsid w:val="37FE7CF4"/>
    <w:rsid w:val="38033706"/>
    <w:rsid w:val="38095AFA"/>
    <w:rsid w:val="380C102D"/>
    <w:rsid w:val="3810403D"/>
    <w:rsid w:val="38111388"/>
    <w:rsid w:val="38121C96"/>
    <w:rsid w:val="38184B0B"/>
    <w:rsid w:val="381C086C"/>
    <w:rsid w:val="381C1FC2"/>
    <w:rsid w:val="381C2197"/>
    <w:rsid w:val="381C24FB"/>
    <w:rsid w:val="381D07E9"/>
    <w:rsid w:val="381F74DA"/>
    <w:rsid w:val="38201CE6"/>
    <w:rsid w:val="38223BD6"/>
    <w:rsid w:val="382573C4"/>
    <w:rsid w:val="38284F1B"/>
    <w:rsid w:val="3829749A"/>
    <w:rsid w:val="382B5E01"/>
    <w:rsid w:val="382C55F8"/>
    <w:rsid w:val="382E0B22"/>
    <w:rsid w:val="382F03B6"/>
    <w:rsid w:val="383031AF"/>
    <w:rsid w:val="383438BF"/>
    <w:rsid w:val="38380036"/>
    <w:rsid w:val="3838311F"/>
    <w:rsid w:val="38397C6A"/>
    <w:rsid w:val="383A025F"/>
    <w:rsid w:val="383B2BF4"/>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81389A"/>
    <w:rsid w:val="388624AD"/>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20AE5"/>
    <w:rsid w:val="38E452E6"/>
    <w:rsid w:val="38E64746"/>
    <w:rsid w:val="38E86A77"/>
    <w:rsid w:val="38EB1919"/>
    <w:rsid w:val="38EB631B"/>
    <w:rsid w:val="38EC0024"/>
    <w:rsid w:val="38ED2760"/>
    <w:rsid w:val="38EE5228"/>
    <w:rsid w:val="38EE5673"/>
    <w:rsid w:val="38F00185"/>
    <w:rsid w:val="38F22625"/>
    <w:rsid w:val="38F52462"/>
    <w:rsid w:val="38F55454"/>
    <w:rsid w:val="38FA0657"/>
    <w:rsid w:val="38FC574E"/>
    <w:rsid w:val="38FD4424"/>
    <w:rsid w:val="390048BC"/>
    <w:rsid w:val="39022894"/>
    <w:rsid w:val="39026962"/>
    <w:rsid w:val="39043CCC"/>
    <w:rsid w:val="3906240B"/>
    <w:rsid w:val="390748CE"/>
    <w:rsid w:val="39085FA1"/>
    <w:rsid w:val="390D6104"/>
    <w:rsid w:val="390F2D2A"/>
    <w:rsid w:val="3911091E"/>
    <w:rsid w:val="39151917"/>
    <w:rsid w:val="391A2F14"/>
    <w:rsid w:val="391E4825"/>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C3157"/>
    <w:rsid w:val="395E2506"/>
    <w:rsid w:val="39613119"/>
    <w:rsid w:val="39641F82"/>
    <w:rsid w:val="396A5E6C"/>
    <w:rsid w:val="396F3E0C"/>
    <w:rsid w:val="39725971"/>
    <w:rsid w:val="397C2FE1"/>
    <w:rsid w:val="39841B27"/>
    <w:rsid w:val="3984496B"/>
    <w:rsid w:val="39875C71"/>
    <w:rsid w:val="39883220"/>
    <w:rsid w:val="39884064"/>
    <w:rsid w:val="39891427"/>
    <w:rsid w:val="39893177"/>
    <w:rsid w:val="398956C6"/>
    <w:rsid w:val="398C7A35"/>
    <w:rsid w:val="39924D42"/>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B3DB0"/>
    <w:rsid w:val="39CD3846"/>
    <w:rsid w:val="39CE38A0"/>
    <w:rsid w:val="39CF1213"/>
    <w:rsid w:val="39CF143E"/>
    <w:rsid w:val="39D86FC9"/>
    <w:rsid w:val="39D9157E"/>
    <w:rsid w:val="39DA2245"/>
    <w:rsid w:val="39DD5CCA"/>
    <w:rsid w:val="39DF1EED"/>
    <w:rsid w:val="39E77249"/>
    <w:rsid w:val="39E8306D"/>
    <w:rsid w:val="39EA7965"/>
    <w:rsid w:val="39EC063F"/>
    <w:rsid w:val="39EC2BEE"/>
    <w:rsid w:val="39F270B3"/>
    <w:rsid w:val="39FA5D09"/>
    <w:rsid w:val="39FC0E8D"/>
    <w:rsid w:val="39FD07F7"/>
    <w:rsid w:val="39FE0637"/>
    <w:rsid w:val="3A0101F8"/>
    <w:rsid w:val="3A0336F7"/>
    <w:rsid w:val="3A0A2AB5"/>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144F9"/>
    <w:rsid w:val="3A3605C8"/>
    <w:rsid w:val="3A3610A8"/>
    <w:rsid w:val="3A381BC6"/>
    <w:rsid w:val="3A38610E"/>
    <w:rsid w:val="3A3B43EE"/>
    <w:rsid w:val="3A414158"/>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206CF"/>
    <w:rsid w:val="3A7320BA"/>
    <w:rsid w:val="3A74542A"/>
    <w:rsid w:val="3A782938"/>
    <w:rsid w:val="3A791A5E"/>
    <w:rsid w:val="3A802EC6"/>
    <w:rsid w:val="3A8103DD"/>
    <w:rsid w:val="3A854566"/>
    <w:rsid w:val="3A8C150B"/>
    <w:rsid w:val="3A8C72AF"/>
    <w:rsid w:val="3A8D2404"/>
    <w:rsid w:val="3A8F07D5"/>
    <w:rsid w:val="3A91284B"/>
    <w:rsid w:val="3A9207B2"/>
    <w:rsid w:val="3A920E92"/>
    <w:rsid w:val="3A96377E"/>
    <w:rsid w:val="3A9B7C26"/>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0768C"/>
    <w:rsid w:val="3AC12EE6"/>
    <w:rsid w:val="3AC34987"/>
    <w:rsid w:val="3AC3681F"/>
    <w:rsid w:val="3AC37B24"/>
    <w:rsid w:val="3AC93583"/>
    <w:rsid w:val="3AC9777B"/>
    <w:rsid w:val="3ACB6F1D"/>
    <w:rsid w:val="3ACC0001"/>
    <w:rsid w:val="3ACC4276"/>
    <w:rsid w:val="3AD155DE"/>
    <w:rsid w:val="3AD47BFC"/>
    <w:rsid w:val="3AE01ADD"/>
    <w:rsid w:val="3AE03E54"/>
    <w:rsid w:val="3AE25DE5"/>
    <w:rsid w:val="3AE275A2"/>
    <w:rsid w:val="3AE341A3"/>
    <w:rsid w:val="3AE918C9"/>
    <w:rsid w:val="3AE93EB2"/>
    <w:rsid w:val="3AEB6118"/>
    <w:rsid w:val="3AF33520"/>
    <w:rsid w:val="3B02753F"/>
    <w:rsid w:val="3B0321C5"/>
    <w:rsid w:val="3B090622"/>
    <w:rsid w:val="3B0A6DCA"/>
    <w:rsid w:val="3B0B2F23"/>
    <w:rsid w:val="3B0C43E7"/>
    <w:rsid w:val="3B0C61EA"/>
    <w:rsid w:val="3B0E66EF"/>
    <w:rsid w:val="3B0E7BE2"/>
    <w:rsid w:val="3B0F14B0"/>
    <w:rsid w:val="3B0F1A3A"/>
    <w:rsid w:val="3B1022AD"/>
    <w:rsid w:val="3B11613A"/>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75D5A"/>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42E37"/>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0DDB"/>
    <w:rsid w:val="3C0B4729"/>
    <w:rsid w:val="3C0C41D9"/>
    <w:rsid w:val="3C0F1363"/>
    <w:rsid w:val="3C0F1C12"/>
    <w:rsid w:val="3C0F5A1B"/>
    <w:rsid w:val="3C153A08"/>
    <w:rsid w:val="3C166BD5"/>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449D4"/>
    <w:rsid w:val="3C652428"/>
    <w:rsid w:val="3C66428B"/>
    <w:rsid w:val="3C6666A9"/>
    <w:rsid w:val="3C6761BD"/>
    <w:rsid w:val="3C692406"/>
    <w:rsid w:val="3C6D2D06"/>
    <w:rsid w:val="3C767612"/>
    <w:rsid w:val="3C7845C0"/>
    <w:rsid w:val="3C7C6460"/>
    <w:rsid w:val="3C7D04F1"/>
    <w:rsid w:val="3C7E144E"/>
    <w:rsid w:val="3C7E6EC6"/>
    <w:rsid w:val="3C811E69"/>
    <w:rsid w:val="3C8318B6"/>
    <w:rsid w:val="3C8446EA"/>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0F48FB"/>
    <w:rsid w:val="3D11712D"/>
    <w:rsid w:val="3D14593B"/>
    <w:rsid w:val="3D151C81"/>
    <w:rsid w:val="3D154375"/>
    <w:rsid w:val="3D1617E6"/>
    <w:rsid w:val="3D1E55D0"/>
    <w:rsid w:val="3D22018A"/>
    <w:rsid w:val="3D2227F4"/>
    <w:rsid w:val="3D224565"/>
    <w:rsid w:val="3D232D48"/>
    <w:rsid w:val="3D2422D4"/>
    <w:rsid w:val="3D290DF9"/>
    <w:rsid w:val="3D29776B"/>
    <w:rsid w:val="3D2A6700"/>
    <w:rsid w:val="3D341FFF"/>
    <w:rsid w:val="3D347EBE"/>
    <w:rsid w:val="3D354433"/>
    <w:rsid w:val="3D382E9A"/>
    <w:rsid w:val="3D383FFF"/>
    <w:rsid w:val="3D3B6765"/>
    <w:rsid w:val="3D3E497C"/>
    <w:rsid w:val="3D43130B"/>
    <w:rsid w:val="3D446AE1"/>
    <w:rsid w:val="3D461992"/>
    <w:rsid w:val="3D4D337F"/>
    <w:rsid w:val="3D4F4B82"/>
    <w:rsid w:val="3D515CA1"/>
    <w:rsid w:val="3D520549"/>
    <w:rsid w:val="3D5526C8"/>
    <w:rsid w:val="3D567B31"/>
    <w:rsid w:val="3D57713F"/>
    <w:rsid w:val="3D580470"/>
    <w:rsid w:val="3D593F25"/>
    <w:rsid w:val="3D607294"/>
    <w:rsid w:val="3D607E80"/>
    <w:rsid w:val="3D613CE4"/>
    <w:rsid w:val="3D6322CB"/>
    <w:rsid w:val="3D6D4B05"/>
    <w:rsid w:val="3D704CF9"/>
    <w:rsid w:val="3D711779"/>
    <w:rsid w:val="3D725BE4"/>
    <w:rsid w:val="3D727B66"/>
    <w:rsid w:val="3D747076"/>
    <w:rsid w:val="3D770817"/>
    <w:rsid w:val="3D770DA3"/>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7BBE"/>
    <w:rsid w:val="3DD61437"/>
    <w:rsid w:val="3DD86A9B"/>
    <w:rsid w:val="3DDB5BAA"/>
    <w:rsid w:val="3DE649BB"/>
    <w:rsid w:val="3DE865CE"/>
    <w:rsid w:val="3DEB4A20"/>
    <w:rsid w:val="3DF17C0D"/>
    <w:rsid w:val="3DF20D81"/>
    <w:rsid w:val="3DF33931"/>
    <w:rsid w:val="3DF42EB0"/>
    <w:rsid w:val="3DF8713D"/>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4150"/>
    <w:rsid w:val="3E2F3B0E"/>
    <w:rsid w:val="3E324F76"/>
    <w:rsid w:val="3E352A83"/>
    <w:rsid w:val="3E38233A"/>
    <w:rsid w:val="3E383748"/>
    <w:rsid w:val="3E3B6A60"/>
    <w:rsid w:val="3E3D78EB"/>
    <w:rsid w:val="3E3E04D6"/>
    <w:rsid w:val="3E3E2C2F"/>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572A2"/>
    <w:rsid w:val="3E682881"/>
    <w:rsid w:val="3E686F2B"/>
    <w:rsid w:val="3E69116A"/>
    <w:rsid w:val="3E6A003B"/>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86713"/>
    <w:rsid w:val="3E896F62"/>
    <w:rsid w:val="3E8B0A32"/>
    <w:rsid w:val="3E8B5B37"/>
    <w:rsid w:val="3E8D0DD2"/>
    <w:rsid w:val="3E8E13D4"/>
    <w:rsid w:val="3E910EA6"/>
    <w:rsid w:val="3E98627E"/>
    <w:rsid w:val="3E994B44"/>
    <w:rsid w:val="3E9D4299"/>
    <w:rsid w:val="3E9D5725"/>
    <w:rsid w:val="3E9E5F37"/>
    <w:rsid w:val="3EA313E1"/>
    <w:rsid w:val="3EA35546"/>
    <w:rsid w:val="3EA5348A"/>
    <w:rsid w:val="3EA548B4"/>
    <w:rsid w:val="3EA846BF"/>
    <w:rsid w:val="3EAF3CA0"/>
    <w:rsid w:val="3EB019F5"/>
    <w:rsid w:val="3EB02E13"/>
    <w:rsid w:val="3EB03EF7"/>
    <w:rsid w:val="3EB10DBB"/>
    <w:rsid w:val="3EB516C8"/>
    <w:rsid w:val="3EB632E5"/>
    <w:rsid w:val="3EB83771"/>
    <w:rsid w:val="3EBA79EC"/>
    <w:rsid w:val="3EBD6A71"/>
    <w:rsid w:val="3EBE0387"/>
    <w:rsid w:val="3EC040FF"/>
    <w:rsid w:val="3EC062E6"/>
    <w:rsid w:val="3EC07C8A"/>
    <w:rsid w:val="3EC35039"/>
    <w:rsid w:val="3EC449D4"/>
    <w:rsid w:val="3EC877DC"/>
    <w:rsid w:val="3ECA27C6"/>
    <w:rsid w:val="3ED1721A"/>
    <w:rsid w:val="3ED763BA"/>
    <w:rsid w:val="3EDB3D4D"/>
    <w:rsid w:val="3EDC6612"/>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0B047D"/>
    <w:rsid w:val="3F1067C0"/>
    <w:rsid w:val="3F1170E8"/>
    <w:rsid w:val="3F133926"/>
    <w:rsid w:val="3F165F27"/>
    <w:rsid w:val="3F187CB6"/>
    <w:rsid w:val="3F1B6D7C"/>
    <w:rsid w:val="3F1D6B7B"/>
    <w:rsid w:val="3F22008E"/>
    <w:rsid w:val="3F2344FC"/>
    <w:rsid w:val="3F251CF8"/>
    <w:rsid w:val="3F281E7E"/>
    <w:rsid w:val="3F284452"/>
    <w:rsid w:val="3F2C52F0"/>
    <w:rsid w:val="3F2F2A60"/>
    <w:rsid w:val="3F317D3D"/>
    <w:rsid w:val="3F3C5D65"/>
    <w:rsid w:val="3F3D4E08"/>
    <w:rsid w:val="3F3D608D"/>
    <w:rsid w:val="3F3E34D2"/>
    <w:rsid w:val="3F420597"/>
    <w:rsid w:val="3F4209E1"/>
    <w:rsid w:val="3F4654D6"/>
    <w:rsid w:val="3F481985"/>
    <w:rsid w:val="3F4874E3"/>
    <w:rsid w:val="3F4973BD"/>
    <w:rsid w:val="3F4C57EF"/>
    <w:rsid w:val="3F4D34B9"/>
    <w:rsid w:val="3F4D43D5"/>
    <w:rsid w:val="3F525A06"/>
    <w:rsid w:val="3F54627F"/>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8330A"/>
    <w:rsid w:val="3F987CAB"/>
    <w:rsid w:val="3F993CD9"/>
    <w:rsid w:val="3F9B4A13"/>
    <w:rsid w:val="3F9C2AD1"/>
    <w:rsid w:val="3F9D7469"/>
    <w:rsid w:val="3F9F559C"/>
    <w:rsid w:val="3F9F67E0"/>
    <w:rsid w:val="3FA118A5"/>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0EA"/>
    <w:rsid w:val="3FD14F66"/>
    <w:rsid w:val="3FD36FFA"/>
    <w:rsid w:val="3FD40A8C"/>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F84"/>
    <w:rsid w:val="3FF90371"/>
    <w:rsid w:val="3FF93306"/>
    <w:rsid w:val="3FF955DA"/>
    <w:rsid w:val="3FFC6A81"/>
    <w:rsid w:val="40001FEE"/>
    <w:rsid w:val="40007587"/>
    <w:rsid w:val="400238AF"/>
    <w:rsid w:val="400476EF"/>
    <w:rsid w:val="40073B63"/>
    <w:rsid w:val="40074305"/>
    <w:rsid w:val="40081B1E"/>
    <w:rsid w:val="400C3301"/>
    <w:rsid w:val="400E2C48"/>
    <w:rsid w:val="40122CFA"/>
    <w:rsid w:val="401732FD"/>
    <w:rsid w:val="401C6513"/>
    <w:rsid w:val="401F559A"/>
    <w:rsid w:val="401F5B3D"/>
    <w:rsid w:val="401F5DD2"/>
    <w:rsid w:val="401F70EF"/>
    <w:rsid w:val="40266725"/>
    <w:rsid w:val="40271963"/>
    <w:rsid w:val="402A43C9"/>
    <w:rsid w:val="402D4BF1"/>
    <w:rsid w:val="402F5721"/>
    <w:rsid w:val="40356427"/>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D1341"/>
    <w:rsid w:val="406E09A3"/>
    <w:rsid w:val="406F06FC"/>
    <w:rsid w:val="407041A9"/>
    <w:rsid w:val="407845E0"/>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B2789"/>
    <w:rsid w:val="40CD6F0A"/>
    <w:rsid w:val="40CF1057"/>
    <w:rsid w:val="40CF3B5C"/>
    <w:rsid w:val="40D7593C"/>
    <w:rsid w:val="40D87815"/>
    <w:rsid w:val="40DC4D30"/>
    <w:rsid w:val="40DE400D"/>
    <w:rsid w:val="40DF6EDF"/>
    <w:rsid w:val="40E6254D"/>
    <w:rsid w:val="40E67721"/>
    <w:rsid w:val="40E85247"/>
    <w:rsid w:val="40F40090"/>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A7CB0"/>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27207"/>
    <w:rsid w:val="4173417F"/>
    <w:rsid w:val="41745329"/>
    <w:rsid w:val="4174762D"/>
    <w:rsid w:val="41760A90"/>
    <w:rsid w:val="417714DF"/>
    <w:rsid w:val="417E1C47"/>
    <w:rsid w:val="417E56EC"/>
    <w:rsid w:val="41801CA4"/>
    <w:rsid w:val="4181033B"/>
    <w:rsid w:val="418677AA"/>
    <w:rsid w:val="41873BCC"/>
    <w:rsid w:val="41874CF5"/>
    <w:rsid w:val="41897EC1"/>
    <w:rsid w:val="418B3F20"/>
    <w:rsid w:val="418D7AA6"/>
    <w:rsid w:val="418E4B84"/>
    <w:rsid w:val="418F68D4"/>
    <w:rsid w:val="41915462"/>
    <w:rsid w:val="419226E9"/>
    <w:rsid w:val="41965EEA"/>
    <w:rsid w:val="41986C6D"/>
    <w:rsid w:val="419F2F00"/>
    <w:rsid w:val="41A970CC"/>
    <w:rsid w:val="41B23F03"/>
    <w:rsid w:val="41B72249"/>
    <w:rsid w:val="41B72AB2"/>
    <w:rsid w:val="41BC6135"/>
    <w:rsid w:val="41BC6C24"/>
    <w:rsid w:val="41BD66D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41EB2"/>
    <w:rsid w:val="41E81243"/>
    <w:rsid w:val="41E81AE5"/>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181"/>
    <w:rsid w:val="420E542D"/>
    <w:rsid w:val="4210237A"/>
    <w:rsid w:val="42116983"/>
    <w:rsid w:val="4212642F"/>
    <w:rsid w:val="42152F30"/>
    <w:rsid w:val="421B452D"/>
    <w:rsid w:val="421B4618"/>
    <w:rsid w:val="421B789E"/>
    <w:rsid w:val="4225483F"/>
    <w:rsid w:val="42257E20"/>
    <w:rsid w:val="4227344E"/>
    <w:rsid w:val="4227668E"/>
    <w:rsid w:val="422A188F"/>
    <w:rsid w:val="422D451C"/>
    <w:rsid w:val="422D6B9C"/>
    <w:rsid w:val="423446C6"/>
    <w:rsid w:val="423552E7"/>
    <w:rsid w:val="42380450"/>
    <w:rsid w:val="423E6BD9"/>
    <w:rsid w:val="423F57D7"/>
    <w:rsid w:val="424010B3"/>
    <w:rsid w:val="42432908"/>
    <w:rsid w:val="42435A22"/>
    <w:rsid w:val="424961B9"/>
    <w:rsid w:val="424A11CF"/>
    <w:rsid w:val="424A66BE"/>
    <w:rsid w:val="424B0E48"/>
    <w:rsid w:val="42552DB0"/>
    <w:rsid w:val="425E0108"/>
    <w:rsid w:val="42623387"/>
    <w:rsid w:val="42632762"/>
    <w:rsid w:val="42637056"/>
    <w:rsid w:val="42641245"/>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10446"/>
    <w:rsid w:val="42C222D7"/>
    <w:rsid w:val="42C5518A"/>
    <w:rsid w:val="42C75836"/>
    <w:rsid w:val="42CA2204"/>
    <w:rsid w:val="42CF155F"/>
    <w:rsid w:val="42CF2B62"/>
    <w:rsid w:val="42D5345A"/>
    <w:rsid w:val="42D7218F"/>
    <w:rsid w:val="42D740AC"/>
    <w:rsid w:val="42D951A6"/>
    <w:rsid w:val="42D95E97"/>
    <w:rsid w:val="42DD15B7"/>
    <w:rsid w:val="42E0419B"/>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0F75E6"/>
    <w:rsid w:val="431527F3"/>
    <w:rsid w:val="43185DBF"/>
    <w:rsid w:val="431C1009"/>
    <w:rsid w:val="432100AC"/>
    <w:rsid w:val="43235668"/>
    <w:rsid w:val="432A0EC5"/>
    <w:rsid w:val="432A2943"/>
    <w:rsid w:val="432B3D51"/>
    <w:rsid w:val="432B6713"/>
    <w:rsid w:val="432D21A5"/>
    <w:rsid w:val="432D4C5E"/>
    <w:rsid w:val="432F0FFB"/>
    <w:rsid w:val="432F1D67"/>
    <w:rsid w:val="43313CE4"/>
    <w:rsid w:val="433172DD"/>
    <w:rsid w:val="433761D2"/>
    <w:rsid w:val="43390BE3"/>
    <w:rsid w:val="433B2F45"/>
    <w:rsid w:val="433C7ACC"/>
    <w:rsid w:val="433F5188"/>
    <w:rsid w:val="43432C09"/>
    <w:rsid w:val="43457AC3"/>
    <w:rsid w:val="434C29EA"/>
    <w:rsid w:val="434C4830"/>
    <w:rsid w:val="434D3150"/>
    <w:rsid w:val="434D4003"/>
    <w:rsid w:val="435025DF"/>
    <w:rsid w:val="4350302A"/>
    <w:rsid w:val="4354198B"/>
    <w:rsid w:val="435455A7"/>
    <w:rsid w:val="43574906"/>
    <w:rsid w:val="43584284"/>
    <w:rsid w:val="435936B3"/>
    <w:rsid w:val="435A7EBA"/>
    <w:rsid w:val="435B59EE"/>
    <w:rsid w:val="435D743F"/>
    <w:rsid w:val="435E4AE9"/>
    <w:rsid w:val="435F1DAE"/>
    <w:rsid w:val="43602E3E"/>
    <w:rsid w:val="43603276"/>
    <w:rsid w:val="436314FD"/>
    <w:rsid w:val="43675468"/>
    <w:rsid w:val="436A24AA"/>
    <w:rsid w:val="436B4949"/>
    <w:rsid w:val="436C0AEB"/>
    <w:rsid w:val="436C250B"/>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F5027"/>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445A5"/>
    <w:rsid w:val="441E0EE8"/>
    <w:rsid w:val="441F394B"/>
    <w:rsid w:val="442053E3"/>
    <w:rsid w:val="44214BDA"/>
    <w:rsid w:val="44226657"/>
    <w:rsid w:val="442868BE"/>
    <w:rsid w:val="44291B91"/>
    <w:rsid w:val="442E7AD1"/>
    <w:rsid w:val="443141BE"/>
    <w:rsid w:val="44371B81"/>
    <w:rsid w:val="4438446B"/>
    <w:rsid w:val="443A5C15"/>
    <w:rsid w:val="443B4DE2"/>
    <w:rsid w:val="44442398"/>
    <w:rsid w:val="44470D3A"/>
    <w:rsid w:val="444A6190"/>
    <w:rsid w:val="444A7FC7"/>
    <w:rsid w:val="444B6759"/>
    <w:rsid w:val="444D1CAF"/>
    <w:rsid w:val="444D6D43"/>
    <w:rsid w:val="444E0EB1"/>
    <w:rsid w:val="444E3969"/>
    <w:rsid w:val="44526098"/>
    <w:rsid w:val="44547417"/>
    <w:rsid w:val="44570B72"/>
    <w:rsid w:val="445723C0"/>
    <w:rsid w:val="44574A2A"/>
    <w:rsid w:val="445755DB"/>
    <w:rsid w:val="445840DF"/>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A181B"/>
    <w:rsid w:val="448E5015"/>
    <w:rsid w:val="448F4618"/>
    <w:rsid w:val="449045B1"/>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14BE"/>
    <w:rsid w:val="44B2661B"/>
    <w:rsid w:val="44B6565C"/>
    <w:rsid w:val="44B97745"/>
    <w:rsid w:val="44BA479B"/>
    <w:rsid w:val="44BA514C"/>
    <w:rsid w:val="44C12DD3"/>
    <w:rsid w:val="44C413B9"/>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2AAF"/>
    <w:rsid w:val="45135919"/>
    <w:rsid w:val="45156827"/>
    <w:rsid w:val="45164DB2"/>
    <w:rsid w:val="45184106"/>
    <w:rsid w:val="45196317"/>
    <w:rsid w:val="451B031A"/>
    <w:rsid w:val="451B48F0"/>
    <w:rsid w:val="451D2AA9"/>
    <w:rsid w:val="45201861"/>
    <w:rsid w:val="452071D6"/>
    <w:rsid w:val="45216F7A"/>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33A36"/>
    <w:rsid w:val="45645A12"/>
    <w:rsid w:val="45665A8C"/>
    <w:rsid w:val="45682543"/>
    <w:rsid w:val="456A418D"/>
    <w:rsid w:val="456A55E0"/>
    <w:rsid w:val="456C5B1A"/>
    <w:rsid w:val="456E4EDF"/>
    <w:rsid w:val="45710A83"/>
    <w:rsid w:val="4571335F"/>
    <w:rsid w:val="457156B9"/>
    <w:rsid w:val="4573302C"/>
    <w:rsid w:val="45745F93"/>
    <w:rsid w:val="457C68A6"/>
    <w:rsid w:val="4582656F"/>
    <w:rsid w:val="45836D64"/>
    <w:rsid w:val="4585221C"/>
    <w:rsid w:val="4585533A"/>
    <w:rsid w:val="458A0FC3"/>
    <w:rsid w:val="458B0BE7"/>
    <w:rsid w:val="45940E6B"/>
    <w:rsid w:val="459419C8"/>
    <w:rsid w:val="459676B5"/>
    <w:rsid w:val="45973B8E"/>
    <w:rsid w:val="4598372E"/>
    <w:rsid w:val="4598478C"/>
    <w:rsid w:val="45991206"/>
    <w:rsid w:val="459A57B1"/>
    <w:rsid w:val="459C09E8"/>
    <w:rsid w:val="459C73B1"/>
    <w:rsid w:val="459D0E8B"/>
    <w:rsid w:val="459F3852"/>
    <w:rsid w:val="45A3084C"/>
    <w:rsid w:val="45A94B02"/>
    <w:rsid w:val="45B30C9D"/>
    <w:rsid w:val="45BC4EF4"/>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A28EF"/>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078D3"/>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76EC"/>
    <w:rsid w:val="465F56D9"/>
    <w:rsid w:val="46697C23"/>
    <w:rsid w:val="466B1E95"/>
    <w:rsid w:val="466D3137"/>
    <w:rsid w:val="466D4E77"/>
    <w:rsid w:val="46713857"/>
    <w:rsid w:val="4674136E"/>
    <w:rsid w:val="467657F9"/>
    <w:rsid w:val="46782F47"/>
    <w:rsid w:val="467830C8"/>
    <w:rsid w:val="467D48EA"/>
    <w:rsid w:val="467E5625"/>
    <w:rsid w:val="46817374"/>
    <w:rsid w:val="468477E7"/>
    <w:rsid w:val="4685178A"/>
    <w:rsid w:val="468764EB"/>
    <w:rsid w:val="468937D3"/>
    <w:rsid w:val="468B027F"/>
    <w:rsid w:val="468C239F"/>
    <w:rsid w:val="468C2DA9"/>
    <w:rsid w:val="468E73C7"/>
    <w:rsid w:val="46912243"/>
    <w:rsid w:val="46920AC3"/>
    <w:rsid w:val="469726FC"/>
    <w:rsid w:val="469A348A"/>
    <w:rsid w:val="46A73126"/>
    <w:rsid w:val="46A830DA"/>
    <w:rsid w:val="46AB24CF"/>
    <w:rsid w:val="46B10CA5"/>
    <w:rsid w:val="46B123E4"/>
    <w:rsid w:val="46B26C18"/>
    <w:rsid w:val="46B27EBA"/>
    <w:rsid w:val="46B803E8"/>
    <w:rsid w:val="46BE7044"/>
    <w:rsid w:val="46BF24C7"/>
    <w:rsid w:val="46C44060"/>
    <w:rsid w:val="46C60825"/>
    <w:rsid w:val="46C729DB"/>
    <w:rsid w:val="46CF2BAA"/>
    <w:rsid w:val="46D14CC5"/>
    <w:rsid w:val="46D14F7E"/>
    <w:rsid w:val="46E60196"/>
    <w:rsid w:val="46E93F6A"/>
    <w:rsid w:val="46EB6831"/>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74AD8"/>
    <w:rsid w:val="471864C9"/>
    <w:rsid w:val="471B7D7A"/>
    <w:rsid w:val="471C3E9C"/>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88A"/>
    <w:rsid w:val="47914C73"/>
    <w:rsid w:val="47975239"/>
    <w:rsid w:val="47986BD3"/>
    <w:rsid w:val="479A1981"/>
    <w:rsid w:val="479B7BE8"/>
    <w:rsid w:val="47A016FA"/>
    <w:rsid w:val="47A648CD"/>
    <w:rsid w:val="47A66166"/>
    <w:rsid w:val="47A81DFB"/>
    <w:rsid w:val="47A872A5"/>
    <w:rsid w:val="47A97C20"/>
    <w:rsid w:val="47AD5948"/>
    <w:rsid w:val="47AF04DE"/>
    <w:rsid w:val="47AF281E"/>
    <w:rsid w:val="47B20DD2"/>
    <w:rsid w:val="47B50E02"/>
    <w:rsid w:val="47B953E4"/>
    <w:rsid w:val="47BB36B5"/>
    <w:rsid w:val="47BE2D12"/>
    <w:rsid w:val="47C3661E"/>
    <w:rsid w:val="47C4505B"/>
    <w:rsid w:val="47C47DB0"/>
    <w:rsid w:val="47C52B6B"/>
    <w:rsid w:val="47C90257"/>
    <w:rsid w:val="47CA03F9"/>
    <w:rsid w:val="47CA5B82"/>
    <w:rsid w:val="47CD163B"/>
    <w:rsid w:val="47CF3D0B"/>
    <w:rsid w:val="47D13C4B"/>
    <w:rsid w:val="47D161AD"/>
    <w:rsid w:val="47D16D58"/>
    <w:rsid w:val="47D61EED"/>
    <w:rsid w:val="47D7488F"/>
    <w:rsid w:val="47D762AF"/>
    <w:rsid w:val="47DB1C3E"/>
    <w:rsid w:val="47DC7F95"/>
    <w:rsid w:val="47DD4876"/>
    <w:rsid w:val="47E15A4D"/>
    <w:rsid w:val="47E3271B"/>
    <w:rsid w:val="47E41861"/>
    <w:rsid w:val="47E95B17"/>
    <w:rsid w:val="47EA3F9B"/>
    <w:rsid w:val="47ED5839"/>
    <w:rsid w:val="47ED6A7E"/>
    <w:rsid w:val="47EE267A"/>
    <w:rsid w:val="47F36FD4"/>
    <w:rsid w:val="47F4736B"/>
    <w:rsid w:val="47F64E4A"/>
    <w:rsid w:val="47F6777D"/>
    <w:rsid w:val="47F72214"/>
    <w:rsid w:val="47F7594F"/>
    <w:rsid w:val="47FB2A76"/>
    <w:rsid w:val="47FE0516"/>
    <w:rsid w:val="48014699"/>
    <w:rsid w:val="48062B15"/>
    <w:rsid w:val="480735D2"/>
    <w:rsid w:val="48074C8A"/>
    <w:rsid w:val="480A710D"/>
    <w:rsid w:val="480F6290"/>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F48F7"/>
    <w:rsid w:val="488133B9"/>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04CFB"/>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36E7F"/>
    <w:rsid w:val="48F614D5"/>
    <w:rsid w:val="48F7048A"/>
    <w:rsid w:val="48F90A8B"/>
    <w:rsid w:val="48FC5DE4"/>
    <w:rsid w:val="49004581"/>
    <w:rsid w:val="49007097"/>
    <w:rsid w:val="490361AB"/>
    <w:rsid w:val="490556D3"/>
    <w:rsid w:val="49076526"/>
    <w:rsid w:val="49090450"/>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85819"/>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B1BAA"/>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7681"/>
    <w:rsid w:val="4A0A5A5E"/>
    <w:rsid w:val="4A0B32D9"/>
    <w:rsid w:val="4A0B4278"/>
    <w:rsid w:val="4A0B59F3"/>
    <w:rsid w:val="4A0E79CA"/>
    <w:rsid w:val="4A1243E2"/>
    <w:rsid w:val="4A1B1491"/>
    <w:rsid w:val="4A20214B"/>
    <w:rsid w:val="4A2117CA"/>
    <w:rsid w:val="4A21733A"/>
    <w:rsid w:val="4A2231B7"/>
    <w:rsid w:val="4A247722"/>
    <w:rsid w:val="4A281305"/>
    <w:rsid w:val="4A296BBD"/>
    <w:rsid w:val="4A2A0647"/>
    <w:rsid w:val="4A2A204F"/>
    <w:rsid w:val="4A2A402A"/>
    <w:rsid w:val="4A2A551A"/>
    <w:rsid w:val="4A2B7B46"/>
    <w:rsid w:val="4A2E487F"/>
    <w:rsid w:val="4A2F7CCF"/>
    <w:rsid w:val="4A3416AD"/>
    <w:rsid w:val="4A351B6D"/>
    <w:rsid w:val="4A38592F"/>
    <w:rsid w:val="4A3B71AB"/>
    <w:rsid w:val="4A4167A5"/>
    <w:rsid w:val="4A4A439F"/>
    <w:rsid w:val="4A4B3391"/>
    <w:rsid w:val="4A514588"/>
    <w:rsid w:val="4A564886"/>
    <w:rsid w:val="4A58325F"/>
    <w:rsid w:val="4A5A5897"/>
    <w:rsid w:val="4A5C0F0C"/>
    <w:rsid w:val="4A5D0EE4"/>
    <w:rsid w:val="4A5E2910"/>
    <w:rsid w:val="4A5E7D2E"/>
    <w:rsid w:val="4A614C2D"/>
    <w:rsid w:val="4A6315A8"/>
    <w:rsid w:val="4A6537B7"/>
    <w:rsid w:val="4A7411B1"/>
    <w:rsid w:val="4A7A0A45"/>
    <w:rsid w:val="4A7A75FA"/>
    <w:rsid w:val="4A7E3207"/>
    <w:rsid w:val="4A820975"/>
    <w:rsid w:val="4A826B80"/>
    <w:rsid w:val="4A830182"/>
    <w:rsid w:val="4A837295"/>
    <w:rsid w:val="4A8738AC"/>
    <w:rsid w:val="4A8A3823"/>
    <w:rsid w:val="4A8C7560"/>
    <w:rsid w:val="4A8E7A40"/>
    <w:rsid w:val="4A9266A3"/>
    <w:rsid w:val="4A92698B"/>
    <w:rsid w:val="4A936DFB"/>
    <w:rsid w:val="4A9435B7"/>
    <w:rsid w:val="4A9526F8"/>
    <w:rsid w:val="4A953027"/>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44B4F"/>
    <w:rsid w:val="4AD50FC4"/>
    <w:rsid w:val="4AD52CE0"/>
    <w:rsid w:val="4AD8632C"/>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313B8"/>
    <w:rsid w:val="4AF70CA5"/>
    <w:rsid w:val="4AFB07E1"/>
    <w:rsid w:val="4AFE111E"/>
    <w:rsid w:val="4B010D84"/>
    <w:rsid w:val="4B01388A"/>
    <w:rsid w:val="4B017362"/>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77B99"/>
    <w:rsid w:val="4B5A6F8C"/>
    <w:rsid w:val="4B5B6742"/>
    <w:rsid w:val="4B5E62E4"/>
    <w:rsid w:val="4B5F20D3"/>
    <w:rsid w:val="4B624AA9"/>
    <w:rsid w:val="4B667DDC"/>
    <w:rsid w:val="4B6B6D43"/>
    <w:rsid w:val="4B6E5744"/>
    <w:rsid w:val="4B6F44F5"/>
    <w:rsid w:val="4B724622"/>
    <w:rsid w:val="4B73143D"/>
    <w:rsid w:val="4B762487"/>
    <w:rsid w:val="4B776E31"/>
    <w:rsid w:val="4B7E3A71"/>
    <w:rsid w:val="4B856EEB"/>
    <w:rsid w:val="4B85737C"/>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14CA"/>
    <w:rsid w:val="4BAB6053"/>
    <w:rsid w:val="4BB050A5"/>
    <w:rsid w:val="4BB07825"/>
    <w:rsid w:val="4BB2372B"/>
    <w:rsid w:val="4BB36071"/>
    <w:rsid w:val="4BB752CB"/>
    <w:rsid w:val="4BC0223A"/>
    <w:rsid w:val="4BC13445"/>
    <w:rsid w:val="4BC226BA"/>
    <w:rsid w:val="4BC511DE"/>
    <w:rsid w:val="4BC90E1B"/>
    <w:rsid w:val="4BC934F3"/>
    <w:rsid w:val="4BCA308E"/>
    <w:rsid w:val="4BD16C25"/>
    <w:rsid w:val="4BD20C2A"/>
    <w:rsid w:val="4BD240FA"/>
    <w:rsid w:val="4BD26B6A"/>
    <w:rsid w:val="4BD303F5"/>
    <w:rsid w:val="4BD411EA"/>
    <w:rsid w:val="4BDC009E"/>
    <w:rsid w:val="4BDE053D"/>
    <w:rsid w:val="4BE60D6F"/>
    <w:rsid w:val="4BE67298"/>
    <w:rsid w:val="4BE7123E"/>
    <w:rsid w:val="4BE73EB8"/>
    <w:rsid w:val="4BEA5A65"/>
    <w:rsid w:val="4BEA767A"/>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97552"/>
    <w:rsid w:val="4C4A4FB6"/>
    <w:rsid w:val="4C52335A"/>
    <w:rsid w:val="4C577725"/>
    <w:rsid w:val="4C5A2841"/>
    <w:rsid w:val="4C681932"/>
    <w:rsid w:val="4C687B84"/>
    <w:rsid w:val="4C6C7A3E"/>
    <w:rsid w:val="4C6D3754"/>
    <w:rsid w:val="4C6E709B"/>
    <w:rsid w:val="4C6F2CC0"/>
    <w:rsid w:val="4C6F496A"/>
    <w:rsid w:val="4C6F65E4"/>
    <w:rsid w:val="4C737586"/>
    <w:rsid w:val="4C7675E4"/>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0731E"/>
    <w:rsid w:val="4CA82907"/>
    <w:rsid w:val="4CA83735"/>
    <w:rsid w:val="4CAB28BE"/>
    <w:rsid w:val="4CAB4883"/>
    <w:rsid w:val="4CAB7731"/>
    <w:rsid w:val="4CAE37E9"/>
    <w:rsid w:val="4CB21FA7"/>
    <w:rsid w:val="4CB3256C"/>
    <w:rsid w:val="4CB40331"/>
    <w:rsid w:val="4CB535E7"/>
    <w:rsid w:val="4CB746BF"/>
    <w:rsid w:val="4CB81A40"/>
    <w:rsid w:val="4CB85169"/>
    <w:rsid w:val="4CBC4E53"/>
    <w:rsid w:val="4CC000E4"/>
    <w:rsid w:val="4CC07B16"/>
    <w:rsid w:val="4CC164D4"/>
    <w:rsid w:val="4CC805CD"/>
    <w:rsid w:val="4CC80C36"/>
    <w:rsid w:val="4CCA4766"/>
    <w:rsid w:val="4CCC7A70"/>
    <w:rsid w:val="4CCE31DB"/>
    <w:rsid w:val="4CD14249"/>
    <w:rsid w:val="4CD35852"/>
    <w:rsid w:val="4CD4750B"/>
    <w:rsid w:val="4CD83D84"/>
    <w:rsid w:val="4CDC509B"/>
    <w:rsid w:val="4CDE39A2"/>
    <w:rsid w:val="4CE17CBB"/>
    <w:rsid w:val="4CE73126"/>
    <w:rsid w:val="4CEC25AC"/>
    <w:rsid w:val="4CEE0BA4"/>
    <w:rsid w:val="4CEF2F11"/>
    <w:rsid w:val="4CF10612"/>
    <w:rsid w:val="4CF17CA6"/>
    <w:rsid w:val="4CF229A2"/>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16AAD"/>
    <w:rsid w:val="4D625031"/>
    <w:rsid w:val="4D6361C4"/>
    <w:rsid w:val="4D6457F8"/>
    <w:rsid w:val="4D6461E5"/>
    <w:rsid w:val="4D693BB4"/>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BF5582"/>
    <w:rsid w:val="4DC21824"/>
    <w:rsid w:val="4DC226E8"/>
    <w:rsid w:val="4DC50522"/>
    <w:rsid w:val="4DC64075"/>
    <w:rsid w:val="4DC92195"/>
    <w:rsid w:val="4DCB03CA"/>
    <w:rsid w:val="4DCD6596"/>
    <w:rsid w:val="4DCE1C69"/>
    <w:rsid w:val="4DCF0CC7"/>
    <w:rsid w:val="4DCF4AEB"/>
    <w:rsid w:val="4DD1703B"/>
    <w:rsid w:val="4DD5457B"/>
    <w:rsid w:val="4DD87F15"/>
    <w:rsid w:val="4DDB00CE"/>
    <w:rsid w:val="4DDB722B"/>
    <w:rsid w:val="4DDC3FBA"/>
    <w:rsid w:val="4DDD08D5"/>
    <w:rsid w:val="4DDF18EE"/>
    <w:rsid w:val="4DE06B5B"/>
    <w:rsid w:val="4DE558EE"/>
    <w:rsid w:val="4DE60D60"/>
    <w:rsid w:val="4DEA4CF4"/>
    <w:rsid w:val="4DEA6AA2"/>
    <w:rsid w:val="4DF01B93"/>
    <w:rsid w:val="4DF3560C"/>
    <w:rsid w:val="4DF5660E"/>
    <w:rsid w:val="4DFA18D9"/>
    <w:rsid w:val="4DFA2CD8"/>
    <w:rsid w:val="4DFD06EC"/>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258BF"/>
    <w:rsid w:val="4E4405F7"/>
    <w:rsid w:val="4E462BDB"/>
    <w:rsid w:val="4E4706FF"/>
    <w:rsid w:val="4E472DE4"/>
    <w:rsid w:val="4E490E91"/>
    <w:rsid w:val="4E4B27AD"/>
    <w:rsid w:val="4E4C150B"/>
    <w:rsid w:val="4E4C336A"/>
    <w:rsid w:val="4E5056C3"/>
    <w:rsid w:val="4E541DBF"/>
    <w:rsid w:val="4E583DAE"/>
    <w:rsid w:val="4E584769"/>
    <w:rsid w:val="4E5B2518"/>
    <w:rsid w:val="4E5B2789"/>
    <w:rsid w:val="4E5B5139"/>
    <w:rsid w:val="4E5C14E8"/>
    <w:rsid w:val="4E5D0C0D"/>
    <w:rsid w:val="4E5F23DD"/>
    <w:rsid w:val="4E6030DF"/>
    <w:rsid w:val="4E604F48"/>
    <w:rsid w:val="4E661EA1"/>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421BD"/>
    <w:rsid w:val="4EB9116F"/>
    <w:rsid w:val="4EBA0C2B"/>
    <w:rsid w:val="4EBB653A"/>
    <w:rsid w:val="4EBD3989"/>
    <w:rsid w:val="4EC70B92"/>
    <w:rsid w:val="4EC84A57"/>
    <w:rsid w:val="4ED351D4"/>
    <w:rsid w:val="4ED35788"/>
    <w:rsid w:val="4ED572E1"/>
    <w:rsid w:val="4ED82D9F"/>
    <w:rsid w:val="4EE118A7"/>
    <w:rsid w:val="4EE23498"/>
    <w:rsid w:val="4EE23C1E"/>
    <w:rsid w:val="4EE34D0E"/>
    <w:rsid w:val="4EE43B82"/>
    <w:rsid w:val="4EE65E96"/>
    <w:rsid w:val="4EE81D24"/>
    <w:rsid w:val="4EE90788"/>
    <w:rsid w:val="4EEB26DC"/>
    <w:rsid w:val="4EEF1BEC"/>
    <w:rsid w:val="4EF03CEE"/>
    <w:rsid w:val="4EF7109C"/>
    <w:rsid w:val="4EF87191"/>
    <w:rsid w:val="4EFC114C"/>
    <w:rsid w:val="4EFD19E2"/>
    <w:rsid w:val="4EFF592D"/>
    <w:rsid w:val="4F030297"/>
    <w:rsid w:val="4F073684"/>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4114C2"/>
    <w:rsid w:val="4F416356"/>
    <w:rsid w:val="4F4178B9"/>
    <w:rsid w:val="4F4325DB"/>
    <w:rsid w:val="4F454E8F"/>
    <w:rsid w:val="4F4904CF"/>
    <w:rsid w:val="4F4E7B24"/>
    <w:rsid w:val="4F501DF8"/>
    <w:rsid w:val="4F5910DA"/>
    <w:rsid w:val="4F6007F8"/>
    <w:rsid w:val="4F60540E"/>
    <w:rsid w:val="4F677115"/>
    <w:rsid w:val="4F6958BC"/>
    <w:rsid w:val="4F6E725F"/>
    <w:rsid w:val="4F702FD7"/>
    <w:rsid w:val="4F714BD1"/>
    <w:rsid w:val="4F76643C"/>
    <w:rsid w:val="4F791990"/>
    <w:rsid w:val="4F7B7E6F"/>
    <w:rsid w:val="4F7D68A1"/>
    <w:rsid w:val="4F7E1023"/>
    <w:rsid w:val="4F7F146C"/>
    <w:rsid w:val="4F803F38"/>
    <w:rsid w:val="4F86248E"/>
    <w:rsid w:val="4F865B8C"/>
    <w:rsid w:val="4F8E2E7F"/>
    <w:rsid w:val="4F8E4CA8"/>
    <w:rsid w:val="4F8E5B53"/>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1360"/>
    <w:rsid w:val="4FBE517F"/>
    <w:rsid w:val="4FCC2CDA"/>
    <w:rsid w:val="4FCF6F29"/>
    <w:rsid w:val="4FD55621"/>
    <w:rsid w:val="4FD64A2E"/>
    <w:rsid w:val="4FD71B2F"/>
    <w:rsid w:val="4FD74D1B"/>
    <w:rsid w:val="4FD7539F"/>
    <w:rsid w:val="4FD76206"/>
    <w:rsid w:val="4FDB79AB"/>
    <w:rsid w:val="4FDD65F6"/>
    <w:rsid w:val="4FE01EAD"/>
    <w:rsid w:val="4FE6060D"/>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31BB5"/>
    <w:rsid w:val="5018638A"/>
    <w:rsid w:val="501877BE"/>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34326"/>
    <w:rsid w:val="507373A8"/>
    <w:rsid w:val="50746AF7"/>
    <w:rsid w:val="50767D49"/>
    <w:rsid w:val="507B1010"/>
    <w:rsid w:val="5080064E"/>
    <w:rsid w:val="50815D12"/>
    <w:rsid w:val="50881A2F"/>
    <w:rsid w:val="508A2397"/>
    <w:rsid w:val="508B41E7"/>
    <w:rsid w:val="508B5B37"/>
    <w:rsid w:val="508C6425"/>
    <w:rsid w:val="50922785"/>
    <w:rsid w:val="509D475A"/>
    <w:rsid w:val="50A078EC"/>
    <w:rsid w:val="50A234B0"/>
    <w:rsid w:val="50A25654"/>
    <w:rsid w:val="50A454F9"/>
    <w:rsid w:val="50A61BD5"/>
    <w:rsid w:val="50AB5363"/>
    <w:rsid w:val="50AD6935"/>
    <w:rsid w:val="50AE16EE"/>
    <w:rsid w:val="50AF30C6"/>
    <w:rsid w:val="50B332A5"/>
    <w:rsid w:val="50B5051F"/>
    <w:rsid w:val="50B6614D"/>
    <w:rsid w:val="50B8037D"/>
    <w:rsid w:val="50BB0523"/>
    <w:rsid w:val="50BB7C40"/>
    <w:rsid w:val="50C47798"/>
    <w:rsid w:val="50C9621D"/>
    <w:rsid w:val="50C96BB7"/>
    <w:rsid w:val="50CD4459"/>
    <w:rsid w:val="50D0185E"/>
    <w:rsid w:val="50D40C23"/>
    <w:rsid w:val="50D628BF"/>
    <w:rsid w:val="50D77086"/>
    <w:rsid w:val="50DC4483"/>
    <w:rsid w:val="50DF2586"/>
    <w:rsid w:val="50DF7594"/>
    <w:rsid w:val="50E06CB8"/>
    <w:rsid w:val="50E10F85"/>
    <w:rsid w:val="50E17396"/>
    <w:rsid w:val="50E45515"/>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73B6A"/>
    <w:rsid w:val="51287979"/>
    <w:rsid w:val="512B1242"/>
    <w:rsid w:val="512B5A0A"/>
    <w:rsid w:val="512B5E85"/>
    <w:rsid w:val="513174A7"/>
    <w:rsid w:val="51361FFF"/>
    <w:rsid w:val="513C1DD1"/>
    <w:rsid w:val="513D507C"/>
    <w:rsid w:val="513F5D8A"/>
    <w:rsid w:val="514B3CFC"/>
    <w:rsid w:val="514D1512"/>
    <w:rsid w:val="514D5C03"/>
    <w:rsid w:val="514E7501"/>
    <w:rsid w:val="514F30C0"/>
    <w:rsid w:val="515150AB"/>
    <w:rsid w:val="515608C5"/>
    <w:rsid w:val="51566098"/>
    <w:rsid w:val="51587126"/>
    <w:rsid w:val="51593D96"/>
    <w:rsid w:val="51612138"/>
    <w:rsid w:val="51681B37"/>
    <w:rsid w:val="516A3A56"/>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98235F"/>
    <w:rsid w:val="51A0772B"/>
    <w:rsid w:val="51A10EB8"/>
    <w:rsid w:val="51A451BA"/>
    <w:rsid w:val="51A935A4"/>
    <w:rsid w:val="51AC506D"/>
    <w:rsid w:val="51B037FC"/>
    <w:rsid w:val="51B03E6A"/>
    <w:rsid w:val="51B11329"/>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D44B3"/>
    <w:rsid w:val="51DE0DEB"/>
    <w:rsid w:val="51E24794"/>
    <w:rsid w:val="51E5197A"/>
    <w:rsid w:val="51E72118"/>
    <w:rsid w:val="51E92E1B"/>
    <w:rsid w:val="51F24EC7"/>
    <w:rsid w:val="51F31C9E"/>
    <w:rsid w:val="51F4202F"/>
    <w:rsid w:val="51F81106"/>
    <w:rsid w:val="51F8315B"/>
    <w:rsid w:val="52004282"/>
    <w:rsid w:val="52005A07"/>
    <w:rsid w:val="52034E92"/>
    <w:rsid w:val="52047ABB"/>
    <w:rsid w:val="5205264B"/>
    <w:rsid w:val="52081224"/>
    <w:rsid w:val="52093D7A"/>
    <w:rsid w:val="520A2EAB"/>
    <w:rsid w:val="520D08F9"/>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30AB"/>
    <w:rsid w:val="526160CB"/>
    <w:rsid w:val="52626C5A"/>
    <w:rsid w:val="52636A49"/>
    <w:rsid w:val="52652009"/>
    <w:rsid w:val="52671AF8"/>
    <w:rsid w:val="52682FC1"/>
    <w:rsid w:val="526D37F6"/>
    <w:rsid w:val="52742367"/>
    <w:rsid w:val="527654BD"/>
    <w:rsid w:val="527821A3"/>
    <w:rsid w:val="527E176A"/>
    <w:rsid w:val="527F6F49"/>
    <w:rsid w:val="5285323E"/>
    <w:rsid w:val="528613D1"/>
    <w:rsid w:val="5287106C"/>
    <w:rsid w:val="52906443"/>
    <w:rsid w:val="52911193"/>
    <w:rsid w:val="529278EE"/>
    <w:rsid w:val="5293270C"/>
    <w:rsid w:val="52944461"/>
    <w:rsid w:val="529856CD"/>
    <w:rsid w:val="529B653C"/>
    <w:rsid w:val="529D34AC"/>
    <w:rsid w:val="52A04EE9"/>
    <w:rsid w:val="52A176C7"/>
    <w:rsid w:val="52A21840"/>
    <w:rsid w:val="52A33F39"/>
    <w:rsid w:val="52A462B0"/>
    <w:rsid w:val="52A66D10"/>
    <w:rsid w:val="52A9483A"/>
    <w:rsid w:val="52AD5545"/>
    <w:rsid w:val="52B01305"/>
    <w:rsid w:val="52B04AA5"/>
    <w:rsid w:val="52B30F99"/>
    <w:rsid w:val="52B60925"/>
    <w:rsid w:val="52B6356F"/>
    <w:rsid w:val="52B9451C"/>
    <w:rsid w:val="52BA5378"/>
    <w:rsid w:val="52BB27AC"/>
    <w:rsid w:val="52C04529"/>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2171"/>
    <w:rsid w:val="52F449C9"/>
    <w:rsid w:val="52FD4C7D"/>
    <w:rsid w:val="530043CA"/>
    <w:rsid w:val="5305001C"/>
    <w:rsid w:val="53055B76"/>
    <w:rsid w:val="53057EC9"/>
    <w:rsid w:val="53062113"/>
    <w:rsid w:val="53071048"/>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51E40"/>
    <w:rsid w:val="5326355A"/>
    <w:rsid w:val="53267F75"/>
    <w:rsid w:val="53291D9A"/>
    <w:rsid w:val="532E5C60"/>
    <w:rsid w:val="532F5784"/>
    <w:rsid w:val="5333389E"/>
    <w:rsid w:val="533472B4"/>
    <w:rsid w:val="533802B0"/>
    <w:rsid w:val="533C1AC2"/>
    <w:rsid w:val="533C29EB"/>
    <w:rsid w:val="533E4E87"/>
    <w:rsid w:val="53423DC3"/>
    <w:rsid w:val="5349505E"/>
    <w:rsid w:val="534F749A"/>
    <w:rsid w:val="53541439"/>
    <w:rsid w:val="535449BE"/>
    <w:rsid w:val="53575AA3"/>
    <w:rsid w:val="535A49A5"/>
    <w:rsid w:val="535D1FBC"/>
    <w:rsid w:val="535D4EAE"/>
    <w:rsid w:val="535D5CC5"/>
    <w:rsid w:val="535E0A8A"/>
    <w:rsid w:val="535E2397"/>
    <w:rsid w:val="535E583D"/>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820DA"/>
    <w:rsid w:val="539C64F4"/>
    <w:rsid w:val="539D5FA9"/>
    <w:rsid w:val="539F7C71"/>
    <w:rsid w:val="53A60BA8"/>
    <w:rsid w:val="53A743A4"/>
    <w:rsid w:val="53A8257D"/>
    <w:rsid w:val="53AD6898"/>
    <w:rsid w:val="53AF7A59"/>
    <w:rsid w:val="53B10062"/>
    <w:rsid w:val="53B11E10"/>
    <w:rsid w:val="53B476FF"/>
    <w:rsid w:val="53B53959"/>
    <w:rsid w:val="53B66053"/>
    <w:rsid w:val="53B70141"/>
    <w:rsid w:val="53B73924"/>
    <w:rsid w:val="53BE14E8"/>
    <w:rsid w:val="53BE57A1"/>
    <w:rsid w:val="53C0331C"/>
    <w:rsid w:val="53C06877"/>
    <w:rsid w:val="53C10D5C"/>
    <w:rsid w:val="53C44B1A"/>
    <w:rsid w:val="53CD3918"/>
    <w:rsid w:val="53D3304A"/>
    <w:rsid w:val="53D352E6"/>
    <w:rsid w:val="53D505EF"/>
    <w:rsid w:val="53D61877"/>
    <w:rsid w:val="53D766AF"/>
    <w:rsid w:val="53E13C75"/>
    <w:rsid w:val="53E279B5"/>
    <w:rsid w:val="53E30BE0"/>
    <w:rsid w:val="53E341A7"/>
    <w:rsid w:val="53E50447"/>
    <w:rsid w:val="53E71813"/>
    <w:rsid w:val="53E73654"/>
    <w:rsid w:val="53EA5A87"/>
    <w:rsid w:val="53EC07DA"/>
    <w:rsid w:val="53EE61B7"/>
    <w:rsid w:val="53F54759"/>
    <w:rsid w:val="53F6468C"/>
    <w:rsid w:val="53FB7825"/>
    <w:rsid w:val="53FC16E4"/>
    <w:rsid w:val="53FC5908"/>
    <w:rsid w:val="54091C4C"/>
    <w:rsid w:val="540A7ECF"/>
    <w:rsid w:val="540E09B9"/>
    <w:rsid w:val="540F054F"/>
    <w:rsid w:val="54103DD4"/>
    <w:rsid w:val="54104215"/>
    <w:rsid w:val="54123FF7"/>
    <w:rsid w:val="54150E7E"/>
    <w:rsid w:val="541B2F5B"/>
    <w:rsid w:val="541B3CC4"/>
    <w:rsid w:val="541C78C1"/>
    <w:rsid w:val="54207519"/>
    <w:rsid w:val="54232D0E"/>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E0B5A"/>
    <w:rsid w:val="547F22D8"/>
    <w:rsid w:val="54815C87"/>
    <w:rsid w:val="54840B3F"/>
    <w:rsid w:val="54860203"/>
    <w:rsid w:val="54863D42"/>
    <w:rsid w:val="54876A43"/>
    <w:rsid w:val="54891439"/>
    <w:rsid w:val="548B0D85"/>
    <w:rsid w:val="548C0CEF"/>
    <w:rsid w:val="548C12C1"/>
    <w:rsid w:val="548C16B2"/>
    <w:rsid w:val="54935398"/>
    <w:rsid w:val="54954FC0"/>
    <w:rsid w:val="54977EEA"/>
    <w:rsid w:val="54980D2D"/>
    <w:rsid w:val="549A316E"/>
    <w:rsid w:val="549F6090"/>
    <w:rsid w:val="54A203AA"/>
    <w:rsid w:val="54A32783"/>
    <w:rsid w:val="54A46F58"/>
    <w:rsid w:val="54A61249"/>
    <w:rsid w:val="54A76C80"/>
    <w:rsid w:val="54A83508"/>
    <w:rsid w:val="54A95E9D"/>
    <w:rsid w:val="54AA0902"/>
    <w:rsid w:val="54AB40D2"/>
    <w:rsid w:val="54AD5D40"/>
    <w:rsid w:val="54B009C5"/>
    <w:rsid w:val="54B01609"/>
    <w:rsid w:val="54B03471"/>
    <w:rsid w:val="54B06227"/>
    <w:rsid w:val="54BA467E"/>
    <w:rsid w:val="54BB383D"/>
    <w:rsid w:val="54C1081F"/>
    <w:rsid w:val="54C37AFE"/>
    <w:rsid w:val="54C91812"/>
    <w:rsid w:val="54D12267"/>
    <w:rsid w:val="54D20290"/>
    <w:rsid w:val="54D659A5"/>
    <w:rsid w:val="54DB539D"/>
    <w:rsid w:val="54DC700E"/>
    <w:rsid w:val="54DF34A6"/>
    <w:rsid w:val="54E505A3"/>
    <w:rsid w:val="54E61646"/>
    <w:rsid w:val="54E82550"/>
    <w:rsid w:val="54E8428B"/>
    <w:rsid w:val="54EB6E3B"/>
    <w:rsid w:val="54EC08AB"/>
    <w:rsid w:val="54EC6C66"/>
    <w:rsid w:val="54EF0214"/>
    <w:rsid w:val="54F7294B"/>
    <w:rsid w:val="54F92092"/>
    <w:rsid w:val="54F94FB8"/>
    <w:rsid w:val="54FC7F2F"/>
    <w:rsid w:val="54FD3AAB"/>
    <w:rsid w:val="54FE05A2"/>
    <w:rsid w:val="550026F3"/>
    <w:rsid w:val="5503044A"/>
    <w:rsid w:val="550653F2"/>
    <w:rsid w:val="55067F3A"/>
    <w:rsid w:val="550F5041"/>
    <w:rsid w:val="55101524"/>
    <w:rsid w:val="55122D9F"/>
    <w:rsid w:val="55124F26"/>
    <w:rsid w:val="5513091A"/>
    <w:rsid w:val="55155149"/>
    <w:rsid w:val="551A4DC8"/>
    <w:rsid w:val="551F1C27"/>
    <w:rsid w:val="55205FDE"/>
    <w:rsid w:val="55207626"/>
    <w:rsid w:val="552109A7"/>
    <w:rsid w:val="55215CEB"/>
    <w:rsid w:val="55231592"/>
    <w:rsid w:val="5523289A"/>
    <w:rsid w:val="55275C92"/>
    <w:rsid w:val="552A691D"/>
    <w:rsid w:val="552B300E"/>
    <w:rsid w:val="552C3484"/>
    <w:rsid w:val="552F009A"/>
    <w:rsid w:val="552F108E"/>
    <w:rsid w:val="5533583F"/>
    <w:rsid w:val="55387C97"/>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518"/>
    <w:rsid w:val="558167EB"/>
    <w:rsid w:val="55831021"/>
    <w:rsid w:val="55832828"/>
    <w:rsid w:val="55866C75"/>
    <w:rsid w:val="55872E29"/>
    <w:rsid w:val="558C5D39"/>
    <w:rsid w:val="559025A9"/>
    <w:rsid w:val="55912D02"/>
    <w:rsid w:val="5591481E"/>
    <w:rsid w:val="55944763"/>
    <w:rsid w:val="559A33E2"/>
    <w:rsid w:val="559E46BC"/>
    <w:rsid w:val="559F1AE0"/>
    <w:rsid w:val="55A40318"/>
    <w:rsid w:val="55AC1291"/>
    <w:rsid w:val="55B10AB3"/>
    <w:rsid w:val="55B141AE"/>
    <w:rsid w:val="55B66BF8"/>
    <w:rsid w:val="55B87604"/>
    <w:rsid w:val="55BC70E3"/>
    <w:rsid w:val="55BD0515"/>
    <w:rsid w:val="55BE3408"/>
    <w:rsid w:val="55BF10BB"/>
    <w:rsid w:val="55C12EFE"/>
    <w:rsid w:val="55C33503"/>
    <w:rsid w:val="55C43A6D"/>
    <w:rsid w:val="55C5279D"/>
    <w:rsid w:val="55C54A01"/>
    <w:rsid w:val="55C7591B"/>
    <w:rsid w:val="55CB0B45"/>
    <w:rsid w:val="55D621E3"/>
    <w:rsid w:val="55D766B3"/>
    <w:rsid w:val="55DA26EE"/>
    <w:rsid w:val="55DC2C54"/>
    <w:rsid w:val="55DC413C"/>
    <w:rsid w:val="55E0618A"/>
    <w:rsid w:val="55E52F3F"/>
    <w:rsid w:val="55E82FC9"/>
    <w:rsid w:val="55EB7E69"/>
    <w:rsid w:val="55ED09B7"/>
    <w:rsid w:val="55EE10FA"/>
    <w:rsid w:val="55F22FE4"/>
    <w:rsid w:val="55F35663"/>
    <w:rsid w:val="55F6724E"/>
    <w:rsid w:val="55F860B4"/>
    <w:rsid w:val="55FC5927"/>
    <w:rsid w:val="55FF3307"/>
    <w:rsid w:val="56026953"/>
    <w:rsid w:val="560672D8"/>
    <w:rsid w:val="5607307F"/>
    <w:rsid w:val="560C2B0E"/>
    <w:rsid w:val="560C7C75"/>
    <w:rsid w:val="560F1944"/>
    <w:rsid w:val="56116B96"/>
    <w:rsid w:val="56151E85"/>
    <w:rsid w:val="561659A8"/>
    <w:rsid w:val="56167959"/>
    <w:rsid w:val="561A1E51"/>
    <w:rsid w:val="561B45B6"/>
    <w:rsid w:val="56222892"/>
    <w:rsid w:val="56243838"/>
    <w:rsid w:val="562F00C3"/>
    <w:rsid w:val="56307C21"/>
    <w:rsid w:val="5637465C"/>
    <w:rsid w:val="563805C7"/>
    <w:rsid w:val="56382AF3"/>
    <w:rsid w:val="563A1D2D"/>
    <w:rsid w:val="563B08DF"/>
    <w:rsid w:val="563C1E65"/>
    <w:rsid w:val="563D643E"/>
    <w:rsid w:val="563E0379"/>
    <w:rsid w:val="56443E4F"/>
    <w:rsid w:val="56457DB1"/>
    <w:rsid w:val="564754BF"/>
    <w:rsid w:val="564B654C"/>
    <w:rsid w:val="56530C3C"/>
    <w:rsid w:val="56532AA2"/>
    <w:rsid w:val="56557AA7"/>
    <w:rsid w:val="565A6FAE"/>
    <w:rsid w:val="565D3695"/>
    <w:rsid w:val="565E4F9F"/>
    <w:rsid w:val="565F5964"/>
    <w:rsid w:val="56602CF9"/>
    <w:rsid w:val="5661438B"/>
    <w:rsid w:val="56640307"/>
    <w:rsid w:val="56660B41"/>
    <w:rsid w:val="5667482A"/>
    <w:rsid w:val="566B273B"/>
    <w:rsid w:val="566E223B"/>
    <w:rsid w:val="56717D6E"/>
    <w:rsid w:val="56725F6F"/>
    <w:rsid w:val="5676236B"/>
    <w:rsid w:val="56764C4B"/>
    <w:rsid w:val="56777E21"/>
    <w:rsid w:val="567800FD"/>
    <w:rsid w:val="567C7B7C"/>
    <w:rsid w:val="5681559F"/>
    <w:rsid w:val="56830D7B"/>
    <w:rsid w:val="56885DF8"/>
    <w:rsid w:val="56892ABE"/>
    <w:rsid w:val="568E138E"/>
    <w:rsid w:val="5694135E"/>
    <w:rsid w:val="569C2596"/>
    <w:rsid w:val="569D62EC"/>
    <w:rsid w:val="569F0117"/>
    <w:rsid w:val="569F38CC"/>
    <w:rsid w:val="56A81045"/>
    <w:rsid w:val="56A812A9"/>
    <w:rsid w:val="56AB6FEB"/>
    <w:rsid w:val="56AC14BF"/>
    <w:rsid w:val="56B459E7"/>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35747"/>
    <w:rsid w:val="57047A2A"/>
    <w:rsid w:val="57050988"/>
    <w:rsid w:val="570549BD"/>
    <w:rsid w:val="57072BD8"/>
    <w:rsid w:val="570A2782"/>
    <w:rsid w:val="570E037A"/>
    <w:rsid w:val="570E2112"/>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907F5"/>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D69B7"/>
    <w:rsid w:val="578F06BB"/>
    <w:rsid w:val="578F4217"/>
    <w:rsid w:val="578F7D81"/>
    <w:rsid w:val="579455A3"/>
    <w:rsid w:val="57954D31"/>
    <w:rsid w:val="57956157"/>
    <w:rsid w:val="57A14C65"/>
    <w:rsid w:val="57A365BA"/>
    <w:rsid w:val="57A504D8"/>
    <w:rsid w:val="57A557E8"/>
    <w:rsid w:val="57AA1B19"/>
    <w:rsid w:val="57AA5321"/>
    <w:rsid w:val="57B1418D"/>
    <w:rsid w:val="57B1691C"/>
    <w:rsid w:val="57B21192"/>
    <w:rsid w:val="57B40121"/>
    <w:rsid w:val="57B632C9"/>
    <w:rsid w:val="57BC6526"/>
    <w:rsid w:val="57BE512E"/>
    <w:rsid w:val="57C02ECC"/>
    <w:rsid w:val="57C06AC6"/>
    <w:rsid w:val="57C93911"/>
    <w:rsid w:val="57C9790E"/>
    <w:rsid w:val="57CA425B"/>
    <w:rsid w:val="57CC7594"/>
    <w:rsid w:val="57CD09B2"/>
    <w:rsid w:val="57D13339"/>
    <w:rsid w:val="57D37863"/>
    <w:rsid w:val="57D61D7E"/>
    <w:rsid w:val="57DC7F73"/>
    <w:rsid w:val="57DD0571"/>
    <w:rsid w:val="57DD47DC"/>
    <w:rsid w:val="57E66F99"/>
    <w:rsid w:val="57E94E73"/>
    <w:rsid w:val="57EE1B22"/>
    <w:rsid w:val="57EE462F"/>
    <w:rsid w:val="57EE4A4F"/>
    <w:rsid w:val="57F102AF"/>
    <w:rsid w:val="57F1209E"/>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0C5867"/>
    <w:rsid w:val="58114217"/>
    <w:rsid w:val="58117FD1"/>
    <w:rsid w:val="58123541"/>
    <w:rsid w:val="581459C8"/>
    <w:rsid w:val="581B1F4E"/>
    <w:rsid w:val="581D1822"/>
    <w:rsid w:val="5820606F"/>
    <w:rsid w:val="58230761"/>
    <w:rsid w:val="5826708C"/>
    <w:rsid w:val="5827330C"/>
    <w:rsid w:val="5827709F"/>
    <w:rsid w:val="582C646F"/>
    <w:rsid w:val="58307FD2"/>
    <w:rsid w:val="583B7786"/>
    <w:rsid w:val="583F408D"/>
    <w:rsid w:val="58402F4C"/>
    <w:rsid w:val="58443253"/>
    <w:rsid w:val="58473C05"/>
    <w:rsid w:val="58490869"/>
    <w:rsid w:val="584C5B18"/>
    <w:rsid w:val="584F3B75"/>
    <w:rsid w:val="5854674E"/>
    <w:rsid w:val="58584CE4"/>
    <w:rsid w:val="585B2BBE"/>
    <w:rsid w:val="585D2137"/>
    <w:rsid w:val="585D23DB"/>
    <w:rsid w:val="585E353C"/>
    <w:rsid w:val="58620DA0"/>
    <w:rsid w:val="586252C7"/>
    <w:rsid w:val="58694A68"/>
    <w:rsid w:val="586D7B10"/>
    <w:rsid w:val="586E1700"/>
    <w:rsid w:val="58721998"/>
    <w:rsid w:val="58727E11"/>
    <w:rsid w:val="58737694"/>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E636B"/>
    <w:rsid w:val="58A07AD7"/>
    <w:rsid w:val="58A12EE5"/>
    <w:rsid w:val="58A6778E"/>
    <w:rsid w:val="58AA6530"/>
    <w:rsid w:val="58AB4E57"/>
    <w:rsid w:val="58AC2BA6"/>
    <w:rsid w:val="58AD32B7"/>
    <w:rsid w:val="58B20037"/>
    <w:rsid w:val="58B43CF3"/>
    <w:rsid w:val="58B9157F"/>
    <w:rsid w:val="58BA32F5"/>
    <w:rsid w:val="58BC103B"/>
    <w:rsid w:val="58C00B31"/>
    <w:rsid w:val="58C168EF"/>
    <w:rsid w:val="58C252F3"/>
    <w:rsid w:val="58C27FAF"/>
    <w:rsid w:val="58C63C68"/>
    <w:rsid w:val="58C72B84"/>
    <w:rsid w:val="58C8064E"/>
    <w:rsid w:val="58CA2BB6"/>
    <w:rsid w:val="58CD6F98"/>
    <w:rsid w:val="58CE125E"/>
    <w:rsid w:val="58CF5213"/>
    <w:rsid w:val="58D17E41"/>
    <w:rsid w:val="58D459FB"/>
    <w:rsid w:val="58D53DD9"/>
    <w:rsid w:val="58DA2BA4"/>
    <w:rsid w:val="58DB0920"/>
    <w:rsid w:val="58DC431F"/>
    <w:rsid w:val="58DF661B"/>
    <w:rsid w:val="58E16F32"/>
    <w:rsid w:val="58E35EA4"/>
    <w:rsid w:val="58E9099D"/>
    <w:rsid w:val="58EA16BD"/>
    <w:rsid w:val="58EB36CF"/>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0D5382"/>
    <w:rsid w:val="59134F3B"/>
    <w:rsid w:val="59135A3E"/>
    <w:rsid w:val="591756B5"/>
    <w:rsid w:val="59181E83"/>
    <w:rsid w:val="591A7A45"/>
    <w:rsid w:val="591C764D"/>
    <w:rsid w:val="591F385A"/>
    <w:rsid w:val="59203C9E"/>
    <w:rsid w:val="59215342"/>
    <w:rsid w:val="59220F83"/>
    <w:rsid w:val="592579D7"/>
    <w:rsid w:val="59272C34"/>
    <w:rsid w:val="5927334D"/>
    <w:rsid w:val="59283A5F"/>
    <w:rsid w:val="592B5AD6"/>
    <w:rsid w:val="592B61C1"/>
    <w:rsid w:val="593065AF"/>
    <w:rsid w:val="59325A49"/>
    <w:rsid w:val="593E2A08"/>
    <w:rsid w:val="593E5EF4"/>
    <w:rsid w:val="59431288"/>
    <w:rsid w:val="59442B47"/>
    <w:rsid w:val="59461CD4"/>
    <w:rsid w:val="5947751C"/>
    <w:rsid w:val="594850A2"/>
    <w:rsid w:val="594918BF"/>
    <w:rsid w:val="594D15CA"/>
    <w:rsid w:val="594F7F1D"/>
    <w:rsid w:val="59520481"/>
    <w:rsid w:val="59527BF2"/>
    <w:rsid w:val="59571529"/>
    <w:rsid w:val="595C3BB1"/>
    <w:rsid w:val="595C70E1"/>
    <w:rsid w:val="595F1E39"/>
    <w:rsid w:val="595F2C1F"/>
    <w:rsid w:val="5961772D"/>
    <w:rsid w:val="596D44E9"/>
    <w:rsid w:val="596E4CCC"/>
    <w:rsid w:val="59715284"/>
    <w:rsid w:val="59734F35"/>
    <w:rsid w:val="597749B9"/>
    <w:rsid w:val="59782636"/>
    <w:rsid w:val="597A09C3"/>
    <w:rsid w:val="597B0410"/>
    <w:rsid w:val="597B0EF6"/>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D7038"/>
    <w:rsid w:val="599E4BE5"/>
    <w:rsid w:val="59A37D5E"/>
    <w:rsid w:val="59A5070B"/>
    <w:rsid w:val="59A73AE8"/>
    <w:rsid w:val="59A82363"/>
    <w:rsid w:val="59AB08C6"/>
    <w:rsid w:val="59AC1698"/>
    <w:rsid w:val="59AD5F6F"/>
    <w:rsid w:val="59B222D8"/>
    <w:rsid w:val="59BA71AC"/>
    <w:rsid w:val="59BC1DD2"/>
    <w:rsid w:val="59BE6564"/>
    <w:rsid w:val="59C07F16"/>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30E7E"/>
    <w:rsid w:val="59E51E95"/>
    <w:rsid w:val="59E54238"/>
    <w:rsid w:val="59E74401"/>
    <w:rsid w:val="59EC5A2D"/>
    <w:rsid w:val="59ED4A50"/>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802B0"/>
    <w:rsid w:val="5A094020"/>
    <w:rsid w:val="5A0C6BEB"/>
    <w:rsid w:val="5A173E1D"/>
    <w:rsid w:val="5A185799"/>
    <w:rsid w:val="5A201171"/>
    <w:rsid w:val="5A2450EA"/>
    <w:rsid w:val="5A253502"/>
    <w:rsid w:val="5A292D04"/>
    <w:rsid w:val="5A2F3A8F"/>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A0B0C"/>
    <w:rsid w:val="5A5E0A8E"/>
    <w:rsid w:val="5A5F0C3F"/>
    <w:rsid w:val="5A5F16B6"/>
    <w:rsid w:val="5A62339F"/>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9F0C15"/>
    <w:rsid w:val="5AA40F42"/>
    <w:rsid w:val="5AA64564"/>
    <w:rsid w:val="5AAC25AA"/>
    <w:rsid w:val="5AAE293A"/>
    <w:rsid w:val="5AAE2F66"/>
    <w:rsid w:val="5AB87373"/>
    <w:rsid w:val="5AB92BDA"/>
    <w:rsid w:val="5ABA1121"/>
    <w:rsid w:val="5ABE2E45"/>
    <w:rsid w:val="5ABF3065"/>
    <w:rsid w:val="5AC5414D"/>
    <w:rsid w:val="5AC62645"/>
    <w:rsid w:val="5ACA0796"/>
    <w:rsid w:val="5ACD5782"/>
    <w:rsid w:val="5AD44AB6"/>
    <w:rsid w:val="5ADD4BD7"/>
    <w:rsid w:val="5AE7290C"/>
    <w:rsid w:val="5AED45FF"/>
    <w:rsid w:val="5AEE008F"/>
    <w:rsid w:val="5AEE61C5"/>
    <w:rsid w:val="5AF54891"/>
    <w:rsid w:val="5AFA6E64"/>
    <w:rsid w:val="5AFB6A11"/>
    <w:rsid w:val="5AFB71A0"/>
    <w:rsid w:val="5AFC0697"/>
    <w:rsid w:val="5AFF5CDA"/>
    <w:rsid w:val="5B01542B"/>
    <w:rsid w:val="5B037EB8"/>
    <w:rsid w:val="5B041F38"/>
    <w:rsid w:val="5B04316E"/>
    <w:rsid w:val="5B0A553A"/>
    <w:rsid w:val="5B0D2022"/>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A2D8E"/>
    <w:rsid w:val="5B5B701F"/>
    <w:rsid w:val="5B5E4630"/>
    <w:rsid w:val="5B5F3995"/>
    <w:rsid w:val="5B6B23C9"/>
    <w:rsid w:val="5B6F045C"/>
    <w:rsid w:val="5B70435F"/>
    <w:rsid w:val="5B721E3D"/>
    <w:rsid w:val="5B79724F"/>
    <w:rsid w:val="5B7D7376"/>
    <w:rsid w:val="5B816E8B"/>
    <w:rsid w:val="5B823D2F"/>
    <w:rsid w:val="5B8322E4"/>
    <w:rsid w:val="5B833223"/>
    <w:rsid w:val="5B86522F"/>
    <w:rsid w:val="5B865F53"/>
    <w:rsid w:val="5B871801"/>
    <w:rsid w:val="5B8A4A60"/>
    <w:rsid w:val="5B8D06FE"/>
    <w:rsid w:val="5B8F2876"/>
    <w:rsid w:val="5B97487F"/>
    <w:rsid w:val="5B9B4B48"/>
    <w:rsid w:val="5BA109BC"/>
    <w:rsid w:val="5BA13A5F"/>
    <w:rsid w:val="5BA51BD8"/>
    <w:rsid w:val="5BA80E5E"/>
    <w:rsid w:val="5BA931C1"/>
    <w:rsid w:val="5BAA5AC3"/>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D2EC6"/>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5B9D"/>
    <w:rsid w:val="5C2E697F"/>
    <w:rsid w:val="5C2F5822"/>
    <w:rsid w:val="5C2F5C52"/>
    <w:rsid w:val="5C3155B5"/>
    <w:rsid w:val="5C334D3D"/>
    <w:rsid w:val="5C384236"/>
    <w:rsid w:val="5C385132"/>
    <w:rsid w:val="5C3B5A47"/>
    <w:rsid w:val="5C3B74DB"/>
    <w:rsid w:val="5C3C7347"/>
    <w:rsid w:val="5C3F65AF"/>
    <w:rsid w:val="5C4032A9"/>
    <w:rsid w:val="5C4917E5"/>
    <w:rsid w:val="5C4A098B"/>
    <w:rsid w:val="5C4D2B08"/>
    <w:rsid w:val="5C517C55"/>
    <w:rsid w:val="5C540540"/>
    <w:rsid w:val="5C5679F9"/>
    <w:rsid w:val="5C577C82"/>
    <w:rsid w:val="5C593F34"/>
    <w:rsid w:val="5C5C302B"/>
    <w:rsid w:val="5C61539B"/>
    <w:rsid w:val="5C642C52"/>
    <w:rsid w:val="5C661D13"/>
    <w:rsid w:val="5C665A65"/>
    <w:rsid w:val="5C6744B7"/>
    <w:rsid w:val="5C6D51F4"/>
    <w:rsid w:val="5C6E02ED"/>
    <w:rsid w:val="5C6E7921"/>
    <w:rsid w:val="5C6F3B6F"/>
    <w:rsid w:val="5C702DE4"/>
    <w:rsid w:val="5C704D5E"/>
    <w:rsid w:val="5C7165E1"/>
    <w:rsid w:val="5C763BF7"/>
    <w:rsid w:val="5C78796F"/>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D2BD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A6697"/>
    <w:rsid w:val="5D2E002E"/>
    <w:rsid w:val="5D324D53"/>
    <w:rsid w:val="5D3441CE"/>
    <w:rsid w:val="5D375FE1"/>
    <w:rsid w:val="5D396270"/>
    <w:rsid w:val="5D3970FE"/>
    <w:rsid w:val="5D3E149F"/>
    <w:rsid w:val="5D426176"/>
    <w:rsid w:val="5D4D64F3"/>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64528"/>
    <w:rsid w:val="5D7C516A"/>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079"/>
    <w:rsid w:val="5DD4544E"/>
    <w:rsid w:val="5DD6261F"/>
    <w:rsid w:val="5DD82146"/>
    <w:rsid w:val="5DE5640D"/>
    <w:rsid w:val="5DE71962"/>
    <w:rsid w:val="5DEB4806"/>
    <w:rsid w:val="5DEC5BE3"/>
    <w:rsid w:val="5DF0057B"/>
    <w:rsid w:val="5DF11787"/>
    <w:rsid w:val="5DF53122"/>
    <w:rsid w:val="5DF60CD4"/>
    <w:rsid w:val="5DF64961"/>
    <w:rsid w:val="5DF72158"/>
    <w:rsid w:val="5DF9535F"/>
    <w:rsid w:val="5DFA7DCE"/>
    <w:rsid w:val="5DFC2924"/>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06BF"/>
    <w:rsid w:val="5E6C197B"/>
    <w:rsid w:val="5E6C78AD"/>
    <w:rsid w:val="5E7200C7"/>
    <w:rsid w:val="5E733F54"/>
    <w:rsid w:val="5E736640"/>
    <w:rsid w:val="5E79177D"/>
    <w:rsid w:val="5E7D487F"/>
    <w:rsid w:val="5E7F4927"/>
    <w:rsid w:val="5E813FC2"/>
    <w:rsid w:val="5E842047"/>
    <w:rsid w:val="5E846E07"/>
    <w:rsid w:val="5E8B2C1C"/>
    <w:rsid w:val="5E8D2FA7"/>
    <w:rsid w:val="5E9071F2"/>
    <w:rsid w:val="5E911BCF"/>
    <w:rsid w:val="5E91760B"/>
    <w:rsid w:val="5E920DD9"/>
    <w:rsid w:val="5E9749CE"/>
    <w:rsid w:val="5E9E787A"/>
    <w:rsid w:val="5EA749A6"/>
    <w:rsid w:val="5EA9747A"/>
    <w:rsid w:val="5EAA1862"/>
    <w:rsid w:val="5EAB107C"/>
    <w:rsid w:val="5EAB7A6C"/>
    <w:rsid w:val="5EAD0156"/>
    <w:rsid w:val="5EAE71FB"/>
    <w:rsid w:val="5EAF0662"/>
    <w:rsid w:val="5EB037F3"/>
    <w:rsid w:val="5EB35D8E"/>
    <w:rsid w:val="5EB42E97"/>
    <w:rsid w:val="5EB45D13"/>
    <w:rsid w:val="5EB70D45"/>
    <w:rsid w:val="5EB827D5"/>
    <w:rsid w:val="5EB94450"/>
    <w:rsid w:val="5EB94A36"/>
    <w:rsid w:val="5EBA03BF"/>
    <w:rsid w:val="5EC24374"/>
    <w:rsid w:val="5EC53ADD"/>
    <w:rsid w:val="5EC54E79"/>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B3C00"/>
    <w:rsid w:val="5F2D1078"/>
    <w:rsid w:val="5F2E044E"/>
    <w:rsid w:val="5F2E347F"/>
    <w:rsid w:val="5F2F5BFC"/>
    <w:rsid w:val="5F314D24"/>
    <w:rsid w:val="5F3543B4"/>
    <w:rsid w:val="5F3B530E"/>
    <w:rsid w:val="5F410DB8"/>
    <w:rsid w:val="5F4252C2"/>
    <w:rsid w:val="5F45504E"/>
    <w:rsid w:val="5F486CFA"/>
    <w:rsid w:val="5F4B4F03"/>
    <w:rsid w:val="5F4C1C5B"/>
    <w:rsid w:val="5F500E16"/>
    <w:rsid w:val="5F510D33"/>
    <w:rsid w:val="5F540631"/>
    <w:rsid w:val="5F544EC5"/>
    <w:rsid w:val="5F587009"/>
    <w:rsid w:val="5F5B5406"/>
    <w:rsid w:val="5F60236F"/>
    <w:rsid w:val="5F61145F"/>
    <w:rsid w:val="5F640C49"/>
    <w:rsid w:val="5F681F1D"/>
    <w:rsid w:val="5F685E6B"/>
    <w:rsid w:val="5F6B361D"/>
    <w:rsid w:val="5F6C0D00"/>
    <w:rsid w:val="5F6C1746"/>
    <w:rsid w:val="5F6E607C"/>
    <w:rsid w:val="5F703B52"/>
    <w:rsid w:val="5F7071CA"/>
    <w:rsid w:val="5F753ABB"/>
    <w:rsid w:val="5F775A7B"/>
    <w:rsid w:val="5F790C0F"/>
    <w:rsid w:val="5F79383A"/>
    <w:rsid w:val="5F830D22"/>
    <w:rsid w:val="5F86603F"/>
    <w:rsid w:val="5F8B116D"/>
    <w:rsid w:val="5F8C7182"/>
    <w:rsid w:val="5F8F4C49"/>
    <w:rsid w:val="5F9A4EC6"/>
    <w:rsid w:val="5F9D66AA"/>
    <w:rsid w:val="5FA00073"/>
    <w:rsid w:val="5FA05A73"/>
    <w:rsid w:val="5FA171DD"/>
    <w:rsid w:val="5FA232FA"/>
    <w:rsid w:val="5FA74D31"/>
    <w:rsid w:val="5FAA7C6F"/>
    <w:rsid w:val="5FAF36A8"/>
    <w:rsid w:val="5FB14795"/>
    <w:rsid w:val="5FB26929"/>
    <w:rsid w:val="5FB42312"/>
    <w:rsid w:val="5FB72D03"/>
    <w:rsid w:val="5FBA204D"/>
    <w:rsid w:val="5FC06FB3"/>
    <w:rsid w:val="5FC23405"/>
    <w:rsid w:val="5FC972D9"/>
    <w:rsid w:val="5FCB5EB9"/>
    <w:rsid w:val="5FCD0DEA"/>
    <w:rsid w:val="5FD04F36"/>
    <w:rsid w:val="5FD15ECD"/>
    <w:rsid w:val="5FD259F9"/>
    <w:rsid w:val="5FD338BA"/>
    <w:rsid w:val="5FD73531"/>
    <w:rsid w:val="5FD845D1"/>
    <w:rsid w:val="5FDC6039"/>
    <w:rsid w:val="5FDC788C"/>
    <w:rsid w:val="5FDD4F58"/>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A72A6"/>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5606"/>
    <w:rsid w:val="6136745C"/>
    <w:rsid w:val="613D50E4"/>
    <w:rsid w:val="613D6A10"/>
    <w:rsid w:val="613E225F"/>
    <w:rsid w:val="613E2994"/>
    <w:rsid w:val="61442F51"/>
    <w:rsid w:val="61447E20"/>
    <w:rsid w:val="61455A57"/>
    <w:rsid w:val="61474358"/>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36AD3"/>
    <w:rsid w:val="61750BBE"/>
    <w:rsid w:val="61755D08"/>
    <w:rsid w:val="617946B7"/>
    <w:rsid w:val="617A153A"/>
    <w:rsid w:val="617E6773"/>
    <w:rsid w:val="61800291"/>
    <w:rsid w:val="61856EFD"/>
    <w:rsid w:val="618E4412"/>
    <w:rsid w:val="619A5E1C"/>
    <w:rsid w:val="619B2470"/>
    <w:rsid w:val="619B6BFC"/>
    <w:rsid w:val="619C1E94"/>
    <w:rsid w:val="619E73A5"/>
    <w:rsid w:val="619F599E"/>
    <w:rsid w:val="61A12EDF"/>
    <w:rsid w:val="61A151CF"/>
    <w:rsid w:val="61A40AB6"/>
    <w:rsid w:val="61AC29D7"/>
    <w:rsid w:val="61AD1BA1"/>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111F76"/>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7244C"/>
    <w:rsid w:val="628770E5"/>
    <w:rsid w:val="62896A91"/>
    <w:rsid w:val="628A03FC"/>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843CD"/>
    <w:rsid w:val="62B852EE"/>
    <w:rsid w:val="62BA7203"/>
    <w:rsid w:val="62BF00E5"/>
    <w:rsid w:val="62C2363F"/>
    <w:rsid w:val="62C42780"/>
    <w:rsid w:val="62C6537F"/>
    <w:rsid w:val="62C7450D"/>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21472B"/>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A3121"/>
    <w:rsid w:val="63AB0C37"/>
    <w:rsid w:val="63AF7176"/>
    <w:rsid w:val="63B25CB4"/>
    <w:rsid w:val="63B6069C"/>
    <w:rsid w:val="63BC2837"/>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37DC4"/>
    <w:rsid w:val="63EA0CD3"/>
    <w:rsid w:val="63EB2C6D"/>
    <w:rsid w:val="63ED3B95"/>
    <w:rsid w:val="63EF30C8"/>
    <w:rsid w:val="63F471E7"/>
    <w:rsid w:val="63F562AA"/>
    <w:rsid w:val="63F957C8"/>
    <w:rsid w:val="63FA58E9"/>
    <w:rsid w:val="63FA664B"/>
    <w:rsid w:val="63FD511B"/>
    <w:rsid w:val="63FE23A5"/>
    <w:rsid w:val="64002BE9"/>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E7C43"/>
    <w:rsid w:val="642F2514"/>
    <w:rsid w:val="64303087"/>
    <w:rsid w:val="643300A0"/>
    <w:rsid w:val="64357A1E"/>
    <w:rsid w:val="64357EF4"/>
    <w:rsid w:val="643618C7"/>
    <w:rsid w:val="64376311"/>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15D18"/>
    <w:rsid w:val="646628A7"/>
    <w:rsid w:val="646678BC"/>
    <w:rsid w:val="646A4041"/>
    <w:rsid w:val="646D2593"/>
    <w:rsid w:val="6473108B"/>
    <w:rsid w:val="64740A1C"/>
    <w:rsid w:val="64757058"/>
    <w:rsid w:val="64766D22"/>
    <w:rsid w:val="647749B0"/>
    <w:rsid w:val="647B48FE"/>
    <w:rsid w:val="647C03BF"/>
    <w:rsid w:val="647F7A80"/>
    <w:rsid w:val="6481300B"/>
    <w:rsid w:val="64820488"/>
    <w:rsid w:val="64836BEC"/>
    <w:rsid w:val="648476D2"/>
    <w:rsid w:val="64851189"/>
    <w:rsid w:val="64862AB5"/>
    <w:rsid w:val="64866915"/>
    <w:rsid w:val="64882719"/>
    <w:rsid w:val="64887A01"/>
    <w:rsid w:val="648A6CB8"/>
    <w:rsid w:val="648C0FFC"/>
    <w:rsid w:val="649034AC"/>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B96F1B"/>
    <w:rsid w:val="64C23318"/>
    <w:rsid w:val="64C52C53"/>
    <w:rsid w:val="64CC4F0C"/>
    <w:rsid w:val="64D137CB"/>
    <w:rsid w:val="64D310A6"/>
    <w:rsid w:val="64D3285D"/>
    <w:rsid w:val="64D616D7"/>
    <w:rsid w:val="64D76C08"/>
    <w:rsid w:val="64DE12B9"/>
    <w:rsid w:val="64E250A7"/>
    <w:rsid w:val="64E9765C"/>
    <w:rsid w:val="64F04632"/>
    <w:rsid w:val="64F31A67"/>
    <w:rsid w:val="64F37E41"/>
    <w:rsid w:val="64F8151B"/>
    <w:rsid w:val="64FA583D"/>
    <w:rsid w:val="64FC0433"/>
    <w:rsid w:val="64FC064F"/>
    <w:rsid w:val="64FD2CFA"/>
    <w:rsid w:val="64FF6A3E"/>
    <w:rsid w:val="65017949"/>
    <w:rsid w:val="65056F2E"/>
    <w:rsid w:val="650642AE"/>
    <w:rsid w:val="65067188"/>
    <w:rsid w:val="65067276"/>
    <w:rsid w:val="65075D34"/>
    <w:rsid w:val="65077AE2"/>
    <w:rsid w:val="65085EAA"/>
    <w:rsid w:val="65091AAC"/>
    <w:rsid w:val="650E0BDF"/>
    <w:rsid w:val="65110594"/>
    <w:rsid w:val="65130235"/>
    <w:rsid w:val="651574A6"/>
    <w:rsid w:val="65212EC6"/>
    <w:rsid w:val="652511AB"/>
    <w:rsid w:val="65273CE0"/>
    <w:rsid w:val="652810B6"/>
    <w:rsid w:val="65282444"/>
    <w:rsid w:val="652835C0"/>
    <w:rsid w:val="652C1DBE"/>
    <w:rsid w:val="652C62E3"/>
    <w:rsid w:val="652C6E01"/>
    <w:rsid w:val="652D4B56"/>
    <w:rsid w:val="652F6E54"/>
    <w:rsid w:val="6538572D"/>
    <w:rsid w:val="65394932"/>
    <w:rsid w:val="653C50AB"/>
    <w:rsid w:val="653D2DA3"/>
    <w:rsid w:val="65424E85"/>
    <w:rsid w:val="654523B9"/>
    <w:rsid w:val="6546685C"/>
    <w:rsid w:val="654A26D8"/>
    <w:rsid w:val="654A49D6"/>
    <w:rsid w:val="654C2D69"/>
    <w:rsid w:val="654C7BEB"/>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E42DE"/>
    <w:rsid w:val="65DF6773"/>
    <w:rsid w:val="65E022E2"/>
    <w:rsid w:val="65F06766"/>
    <w:rsid w:val="65F3331D"/>
    <w:rsid w:val="65F3495D"/>
    <w:rsid w:val="65F86CBC"/>
    <w:rsid w:val="65F938CF"/>
    <w:rsid w:val="65FA1CCC"/>
    <w:rsid w:val="65FB3C97"/>
    <w:rsid w:val="65FE0C70"/>
    <w:rsid w:val="65FE6FF5"/>
    <w:rsid w:val="65FF7AA6"/>
    <w:rsid w:val="66010B74"/>
    <w:rsid w:val="66035D38"/>
    <w:rsid w:val="66061BFD"/>
    <w:rsid w:val="66065B95"/>
    <w:rsid w:val="660B0455"/>
    <w:rsid w:val="66111A32"/>
    <w:rsid w:val="66126B8D"/>
    <w:rsid w:val="66153762"/>
    <w:rsid w:val="66154481"/>
    <w:rsid w:val="66176767"/>
    <w:rsid w:val="661B1BCF"/>
    <w:rsid w:val="661B6A82"/>
    <w:rsid w:val="661C75BD"/>
    <w:rsid w:val="66281CC3"/>
    <w:rsid w:val="662B70D7"/>
    <w:rsid w:val="662F2D45"/>
    <w:rsid w:val="66312E2B"/>
    <w:rsid w:val="663220D8"/>
    <w:rsid w:val="6634390E"/>
    <w:rsid w:val="6637091A"/>
    <w:rsid w:val="663E5B7F"/>
    <w:rsid w:val="66422075"/>
    <w:rsid w:val="66426302"/>
    <w:rsid w:val="66434BC3"/>
    <w:rsid w:val="66443C77"/>
    <w:rsid w:val="66495ED8"/>
    <w:rsid w:val="664D043F"/>
    <w:rsid w:val="664E0737"/>
    <w:rsid w:val="664E152A"/>
    <w:rsid w:val="664E527A"/>
    <w:rsid w:val="664F41FD"/>
    <w:rsid w:val="66544BF7"/>
    <w:rsid w:val="66546D57"/>
    <w:rsid w:val="66575A56"/>
    <w:rsid w:val="665A1838"/>
    <w:rsid w:val="665A3324"/>
    <w:rsid w:val="665E06D8"/>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C425A"/>
    <w:rsid w:val="669E24FD"/>
    <w:rsid w:val="66A03469"/>
    <w:rsid w:val="66A20497"/>
    <w:rsid w:val="66A2109C"/>
    <w:rsid w:val="66A77173"/>
    <w:rsid w:val="66A84A8A"/>
    <w:rsid w:val="66AB6E66"/>
    <w:rsid w:val="66AC2E1F"/>
    <w:rsid w:val="66AD6911"/>
    <w:rsid w:val="66AF0077"/>
    <w:rsid w:val="66B07D06"/>
    <w:rsid w:val="66B167BD"/>
    <w:rsid w:val="66B76593"/>
    <w:rsid w:val="66B81B78"/>
    <w:rsid w:val="66B91549"/>
    <w:rsid w:val="66B91B9E"/>
    <w:rsid w:val="66BE152B"/>
    <w:rsid w:val="66BE454B"/>
    <w:rsid w:val="66BF08D3"/>
    <w:rsid w:val="66C02BFB"/>
    <w:rsid w:val="66C13CC1"/>
    <w:rsid w:val="66C400B0"/>
    <w:rsid w:val="66C631C4"/>
    <w:rsid w:val="66CC5EDC"/>
    <w:rsid w:val="66CF63DE"/>
    <w:rsid w:val="66D0175B"/>
    <w:rsid w:val="66D3451E"/>
    <w:rsid w:val="66D71874"/>
    <w:rsid w:val="66D76BE3"/>
    <w:rsid w:val="66D96C69"/>
    <w:rsid w:val="66E00573"/>
    <w:rsid w:val="66E77BCB"/>
    <w:rsid w:val="66E804CE"/>
    <w:rsid w:val="66EB6361"/>
    <w:rsid w:val="66ED5A4E"/>
    <w:rsid w:val="66EE05C2"/>
    <w:rsid w:val="66F10A4A"/>
    <w:rsid w:val="66F1153E"/>
    <w:rsid w:val="66F14CED"/>
    <w:rsid w:val="66F347C2"/>
    <w:rsid w:val="66F74533"/>
    <w:rsid w:val="66FA6593"/>
    <w:rsid w:val="66FD6FD3"/>
    <w:rsid w:val="66FF63E7"/>
    <w:rsid w:val="670267B3"/>
    <w:rsid w:val="67044395"/>
    <w:rsid w:val="67046B1A"/>
    <w:rsid w:val="67063087"/>
    <w:rsid w:val="67065C43"/>
    <w:rsid w:val="67076DAF"/>
    <w:rsid w:val="67077743"/>
    <w:rsid w:val="67097888"/>
    <w:rsid w:val="670B3DCF"/>
    <w:rsid w:val="670D5158"/>
    <w:rsid w:val="67120B0B"/>
    <w:rsid w:val="6716225F"/>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4199D"/>
    <w:rsid w:val="678D5027"/>
    <w:rsid w:val="678D5106"/>
    <w:rsid w:val="678F39DE"/>
    <w:rsid w:val="67921CA0"/>
    <w:rsid w:val="679835FD"/>
    <w:rsid w:val="67987C3D"/>
    <w:rsid w:val="679900DA"/>
    <w:rsid w:val="679B7247"/>
    <w:rsid w:val="679C14F1"/>
    <w:rsid w:val="679E07C6"/>
    <w:rsid w:val="679F34A7"/>
    <w:rsid w:val="67A1421E"/>
    <w:rsid w:val="67A243B9"/>
    <w:rsid w:val="67A563E9"/>
    <w:rsid w:val="67A6307C"/>
    <w:rsid w:val="67A64B1E"/>
    <w:rsid w:val="67A8786A"/>
    <w:rsid w:val="67A909C3"/>
    <w:rsid w:val="67AA4E89"/>
    <w:rsid w:val="67AC3A7D"/>
    <w:rsid w:val="67AE693B"/>
    <w:rsid w:val="67B00A63"/>
    <w:rsid w:val="67B02F86"/>
    <w:rsid w:val="67B114ED"/>
    <w:rsid w:val="67B37F7F"/>
    <w:rsid w:val="67B538AE"/>
    <w:rsid w:val="67B805CF"/>
    <w:rsid w:val="67B96F35"/>
    <w:rsid w:val="67C1666E"/>
    <w:rsid w:val="67C5379F"/>
    <w:rsid w:val="67CD7150"/>
    <w:rsid w:val="67D10B9C"/>
    <w:rsid w:val="67D25AB4"/>
    <w:rsid w:val="67D612B3"/>
    <w:rsid w:val="67D70A29"/>
    <w:rsid w:val="67D87514"/>
    <w:rsid w:val="67DF0A23"/>
    <w:rsid w:val="67E37C9E"/>
    <w:rsid w:val="67E4410B"/>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B1DC8"/>
    <w:rsid w:val="680C60B3"/>
    <w:rsid w:val="68121128"/>
    <w:rsid w:val="68154BEC"/>
    <w:rsid w:val="681D0AF2"/>
    <w:rsid w:val="681D521E"/>
    <w:rsid w:val="681E22E4"/>
    <w:rsid w:val="681F3395"/>
    <w:rsid w:val="68264723"/>
    <w:rsid w:val="68271250"/>
    <w:rsid w:val="6829279C"/>
    <w:rsid w:val="682A5B2C"/>
    <w:rsid w:val="682C0E2D"/>
    <w:rsid w:val="682D2256"/>
    <w:rsid w:val="682D7E4D"/>
    <w:rsid w:val="68334662"/>
    <w:rsid w:val="68344467"/>
    <w:rsid w:val="683C069A"/>
    <w:rsid w:val="683E1A6D"/>
    <w:rsid w:val="684A6E8D"/>
    <w:rsid w:val="684F4DF1"/>
    <w:rsid w:val="68522762"/>
    <w:rsid w:val="68541A0D"/>
    <w:rsid w:val="685500F8"/>
    <w:rsid w:val="6855620F"/>
    <w:rsid w:val="6859176A"/>
    <w:rsid w:val="685E738A"/>
    <w:rsid w:val="68630AA0"/>
    <w:rsid w:val="686314D3"/>
    <w:rsid w:val="686716E8"/>
    <w:rsid w:val="6868146A"/>
    <w:rsid w:val="68686F8D"/>
    <w:rsid w:val="6869150C"/>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D36D6"/>
    <w:rsid w:val="68FE4C41"/>
    <w:rsid w:val="6901503B"/>
    <w:rsid w:val="69046EB2"/>
    <w:rsid w:val="69072139"/>
    <w:rsid w:val="69080BA7"/>
    <w:rsid w:val="690B386C"/>
    <w:rsid w:val="690C687E"/>
    <w:rsid w:val="690F51B7"/>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6D35E2"/>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12070"/>
    <w:rsid w:val="69947E46"/>
    <w:rsid w:val="69953EB2"/>
    <w:rsid w:val="69967F49"/>
    <w:rsid w:val="699809CD"/>
    <w:rsid w:val="69981676"/>
    <w:rsid w:val="699871BB"/>
    <w:rsid w:val="69992CD3"/>
    <w:rsid w:val="69A0515F"/>
    <w:rsid w:val="69A44E21"/>
    <w:rsid w:val="69AE49D0"/>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D7FEB"/>
    <w:rsid w:val="6A2E22A3"/>
    <w:rsid w:val="6A2E5B68"/>
    <w:rsid w:val="6A3022B5"/>
    <w:rsid w:val="6A323639"/>
    <w:rsid w:val="6A340AA7"/>
    <w:rsid w:val="6A347350"/>
    <w:rsid w:val="6A3473F1"/>
    <w:rsid w:val="6A360D60"/>
    <w:rsid w:val="6A36255A"/>
    <w:rsid w:val="6A3D039F"/>
    <w:rsid w:val="6A3D398B"/>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2428"/>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02C0D"/>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5125E"/>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0E55"/>
    <w:rsid w:val="6B486805"/>
    <w:rsid w:val="6B4C1617"/>
    <w:rsid w:val="6B4E2552"/>
    <w:rsid w:val="6B555870"/>
    <w:rsid w:val="6B584B58"/>
    <w:rsid w:val="6B5A3D3B"/>
    <w:rsid w:val="6B5B4072"/>
    <w:rsid w:val="6B5B5C25"/>
    <w:rsid w:val="6B5B6E91"/>
    <w:rsid w:val="6B5B737B"/>
    <w:rsid w:val="6B5D1949"/>
    <w:rsid w:val="6B61176B"/>
    <w:rsid w:val="6B640529"/>
    <w:rsid w:val="6B640681"/>
    <w:rsid w:val="6B6461F8"/>
    <w:rsid w:val="6B6543D6"/>
    <w:rsid w:val="6B661A81"/>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A0DE6"/>
    <w:rsid w:val="6BAA5838"/>
    <w:rsid w:val="6BAC3782"/>
    <w:rsid w:val="6BAC6743"/>
    <w:rsid w:val="6BAE2139"/>
    <w:rsid w:val="6BAE7112"/>
    <w:rsid w:val="6BAE7FBC"/>
    <w:rsid w:val="6BB40DC4"/>
    <w:rsid w:val="6BB61FA3"/>
    <w:rsid w:val="6BB70A3B"/>
    <w:rsid w:val="6BB86227"/>
    <w:rsid w:val="6BBA58A1"/>
    <w:rsid w:val="6BBB5A2B"/>
    <w:rsid w:val="6BBE4C73"/>
    <w:rsid w:val="6BBF6286"/>
    <w:rsid w:val="6BC01077"/>
    <w:rsid w:val="6BC074AE"/>
    <w:rsid w:val="6BC224F0"/>
    <w:rsid w:val="6BC61B39"/>
    <w:rsid w:val="6BC77FCB"/>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E5FF7"/>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944351"/>
    <w:rsid w:val="6C950857"/>
    <w:rsid w:val="6C983716"/>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3D1B"/>
    <w:rsid w:val="6D286AF9"/>
    <w:rsid w:val="6D2956F6"/>
    <w:rsid w:val="6D297996"/>
    <w:rsid w:val="6D2B578F"/>
    <w:rsid w:val="6D324B75"/>
    <w:rsid w:val="6D3722AC"/>
    <w:rsid w:val="6D3934C6"/>
    <w:rsid w:val="6D3B10A8"/>
    <w:rsid w:val="6D3C0603"/>
    <w:rsid w:val="6D402264"/>
    <w:rsid w:val="6D402944"/>
    <w:rsid w:val="6D410E6E"/>
    <w:rsid w:val="6D414740"/>
    <w:rsid w:val="6D415367"/>
    <w:rsid w:val="6D484CC1"/>
    <w:rsid w:val="6D4B4D92"/>
    <w:rsid w:val="6D4C60A5"/>
    <w:rsid w:val="6D4C694D"/>
    <w:rsid w:val="6D4F54EA"/>
    <w:rsid w:val="6D501B8D"/>
    <w:rsid w:val="6D507121"/>
    <w:rsid w:val="6D57537F"/>
    <w:rsid w:val="6D587149"/>
    <w:rsid w:val="6D59661C"/>
    <w:rsid w:val="6D5A0C79"/>
    <w:rsid w:val="6D5A5E71"/>
    <w:rsid w:val="6D5C33D5"/>
    <w:rsid w:val="6D5D5584"/>
    <w:rsid w:val="6D5E0628"/>
    <w:rsid w:val="6D6261FE"/>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C0D15"/>
    <w:rsid w:val="6DFE2F86"/>
    <w:rsid w:val="6E0077C5"/>
    <w:rsid w:val="6E020281"/>
    <w:rsid w:val="6E043142"/>
    <w:rsid w:val="6E050A65"/>
    <w:rsid w:val="6E054DDB"/>
    <w:rsid w:val="6E076A2C"/>
    <w:rsid w:val="6E08019D"/>
    <w:rsid w:val="6E086A84"/>
    <w:rsid w:val="6E0B60BC"/>
    <w:rsid w:val="6E0E0B6F"/>
    <w:rsid w:val="6E111767"/>
    <w:rsid w:val="6E11552E"/>
    <w:rsid w:val="6E131EC9"/>
    <w:rsid w:val="6E1533C2"/>
    <w:rsid w:val="6E1A79B6"/>
    <w:rsid w:val="6E1B27B0"/>
    <w:rsid w:val="6E1C7EA2"/>
    <w:rsid w:val="6E1F328C"/>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72E02"/>
    <w:rsid w:val="6E4928C6"/>
    <w:rsid w:val="6E4A5F9F"/>
    <w:rsid w:val="6E4C2A0A"/>
    <w:rsid w:val="6E4C2FD1"/>
    <w:rsid w:val="6E531D18"/>
    <w:rsid w:val="6E535B46"/>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13F"/>
    <w:rsid w:val="6E714E46"/>
    <w:rsid w:val="6E7B14EF"/>
    <w:rsid w:val="6E7B2EF0"/>
    <w:rsid w:val="6E7B67AA"/>
    <w:rsid w:val="6E813C40"/>
    <w:rsid w:val="6E816D74"/>
    <w:rsid w:val="6E8177B5"/>
    <w:rsid w:val="6E846DF4"/>
    <w:rsid w:val="6E8811FF"/>
    <w:rsid w:val="6E8E00B7"/>
    <w:rsid w:val="6E9267F7"/>
    <w:rsid w:val="6E932E45"/>
    <w:rsid w:val="6E947EA4"/>
    <w:rsid w:val="6E954D6E"/>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67C3A"/>
    <w:rsid w:val="6EC91708"/>
    <w:rsid w:val="6EC93EDE"/>
    <w:rsid w:val="6ECB1B80"/>
    <w:rsid w:val="6ECC157B"/>
    <w:rsid w:val="6ECC5791"/>
    <w:rsid w:val="6ECC58ED"/>
    <w:rsid w:val="6ECD58F9"/>
    <w:rsid w:val="6ECF48DB"/>
    <w:rsid w:val="6EDD7C0F"/>
    <w:rsid w:val="6EDE19A6"/>
    <w:rsid w:val="6EDF73DA"/>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EFC61DE"/>
    <w:rsid w:val="6F001D7B"/>
    <w:rsid w:val="6F054937"/>
    <w:rsid w:val="6F064074"/>
    <w:rsid w:val="6F080964"/>
    <w:rsid w:val="6F0A0648"/>
    <w:rsid w:val="6F0A34C2"/>
    <w:rsid w:val="6F0B6421"/>
    <w:rsid w:val="6F0C0561"/>
    <w:rsid w:val="6F0F047D"/>
    <w:rsid w:val="6F1277AF"/>
    <w:rsid w:val="6F146796"/>
    <w:rsid w:val="6F1658B1"/>
    <w:rsid w:val="6F177EF1"/>
    <w:rsid w:val="6F1B0B22"/>
    <w:rsid w:val="6F1B4441"/>
    <w:rsid w:val="6F1B5297"/>
    <w:rsid w:val="6F1E43A6"/>
    <w:rsid w:val="6F1F0DD4"/>
    <w:rsid w:val="6F1F746A"/>
    <w:rsid w:val="6F251BFC"/>
    <w:rsid w:val="6F285504"/>
    <w:rsid w:val="6F290C21"/>
    <w:rsid w:val="6F2E77AD"/>
    <w:rsid w:val="6F336B50"/>
    <w:rsid w:val="6F344737"/>
    <w:rsid w:val="6F377216"/>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7621F"/>
    <w:rsid w:val="6F693A71"/>
    <w:rsid w:val="6F6D4AA4"/>
    <w:rsid w:val="6F6D7BC5"/>
    <w:rsid w:val="6F6E603B"/>
    <w:rsid w:val="6F6F1B78"/>
    <w:rsid w:val="6F700889"/>
    <w:rsid w:val="6F711411"/>
    <w:rsid w:val="6F713749"/>
    <w:rsid w:val="6F71599A"/>
    <w:rsid w:val="6F7273D7"/>
    <w:rsid w:val="6F744797"/>
    <w:rsid w:val="6F7C4D29"/>
    <w:rsid w:val="6F7C5FB9"/>
    <w:rsid w:val="6F7F4FDA"/>
    <w:rsid w:val="6F8578DB"/>
    <w:rsid w:val="6F8940F3"/>
    <w:rsid w:val="6F894856"/>
    <w:rsid w:val="6F8C7554"/>
    <w:rsid w:val="6F8E4486"/>
    <w:rsid w:val="6F8F1EA7"/>
    <w:rsid w:val="6F932B01"/>
    <w:rsid w:val="6F957E91"/>
    <w:rsid w:val="6F9E4746"/>
    <w:rsid w:val="6FA04DBB"/>
    <w:rsid w:val="6FA72C68"/>
    <w:rsid w:val="6FA80F2D"/>
    <w:rsid w:val="6FA928C6"/>
    <w:rsid w:val="6FAB36E8"/>
    <w:rsid w:val="6FAB5CDE"/>
    <w:rsid w:val="6FAC17A7"/>
    <w:rsid w:val="6FAF3250"/>
    <w:rsid w:val="6FAF5F91"/>
    <w:rsid w:val="6FB13FCA"/>
    <w:rsid w:val="6FB36912"/>
    <w:rsid w:val="6FB47E2F"/>
    <w:rsid w:val="6FB9727A"/>
    <w:rsid w:val="6FBB1BF5"/>
    <w:rsid w:val="6FBD0995"/>
    <w:rsid w:val="6FBD2FCE"/>
    <w:rsid w:val="6FBE2553"/>
    <w:rsid w:val="6FBF2F50"/>
    <w:rsid w:val="6FCA3006"/>
    <w:rsid w:val="6FCB01D0"/>
    <w:rsid w:val="6FCC0C02"/>
    <w:rsid w:val="6FCE112B"/>
    <w:rsid w:val="6FD64C81"/>
    <w:rsid w:val="6FD806D2"/>
    <w:rsid w:val="6FD956FB"/>
    <w:rsid w:val="6FDB01EE"/>
    <w:rsid w:val="6FDB5F8B"/>
    <w:rsid w:val="6FE86762"/>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A2DBF"/>
    <w:rsid w:val="701B325C"/>
    <w:rsid w:val="701E1E22"/>
    <w:rsid w:val="701F2A63"/>
    <w:rsid w:val="701F5621"/>
    <w:rsid w:val="70237A09"/>
    <w:rsid w:val="70277E9C"/>
    <w:rsid w:val="702820CB"/>
    <w:rsid w:val="702E4CB2"/>
    <w:rsid w:val="702E716A"/>
    <w:rsid w:val="702F5572"/>
    <w:rsid w:val="70336CAE"/>
    <w:rsid w:val="70343ED9"/>
    <w:rsid w:val="7037546E"/>
    <w:rsid w:val="703A140C"/>
    <w:rsid w:val="703B3944"/>
    <w:rsid w:val="7045236D"/>
    <w:rsid w:val="70487CF9"/>
    <w:rsid w:val="704B361D"/>
    <w:rsid w:val="704F7B15"/>
    <w:rsid w:val="70523E05"/>
    <w:rsid w:val="70535AEC"/>
    <w:rsid w:val="70582A4E"/>
    <w:rsid w:val="70595AF0"/>
    <w:rsid w:val="705C3753"/>
    <w:rsid w:val="705F6047"/>
    <w:rsid w:val="7060279C"/>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71AD7"/>
    <w:rsid w:val="708C2B29"/>
    <w:rsid w:val="708D4ADB"/>
    <w:rsid w:val="708F4275"/>
    <w:rsid w:val="709206F3"/>
    <w:rsid w:val="70945E5B"/>
    <w:rsid w:val="70951B96"/>
    <w:rsid w:val="709C4151"/>
    <w:rsid w:val="709F6018"/>
    <w:rsid w:val="70A25471"/>
    <w:rsid w:val="70A40548"/>
    <w:rsid w:val="70A41417"/>
    <w:rsid w:val="70A5621E"/>
    <w:rsid w:val="70A9598B"/>
    <w:rsid w:val="70AA155F"/>
    <w:rsid w:val="70AB402B"/>
    <w:rsid w:val="70AC56E7"/>
    <w:rsid w:val="70AE4712"/>
    <w:rsid w:val="70B0372E"/>
    <w:rsid w:val="70B054D2"/>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E132FF"/>
    <w:rsid w:val="70E53F5D"/>
    <w:rsid w:val="70E63C74"/>
    <w:rsid w:val="70E83423"/>
    <w:rsid w:val="70F04063"/>
    <w:rsid w:val="70F25AEA"/>
    <w:rsid w:val="70F27898"/>
    <w:rsid w:val="70F36131"/>
    <w:rsid w:val="70F5617C"/>
    <w:rsid w:val="70FA1B16"/>
    <w:rsid w:val="70FB4D50"/>
    <w:rsid w:val="70FE577E"/>
    <w:rsid w:val="71033854"/>
    <w:rsid w:val="710805D7"/>
    <w:rsid w:val="710A56D2"/>
    <w:rsid w:val="710B46CD"/>
    <w:rsid w:val="710E2C80"/>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3B9F"/>
    <w:rsid w:val="715772D6"/>
    <w:rsid w:val="71585890"/>
    <w:rsid w:val="71615FE4"/>
    <w:rsid w:val="71632544"/>
    <w:rsid w:val="71657C30"/>
    <w:rsid w:val="716A5579"/>
    <w:rsid w:val="716D1C63"/>
    <w:rsid w:val="7175058A"/>
    <w:rsid w:val="71757A16"/>
    <w:rsid w:val="7179632E"/>
    <w:rsid w:val="71805F6D"/>
    <w:rsid w:val="718273CC"/>
    <w:rsid w:val="718276B7"/>
    <w:rsid w:val="71867FE1"/>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4B57"/>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55298"/>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844E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AB7C8C"/>
    <w:rsid w:val="72B017B9"/>
    <w:rsid w:val="72B05BA1"/>
    <w:rsid w:val="72B3013C"/>
    <w:rsid w:val="72B31F37"/>
    <w:rsid w:val="72B33777"/>
    <w:rsid w:val="72B57D1D"/>
    <w:rsid w:val="72B72E1E"/>
    <w:rsid w:val="72BA162E"/>
    <w:rsid w:val="72BB2750"/>
    <w:rsid w:val="72BB539E"/>
    <w:rsid w:val="72BC0503"/>
    <w:rsid w:val="72BC5654"/>
    <w:rsid w:val="72BE6B4E"/>
    <w:rsid w:val="72BF2A63"/>
    <w:rsid w:val="72C263C9"/>
    <w:rsid w:val="72C54B39"/>
    <w:rsid w:val="72C964B4"/>
    <w:rsid w:val="72CA3B57"/>
    <w:rsid w:val="72CC10B6"/>
    <w:rsid w:val="72CE1F49"/>
    <w:rsid w:val="72CE59FE"/>
    <w:rsid w:val="72D21533"/>
    <w:rsid w:val="72D27981"/>
    <w:rsid w:val="72D43106"/>
    <w:rsid w:val="72D65495"/>
    <w:rsid w:val="72D973C0"/>
    <w:rsid w:val="72DA436C"/>
    <w:rsid w:val="72DB610A"/>
    <w:rsid w:val="72DD00D4"/>
    <w:rsid w:val="72DD7CE7"/>
    <w:rsid w:val="72E50C16"/>
    <w:rsid w:val="72E63D1F"/>
    <w:rsid w:val="72EA1602"/>
    <w:rsid w:val="72ED556C"/>
    <w:rsid w:val="72EE0EB5"/>
    <w:rsid w:val="72F052DE"/>
    <w:rsid w:val="72F666AA"/>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403296"/>
    <w:rsid w:val="734231A5"/>
    <w:rsid w:val="73462432"/>
    <w:rsid w:val="73463ECB"/>
    <w:rsid w:val="734720F8"/>
    <w:rsid w:val="734B03DF"/>
    <w:rsid w:val="734B7734"/>
    <w:rsid w:val="734B77D3"/>
    <w:rsid w:val="734D4442"/>
    <w:rsid w:val="734F77F8"/>
    <w:rsid w:val="73506E68"/>
    <w:rsid w:val="73544F4C"/>
    <w:rsid w:val="735639BF"/>
    <w:rsid w:val="735848BE"/>
    <w:rsid w:val="735859AD"/>
    <w:rsid w:val="735F4FE0"/>
    <w:rsid w:val="735F6D3B"/>
    <w:rsid w:val="7362201C"/>
    <w:rsid w:val="73630676"/>
    <w:rsid w:val="7364136F"/>
    <w:rsid w:val="73647975"/>
    <w:rsid w:val="7365283D"/>
    <w:rsid w:val="736A6DBA"/>
    <w:rsid w:val="736B4D4D"/>
    <w:rsid w:val="736D4121"/>
    <w:rsid w:val="73705B4F"/>
    <w:rsid w:val="73732452"/>
    <w:rsid w:val="73772B09"/>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43A07"/>
    <w:rsid w:val="73A75E93"/>
    <w:rsid w:val="73AC0B41"/>
    <w:rsid w:val="73AD075C"/>
    <w:rsid w:val="73B159E0"/>
    <w:rsid w:val="73BD2BD0"/>
    <w:rsid w:val="73BE53C3"/>
    <w:rsid w:val="73BE562F"/>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E10AE6"/>
    <w:rsid w:val="73E2290D"/>
    <w:rsid w:val="73E415BD"/>
    <w:rsid w:val="73E46F9F"/>
    <w:rsid w:val="73E703F4"/>
    <w:rsid w:val="73EC18E6"/>
    <w:rsid w:val="73EC640A"/>
    <w:rsid w:val="73F11AAC"/>
    <w:rsid w:val="73F211C9"/>
    <w:rsid w:val="73F545BB"/>
    <w:rsid w:val="73F56E0E"/>
    <w:rsid w:val="73F9444D"/>
    <w:rsid w:val="73FA7F41"/>
    <w:rsid w:val="73FC13DF"/>
    <w:rsid w:val="73FC265C"/>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7614D"/>
    <w:rsid w:val="74492221"/>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07CAE"/>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0E27C7"/>
    <w:rsid w:val="75112E68"/>
    <w:rsid w:val="75136EFF"/>
    <w:rsid w:val="75155C46"/>
    <w:rsid w:val="75157FF9"/>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5244A"/>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53C6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08FB"/>
    <w:rsid w:val="75DA282B"/>
    <w:rsid w:val="75DA5344"/>
    <w:rsid w:val="75DD30AF"/>
    <w:rsid w:val="75DE28D2"/>
    <w:rsid w:val="75E25C51"/>
    <w:rsid w:val="75E95492"/>
    <w:rsid w:val="75EB25BF"/>
    <w:rsid w:val="75EC034A"/>
    <w:rsid w:val="75FB031C"/>
    <w:rsid w:val="76011F4A"/>
    <w:rsid w:val="76073A8E"/>
    <w:rsid w:val="760A2DD4"/>
    <w:rsid w:val="760C31AA"/>
    <w:rsid w:val="76100AC8"/>
    <w:rsid w:val="76123486"/>
    <w:rsid w:val="76146659"/>
    <w:rsid w:val="761835A9"/>
    <w:rsid w:val="7618678B"/>
    <w:rsid w:val="761D154C"/>
    <w:rsid w:val="76204EEF"/>
    <w:rsid w:val="76220DF4"/>
    <w:rsid w:val="76254F6A"/>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C7562"/>
    <w:rsid w:val="765D7C32"/>
    <w:rsid w:val="765F3F80"/>
    <w:rsid w:val="765F7530"/>
    <w:rsid w:val="766052A4"/>
    <w:rsid w:val="76610DB3"/>
    <w:rsid w:val="76621CFC"/>
    <w:rsid w:val="76622CB6"/>
    <w:rsid w:val="76622E8E"/>
    <w:rsid w:val="76650D15"/>
    <w:rsid w:val="766740A1"/>
    <w:rsid w:val="766A7EB7"/>
    <w:rsid w:val="766C2087"/>
    <w:rsid w:val="76705F0C"/>
    <w:rsid w:val="76727AA2"/>
    <w:rsid w:val="767570D4"/>
    <w:rsid w:val="767915E6"/>
    <w:rsid w:val="76796294"/>
    <w:rsid w:val="76796366"/>
    <w:rsid w:val="767A68D1"/>
    <w:rsid w:val="767B3E8C"/>
    <w:rsid w:val="76851986"/>
    <w:rsid w:val="76861E36"/>
    <w:rsid w:val="768B7AD1"/>
    <w:rsid w:val="768E2EBE"/>
    <w:rsid w:val="768E4E3E"/>
    <w:rsid w:val="769370EE"/>
    <w:rsid w:val="7694203A"/>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CE0460"/>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848A0"/>
    <w:rsid w:val="772B7954"/>
    <w:rsid w:val="77303BA0"/>
    <w:rsid w:val="773334B2"/>
    <w:rsid w:val="77336AA0"/>
    <w:rsid w:val="77346E88"/>
    <w:rsid w:val="77347BB3"/>
    <w:rsid w:val="77373CAB"/>
    <w:rsid w:val="7739787A"/>
    <w:rsid w:val="773A1095"/>
    <w:rsid w:val="774557C6"/>
    <w:rsid w:val="774951C0"/>
    <w:rsid w:val="774D615E"/>
    <w:rsid w:val="7750368C"/>
    <w:rsid w:val="77560455"/>
    <w:rsid w:val="775919C0"/>
    <w:rsid w:val="7759643A"/>
    <w:rsid w:val="775A5C04"/>
    <w:rsid w:val="7760783E"/>
    <w:rsid w:val="77667502"/>
    <w:rsid w:val="77674632"/>
    <w:rsid w:val="77692691"/>
    <w:rsid w:val="776A21D3"/>
    <w:rsid w:val="776A2ADA"/>
    <w:rsid w:val="776E2AD3"/>
    <w:rsid w:val="776E3C95"/>
    <w:rsid w:val="7770634A"/>
    <w:rsid w:val="7771421E"/>
    <w:rsid w:val="77737AD7"/>
    <w:rsid w:val="77754D6F"/>
    <w:rsid w:val="77754D7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358A8"/>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D870BC"/>
    <w:rsid w:val="77DF044B"/>
    <w:rsid w:val="77E57F0B"/>
    <w:rsid w:val="77E61FFD"/>
    <w:rsid w:val="77E837A3"/>
    <w:rsid w:val="77E90EE2"/>
    <w:rsid w:val="77E97581"/>
    <w:rsid w:val="77EA5555"/>
    <w:rsid w:val="77EA6A14"/>
    <w:rsid w:val="77EB10F2"/>
    <w:rsid w:val="77EE4EDF"/>
    <w:rsid w:val="77EE6A34"/>
    <w:rsid w:val="77EF03CA"/>
    <w:rsid w:val="77F008AA"/>
    <w:rsid w:val="77F3360E"/>
    <w:rsid w:val="77F33B98"/>
    <w:rsid w:val="77F47954"/>
    <w:rsid w:val="77F73CE8"/>
    <w:rsid w:val="77FB320A"/>
    <w:rsid w:val="77FC0F59"/>
    <w:rsid w:val="77FF0DFC"/>
    <w:rsid w:val="78000AED"/>
    <w:rsid w:val="78003E7B"/>
    <w:rsid w:val="780069CE"/>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44995"/>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F2F98"/>
    <w:rsid w:val="788018F4"/>
    <w:rsid w:val="78801C2E"/>
    <w:rsid w:val="788102DC"/>
    <w:rsid w:val="78823220"/>
    <w:rsid w:val="788B08E5"/>
    <w:rsid w:val="788C4780"/>
    <w:rsid w:val="788D4DA2"/>
    <w:rsid w:val="78904927"/>
    <w:rsid w:val="789468AA"/>
    <w:rsid w:val="789672D0"/>
    <w:rsid w:val="789705A4"/>
    <w:rsid w:val="789919B5"/>
    <w:rsid w:val="78A2778E"/>
    <w:rsid w:val="78A60B62"/>
    <w:rsid w:val="78A832D2"/>
    <w:rsid w:val="78A84CE1"/>
    <w:rsid w:val="78AA4ACC"/>
    <w:rsid w:val="78B70C2B"/>
    <w:rsid w:val="78B82234"/>
    <w:rsid w:val="78C053D6"/>
    <w:rsid w:val="78C2141E"/>
    <w:rsid w:val="78C253BA"/>
    <w:rsid w:val="78C25DE3"/>
    <w:rsid w:val="78C357ED"/>
    <w:rsid w:val="78C50A86"/>
    <w:rsid w:val="78CC6F23"/>
    <w:rsid w:val="78CD0CE6"/>
    <w:rsid w:val="78D12396"/>
    <w:rsid w:val="78D14E14"/>
    <w:rsid w:val="78D34DCF"/>
    <w:rsid w:val="78D37FA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85C68"/>
    <w:rsid w:val="78F9709C"/>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17126"/>
    <w:rsid w:val="795310F0"/>
    <w:rsid w:val="795918BF"/>
    <w:rsid w:val="7959636B"/>
    <w:rsid w:val="795B2E47"/>
    <w:rsid w:val="795C61F7"/>
    <w:rsid w:val="795C735C"/>
    <w:rsid w:val="795D282A"/>
    <w:rsid w:val="795D5ACB"/>
    <w:rsid w:val="795D7A67"/>
    <w:rsid w:val="79600F95"/>
    <w:rsid w:val="7961052E"/>
    <w:rsid w:val="79667D36"/>
    <w:rsid w:val="7969279E"/>
    <w:rsid w:val="79694B38"/>
    <w:rsid w:val="796A4721"/>
    <w:rsid w:val="796A5D78"/>
    <w:rsid w:val="796C624D"/>
    <w:rsid w:val="797352EE"/>
    <w:rsid w:val="7974097A"/>
    <w:rsid w:val="79742C52"/>
    <w:rsid w:val="7975134B"/>
    <w:rsid w:val="79767FFC"/>
    <w:rsid w:val="797712CC"/>
    <w:rsid w:val="7979172B"/>
    <w:rsid w:val="797C4DA7"/>
    <w:rsid w:val="797D64E8"/>
    <w:rsid w:val="79821102"/>
    <w:rsid w:val="79836B17"/>
    <w:rsid w:val="7984574E"/>
    <w:rsid w:val="798515D3"/>
    <w:rsid w:val="798533BD"/>
    <w:rsid w:val="7986046E"/>
    <w:rsid w:val="798647AE"/>
    <w:rsid w:val="798A6070"/>
    <w:rsid w:val="798B058C"/>
    <w:rsid w:val="798B7A66"/>
    <w:rsid w:val="798C2D00"/>
    <w:rsid w:val="798E2128"/>
    <w:rsid w:val="798E3ABB"/>
    <w:rsid w:val="798F5B58"/>
    <w:rsid w:val="798F6C9F"/>
    <w:rsid w:val="7995382F"/>
    <w:rsid w:val="79954F0C"/>
    <w:rsid w:val="79955265"/>
    <w:rsid w:val="799C581E"/>
    <w:rsid w:val="79A25384"/>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F06638"/>
    <w:rsid w:val="79F11200"/>
    <w:rsid w:val="79F20023"/>
    <w:rsid w:val="79F32313"/>
    <w:rsid w:val="79F3466B"/>
    <w:rsid w:val="79F37792"/>
    <w:rsid w:val="79F64305"/>
    <w:rsid w:val="79F67EF0"/>
    <w:rsid w:val="79F75659"/>
    <w:rsid w:val="79F85AD2"/>
    <w:rsid w:val="79F91114"/>
    <w:rsid w:val="79FD629E"/>
    <w:rsid w:val="7A020420"/>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37D1C"/>
    <w:rsid w:val="7A38686E"/>
    <w:rsid w:val="7A3A3020"/>
    <w:rsid w:val="7A3A46C7"/>
    <w:rsid w:val="7A3E1F6B"/>
    <w:rsid w:val="7A423A14"/>
    <w:rsid w:val="7A424F07"/>
    <w:rsid w:val="7A44022D"/>
    <w:rsid w:val="7A46397D"/>
    <w:rsid w:val="7A496B9E"/>
    <w:rsid w:val="7A497D07"/>
    <w:rsid w:val="7A4E310B"/>
    <w:rsid w:val="7A510226"/>
    <w:rsid w:val="7A51551F"/>
    <w:rsid w:val="7A540C70"/>
    <w:rsid w:val="7A550538"/>
    <w:rsid w:val="7A58313B"/>
    <w:rsid w:val="7A59680F"/>
    <w:rsid w:val="7A5C3FD5"/>
    <w:rsid w:val="7A60442E"/>
    <w:rsid w:val="7A6210BB"/>
    <w:rsid w:val="7A625262"/>
    <w:rsid w:val="7A633959"/>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419C0"/>
    <w:rsid w:val="7A962F16"/>
    <w:rsid w:val="7A9670D7"/>
    <w:rsid w:val="7A976512"/>
    <w:rsid w:val="7A983686"/>
    <w:rsid w:val="7A990DFE"/>
    <w:rsid w:val="7A9B68AB"/>
    <w:rsid w:val="7A9B7743"/>
    <w:rsid w:val="7A9D0CE8"/>
    <w:rsid w:val="7A9D5CDD"/>
    <w:rsid w:val="7AA008BF"/>
    <w:rsid w:val="7AA01750"/>
    <w:rsid w:val="7AA9175C"/>
    <w:rsid w:val="7AAB2530"/>
    <w:rsid w:val="7AAF00E7"/>
    <w:rsid w:val="7AB441D5"/>
    <w:rsid w:val="7AB8650B"/>
    <w:rsid w:val="7AB92029"/>
    <w:rsid w:val="7ABE0452"/>
    <w:rsid w:val="7ABF2F1E"/>
    <w:rsid w:val="7AC0116C"/>
    <w:rsid w:val="7AC36F7D"/>
    <w:rsid w:val="7AC53928"/>
    <w:rsid w:val="7AC57DCC"/>
    <w:rsid w:val="7AC96B3F"/>
    <w:rsid w:val="7ACB66CA"/>
    <w:rsid w:val="7AD24042"/>
    <w:rsid w:val="7AD33C59"/>
    <w:rsid w:val="7AD61FD9"/>
    <w:rsid w:val="7AD94348"/>
    <w:rsid w:val="7AD96201"/>
    <w:rsid w:val="7ADB30C3"/>
    <w:rsid w:val="7ADB3F7C"/>
    <w:rsid w:val="7ADE4F4C"/>
    <w:rsid w:val="7AE13380"/>
    <w:rsid w:val="7AE278C7"/>
    <w:rsid w:val="7AE87351"/>
    <w:rsid w:val="7AE87439"/>
    <w:rsid w:val="7AEF5FDF"/>
    <w:rsid w:val="7AF00DB4"/>
    <w:rsid w:val="7AF3046A"/>
    <w:rsid w:val="7AF33363"/>
    <w:rsid w:val="7AF5196F"/>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D35E8"/>
    <w:rsid w:val="7B3F335C"/>
    <w:rsid w:val="7B407557"/>
    <w:rsid w:val="7B46002A"/>
    <w:rsid w:val="7B4934B7"/>
    <w:rsid w:val="7B4A0483"/>
    <w:rsid w:val="7B4A346F"/>
    <w:rsid w:val="7B4E750F"/>
    <w:rsid w:val="7B503C31"/>
    <w:rsid w:val="7B511F2F"/>
    <w:rsid w:val="7B51623D"/>
    <w:rsid w:val="7B5B674F"/>
    <w:rsid w:val="7B614326"/>
    <w:rsid w:val="7B6267BA"/>
    <w:rsid w:val="7B632C26"/>
    <w:rsid w:val="7B643141"/>
    <w:rsid w:val="7B6469D0"/>
    <w:rsid w:val="7B66237D"/>
    <w:rsid w:val="7B6714B3"/>
    <w:rsid w:val="7B682200"/>
    <w:rsid w:val="7B6A318A"/>
    <w:rsid w:val="7B6B67E4"/>
    <w:rsid w:val="7B6E0463"/>
    <w:rsid w:val="7B6F0D44"/>
    <w:rsid w:val="7B76116A"/>
    <w:rsid w:val="7B774BF1"/>
    <w:rsid w:val="7B7D4EB6"/>
    <w:rsid w:val="7B7F3815"/>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427C"/>
    <w:rsid w:val="7BB36BFC"/>
    <w:rsid w:val="7BB77F53"/>
    <w:rsid w:val="7BBA0FB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17284"/>
    <w:rsid w:val="7C2519D4"/>
    <w:rsid w:val="7C263C5F"/>
    <w:rsid w:val="7C26489A"/>
    <w:rsid w:val="7C29438A"/>
    <w:rsid w:val="7C357EF5"/>
    <w:rsid w:val="7C373897"/>
    <w:rsid w:val="7C396D1B"/>
    <w:rsid w:val="7C3C3EC4"/>
    <w:rsid w:val="7C3E1BE4"/>
    <w:rsid w:val="7C3E56E8"/>
    <w:rsid w:val="7C3F0858"/>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7080D"/>
    <w:rsid w:val="7CC7607D"/>
    <w:rsid w:val="7CC77E2B"/>
    <w:rsid w:val="7CCB22A2"/>
    <w:rsid w:val="7CCD26CF"/>
    <w:rsid w:val="7CCD6A45"/>
    <w:rsid w:val="7CCE3FDE"/>
    <w:rsid w:val="7CCF3759"/>
    <w:rsid w:val="7CD17CAD"/>
    <w:rsid w:val="7CD267D0"/>
    <w:rsid w:val="7CD50259"/>
    <w:rsid w:val="7CD52C0D"/>
    <w:rsid w:val="7CD6707B"/>
    <w:rsid w:val="7CD744DD"/>
    <w:rsid w:val="7CD85482"/>
    <w:rsid w:val="7CDA03B2"/>
    <w:rsid w:val="7CDE27CD"/>
    <w:rsid w:val="7CE52D60"/>
    <w:rsid w:val="7CE62EAE"/>
    <w:rsid w:val="7CE74FD7"/>
    <w:rsid w:val="7CE821E8"/>
    <w:rsid w:val="7CEC017E"/>
    <w:rsid w:val="7CF010AC"/>
    <w:rsid w:val="7CFE1606"/>
    <w:rsid w:val="7D03643D"/>
    <w:rsid w:val="7D0559DD"/>
    <w:rsid w:val="7D0E0779"/>
    <w:rsid w:val="7D0E3565"/>
    <w:rsid w:val="7D0E5E43"/>
    <w:rsid w:val="7D1028C7"/>
    <w:rsid w:val="7D14264E"/>
    <w:rsid w:val="7D14634D"/>
    <w:rsid w:val="7D162F4F"/>
    <w:rsid w:val="7D177A54"/>
    <w:rsid w:val="7D1838B8"/>
    <w:rsid w:val="7D1B3CD3"/>
    <w:rsid w:val="7D1F7E82"/>
    <w:rsid w:val="7D20002D"/>
    <w:rsid w:val="7D2335B6"/>
    <w:rsid w:val="7D257168"/>
    <w:rsid w:val="7D280220"/>
    <w:rsid w:val="7D290D7E"/>
    <w:rsid w:val="7D294FC1"/>
    <w:rsid w:val="7D2A2A4B"/>
    <w:rsid w:val="7D2B7A94"/>
    <w:rsid w:val="7D2C004B"/>
    <w:rsid w:val="7D2D0C1A"/>
    <w:rsid w:val="7D32101D"/>
    <w:rsid w:val="7D326AA1"/>
    <w:rsid w:val="7D3614CE"/>
    <w:rsid w:val="7D3634EC"/>
    <w:rsid w:val="7D3766AA"/>
    <w:rsid w:val="7D3E172D"/>
    <w:rsid w:val="7D412320"/>
    <w:rsid w:val="7D4255DE"/>
    <w:rsid w:val="7D434B61"/>
    <w:rsid w:val="7D4827E2"/>
    <w:rsid w:val="7D523199"/>
    <w:rsid w:val="7D567BC5"/>
    <w:rsid w:val="7D574AB6"/>
    <w:rsid w:val="7D5B4CCC"/>
    <w:rsid w:val="7D5B7B11"/>
    <w:rsid w:val="7D5D305F"/>
    <w:rsid w:val="7D5E396C"/>
    <w:rsid w:val="7D644CA2"/>
    <w:rsid w:val="7D680034"/>
    <w:rsid w:val="7D687AFA"/>
    <w:rsid w:val="7D690CA4"/>
    <w:rsid w:val="7D710A8D"/>
    <w:rsid w:val="7D746FF5"/>
    <w:rsid w:val="7D767623"/>
    <w:rsid w:val="7D7A3789"/>
    <w:rsid w:val="7D7A37B0"/>
    <w:rsid w:val="7D7A6D7A"/>
    <w:rsid w:val="7D7B2DAF"/>
    <w:rsid w:val="7D7F2275"/>
    <w:rsid w:val="7D8D3A46"/>
    <w:rsid w:val="7D9212F4"/>
    <w:rsid w:val="7D960D81"/>
    <w:rsid w:val="7D970AEA"/>
    <w:rsid w:val="7D973A8E"/>
    <w:rsid w:val="7D9B0E5C"/>
    <w:rsid w:val="7D9C029C"/>
    <w:rsid w:val="7D9C6AF9"/>
    <w:rsid w:val="7DA0067C"/>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B7264"/>
    <w:rsid w:val="7DBC7B82"/>
    <w:rsid w:val="7DC161B3"/>
    <w:rsid w:val="7DC56DA1"/>
    <w:rsid w:val="7DC77936"/>
    <w:rsid w:val="7DCC1FE2"/>
    <w:rsid w:val="7DCF787A"/>
    <w:rsid w:val="7DD01DDD"/>
    <w:rsid w:val="7DD71264"/>
    <w:rsid w:val="7DDC2D85"/>
    <w:rsid w:val="7DDD56E0"/>
    <w:rsid w:val="7DDE5CEA"/>
    <w:rsid w:val="7DE247F1"/>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155BF"/>
    <w:rsid w:val="7E01736D"/>
    <w:rsid w:val="7E0527E5"/>
    <w:rsid w:val="7E064D7D"/>
    <w:rsid w:val="7E0A7C86"/>
    <w:rsid w:val="7E0C2ECD"/>
    <w:rsid w:val="7E0C52E5"/>
    <w:rsid w:val="7E0D60C0"/>
    <w:rsid w:val="7E0E2E22"/>
    <w:rsid w:val="7E1023EB"/>
    <w:rsid w:val="7E17679C"/>
    <w:rsid w:val="7E187CA0"/>
    <w:rsid w:val="7E1C1A51"/>
    <w:rsid w:val="7E1C41A7"/>
    <w:rsid w:val="7E1E79AD"/>
    <w:rsid w:val="7E207292"/>
    <w:rsid w:val="7E236E12"/>
    <w:rsid w:val="7E283A36"/>
    <w:rsid w:val="7E2A2AA1"/>
    <w:rsid w:val="7E2B05CF"/>
    <w:rsid w:val="7E2D1F30"/>
    <w:rsid w:val="7E3176B5"/>
    <w:rsid w:val="7E320B69"/>
    <w:rsid w:val="7E324724"/>
    <w:rsid w:val="7E326113"/>
    <w:rsid w:val="7E3617D2"/>
    <w:rsid w:val="7E37359E"/>
    <w:rsid w:val="7E383061"/>
    <w:rsid w:val="7E391D4B"/>
    <w:rsid w:val="7E3C03A5"/>
    <w:rsid w:val="7E3D5CDC"/>
    <w:rsid w:val="7E3E6534"/>
    <w:rsid w:val="7E406B52"/>
    <w:rsid w:val="7E487FAE"/>
    <w:rsid w:val="7E4952E6"/>
    <w:rsid w:val="7E4C5F39"/>
    <w:rsid w:val="7E4E28B6"/>
    <w:rsid w:val="7E52721B"/>
    <w:rsid w:val="7E540A67"/>
    <w:rsid w:val="7E577EC0"/>
    <w:rsid w:val="7E582D05"/>
    <w:rsid w:val="7E591276"/>
    <w:rsid w:val="7E5A11E3"/>
    <w:rsid w:val="7E5A31A3"/>
    <w:rsid w:val="7E5C6747"/>
    <w:rsid w:val="7E5E656D"/>
    <w:rsid w:val="7E5F01CB"/>
    <w:rsid w:val="7E5F1C22"/>
    <w:rsid w:val="7E616729"/>
    <w:rsid w:val="7E6876F1"/>
    <w:rsid w:val="7E6B2A38"/>
    <w:rsid w:val="7E707601"/>
    <w:rsid w:val="7E721D1F"/>
    <w:rsid w:val="7E722226"/>
    <w:rsid w:val="7E734E5A"/>
    <w:rsid w:val="7E756144"/>
    <w:rsid w:val="7E784A80"/>
    <w:rsid w:val="7E7A010F"/>
    <w:rsid w:val="7E7B5B32"/>
    <w:rsid w:val="7E7E09BD"/>
    <w:rsid w:val="7E7E24FB"/>
    <w:rsid w:val="7E805601"/>
    <w:rsid w:val="7E835FD4"/>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D12A3"/>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15B3"/>
    <w:rsid w:val="7F2C3D96"/>
    <w:rsid w:val="7F303A79"/>
    <w:rsid w:val="7F363E6E"/>
    <w:rsid w:val="7F380575"/>
    <w:rsid w:val="7F3D16A4"/>
    <w:rsid w:val="7F402B5E"/>
    <w:rsid w:val="7F412D6A"/>
    <w:rsid w:val="7F417CE5"/>
    <w:rsid w:val="7F4A2A20"/>
    <w:rsid w:val="7F4C4618"/>
    <w:rsid w:val="7F4F0673"/>
    <w:rsid w:val="7F54345F"/>
    <w:rsid w:val="7F552893"/>
    <w:rsid w:val="7F552BBF"/>
    <w:rsid w:val="7F570504"/>
    <w:rsid w:val="7F5A541F"/>
    <w:rsid w:val="7F5C42F5"/>
    <w:rsid w:val="7F664237"/>
    <w:rsid w:val="7F665D16"/>
    <w:rsid w:val="7F680BB6"/>
    <w:rsid w:val="7F682F57"/>
    <w:rsid w:val="7F6905D5"/>
    <w:rsid w:val="7F696FF9"/>
    <w:rsid w:val="7F6C5BA9"/>
    <w:rsid w:val="7F6D193F"/>
    <w:rsid w:val="7F716735"/>
    <w:rsid w:val="7F72309C"/>
    <w:rsid w:val="7F743B6E"/>
    <w:rsid w:val="7F78140F"/>
    <w:rsid w:val="7F7B63CC"/>
    <w:rsid w:val="7F7D28FB"/>
    <w:rsid w:val="7F800765"/>
    <w:rsid w:val="7F803CB7"/>
    <w:rsid w:val="7F822FE3"/>
    <w:rsid w:val="7F83107B"/>
    <w:rsid w:val="7F8653F4"/>
    <w:rsid w:val="7F876014"/>
    <w:rsid w:val="7F8909D3"/>
    <w:rsid w:val="7F893227"/>
    <w:rsid w:val="7F8936B8"/>
    <w:rsid w:val="7F904F09"/>
    <w:rsid w:val="7F9058E8"/>
    <w:rsid w:val="7F934E5D"/>
    <w:rsid w:val="7FA56960"/>
    <w:rsid w:val="7FA57DB0"/>
    <w:rsid w:val="7FA61889"/>
    <w:rsid w:val="7FA81745"/>
    <w:rsid w:val="7FAA005D"/>
    <w:rsid w:val="7FAA3564"/>
    <w:rsid w:val="7FAA6042"/>
    <w:rsid w:val="7FAB6E33"/>
    <w:rsid w:val="7FAC6F1D"/>
    <w:rsid w:val="7FAE7344"/>
    <w:rsid w:val="7FB053AD"/>
    <w:rsid w:val="7FB35AB3"/>
    <w:rsid w:val="7FB36571"/>
    <w:rsid w:val="7FB4040F"/>
    <w:rsid w:val="7FB453DB"/>
    <w:rsid w:val="7FB55FA3"/>
    <w:rsid w:val="7FB55FEC"/>
    <w:rsid w:val="7FB70F9E"/>
    <w:rsid w:val="7FBE2591"/>
    <w:rsid w:val="7FC12847"/>
    <w:rsid w:val="7FC80122"/>
    <w:rsid w:val="7FC87D6C"/>
    <w:rsid w:val="7FD50AB1"/>
    <w:rsid w:val="7FD521BA"/>
    <w:rsid w:val="7FD770CE"/>
    <w:rsid w:val="7FDA25FE"/>
    <w:rsid w:val="7FDD3CC6"/>
    <w:rsid w:val="7FDF548C"/>
    <w:rsid w:val="7FE00316"/>
    <w:rsid w:val="7FE42AA2"/>
    <w:rsid w:val="7FE577E0"/>
    <w:rsid w:val="7FE63B66"/>
    <w:rsid w:val="7FE82930"/>
    <w:rsid w:val="7FF026F9"/>
    <w:rsid w:val="7FF148B1"/>
    <w:rsid w:val="7FF16F3F"/>
    <w:rsid w:val="7FF31C0E"/>
    <w:rsid w:val="7FF35AC4"/>
    <w:rsid w:val="7FF53F45"/>
    <w:rsid w:val="7FF56B6E"/>
    <w:rsid w:val="7FF74110"/>
    <w:rsid w:val="7FF8479F"/>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Char"/>
    <w:basedOn w:val="19"/>
    <w:link w:val="9"/>
    <w:autoRedefine/>
    <w:qFormat/>
    <w:uiPriority w:val="99"/>
    <w:rPr>
      <w:rFonts w:ascii="Tahoma" w:hAnsi="Tahoma"/>
      <w:sz w:val="18"/>
      <w:szCs w:val="18"/>
    </w:rPr>
  </w:style>
  <w:style w:type="character" w:customStyle="1" w:styleId="26">
    <w:name w:val="页脚 Char"/>
    <w:basedOn w:val="19"/>
    <w:link w:val="8"/>
    <w:autoRedefine/>
    <w:qFormat/>
    <w:uiPriority w:val="99"/>
    <w:rPr>
      <w:rFonts w:ascii="Tahoma" w:hAnsi="Tahoma"/>
      <w:sz w:val="18"/>
      <w:szCs w:val="18"/>
    </w:rPr>
  </w:style>
  <w:style w:type="character" w:customStyle="1" w:styleId="27">
    <w:name w:val="批注框文本 Char"/>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Char"/>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Char"/>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39.jpeg"/><Relationship Id="rId5" Type="http://schemas.openxmlformats.org/officeDocument/2006/relationships/footer" Target="foot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NULL"/><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jpeg"/><Relationship Id="rId40" Type="http://schemas.openxmlformats.org/officeDocument/2006/relationships/image" Target="media/image29.png"/><Relationship Id="rId4" Type="http://schemas.openxmlformats.org/officeDocument/2006/relationships/header" Target="head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microsoft.com/office/2007/relationships/hdphoto" Target="media/image15.wdp"/><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101</Pages>
  <Words>10149</Words>
  <Characters>14462</Characters>
  <Lines>495</Lines>
  <Paragraphs>139</Paragraphs>
  <TotalTime>13</TotalTime>
  <ScaleCrop>false</ScaleCrop>
  <LinksUpToDate>false</LinksUpToDate>
  <CharactersWithSpaces>15031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Administrator</dc:creator>
  <cp:lastModifiedBy>刘小暄儿～</cp:lastModifiedBy>
  <cp:lastPrinted>2016-10-03T08:25:00Z</cp:lastPrinted>
  <dcterms:modified xsi:type="dcterms:W3CDTF">2025-04-11T02:53:20Z</dcterms:modified>
  <cp:revision>885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B8E50593EBD2400AA48660E0D94EA06E_13</vt:lpwstr>
  </property>
  <property fmtid="{D5CDD505-2E9C-101B-9397-08002B2CF9AE}" pid="4" name="KSOTemplateDocerSaveRecord">
    <vt:lpwstr>eyJoZGlkIjoiZTExNWQ2ODI2YzNiYTI5YTY5MzYxOTZkODBjYTQ2NmQiLCJ1c2VySWQiOiIzMjA1NjY1MzgifQ==</vt:lpwstr>
  </property>
</Properties>
</file>