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335C08">
      <w:pPr>
        <w:rPr>
          <w:rFonts w:ascii="微软雅黑" w:hAnsi="微软雅黑"/>
        </w:rPr>
      </w:pPr>
      <w:r>
        <w:rPr>
          <w:rFonts w:hint="eastAsia" w:ascii="微软雅黑" w:hAnsi="微软雅黑"/>
        </w:rPr>
        <w:t>33333333333333333333333333</w:t>
      </w:r>
      <w:r>
        <w:rPr>
          <w:rFonts w:ascii="微软雅黑" w:hAnsi="微软雅黑"/>
        </w:rPr>
        <w:br w:type="page"/>
      </w:r>
      <w:r>
        <w:drawing>
          <wp:anchor distT="0" distB="0" distL="114300" distR="114300" simplePos="0" relativeHeight="251659264" behindDoc="0" locked="0" layoutInCell="1" allowOverlap="1">
            <wp:simplePos x="0" y="0"/>
            <wp:positionH relativeFrom="column">
              <wp:posOffset>-1143000</wp:posOffset>
            </wp:positionH>
            <wp:positionV relativeFrom="paragraph">
              <wp:posOffset>-914400</wp:posOffset>
            </wp:positionV>
            <wp:extent cx="7746365" cy="10864215"/>
            <wp:effectExtent l="0" t="0" r="10795" b="1905"/>
            <wp:wrapSquare wrapText="bothSides"/>
            <wp:docPr id="100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图片 3"/>
                    <pic:cNvPicPr>
                      <a:picLocks noChangeAspect="1"/>
                    </pic:cNvPicPr>
                  </pic:nvPicPr>
                  <pic:blipFill>
                    <a:blip r:embed="rId18" cstate="print"/>
                    <a:stretch>
                      <a:fillRect/>
                    </a:stretch>
                  </pic:blipFill>
                  <pic:spPr>
                    <a:xfrm>
                      <a:off x="0" y="0"/>
                      <a:ext cx="7746365" cy="10864215"/>
                    </a:xfrm>
                    <a:prstGeom prst="rect">
                      <a:avLst/>
                    </a:prstGeom>
                    <a:noFill/>
                    <a:ln>
                      <a:noFill/>
                    </a:ln>
                  </pic:spPr>
                </pic:pic>
              </a:graphicData>
            </a:graphic>
          </wp:anchor>
        </w:drawing>
      </w:r>
    </w:p>
    <w:p w14:paraId="0B0FB728">
      <w:pPr>
        <w:ind w:firstLine="550" w:firstLineChars="250"/>
        <w:rPr>
          <w:rFonts w:ascii="微软雅黑" w:hAnsi="微软雅黑"/>
        </w:rPr>
      </w:pPr>
    </w:p>
    <w:p w14:paraId="034E477F">
      <w:pPr>
        <w:adjustRightInd/>
        <w:snapToGrid/>
        <w:spacing w:line="220" w:lineRule="atLeast"/>
        <w:rPr>
          <w:rFonts w:ascii="微软雅黑" w:hAnsi="微软雅黑"/>
          <w:b/>
          <w:color w:val="3D5E18"/>
          <w:sz w:val="52"/>
          <w:szCs w:val="52"/>
        </w:rPr>
      </w:pPr>
      <w:r>
        <w:rPr>
          <w:rFonts w:hint="eastAsia" w:ascii="微软雅黑" w:hAnsi="微软雅黑"/>
          <w:b/>
          <w:color w:val="3D5E18"/>
          <w:sz w:val="44"/>
          <w:szCs w:val="44"/>
        </w:rPr>
        <w:drawing>
          <wp:anchor distT="0" distB="0" distL="114300" distR="114300" simplePos="0" relativeHeight="251660288" behindDoc="0" locked="0" layoutInCell="1" allowOverlap="1">
            <wp:simplePos x="0" y="0"/>
            <wp:positionH relativeFrom="column">
              <wp:posOffset>0</wp:posOffset>
            </wp:positionH>
            <wp:positionV relativeFrom="paragraph">
              <wp:posOffset>290830</wp:posOffset>
            </wp:positionV>
            <wp:extent cx="2834640" cy="762000"/>
            <wp:effectExtent l="19050" t="0" r="3810" b="0"/>
            <wp:wrapSquare wrapText="bothSides"/>
            <wp:docPr id="1002" name="图片 14" descr="捕获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图片 14" descr="捕获1"/>
                    <pic:cNvPicPr>
                      <a:picLocks noChangeAspect="1"/>
                    </pic:cNvPicPr>
                  </pic:nvPicPr>
                  <pic:blipFill>
                    <a:blip r:embed="rId19" cstate="print"/>
                    <a:stretch>
                      <a:fillRect/>
                    </a:stretch>
                  </pic:blipFill>
                  <pic:spPr>
                    <a:xfrm>
                      <a:off x="0" y="0"/>
                      <a:ext cx="2834640" cy="762000"/>
                    </a:xfrm>
                    <a:prstGeom prst="rect">
                      <a:avLst/>
                    </a:prstGeom>
                  </pic:spPr>
                </pic:pic>
              </a:graphicData>
            </a:graphic>
          </wp:anchor>
        </w:drawing>
      </w:r>
    </w:p>
    <w:p w14:paraId="0680B568">
      <w:pPr>
        <w:spacing w:line="240" w:lineRule="atLeast"/>
        <w:jc w:val="center"/>
        <w:rPr>
          <w:rFonts w:ascii="微软雅黑" w:hAnsi="微软雅黑"/>
          <w:b/>
          <w:color w:val="3D5E18"/>
          <w:sz w:val="52"/>
          <w:szCs w:val="52"/>
        </w:rPr>
      </w:pPr>
    </w:p>
    <w:p w14:paraId="133AE424">
      <w:pPr>
        <w:spacing w:line="240" w:lineRule="atLeast"/>
        <w:jc w:val="center"/>
        <w:rPr>
          <w:rFonts w:ascii="微软雅黑" w:hAnsi="微软雅黑"/>
          <w:b/>
          <w:color w:val="3D5E18"/>
          <w:sz w:val="10"/>
          <w:szCs w:val="10"/>
        </w:rPr>
      </w:pPr>
    </w:p>
    <w:p w14:paraId="30AE2761">
      <w:pPr>
        <w:spacing w:line="240" w:lineRule="atLeast"/>
        <w:jc w:val="center"/>
        <w:rPr>
          <w:rFonts w:ascii="微软雅黑" w:hAnsi="微软雅黑"/>
          <w:b/>
          <w:color w:val="3D5E18"/>
          <w:sz w:val="10"/>
          <w:szCs w:val="10"/>
        </w:rPr>
      </w:pPr>
    </w:p>
    <w:p w14:paraId="290650F7">
      <w:pPr>
        <w:spacing w:line="240" w:lineRule="atLeast"/>
        <w:jc w:val="center"/>
        <w:rPr>
          <w:rFonts w:ascii="微软雅黑" w:hAnsi="微软雅黑"/>
          <w:b/>
          <w:color w:val="3D5E18"/>
          <w:sz w:val="10"/>
          <w:szCs w:val="10"/>
        </w:rPr>
      </w:pPr>
    </w:p>
    <w:p w14:paraId="4330775C">
      <w:pPr>
        <w:spacing w:line="240" w:lineRule="atLeast"/>
        <w:jc w:val="center"/>
        <w:rPr>
          <w:rFonts w:ascii="微软雅黑" w:hAnsi="微软雅黑"/>
          <w:b/>
          <w:sz w:val="52"/>
          <w:szCs w:val="52"/>
        </w:rPr>
      </w:pPr>
      <w:r>
        <w:rPr>
          <w:rFonts w:hint="eastAsia" w:ascii="微软雅黑" w:hAnsi="微软雅黑"/>
          <w:b/>
          <w:sz w:val="52"/>
          <w:szCs w:val="52"/>
        </w:rPr>
        <w:t xml:space="preserve"> 检测报告</w:t>
      </w:r>
    </w:p>
    <w:p w14:paraId="668A98BC">
      <w:pPr>
        <w:spacing w:line="240" w:lineRule="atLeast"/>
        <w:jc w:val="center"/>
        <w:rPr>
          <w:rFonts w:ascii="微软雅黑" w:hAnsi="微软雅黑"/>
          <w:b/>
          <w:color w:val="3D5E18"/>
          <w:sz w:val="32"/>
          <w:szCs w:val="32"/>
        </w:rPr>
      </w:pPr>
    </w:p>
    <w:p w14:paraId="4E994034">
      <w:pPr>
        <w:spacing w:line="240" w:lineRule="atLeast"/>
        <w:jc w:val="center"/>
        <w:rPr>
          <w:rFonts w:ascii="微软雅黑" w:hAnsi="微软雅黑"/>
          <w:b/>
          <w:color w:val="3D5E18"/>
          <w:sz w:val="32"/>
          <w:szCs w:val="32"/>
        </w:rPr>
      </w:pPr>
    </w:p>
    <w:p w14:paraId="71375646">
      <w:pPr>
        <w:spacing w:line="240" w:lineRule="atLeast"/>
        <w:jc w:val="center"/>
        <w:rPr>
          <w:rFonts w:ascii="微软雅黑" w:hAnsi="微软雅黑"/>
          <w:b/>
          <w:color w:val="3D5E18"/>
          <w:sz w:val="10"/>
          <w:szCs w:val="10"/>
        </w:rPr>
      </w:pPr>
    </w:p>
    <w:p w14:paraId="38D2AAB2">
      <w:pPr>
        <w:spacing w:line="240" w:lineRule="atLeast"/>
        <w:jc w:val="center"/>
        <w:rPr>
          <w:rFonts w:ascii="微软雅黑" w:hAnsi="微软雅黑"/>
          <w:b/>
          <w:color w:val="3D5E18"/>
          <w:sz w:val="32"/>
          <w:szCs w:val="32"/>
        </w:rPr>
      </w:pPr>
    </w:p>
    <w:p w14:paraId="1A81F98E">
      <w:pPr>
        <w:spacing w:line="240" w:lineRule="atLeast"/>
        <w:jc w:val="center"/>
        <w:rPr>
          <w:rFonts w:ascii="微软雅黑" w:hAnsi="微软雅黑"/>
          <w:b/>
          <w:color w:val="3D5E18"/>
          <w:sz w:val="32"/>
          <w:szCs w:val="32"/>
        </w:rPr>
      </w:pPr>
    </w:p>
    <w:p w14:paraId="6235DA44">
      <w:pPr>
        <w:spacing w:line="240" w:lineRule="atLeast"/>
        <w:jc w:val="center"/>
        <w:rPr>
          <w:rFonts w:ascii="微软雅黑" w:hAnsi="微软雅黑"/>
          <w:b/>
          <w:color w:val="3D5E18"/>
          <w:sz w:val="32"/>
          <w:szCs w:val="32"/>
        </w:rPr>
      </w:pPr>
    </w:p>
    <w:p w14:paraId="71E9601F">
      <w:pPr>
        <w:spacing w:line="240" w:lineRule="atLeast"/>
        <w:jc w:val="center"/>
        <w:rPr>
          <w:rFonts w:ascii="微软雅黑" w:hAnsi="微软雅黑"/>
          <w:b/>
          <w:color w:val="3D5E18"/>
          <w:sz w:val="32"/>
          <w:szCs w:val="32"/>
        </w:rPr>
      </w:pPr>
    </w:p>
    <w:p w14:paraId="0D2EA703">
      <w:pPr>
        <w:spacing w:line="240" w:lineRule="atLeast"/>
        <w:jc w:val="center"/>
        <w:rPr>
          <w:rFonts w:ascii="微软雅黑" w:hAnsi="微软雅黑"/>
          <w:b/>
          <w:color w:val="3D5E18"/>
          <w:sz w:val="32"/>
          <w:szCs w:val="32"/>
        </w:rPr>
      </w:pPr>
    </w:p>
    <w:p w14:paraId="159F3B7E">
      <w:pPr>
        <w:spacing w:line="360" w:lineRule="auto"/>
        <w:ind w:left="297" w:leftChars="135" w:firstLine="836" w:firstLineChars="348"/>
        <w:rPr>
          <w:rFonts w:ascii="微软雅黑" w:hAnsi="微软雅黑" w:cs="微软雅黑"/>
          <w:kern w:val="2"/>
          <w:sz w:val="24"/>
          <w:szCs w:val="24"/>
        </w:rPr>
      </w:pPr>
      <w:r>
        <w:rPr>
          <w:rFonts w:ascii="微软雅黑" w:hAnsi="微软雅黑"/>
          <w:b/>
          <w:sz w:val="24"/>
          <w:szCs w:val="24"/>
        </w:rPr>
        <mc:AlternateContent>
          <mc:Choice Requires="wps">
            <w:drawing>
              <wp:anchor distT="0" distB="0" distL="114300" distR="114300" simplePos="0" relativeHeight="251670528" behindDoc="0" locked="0" layoutInCell="1" allowOverlap="1">
                <wp:simplePos x="0" y="0"/>
                <wp:positionH relativeFrom="column">
                  <wp:posOffset>1494790</wp:posOffset>
                </wp:positionH>
                <wp:positionV relativeFrom="paragraph">
                  <wp:posOffset>282575</wp:posOffset>
                </wp:positionV>
                <wp:extent cx="3120390" cy="6985"/>
                <wp:effectExtent l="0" t="0" r="0" b="0"/>
                <wp:wrapNone/>
                <wp:docPr id="1003" name="自选图形 23"/>
                <wp:cNvGraphicFramePr/>
                <a:graphic xmlns:a="http://schemas.openxmlformats.org/drawingml/2006/main">
                  <a:graphicData uri="http://schemas.microsoft.com/office/word/2010/wordprocessingShape">
                    <wps:wsp>
                      <wps:cNvCnPr/>
                      <wps:spPr>
                        <a:xfrm>
                          <a:off x="0" y="0"/>
                          <a:ext cx="3120390" cy="6985"/>
                        </a:xfrm>
                        <a:prstGeom prst="straightConnector1">
                          <a:avLst/>
                        </a:prstGeom>
                        <a:ln w="9525" cap="flat" cmpd="sng">
                          <a:solidFill>
                            <a:srgbClr val="000000"/>
                          </a:solidFill>
                          <a:prstDash val="solid"/>
                          <a:headEnd type="none" w="med" len="med"/>
                          <a:tailEnd type="none" w="med" len="med"/>
                        </a:ln>
                        <a:effectLst/>
                      </wps:spPr>
                      <wps:bodyPr/>
                    </wps:wsp>
                  </a:graphicData>
                </a:graphic>
              </wp:anchor>
            </w:drawing>
          </mc:Choice>
          <mc:Fallback>
            <w:pict>
              <v:shape id="自选图形 23" o:spid="_x0000_s1026" o:spt="32" type="#_x0000_t32" style="position:absolute;left:0pt;margin-left:117.7pt;margin-top:22.25pt;height:0.55pt;width:245.7pt;z-index:251670528;mso-width-relative:page;mso-height-relative:page;" filled="f" stroked="t" coordsize="21600,21600" o:gfxdata="UEsDBAoAAAAAAIdO4kAAAAAAAAAAAAAAAAAEAAAAZHJzL1BLAwQUAAAACACHTuJAeQrkE9gAAAAJ AQAADwAAAGRycy9kb3ducmV2LnhtbE2PwU7DMAyG70i8Q2QkLoglLW2B0nRCSBw4sk3imjWmLTRO 1aTr2NNjTuNo+9Pv76/WRzeIA06h96QhWSkQSI23PbUadtvX2wcQIRqyZvCEGn4wwLq+vKhMaf1C 73jYxFZwCIXSaOhiHEspQ9OhM2HlRyS+ffrJmcjj1Eo7mYXD3SBTpQrpTE/8oTMjvnTYfG9mpwHD nCfq+dG1u7fTcvORnr6Wcav19VWinkBEPMYzDH/6rA41O+39TDaIQUN6l2eMasiyHAQD92nBXfa8 yAuQdSX/N6h/AVBLAwQUAAAACACHTuJA9PAB8v8BAAD4AwAADgAAAGRycy9lMm9Eb2MueG1srVPN jtMwEL4j8Q6W7zRpq662UdM9tCwXBJWAB3BtJ7HkP3m8TXvjhngGbhx5B3iblZa3YOyEsiyXHsjB mbFnvpnv83h1czSaHGQA5WxNp5OSEmm5E8q2Nf3w/vbFNSUQmRVMOytrepJAb9bPn616X8mZ65wW MhAEsVD1vqZdjL4qCuCdNAwmzkuLh40LhkV0Q1uIwHpEN7qYleVV0bsgfHBcAuDudjikI2K4BNA1 jeJy6/idkTYOqEFqFpESdMoDXedum0by+LZpQEaia4pMY16xCNr7tBbrFavawHyn+NgCu6SFJ5wM UxaLnqG2LDJyF9Q/UEbx4MA1ccKdKQYiWRFkMS2faPOuY15mLig1+LPo8P9g+ZvDLhAlcBLKck6J ZQbv/OHTt58fP99/+XH//SuZzZNKvYcKgzd2F0YP/C4kyscmmPRHMuSYlT2dlZXHSDhuzqezcr5E 0TmeXS2vFwmy+JPrA8RX0hmSjJpCDEy1Xdw4a/EKXZhmcdnhNcQh8XdCKqwt6Wu6XMwWiM9wJBsc BTSNR1pg25wLTitxq7ROGRDa/UYHcmBpLPI3NvRXWCqyZdANcfkohbGqk0y8tILEk0e1LL4Tmlow UlCiJT6rZOXIyJS+JBK10DZByzy0I88k+iBzsvZOnLL6RfJwILKE4/CmiXvso/34wa5/AVBLAwQK AAAAAACHTuJAAAAAAAAAAAAAAAAABgAAAF9yZWxzL1BLAwQUAAAACACHTuJAihRmPNEAAACUAQAA CwAAAF9yZWxzLy5yZWxzpZDBasMwDIbvg72D0X1xmsMYo04vo9Br6R7A2IpjGltGMtn69vMOg2X0 tqN+oe8T//7wmRa1IkukbGDX9aAwO/IxBwPvl+PTCyipNnu7UEYDNxQ4jI8P+zMutrYjmWMR1ShZ DMy1lletxc2YrHRUMLfNRJxsbSMHXay72oB66Ptnzb8ZMG6Y6uQN8MkPoC630sx/2Ck6JqGpdo6S pmmK7h5VB7Zlju7INuEbuUazHLAa8CwaB2pZ134EfV+/+6fe00c+47rVfoeM649Xb7ocvwBQSwME FAAAAAgAh07iQH7m5SD3AAAA4QEAABMAAABbQ29udGVudF9UeXBlc10ueG1slZFBTsMwEEX3SNzB 8hYlTrtACCXpgrRLQKgcYGRPEotkbHlMaG+Pk7YbRJFY2jP/vye73BzGQUwY2Dqq5CovpEDSzljq Kvm+32UPUnAEMjA4wkoekeWmvr0p90ePLFKauJJ9jP5RKdY9jsC580hp0rowQkzH0CkP+gM6VOui uFfaUUSKWZw7ZF022MLnEMX2kK5PJgEHluLptDizKgneD1ZDTKZqIvODkp0JeUouO9xbz3dJQ6pf CfPkOuCce0lPE6xB8QohPsOYNJQJrIz7ooBT/nfJbDly5trWasybwE2KveF0sbrWjmvXOP3f8u2S unSr5YPqb1BLAQIUABQAAAAIAIdO4kB+5uUg9wAAAOEBAAATAAAAAAAAAAEAIAAAAHAEAABbQ29u dGVudF9UeXBlc10ueG1sUEsBAhQACgAAAAAAh07iQAAAAAAAAAAAAAAAAAYAAAAAAAAAAAAQAAAA UgMAAF9yZWxzL1BLAQIUABQAAAAIAIdO4kCKFGY80QAAAJQBAAALAAAAAAAAAAEAIAAAAHYDAABf cmVscy8ucmVsc1BLAQIUAAoAAAAAAIdO4kAAAAAAAAAAAAAAAAAEAAAAAAAAAAAAEAAAAAAAAABk cnMvUEsBAhQAFAAAAAgAh07iQHkK5BPYAAAACQEAAA8AAAAAAAAAAQAgAAAAIgAAAGRycy9kb3du cmV2LnhtbFBLAQIUABQAAAAIAIdO4kD08AHy/wEAAPgDAAAOAAAAAAAAAAEAIAAAACcBAABkcnMv ZTJvRG9jLnhtbFBLBQYAAAAABgAGAFkBAACYBQAAAAA= ">
                <v:fill on="f" focussize="0,0"/>
                <v:stroke color="#000000" joinstyle="round"/>
                <v:imagedata o:title=""/>
                <o:lock v:ext="edit" aspectratio="f"/>
              </v:shape>
            </w:pict>
          </mc:Fallback>
        </mc:AlternateContent>
      </w:r>
      <w:r>
        <w:rPr>
          <w:rFonts w:hint="eastAsia" w:ascii="微软雅黑" w:hAnsi="微软雅黑"/>
          <w:b/>
          <w:sz w:val="24"/>
          <w:szCs w:val="24"/>
        </w:rPr>
        <w:t>姓    名</w:t>
      </w:r>
      <w:r>
        <w:rPr>
          <w:rFonts w:ascii="微软雅黑" w:hAnsi="微软雅黑"/>
          <w:b/>
          <w:sz w:val="24"/>
          <w:szCs w:val="24"/>
        </w:rPr>
        <w:t>：</w:t>
      </w:r>
      <w:r>
        <w:rPr>
          <w:rFonts w:hint="eastAsia" w:ascii="微软雅黑" w:hAnsi="微软雅黑" w:cs="微软雅黑"/>
          <w:kern w:val="2"/>
          <w:sz w:val="24"/>
          <w:szCs w:val="24"/>
        </w:rPr>
        <w:t xml:space="preserve">               </w:t>
      </w:r>
      <w:r>
        <w:rPr>
          <w:rFonts w:hint="eastAsia" w:ascii="微软雅黑" w:hAnsi="微软雅黑" w:cs="微软雅黑"/>
          <w:kern w:val="2"/>
          <w:sz w:val="24"/>
          <w:szCs w:val="24"/>
          <w:lang w:val="en-US" w:eastAsia="zh-CN"/>
        </w:rPr>
        <w:t xml:space="preserve">  </w:t>
      </w:r>
      <w:r>
        <w:rPr>
          <w:rFonts w:hint="eastAsia" w:ascii="微软雅黑" w:hAnsi="微软雅黑" w:cs="微软雅黑"/>
          <w:kern w:val="2"/>
          <w:sz w:val="24"/>
          <w:szCs w:val="24"/>
          <w:lang w:eastAsia="zh-CN"/>
        </w:rPr>
        <w:t>{{ patient_name }}</w:t>
      </w:r>
      <w:r>
        <w:rPr>
          <w:rFonts w:hint="eastAsia" w:ascii="微软雅黑" w:hAnsi="微软雅黑" w:cs="微软雅黑"/>
          <w:kern w:val="2"/>
          <w:sz w:val="24"/>
          <w:szCs w:val="24"/>
        </w:rPr>
        <w:t xml:space="preserve"> </w:t>
      </w:r>
      <w:r>
        <w:commentReference w:id="0"/>
      </w:r>
      <w:r>
        <w:rPr>
          <w:rFonts w:hint="eastAsia" w:ascii="微软雅黑" w:hAnsi="微软雅黑" w:cs="微软雅黑"/>
          <w:kern w:val="2"/>
          <w:sz w:val="24"/>
          <w:szCs w:val="24"/>
        </w:rPr>
        <w:t xml:space="preserve">       </w:t>
      </w:r>
    </w:p>
    <w:p w14:paraId="0F9A3115">
      <w:pPr>
        <w:spacing w:line="360" w:lineRule="auto"/>
        <w:ind w:left="297" w:leftChars="135" w:firstLine="836" w:firstLineChars="348"/>
        <w:rPr>
          <w:rFonts w:hint="default" w:ascii="微软雅黑" w:hAnsi="微软雅黑" w:eastAsia="微软雅黑" w:cs="微软雅黑"/>
          <w:sz w:val="24"/>
          <w:szCs w:val="24"/>
          <w:lang w:val="en-US" w:eastAsia="zh-CN"/>
        </w:rPr>
      </w:pPr>
      <w:r>
        <w:rPr>
          <w:rFonts w:ascii="微软雅黑" w:hAnsi="微软雅黑"/>
          <w:b/>
          <w:sz w:val="24"/>
          <w:szCs w:val="24"/>
        </w:rPr>
        <mc:AlternateContent>
          <mc:Choice Requires="wps">
            <w:drawing>
              <wp:anchor distT="0" distB="0" distL="114300" distR="114300" simplePos="0" relativeHeight="251671552" behindDoc="0" locked="0" layoutInCell="1" allowOverlap="1">
                <wp:simplePos x="0" y="0"/>
                <wp:positionH relativeFrom="column">
                  <wp:posOffset>1494790</wp:posOffset>
                </wp:positionH>
                <wp:positionV relativeFrom="paragraph">
                  <wp:posOffset>282575</wp:posOffset>
                </wp:positionV>
                <wp:extent cx="3120390" cy="6985"/>
                <wp:effectExtent l="0" t="0" r="0" b="0"/>
                <wp:wrapNone/>
                <wp:docPr id="1004" name="自选图形 24"/>
                <wp:cNvGraphicFramePr/>
                <a:graphic xmlns:a="http://schemas.openxmlformats.org/drawingml/2006/main">
                  <a:graphicData uri="http://schemas.microsoft.com/office/word/2010/wordprocessingShape">
                    <wps:wsp>
                      <wps:cNvCnPr/>
                      <wps:spPr>
                        <a:xfrm flipV="1">
                          <a:off x="0" y="0"/>
                          <a:ext cx="3120390" cy="6985"/>
                        </a:xfrm>
                        <a:prstGeom prst="straightConnector1">
                          <a:avLst/>
                        </a:prstGeom>
                        <a:ln w="9525" cap="flat" cmpd="sng">
                          <a:solidFill>
                            <a:srgbClr val="000000"/>
                          </a:solidFill>
                          <a:prstDash val="solid"/>
                          <a:headEnd type="none" w="med" len="med"/>
                          <a:tailEnd type="none" w="med" len="med"/>
                        </a:ln>
                        <a:effectLst/>
                      </wps:spPr>
                      <wps:bodyPr/>
                    </wps:wsp>
                  </a:graphicData>
                </a:graphic>
              </wp:anchor>
            </w:drawing>
          </mc:Choice>
          <mc:Fallback>
            <w:pict>
              <v:shape id="自选图形 24" o:spid="_x0000_s1026" o:spt="32" type="#_x0000_t32" style="position:absolute;left:0pt;flip:y;margin-left:117.7pt;margin-top:22.25pt;height:0.55pt;width:245.7pt;z-index:251671552;mso-width-relative:page;mso-height-relative:page;" filled="f" stroked="t" coordsize="21600,21600" o:gfxdata="UEsDBAoAAAAAAIdO4kAAAAAAAAAAAAAAAAAEAAAAZHJzL1BLAwQUAAAACACHTuJAH0Pl3NcAAAAJ AQAADwAAAGRycy9kb3ducmV2LnhtbE2PwU6DQBCG7ya+w2ZMvNmlCLRBlh6aaDwYEqvet+wItOws ZbfQvr3jSY8z8+Wf7y82F9uLCUffOVKwXEQgkGpnOmoUfH48P6xB+KDJ6N4RKriih015e1Po3LiZ 3nHahUZwCPlcK2hDGHIpfd2i1X7hBiS+fbvR6sDj2Egz6pnDbS/jKMqk1R3xh1YPuG2xPu7OVsGJ VtevRE7rQ1WF7OX1rSGsZqXu75bRE4iAl/AHw68+q0PJTnt3JuNFryB+TBNGFSRJCoKBVZxxlz0v 0gxkWcj/DcofUEsDBBQAAAAIAIdO4kBRQxPdBgIAAAIEAAAOAAAAZHJzL2Uyb0RvYy54bWytU71u 2zAQ3gv0HQjutWQnDmLBcga76VK0Bvqz0yQlEeAfeIxlb92KPkO3jn2H5m0CtG/RI6Uaabp4qAbh jnf33X0fj8ubg9FkLwMoZ2s6nZSUSMudULat6Yf3ty+uKYHIrGDaWVnTowR6s3r+bNn7Ss5c57SQ gSCIhar3Ne1i9FVRAO+kYTBxXloMNi4YFtENbSEC6xHd6GJWlldF74LwwXEJgKebIUhHxHAOoGsa xeXG8TsjbRxQg9QsIiXolAe6ytM2jeTxbdOAjETXFJnG/McmaO/Sv1gtWdUG5jvFxxHYOSM84WSY stj0BLVhkZG7oP6BMooHB66JE+5MMRDJiiCLaflEm3cd8zJzQanBn0SH/wfL3+y3gSiBm1CWl5RY ZvDOf37+/uvTl4ev9w8/vpHZZVKp91Bh8tpuw+iB34ZE+dAEQxqt/EcEySIgLXLIGh9PGstDJBwP L6az8mKB8nOMXS2u5wm8GFASmg8QX0lnSDJqCjEw1XZx7azFy3Rh6MD2ryEOhX8KUrG2pK/pYj6b Iz7D5WxwKdA0HgmCbfN04LQSt0rrVAGh3a11IHuWFiR/40B/paUmGwbdkJdDKY1VnWTipRUkHj3q ZvHF0DSCkYISLfGBJStnRqb0OZmohbYJWub1HXkm+QfBk7Vz4pjvoUgerkaWcFzjtHuPfbQfP93V b1BLAwQKAAAAAACHTuJAAAAAAAAAAAAAAAAABgAAAF9yZWxzL1BLAwQUAAAACACHTuJAihRmPNEA AACUAQAACwAAAF9yZWxzLy5yZWxzpZDBasMwDIbvg72D0X1xmsMYo04vo9Br6R7A2IpjGltGMtn6 9vMOg2X0tqN+oe8T//7wmRa1IkukbGDX9aAwO/IxBwPvl+PTCyipNnu7UEYDNxQ4jI8P+zMutrYj mWMR1ShZDMy1lletxc2YrHRUMLfNRJxsbSMHXay72oB66Ptnzb8ZMG6Y6uQN8MkPoC630sx/2Ck6 JqGpdo6SpmmK7h5VB7Zlju7INuEbuUazHLAa8CwaB2pZ134EfV+/+6fe00c+47rVfoeM649Xb7oc vwBQSwMEFAAAAAgAh07iQH7m5SD3AAAA4QEAABMAAABbQ29udGVudF9UeXBlc10ueG1slZFBTsMw EEX3SNzB8hYlTrtACCXpgrRLQKgcYGRPEotkbHlMaG+Pk7YbRJFY2jP/vye73BzGQUwY2Dqq5Cov pEDSzljqKvm+32UPUnAEMjA4wkoekeWmvr0p90ePLFKauJJ9jP5RKdY9jsC580hp0rowQkzH0CkP +gM6VOuiuFfaUUSKWZw7ZF022MLnEMX2kK5PJgEHluLptDizKgneD1ZDTKZqIvODkp0JeUouO9xb z3dJQ6pfCfPkOuCce0lPE6xB8QohPsOYNJQJrIz7ooBT/nfJbDly5trWasybwE2KveF0sbrWjmvX OP3f8u2SunSr5YPqb1BLAQIUABQAAAAIAIdO4kB+5uUg9wAAAOEBAAATAAAAAAAAAAEAIAAAAHYE AABbQ29udGVudF9UeXBlc10ueG1sUEsBAhQACgAAAAAAh07iQAAAAAAAAAAAAAAAAAYAAAAAAAAA AAAQAAAAWAMAAF9yZWxzL1BLAQIUABQAAAAIAIdO4kCKFGY80QAAAJQBAAALAAAAAAAAAAEAIAAA AHwDAABfcmVscy8ucmVsc1BLAQIUAAoAAAAAAIdO4kAAAAAAAAAAAAAAAAAEAAAAAAAAAAAAEAAA AAAAAABkcnMvUEsBAhQAFAAAAAgAh07iQB9D5dzXAAAACQEAAA8AAAAAAAAAAQAgAAAAIgAAAGRy cy9kb3ducmV2LnhtbFBLAQIUABQAAAAIAIdO4kBRQxPdBgIAAAIEAAAOAAAAAAAAAAEAIAAAACYB AABkcnMvZTJvRG9jLnhtbFBLBQYAAAAABgAGAFkBAACeBQAAAAA= ">
                <v:fill on="f" focussize="0,0"/>
                <v:stroke color="#000000" joinstyle="round"/>
                <v:imagedata o:title=""/>
                <o:lock v:ext="edit" aspectratio="f"/>
              </v:shape>
            </w:pict>
          </mc:Fallback>
        </mc:AlternateContent>
      </w:r>
      <w:r>
        <w:rPr>
          <w:rFonts w:hint="eastAsia" w:ascii="微软雅黑" w:hAnsi="微软雅黑"/>
          <w:b/>
          <w:sz w:val="24"/>
          <w:szCs w:val="24"/>
        </w:rPr>
        <w:t>报告编号</w:t>
      </w:r>
      <w:r>
        <w:rPr>
          <w:rFonts w:ascii="微软雅黑" w:hAnsi="微软雅黑"/>
          <w:b/>
          <w:sz w:val="24"/>
          <w:szCs w:val="24"/>
        </w:rPr>
        <w:t>：</w:t>
      </w:r>
      <w:r>
        <w:rPr>
          <w:rFonts w:hint="eastAsia" w:ascii="微软雅黑" w:hAnsi="微软雅黑"/>
          <w:b/>
          <w:sz w:val="24"/>
          <w:szCs w:val="24"/>
        </w:rPr>
        <w:t xml:space="preserve">             </w:t>
      </w:r>
      <w:r>
        <w:rPr>
          <w:rFonts w:hint="eastAsia" w:ascii="微软雅黑" w:hAnsi="微软雅黑"/>
          <w:bCs/>
          <w:sz w:val="24"/>
          <w:szCs w:val="24"/>
        </w:rPr>
        <w:t>{{ report_number }}</w:t>
      </w:r>
      <w:r>
        <w:rPr>
          <w:rFonts w:hint="eastAsia" w:ascii="微软雅黑" w:hAnsi="微软雅黑"/>
          <w:bCs/>
          <w:sz w:val="24"/>
          <w:szCs w:val="24"/>
          <w:lang w:eastAsia="zh-CN"/>
        </w:rPr>
        <w:t/>
      </w:r>
      <w:r>
        <w:rPr>
          <w:rFonts w:hint="eastAsia" w:ascii="微软雅黑" w:hAnsi="微软雅黑"/>
          <w:bCs/>
          <w:sz w:val="24"/>
          <w:szCs w:val="24"/>
          <w:lang w:val="en-US" w:eastAsia="zh-CN"/>
        </w:rPr>
        <w:t/>
      </w:r>
    </w:p>
    <w:p w14:paraId="2AF1C6A0">
      <w:pPr>
        <w:spacing w:line="360" w:lineRule="auto"/>
        <w:ind w:left="297" w:leftChars="135" w:firstLine="836" w:firstLineChars="348"/>
        <w:rPr>
          <w:rFonts w:hint="default" w:ascii="微软雅黑" w:hAnsi="微软雅黑" w:eastAsia="微软雅黑" w:cs="微软雅黑"/>
          <w:bCs/>
          <w:sz w:val="24"/>
          <w:szCs w:val="24"/>
          <w:lang w:val="en-US" w:eastAsia="zh-CN"/>
        </w:rPr>
      </w:pPr>
      <w:r>
        <w:rPr>
          <w:rFonts w:ascii="微软雅黑" w:hAnsi="微软雅黑"/>
          <w:b/>
          <w:sz w:val="24"/>
          <w:szCs w:val="24"/>
        </w:rPr>
        <mc:AlternateContent>
          <mc:Choice Requires="wps">
            <w:drawing>
              <wp:anchor distT="0" distB="0" distL="114300" distR="114300" simplePos="0" relativeHeight="251672576" behindDoc="0" locked="0" layoutInCell="1" allowOverlap="1">
                <wp:simplePos x="0" y="0"/>
                <wp:positionH relativeFrom="column">
                  <wp:posOffset>1494790</wp:posOffset>
                </wp:positionH>
                <wp:positionV relativeFrom="paragraph">
                  <wp:posOffset>297180</wp:posOffset>
                </wp:positionV>
                <wp:extent cx="3120390" cy="6985"/>
                <wp:effectExtent l="0" t="0" r="0" b="0"/>
                <wp:wrapNone/>
                <wp:docPr id="1005" name="自选图形 25"/>
                <wp:cNvGraphicFramePr/>
                <a:graphic xmlns:a="http://schemas.openxmlformats.org/drawingml/2006/main">
                  <a:graphicData uri="http://schemas.microsoft.com/office/word/2010/wordprocessingShape">
                    <wps:wsp>
                      <wps:cNvCnPr/>
                      <wps:spPr>
                        <a:xfrm flipV="1">
                          <a:off x="0" y="0"/>
                          <a:ext cx="3120390" cy="6985"/>
                        </a:xfrm>
                        <a:prstGeom prst="straightConnector1">
                          <a:avLst/>
                        </a:prstGeom>
                        <a:ln w="9525" cap="flat" cmpd="sng">
                          <a:solidFill>
                            <a:srgbClr val="000000"/>
                          </a:solidFill>
                          <a:prstDash val="solid"/>
                          <a:headEnd type="none" w="med" len="med"/>
                          <a:tailEnd type="none" w="med" len="med"/>
                        </a:ln>
                        <a:effectLst/>
                      </wps:spPr>
                      <wps:bodyPr/>
                    </wps:wsp>
                  </a:graphicData>
                </a:graphic>
              </wp:anchor>
            </w:drawing>
          </mc:Choice>
          <mc:Fallback>
            <w:pict>
              <v:shape id="自选图形 25" o:spid="_x0000_s1026" o:spt="32" type="#_x0000_t32" style="position:absolute;left:0pt;flip:y;margin-left:117.7pt;margin-top:23.4pt;height:0.55pt;width:245.7pt;z-index:251672576;mso-width-relative:page;mso-height-relative:page;" filled="f" stroked="t" coordsize="21600,21600" o:gfxdata="UEsDBAoAAAAAAIdO4kAAAAAAAAAAAAAAAAAEAAAAZHJzL1BLAwQUAAAACACHTuJADralUtcAAAAJ AQAADwAAAGRycy9kb3ducmV2LnhtbE2PQU+DQBCF7yb+h82YeLNLEaFFlh5MNB4MSavet+wUUHYW 2S20/97pSW8z817efK/YnGwvJhx950jBchGBQKqd6ahR8PH+fLcC4YMmo3tHqOCMHjbl9VWhc+Nm 2uK0C43gEPK5VtCGMORS+rpFq/3CDUisHdxodeB1bKQZ9czhtpdxFKXS6o74Q6sHfGqx/t4drYIf ys6fiZxWX1UV0pfXt4awmpW6vVlGjyACnsKfGS74jA4lM+3dkYwXvYL4/iFhq4Ik5QpsyOLLsOdD tgZZFvJ/g/IXUEsDBBQAAAAIAIdO4kDhAFEjBwIAAAIEAAAOAAAAZHJzL2Uyb0RvYy54bWytUztu GzEQ7QPkDgT7aFcyZNgLrVxIcZogEZBPT/GzS4A/cGit1KULcoZ0KXOH5DYGnFtkyFUEx2lUZIvF DMl5M+/xcXGzt4bsZATtXUunk5oS6bgX2nUt/fD+9sUVJZCYE8x4J1t6kEBvls+fLYbQyJnvvREy EgRx0AyhpX1Koakq4L20DCY+SIebykfLEqaxq0RkA6JbU83q+rIafBQhei4BcHU9btIjYjwH0Cul uVx7fmelSyNqlIYlpAS9DkCXZVqlJE9vlQKZiGkpMk3lj00w3uZ/tVywposs9JofR2DnjPCEk2Xa YdMT1JolRu6i/gfKah49eJUm3NtqJFIUQRbT+ok273oWZOGCUkM4iQ7/D5a/2W0i0QKdUNdzShyz eOcPn7//+vTl/uvP+x/fyGyeVRoCNHh45TbxmEHYxEx5r6IlyujwEUGKCEiL7IvGh5PGcp8Ix8WL 6ay+uEb5Oe5dXl8V8GpEyWghQnolvSU5aCmkyHTXp5V3Di/Tx7ED272GhHNg4Z+CXGwcGVp6PceR CWdoToWmwNAGJAiuK9OBN1rcamNyBcRuuzKR7Fg2SPkyW8T961husmbQj+fK1midXjLx0gmSDgF1 c/hiaB7BSkGJkfjAcoSArElMm3NOYmvjcoEs9j3yzPKPgudo68Wh3EOVM7RGmfho4+y9xznGj5/u 8jdQSwMECgAAAAAAh07iQAAAAAAAAAAAAAAAAAYAAABfcmVscy9QSwMEFAAAAAgAh07iQIoUZjzR AAAAlAEAAAsAAABfcmVscy8ucmVsc6WQwWrDMAyG74O9g9F9cZrDGKNOL6PQa+kewNiKYxpbRjLZ +vbzDoNl9LajfqHvE//+8JkWtSJLpGxg1/WgMDvyMQcD75fj0wsoqTZ7u1BGAzcUOIyPD/szLra2 I5ljEdUoWQzMtZZXrcXNmKx0VDC3zUScbG0jB12su9qAeuj7Z82/GTBumOrkDfDJD6Aut9LMf9gp OiahqXaOkqZpiu4eVQe2ZY7uyDbhG7lGsxywGvAsGgdqWdd+BH1fv/un3tNHPuO61X6HjOuPV2+6 HL8AUEsDBBQAAAAIAIdO4kB+5uUg9wAAAOEBAAATAAAAW0NvbnRlbnRfVHlwZXNdLnhtbJWRQU7D MBBF90jcwfIWJU67QAgl6YK0S0CoHGBkTxKLZGx5TGhvj5O2G0SRWNoz/78nu9wcxkFMGNg6quQq L6RA0s5Y6ir5vt9lD1JwBDIwOMJKHpHlpr69KfdHjyxSmriSfYz+USnWPY7AufNIadK6MEJMx9Ap D/oDOlTrorhX2lFEilmcO2RdNtjC5xDF9pCuTyYBB5bi6bQ4syoJ3g9WQ0ymaiLzg5KdCXlKLjvc W893SUOqXwnz5DrgnHtJTxOsQfEKIT7DmDSUCayM+6KAU/53yWw5cuba1mrMm8BNir3hdLG61o5r 1zj93/Ltkrp0q+WD6m9QSwECFAAUAAAACACHTuJAfublIPcAAADhAQAAEwAAAAAAAAABACAAAAB3 BAAAW0NvbnRlbnRfVHlwZXNdLnhtbFBLAQIUAAoAAAAAAIdO4kAAAAAAAAAAAAAAAAAGAAAAAAAA AAAAEAAAAFkDAABfcmVscy9QSwECFAAUAAAACACHTuJAihRmPNEAAACUAQAACwAAAAAAAAABACAA AAB9AwAAX3JlbHMvLnJlbHNQSwECFAAKAAAAAACHTuJAAAAAAAAAAAAAAAAABAAAAAAAAAAAABAA AAAAAAAAZHJzL1BLAQIUABQAAAAIAIdO4kAOtqVS1wAAAAkBAAAPAAAAAAAAAAEAIAAAACIAAABk cnMvZG93bnJldi54bWxQSwECFAAUAAAACACHTuJA4QBRIwcCAAACBAAADgAAAAAAAAABACAAAAAm AQAAZHJzL2Uyb0RvYy54bWxQSwUGAAAAAAYABgBZAQAAnwUAAAAA ">
                <v:fill on="f" focussize="0,0"/>
                <v:stroke color="#000000" joinstyle="round"/>
                <v:imagedata o:title=""/>
                <o:lock v:ext="edit" aspectratio="f"/>
              </v:shape>
            </w:pict>
          </mc:Fallback>
        </mc:AlternateContent>
      </w:r>
      <w:r>
        <w:rPr>
          <w:rFonts w:hint="eastAsia" w:ascii="微软雅黑" w:hAnsi="微软雅黑"/>
          <w:b/>
          <w:sz w:val="24"/>
          <w:szCs w:val="24"/>
        </w:rPr>
        <w:t>送检日期</w:t>
      </w:r>
      <w:r>
        <w:rPr>
          <w:rFonts w:ascii="微软雅黑" w:hAnsi="微软雅黑"/>
          <w:b/>
          <w:sz w:val="24"/>
          <w:szCs w:val="24"/>
        </w:rPr>
        <w:t>：</w:t>
      </w:r>
      <w:r>
        <w:rPr>
          <w:rFonts w:hint="eastAsia" w:ascii="微软雅黑" w:hAnsi="微软雅黑"/>
          <w:b/>
          <w:sz w:val="24"/>
          <w:szCs w:val="24"/>
        </w:rPr>
        <w:t xml:space="preserve">                </w:t>
      </w:r>
      <w:r>
        <w:rPr>
          <w:rFonts w:hint="eastAsia" w:ascii="微软雅黑" w:hAnsi="微软雅黑"/>
          <w:bCs/>
          <w:sz w:val="24"/>
          <w:szCs w:val="24"/>
        </w:rPr>
        <w:t>{{ sample_date }}</w:t>
      </w:r>
      <w:r>
        <w:rPr>
          <w:rFonts w:hint="eastAsia" w:ascii="微软雅黑" w:hAnsi="微软雅黑"/>
          <w:bCs/>
          <w:sz w:val="24"/>
          <w:szCs w:val="24"/>
          <w:lang w:val="en-US" w:eastAsia="zh-CN"/>
        </w:rPr>
        <w:t/>
      </w:r>
    </w:p>
    <w:p w14:paraId="052DA000">
      <w:pPr>
        <w:spacing w:line="360" w:lineRule="auto"/>
        <w:ind w:left="297" w:leftChars="135" w:firstLine="836" w:firstLineChars="348"/>
        <w:rPr>
          <w:rFonts w:hint="default" w:ascii="微软雅黑" w:hAnsi="微软雅黑" w:eastAsia="微软雅黑"/>
          <w:sz w:val="24"/>
          <w:szCs w:val="24"/>
          <w:lang w:val="en-US" w:eastAsia="zh-CN"/>
        </w:rPr>
      </w:pPr>
      <w:r>
        <w:rPr>
          <w:rFonts w:ascii="微软雅黑" w:hAnsi="微软雅黑"/>
          <w:b/>
          <w:sz w:val="24"/>
          <w:szCs w:val="24"/>
        </w:rPr>
        <mc:AlternateContent>
          <mc:Choice Requires="wps">
            <w:drawing>
              <wp:anchor distT="0" distB="0" distL="114300" distR="114300" simplePos="0" relativeHeight="251673600" behindDoc="0" locked="0" layoutInCell="1" allowOverlap="1">
                <wp:simplePos x="0" y="0"/>
                <wp:positionH relativeFrom="column">
                  <wp:posOffset>1494790</wp:posOffset>
                </wp:positionH>
                <wp:positionV relativeFrom="paragraph">
                  <wp:posOffset>320675</wp:posOffset>
                </wp:positionV>
                <wp:extent cx="3120390" cy="6985"/>
                <wp:effectExtent l="0" t="0" r="0" b="0"/>
                <wp:wrapNone/>
                <wp:docPr id="1006" name="自选图形 26"/>
                <wp:cNvGraphicFramePr/>
                <a:graphic xmlns:a="http://schemas.openxmlformats.org/drawingml/2006/main">
                  <a:graphicData uri="http://schemas.microsoft.com/office/word/2010/wordprocessingShape">
                    <wps:wsp>
                      <wps:cNvCnPr/>
                      <wps:spPr>
                        <a:xfrm>
                          <a:off x="0" y="0"/>
                          <a:ext cx="3120390" cy="6985"/>
                        </a:xfrm>
                        <a:prstGeom prst="straightConnector1">
                          <a:avLst/>
                        </a:prstGeom>
                        <a:ln w="9525" cap="flat" cmpd="sng">
                          <a:solidFill>
                            <a:srgbClr val="000000"/>
                          </a:solidFill>
                          <a:prstDash val="solid"/>
                          <a:headEnd type="none" w="med" len="med"/>
                          <a:tailEnd type="none" w="med" len="med"/>
                        </a:ln>
                        <a:effectLst/>
                      </wps:spPr>
                      <wps:bodyPr/>
                    </wps:wsp>
                  </a:graphicData>
                </a:graphic>
              </wp:anchor>
            </w:drawing>
          </mc:Choice>
          <mc:Fallback>
            <w:pict>
              <v:shape id="自选图形 26" o:spid="_x0000_s1026" o:spt="32" type="#_x0000_t32" style="position:absolute;left:0pt;margin-left:117.7pt;margin-top:25.25pt;height:0.55pt;width:245.7pt;z-index:251673600;mso-width-relative:page;mso-height-relative:page;" filled="f" stroked="t" coordsize="21600,21600" o:gfxdata="UEsDBAoAAAAAAIdO4kAAAAAAAAAAAAAAAAAEAAAAZHJzL1BLAwQUAAAACACHTuJA48kIIdgAAAAJ AQAADwAAAGRycy9kb3ducmV2LnhtbE2PwU7DMAyG70h7h8hIXBBLWmiB0nSakDjsyDaJa9aYttA4 VZOuY0+Pd4Kj7U+/v79cnVwvjjiGzpOGZKlAINXedtRo2O/e7p5AhGjImt4TavjBAKtqcVWawvqZ 3vG4jY3gEAqF0dDGOBRShrpFZ8LSD0h8+/SjM5HHsZF2NDOHu16mSuXSmY74Q2sGfG2x/t5OTgOG KUvU+tk1+815vv1Iz1/zsNP65jpRLyAinuIfDBd9VoeKnQ5+IhtEryG9zx4Y1ZCpDAQDj2nOXQ68 SHKQVSn/N6h+AVBLAwQUAAAACACHTuJAD9fvhf4BAAD4AwAADgAAAGRycy9lMm9Eb2MueG1srVPN jtMwEL4j8Q6W7zRpV622UdM9tCwXBJWAB3BtJ7HkP3m8TXvjhngGbhx5B3iblZa3YOyEsiyXHsjB mbFnvpnv83h1czSaHGQA5WxNp5OSEmm5E8q2Nf3w/vbFNSUQmRVMOytrepJAb9bPn616X8mZ65wW MhAEsVD1vqZdjL4qCuCdNAwmzkuLh40LhkV0Q1uIwHpEN7qYleWi6F0QPjguAXB3OxzSETFcAuia RnG5dfzOSBsH1CA1i0gJOuWBrnO3TSN5fNs0ICPRNUWmMa9YBO19Wov1ilVtYL5TfGyBXdLCE06G KYtFz1BbFhm5C+ofKKN4cOCaOOHOFAORrAiymJZPtHnXMS8zF5Qa/Fl0+H+w/M1hF4gSOAl4N5RY ZvDOHz59+/nx8/2XH/ffv5LZIqnUe6gweGN3YfTA70KifGyCSX8kQ45Z2dNZWXmMhOPm1XRWXi1R dI5ni+X1PEEWf3J9gPhKOkOSUVOIgam2ixtnLV6hC9MsLju8hjgk/k5IhbUlfU2X89kc8RmOZIOj gKbxSAtsm3PBaSVuldYpA0K73+hADiyNRf7Ghv4KS0W2DLohLh+lMFZ1komXVpB48qiWxXdCUwtG Ckq0xGeVrBwZmdKXRKIW2iZomYd25JlEH2RO1t6JU1a/SB4ORJZwHN40cY99tB8/2PUvUEsDBAoA AAAAAIdO4kAAAAAAAAAAAAAAAAAGAAAAX3JlbHMvUEsDBBQAAAAIAIdO4kCKFGY80QAAAJQBAAAL AAAAX3JlbHMvLnJlbHOlkMFqwzAMhu+DvYPRfXGawxijTi+j0GvpHsDYimMaW0Yy2fr28w6DZfS2 o36h7xP//vCZFrUiS6RsYNf1oDA78jEHA++X49MLKKk2e7tQRgM3FDiMjw/7My62tiOZYxHVKFkM zLWWV63FzZisdFQwt81EnGxtIwddrLvagHro+2fNvxkwbpjq5A3wyQ+gLrfSzH/YKTomoal2jpKm aYruHlUHtmWO7sg24Ru5RrMcsBrwLBoHalnXfgR9X7/7p97TRz7jutV+h4zrj1dvuhy/AFBLAwQU AAAACACHTuJAfublIPcAAADhAQAAEwAAAFtDb250ZW50X1R5cGVzXS54bWyVkUFOwzAQRfdI3MHy FiVOu0AIJemCtEtAqBxgZE8Si2RseUxob4+TthtEkVjaM/+/J7vcHMZBTBjYOqrkKi+kQNLOWOoq +b7fZQ9ScAQyMDjCSh6R5aa+vSn3R48sUpq4kn2M/lEp1j2OwLnzSGnSujBCTMfQKQ/6AzpU66K4 V9pRRIpZnDtkXTbYwucQxfaQrk8mAQeW4um0OLMqCd4PVkNMpmoi84OSnQl5Si473FvPd0lDql8J 8+Q64Jx7SU8TrEHxCiE+w5g0lAmsjPuigFP+d8lsOXLm2tZqzJvATYq94XSxutaOa9c4/d/y7ZK6 dKvlg+pvUEsBAhQAFAAAAAgAh07iQH7m5SD3AAAA4QEAABMAAAAAAAAAAQAgAAAAbwQAAFtDb250 ZW50X1R5cGVzXS54bWxQSwECFAAKAAAAAACHTuJAAAAAAAAAAAAAAAAABgAAAAAAAAAAABAAAABR AwAAX3JlbHMvUEsBAhQAFAAAAAgAh07iQIoUZjzRAAAAlAEAAAsAAAAAAAAAAQAgAAAAdQMAAF9y ZWxzLy5yZWxzUEsBAhQACgAAAAAAh07iQAAAAAAAAAAAAAAAAAQAAAAAAAAAAAAQAAAAAAAAAGRy cy9QSwECFAAUAAAACACHTuJA48kIIdgAAAAJAQAADwAAAAAAAAABACAAAAAiAAAAZHJzL2Rvd25y ZXYueG1sUEsBAhQAFAAAAAgAh07iQA/X74X+AQAA+AMAAA4AAAAAAAAAAQAgAAAAJwEAAGRycy9l Mm9Eb2MueG1sUEsFBgAAAAAGAAYAWQEAAJcFAAAAAA== ">
                <v:fill on="f" focussize="0,0"/>
                <v:stroke color="#000000" joinstyle="round"/>
                <v:imagedata o:title=""/>
                <o:lock v:ext="edit" aspectratio="f"/>
              </v:shape>
            </w:pict>
          </mc:Fallback>
        </mc:AlternateContent>
      </w:r>
      <w:r>
        <w:rPr>
          <w:rFonts w:hint="eastAsia" w:ascii="微软雅黑" w:hAnsi="微软雅黑"/>
          <w:b/>
          <w:sz w:val="24"/>
          <w:szCs w:val="24"/>
        </w:rPr>
        <w:t xml:space="preserve">报告日期：          </w:t>
      </w:r>
      <w:r>
        <w:rPr>
          <w:rFonts w:hint="eastAsia" w:ascii="微软雅黑" w:hAnsi="微软雅黑"/>
          <w:b/>
          <w:color w:val="FF0000"/>
          <w:sz w:val="24"/>
          <w:szCs w:val="24"/>
        </w:rPr>
        <w:t xml:space="preserve">      </w:t>
      </w:r>
      <w:r>
        <w:rPr>
          <w:rFonts w:hint="eastAsia" w:ascii="微软雅黑" w:hAnsi="微软雅黑"/>
          <w:bCs/>
          <w:sz w:val="24"/>
          <w:szCs w:val="24"/>
        </w:rPr>
        <w:t>{{ report_date }}</w:t>
      </w:r>
      <w:r>
        <w:rPr>
          <w:rFonts w:hint="eastAsia" w:ascii="微软雅黑" w:hAnsi="微软雅黑"/>
          <w:bCs/>
          <w:sz w:val="24"/>
          <w:szCs w:val="24"/>
          <w:lang w:val="en-US" w:eastAsia="zh-CN"/>
        </w:rPr>
        <w:t/>
      </w:r>
    </w:p>
    <w:p w14:paraId="235D47CC">
      <w:pPr>
        <w:adjustRightInd/>
        <w:snapToGrid/>
        <w:spacing w:line="220" w:lineRule="atLeast"/>
        <w:rPr>
          <w:sz w:val="20"/>
          <w:szCs w:val="20"/>
        </w:rPr>
      </w:pPr>
      <w:r>
        <w:rPr>
          <w:rFonts w:ascii="微软雅黑" w:hAnsi="微软雅黑"/>
          <w:b/>
          <w:color w:val="3D5E18"/>
          <w:sz w:val="32"/>
          <w:szCs w:val="32"/>
        </w:rPr>
        <w:br w:type="page"/>
      </w:r>
    </w:p>
    <w:p w14:paraId="60E32C51">
      <w:pPr>
        <w:tabs>
          <w:tab w:val="left" w:pos="2312"/>
        </w:tabs>
        <w:spacing w:after="0" w:line="240" w:lineRule="atLeast"/>
        <w:rPr>
          <w:sz w:val="20"/>
          <w:szCs w:val="20"/>
        </w:rPr>
      </w:pPr>
    </w:p>
    <w:p w14:paraId="2964E5C1">
      <w:pPr>
        <w:tabs>
          <w:tab w:val="left" w:pos="2312"/>
        </w:tabs>
        <w:spacing w:after="0" w:line="240" w:lineRule="atLeast"/>
        <w:rPr>
          <w:sz w:val="20"/>
          <w:szCs w:val="20"/>
        </w:rPr>
      </w:pPr>
    </w:p>
    <w:p w14:paraId="635F9D8B">
      <w:pPr>
        <w:tabs>
          <w:tab w:val="left" w:pos="2312"/>
        </w:tabs>
        <w:spacing w:after="0" w:line="240" w:lineRule="atLeast"/>
        <w:rPr>
          <w:sz w:val="20"/>
          <w:szCs w:val="20"/>
        </w:rPr>
      </w:pPr>
    </w:p>
    <w:p w14:paraId="47FD4346">
      <w:pPr>
        <w:tabs>
          <w:tab w:val="left" w:pos="2312"/>
        </w:tabs>
        <w:spacing w:after="0" w:line="240" w:lineRule="atLeast"/>
        <w:rPr>
          <w:sz w:val="20"/>
          <w:szCs w:val="20"/>
        </w:rPr>
      </w:pPr>
    </w:p>
    <w:p w14:paraId="28FE2E95">
      <w:pPr>
        <w:tabs>
          <w:tab w:val="left" w:pos="2312"/>
        </w:tabs>
        <w:spacing w:after="0" w:line="240" w:lineRule="atLeast"/>
        <w:rPr>
          <w:sz w:val="20"/>
          <w:szCs w:val="20"/>
        </w:rPr>
      </w:pPr>
    </w:p>
    <w:p w14:paraId="3E611981">
      <w:pPr>
        <w:tabs>
          <w:tab w:val="left" w:pos="2312"/>
        </w:tabs>
        <w:spacing w:after="0" w:line="240" w:lineRule="atLeast"/>
        <w:rPr>
          <w:sz w:val="20"/>
          <w:szCs w:val="20"/>
        </w:rPr>
      </w:pPr>
    </w:p>
    <w:p w14:paraId="48397FB2">
      <w:pPr>
        <w:tabs>
          <w:tab w:val="left" w:pos="2312"/>
        </w:tabs>
        <w:spacing w:after="0" w:line="240" w:lineRule="atLeast"/>
        <w:rPr>
          <w:sz w:val="20"/>
          <w:szCs w:val="20"/>
        </w:rPr>
      </w:pPr>
    </w:p>
    <w:p w14:paraId="0E9A561F">
      <w:pPr>
        <w:tabs>
          <w:tab w:val="left" w:pos="2312"/>
        </w:tabs>
        <w:spacing w:after="0" w:line="240" w:lineRule="atLeast"/>
        <w:rPr>
          <w:sz w:val="20"/>
          <w:szCs w:val="20"/>
        </w:rPr>
      </w:pPr>
    </w:p>
    <w:p w14:paraId="5E5832A1">
      <w:pPr>
        <w:tabs>
          <w:tab w:val="left" w:pos="2312"/>
        </w:tabs>
        <w:spacing w:after="0" w:line="240" w:lineRule="atLeast"/>
        <w:rPr>
          <w:sz w:val="20"/>
          <w:szCs w:val="20"/>
        </w:rPr>
      </w:pPr>
    </w:p>
    <w:p w14:paraId="2490B3BE">
      <w:pPr>
        <w:tabs>
          <w:tab w:val="left" w:pos="2312"/>
        </w:tabs>
        <w:spacing w:after="0" w:line="240" w:lineRule="atLeast"/>
        <w:rPr>
          <w:sz w:val="20"/>
          <w:szCs w:val="20"/>
        </w:rPr>
      </w:pPr>
    </w:p>
    <w:p w14:paraId="2FA4B0FB">
      <w:pPr>
        <w:tabs>
          <w:tab w:val="left" w:pos="2312"/>
        </w:tabs>
        <w:spacing w:after="0" w:line="240" w:lineRule="atLeast"/>
        <w:rPr>
          <w:sz w:val="20"/>
          <w:szCs w:val="20"/>
        </w:rPr>
      </w:pPr>
    </w:p>
    <w:p w14:paraId="7B50429B">
      <w:pPr>
        <w:tabs>
          <w:tab w:val="left" w:pos="2312"/>
        </w:tabs>
        <w:spacing w:after="0" w:line="240" w:lineRule="atLeast"/>
        <w:rPr>
          <w:sz w:val="20"/>
          <w:szCs w:val="20"/>
        </w:rPr>
      </w:pPr>
    </w:p>
    <w:p w14:paraId="2E187D9D">
      <w:pPr>
        <w:tabs>
          <w:tab w:val="left" w:pos="2312"/>
        </w:tabs>
        <w:spacing w:after="0" w:line="240" w:lineRule="atLeast"/>
        <w:rPr>
          <w:sz w:val="20"/>
          <w:szCs w:val="20"/>
        </w:rPr>
      </w:pPr>
    </w:p>
    <w:p w14:paraId="564D2484">
      <w:pPr>
        <w:tabs>
          <w:tab w:val="left" w:pos="2312"/>
        </w:tabs>
        <w:spacing w:after="0" w:line="240" w:lineRule="atLeast"/>
        <w:rPr>
          <w:sz w:val="20"/>
          <w:szCs w:val="20"/>
        </w:rPr>
      </w:pPr>
    </w:p>
    <w:p w14:paraId="37E8A29A">
      <w:pPr>
        <w:tabs>
          <w:tab w:val="left" w:pos="2312"/>
        </w:tabs>
        <w:spacing w:after="0" w:line="240" w:lineRule="atLeast"/>
        <w:rPr>
          <w:sz w:val="20"/>
          <w:szCs w:val="20"/>
        </w:rPr>
      </w:pPr>
    </w:p>
    <w:p w14:paraId="1AB54AF1">
      <w:pPr>
        <w:tabs>
          <w:tab w:val="left" w:pos="2312"/>
        </w:tabs>
        <w:spacing w:after="0" w:line="240" w:lineRule="atLeast"/>
        <w:rPr>
          <w:sz w:val="20"/>
          <w:szCs w:val="20"/>
        </w:rPr>
      </w:pPr>
    </w:p>
    <w:p w14:paraId="7A30E6DC">
      <w:pPr>
        <w:tabs>
          <w:tab w:val="left" w:pos="2312"/>
        </w:tabs>
        <w:spacing w:after="0" w:line="240" w:lineRule="atLeast"/>
        <w:rPr>
          <w:sz w:val="20"/>
          <w:szCs w:val="20"/>
        </w:rPr>
      </w:pPr>
    </w:p>
    <w:p w14:paraId="0CBDB812">
      <w:pPr>
        <w:tabs>
          <w:tab w:val="left" w:pos="2312"/>
        </w:tabs>
        <w:spacing w:after="0" w:line="240" w:lineRule="atLeast"/>
        <w:rPr>
          <w:sz w:val="20"/>
          <w:szCs w:val="20"/>
        </w:rPr>
      </w:pPr>
    </w:p>
    <w:p w14:paraId="23A97B61">
      <w:pPr>
        <w:tabs>
          <w:tab w:val="left" w:pos="2312"/>
        </w:tabs>
        <w:spacing w:after="0" w:line="240" w:lineRule="atLeast"/>
        <w:rPr>
          <w:sz w:val="20"/>
          <w:szCs w:val="20"/>
        </w:rPr>
      </w:pPr>
    </w:p>
    <w:p w14:paraId="2E4B9A79">
      <w:pPr>
        <w:tabs>
          <w:tab w:val="left" w:pos="2312"/>
        </w:tabs>
        <w:spacing w:after="0" w:line="240" w:lineRule="atLeast"/>
        <w:rPr>
          <w:sz w:val="20"/>
          <w:szCs w:val="20"/>
        </w:rPr>
      </w:pPr>
    </w:p>
    <w:p w14:paraId="57991455">
      <w:pPr>
        <w:tabs>
          <w:tab w:val="left" w:pos="2312"/>
        </w:tabs>
        <w:spacing w:after="0" w:line="240" w:lineRule="atLeast"/>
        <w:rPr>
          <w:sz w:val="20"/>
          <w:szCs w:val="20"/>
        </w:rPr>
      </w:pPr>
    </w:p>
    <w:p w14:paraId="6A0709D1">
      <w:pPr>
        <w:tabs>
          <w:tab w:val="left" w:pos="2312"/>
        </w:tabs>
        <w:spacing w:after="0" w:line="240" w:lineRule="atLeast"/>
        <w:rPr>
          <w:sz w:val="20"/>
          <w:szCs w:val="20"/>
        </w:rPr>
      </w:pPr>
    </w:p>
    <w:p w14:paraId="232F9950">
      <w:pPr>
        <w:tabs>
          <w:tab w:val="left" w:pos="2312"/>
        </w:tabs>
        <w:spacing w:after="0" w:line="240" w:lineRule="atLeast"/>
        <w:rPr>
          <w:sz w:val="20"/>
          <w:szCs w:val="20"/>
        </w:rPr>
      </w:pPr>
    </w:p>
    <w:p w14:paraId="7DF3EC2E">
      <w:pPr>
        <w:tabs>
          <w:tab w:val="left" w:pos="2312"/>
        </w:tabs>
        <w:spacing w:after="0" w:line="240" w:lineRule="atLeast"/>
        <w:rPr>
          <w:sz w:val="20"/>
          <w:szCs w:val="20"/>
        </w:rPr>
      </w:pPr>
    </w:p>
    <w:p w14:paraId="3EA5A232">
      <w:pPr>
        <w:tabs>
          <w:tab w:val="left" w:pos="2312"/>
        </w:tabs>
        <w:spacing w:after="0" w:line="240" w:lineRule="atLeast"/>
        <w:rPr>
          <w:sz w:val="20"/>
          <w:szCs w:val="20"/>
        </w:rPr>
      </w:pPr>
    </w:p>
    <w:p w14:paraId="5DA5603C">
      <w:pPr>
        <w:tabs>
          <w:tab w:val="left" w:pos="2312"/>
        </w:tabs>
        <w:spacing w:after="0" w:line="240" w:lineRule="atLeast"/>
        <w:rPr>
          <w:sz w:val="20"/>
          <w:szCs w:val="20"/>
        </w:rPr>
      </w:pPr>
    </w:p>
    <w:p w14:paraId="2861ED8B">
      <w:pPr>
        <w:tabs>
          <w:tab w:val="left" w:pos="2312"/>
        </w:tabs>
        <w:spacing w:after="0" w:line="240" w:lineRule="atLeast"/>
        <w:rPr>
          <w:sz w:val="20"/>
          <w:szCs w:val="20"/>
        </w:rPr>
      </w:pPr>
    </w:p>
    <w:p w14:paraId="6C823519">
      <w:pPr>
        <w:tabs>
          <w:tab w:val="left" w:pos="2312"/>
        </w:tabs>
        <w:spacing w:after="0" w:line="240" w:lineRule="atLeast"/>
        <w:rPr>
          <w:sz w:val="20"/>
          <w:szCs w:val="20"/>
        </w:rPr>
      </w:pPr>
    </w:p>
    <w:p w14:paraId="19C46F08">
      <w:pPr>
        <w:tabs>
          <w:tab w:val="left" w:pos="2312"/>
        </w:tabs>
        <w:spacing w:after="0" w:line="240" w:lineRule="atLeast"/>
        <w:rPr>
          <w:sz w:val="20"/>
          <w:szCs w:val="20"/>
        </w:rPr>
      </w:pPr>
    </w:p>
    <w:p w14:paraId="0B399909">
      <w:pPr>
        <w:tabs>
          <w:tab w:val="left" w:pos="2312"/>
        </w:tabs>
        <w:spacing w:after="0" w:line="240" w:lineRule="atLeast"/>
        <w:rPr>
          <w:sz w:val="20"/>
          <w:szCs w:val="20"/>
        </w:rPr>
      </w:pPr>
    </w:p>
    <w:p w14:paraId="576BCB33">
      <w:pPr>
        <w:tabs>
          <w:tab w:val="left" w:pos="2312"/>
        </w:tabs>
        <w:spacing w:after="0" w:line="240" w:lineRule="atLeast"/>
        <w:rPr>
          <w:rFonts w:ascii="微软雅黑" w:hAnsi="微软雅黑"/>
          <w:b/>
          <w:sz w:val="30"/>
          <w:szCs w:val="30"/>
        </w:rPr>
      </w:pPr>
      <w:r>
        <w:rPr>
          <w:rFonts w:hint="eastAsia" w:ascii="微软雅黑" w:hAnsi="微软雅黑"/>
          <w:b/>
          <w:sz w:val="30"/>
          <w:szCs w:val="30"/>
        </w:rPr>
        <w:t>报告导读</w:t>
      </w:r>
      <w:r>
        <w:rPr>
          <w:rFonts w:ascii="微软雅黑" w:hAnsi="微软雅黑"/>
          <w:b/>
          <w:sz w:val="30"/>
          <w:szCs w:val="30"/>
        </w:rPr>
        <w:tab/>
      </w:r>
    </w:p>
    <w:p w14:paraId="34814F28">
      <w:pPr>
        <w:tabs>
          <w:tab w:val="left" w:pos="2312"/>
        </w:tabs>
        <w:spacing w:after="0" w:line="240" w:lineRule="atLeast"/>
        <w:rPr>
          <w:rFonts w:ascii="微软雅黑" w:hAnsi="微软雅黑"/>
          <w:b/>
          <w:sz w:val="30"/>
          <w:szCs w:val="30"/>
        </w:rPr>
      </w:pPr>
    </w:p>
    <w:p w14:paraId="1B44EA2A">
      <w:pPr>
        <w:tabs>
          <w:tab w:val="left" w:pos="660"/>
          <w:tab w:val="left" w:pos="2312"/>
        </w:tabs>
        <w:spacing w:after="0" w:line="288" w:lineRule="auto"/>
        <w:ind w:left="657" w:hanging="657" w:hangingChars="313"/>
        <w:jc w:val="both"/>
        <w:rPr>
          <w:rFonts w:ascii="微软雅黑" w:hAnsi="微软雅黑"/>
          <w:sz w:val="21"/>
          <w:szCs w:val="21"/>
        </w:rPr>
      </w:pPr>
      <w:r>
        <w:rPr>
          <w:rFonts w:hint="eastAsia" w:ascii="微软雅黑" w:hAnsi="微软雅黑"/>
          <w:sz w:val="21"/>
          <w:szCs w:val="21"/>
        </w:rPr>
        <w:drawing>
          <wp:anchor distT="0" distB="0" distL="114300" distR="114300" simplePos="0" relativeHeight="251661312" behindDoc="0" locked="0" layoutInCell="1" allowOverlap="1">
            <wp:simplePos x="0" y="0"/>
            <wp:positionH relativeFrom="column">
              <wp:posOffset>0</wp:posOffset>
            </wp:positionH>
            <wp:positionV relativeFrom="paragraph">
              <wp:posOffset>0</wp:posOffset>
            </wp:positionV>
            <wp:extent cx="226060" cy="226060"/>
            <wp:effectExtent l="0" t="0" r="0" b="2540"/>
            <wp:wrapSquare wrapText="bothSides"/>
            <wp:docPr id="1007" name="图片 26" descr="脉络生物-单色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 name="图片 26" descr="脉络生物-单色LOGO"/>
                    <pic:cNvPicPr>
                      <a:picLocks noChangeAspect="1"/>
                    </pic:cNvPicPr>
                  </pic:nvPicPr>
                  <pic:blipFill>
                    <a:blip r:embed="rId20" cstate="print"/>
                    <a:stretch>
                      <a:fillRect/>
                    </a:stretch>
                  </pic:blipFill>
                  <pic:spPr>
                    <a:xfrm>
                      <a:off x="0" y="0"/>
                      <a:ext cx="226060" cy="226060"/>
                    </a:xfrm>
                    <a:prstGeom prst="rect">
                      <a:avLst/>
                    </a:prstGeom>
                  </pic:spPr>
                </pic:pic>
              </a:graphicData>
            </a:graphic>
          </wp:anchor>
        </w:drawing>
      </w:r>
      <w:r>
        <w:rPr>
          <w:rFonts w:hint="eastAsia" w:ascii="微软雅黑" w:hAnsi="微软雅黑"/>
          <w:sz w:val="21"/>
          <w:szCs w:val="21"/>
        </w:rPr>
        <w:t>报告第一部分：检测报告的基本信息。包括患者及样本信息、检测内容。</w:t>
      </w:r>
    </w:p>
    <w:p w14:paraId="55C7E305">
      <w:pPr>
        <w:tabs>
          <w:tab w:val="left" w:pos="2312"/>
        </w:tabs>
        <w:spacing w:after="0" w:line="288" w:lineRule="auto"/>
        <w:ind w:left="550" w:leftChars="250"/>
        <w:jc w:val="both"/>
        <w:rPr>
          <w:rFonts w:ascii="微软雅黑" w:hAnsi="微软雅黑"/>
          <w:sz w:val="21"/>
          <w:szCs w:val="21"/>
        </w:rPr>
      </w:pPr>
      <w:r>
        <w:rPr>
          <w:rFonts w:hint="eastAsia" w:ascii="微软雅黑" w:hAnsi="微软雅黑"/>
          <w:sz w:val="21"/>
          <w:szCs w:val="21"/>
        </w:rPr>
        <w:drawing>
          <wp:anchor distT="0" distB="0" distL="114300" distR="114300" simplePos="0" relativeHeight="251662336" behindDoc="0" locked="0" layoutInCell="1" allowOverlap="1">
            <wp:simplePos x="0" y="0"/>
            <wp:positionH relativeFrom="column">
              <wp:posOffset>0</wp:posOffset>
            </wp:positionH>
            <wp:positionV relativeFrom="paragraph">
              <wp:posOffset>0</wp:posOffset>
            </wp:positionV>
            <wp:extent cx="226060" cy="226060"/>
            <wp:effectExtent l="0" t="0" r="0" b="2540"/>
            <wp:wrapSquare wrapText="bothSides"/>
            <wp:docPr id="1008" name="图片 31" descr="脉络生物-单色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 name="图片 31" descr="脉络生物-单色LOGO"/>
                    <pic:cNvPicPr>
                      <a:picLocks noChangeAspect="1"/>
                    </pic:cNvPicPr>
                  </pic:nvPicPr>
                  <pic:blipFill>
                    <a:blip r:embed="rId20" cstate="print"/>
                    <a:stretch>
                      <a:fillRect/>
                    </a:stretch>
                  </pic:blipFill>
                  <pic:spPr>
                    <a:xfrm>
                      <a:off x="0" y="0"/>
                      <a:ext cx="226060" cy="226060"/>
                    </a:xfrm>
                    <a:prstGeom prst="rect">
                      <a:avLst/>
                    </a:prstGeom>
                  </pic:spPr>
                </pic:pic>
              </a:graphicData>
            </a:graphic>
          </wp:anchor>
        </w:drawing>
      </w:r>
      <w:r>
        <w:rPr>
          <w:rFonts w:hint="eastAsia" w:ascii="微软雅黑" w:hAnsi="微软雅黑"/>
          <w:sz w:val="21"/>
          <w:szCs w:val="21"/>
        </w:rPr>
        <w:t>报告第二部分</w:t>
      </w:r>
      <w:r>
        <w:rPr>
          <w:rFonts w:ascii="微软雅黑" w:hAnsi="微软雅黑"/>
          <w:sz w:val="21"/>
          <w:szCs w:val="21"/>
        </w:rPr>
        <w:t>：</w:t>
      </w:r>
      <w:r>
        <w:rPr>
          <w:rFonts w:hint="eastAsia" w:ascii="微软雅黑" w:hAnsi="微软雅黑"/>
          <w:sz w:val="21"/>
          <w:szCs w:val="21"/>
        </w:rPr>
        <w:t>检测结果（提供本次检测涉及的靶向治疗、免疫治疗等综合检测结果），是本报告的关键信息。</w:t>
      </w:r>
    </w:p>
    <w:p w14:paraId="5EFF7EFE">
      <w:pPr>
        <w:tabs>
          <w:tab w:val="left" w:pos="660"/>
          <w:tab w:val="left" w:pos="2312"/>
        </w:tabs>
        <w:spacing w:after="0" w:line="288" w:lineRule="auto"/>
        <w:ind w:left="550" w:leftChars="250"/>
        <w:jc w:val="both"/>
        <w:rPr>
          <w:rFonts w:ascii="微软雅黑" w:hAnsi="微软雅黑"/>
          <w:sz w:val="21"/>
          <w:szCs w:val="21"/>
        </w:rPr>
      </w:pPr>
      <w:r>
        <w:rPr>
          <w:rFonts w:hint="eastAsia" w:ascii="微软雅黑" w:hAnsi="微软雅黑"/>
          <w:sz w:val="21"/>
          <w:szCs w:val="21"/>
        </w:rPr>
        <w:drawing>
          <wp:anchor distT="0" distB="0" distL="114935" distR="114935" simplePos="0" relativeHeight="251666432" behindDoc="1" locked="0" layoutInCell="1" allowOverlap="1">
            <wp:simplePos x="0" y="0"/>
            <wp:positionH relativeFrom="column">
              <wp:posOffset>-323215</wp:posOffset>
            </wp:positionH>
            <wp:positionV relativeFrom="paragraph">
              <wp:posOffset>537845</wp:posOffset>
            </wp:positionV>
            <wp:extent cx="226060" cy="226060"/>
            <wp:effectExtent l="0" t="0" r="0" b="2540"/>
            <wp:wrapNone/>
            <wp:docPr id="1009" name="图片 35" descr="脉络生物-单色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 name="图片 35" descr="脉络生物-单色LOGO"/>
                    <pic:cNvPicPr>
                      <a:picLocks noChangeAspect="1"/>
                    </pic:cNvPicPr>
                  </pic:nvPicPr>
                  <pic:blipFill>
                    <a:blip r:embed="rId20" cstate="print"/>
                    <a:stretch>
                      <a:fillRect/>
                    </a:stretch>
                  </pic:blipFill>
                  <pic:spPr>
                    <a:xfrm>
                      <a:off x="0" y="0"/>
                      <a:ext cx="226060" cy="226060"/>
                    </a:xfrm>
                    <a:prstGeom prst="rect">
                      <a:avLst/>
                    </a:prstGeom>
                  </pic:spPr>
                </pic:pic>
              </a:graphicData>
            </a:graphic>
          </wp:anchor>
        </w:drawing>
      </w:r>
      <w:r>
        <w:rPr>
          <w:rFonts w:hint="eastAsia" w:ascii="微软雅黑" w:hAnsi="微软雅黑"/>
          <w:sz w:val="21"/>
          <w:szCs w:val="21"/>
        </w:rPr>
        <w:drawing>
          <wp:anchor distT="0" distB="0" distL="114300" distR="114300" simplePos="0" relativeHeight="251665408" behindDoc="0" locked="0" layoutInCell="1" allowOverlap="1">
            <wp:simplePos x="0" y="0"/>
            <wp:positionH relativeFrom="column">
              <wp:posOffset>0</wp:posOffset>
            </wp:positionH>
            <wp:positionV relativeFrom="paragraph">
              <wp:posOffset>0</wp:posOffset>
            </wp:positionV>
            <wp:extent cx="226060" cy="226060"/>
            <wp:effectExtent l="0" t="0" r="0" b="2540"/>
            <wp:wrapSquare wrapText="bothSides"/>
            <wp:docPr id="1010" name="图片 44" descr="脉络生物-单色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 name="图片 44" descr="脉络生物-单色LOGO"/>
                    <pic:cNvPicPr>
                      <a:picLocks noChangeAspect="1"/>
                    </pic:cNvPicPr>
                  </pic:nvPicPr>
                  <pic:blipFill>
                    <a:blip r:embed="rId20" cstate="print"/>
                    <a:stretch>
                      <a:fillRect/>
                    </a:stretch>
                  </pic:blipFill>
                  <pic:spPr>
                    <a:xfrm>
                      <a:off x="0" y="0"/>
                      <a:ext cx="226060" cy="226060"/>
                    </a:xfrm>
                    <a:prstGeom prst="rect">
                      <a:avLst/>
                    </a:prstGeom>
                  </pic:spPr>
                </pic:pic>
              </a:graphicData>
            </a:graphic>
          </wp:anchor>
        </w:drawing>
      </w:r>
      <w:r>
        <w:rPr>
          <w:rFonts w:hint="eastAsia" w:ascii="微软雅黑" w:hAnsi="微软雅黑"/>
          <w:sz w:val="21"/>
          <w:szCs w:val="21"/>
        </w:rPr>
        <w:t>报告第三部分</w:t>
      </w:r>
      <w:r>
        <w:rPr>
          <w:rFonts w:ascii="微软雅黑" w:hAnsi="微软雅黑"/>
          <w:sz w:val="21"/>
          <w:szCs w:val="21"/>
        </w:rPr>
        <w:t>：</w:t>
      </w:r>
      <w:r>
        <w:rPr>
          <w:rFonts w:hint="eastAsia" w:ascii="微软雅黑" w:hAnsi="微软雅黑"/>
          <w:sz w:val="21"/>
          <w:szCs w:val="21"/>
        </w:rPr>
        <w:t>基因变异及相应靶向/免疫药物解析，该部分对</w:t>
      </w:r>
      <w:r>
        <w:rPr>
          <w:rFonts w:ascii="微软雅黑" w:hAnsi="微软雅黑"/>
          <w:sz w:val="21"/>
          <w:szCs w:val="21"/>
        </w:rPr>
        <w:t>第</w:t>
      </w:r>
      <w:r>
        <w:rPr>
          <w:rFonts w:hint="eastAsia" w:ascii="微软雅黑" w:hAnsi="微软雅黑"/>
          <w:sz w:val="21"/>
          <w:szCs w:val="21"/>
        </w:rPr>
        <w:t>二</w:t>
      </w:r>
      <w:r>
        <w:rPr>
          <w:rFonts w:ascii="微软雅黑" w:hAnsi="微软雅黑"/>
          <w:sz w:val="21"/>
          <w:szCs w:val="21"/>
        </w:rPr>
        <w:t>部分</w:t>
      </w:r>
      <w:r>
        <w:rPr>
          <w:rFonts w:hint="eastAsia" w:ascii="微软雅黑" w:hAnsi="微软雅黑"/>
          <w:sz w:val="21"/>
          <w:szCs w:val="21"/>
        </w:rPr>
        <w:t>中的</w:t>
      </w:r>
      <w:r>
        <w:rPr>
          <w:rFonts w:ascii="微软雅黑" w:hAnsi="微软雅黑"/>
          <w:sz w:val="21"/>
          <w:szCs w:val="21"/>
        </w:rPr>
        <w:t>基因变异和</w:t>
      </w:r>
      <w:r>
        <w:rPr>
          <w:rFonts w:hint="eastAsia" w:ascii="微软雅黑" w:hAnsi="微软雅黑"/>
          <w:sz w:val="21"/>
          <w:szCs w:val="21"/>
        </w:rPr>
        <w:t>靶向/免疫药物</w:t>
      </w:r>
      <w:r>
        <w:rPr>
          <w:rFonts w:ascii="微软雅黑" w:hAnsi="微软雅黑"/>
          <w:sz w:val="21"/>
          <w:szCs w:val="21"/>
        </w:rPr>
        <w:t>提</w:t>
      </w:r>
      <w:r>
        <w:rPr>
          <w:rFonts w:hint="eastAsia" w:ascii="微软雅黑" w:hAnsi="微软雅黑"/>
          <w:sz w:val="21"/>
          <w:szCs w:val="21"/>
        </w:rPr>
        <w:t>示进行详细</w:t>
      </w:r>
      <w:r>
        <w:rPr>
          <w:rFonts w:ascii="微软雅黑" w:hAnsi="微软雅黑"/>
          <w:sz w:val="21"/>
          <w:szCs w:val="21"/>
        </w:rPr>
        <w:t>解析</w:t>
      </w:r>
      <w:r>
        <w:rPr>
          <w:rFonts w:hint="eastAsia" w:ascii="微软雅黑" w:hAnsi="微软雅黑"/>
          <w:sz w:val="21"/>
          <w:szCs w:val="21"/>
        </w:rPr>
        <w:t>，并且包含本报告的阅读说明。</w:t>
      </w:r>
    </w:p>
    <w:p w14:paraId="64E74D2B">
      <w:pPr>
        <w:tabs>
          <w:tab w:val="left" w:pos="660"/>
          <w:tab w:val="left" w:pos="2312"/>
        </w:tabs>
        <w:spacing w:after="0" w:line="288" w:lineRule="auto"/>
        <w:ind w:left="550" w:leftChars="250"/>
        <w:jc w:val="both"/>
        <w:rPr>
          <w:rFonts w:ascii="微软雅黑" w:hAnsi="微软雅黑"/>
          <w:b/>
          <w:sz w:val="21"/>
          <w:szCs w:val="21"/>
        </w:rPr>
      </w:pPr>
      <w:r>
        <w:rPr>
          <w:rFonts w:hint="eastAsia" w:ascii="微软雅黑" w:hAnsi="微软雅黑"/>
          <w:sz w:val="21"/>
          <w:szCs w:val="21"/>
        </w:rPr>
        <w:t>报告第四部分：附录。提供所检测癌症的诊疗知识、癌症相关重要信号通路、</w:t>
      </w:r>
      <w:r>
        <w:rPr>
          <w:rFonts w:ascii="微软雅黑" w:hAnsi="微软雅黑"/>
          <w:sz w:val="21"/>
          <w:szCs w:val="21"/>
        </w:rPr>
        <w:t>所</w:t>
      </w:r>
      <w:r>
        <w:rPr>
          <w:rFonts w:hint="eastAsia" w:ascii="微软雅黑" w:hAnsi="微软雅黑"/>
          <w:sz w:val="21"/>
          <w:szCs w:val="21"/>
        </w:rPr>
        <w:t>检测的</w:t>
      </w:r>
      <w:r>
        <w:rPr>
          <w:rFonts w:ascii="微软雅黑" w:hAnsi="微软雅黑"/>
          <w:sz w:val="21"/>
          <w:szCs w:val="21"/>
        </w:rPr>
        <w:t>基因列表</w:t>
      </w:r>
      <w:r>
        <w:rPr>
          <w:rFonts w:hint="eastAsia" w:ascii="微软雅黑" w:hAnsi="微软雅黑"/>
          <w:sz w:val="21"/>
          <w:szCs w:val="21"/>
        </w:rPr>
        <w:t xml:space="preserve">信息、以及本报告的参考文献。  </w:t>
      </w:r>
    </w:p>
    <w:p w14:paraId="24B0DF39">
      <w:pPr>
        <w:tabs>
          <w:tab w:val="left" w:pos="2312"/>
        </w:tabs>
        <w:spacing w:after="0" w:line="288" w:lineRule="auto"/>
        <w:ind w:left="550" w:leftChars="250"/>
        <w:jc w:val="both"/>
        <w:rPr>
          <w:rFonts w:ascii="微软雅黑" w:hAnsi="微软雅黑"/>
          <w:sz w:val="21"/>
          <w:szCs w:val="21"/>
        </w:rPr>
      </w:pPr>
      <w:r>
        <w:rPr>
          <w:rFonts w:ascii="微软雅黑" w:hAnsi="微软雅黑"/>
          <w:sz w:val="21"/>
          <w:szCs w:val="21"/>
        </w:rPr>
        <w:drawing>
          <wp:anchor distT="0" distB="0" distL="114300" distR="114300" simplePos="0" relativeHeight="251663360" behindDoc="0" locked="0" layoutInCell="1" allowOverlap="1">
            <wp:simplePos x="0" y="0"/>
            <wp:positionH relativeFrom="column">
              <wp:posOffset>0</wp:posOffset>
            </wp:positionH>
            <wp:positionV relativeFrom="paragraph">
              <wp:posOffset>0</wp:posOffset>
            </wp:positionV>
            <wp:extent cx="226060" cy="226060"/>
            <wp:effectExtent l="0" t="0" r="0" b="2540"/>
            <wp:wrapSquare wrapText="bothSides"/>
            <wp:docPr id="1011" name="图片 45" descr="脉络生物-单色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 name="图片 45" descr="脉络生物-单色LOGO"/>
                    <pic:cNvPicPr>
                      <a:picLocks noChangeAspect="1"/>
                    </pic:cNvPicPr>
                  </pic:nvPicPr>
                  <pic:blipFill>
                    <a:blip r:embed="rId20" cstate="print"/>
                    <a:stretch>
                      <a:fillRect/>
                    </a:stretch>
                  </pic:blipFill>
                  <pic:spPr>
                    <a:xfrm>
                      <a:off x="0" y="0"/>
                      <a:ext cx="226060" cy="226060"/>
                    </a:xfrm>
                    <a:prstGeom prst="rect">
                      <a:avLst/>
                    </a:prstGeom>
                  </pic:spPr>
                </pic:pic>
              </a:graphicData>
            </a:graphic>
          </wp:anchor>
        </w:drawing>
      </w:r>
      <w:r>
        <w:rPr>
          <w:rFonts w:ascii="微软雅黑" w:hAnsi="微软雅黑"/>
          <w:sz w:val="21"/>
          <w:szCs w:val="21"/>
        </w:rPr>
        <w:t>本报告信息仅供临床医生参考，而非临床诊断依据。对用药的建议需综合考虑患者其他临床信息，如家族史</w:t>
      </w:r>
      <w:r>
        <w:rPr>
          <w:rFonts w:hint="eastAsia" w:ascii="微软雅黑" w:hAnsi="微软雅黑"/>
          <w:sz w:val="21"/>
          <w:szCs w:val="21"/>
        </w:rPr>
        <w:t xml:space="preserve"> </w:t>
      </w:r>
      <w:r>
        <w:rPr>
          <w:rFonts w:ascii="微软雅黑" w:hAnsi="微软雅黑"/>
          <w:sz w:val="21"/>
          <w:szCs w:val="21"/>
        </w:rPr>
        <w:t>、肿瘤分型分期</w:t>
      </w:r>
      <w:r>
        <w:rPr>
          <w:rFonts w:hint="eastAsia" w:ascii="微软雅黑" w:hAnsi="微软雅黑"/>
          <w:sz w:val="21"/>
          <w:szCs w:val="21"/>
        </w:rPr>
        <w:t xml:space="preserve"> </w:t>
      </w:r>
      <w:r>
        <w:rPr>
          <w:rFonts w:ascii="微软雅黑" w:hAnsi="微软雅黑"/>
          <w:sz w:val="21"/>
          <w:szCs w:val="21"/>
        </w:rPr>
        <w:t>、体力状态</w:t>
      </w:r>
      <w:r>
        <w:rPr>
          <w:rFonts w:hint="eastAsia" w:ascii="微软雅黑" w:hAnsi="微软雅黑"/>
          <w:sz w:val="21"/>
          <w:szCs w:val="21"/>
        </w:rPr>
        <w:t xml:space="preserve"> </w:t>
      </w:r>
      <w:r>
        <w:rPr>
          <w:rFonts w:ascii="微软雅黑" w:hAnsi="微软雅黑"/>
          <w:sz w:val="21"/>
          <w:szCs w:val="21"/>
        </w:rPr>
        <w:t>、前期治疗方式等，具体治疗</w:t>
      </w:r>
      <w:r>
        <w:rPr>
          <w:rFonts w:hint="eastAsia" w:ascii="微软雅黑" w:hAnsi="微软雅黑"/>
          <w:sz w:val="21"/>
          <w:szCs w:val="21"/>
        </w:rPr>
        <w:t>方</w:t>
      </w:r>
      <w:r>
        <w:rPr>
          <w:rFonts w:ascii="微软雅黑" w:hAnsi="微软雅黑"/>
          <w:sz w:val="21"/>
          <w:szCs w:val="21"/>
        </w:rPr>
        <w:t>案详情请遵循医嘱。</w:t>
      </w:r>
    </w:p>
    <w:p w14:paraId="3CFA394F">
      <w:pPr>
        <w:tabs>
          <w:tab w:val="left" w:pos="2312"/>
        </w:tabs>
        <w:spacing w:after="0" w:line="288" w:lineRule="auto"/>
        <w:ind w:left="525" w:hanging="525" w:hangingChars="250"/>
        <w:jc w:val="both"/>
        <w:rPr>
          <w:rFonts w:ascii="微软雅黑" w:hAnsi="微软雅黑"/>
          <w:b/>
          <w:bCs/>
          <w:sz w:val="21"/>
          <w:szCs w:val="21"/>
        </w:rPr>
      </w:pPr>
      <w:r>
        <w:rPr>
          <w:rFonts w:hint="eastAsia" w:ascii="微软雅黑" w:hAnsi="微软雅黑"/>
          <w:b/>
          <w:bCs/>
          <w:sz w:val="21"/>
          <w:szCs w:val="21"/>
        </w:rPr>
        <w:drawing>
          <wp:anchor distT="0" distB="0" distL="114300" distR="114300" simplePos="0" relativeHeight="251664384" behindDoc="0" locked="0" layoutInCell="1" allowOverlap="1">
            <wp:simplePos x="0" y="0"/>
            <wp:positionH relativeFrom="column">
              <wp:posOffset>0</wp:posOffset>
            </wp:positionH>
            <wp:positionV relativeFrom="paragraph">
              <wp:posOffset>0</wp:posOffset>
            </wp:positionV>
            <wp:extent cx="226060" cy="226060"/>
            <wp:effectExtent l="0" t="0" r="0" b="2540"/>
            <wp:wrapSquare wrapText="bothSides"/>
            <wp:docPr id="1012" name="图片 46" descr="脉络生物-单色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 name="图片 46" descr="脉络生物-单色LOGO"/>
                    <pic:cNvPicPr>
                      <a:picLocks noChangeAspect="1"/>
                    </pic:cNvPicPr>
                  </pic:nvPicPr>
                  <pic:blipFill>
                    <a:blip r:embed="rId20" cstate="print"/>
                    <a:stretch>
                      <a:fillRect/>
                    </a:stretch>
                  </pic:blipFill>
                  <pic:spPr>
                    <a:xfrm>
                      <a:off x="0" y="0"/>
                      <a:ext cx="226060" cy="226060"/>
                    </a:xfrm>
                    <a:prstGeom prst="rect">
                      <a:avLst/>
                    </a:prstGeom>
                  </pic:spPr>
                </pic:pic>
              </a:graphicData>
            </a:graphic>
          </wp:anchor>
        </w:drawing>
      </w:r>
      <w:r>
        <w:rPr>
          <w:rFonts w:hint="eastAsia" w:ascii="微软雅黑" w:hAnsi="微软雅黑"/>
          <w:b/>
          <w:bCs/>
          <w:sz w:val="21"/>
          <w:szCs w:val="21"/>
        </w:rPr>
        <w:t>检测结果仅对本次送检样本负责，电子版报告仅供参考，以加盖红章的纸质报告为准，无章无效。如有疑问，请于报告出具后三个工作日内咨询。</w:t>
      </w:r>
    </w:p>
    <w:p w14:paraId="6B9D9A4A">
      <w:pPr>
        <w:tabs>
          <w:tab w:val="left" w:pos="2312"/>
        </w:tabs>
        <w:spacing w:after="0" w:line="288" w:lineRule="auto"/>
        <w:ind w:firstLine="420" w:firstLineChars="200"/>
        <w:jc w:val="both"/>
        <w:rPr>
          <w:rFonts w:ascii="微软雅黑" w:hAnsi="微软雅黑"/>
          <w:sz w:val="21"/>
          <w:szCs w:val="21"/>
        </w:rPr>
        <w:sectPr>
          <w:headerReference r:id="rId6" w:type="default"/>
          <w:pgSz w:w="11906" w:h="16838"/>
          <w:pgMar w:top="1440" w:right="1800" w:bottom="1440" w:left="1800" w:header="708" w:footer="708" w:gutter="0"/>
          <w:pgNumType w:start="1"/>
          <w:cols w:space="708" w:num="1"/>
          <w:docGrid w:linePitch="360" w:charSpace="0"/>
        </w:sectPr>
      </w:pPr>
      <w:r>
        <w:rPr>
          <w:rFonts w:hint="eastAsia" w:ascii="微软雅黑" w:hAnsi="微软雅黑"/>
          <w:b/>
          <w:bCs/>
          <w:sz w:val="21"/>
          <w:szCs w:val="21"/>
        </w:rPr>
        <w:t xml:space="preserve">  咨询电话：022-87190699。</w:t>
      </w:r>
    </w:p>
    <w:p w14:paraId="72A86E49">
      <w:pPr>
        <w:widowControl w:val="0"/>
        <w:adjustRightInd/>
        <w:snapToGrid/>
        <w:spacing w:after="0" w:line="312" w:lineRule="auto"/>
        <w:jc w:val="both"/>
        <w:rPr>
          <w:b/>
          <w:bCs/>
          <w:sz w:val="24"/>
          <w:szCs w:val="24"/>
        </w:rPr>
      </w:pPr>
    </w:p>
    <w:p w14:paraId="5751A270">
      <w:pPr>
        <w:tabs>
          <w:tab w:val="left" w:pos="2312"/>
        </w:tabs>
        <w:spacing w:after="0" w:line="240" w:lineRule="atLeast"/>
        <w:rPr>
          <w:sz w:val="20"/>
          <w:szCs w:val="20"/>
        </w:rPr>
      </w:pPr>
      <w:r>
        <w:rPr>
          <w:b/>
          <w:bCs/>
          <w:color w:val="00C4D8"/>
          <w:sz w:val="32"/>
          <w:szCs w:val="32"/>
        </w:rPr>
        <w:t>致您的一封信</w:t>
      </w:r>
    </w:p>
    <w:p w14:paraId="19A45F0F">
      <w:pPr>
        <w:widowControl w:val="0"/>
        <w:adjustRightInd/>
        <w:snapToGrid/>
        <w:spacing w:line="312" w:lineRule="auto"/>
        <w:ind w:firstLine="420"/>
        <w:jc w:val="both"/>
        <w:rPr>
          <w:rFonts w:ascii="微软雅黑" w:hAnsi="微软雅黑"/>
          <w:b/>
          <w:sz w:val="30"/>
          <w:szCs w:val="30"/>
        </w:rPr>
        <w:sectPr>
          <w:footerReference r:id="rId7" w:type="default"/>
          <w:pgSz w:w="11906" w:h="16838"/>
          <w:pgMar w:top="1440" w:right="1800" w:bottom="1440" w:left="1800" w:header="708" w:footer="708" w:gutter="0"/>
          <w:cols w:space="708" w:num="1"/>
          <w:docGrid w:linePitch="360" w:charSpace="0"/>
        </w:sectPr>
      </w:pPr>
      <w:r>
        <w:rPr>
          <w:sz w:val="24"/>
        </w:rPr>
        <mc:AlternateContent>
          <mc:Choice Requires="wps">
            <w:drawing>
              <wp:anchor distT="0" distB="0" distL="114300" distR="114300" simplePos="0" relativeHeight="251669504" behindDoc="1" locked="0" layoutInCell="1" allowOverlap="1">
                <wp:simplePos x="0" y="0"/>
                <wp:positionH relativeFrom="column">
                  <wp:posOffset>1474470</wp:posOffset>
                </wp:positionH>
                <wp:positionV relativeFrom="paragraph">
                  <wp:posOffset>349250</wp:posOffset>
                </wp:positionV>
                <wp:extent cx="3796665" cy="8905240"/>
                <wp:effectExtent l="0" t="0" r="0" b="0"/>
                <wp:wrapNone/>
                <wp:docPr id="1013" name="文本框 52"/>
                <wp:cNvGraphicFramePr/>
                <a:graphic xmlns:a="http://schemas.openxmlformats.org/drawingml/2006/main">
                  <a:graphicData uri="http://schemas.microsoft.com/office/word/2010/wordprocessingShape">
                    <wps:wsp>
                      <wps:cNvSpPr txBox="1"/>
                      <wps:spPr>
                        <a:xfrm>
                          <a:off x="0" y="0"/>
                          <a:ext cx="3796665" cy="8905240"/>
                        </a:xfrm>
                        <a:prstGeom prst="rect">
                          <a:avLst/>
                        </a:prstGeom>
                        <a:noFill/>
                        <a:ln w="6350">
                          <a:noFill/>
                        </a:ln>
                        <a:effectLst/>
                      </wps:spPr>
                      <wps:txbx>
                        <w:txbxContent>
                          <w:p w14:paraId="0E6CB2F4">
                            <w:pPr>
                              <w:widowControl w:val="0"/>
                              <w:adjustRightInd/>
                              <w:snapToGrid/>
                              <w:spacing w:after="0" w:line="312" w:lineRule="auto"/>
                              <w:jc w:val="both"/>
                              <w:rPr>
                                <w:b/>
                                <w:bCs/>
                                <w:sz w:val="24"/>
                                <w:szCs w:val="24"/>
                              </w:rPr>
                            </w:pPr>
                            <w:r>
                              <w:rPr>
                                <w:rFonts w:hint="eastAsia"/>
                                <w:b/>
                                <w:bCs/>
                                <w:sz w:val="24"/>
                                <w:szCs w:val="24"/>
                              </w:rPr>
                              <w:t>尊敬的</w:t>
                            </w:r>
                            <w:r>
                              <w:rPr>
                                <w:b/>
                                <w:bCs/>
                                <w:sz w:val="24"/>
                                <w:szCs w:val="24"/>
                                <w:u w:val="single"/>
                              </w:rPr>
                              <w:t xml:space="preserve">  </w:t>
                            </w:r>
                            <w:r>
                              <w:rPr>
                                <w:rFonts w:hint="eastAsia"/>
                                <w:b/>
                                <w:bCs/>
                                <w:sz w:val="24"/>
                                <w:szCs w:val="24"/>
                                <w:u w:val="single"/>
                              </w:rPr>
                              <w:t xml:space="preserve">   </w:t>
                            </w:r>
                            <w:r>
                              <w:rPr>
                                <w:rFonts w:hint="eastAsia"/>
                                <w:b/>
                                <w:bCs/>
                                <w:sz w:val="24"/>
                                <w:szCs w:val="24"/>
                                <w:u w:val="single"/>
                                <w:lang w:eastAsia="zh-CN"/>
                              </w:rPr>
                              <w:t>{{ patient_name }}</w:t>
                            </w:r>
                            <w:r>
                              <w:rPr>
                                <w:rFonts w:hint="eastAsia"/>
                                <w:b/>
                                <w:bCs/>
                                <w:sz w:val="24"/>
                                <w:szCs w:val="24"/>
                                <w:u w:val="single"/>
                              </w:rPr>
                              <w:t xml:space="preserve">     </w:t>
                            </w:r>
                            <w:r>
                              <w:rPr>
                                <w:rFonts w:hint="eastAsia"/>
                                <w:b/>
                                <w:bCs/>
                                <w:sz w:val="24"/>
                                <w:szCs w:val="24"/>
                                <w:lang w:val="en-US" w:eastAsia="zh-CN"/>
                              </w:rPr>
                              <w:t>先生</w:t>
                            </w:r>
                            <w:r>
                              <w:rPr>
                                <w:rFonts w:hint="eastAsia"/>
                                <w:b/>
                                <w:bCs/>
                                <w:sz w:val="24"/>
                                <w:szCs w:val="24"/>
                              </w:rPr>
                              <w:t>：</w:t>
                            </w:r>
                          </w:p>
                          <w:p w14:paraId="3FEB3630">
                            <w:pPr>
                              <w:widowControl w:val="0"/>
                              <w:adjustRightInd/>
                              <w:snapToGrid/>
                              <w:spacing w:after="0" w:line="300" w:lineRule="auto"/>
                              <w:ind w:firstLine="420"/>
                              <w:jc w:val="both"/>
                              <w:rPr>
                                <w:rFonts w:ascii="微软雅黑" w:hAnsi="微软雅黑" w:cs="微软雅黑"/>
                                <w:sz w:val="21"/>
                                <w:szCs w:val="21"/>
                              </w:rPr>
                            </w:pPr>
                            <w:r>
                              <w:rPr>
                                <w:rFonts w:hint="eastAsia" w:ascii="微软雅黑" w:hAnsi="微软雅黑" w:cs="微软雅黑"/>
                                <w:sz w:val="21"/>
                                <w:szCs w:val="21"/>
                              </w:rPr>
                              <w:t>您好！</w:t>
                            </w:r>
                          </w:p>
                          <w:p w14:paraId="647287A3">
                            <w:pPr>
                              <w:widowControl w:val="0"/>
                              <w:adjustRightInd/>
                              <w:snapToGrid/>
                              <w:spacing w:after="0" w:line="312" w:lineRule="auto"/>
                              <w:ind w:firstLine="420" w:firstLineChars="200"/>
                              <w:jc w:val="both"/>
                              <w:rPr>
                                <w:rFonts w:ascii="微软雅黑" w:hAnsi="微软雅黑" w:cs="微软雅黑"/>
                                <w:sz w:val="21"/>
                                <w:szCs w:val="21"/>
                              </w:rPr>
                            </w:pPr>
                            <w:r>
                              <w:rPr>
                                <w:rFonts w:hint="eastAsia" w:ascii="微软雅黑" w:hAnsi="微软雅黑" w:cs="微软雅黑"/>
                                <w:sz w:val="21"/>
                                <w:szCs w:val="21"/>
                              </w:rPr>
                              <w:t>感谢您选择本机构为您精心定</w:t>
                            </w:r>
                            <w:r>
                              <w:rPr>
                                <w:rFonts w:hint="eastAsia" w:ascii="微软雅黑" w:hAnsi="微软雅黑" w:cs="微软雅黑"/>
                                <w:sz w:val="21"/>
                                <w:szCs w:val="21"/>
                                <w:lang w:val="en-US" w:eastAsia="zh-CN"/>
                              </w:rPr>
                              <w:t>的</w:t>
                            </w:r>
                            <w:r>
                              <w:rPr>
                                <w:rFonts w:hint="eastAsia" w:ascii="微软雅黑" w:hAnsi="微软雅黑" w:cs="微软雅黑"/>
                                <w:sz w:val="21"/>
                                <w:szCs w:val="21"/>
                                <w:u w:val="single"/>
                              </w:rPr>
                              <w:t xml:space="preserve">      </w:t>
                            </w:r>
                            <w:r>
                              <w:rPr>
                                <w:rFonts w:hint="eastAsia" w:ascii="微软雅黑" w:hAnsi="微软雅黑" w:cs="微软雅黑"/>
                                <w:sz w:val="21"/>
                                <w:szCs w:val="21"/>
                                <w:u w:val="single"/>
                                <w:lang w:val="en-US" w:eastAsia="zh-CN"/>
                              </w:rPr>
                              <w:t xml:space="preserve">结直肠癌358基因+MSI      </w:t>
                            </w:r>
                            <w:r>
                              <w:rPr>
                                <w:rFonts w:hint="eastAsia" w:ascii="微软雅黑" w:hAnsi="微软雅黑" w:cs="微软雅黑"/>
                                <w:sz w:val="21"/>
                                <w:szCs w:val="21"/>
                              </w:rPr>
                              <w:t>检测项目。天津脉络医学检验很荣幸能为您提供基因检测服务。</w:t>
                            </w:r>
                          </w:p>
                          <w:p w14:paraId="4C4E2293">
                            <w:pPr>
                              <w:widowControl w:val="0"/>
                              <w:adjustRightInd/>
                              <w:snapToGrid/>
                              <w:spacing w:after="0" w:line="312" w:lineRule="auto"/>
                              <w:ind w:firstLine="420" w:firstLineChars="200"/>
                              <w:jc w:val="both"/>
                              <w:rPr>
                                <w:rFonts w:ascii="微软雅黑" w:hAnsi="微软雅黑" w:cs="微软雅黑"/>
                                <w:sz w:val="21"/>
                                <w:szCs w:val="21"/>
                              </w:rPr>
                            </w:pPr>
                            <w:r>
                              <w:rPr>
                                <w:rFonts w:hint="eastAsia" w:ascii="微软雅黑" w:hAnsi="微软雅黑" w:cs="微软雅黑"/>
                                <w:sz w:val="21"/>
                                <w:szCs w:val="21"/>
                              </w:rPr>
                              <w:t>现代医学已经证明，肿瘤是基因变异由量变到质变的累积结果，即使临床表现相似的患者，其体内基因变异情况也可能千差万别。这种基因分子水平差异将导致同种肿瘤的不同患者对于同一抗肿瘤治疗方案的反应不尽相同。近年来，随着医学技术的迅速发展和对肿瘤研究的不断深入，通过基因组、蛋白质组等组学技术可帮助临床医师及患者精确找到疾病治疗的靶点，科学地预测药物的疗效和副作用，量体裁衣地为其制定最佳的治疗方案。</w:t>
                            </w:r>
                          </w:p>
                          <w:p w14:paraId="5D8BFCD3">
                            <w:pPr>
                              <w:widowControl w:val="0"/>
                              <w:adjustRightInd/>
                              <w:snapToGrid/>
                              <w:spacing w:after="0" w:line="312" w:lineRule="auto"/>
                              <w:ind w:firstLine="420" w:firstLineChars="200"/>
                              <w:jc w:val="both"/>
                              <w:rPr>
                                <w:rFonts w:ascii="微软雅黑" w:hAnsi="微软雅黑" w:cs="微软雅黑"/>
                                <w:sz w:val="21"/>
                                <w:szCs w:val="21"/>
                              </w:rPr>
                            </w:pPr>
                            <w:r>
                              <w:rPr>
                                <w:rFonts w:hint="eastAsia" w:ascii="微软雅黑" w:hAnsi="微软雅黑" w:cs="微软雅黑"/>
                                <w:sz w:val="21"/>
                                <w:szCs w:val="21"/>
                              </w:rPr>
                              <w:t>脉络医学致力于通过检测受检者肿瘤样本的基因信息，以美国食品药品监督管理局（FDA）批准、国家药品监督管理局（NMPA）批准、临床实践指南、专家共识以及目前国际权威的研究进展为理论依据，寻找患者罹患肿瘤的可能致病原因和潜在的治疗靶点，协助您更好地了解相应药物的用药提示及治疗方案。</w:t>
                            </w:r>
                          </w:p>
                          <w:p w14:paraId="14244CD1">
                            <w:pPr>
                              <w:widowControl w:val="0"/>
                              <w:adjustRightInd/>
                              <w:snapToGrid/>
                              <w:spacing w:after="0" w:line="312" w:lineRule="auto"/>
                              <w:ind w:firstLine="420" w:firstLineChars="200"/>
                              <w:jc w:val="both"/>
                              <w:rPr>
                                <w:rFonts w:ascii="微软雅黑" w:hAnsi="微软雅黑" w:cs="微软雅黑"/>
                                <w:sz w:val="21"/>
                                <w:szCs w:val="21"/>
                              </w:rPr>
                            </w:pPr>
                            <w:r>
                              <w:rPr>
                                <w:rFonts w:hint="eastAsia" w:ascii="微软雅黑" w:hAnsi="微软雅黑" w:cs="微软雅黑"/>
                                <w:sz w:val="21"/>
                                <w:szCs w:val="21"/>
                              </w:rPr>
                              <w:t>相信您经过主治医师的精心治疗，一定能够顺利度过眼前这个暂时的难关。最后，脉络医学全体员工衷心祝愿您早日康复！</w:t>
                            </w:r>
                          </w:p>
                          <w:p w14:paraId="08A92A81">
                            <w:pPr>
                              <w:widowControl w:val="0"/>
                              <w:adjustRightInd/>
                              <w:snapToGrid/>
                              <w:spacing w:after="0" w:line="312" w:lineRule="auto"/>
                              <w:ind w:firstLine="420"/>
                              <w:jc w:val="both"/>
                              <w:rPr>
                                <w:rFonts w:ascii="微软雅黑" w:hAnsi="微软雅黑" w:cs="微软雅黑"/>
                                <w:sz w:val="21"/>
                                <w:szCs w:val="21"/>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文本框 52" o:spid="_x0000_s1026" o:spt="202" type="#_x0000_t202" style="position:absolute;left:0pt;margin-left:116.1pt;margin-top:27.5pt;height:701.2pt;width:298.95pt;z-index:-251646976;mso-width-relative:page;mso-height-relative:page;" filled="f" stroked="f" coordsize="21600,21600" o:gfxdata="UEsDBAoAAAAAAIdO4kAAAAAAAAAAAAAAAAAEAAAAZHJzL1BLAwQUAAAACACHTuJAPmTFQ9wAAAAL AQAADwAAAGRycy9kb3ducmV2LnhtbE2Py07DMBBF90j8gzVI7Kgdt4EojVOhSBUSgkVLN9058TSJ iO0Quw/4eoZVWY7m6N5zi9XFDuyEU+i9U5DMBDB0jTe9axXsPtYPGbAQtTN68A4VfGOAVXl7U+jc +LPb4GkbW0YhLuRaQRfjmHMemg6tDjM/oqPfwU9WRzqnlptJnyncDlwK8cit7h01dHrEqsPmc3u0 Cl6r9bve1NJmP0P18nZ4Hr92+1Sp+7tELIFFvMQrDH/6pA4lOdX+6ExggwI5l5JQBWlKmwjI5iIB VhO5SJ8WwMuC/99Q/gJQSwMEFAAAAAgAh07iQPkg+KlHAgAAeQQAAA4AAABkcnMvZTJvRG9jLnht bK1UzY7TMBC+I/EOlu806e9uq6arslURUsWuVBBn13GaSLbH2G6T8gDwBpy4cOe5+hyMnbZbLRz2 wMWZ8Yxn5vtmJtO7RkmyF9ZVoDPa7aSUCM0hr/Q2o58+Lt/cUuI80zmToEVGD8LRu9nrV9PaTEQP SpC5sASDaDepTUZL780kSRwvhWKuA0ZoNBZgFfOo2m2SW1ZjdCWTXpqOkhpsbixw4RzeLlojPUW0 LwkIRVFxsQC+U0L7NqoVknmE5MrKODqL1RaF4P6hKJzwRGYUkfp4YhKUN+FMZlM22VpmyoqfSmAv KeEZJsUqjUkvoRbMM7Kz1V+hVMUtOCh8h4NKWiCREUTRTZ9xsy6ZERELUu3MhXT3/8LyD/tHS6oc JyHt9inRTGHPjz++H3/+Pv76Roa9QFFt3AQ91wZ9ffMWGnQ/3zu8DMibwqrwRUwE7Ujw4UKwaDzh eNm/GY9GoyElHG2343TYG8QWJE/PjXX+nQBFgpBRix2MxLL9ynksBV3PLiGbhmUlZeyi1KTO6Kg/ TOODiwVfSB18RZyHU5gAqS09SL7ZNCecG8gPCNNCOyvO8GWFpayY84/M4nAgMlwf/4BHIQFTwkmi pAT79V/3wR97hlZKahy2jLovO2YFJfK9xm6OuwMkgvioDIY3PVTstWVzbdE7dQ84z11cVMOjGPy9 PIuFBfUZt2wesqKJaY65M+rP4r1vVwC3lIv5PDrhPBrmV3pteAjdkjvfeSiqyHugqeUGmxAUnMjY jtP2hJG/1qPX0x9j9gdQSwMECgAAAAAAh07iQAAAAAAAAAAAAAAAAAYAAABfcmVscy9QSwMEFAAA AAgAh07iQIoUZjzRAAAAlAEAAAsAAABfcmVscy8ucmVsc6WQwWrDMAyG74O9g9F9cZrDGKNOL6PQ a+kewNiKYxpbRjLZ+vbzDoNl9LajfqHvE//+8JkWtSJLpGxg1/WgMDvyMQcD75fj0wsoqTZ7u1BG AzcUOIyPD/szLra2I5ljEdUoWQzMtZZXrcXNmKx0VDC3zUScbG0jB12su9qAeuj7Z82/GTBumOrk DfDJD6Aut9LMf9gpOiahqXaOkqZpiu4eVQe2ZY7uyDbhG7lGsxywGvAsGgdqWdd+BH1fv/un3tNH PuO61X6HjOuPV2+6HL8AUEsDBBQAAAAIAIdO4kB+5uUg9wAAAOEBAAATAAAAW0NvbnRlbnRfVHlw ZXNdLnhtbJWRQU7DMBBF90jcwfIWJU67QAgl6YK0S0CoHGBkTxKLZGx5TGhvj5O2G0SRWNoz/78n u9wcxkFMGNg6quQqL6RA0s5Y6ir5vt9lD1JwBDIwOMJKHpHlpr69KfdHjyxSmriSfYz+USnWPY7A ufNIadK6MEJMx9ApD/oDOlTrorhX2lFEilmcO2RdNtjC5xDF9pCuTyYBB5bi6bQ4syoJ3g9WQ0ym aiLzg5KdCXlKLjvcW893SUOqXwnz5DrgnHtJTxOsQfEKIT7DmDSUCayM+6KAU/53yWw5cuba1mrM m8BNir3hdLG61o5r1zj93/Ltkrp0q+WD6m9QSwECFAAUAAAACACHTuJAfublIPcAAADhAQAAEwAA AAAAAAABACAAAAC8BAAAW0NvbnRlbnRfVHlwZXNdLnhtbFBLAQIUAAoAAAAAAIdO4kAAAAAAAAAA AAAAAAAGAAAAAAAAAAAAEAAAAJ4DAABfcmVscy9QSwECFAAUAAAACACHTuJAihRmPNEAAACUAQAA CwAAAAAAAAABACAAAADCAwAAX3JlbHMvLnJlbHNQSwECFAAKAAAAAACHTuJAAAAAAAAAAAAAAAAA BAAAAAAAAAAAABAAAAAAAAAAZHJzL1BLAQIUABQAAAAIAIdO4kA+ZMVD3AAAAAsBAAAPAAAAAAAA AAEAIAAAACIAAABkcnMvZG93bnJldi54bWxQSwECFAAUAAAACACHTuJA+SD4qUcCAAB5BAAADgAA AAAAAAABACAAAAArAQAAZHJzL2Uyb0RvYy54bWxQSwUGAAAAAAYABgBZAQAA5AUAAAAA ">
                <v:fill on="f" focussize="0,0"/>
                <v:stroke on="f" weight="0.5pt"/>
                <v:imagedata o:title=""/>
                <o:lock v:ext="edit" aspectratio="f"/>
                <v:textbox>
                  <w:txbxContent>
                    <w:p w14:paraId="0E6CB2F4">
                      <w:pPr>
                        <w:widowControl w:val="0"/>
                        <w:adjustRightInd/>
                        <w:snapToGrid/>
                        <w:spacing w:after="0" w:line="312" w:lineRule="auto"/>
                        <w:jc w:val="both"/>
                        <w:rPr>
                          <w:b/>
                          <w:bCs/>
                          <w:sz w:val="24"/>
                          <w:szCs w:val="24"/>
                        </w:rPr>
                      </w:pPr>
                      <w:r>
                        <w:rPr>
                          <w:rFonts w:hint="eastAsia"/>
                          <w:b/>
                          <w:bCs/>
                          <w:sz w:val="24"/>
                          <w:szCs w:val="24"/>
                        </w:rPr>
                        <w:t>尊敬的</w:t>
                      </w:r>
                      <w:r>
                        <w:rPr>
                          <w:b/>
                          <w:bCs/>
                          <w:sz w:val="24"/>
                          <w:szCs w:val="24"/>
                          <w:u w:val="single"/>
                        </w:rPr>
                        <w:t xml:space="preserve">  </w:t>
                      </w:r>
                      <w:r>
                        <w:rPr>
                          <w:rFonts w:hint="eastAsia"/>
                          <w:b/>
                          <w:bCs/>
                          <w:sz w:val="24"/>
                          <w:szCs w:val="24"/>
                          <w:u w:val="single"/>
                        </w:rPr>
                        <w:t xml:space="preserve">   </w:t>
                      </w:r>
                      <w:r>
                        <w:rPr>
                          <w:rFonts w:hint="eastAsia"/>
                          <w:b/>
                          <w:bCs/>
                          <w:sz w:val="24"/>
                          <w:szCs w:val="24"/>
                          <w:u w:val="single"/>
                          <w:lang w:eastAsia="zh-CN"/>
                        </w:rPr>
                        <w:t>{{ patient_name }}</w:t>
                      </w:r>
                      <w:r>
                        <w:rPr>
                          <w:rFonts w:hint="eastAsia"/>
                          <w:b/>
                          <w:bCs/>
                          <w:sz w:val="24"/>
                          <w:szCs w:val="24"/>
                          <w:u w:val="single"/>
                        </w:rPr>
                        <w:t xml:space="preserve">     </w:t>
                      </w:r>
                      <w:r>
                        <w:rPr>
                          <w:rFonts w:hint="eastAsia"/>
                          <w:b/>
                          <w:bCs/>
                          <w:sz w:val="24"/>
                          <w:szCs w:val="24"/>
                          <w:lang w:val="en-US" w:eastAsia="zh-CN"/>
                        </w:rPr>
                        <w:t>先生</w:t>
                      </w:r>
                      <w:r>
                        <w:rPr>
                          <w:rFonts w:hint="eastAsia"/>
                          <w:b/>
                          <w:bCs/>
                          <w:sz w:val="24"/>
                          <w:szCs w:val="24"/>
                        </w:rPr>
                        <w:t>：</w:t>
                      </w:r>
                    </w:p>
                    <w:p w14:paraId="3FEB3630">
                      <w:pPr>
                        <w:widowControl w:val="0"/>
                        <w:adjustRightInd/>
                        <w:snapToGrid/>
                        <w:spacing w:after="0" w:line="300" w:lineRule="auto"/>
                        <w:ind w:firstLine="420"/>
                        <w:jc w:val="both"/>
                        <w:rPr>
                          <w:rFonts w:ascii="微软雅黑" w:hAnsi="微软雅黑" w:cs="微软雅黑"/>
                          <w:sz w:val="21"/>
                          <w:szCs w:val="21"/>
                        </w:rPr>
                      </w:pPr>
                      <w:r>
                        <w:rPr>
                          <w:rFonts w:hint="eastAsia" w:ascii="微软雅黑" w:hAnsi="微软雅黑" w:cs="微软雅黑"/>
                          <w:sz w:val="21"/>
                          <w:szCs w:val="21"/>
                        </w:rPr>
                        <w:t>您好！</w:t>
                      </w:r>
                    </w:p>
                    <w:p w14:paraId="647287A3">
                      <w:pPr>
                        <w:widowControl w:val="0"/>
                        <w:adjustRightInd/>
                        <w:snapToGrid/>
                        <w:spacing w:after="0" w:line="312" w:lineRule="auto"/>
                        <w:ind w:firstLine="420" w:firstLineChars="200"/>
                        <w:jc w:val="both"/>
                        <w:rPr>
                          <w:rFonts w:ascii="微软雅黑" w:hAnsi="微软雅黑" w:cs="微软雅黑"/>
                          <w:sz w:val="21"/>
                          <w:szCs w:val="21"/>
                        </w:rPr>
                      </w:pPr>
                      <w:r>
                        <w:rPr>
                          <w:rFonts w:hint="eastAsia" w:ascii="微软雅黑" w:hAnsi="微软雅黑" w:cs="微软雅黑"/>
                          <w:sz w:val="21"/>
                          <w:szCs w:val="21"/>
                        </w:rPr>
                        <w:t>感谢您选择本机构为您精心定</w:t>
                      </w:r>
                      <w:r>
                        <w:rPr>
                          <w:rFonts w:hint="eastAsia" w:ascii="微软雅黑" w:hAnsi="微软雅黑" w:cs="微软雅黑"/>
                          <w:sz w:val="21"/>
                          <w:szCs w:val="21"/>
                          <w:lang w:val="en-US" w:eastAsia="zh-CN"/>
                        </w:rPr>
                        <w:t>的</w:t>
                      </w:r>
                      <w:r>
                        <w:rPr>
                          <w:rFonts w:hint="eastAsia" w:ascii="微软雅黑" w:hAnsi="微软雅黑" w:cs="微软雅黑"/>
                          <w:sz w:val="21"/>
                          <w:szCs w:val="21"/>
                          <w:u w:val="single"/>
                        </w:rPr>
                        <w:t xml:space="preserve">      </w:t>
                      </w:r>
                      <w:r>
                        <w:rPr>
                          <w:rFonts w:hint="eastAsia" w:ascii="微软雅黑" w:hAnsi="微软雅黑" w:cs="微软雅黑"/>
                          <w:sz w:val="21"/>
                          <w:szCs w:val="21"/>
                          <w:u w:val="single"/>
                          <w:lang w:val="en-US" w:eastAsia="zh-CN"/>
                        </w:rPr>
                        <w:t xml:space="preserve">结直肠癌358基因+MSI      </w:t>
                      </w:r>
                      <w:r>
                        <w:rPr>
                          <w:rFonts w:hint="eastAsia" w:ascii="微软雅黑" w:hAnsi="微软雅黑" w:cs="微软雅黑"/>
                          <w:sz w:val="21"/>
                          <w:szCs w:val="21"/>
                        </w:rPr>
                        <w:t>检测项目。天津脉络医学检验很荣幸能为您提供基因检测服务。</w:t>
                      </w:r>
                    </w:p>
                    <w:p w14:paraId="4C4E2293">
                      <w:pPr>
                        <w:widowControl w:val="0"/>
                        <w:adjustRightInd/>
                        <w:snapToGrid/>
                        <w:spacing w:after="0" w:line="312" w:lineRule="auto"/>
                        <w:ind w:firstLine="420" w:firstLineChars="200"/>
                        <w:jc w:val="both"/>
                        <w:rPr>
                          <w:rFonts w:ascii="微软雅黑" w:hAnsi="微软雅黑" w:cs="微软雅黑"/>
                          <w:sz w:val="21"/>
                          <w:szCs w:val="21"/>
                        </w:rPr>
                      </w:pPr>
                      <w:r>
                        <w:rPr>
                          <w:rFonts w:hint="eastAsia" w:ascii="微软雅黑" w:hAnsi="微软雅黑" w:cs="微软雅黑"/>
                          <w:sz w:val="21"/>
                          <w:szCs w:val="21"/>
                        </w:rPr>
                        <w:t>现代医学已经证明，肿瘤是基因变异由量变到质变的累积结果，即使临床表现相似的患者，其体内基因变异情况也可能千差万别。这种基因分子水平差异将导致同种肿瘤的不同患者对于同一抗肿瘤治疗方案的反应不尽相同。近年来，随着医学技术的迅速发展和对肿瘤研究的不断深入，通过基因组、蛋白质组等组学技术可帮助临床医师及患者精确找到疾病治疗的靶点，科学地预测药物的疗效和副作用，量体裁衣地为其制定最佳的治疗方案。</w:t>
                      </w:r>
                    </w:p>
                    <w:p w14:paraId="5D8BFCD3">
                      <w:pPr>
                        <w:widowControl w:val="0"/>
                        <w:adjustRightInd/>
                        <w:snapToGrid/>
                        <w:spacing w:after="0" w:line="312" w:lineRule="auto"/>
                        <w:ind w:firstLine="420" w:firstLineChars="200"/>
                        <w:jc w:val="both"/>
                        <w:rPr>
                          <w:rFonts w:ascii="微软雅黑" w:hAnsi="微软雅黑" w:cs="微软雅黑"/>
                          <w:sz w:val="21"/>
                          <w:szCs w:val="21"/>
                        </w:rPr>
                      </w:pPr>
                      <w:r>
                        <w:rPr>
                          <w:rFonts w:hint="eastAsia" w:ascii="微软雅黑" w:hAnsi="微软雅黑" w:cs="微软雅黑"/>
                          <w:sz w:val="21"/>
                          <w:szCs w:val="21"/>
                        </w:rPr>
                        <w:t>脉络医学致力于通过检测受检者肿瘤样本的基因信息，以美国食品药品监督管理局（FDA）批准、国家药品监督管理局（NMPA）批准、临床实践指南、专家共识以及目前国际权威的研究进展为理论依据，寻找患者罹患肿瘤的可能致病原因和潜在的治疗靶点，协助您更好地了解相应药物的用药提示及治疗方案。</w:t>
                      </w:r>
                    </w:p>
                    <w:p w14:paraId="14244CD1">
                      <w:pPr>
                        <w:widowControl w:val="0"/>
                        <w:adjustRightInd/>
                        <w:snapToGrid/>
                        <w:spacing w:after="0" w:line="312" w:lineRule="auto"/>
                        <w:ind w:firstLine="420" w:firstLineChars="200"/>
                        <w:jc w:val="both"/>
                        <w:rPr>
                          <w:rFonts w:ascii="微软雅黑" w:hAnsi="微软雅黑" w:cs="微软雅黑"/>
                          <w:sz w:val="21"/>
                          <w:szCs w:val="21"/>
                        </w:rPr>
                      </w:pPr>
                      <w:r>
                        <w:rPr>
                          <w:rFonts w:hint="eastAsia" w:ascii="微软雅黑" w:hAnsi="微软雅黑" w:cs="微软雅黑"/>
                          <w:sz w:val="21"/>
                          <w:szCs w:val="21"/>
                        </w:rPr>
                        <w:t>相信您经过主治医师的精心治疗，一定能够顺利度过眼前这个暂时的难关。最后，脉络医学全体员工衷心祝愿您早日康复！</w:t>
                      </w:r>
                    </w:p>
                    <w:p w14:paraId="08A92A81">
                      <w:pPr>
                        <w:widowControl w:val="0"/>
                        <w:adjustRightInd/>
                        <w:snapToGrid/>
                        <w:spacing w:after="0" w:line="312" w:lineRule="auto"/>
                        <w:ind w:firstLine="420"/>
                        <w:jc w:val="both"/>
                        <w:rPr>
                          <w:rFonts w:ascii="微软雅黑" w:hAnsi="微软雅黑" w:cs="微软雅黑"/>
                          <w:sz w:val="21"/>
                          <w:szCs w:val="21"/>
                        </w:rPr>
                      </w:pPr>
                    </w:p>
                  </w:txbxContent>
                </v:textbox>
              </v:shape>
            </w:pict>
          </mc:Fallback>
        </mc:AlternateContent>
      </w:r>
      <w:r>
        <w:rPr>
          <w:sz w:val="24"/>
        </w:rPr>
        <mc:AlternateContent>
          <mc:Choice Requires="wpg">
            <w:drawing>
              <wp:anchor distT="0" distB="0" distL="114300" distR="114300" simplePos="0" relativeHeight="251680768" behindDoc="0" locked="0" layoutInCell="1" allowOverlap="1">
                <wp:simplePos x="0" y="0"/>
                <wp:positionH relativeFrom="column">
                  <wp:posOffset>1222375</wp:posOffset>
                </wp:positionH>
                <wp:positionV relativeFrom="paragraph">
                  <wp:posOffset>360045</wp:posOffset>
                </wp:positionV>
                <wp:extent cx="67945" cy="7146925"/>
                <wp:effectExtent l="6350" t="6350" r="20955" b="9525"/>
                <wp:wrapNone/>
                <wp:docPr id="1014" name="组合 17"/>
                <wp:cNvGraphicFramePr/>
                <a:graphic xmlns:a="http://schemas.openxmlformats.org/drawingml/2006/main">
                  <a:graphicData uri="http://schemas.microsoft.com/office/word/2010/wordprocessingGroup">
                    <wpg:wgp>
                      <wpg:cNvGrpSpPr/>
                      <wpg:grpSpPr>
                        <a:xfrm>
                          <a:off x="0" y="0"/>
                          <a:ext cx="67945" cy="7146925"/>
                          <a:chOff x="7193" y="54165"/>
                          <a:chExt cx="120" cy="10770"/>
                        </a:xfrm>
                        <a:effectLst/>
                      </wpg:grpSpPr>
                      <wps:wsp>
                        <wps:cNvPr id="9" name="直接连接符 11"/>
                        <wps:cNvCnPr/>
                        <wps:spPr>
                          <a:xfrm>
                            <a:off x="7261" y="54291"/>
                            <a:ext cx="39" cy="10644"/>
                          </a:xfrm>
                          <a:prstGeom prst="line">
                            <a:avLst/>
                          </a:prstGeom>
                          <a:noFill/>
                          <a:ln w="19050" cap="flat" cmpd="sng" algn="ctr">
                            <a:solidFill>
                              <a:srgbClr val="00C4D8"/>
                            </a:solidFill>
                            <a:prstDash val="solid"/>
                          </a:ln>
                          <a:effectLst/>
                        </wps:spPr>
                        <wps:bodyPr/>
                      </wps:wsp>
                      <wps:wsp>
                        <wps:cNvPr id="68" name="椭圆 68"/>
                        <wps:cNvSpPr/>
                        <wps:spPr>
                          <a:xfrm>
                            <a:off x="7193" y="54165"/>
                            <a:ext cx="120" cy="120"/>
                          </a:xfrm>
                          <a:prstGeom prst="ellipse">
                            <a:avLst/>
                          </a:prstGeom>
                          <a:noFill/>
                          <a:ln w="12700" cap="flat" cmpd="sng" algn="ctr">
                            <a:solidFill>
                              <a:srgbClr val="00C4D8"/>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组合 17" o:spid="_x0000_s1026" o:spt="203" style="position:absolute;left:0pt;margin-left:96.25pt;margin-top:28.35pt;height:562.75pt;width:5.35pt;z-index:251680768;mso-width-relative:page;mso-height-relative:page;" coordorigin="7193,54165" coordsize="120,10770" o:gfxdata="UEsDBAoAAAAAAIdO4kAAAAAAAAAAAAAAAAAEAAAAZHJzL1BLAwQUAAAACACHTuJAz23QRdoAAAAL AQAADwAAAGRycy9kb3ducmV2LnhtbE2PTUvDQBRF94L/YXiCOzsfJbXGTIoUdVWEtoK4m2Zek9DM TMhMk/bf+1zp8nIP951XrC6uYyMOsQ1eg5wJYOirYFtfa/jcvz0sgcVkvDVd8KjhihFW5e1NYXIb Jr/FcZdqRiM+5kZDk1Kfcx6rBp2Js9Cjp+4YBmcSxaHmdjATjbuOKyEW3JnW04XG9LhusDrtzk7D +2Sml7l8HTen4/r6vc8+vjYStb6/k+IZWMJL+oPhV5/UoSSnQzh7G1lH+UllhGrIFo/ACFBiroAd qJFLpYCXBf//Q/kDUEsDBBQAAAAIAIdO4kCFupLuNAMAANsHAAAOAAAAZHJzL2Uyb0RvYy54bWzN VUtvEzEQviPxHyzf6e6mm2yzalJFCa2QKlqpIM6O431IXtvYTrbljBAnxB3ECTjBjRsHfk1bfgZj 7+ZBqBAPCXHZtT3j8cz3zWP/4LziaMG0KaUY4GgnxIgJKmelyAf44YPDO3sYGUvEjHAp2ABfMIMP hrdv7dcqZR1ZSD5jGoERYdJaDXBhrUqDwNCCVcTsSMUECDOpK2Jhq/NgpkkN1isedMKwF9RSz5SW lBkDp5NGiFuL+lcMyiwrKZtIOq+YsI1VzTixEJIpSmXw0HubZYzakywzzCI+wBCp9V94BNZT9w2G +yTNNVFFSVsXyK+4sBVTRUoBj65MTYglaK7LH0xVJdXSyMzuUFkFTSAeEYgiCrewOdJyrnwseVrn agU6ELWF+h+bpfcXpxqVM8iEMIoxEqQCzq8/P718+RxFicOnVnkKakdanalT3R7kzc6FfJ7pyv0h GHTukb1YIcvOLaJw2Ev6cRcjCpIkinv9TrdBnhZAj7uVRP1djEDcjaPeSni3vR51gC93OQqTxJMW rN9lnuZjY8G1wDm78q1WkKJmjZv5O9zOCqKYp8M4QFrc+ivQXn26evHu65c38L3+8B5FUYOeVx6L FjqTGkDxBtySTi9qEej0/VWSLuHbhUea8Htx7KxuhK+0sUdMVsgtBpiXwvlIUrJoISHpUsUdC3lY cg4mSMoFqgHSfth16BKo5QxqCJaVgnwwIseI8ByaBLXamzSSlzN33d02Op+OuUYL4korHMeTvdaz 79Tc2xNiikbPi1o1LpyZLfaW8DjqpnJ24VEDVj2RLhf/AaM96IBNHVy9/Xj5+hmCA5/2nslVESxd XWdiWwE35fKSyXUmQ0r/lEjGOXSy3+Syk4T/M5dIy6YDG0UPS8iMY2LsKdHQcsFtGEr2BD4Zl5CX sl1hVEj95KZzpw8VDVKMamjhkLOP50QzjPg9AbXej+IYzFq/ibuJayJ6UzLdlIh5NZaQylCE4J1f On3Ll8tMy+oRzK6RexVERFB4u6mOdjO2zWiB6UfZaOTVoM8rYo/FmaLOeFODo7mVWdl2rGWm+/bV JrpvZNDzfam388kNlc2911/P5OE3UEsDBAoAAAAAAIdO4kAAAAAAAAAAAAAAAAAGAAAAX3JlbHMv UEsDBBQAAAAIAIdO4kCKFGY80QAAAJQBAAALAAAAX3JlbHMvLnJlbHOlkMFqwzAMhu+DvYPRfXGa wxijTi+j0GvpHsDYimMaW0Yy2fr28w6DZfS2o36h7xP//vCZFrUiS6RsYNf1oDA78jEHA++X49ML KKk2e7tQRgM3FDiMjw/7My62tiOZYxHVKFkMzLWWV63FzZisdFQwt81EnGxtIwddrLvagHro+2fN vxkwbpjq5A3wyQ+gLrfSzH/YKTomoal2jpKmaYruHlUHtmWO7sg24Ru5RrMcsBrwLBoHalnXfgR9 X7/7p97TRz7jutV+h4zrj1dvuhy/AFBLAwQUAAAACACHTuJAfublIPcAAADhAQAAEwAAAFtDb250 ZW50X1R5cGVzXS54bWyVkUFOwzAQRfdI3MHyFiVOu0AIJemCtEtAqBxgZE8Si2RseUxob4+TthtE kVjaM/+/J7vcHMZBTBjYOqrkKi+kQNLOWOoq+b7fZQ9ScAQyMDjCSh6R5aa+vSn3R48sUpq4kn2M /lEp1j2OwLnzSGnSujBCTMfQKQ/6AzpU66K4V9pRRIpZnDtkXTbYwucQxfaQrk8mAQeW4um0OLMq Cd4PVkNMpmoi84OSnQl5Si473FvPd0lDql8J8+Q64Jx7SU8TrEHxCiE+w5g0lAmsjPuigFP+d8ls OXLm2tZqzJvATYq94XSxutaOa9c4/d/y7ZK6dKvlg+pvUEsBAhQAFAAAAAgAh07iQH7m5SD3AAAA 4QEAABMAAAAAAAAAAQAgAAAApwUAAFtDb250ZW50X1R5cGVzXS54bWxQSwECFAAKAAAAAACHTuJA AAAAAAAAAAAAAAAABgAAAAAAAAAAABAAAACJBAAAX3JlbHMvUEsBAhQAFAAAAAgAh07iQIoUZjzR AAAAlAEAAAsAAAAAAAAAAQAgAAAArQQAAF9yZWxzLy5yZWxzUEsBAhQACgAAAAAAh07iQAAAAAAA AAAAAAAAAAQAAAAAAAAAAAAQAAAAAAAAAGRycy9QSwECFAAUAAAACACHTuJAz23QRdoAAAALAQAA DwAAAAAAAAABACAAAAAiAAAAZHJzL2Rvd25yZXYueG1sUEsBAhQAFAAAAAgAh07iQIW6ku40AwAA 2wcAAA4AAAAAAAAAAQAgAAAAKQEAAGRycy9lMm9Eb2MueG1sUEsFBgAAAAAGAAYAWQEAAM8GAAAA AA== ">
                <o:lock v:ext="edit" aspectratio="f"/>
                <v:line id="直接连接符 11" o:spid="_x0000_s1026" o:spt="20" style="position:absolute;left:7261;top:54291;height:10644;width:39;" filled="f" stroked="t" coordsize="21600,21600" o:gfxdata="UEsDBAoAAAAAAIdO4kAAAAAAAAAAAAAAAAAEAAAAZHJzL1BLAwQUAAAACACHTuJAC2wEx7oAAADa AAAADwAAAGRycy9kb3ducmV2LnhtbEWPwW7CMBBE75X4B2uReisOHEgJGA4UUHts4ANW9pIE4nVk u0n693UlJI6jmXmj2exG24qefGgcK5jPMhDE2pmGKwWX8/HtHUSIyAZbx6TglwLstpOXDRbGDfxN fRkrkSAcClRQx9gVUgZdk8Uwcx1x8q7OW4xJ+koaj0OC21YusmwpLTacFmrsaF+Tvpc/VsHJHzi3 9y95vOFBXxa57sqPoNTrdJ6tQUQa4zP8aH8aBSv4v5JugNz+AVBLAwQUAAAACACHTuJAMy8FnjsA AAA5AAAAEAAAAGRycy9zaGFwZXhtbC54bWyzsa/IzVEoSy0qzszPs1Uy1DNQUkjNS85PycxLt1UK DXHTtVBSKC5JzEtJzMnPS7VVqkwtVrK34+UCAFBLAwQKAAAAAACHTuJAAAAAAAAAAAAAAAAABgAA AF9yZWxzL1BLAwQUAAAACACHTuJA1VwmKMwAAACPAQAACwAAAF9yZWxzLy5yZWxzpZCxagMxDIb3 QN/BaO/5kqGUEF+2QtaQQldh6+5MzpaxzDV5+7iUQi9ky6BBv9D3Ce32lzCpmbJ4jgbWTQuKomXn 42Dg8/Tx+g5KCkaHE0cycCWBffey2h1pwlKXZPRJVKVEMTCWkrZaix0poDScKNZJzzlgqW0edEJ7 xoH0pm3fdP7PgG7BVAdnIB/cBtTpmqr5jh28zSzcl8Zy0Nz33j6iahkx0VeYKgbzQMWAy/Kb1tOa WqAfm9dPmh1/xyPNS/FPmGn+8+rFG7sbUEsDBBQAAAAIAIdO4kBa4xFm9wAAAOIBAAATAAAAW0Nv bnRlbnRfVHlwZXNdLnhtbJWRTU/EIBCG7yb+BzJX01I9GGNK92D1qEbXHzCBaUu2BcJg3f330v24 GNfEI8y8z/sE6tV2GsVMka13Cq7LCgQ57Y11vYKP9VNxB4ITOoOjd6RgRwyr5vKiXu8CschpxwqG lMK9lKwHmpBLH8jlSefjhCkfYy8D6g32JG+q6lZq7xK5VKSFAU3dUoefYxKP23x9MIk0MoiHw+LS pQBDGK3GlE3l7MyPluLYUObkfocHG/gqa4D8tWGZnC845l7y00RrSLxiTM84ZQ1pIkvjv1ykufwb slhOXPius5rKNnKbY280n6zO0XnAQBn9X/z7kjvB5f6Hmm9QSwECFAAUAAAACACHTuJAWuMRZvcA AADiAQAAEwAAAAAAAAABACAAAACLAgAAW0NvbnRlbnRfVHlwZXNdLnhtbFBLAQIUAAoAAAAAAIdO 4kAAAAAAAAAAAAAAAAAGAAAAAAAAAAAAEAAAAHIBAABfcmVscy9QSwECFAAUAAAACACHTuJA1Vwm KMwAAACPAQAACwAAAAAAAAABACAAAACWAQAAX3JlbHMvLnJlbHNQSwECFAAKAAAAAACHTuJAAAAA AAAAAAAAAAAABAAAAAAAAAAAABAAAAAAAAAAZHJzL1BLAQIUABQAAAAIAIdO4kALbATHugAAANoA AAAPAAAAAAAAAAEAIAAAACIAAABkcnMvZG93bnJldi54bWxQSwECFAAUAAAACACHTuJAMy8FnjsA AAA5AAAAEAAAAAAAAAABACAAAAAJAQAAZHJzL3NoYXBleG1sLnhtbFBLBQYAAAAABgAGAFsBAACz AwAAAAA= ">
                  <v:fill on="f" focussize="0,0"/>
                  <v:stroke weight="1.5pt" color="#00C4D8" joinstyle="round"/>
                  <v:imagedata o:title=""/>
                  <o:lock v:ext="edit" aspectratio="f"/>
                </v:line>
                <v:shape id="_x0000_s1026" o:spid="_x0000_s1026" o:spt="3" type="#_x0000_t3" style="position:absolute;left:7193;top:54165;height:120;width:120;v-text-anchor:middle;" filled="f" stroked="t" coordsize="21600,21600" o:gfxdata="UEsDBAoAAAAAAIdO4kAAAAAAAAAAAAAAAAAEAAAAZHJzL1BLAwQUAAAACACHTuJABV9WGrYAAADb AAAADwAAAGRycy9kb3ducmV2LnhtbEVPuwrCMBTdBf8hXMFNUxVEqtFBEEUE0bq4XZtrU2xuSpP6 +HszCI6H816s3rYST2p86VjBaJiAIM6dLrlQcMk2gxkIH5A1Vo5JwYc8rJbdzgJT7V58ouc5FCKG sE9RgQmhTqX0uSGLfuhq4sjdXWMxRNgUUjf4iuG2kuMkmUqLJccGgzWtDeWPc2sV6P1V3rLNDE1b Hg9ZfdtO9h9Wqt8bJXMQgd7hL/65d1rBNI6NX+IPkMsvUEsDBBQAAAAIAIdO4kAzLwWeOwAAADkA AAAQAAAAZHJzL3NoYXBleG1sLnhtbLOxr8jNUShLLSrOzM+zVTLUM1BSSM1Lzk/JzEu3VQoNcdO1 UFIoLknMS0nMyc9LtVWqTC1Wsrfj5QIAUEsDBAoAAAAAAIdO4kAAAAAAAAAAAAAAAAAGAAAAX3Jl bHMvUEsDBBQAAAAIAIdO4kDVXCYozAAAAI8BAAALAAAAX3JlbHMvLnJlbHOlkLFqAzEMhvdA38Fo 7/mSoZQQX7ZC1pBCV2Hr7kzOlrHMNXn7uJRCL2TLoEG/0PcJ7faXMKmZsniOBtZNC4qiZefjYODz 9PH6DkoKRocTRzJwJYF997LaHWnCUpdk9ElUpUQxMJaStlqLHSmgNJwo1knPOWCpbR50QnvGgfSm bd90/s+AbsFUB2cgH9wG1OmaqvmOHbzNLNyXxnLQ3PfePqJqGTHRV5gqBvNAxYDL8pvW05paoB+b 10+aHX/HI81L8U+Yaf7z6sUbuxtQSwMEFAAAAAgAh07iQFrjEWb3AAAA4gEAABMAAABbQ29udGVu dF9UeXBlc10ueG1slZFNT8QgEIbvJv4HMlfTUj0YY0r3YPWoRtcfMIFpS7YFwmDd/ffS/bgY18Qj zLzP+wTq1XYaxUyRrXcKrssKBDntjXW9go/1U3EHghM6g6N3pGBHDKvm8qJe7wKxyGnHCoaUwr2U rAeakEsfyOVJ5+OEKR9jLwPqDfYkb6rqVmrvErlUpIUBTd1Sh59jEo/bfH0wiTQyiIfD4tKlAEMY rcaUTeXszI+W4thQ5uR+hwcb+CprgPy1YZmcLzjmXvLTRGtIvGJMzzhlDWkiS+O/XKS5/BuyWE5c +K6zmso2cptjbzSfrM7RecBAGf1f/PuSO8Hl/oeab1BLAQIUABQAAAAIAIdO4kBa4xFm9wAAAOIB AAATAAAAAAAAAAEAIAAAAIcCAABbQ29udGVudF9UeXBlc10ueG1sUEsBAhQACgAAAAAAh07iQAAA AAAAAAAAAAAAAAYAAAAAAAAAAAAQAAAAbgEAAF9yZWxzL1BLAQIUABQAAAAIAIdO4kDVXCYozAAA AI8BAAALAAAAAAAAAAEAIAAAAJIBAABfcmVscy8ucmVsc1BLAQIUAAoAAAAAAIdO4kAAAAAAAAAA AAAAAAAEAAAAAAAAAAAAEAAAAAAAAABkcnMvUEsBAhQAFAAAAAgAh07iQAVfVhq2AAAA2wAAAA8A AAAAAAAAAQAgAAAAIgAAAGRycy9kb3ducmV2LnhtbFBLAQIUABQAAAAIAIdO4kAzLwWeOwAAADkA AAAQAAAAAAAAAAEAIAAAAAUBAABkcnMvc2hhcGV4bWwueG1sUEsFBgAAAAAGAAYAWwEAAK8DAAAA AA== ">
                  <v:fill on="f" focussize="0,0"/>
                  <v:stroke weight="1pt" color="#00C4D8" joinstyle="round"/>
                  <v:imagedata o:title=""/>
                  <o:lock v:ext="edit" aspectratio="f"/>
                </v:shape>
              </v:group>
            </w:pict>
          </mc:Fallback>
        </mc:AlternateContent>
      </w:r>
      <w:r>
        <w:rPr>
          <w:rFonts w:hint="eastAsia" w:ascii="微软雅黑" w:hAnsi="微软雅黑"/>
          <w:b/>
          <w:sz w:val="30"/>
          <w:szCs w:val="30"/>
        </w:rPr>
        <w:br w:type="page"/>
      </w:r>
    </w:p>
    <w:p w14:paraId="1E07B7BE">
      <w:pPr>
        <w:spacing w:before="240" w:beforeLines="100" w:after="0"/>
        <w:jc w:val="both"/>
        <w:rPr>
          <w:b/>
          <w:bCs/>
          <w:color w:val="00C4D8"/>
          <w:sz w:val="44"/>
          <w:szCs w:val="44"/>
        </w:rPr>
      </w:pPr>
      <w:bookmarkStart w:id="0" w:name="_Toc31222"/>
      <w:bookmarkStart w:id="1" w:name="_Toc6876"/>
      <w:bookmarkStart w:id="2" w:name="_Toc6603"/>
      <w:bookmarkStart w:id="3" w:name="_Toc6705"/>
      <w:bookmarkStart w:id="4" w:name="_Toc30904"/>
      <w:bookmarkStart w:id="5" w:name="_Toc18130"/>
      <w:bookmarkStart w:id="6" w:name="_Toc3608"/>
      <w:bookmarkStart w:id="7" w:name="_Toc12809"/>
      <w:bookmarkStart w:id="8" w:name="_Toc27006"/>
      <w:bookmarkStart w:id="9" w:name="_Toc26024"/>
      <w:bookmarkStart w:id="10" w:name="_Toc14260"/>
      <w:bookmarkStart w:id="11" w:name="_Toc3134"/>
      <w:bookmarkStart w:id="12" w:name="_Toc4599"/>
      <w:bookmarkStart w:id="13" w:name="_Toc17764"/>
      <w:bookmarkStart w:id="14" w:name="OLE_LINK2"/>
      <w:bookmarkStart w:id="15" w:name="OLE_LINK1"/>
      <w:r>
        <w:rPr>
          <w:sz w:val="24"/>
        </w:rPr>
        <mc:AlternateContent>
          <mc:Choice Requires="wps">
            <w:drawing>
              <wp:anchor distT="0" distB="0" distL="114300" distR="114300" simplePos="0" relativeHeight="251674624" behindDoc="0" locked="0" layoutInCell="1" allowOverlap="1">
                <wp:simplePos x="0" y="0"/>
                <wp:positionH relativeFrom="column">
                  <wp:posOffset>862965</wp:posOffset>
                </wp:positionH>
                <wp:positionV relativeFrom="paragraph">
                  <wp:posOffset>1119505</wp:posOffset>
                </wp:positionV>
                <wp:extent cx="22860" cy="7139940"/>
                <wp:effectExtent l="9525" t="0" r="24765" b="3810"/>
                <wp:wrapNone/>
                <wp:docPr id="1015" name="直接连接符 11"/>
                <wp:cNvGraphicFramePr/>
                <a:graphic xmlns:a="http://schemas.openxmlformats.org/drawingml/2006/main">
                  <a:graphicData uri="http://schemas.microsoft.com/office/word/2010/wordprocessingShape">
                    <wps:wsp>
                      <wps:cNvCnPr/>
                      <wps:spPr>
                        <a:xfrm>
                          <a:off x="0" y="0"/>
                          <a:ext cx="22860" cy="7139940"/>
                        </a:xfrm>
                        <a:prstGeom prst="line">
                          <a:avLst/>
                        </a:prstGeom>
                        <a:noFill/>
                        <a:ln w="19050" cap="flat" cmpd="sng" algn="ctr">
                          <a:solidFill>
                            <a:srgbClr val="00C4D8"/>
                          </a:solidFill>
                          <a:prstDash val="solid"/>
                        </a:ln>
                        <a:effectLst/>
                      </wps:spPr>
                      <wps:bodyPr/>
                    </wps:wsp>
                  </a:graphicData>
                </a:graphic>
              </wp:anchor>
            </w:drawing>
          </mc:Choice>
          <mc:Fallback>
            <w:pict>
              <v:line id="直接连接符 11" o:spid="_x0000_s1026" o:spt="20" style="position:absolute;left:0pt;margin-left:67.95pt;margin-top:88.15pt;height:562.2pt;width:1.8pt;z-index:251674624;mso-width-relative:page;mso-height-relative:page;" filled="f" stroked="t" coordsize="21600,21600" o:gfxdata="UEsDBAoAAAAAAIdO4kAAAAAAAAAAAAAAAAAEAAAAZHJzL1BLAwQUAAAACACHTuJAzW/estYAAAAM AQAADwAAAGRycy9kb3ducmV2LnhtbE2PzU7DMBCE70i8g7VI3KjdRm1oiNMDtEgcSfsArr0kofE6 it0f3p7NCW4z2k+zM+Xm5ntxwTF2gTTMZwoEkg2uo0bDYb97egYRkyFn+kCo4QcjbKr7u9IULlzp Ey91agSHUCyMhjaloZAy2ha9ibMwIPHtK4zeJLZjI91orhzue7lQaiW96Yg/tGbA1xbtqT57De/j lnJ/+pC7b7O1h0Vuh/otav34MFcvIBLe0h8MU32uDhV3OoYzuSh69tlyzSiLfJWBmIhsvQRxnIRS OciqlP9HVL9QSwMEFAAAAAgAh07iQPfxYK3nAQAAsQMAAA4AAABkcnMvZTJvRG9jLnhtbK1TzY7T MBC+I/EOlu80Sdld2qjpHhotFwSVgAdwHTux5D95vE37ErwAEjc4ceTO27A8BmM3lGW57IGLM2OP v5nv85fV9cFoshcBlLMNrWYlJcJy1ynbN/T9u5tnC0ogMtsx7axo6FEAvV4/fbIafS3mbnC6E4Eg iIV69A0dYvR1UQAfhGEwc15YPJQuGBYxDX3RBTYiutHFvCyvitGFzgfHBQDutqdDOiGGxwA6KRUX reO3Rth4Qg1Cs4iUYFAe6DpPK6Xg8Y2UICLRDUWmMa/YBONdWov1itV9YH5QfBqBPWaEB5wMUxab nqFaFhm5DeofKKN4cOBknHFnihORrAiyqMoH2rwdmBeZC0oN/iw6/D9Y/nq/DUR16ISyuqTEMoNv fvfx248Pn39+/4Tr3dcvpKqSUKOHGus3dhumDPw2JNYHGUz6Ih9yyOIez+KKQyQcN+fzxRWqzvHk RfV8ubzI4hd/LvsA8aVwhqSgoVrZxJ3VbP8KIjbE0t8ladu6G6V1fj9tyYgEluVlasDQlBLNgKHx SAxsTwnTPbqdx5AhwWnVpesJCEK/2+hA9ix5pNxctIvEFtv9VZZ6twyGU10+msq0TTAiu20aNUl1 EidFO9cds2ZFyvAlM/rkumSV+znG9/+09S9QSwMECgAAAAAAh07iQAAAAAAAAAAAAAAAAAYAAABf cmVscy9QSwMEFAAAAAgAh07iQIoUZjzRAAAAlAEAAAsAAABfcmVscy8ucmVsc6WQwWrDMAyG74O9 g9F9cZrDGKNOL6PQa+kewNiKYxpbRjLZ+vbzDoNl9LajfqHvE//+8JkWtSJLpGxg1/WgMDvyMQcD 75fj0wsoqTZ7u1BGAzcUOIyPD/szLra2I5ljEdUoWQzMtZZXrcXNmKx0VDC3zUScbG0jB12su9qA euj7Z82/GTBumOrkDfDJD6Aut9LMf9gpOiahqXaOkqZpiu4eVQe2ZY7uyDbhG7lGsxywGvAsGgdq Wdd+BH1fv/un3tNHPuO61X6HjOuPV2+6HL8AUEsDBBQAAAAIAIdO4kB+5uUg9wAAAOEBAAATAAAA W0NvbnRlbnRfVHlwZXNdLnhtbJWRQU7DMBBF90jcwfIWJU67QAgl6YK0S0CoHGBkTxKLZGx5TGhv j5O2G0SRWNoz/78nu9wcxkFMGNg6quQqL6RA0s5Y6ir5vt9lD1JwBDIwOMJKHpHlpr69KfdHjyxS mriSfYz+USnWPY7AufNIadK6MEJMx9ApD/oDOlTrorhX2lFEilmcO2RdNtjC5xDF9pCuTyYBB5bi 6bQ4syoJ3g9WQ0ymaiLzg5KdCXlKLjvcW893SUOqXwnz5DrgnHtJTxOsQfEKIT7DmDSUCayM+6KA U/53yWw5cuba1mrMm8BNir3hdLG61o5r1zj93/Ltkrp0q+WD6m9QSwECFAAUAAAACACHTuJAfubl IPcAAADhAQAAEwAAAAAAAAABACAAAABWBAAAW0NvbnRlbnRfVHlwZXNdLnhtbFBLAQIUAAoAAAAA AIdO4kAAAAAAAAAAAAAAAAAGAAAAAAAAAAAAEAAAADgDAABfcmVscy9QSwECFAAUAAAACACHTuJA ihRmPNEAAACUAQAACwAAAAAAAAABACAAAABcAwAAX3JlbHMvLnJlbHNQSwECFAAKAAAAAACHTuJA AAAAAAAAAAAAAAAABAAAAAAAAAAAABAAAAAAAAAAZHJzL1BLAQIUABQAAAAIAIdO4kDNb96y1gAA AAwBAAAPAAAAAAAAAAEAIAAAACIAAABkcnMvZG93bnJldi54bWxQSwECFAAUAAAACACHTuJA9/Fg recBAACxAwAADgAAAAAAAAABACAAAAAlAQAAZHJzL2Uyb0RvYy54bWxQSwUGAAAAAAYABgBZAQAA fgUAAAAA ">
                <v:fill on="f" focussize="0,0"/>
                <v:stroke weight="1.5pt" color="#00C4D8" joinstyle="round"/>
                <v:imagedata o:title=""/>
                <o:lock v:ext="edit" aspectratio="f"/>
              </v:line>
            </w:pict>
          </mc:Fallback>
        </mc:AlternateContent>
      </w:r>
      <w:r>
        <w:rPr>
          <w:sz w:val="24"/>
        </w:rPr>
        <mc:AlternateContent>
          <mc:Choice Requires="wps">
            <w:drawing>
              <wp:anchor distT="0" distB="0" distL="114300" distR="114300" simplePos="0" relativeHeight="251679744" behindDoc="0" locked="0" layoutInCell="1" allowOverlap="1">
                <wp:simplePos x="0" y="0"/>
                <wp:positionH relativeFrom="column">
                  <wp:posOffset>828675</wp:posOffset>
                </wp:positionH>
                <wp:positionV relativeFrom="paragraph">
                  <wp:posOffset>1043305</wp:posOffset>
                </wp:positionV>
                <wp:extent cx="76200" cy="76200"/>
                <wp:effectExtent l="6350" t="6350" r="12700" b="12700"/>
                <wp:wrapNone/>
                <wp:docPr id="1016" name="椭圆 68"/>
                <wp:cNvGraphicFramePr/>
                <a:graphic xmlns:a="http://schemas.openxmlformats.org/drawingml/2006/main">
                  <a:graphicData uri="http://schemas.microsoft.com/office/word/2010/wordprocessingShape">
                    <wps:wsp>
                      <wps:cNvSpPr/>
                      <wps:spPr>
                        <a:xfrm>
                          <a:off x="0" y="0"/>
                          <a:ext cx="76200" cy="76200"/>
                        </a:xfrm>
                        <a:prstGeom prst="ellipse">
                          <a:avLst/>
                        </a:prstGeom>
                        <a:noFill/>
                        <a:ln w="12700" cap="flat" cmpd="sng" algn="ctr">
                          <a:solidFill>
                            <a:srgbClr val="00C4D8"/>
                          </a:solidFill>
                          <a:prstDash val="solid"/>
                        </a:ln>
                        <a:effectLst/>
                      </wps:spPr>
                      <wps:txbx>
                        <w:txbxContent>
                          <w:p w14:paraId="0565EC9C">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椭圆 68" o:spid="_x0000_s1026" o:spt="3" type="#_x0000_t3" style="position:absolute;left:0pt;margin-left:65.25pt;margin-top:82.15pt;height:6pt;width:6pt;z-index:251679744;v-text-anchor:middle;mso-width-relative:page;mso-height-relative:page;" filled="f" stroked="t" coordsize="21600,21600" o:gfxdata="UEsDBAoAAAAAAIdO4kAAAAAAAAAAAAAAAAAEAAAAZHJzL1BLAwQUAAAACACHTuJAGEwRutgAAAAL AQAADwAAAGRycy9kb3ducmV2LnhtbE2PzU7DMBCE70i8g7VI3KjdpoQqxOkBqUKqkBANF26b2MQR 8TqKnf68PdsT3GZ2R7PfltuzH8TRTrEPpGG5UCAstcH01Gn4rHcPGxAxIRkcAlkNFxthW93elFiY cKIPezykTnAJxQI1uJTGQsrYOusxLsJoiXffYfKY2E6dNBOeuNwPcqVULj32xBccjvbF2fbnMHsN Zv8lm3q3QTf372/12Lxm+wtpfX+3VM8gkj2nvzBc8RkdKmZqwkwmioF9ph45yiJfZyCuifWKJw2L pzwDWZXy/w/VL1BLAwQUAAAACACHTuJApVyj32kCAADRBAAADgAAAGRycy9lMm9Eb2MueG1srVTN bhMxEL4j8Q6W73STKKRl1aSKEhUhVbRSQZwdr5215D9sJ5vyADwFR648FjwHn73btBQOPXDZzHjG 38x8/ibnFwejyV6EqJyd0/HJiBJhuWuU3c7pxw+Xr84oiYnZhmlnxZzeiUgvFi9fnHe+FhPXOt2I QABiY935OW1T8nVVRd4Kw+KJ88IiKF0wLMEN26oJrAO60dVkNJpVnQuND46LGHG67oN0QAzPAXRS Ki7Wju+MsKlHDUKzhJFiq3yki9KtlIKnaymjSETPKSZN5YsisDf5Wy3OWb0NzLeKDy2w57TwZCbD lEXRI9SaJUZ2Qf0FZRQPLjqZTrgzVT9IYQRTjEdPuLltmRdlFlAd/ZH0+P9g+fv9TSCqgRJG4xkl lhm8+a/vP35++0pmZ5mfzscaabf+JgxehJmHPchg8i/GIIfC6d2RU3FIhOPwdIZHp4Qj0pvAqB6u +hDTW+EMycacCq3xfHlmVrP9VUx99n1WPrbuUmmNc1ZrSzo0PjktFRjEKCECFDMeA0W7pYTpLVTO UyiQ0WnV5Ov5dgzbzUoHsmdZG6PVdF3GRXN/pOXaaxbbPq+EMitI0zbDiKKyodXMVc9OttJhc0Bq NjeuuQPRwfUKjJ5fKgBfsZhuWIDkwBGWMl3jI7XDWG6wKGld+PKv85wPJSBKSQcJY+TPOxYEJfqd hUbejKfTrPniTF+fTuCEx5HN44jdmZUDE2Osv+fFzPlJ35syOPMJu7vMVRFilqN2T+7grFK/Wth+ LpbLkgade5au7K3nGbx/wuUuOanK6z6wA1KzA6UXeoetzKv02C9ZD/9Ei99QSwMECgAAAAAAh07i QAAAAAAAAAAAAAAAAAYAAABfcmVscy9QSwMEFAAAAAgAh07iQIoUZjzRAAAAlAEAAAsAAABfcmVs cy8ucmVsc6WQwWrDMAyG74O9g9F9cZrDGKNOL6PQa+kewNiKYxpbRjLZ+vbzDoNl9LajfqHvE//+ 8JkWtSJLpGxg1/WgMDvyMQcD75fj0wsoqTZ7u1BGAzcUOIyPD/szLra2I5ljEdUoWQzMtZZXrcXN mKx0VDC3zUScbG0jB12su9qAeuj7Z82/GTBumOrkDfDJD6Aut9LMf9gpOiahqXaOkqZpiu4eVQe2 ZY7uyDbhG7lGsxywGvAsGgdqWdd+BH1fv/un3tNHPuO61X6HjOuPV2+6HL8AUEsDBBQAAAAIAIdO 4kB+5uUg9wAAAOEBAAATAAAAW0NvbnRlbnRfVHlwZXNdLnhtbJWRQU7DMBBF90jcwfIWJU67QAgl 6YK0S0CoHGBkTxKLZGx5TGhvj5O2G0SRWNoz/78nu9wcxkFMGNg6quQqL6RA0s5Y6ir5vt9lD1Jw BDIwOMJKHpHlpr69KfdHjyxSmriSfYz+USnWPY7AufNIadK6MEJMx9ApD/oDOlTrorhX2lFEilmc O2RdNtjC5xDF9pCuTyYBB5bi6bQ4syoJ3g9WQ0ymaiLzg5KdCXlKLjvcW893SUOqXwnz5DrgnHtJ TxOsQfEKIT7DmDSUCayM+6KAU/53yWw5cuba1mrMm8BNir3hdLG61o5r1zj93/Ltkrp0q+WD6m9Q SwECFAAUAAAACACHTuJAfublIPcAAADhAQAAEwAAAAAAAAABACAAAADaBAAAW0NvbnRlbnRfVHlw ZXNdLnhtbFBLAQIUAAoAAAAAAIdO4kAAAAAAAAAAAAAAAAAGAAAAAAAAAAAAEAAAALwDAABfcmVs cy9QSwECFAAUAAAACACHTuJAihRmPNEAAACUAQAACwAAAAAAAAABACAAAADgAwAAX3JlbHMvLnJl bHNQSwECFAAKAAAAAACHTuJAAAAAAAAAAAAAAAAABAAAAAAAAAAAABAAAAAAAAAAZHJzL1BLAQIU ABQAAAAIAIdO4kAYTBG62AAAAAsBAAAPAAAAAAAAAAEAIAAAACIAAABkcnMvZG93bnJldi54bWxQ SwECFAAUAAAACACHTuJApVyj32kCAADRBAAADgAAAAAAAAABACAAAAAnAQAAZHJzL2Uyb0RvYy54 bWxQSwUGAAAAAAYABgBZAQAAAgYAAAAA ">
                <v:fill on="f" focussize="0,0"/>
                <v:stroke weight="1pt" color="#00C4D8" joinstyle="round"/>
                <v:imagedata o:title=""/>
                <o:lock v:ext="edit" aspectratio="f"/>
                <v:textbox>
                  <w:txbxContent>
                    <w:p w14:paraId="0565EC9C">
                      <w:pPr>
                        <w:jc w:val="center"/>
                      </w:pPr>
                    </w:p>
                  </w:txbxContent>
                </v:textbox>
              </v:shape>
            </w:pict>
          </mc:Fallback>
        </mc:AlternateContent>
      </w:r>
      <w:r>
        <w:rPr>
          <w:b/>
          <w:bCs/>
          <w:color w:val="00C4D8"/>
          <w:sz w:val="44"/>
          <w:szCs w:val="44"/>
        </w:rPr>
        <w:t>目    录</w:t>
      </w:r>
    </w:p>
    <w:sdt>
      <w:sdtPr>
        <w:rPr>
          <w:rFonts w:ascii="宋体" w:hAnsi="宋体" w:eastAsia="宋体"/>
          <w:sz w:val="21"/>
        </w:rPr>
        <w:id w:val="147482047"/>
        <w15:color w:val="DBDBDB"/>
        <w:docPartObj>
          <w:docPartGallery w:val="Table of Contents"/>
          <w:docPartUnique/>
        </w:docPartObj>
      </w:sdtPr>
      <w:sdtEndPr>
        <w:rPr>
          <w:rFonts w:ascii="Tahoma" w:hAnsi="Tahoma" w:eastAsia="微软雅黑"/>
          <w:bCs/>
          <w:color w:val="00C4D8"/>
          <w:sz w:val="22"/>
          <w:szCs w:val="44"/>
        </w:rPr>
      </w:sdtEndPr>
      <w:sdtContent>
        <w:p w14:paraId="1FB0E3E3">
          <w:pPr>
            <w:spacing w:after="0"/>
            <w:jc w:val="center"/>
            <w:rPr>
              <w:rFonts w:ascii="宋体" w:hAnsi="宋体" w:eastAsia="宋体"/>
              <w:sz w:val="21"/>
            </w:rPr>
          </w:pPr>
        </w:p>
        <w:p w14:paraId="1AAD7890">
          <w:pPr>
            <w:spacing w:after="0"/>
            <w:jc w:val="center"/>
            <w:rPr>
              <w:rFonts w:ascii="宋体" w:hAnsi="宋体" w:eastAsia="宋体"/>
              <w:sz w:val="21"/>
            </w:rPr>
          </w:pPr>
        </w:p>
        <w:p w14:paraId="17BE5C0B">
          <w:pPr>
            <w:spacing w:after="0"/>
            <w:jc w:val="center"/>
            <w:rPr>
              <w:rFonts w:ascii="宋体" w:hAnsi="宋体" w:eastAsia="宋体"/>
              <w:sz w:val="21"/>
            </w:rPr>
          </w:pPr>
        </w:p>
        <w:p w14:paraId="760C8D7A">
          <w:pPr>
            <w:spacing w:after="0"/>
            <w:jc w:val="center"/>
            <w:rPr>
              <w:rFonts w:ascii="宋体" w:hAnsi="宋体" w:eastAsia="宋体"/>
              <w:sz w:val="21"/>
            </w:rPr>
          </w:pPr>
        </w:p>
        <w:p w14:paraId="63ABB7D7">
          <w:pPr>
            <w:spacing w:after="0"/>
            <w:jc w:val="center"/>
            <w:rPr>
              <w:rFonts w:ascii="宋体" w:hAnsi="宋体" w:eastAsia="宋体"/>
              <w:sz w:val="21"/>
            </w:rPr>
          </w:pPr>
        </w:p>
        <w:p w14:paraId="6F44D1AA">
          <w:pPr>
            <w:tabs>
              <w:tab w:val="right" w:pos="7700"/>
            </w:tabs>
            <w:adjustRightInd w:val="0"/>
            <w:snapToGrid w:val="0"/>
            <w:spacing w:after="0" w:line="312" w:lineRule="auto"/>
            <w:ind w:left="1980" w:leftChars="900"/>
            <w:rPr>
              <w:rFonts w:ascii="Tahoma" w:hAnsi="Tahoma" w:eastAsia="微软雅黑" w:cs="Times New Roman"/>
              <w:b/>
              <w:bCs/>
              <w:color w:val="00C4D8"/>
              <w:sz w:val="32"/>
              <w:szCs w:val="32"/>
              <w:lang w:val="en-US" w:eastAsia="zh-CN" w:bidi="ar-SA"/>
            </w:rPr>
          </w:pPr>
          <w:r>
            <w:rPr>
              <w:rFonts w:ascii="Tahoma" w:hAnsi="Tahoma" w:eastAsia="微软雅黑" w:cs="Times New Roman"/>
              <w:b/>
              <w:bCs/>
              <w:color w:val="00C4D8"/>
              <w:sz w:val="44"/>
              <w:szCs w:val="44"/>
              <w:lang w:val="en-US" w:eastAsia="zh-CN" w:bidi="ar-SA"/>
            </w:rPr>
            <w:fldChar w:fldCharType="begin"/>
          </w:r>
          <w:r>
            <w:rPr>
              <w:rFonts w:ascii="Tahoma" w:hAnsi="Tahoma" w:eastAsia="微软雅黑" w:cs="Times New Roman"/>
              <w:b/>
              <w:bCs/>
              <w:color w:val="00C4D8"/>
              <w:sz w:val="44"/>
              <w:szCs w:val="44"/>
              <w:lang w:val="en-US" w:eastAsia="zh-CN" w:bidi="ar-SA"/>
            </w:rPr>
            <w:instrText xml:space="preserve">TOC \o "1-1" \h \u </w:instrText>
          </w:r>
          <w:r>
            <w:rPr>
              <w:rFonts w:ascii="Tahoma" w:hAnsi="Tahoma" w:eastAsia="微软雅黑" w:cs="Times New Roman"/>
              <w:b/>
              <w:bCs/>
              <w:color w:val="00C4D8"/>
              <w:sz w:val="44"/>
              <w:szCs w:val="44"/>
              <w:lang w:val="en-US" w:eastAsia="zh-CN" w:bidi="ar-SA"/>
            </w:rPr>
            <w:fldChar w:fldCharType="separate"/>
          </w: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"_Toc26009" </w:instrText>
          </w:r>
          <w:r>
            <w:rPr>
              <w:rFonts w:ascii="Tahoma" w:hAnsi="Tahoma" w:eastAsia="微软雅黑" w:cs="Times New Roman"/>
              <w:sz w:val="22"/>
              <w:szCs w:val="22"/>
              <w:lang w:val="en-US" w:eastAsia="zh-CN" w:bidi="ar-SA"/>
            </w:rPr>
            <w:fldChar w:fldCharType="separate"/>
          </w:r>
          <w:r>
            <w:rPr>
              <w:rFonts w:hint="eastAsia" w:ascii="Tahoma" w:hAnsi="Tahoma" w:eastAsia="微软雅黑" w:cs="Times New Roman"/>
              <w:b/>
              <w:bCs/>
              <w:color w:val="00C4D8"/>
              <w:sz w:val="32"/>
              <w:szCs w:val="32"/>
              <w:lang w:val="en-US" w:eastAsia="zh-CN" w:bidi="ar-SA"/>
            </w:rPr>
            <w:t>第一部分：基本信息</w:t>
          </w:r>
          <w:r>
            <w:rPr>
              <w:rFonts w:ascii="Tahoma" w:hAnsi="Tahoma" w:eastAsia="微软雅黑" w:cs="Times New Roman"/>
              <w:b/>
              <w:bCs/>
              <w:color w:val="00C4D8"/>
              <w:sz w:val="32"/>
              <w:szCs w:val="32"/>
              <w:lang w:val="en-US" w:eastAsia="zh-CN" w:bidi="ar-SA"/>
            </w:rPr>
            <w:tab/>
          </w:r>
          <w:r>
            <w:rPr>
              <w:rFonts w:ascii="Tahoma" w:hAnsi="Tahoma" w:eastAsia="微软雅黑" w:cs="Times New Roman"/>
              <w:b/>
              <w:bCs/>
              <w:color w:val="00C4D8"/>
              <w:sz w:val="32"/>
              <w:szCs w:val="32"/>
              <w:lang w:val="en-US" w:eastAsia="zh-CN" w:bidi="ar-SA"/>
            </w:rPr>
            <w:fldChar w:fldCharType="end"/>
          </w:r>
        </w:p>
        <w:p w14:paraId="1AECC18F">
          <w:pPr>
            <w:tabs>
              <w:tab w:val="right" w:pos="7700"/>
            </w:tabs>
            <w:adjustRightInd w:val="0"/>
            <w:snapToGrid w:val="0"/>
            <w:spacing w:after="0" w:line="312" w:lineRule="auto"/>
            <w:ind w:left="1980" w:leftChars="900"/>
            <w:rPr>
              <w:rFonts w:ascii="Tahoma" w:hAnsi="Tahoma" w:eastAsia="微软雅黑" w:cs="Times New Roman"/>
              <w:sz w:val="22"/>
              <w:szCs w:val="22"/>
              <w:lang w:val="en-US" w:eastAsia="zh-CN" w:bidi="ar-SA"/>
            </w:rPr>
          </w:pP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"_Toc24274" </w:instrText>
          </w:r>
          <w:r>
            <w:rPr>
              <w:rFonts w:ascii="Tahoma" w:hAnsi="Tahoma" w:eastAsia="微软雅黑" w:cs="Times New Roman"/>
              <w:sz w:val="22"/>
              <w:szCs w:val="22"/>
              <w:lang w:val="en-US" w:eastAsia="zh-CN" w:bidi="ar-SA"/>
            </w:rPr>
            <w:fldChar w:fldCharType="separate"/>
          </w:r>
          <w:r>
            <w:rPr>
              <w:rFonts w:hint="eastAsia" w:ascii="微软雅黑" w:hAnsi="微软雅黑" w:eastAsia="微软雅黑" w:cs="Times New Roman"/>
              <w:sz w:val="22"/>
              <w:szCs w:val="32"/>
              <w:lang w:val="en-US" w:eastAsia="zh-CN" w:bidi="ar-SA"/>
            </w:rPr>
            <w:t>患者及样本信息</w:t>
          </w:r>
          <w:r>
            <w:rPr>
              <w:rFonts w:ascii="Tahoma" w:hAnsi="Tahoma" w:eastAsia="微软雅黑" w:cs="Times New Roman"/>
              <w:sz w:val="22"/>
              <w:szCs w:val="22"/>
              <w:lang w:val="en-US" w:eastAsia="zh-CN" w:bidi="ar-SA"/>
            </w:rPr>
            <w:tab/>
          </w: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PAGEREF _Toc24274 \h </w:instrText>
          </w:r>
          <w:r>
            <w:rPr>
              <w:rFonts w:ascii="Tahoma" w:hAnsi="Tahoma" w:eastAsia="微软雅黑" w:cs="Times New Roman"/>
              <w:sz w:val="22"/>
              <w:szCs w:val="22"/>
              <w:lang w:val="en-US" w:eastAsia="zh-CN" w:bidi="ar-SA"/>
            </w:rPr>
            <w:fldChar w:fldCharType="separate"/>
          </w:r>
          <w:r>
            <w:rPr>
              <w:rFonts w:ascii="Tahoma" w:hAnsi="Tahoma" w:eastAsia="微软雅黑" w:cs="Times New Roman"/>
              <w:sz w:val="22"/>
              <w:szCs w:val="22"/>
              <w:lang w:val="en-US" w:eastAsia="zh-CN" w:bidi="ar-SA"/>
            </w:rPr>
            <w:t>1</w:t>
          </w:r>
          <w:r>
            <w:rPr>
              <w:rFonts w:ascii="Tahoma" w:hAnsi="Tahoma" w:eastAsia="微软雅黑" w:cs="Times New Roman"/>
              <w:sz w:val="22"/>
              <w:szCs w:val="22"/>
              <w:lang w:val="en-US" w:eastAsia="zh-CN" w:bidi="ar-SA"/>
            </w:rPr>
            <w:fldChar w:fldCharType="end"/>
          </w:r>
          <w:r>
            <w:rPr>
              <w:rFonts w:ascii="Tahoma" w:hAnsi="Tahoma" w:eastAsia="微软雅黑" w:cs="Times New Roman"/>
              <w:sz w:val="22"/>
              <w:szCs w:val="22"/>
              <w:lang w:val="en-US" w:eastAsia="zh-CN" w:bidi="ar-SA"/>
            </w:rPr>
            <w:fldChar w:fldCharType="end"/>
          </w:r>
        </w:p>
        <w:p w14:paraId="037C18E5">
          <w:pPr>
            <w:tabs>
              <w:tab w:val="right" w:pos="7700"/>
            </w:tabs>
            <w:adjustRightInd w:val="0"/>
            <w:snapToGrid w:val="0"/>
            <w:spacing w:after="0" w:line="312" w:lineRule="auto"/>
            <w:ind w:left="1980" w:leftChars="900"/>
            <w:rPr>
              <w:rFonts w:ascii="Tahoma" w:hAnsi="Tahoma" w:eastAsia="微软雅黑" w:cs="Times New Roman"/>
              <w:sz w:val="22"/>
              <w:szCs w:val="22"/>
              <w:lang w:val="en-US" w:eastAsia="zh-CN" w:bidi="ar-SA"/>
            </w:rPr>
          </w:pP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"_Toc17258" </w:instrText>
          </w:r>
          <w:r>
            <w:rPr>
              <w:rFonts w:ascii="Tahoma" w:hAnsi="Tahoma" w:eastAsia="微软雅黑" w:cs="Times New Roman"/>
              <w:sz w:val="22"/>
              <w:szCs w:val="22"/>
              <w:lang w:val="en-US" w:eastAsia="zh-CN" w:bidi="ar-SA"/>
            </w:rPr>
            <w:fldChar w:fldCharType="separate"/>
          </w:r>
          <w:r>
            <w:rPr>
              <w:rFonts w:hint="eastAsia" w:ascii="微软雅黑" w:hAnsi="微软雅黑" w:eastAsia="微软雅黑" w:cs="Times New Roman"/>
              <w:sz w:val="22"/>
              <w:szCs w:val="32"/>
              <w:lang w:val="en-US" w:eastAsia="zh-CN" w:bidi="ar-SA"/>
            </w:rPr>
            <w:t>检测内容</w:t>
          </w:r>
          <w:r>
            <w:rPr>
              <w:rFonts w:ascii="Tahoma" w:hAnsi="Tahoma" w:eastAsia="微软雅黑" w:cs="Times New Roman"/>
              <w:sz w:val="22"/>
              <w:szCs w:val="22"/>
              <w:lang w:val="en-US" w:eastAsia="zh-CN" w:bidi="ar-SA"/>
            </w:rPr>
            <w:tab/>
          </w: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PAGEREF _Toc17258 \h </w:instrText>
          </w:r>
          <w:r>
            <w:rPr>
              <w:rFonts w:ascii="Tahoma" w:hAnsi="Tahoma" w:eastAsia="微软雅黑" w:cs="Times New Roman"/>
              <w:sz w:val="22"/>
              <w:szCs w:val="22"/>
              <w:lang w:val="en-US" w:eastAsia="zh-CN" w:bidi="ar-SA"/>
            </w:rPr>
            <w:fldChar w:fldCharType="separate"/>
          </w:r>
          <w:r>
            <w:rPr>
              <w:rFonts w:ascii="Tahoma" w:hAnsi="Tahoma" w:eastAsia="微软雅黑" w:cs="Times New Roman"/>
              <w:sz w:val="22"/>
              <w:szCs w:val="22"/>
              <w:lang w:val="en-US" w:eastAsia="zh-CN" w:bidi="ar-SA"/>
            </w:rPr>
            <w:t>1</w:t>
          </w:r>
          <w:r>
            <w:rPr>
              <w:rFonts w:ascii="Tahoma" w:hAnsi="Tahoma" w:eastAsia="微软雅黑" w:cs="Times New Roman"/>
              <w:sz w:val="22"/>
              <w:szCs w:val="22"/>
              <w:lang w:val="en-US" w:eastAsia="zh-CN" w:bidi="ar-SA"/>
            </w:rPr>
            <w:fldChar w:fldCharType="end"/>
          </w:r>
          <w:r>
            <w:rPr>
              <w:rFonts w:ascii="Tahoma" w:hAnsi="Tahoma" w:eastAsia="微软雅黑" w:cs="Times New Roman"/>
              <w:sz w:val="22"/>
              <w:szCs w:val="22"/>
              <w:lang w:val="en-US" w:eastAsia="zh-CN" w:bidi="ar-SA"/>
            </w:rPr>
            <w:fldChar w:fldCharType="end"/>
          </w:r>
        </w:p>
        <w:p w14:paraId="2C79A89C">
          <w:pPr>
            <w:tabs>
              <w:tab w:val="right" w:pos="7700"/>
            </w:tabs>
            <w:adjustRightInd w:val="0"/>
            <w:snapToGrid w:val="0"/>
            <w:spacing w:after="0" w:line="312" w:lineRule="auto"/>
            <w:ind w:left="1980" w:leftChars="900"/>
            <w:rPr>
              <w:rFonts w:ascii="Tahoma" w:hAnsi="Tahoma" w:eastAsia="微软雅黑" w:cs="Times New Roman"/>
              <w:b/>
              <w:bCs/>
              <w:color w:val="00C4D8"/>
              <w:sz w:val="32"/>
              <w:szCs w:val="32"/>
              <w:lang w:val="en-US" w:eastAsia="zh-CN" w:bidi="ar-SA"/>
            </w:rPr>
          </w:pP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"_Toc4168" </w:instrText>
          </w:r>
          <w:r>
            <w:rPr>
              <w:rFonts w:ascii="Tahoma" w:hAnsi="Tahoma" w:eastAsia="微软雅黑" w:cs="Times New Roman"/>
              <w:sz w:val="22"/>
              <w:szCs w:val="22"/>
              <w:lang w:val="en-US" w:eastAsia="zh-CN" w:bidi="ar-SA"/>
            </w:rPr>
            <w:fldChar w:fldCharType="separate"/>
          </w:r>
          <w:r>
            <w:rPr>
              <w:rFonts w:hint="eastAsia" w:ascii="Tahoma" w:hAnsi="Tahoma" w:eastAsia="微软雅黑" w:cs="Times New Roman"/>
              <w:b/>
              <w:bCs/>
              <w:color w:val="00C4D8"/>
              <w:sz w:val="32"/>
              <w:szCs w:val="32"/>
              <w:lang w:val="en-US" w:eastAsia="zh-CN" w:bidi="ar-SA"/>
            </w:rPr>
            <w:t>第二部分：检测结果</w:t>
          </w:r>
          <w:r>
            <w:rPr>
              <w:rFonts w:hint="eastAsia" w:ascii="Tahoma" w:hAnsi="Tahoma" w:eastAsia="微软雅黑" w:cs="Times New Roman"/>
              <w:b/>
              <w:bCs/>
              <w:color w:val="00C4D8"/>
              <w:sz w:val="32"/>
              <w:szCs w:val="32"/>
              <w:lang w:val="en-US" w:eastAsia="zh-CN" w:bidi="ar-SA"/>
            </w:rPr>
            <w:tab/>
          </w:r>
          <w:r>
            <w:rPr>
              <w:rFonts w:hint="eastAsia" w:ascii="Tahoma" w:hAnsi="Tahoma" w:eastAsia="微软雅黑" w:cs="Times New Roman"/>
              <w:b/>
              <w:bCs/>
              <w:color w:val="00C4D8"/>
              <w:sz w:val="32"/>
              <w:szCs w:val="32"/>
              <w:lang w:val="en-US" w:eastAsia="zh-CN" w:bidi="ar-SA"/>
            </w:rPr>
            <w:fldChar w:fldCharType="end"/>
          </w:r>
        </w:p>
        <w:p w14:paraId="5134043C">
          <w:pPr>
            <w:tabs>
              <w:tab w:val="right" w:pos="7700"/>
            </w:tabs>
            <w:adjustRightInd w:val="0"/>
            <w:snapToGrid w:val="0"/>
            <w:spacing w:after="0" w:line="312" w:lineRule="auto"/>
            <w:ind w:left="1980" w:leftChars="900"/>
            <w:rPr>
              <w:rFonts w:ascii="Tahoma" w:hAnsi="Tahoma" w:eastAsia="微软雅黑" w:cs="Times New Roman"/>
              <w:sz w:val="22"/>
              <w:szCs w:val="22"/>
              <w:lang w:val="en-US" w:eastAsia="zh-CN" w:bidi="ar-SA"/>
            </w:rPr>
          </w:pP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"_Toc14194" </w:instrText>
          </w:r>
          <w:r>
            <w:rPr>
              <w:rFonts w:ascii="Tahoma" w:hAnsi="Tahoma" w:eastAsia="微软雅黑" w:cs="Times New Roman"/>
              <w:sz w:val="22"/>
              <w:szCs w:val="22"/>
              <w:lang w:val="en-US" w:eastAsia="zh-CN" w:bidi="ar-SA"/>
            </w:rPr>
            <w:fldChar w:fldCharType="separate"/>
          </w:r>
          <w:r>
            <w:rPr>
              <w:rFonts w:hint="eastAsia" w:ascii="微软雅黑" w:hAnsi="微软雅黑" w:eastAsia="微软雅黑" w:cs="Times New Roman"/>
              <w:sz w:val="22"/>
              <w:szCs w:val="32"/>
              <w:lang w:val="en-US" w:eastAsia="zh-CN" w:bidi="ar-SA"/>
            </w:rPr>
            <w:t>检测结果小结</w:t>
          </w:r>
          <w:r>
            <w:rPr>
              <w:rFonts w:ascii="Tahoma" w:hAnsi="Tahoma" w:eastAsia="微软雅黑" w:cs="Times New Roman"/>
              <w:sz w:val="22"/>
              <w:szCs w:val="22"/>
              <w:lang w:val="en-US" w:eastAsia="zh-CN" w:bidi="ar-SA"/>
            </w:rPr>
            <w:tab/>
          </w: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PAGEREF _Toc14194 \h </w:instrText>
          </w:r>
          <w:r>
            <w:rPr>
              <w:rFonts w:ascii="Tahoma" w:hAnsi="Tahoma" w:eastAsia="微软雅黑" w:cs="Times New Roman"/>
              <w:sz w:val="22"/>
              <w:szCs w:val="22"/>
              <w:lang w:val="en-US" w:eastAsia="zh-CN" w:bidi="ar-SA"/>
            </w:rPr>
            <w:fldChar w:fldCharType="separate"/>
          </w:r>
          <w:r>
            <w:rPr>
              <w:rFonts w:ascii="Tahoma" w:hAnsi="Tahoma" w:eastAsia="微软雅黑" w:cs="Times New Roman"/>
              <w:sz w:val="22"/>
              <w:szCs w:val="22"/>
              <w:lang w:val="en-US" w:eastAsia="zh-CN" w:bidi="ar-SA"/>
            </w:rPr>
            <w:t>2</w:t>
          </w:r>
          <w:r>
            <w:rPr>
              <w:rFonts w:ascii="Tahoma" w:hAnsi="Tahoma" w:eastAsia="微软雅黑" w:cs="Times New Roman"/>
              <w:sz w:val="22"/>
              <w:szCs w:val="22"/>
              <w:lang w:val="en-US" w:eastAsia="zh-CN" w:bidi="ar-SA"/>
            </w:rPr>
            <w:fldChar w:fldCharType="end"/>
          </w:r>
          <w:r>
            <w:rPr>
              <w:rFonts w:ascii="Tahoma" w:hAnsi="Tahoma" w:eastAsia="微软雅黑" w:cs="Times New Roman"/>
              <w:sz w:val="22"/>
              <w:szCs w:val="22"/>
              <w:lang w:val="en-US" w:eastAsia="zh-CN" w:bidi="ar-SA"/>
            </w:rPr>
            <w:fldChar w:fldCharType="end"/>
          </w:r>
        </w:p>
        <w:p w14:paraId="38736788">
          <w:pPr>
            <w:tabs>
              <w:tab w:val="right" w:pos="7700"/>
            </w:tabs>
            <w:adjustRightInd w:val="0"/>
            <w:snapToGrid w:val="0"/>
            <w:spacing w:after="0" w:line="312" w:lineRule="auto"/>
            <w:ind w:left="1980" w:leftChars="900"/>
            <w:rPr>
              <w:rFonts w:ascii="Tahoma" w:hAnsi="Tahoma" w:eastAsia="微软雅黑" w:cs="Times New Roman"/>
              <w:sz w:val="22"/>
              <w:szCs w:val="22"/>
              <w:lang w:val="en-US" w:eastAsia="zh-CN" w:bidi="ar-SA"/>
            </w:rPr>
          </w:pP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"_Toc24469" </w:instrText>
          </w:r>
          <w:r>
            <w:rPr>
              <w:rFonts w:ascii="Tahoma" w:hAnsi="Tahoma" w:eastAsia="微软雅黑" w:cs="Times New Roman"/>
              <w:sz w:val="22"/>
              <w:szCs w:val="22"/>
              <w:lang w:val="en-US" w:eastAsia="zh-CN" w:bidi="ar-SA"/>
            </w:rPr>
            <w:fldChar w:fldCharType="separate"/>
          </w:r>
          <w:r>
            <w:rPr>
              <w:rFonts w:hint="eastAsia" w:ascii="微软雅黑" w:hAnsi="微软雅黑" w:eastAsia="微软雅黑" w:cs="Times New Roman"/>
              <w:sz w:val="22"/>
              <w:szCs w:val="32"/>
              <w:lang w:val="en-US" w:eastAsia="zh-CN" w:bidi="ar-SA"/>
            </w:rPr>
            <w:t>靶向药物相关检测结果</w:t>
          </w:r>
          <w:r>
            <w:rPr>
              <w:rFonts w:ascii="Tahoma" w:hAnsi="Tahoma" w:eastAsia="微软雅黑" w:cs="Times New Roman"/>
              <w:sz w:val="22"/>
              <w:szCs w:val="22"/>
              <w:lang w:val="en-US" w:eastAsia="zh-CN" w:bidi="ar-SA"/>
            </w:rPr>
            <w:tab/>
          </w: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PAGEREF _Toc24469 \h </w:instrText>
          </w:r>
          <w:r>
            <w:rPr>
              <w:rFonts w:ascii="Tahoma" w:hAnsi="Tahoma" w:eastAsia="微软雅黑" w:cs="Times New Roman"/>
              <w:sz w:val="22"/>
              <w:szCs w:val="22"/>
              <w:lang w:val="en-US" w:eastAsia="zh-CN" w:bidi="ar-SA"/>
            </w:rPr>
            <w:fldChar w:fldCharType="separate"/>
          </w:r>
          <w:r>
            <w:rPr>
              <w:rFonts w:ascii="Tahoma" w:hAnsi="Tahoma" w:eastAsia="微软雅黑" w:cs="Times New Roman"/>
              <w:sz w:val="22"/>
              <w:szCs w:val="22"/>
              <w:lang w:val="en-US" w:eastAsia="zh-CN" w:bidi="ar-SA"/>
            </w:rPr>
            <w:t>5</w:t>
          </w:r>
          <w:r>
            <w:rPr>
              <w:rFonts w:ascii="Tahoma" w:hAnsi="Tahoma" w:eastAsia="微软雅黑" w:cs="Times New Roman"/>
              <w:sz w:val="22"/>
              <w:szCs w:val="22"/>
              <w:lang w:val="en-US" w:eastAsia="zh-CN" w:bidi="ar-SA"/>
            </w:rPr>
            <w:fldChar w:fldCharType="end"/>
          </w:r>
          <w:r>
            <w:rPr>
              <w:rFonts w:ascii="Tahoma" w:hAnsi="Tahoma" w:eastAsia="微软雅黑" w:cs="Times New Roman"/>
              <w:sz w:val="22"/>
              <w:szCs w:val="22"/>
              <w:lang w:val="en-US" w:eastAsia="zh-CN" w:bidi="ar-SA"/>
            </w:rPr>
            <w:fldChar w:fldCharType="end"/>
          </w:r>
        </w:p>
        <w:p w14:paraId="1C3C88C7">
          <w:pPr>
            <w:tabs>
              <w:tab w:val="right" w:pos="7700"/>
            </w:tabs>
            <w:adjustRightInd w:val="0"/>
            <w:snapToGrid w:val="0"/>
            <w:spacing w:after="0" w:line="312" w:lineRule="auto"/>
            <w:ind w:left="1980" w:leftChars="900"/>
            <w:rPr>
              <w:rFonts w:ascii="Tahoma" w:hAnsi="Tahoma" w:eastAsia="微软雅黑" w:cs="Times New Roman"/>
              <w:sz w:val="22"/>
              <w:szCs w:val="22"/>
              <w:lang w:val="en-US" w:eastAsia="zh-CN" w:bidi="ar-SA"/>
            </w:rPr>
          </w:pP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"_Toc31097" </w:instrText>
          </w:r>
          <w:r>
            <w:rPr>
              <w:rFonts w:ascii="Tahoma" w:hAnsi="Tahoma" w:eastAsia="微软雅黑" w:cs="Times New Roman"/>
              <w:sz w:val="22"/>
              <w:szCs w:val="22"/>
              <w:lang w:val="en-US" w:eastAsia="zh-CN" w:bidi="ar-SA"/>
            </w:rPr>
            <w:fldChar w:fldCharType="separate"/>
          </w:r>
          <w:r>
            <w:rPr>
              <w:rFonts w:hint="eastAsia" w:ascii="微软雅黑" w:hAnsi="微软雅黑" w:eastAsia="微软雅黑" w:cs="Times New Roman"/>
              <w:sz w:val="22"/>
              <w:szCs w:val="32"/>
              <w:lang w:val="en-US" w:eastAsia="zh-CN" w:bidi="ar-SA"/>
            </w:rPr>
            <w:t>免疫治疗疗效评估</w:t>
          </w:r>
          <w:r>
            <w:rPr>
              <w:rFonts w:ascii="Tahoma" w:hAnsi="Tahoma" w:eastAsia="微软雅黑" w:cs="Times New Roman"/>
              <w:sz w:val="22"/>
              <w:szCs w:val="22"/>
              <w:lang w:val="en-US" w:eastAsia="zh-CN" w:bidi="ar-SA"/>
            </w:rPr>
            <w:tab/>
          </w: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PAGEREF _Toc31097 \h </w:instrText>
          </w:r>
          <w:r>
            <w:rPr>
              <w:rFonts w:ascii="Tahoma" w:hAnsi="Tahoma" w:eastAsia="微软雅黑" w:cs="Times New Roman"/>
              <w:sz w:val="22"/>
              <w:szCs w:val="22"/>
              <w:lang w:val="en-US" w:eastAsia="zh-CN" w:bidi="ar-SA"/>
            </w:rPr>
            <w:fldChar w:fldCharType="separate"/>
          </w:r>
          <w:r>
            <w:rPr>
              <w:rFonts w:ascii="Tahoma" w:hAnsi="Tahoma" w:eastAsia="微软雅黑" w:cs="Times New Roman"/>
              <w:sz w:val="22"/>
              <w:szCs w:val="22"/>
              <w:lang w:val="en-US" w:eastAsia="zh-CN" w:bidi="ar-SA"/>
            </w:rPr>
            <w:t>13</w:t>
          </w:r>
          <w:r>
            <w:rPr>
              <w:rFonts w:ascii="Tahoma" w:hAnsi="Tahoma" w:eastAsia="微软雅黑" w:cs="Times New Roman"/>
              <w:sz w:val="22"/>
              <w:szCs w:val="22"/>
              <w:lang w:val="en-US" w:eastAsia="zh-CN" w:bidi="ar-SA"/>
            </w:rPr>
            <w:fldChar w:fldCharType="end"/>
          </w:r>
          <w:r>
            <w:rPr>
              <w:rFonts w:ascii="Tahoma" w:hAnsi="Tahoma" w:eastAsia="微软雅黑" w:cs="Times New Roman"/>
              <w:sz w:val="22"/>
              <w:szCs w:val="22"/>
              <w:lang w:val="en-US" w:eastAsia="zh-CN" w:bidi="ar-SA"/>
            </w:rPr>
            <w:fldChar w:fldCharType="end"/>
          </w:r>
        </w:p>
        <w:p w14:paraId="43A926E6">
          <w:pPr>
            <w:tabs>
              <w:tab w:val="right" w:pos="7700"/>
            </w:tabs>
            <w:adjustRightInd w:val="0"/>
            <w:snapToGrid w:val="0"/>
            <w:spacing w:after="0" w:line="312" w:lineRule="auto"/>
            <w:ind w:left="1980" w:leftChars="900"/>
            <w:rPr>
              <w:rFonts w:ascii="Tahoma" w:hAnsi="Tahoma" w:eastAsia="微软雅黑" w:cs="Times New Roman"/>
              <w:sz w:val="22"/>
              <w:szCs w:val="22"/>
              <w:lang w:val="en-US" w:eastAsia="zh-CN" w:bidi="ar-SA"/>
            </w:rPr>
          </w:pP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"_Toc29647" </w:instrText>
          </w:r>
          <w:r>
            <w:rPr>
              <w:rFonts w:ascii="Tahoma" w:hAnsi="Tahoma" w:eastAsia="微软雅黑" w:cs="Times New Roman"/>
              <w:sz w:val="22"/>
              <w:szCs w:val="22"/>
              <w:lang w:val="en-US" w:eastAsia="zh-CN" w:bidi="ar-SA"/>
            </w:rPr>
            <w:fldChar w:fldCharType="separate"/>
          </w:r>
          <w:r>
            <w:rPr>
              <w:rFonts w:hint="eastAsia" w:ascii="微软雅黑" w:hAnsi="微软雅黑" w:eastAsia="微软雅黑" w:cs="Times New Roman"/>
              <w:sz w:val="22"/>
              <w:szCs w:val="32"/>
              <w:lang w:val="en-US" w:eastAsia="zh-CN" w:bidi="ar-SA"/>
            </w:rPr>
            <w:t>检测结果说明</w:t>
          </w:r>
          <w:r>
            <w:rPr>
              <w:rFonts w:ascii="Tahoma" w:hAnsi="Tahoma" w:eastAsia="微软雅黑" w:cs="Times New Roman"/>
              <w:sz w:val="22"/>
              <w:szCs w:val="22"/>
              <w:lang w:val="en-US" w:eastAsia="zh-CN" w:bidi="ar-SA"/>
            </w:rPr>
            <w:tab/>
          </w: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PAGEREF _Toc29647 \h </w:instrText>
          </w:r>
          <w:r>
            <w:rPr>
              <w:rFonts w:ascii="Tahoma" w:hAnsi="Tahoma" w:eastAsia="微软雅黑" w:cs="Times New Roman"/>
              <w:sz w:val="22"/>
              <w:szCs w:val="22"/>
              <w:lang w:val="en-US" w:eastAsia="zh-CN" w:bidi="ar-SA"/>
            </w:rPr>
            <w:fldChar w:fldCharType="separate"/>
          </w:r>
          <w:r>
            <w:rPr>
              <w:rFonts w:ascii="Tahoma" w:hAnsi="Tahoma" w:eastAsia="微软雅黑" w:cs="Times New Roman"/>
              <w:sz w:val="22"/>
              <w:szCs w:val="22"/>
              <w:lang w:val="en-US" w:eastAsia="zh-CN" w:bidi="ar-SA"/>
            </w:rPr>
            <w:t>20</w:t>
          </w:r>
          <w:r>
            <w:rPr>
              <w:rFonts w:ascii="Tahoma" w:hAnsi="Tahoma" w:eastAsia="微软雅黑" w:cs="Times New Roman"/>
              <w:sz w:val="22"/>
              <w:szCs w:val="22"/>
              <w:lang w:val="en-US" w:eastAsia="zh-CN" w:bidi="ar-SA"/>
            </w:rPr>
            <w:fldChar w:fldCharType="end"/>
          </w:r>
          <w:r>
            <w:rPr>
              <w:rFonts w:ascii="Tahoma" w:hAnsi="Tahoma" w:eastAsia="微软雅黑" w:cs="Times New Roman"/>
              <w:sz w:val="22"/>
              <w:szCs w:val="22"/>
              <w:lang w:val="en-US" w:eastAsia="zh-CN" w:bidi="ar-SA"/>
            </w:rPr>
            <w:fldChar w:fldCharType="end"/>
          </w:r>
        </w:p>
        <w:p w14:paraId="5BE00BEF">
          <w:pPr>
            <w:tabs>
              <w:tab w:val="right" w:pos="7700"/>
            </w:tabs>
            <w:adjustRightInd w:val="0"/>
            <w:snapToGrid w:val="0"/>
            <w:spacing w:after="0" w:line="312" w:lineRule="auto"/>
            <w:ind w:left="1980" w:leftChars="900"/>
            <w:rPr>
              <w:rFonts w:ascii="Tahoma" w:hAnsi="Tahoma" w:eastAsia="微软雅黑" w:cs="Times New Roman"/>
              <w:b/>
              <w:bCs/>
              <w:color w:val="00C4D8"/>
              <w:sz w:val="32"/>
              <w:szCs w:val="32"/>
              <w:lang w:val="en-US" w:eastAsia="zh-CN" w:bidi="ar-SA"/>
            </w:rPr>
          </w:pP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"_Toc6684" </w:instrText>
          </w:r>
          <w:r>
            <w:rPr>
              <w:rFonts w:ascii="Tahoma" w:hAnsi="Tahoma" w:eastAsia="微软雅黑" w:cs="Times New Roman"/>
              <w:sz w:val="22"/>
              <w:szCs w:val="22"/>
              <w:lang w:val="en-US" w:eastAsia="zh-CN" w:bidi="ar-SA"/>
            </w:rPr>
            <w:fldChar w:fldCharType="separate"/>
          </w:r>
          <w:r>
            <w:rPr>
              <w:rFonts w:hint="eastAsia" w:ascii="Tahoma" w:hAnsi="Tahoma" w:eastAsia="微软雅黑" w:cs="Times New Roman"/>
              <w:b/>
              <w:bCs/>
              <w:color w:val="00C4D8"/>
              <w:sz w:val="32"/>
              <w:szCs w:val="32"/>
              <w:lang w:val="en-US" w:eastAsia="zh-CN" w:bidi="ar-SA"/>
            </w:rPr>
            <w:t>第三部分：基因变异及相应靶向/免疫药物解析</w:t>
          </w:r>
          <w:r>
            <w:rPr>
              <w:rFonts w:hint="eastAsia" w:ascii="Tahoma" w:hAnsi="Tahoma" w:eastAsia="微软雅黑" w:cs="Times New Roman"/>
              <w:b/>
              <w:bCs/>
              <w:color w:val="00C4D8"/>
              <w:sz w:val="32"/>
              <w:szCs w:val="32"/>
              <w:lang w:val="en-US" w:eastAsia="zh-CN" w:bidi="ar-SA"/>
            </w:rPr>
            <w:fldChar w:fldCharType="end"/>
          </w:r>
        </w:p>
        <w:p w14:paraId="21358DA5">
          <w:pPr>
            <w:tabs>
              <w:tab w:val="right" w:pos="7700"/>
            </w:tabs>
            <w:adjustRightInd w:val="0"/>
            <w:snapToGrid w:val="0"/>
            <w:spacing w:after="0" w:line="312" w:lineRule="auto"/>
            <w:ind w:left="1980" w:leftChars="900"/>
            <w:rPr>
              <w:rFonts w:ascii="Tahoma" w:hAnsi="Tahoma" w:eastAsia="微软雅黑" w:cs="Times New Roman"/>
              <w:sz w:val="22"/>
              <w:szCs w:val="22"/>
              <w:lang w:val="en-US" w:eastAsia="zh-CN" w:bidi="ar-SA"/>
            </w:rPr>
          </w:pP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"_Toc6727" </w:instrText>
          </w:r>
          <w:r>
            <w:rPr>
              <w:rFonts w:ascii="Tahoma" w:hAnsi="Tahoma" w:eastAsia="微软雅黑" w:cs="Times New Roman"/>
              <w:sz w:val="22"/>
              <w:szCs w:val="22"/>
              <w:lang w:val="en-US" w:eastAsia="zh-CN" w:bidi="ar-SA"/>
            </w:rPr>
            <w:fldChar w:fldCharType="separate"/>
          </w:r>
          <w:r>
            <w:rPr>
              <w:rFonts w:ascii="微软雅黑" w:hAnsi="微软雅黑" w:eastAsia="微软雅黑" w:cs="Times New Roman"/>
              <w:sz w:val="22"/>
              <w:szCs w:val="24"/>
              <w:lang w:val="en-US" w:eastAsia="zh-CN" w:bidi="ar-SA"/>
            </w:rPr>
            <w:t>基因</w:t>
          </w:r>
          <w:r>
            <w:rPr>
              <w:rFonts w:hint="eastAsia" w:ascii="微软雅黑" w:hAnsi="微软雅黑" w:eastAsia="微软雅黑" w:cs="Times New Roman"/>
              <w:sz w:val="22"/>
              <w:szCs w:val="24"/>
              <w:lang w:val="en-US" w:eastAsia="zh-CN" w:bidi="ar-SA"/>
            </w:rPr>
            <w:t>变异</w:t>
          </w:r>
          <w:r>
            <w:rPr>
              <w:rFonts w:ascii="微软雅黑" w:hAnsi="微软雅黑" w:eastAsia="微软雅黑" w:cs="Times New Roman"/>
              <w:sz w:val="22"/>
              <w:szCs w:val="24"/>
              <w:lang w:val="en-US" w:eastAsia="zh-CN" w:bidi="ar-SA"/>
            </w:rPr>
            <w:t>解析</w:t>
          </w:r>
          <w:r>
            <w:rPr>
              <w:rFonts w:ascii="Tahoma" w:hAnsi="Tahoma" w:eastAsia="微软雅黑" w:cs="Times New Roman"/>
              <w:sz w:val="22"/>
              <w:szCs w:val="22"/>
              <w:lang w:val="en-US" w:eastAsia="zh-CN" w:bidi="ar-SA"/>
            </w:rPr>
            <w:tab/>
          </w: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PAGEREF _Toc6727 \h </w:instrText>
          </w:r>
          <w:r>
            <w:rPr>
              <w:rFonts w:ascii="Tahoma" w:hAnsi="Tahoma" w:eastAsia="微软雅黑" w:cs="Times New Roman"/>
              <w:sz w:val="22"/>
              <w:szCs w:val="22"/>
              <w:lang w:val="en-US" w:eastAsia="zh-CN" w:bidi="ar-SA"/>
            </w:rPr>
            <w:fldChar w:fldCharType="separate"/>
          </w:r>
          <w:r>
            <w:rPr>
              <w:rFonts w:ascii="Tahoma" w:hAnsi="Tahoma" w:eastAsia="微软雅黑" w:cs="Times New Roman"/>
              <w:sz w:val="22"/>
              <w:szCs w:val="22"/>
              <w:lang w:val="en-US" w:eastAsia="zh-CN" w:bidi="ar-SA"/>
            </w:rPr>
            <w:t>21</w:t>
          </w:r>
          <w:r>
            <w:rPr>
              <w:rFonts w:ascii="Tahoma" w:hAnsi="Tahoma" w:eastAsia="微软雅黑" w:cs="Times New Roman"/>
              <w:sz w:val="22"/>
              <w:szCs w:val="22"/>
              <w:lang w:val="en-US" w:eastAsia="zh-CN" w:bidi="ar-SA"/>
            </w:rPr>
            <w:fldChar w:fldCharType="end"/>
          </w:r>
          <w:r>
            <w:rPr>
              <w:rFonts w:ascii="Tahoma" w:hAnsi="Tahoma" w:eastAsia="微软雅黑" w:cs="Times New Roman"/>
              <w:sz w:val="22"/>
              <w:szCs w:val="22"/>
              <w:lang w:val="en-US" w:eastAsia="zh-CN" w:bidi="ar-SA"/>
            </w:rPr>
            <w:fldChar w:fldCharType="end"/>
          </w:r>
        </w:p>
        <w:p w14:paraId="712B6AEE">
          <w:pPr>
            <w:tabs>
              <w:tab w:val="right" w:pos="7700"/>
            </w:tabs>
            <w:adjustRightInd w:val="0"/>
            <w:snapToGrid w:val="0"/>
            <w:spacing w:after="0" w:line="312" w:lineRule="auto"/>
            <w:ind w:left="1980" w:leftChars="900"/>
            <w:rPr>
              <w:rFonts w:hint="default" w:ascii="Tahoma" w:hAnsi="Tahoma" w:eastAsia="微软雅黑" w:cs="Times New Roman"/>
              <w:sz w:val="22"/>
              <w:szCs w:val="22"/>
              <w:lang w:val="en-US" w:eastAsia="zh-CN" w:bidi="ar-SA"/>
            </w:rPr>
          </w:pP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"_Toc16898" </w:instrText>
          </w:r>
          <w:r>
            <w:rPr>
              <w:rFonts w:ascii="Tahoma" w:hAnsi="Tahoma" w:eastAsia="微软雅黑" w:cs="Times New Roman"/>
              <w:sz w:val="22"/>
              <w:szCs w:val="22"/>
              <w:lang w:val="en-US" w:eastAsia="zh-CN" w:bidi="ar-SA"/>
            </w:rPr>
            <w:fldChar w:fldCharType="separate"/>
          </w:r>
          <w:r>
            <w:rPr>
              <w:rFonts w:hint="eastAsia" w:ascii="微软雅黑" w:hAnsi="微软雅黑" w:eastAsia="微软雅黑" w:cs="Times New Roman"/>
              <w:sz w:val="22"/>
              <w:szCs w:val="24"/>
              <w:lang w:val="en-US" w:eastAsia="zh-CN" w:bidi="ar-SA"/>
            </w:rPr>
            <w:t>靶向</w:t>
          </w:r>
          <w:r>
            <w:rPr>
              <w:rFonts w:ascii="微软雅黑" w:hAnsi="微软雅黑" w:eastAsia="微软雅黑" w:cs="Times New Roman"/>
              <w:sz w:val="22"/>
              <w:szCs w:val="24"/>
              <w:lang w:val="en-US" w:eastAsia="zh-CN" w:bidi="ar-SA"/>
            </w:rPr>
            <w:t>药物</w:t>
          </w:r>
          <w:r>
            <w:rPr>
              <w:rFonts w:hint="eastAsia" w:ascii="微软雅黑" w:hAnsi="微软雅黑" w:eastAsia="微软雅黑" w:cs="Times New Roman"/>
              <w:sz w:val="22"/>
              <w:szCs w:val="24"/>
              <w:lang w:val="en-US" w:eastAsia="zh-CN" w:bidi="ar-SA"/>
            </w:rPr>
            <w:t>/免疫用药</w:t>
          </w:r>
          <w:r>
            <w:rPr>
              <w:rFonts w:ascii="微软雅黑" w:hAnsi="微软雅黑" w:eastAsia="微软雅黑" w:cs="Times New Roman"/>
              <w:sz w:val="22"/>
              <w:szCs w:val="24"/>
              <w:lang w:val="en-US" w:eastAsia="zh-CN" w:bidi="ar-SA"/>
            </w:rPr>
            <w:t>提示解析</w:t>
          </w:r>
          <w:r>
            <w:rPr>
              <w:rFonts w:ascii="Tahoma" w:hAnsi="Tahoma" w:eastAsia="微软雅黑" w:cs="Times New Roman"/>
              <w:sz w:val="22"/>
              <w:szCs w:val="22"/>
              <w:lang w:val="en-US" w:eastAsia="zh-CN" w:bidi="ar-SA"/>
            </w:rPr>
            <w:tab/>
          </w:r>
          <w:r>
            <w:rPr>
              <w:rFonts w:ascii="Tahoma" w:hAnsi="Tahoma" w:eastAsia="微软雅黑" w:cs="Times New Roman"/>
              <w:sz w:val="22"/>
              <w:szCs w:val="22"/>
              <w:lang w:val="en-US" w:eastAsia="zh-CN" w:bidi="ar-SA"/>
            </w:rPr>
            <w:fldChar w:fldCharType="end"/>
          </w:r>
          <w:r>
            <w:rPr>
              <w:rFonts w:hint="eastAsia" w:ascii="Tahoma" w:hAnsi="Tahoma" w:eastAsia="微软雅黑" w:cs="Times New Roman"/>
              <w:sz w:val="22"/>
              <w:szCs w:val="22"/>
              <w:lang w:val="en-US" w:eastAsia="zh-CN" w:bidi="ar-SA"/>
            </w:rPr>
            <w:t>27</w:t>
          </w:r>
        </w:p>
        <w:p w14:paraId="05F73296">
          <w:pPr>
            <w:tabs>
              <w:tab w:val="right" w:pos="7700"/>
            </w:tabs>
            <w:adjustRightInd w:val="0"/>
            <w:snapToGrid w:val="0"/>
            <w:spacing w:after="0" w:line="312" w:lineRule="auto"/>
            <w:ind w:left="1980" w:leftChars="900"/>
            <w:rPr>
              <w:rFonts w:hint="default" w:ascii="Tahoma" w:hAnsi="Tahoma" w:eastAsia="微软雅黑" w:cs="Times New Roman"/>
              <w:sz w:val="22"/>
              <w:szCs w:val="22"/>
              <w:lang w:val="en-US" w:eastAsia="zh-CN" w:bidi="ar-SA"/>
            </w:rPr>
          </w:pP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"_Toc3535" </w:instrText>
          </w:r>
          <w:r>
            <w:rPr>
              <w:rFonts w:ascii="Tahoma" w:hAnsi="Tahoma" w:eastAsia="微软雅黑" w:cs="Times New Roman"/>
              <w:sz w:val="22"/>
              <w:szCs w:val="22"/>
              <w:lang w:val="en-US" w:eastAsia="zh-CN" w:bidi="ar-SA"/>
            </w:rPr>
            <w:fldChar w:fldCharType="separate"/>
          </w:r>
          <w:r>
            <w:rPr>
              <w:rFonts w:hint="eastAsia" w:ascii="微软雅黑" w:hAnsi="微软雅黑" w:eastAsia="微软雅黑" w:cs="Times New Roman"/>
              <w:sz w:val="22"/>
              <w:szCs w:val="24"/>
              <w:lang w:val="en-US" w:eastAsia="zh-CN" w:bidi="ar-SA"/>
            </w:rPr>
            <w:t>阅读说明</w:t>
          </w:r>
          <w:r>
            <w:rPr>
              <w:rFonts w:ascii="Tahoma" w:hAnsi="Tahoma" w:eastAsia="微软雅黑" w:cs="Times New Roman"/>
              <w:sz w:val="22"/>
              <w:szCs w:val="22"/>
              <w:lang w:val="en-US" w:eastAsia="zh-CN" w:bidi="ar-SA"/>
            </w:rPr>
            <w:tab/>
          </w:r>
          <w:r>
            <w:rPr>
              <w:rFonts w:ascii="Tahoma" w:hAnsi="Tahoma" w:eastAsia="微软雅黑" w:cs="Times New Roman"/>
              <w:sz w:val="22"/>
              <w:szCs w:val="22"/>
              <w:lang w:val="en-US" w:eastAsia="zh-CN" w:bidi="ar-SA"/>
            </w:rPr>
            <w:fldChar w:fldCharType="end"/>
          </w:r>
          <w:r>
            <w:rPr>
              <w:rFonts w:hint="eastAsia" w:ascii="Tahoma" w:hAnsi="Tahoma" w:eastAsia="微软雅黑" w:cs="Times New Roman"/>
              <w:sz w:val="22"/>
              <w:szCs w:val="22"/>
              <w:lang w:val="en-US" w:eastAsia="zh-CN" w:bidi="ar-SA"/>
            </w:rPr>
            <w:t>36</w:t>
          </w:r>
        </w:p>
        <w:p w14:paraId="35F8FABB">
          <w:pPr>
            <w:tabs>
              <w:tab w:val="right" w:pos="7700"/>
            </w:tabs>
            <w:adjustRightInd w:val="0"/>
            <w:snapToGrid w:val="0"/>
            <w:spacing w:after="0" w:line="312" w:lineRule="auto"/>
            <w:ind w:left="1980" w:leftChars="900"/>
            <w:rPr>
              <w:rFonts w:ascii="Tahoma" w:hAnsi="Tahoma" w:eastAsia="微软雅黑" w:cs="Times New Roman"/>
              <w:b/>
              <w:bCs/>
              <w:color w:val="00C4D8"/>
              <w:sz w:val="32"/>
              <w:szCs w:val="32"/>
              <w:lang w:val="en-US" w:eastAsia="zh-CN" w:bidi="ar-SA"/>
            </w:rPr>
          </w:pP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"_Toc28254" </w:instrText>
          </w:r>
          <w:r>
            <w:rPr>
              <w:rFonts w:ascii="Tahoma" w:hAnsi="Tahoma" w:eastAsia="微软雅黑" w:cs="Times New Roman"/>
              <w:sz w:val="22"/>
              <w:szCs w:val="22"/>
              <w:lang w:val="en-US" w:eastAsia="zh-CN" w:bidi="ar-SA"/>
            </w:rPr>
            <w:fldChar w:fldCharType="separate"/>
          </w:r>
          <w:r>
            <w:rPr>
              <w:rFonts w:hint="eastAsia" w:ascii="Tahoma" w:hAnsi="Tahoma" w:eastAsia="微软雅黑" w:cs="Times New Roman"/>
              <w:b/>
              <w:bCs/>
              <w:color w:val="00C4D8"/>
              <w:sz w:val="32"/>
              <w:szCs w:val="32"/>
              <w:lang w:val="en-US" w:eastAsia="zh-CN" w:bidi="ar-SA"/>
            </w:rPr>
            <w:t>第四部分：附录</w:t>
          </w:r>
          <w:r>
            <w:rPr>
              <w:rFonts w:hint="eastAsia" w:ascii="Tahoma" w:hAnsi="Tahoma" w:eastAsia="微软雅黑" w:cs="Times New Roman"/>
              <w:b/>
              <w:bCs/>
              <w:color w:val="00C4D8"/>
              <w:sz w:val="32"/>
              <w:szCs w:val="32"/>
              <w:lang w:val="en-US" w:eastAsia="zh-CN" w:bidi="ar-SA"/>
            </w:rPr>
            <w:tab/>
          </w:r>
          <w:r>
            <w:rPr>
              <w:rFonts w:hint="eastAsia" w:ascii="Tahoma" w:hAnsi="Tahoma" w:eastAsia="微软雅黑" w:cs="Times New Roman"/>
              <w:b/>
              <w:bCs/>
              <w:color w:val="00C4D8"/>
              <w:sz w:val="32"/>
              <w:szCs w:val="32"/>
              <w:lang w:val="en-US" w:eastAsia="zh-CN" w:bidi="ar-SA"/>
            </w:rPr>
            <w:fldChar w:fldCharType="end"/>
          </w:r>
        </w:p>
        <w:p w14:paraId="3FAC9C39">
          <w:pPr>
            <w:tabs>
              <w:tab w:val="right" w:pos="7700"/>
            </w:tabs>
            <w:adjustRightInd w:val="0"/>
            <w:snapToGrid w:val="0"/>
            <w:spacing w:after="0" w:line="312" w:lineRule="auto"/>
            <w:ind w:left="1980" w:leftChars="900"/>
            <w:rPr>
              <w:rFonts w:hint="default" w:ascii="Tahoma" w:hAnsi="Tahoma" w:eastAsia="微软雅黑" w:cs="Times New Roman"/>
              <w:sz w:val="22"/>
              <w:szCs w:val="22"/>
              <w:lang w:val="en-US" w:eastAsia="zh-CN" w:bidi="ar-SA"/>
            </w:rPr>
          </w:pP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"_Toc6659" </w:instrText>
          </w:r>
          <w:r>
            <w:rPr>
              <w:rFonts w:ascii="Tahoma" w:hAnsi="Tahoma" w:eastAsia="微软雅黑" w:cs="Times New Roman"/>
              <w:sz w:val="22"/>
              <w:szCs w:val="22"/>
              <w:lang w:val="en-US" w:eastAsia="zh-CN" w:bidi="ar-SA"/>
            </w:rPr>
            <w:fldChar w:fldCharType="separate"/>
          </w:r>
          <w:r>
            <w:rPr>
              <w:rFonts w:hint="eastAsia" w:ascii="微软雅黑" w:hAnsi="微软雅黑" w:eastAsia="微软雅黑" w:cs="Times New Roman"/>
              <w:sz w:val="22"/>
              <w:szCs w:val="24"/>
              <w:lang w:val="en-US" w:eastAsia="zh-CN" w:bidi="ar-SA"/>
            </w:rPr>
            <w:t>常见问题解答</w:t>
          </w:r>
          <w:r>
            <w:rPr>
              <w:rFonts w:ascii="Tahoma" w:hAnsi="Tahoma" w:eastAsia="微软雅黑" w:cs="Times New Roman"/>
              <w:sz w:val="22"/>
              <w:szCs w:val="22"/>
              <w:lang w:val="en-US" w:eastAsia="zh-CN" w:bidi="ar-SA"/>
            </w:rPr>
            <w:tab/>
          </w:r>
          <w:r>
            <w:rPr>
              <w:rFonts w:ascii="Tahoma" w:hAnsi="Tahoma" w:eastAsia="微软雅黑" w:cs="Times New Roman"/>
              <w:sz w:val="22"/>
              <w:szCs w:val="22"/>
              <w:lang w:val="en-US" w:eastAsia="zh-CN" w:bidi="ar-SA"/>
            </w:rPr>
            <w:fldChar w:fldCharType="end"/>
          </w:r>
          <w:r>
            <w:rPr>
              <w:rFonts w:hint="eastAsia" w:ascii="Tahoma" w:hAnsi="Tahoma" w:eastAsia="微软雅黑" w:cs="Times New Roman"/>
              <w:sz w:val="22"/>
              <w:szCs w:val="22"/>
              <w:lang w:val="en-US" w:eastAsia="zh-CN" w:bidi="ar-SA"/>
            </w:rPr>
            <w:t>39</w:t>
          </w:r>
        </w:p>
        <w:p w14:paraId="4C8F957D">
          <w:pPr>
            <w:tabs>
              <w:tab w:val="right" w:pos="7700"/>
            </w:tabs>
            <w:adjustRightInd w:val="0"/>
            <w:snapToGrid w:val="0"/>
            <w:spacing w:after="0" w:line="312" w:lineRule="auto"/>
            <w:ind w:left="1980" w:leftChars="900"/>
            <w:rPr>
              <w:rFonts w:hint="default" w:ascii="Tahoma" w:hAnsi="Tahoma" w:eastAsia="微软雅黑" w:cs="Times New Roman"/>
              <w:sz w:val="22"/>
              <w:szCs w:val="22"/>
              <w:lang w:val="en-US" w:eastAsia="zh-CN" w:bidi="ar-SA"/>
            </w:rPr>
          </w:pP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"_Toc9100" </w:instrText>
          </w:r>
          <w:r>
            <w:rPr>
              <w:rFonts w:ascii="Tahoma" w:hAnsi="Tahoma" w:eastAsia="微软雅黑" w:cs="Times New Roman"/>
              <w:sz w:val="22"/>
              <w:szCs w:val="22"/>
              <w:lang w:val="en-US" w:eastAsia="zh-CN" w:bidi="ar-SA"/>
            </w:rPr>
            <w:fldChar w:fldCharType="separate"/>
          </w:r>
          <w:r>
            <w:rPr>
              <w:rFonts w:hint="eastAsia" w:ascii="微软雅黑" w:hAnsi="微软雅黑" w:eastAsia="微软雅黑" w:cs="Times New Roman"/>
              <w:sz w:val="22"/>
              <w:szCs w:val="24"/>
              <w:lang w:val="en-US" w:eastAsia="zh-CN" w:bidi="ar-SA"/>
            </w:rPr>
            <w:t>结直肠癌诊疗知识</w:t>
          </w:r>
          <w:r>
            <w:rPr>
              <w:rFonts w:ascii="Tahoma" w:hAnsi="Tahoma" w:eastAsia="微软雅黑" w:cs="Times New Roman"/>
              <w:sz w:val="22"/>
              <w:szCs w:val="22"/>
              <w:lang w:val="en-US" w:eastAsia="zh-CN" w:bidi="ar-SA"/>
            </w:rPr>
            <w:tab/>
          </w:r>
          <w:r>
            <w:rPr>
              <w:rFonts w:ascii="Tahoma" w:hAnsi="Tahoma" w:eastAsia="微软雅黑" w:cs="Times New Roman"/>
              <w:sz w:val="22"/>
              <w:szCs w:val="22"/>
              <w:lang w:val="en-US" w:eastAsia="zh-CN" w:bidi="ar-SA"/>
            </w:rPr>
            <w:fldChar w:fldCharType="end"/>
          </w:r>
          <w:r>
            <w:rPr>
              <w:rFonts w:hint="eastAsia" w:ascii="Tahoma" w:hAnsi="Tahoma" w:eastAsia="微软雅黑" w:cs="Times New Roman"/>
              <w:sz w:val="22"/>
              <w:szCs w:val="22"/>
              <w:lang w:val="en-US" w:eastAsia="zh-CN" w:bidi="ar-SA"/>
            </w:rPr>
            <w:t>41</w:t>
          </w:r>
        </w:p>
        <w:p w14:paraId="0F86970C">
          <w:pPr>
            <w:tabs>
              <w:tab w:val="right" w:pos="7700"/>
            </w:tabs>
            <w:adjustRightInd w:val="0"/>
            <w:snapToGrid w:val="0"/>
            <w:spacing w:after="0" w:line="312" w:lineRule="auto"/>
            <w:ind w:left="1980" w:leftChars="900"/>
            <w:rPr>
              <w:rFonts w:hint="default" w:ascii="Tahoma" w:hAnsi="Tahoma" w:eastAsia="微软雅黑" w:cs="Times New Roman"/>
              <w:sz w:val="22"/>
              <w:szCs w:val="22"/>
              <w:lang w:val="en-US" w:eastAsia="zh-CN" w:bidi="ar-SA"/>
            </w:rPr>
          </w:pP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"_Toc17460" </w:instrText>
          </w:r>
          <w:r>
            <w:rPr>
              <w:rFonts w:ascii="Tahoma" w:hAnsi="Tahoma" w:eastAsia="微软雅黑" w:cs="Times New Roman"/>
              <w:sz w:val="22"/>
              <w:szCs w:val="22"/>
              <w:lang w:val="en-US" w:eastAsia="zh-CN" w:bidi="ar-SA"/>
            </w:rPr>
            <w:fldChar w:fldCharType="separate"/>
          </w:r>
          <w:r>
            <w:rPr>
              <w:rFonts w:hint="eastAsia" w:ascii="微软雅黑" w:hAnsi="微软雅黑" w:eastAsia="微软雅黑" w:cs="Times New Roman"/>
              <w:sz w:val="22"/>
              <w:szCs w:val="24"/>
              <w:lang w:val="en-US" w:eastAsia="zh-CN" w:bidi="ar-SA"/>
            </w:rPr>
            <w:t>癌症相关信号通路</w:t>
          </w:r>
          <w:r>
            <w:rPr>
              <w:rFonts w:ascii="Tahoma" w:hAnsi="Tahoma" w:eastAsia="微软雅黑" w:cs="Times New Roman"/>
              <w:sz w:val="22"/>
              <w:szCs w:val="22"/>
              <w:lang w:val="en-US" w:eastAsia="zh-CN" w:bidi="ar-SA"/>
            </w:rPr>
            <w:tab/>
          </w:r>
          <w:r>
            <w:rPr>
              <w:rFonts w:ascii="Tahoma" w:hAnsi="Tahoma" w:eastAsia="微软雅黑" w:cs="Times New Roman"/>
              <w:sz w:val="22"/>
              <w:szCs w:val="22"/>
              <w:lang w:val="en-US" w:eastAsia="zh-CN" w:bidi="ar-SA"/>
            </w:rPr>
            <w:fldChar w:fldCharType="end"/>
          </w:r>
          <w:r>
            <w:rPr>
              <w:rFonts w:hint="eastAsia" w:ascii="Tahoma" w:hAnsi="Tahoma" w:eastAsia="微软雅黑" w:cs="Times New Roman"/>
              <w:sz w:val="22"/>
              <w:szCs w:val="22"/>
              <w:lang w:val="en-US" w:eastAsia="zh-CN" w:bidi="ar-SA"/>
            </w:rPr>
            <w:t>63</w:t>
          </w:r>
        </w:p>
        <w:p w14:paraId="0F19E295">
          <w:pPr>
            <w:tabs>
              <w:tab w:val="right" w:pos="7700"/>
            </w:tabs>
            <w:adjustRightInd w:val="0"/>
            <w:snapToGrid w:val="0"/>
            <w:spacing w:after="0" w:line="312" w:lineRule="auto"/>
            <w:ind w:left="1980" w:leftChars="900"/>
            <w:rPr>
              <w:rFonts w:hint="default" w:ascii="Tahoma" w:hAnsi="Tahoma" w:eastAsia="微软雅黑" w:cs="Times New Roman"/>
              <w:sz w:val="22"/>
              <w:szCs w:val="22"/>
              <w:lang w:val="en-US" w:eastAsia="zh-CN" w:bidi="ar-SA"/>
            </w:rPr>
          </w:pP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"_Toc16989" </w:instrText>
          </w:r>
          <w:r>
            <w:rPr>
              <w:rFonts w:ascii="Tahoma" w:hAnsi="Tahoma" w:eastAsia="微软雅黑" w:cs="Times New Roman"/>
              <w:sz w:val="22"/>
              <w:szCs w:val="22"/>
              <w:lang w:val="en-US" w:eastAsia="zh-CN" w:bidi="ar-SA"/>
            </w:rPr>
            <w:fldChar w:fldCharType="separate"/>
          </w:r>
          <w:r>
            <w:rPr>
              <w:rFonts w:hint="eastAsia" w:ascii="微软雅黑" w:hAnsi="微软雅黑" w:eastAsia="微软雅黑" w:cs="Times New Roman"/>
              <w:sz w:val="22"/>
              <w:szCs w:val="24"/>
              <w:lang w:val="en-US" w:eastAsia="zh-CN" w:bidi="ar-SA"/>
            </w:rPr>
            <w:t>基因检测列表</w:t>
          </w:r>
          <w:r>
            <w:rPr>
              <w:rFonts w:ascii="Tahoma" w:hAnsi="Tahoma" w:eastAsia="微软雅黑" w:cs="Times New Roman"/>
              <w:sz w:val="22"/>
              <w:szCs w:val="22"/>
              <w:lang w:val="en-US" w:eastAsia="zh-CN" w:bidi="ar-SA"/>
            </w:rPr>
            <w:tab/>
          </w:r>
          <w:r>
            <w:rPr>
              <w:rFonts w:ascii="Tahoma" w:hAnsi="Tahoma" w:eastAsia="微软雅黑" w:cs="Times New Roman"/>
              <w:sz w:val="22"/>
              <w:szCs w:val="22"/>
              <w:lang w:val="en-US" w:eastAsia="zh-CN" w:bidi="ar-SA"/>
            </w:rPr>
            <w:fldChar w:fldCharType="end"/>
          </w:r>
          <w:r>
            <w:rPr>
              <w:rFonts w:hint="eastAsia" w:ascii="Tahoma" w:hAnsi="Tahoma" w:eastAsia="微软雅黑" w:cs="Times New Roman"/>
              <w:sz w:val="22"/>
              <w:szCs w:val="22"/>
              <w:lang w:val="en-US" w:eastAsia="zh-CN" w:bidi="ar-SA"/>
            </w:rPr>
            <w:t>73</w:t>
          </w:r>
        </w:p>
        <w:p w14:paraId="23DFAEBD">
          <w:pPr>
            <w:tabs>
              <w:tab w:val="right" w:pos="7700"/>
            </w:tabs>
            <w:adjustRightInd w:val="0"/>
            <w:snapToGrid w:val="0"/>
            <w:spacing w:after="0" w:line="312" w:lineRule="auto"/>
            <w:ind w:left="1980" w:leftChars="900"/>
            <w:rPr>
              <w:rFonts w:hint="default" w:ascii="Tahoma" w:hAnsi="Tahoma" w:eastAsia="微软雅黑" w:cs="Times New Roman"/>
              <w:sz w:val="22"/>
              <w:szCs w:val="22"/>
              <w:lang w:val="en-US" w:eastAsia="zh-CN" w:bidi="ar-SA"/>
            </w:rPr>
          </w:pP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"_Toc8115" </w:instrText>
          </w:r>
          <w:r>
            <w:rPr>
              <w:rFonts w:ascii="Tahoma" w:hAnsi="Tahoma" w:eastAsia="微软雅黑" w:cs="Times New Roman"/>
              <w:sz w:val="22"/>
              <w:szCs w:val="22"/>
              <w:lang w:val="en-US" w:eastAsia="zh-CN" w:bidi="ar-SA"/>
            </w:rPr>
            <w:fldChar w:fldCharType="separate"/>
          </w:r>
          <w:r>
            <w:rPr>
              <w:rFonts w:hint="eastAsia" w:ascii="微软雅黑" w:hAnsi="微软雅黑" w:eastAsia="微软雅黑" w:cs="Times New Roman"/>
              <w:sz w:val="22"/>
              <w:szCs w:val="24"/>
              <w:lang w:val="en-US" w:eastAsia="zh-CN" w:bidi="ar-SA"/>
            </w:rPr>
            <w:t>参考文献</w:t>
          </w:r>
          <w:r>
            <w:rPr>
              <w:rFonts w:ascii="Tahoma" w:hAnsi="Tahoma" w:eastAsia="微软雅黑" w:cs="Times New Roman"/>
              <w:sz w:val="22"/>
              <w:szCs w:val="22"/>
              <w:lang w:val="en-US" w:eastAsia="zh-CN" w:bidi="ar-SA"/>
            </w:rPr>
            <w:tab/>
          </w:r>
          <w:r>
            <w:rPr>
              <w:rFonts w:ascii="Tahoma" w:hAnsi="Tahoma" w:eastAsia="微软雅黑" w:cs="Times New Roman"/>
              <w:sz w:val="22"/>
              <w:szCs w:val="22"/>
              <w:lang w:val="en-US" w:eastAsia="zh-CN" w:bidi="ar-SA"/>
            </w:rPr>
            <w:fldChar w:fldCharType="end"/>
          </w:r>
          <w:r>
            <w:rPr>
              <w:rFonts w:hint="eastAsia" w:ascii="Tahoma" w:hAnsi="Tahoma" w:eastAsia="微软雅黑" w:cs="Times New Roman"/>
              <w:sz w:val="22"/>
              <w:szCs w:val="22"/>
              <w:lang w:val="en-US" w:eastAsia="zh-CN" w:bidi="ar-SA"/>
            </w:rPr>
            <w:t>75</w:t>
          </w:r>
        </w:p>
        <w:p w14:paraId="6E86B1AB">
          <w:pPr>
            <w:spacing w:after="0" w:line="312" w:lineRule="auto"/>
            <w:ind w:left="1980" w:leftChars="900"/>
            <w:jc w:val="both"/>
            <w:rPr>
              <w:b/>
              <w:bCs/>
              <w:color w:val="00C4D8"/>
              <w:sz w:val="44"/>
              <w:szCs w:val="44"/>
            </w:rPr>
            <w:sectPr>
              <w:footerReference r:id="rId8" w:type="default"/>
              <w:pgSz w:w="11906" w:h="16838"/>
              <w:pgMar w:top="1440" w:right="1526" w:bottom="1440" w:left="1800" w:header="708" w:footer="708" w:gutter="0"/>
              <w:cols w:space="708" w:num="1"/>
              <w:docGrid w:linePitch="360" w:charSpace="0"/>
            </w:sectPr>
          </w:pPr>
          <w:r>
            <w:rPr>
              <w:rFonts w:ascii="Tahoma" w:hAnsi="Tahoma" w:eastAsia="微软雅黑" w:cs="Times New Roman"/>
              <w:bCs/>
              <w:color w:val="00C4D8"/>
              <w:kern w:val="0"/>
              <w:sz w:val="22"/>
              <w:szCs w:val="44"/>
            </w:rPr>
            <w:fldChar w:fldCharType="end"/>
          </w:r>
        </w:p>
      </w:sdtContent>
    </w:sdt>
    <w:p w14:paraId="196C30E6">
      <w:pPr>
        <w:tabs>
          <w:tab w:val="left" w:pos="7492"/>
        </w:tabs>
        <w:adjustRightInd/>
        <w:snapToGrid/>
        <w:spacing w:line="220" w:lineRule="atLeast"/>
        <w:rPr>
          <w:rFonts w:ascii="微软雅黑" w:hAnsi="微软雅黑"/>
          <w:b/>
          <w:sz w:val="30"/>
          <w:szCs w:val="30"/>
        </w:rPr>
      </w:pPr>
      <w:r>
        <w:rPr>
          <w:rFonts w:hint="eastAsia" w:ascii="微软雅黑" w:hAnsi="微软雅黑"/>
          <w:b/>
          <w:sz w:val="30"/>
          <w:szCs w:val="30"/>
        </w:rPr>
        <w:tab/>
      </w:r>
    </w:p>
    <w:p w14:paraId="6D48FF65">
      <w:pPr>
        <w:pStyle w:val="29"/>
        <w:numPr>
          <w:ilvl w:val="255"/>
          <w:numId w:val="0"/>
        </w:numPr>
        <w:adjustRightInd/>
        <w:snapToGrid/>
        <w:spacing w:before="200" w:after="780" w:line="220" w:lineRule="atLeast"/>
        <w:jc w:val="center"/>
        <w:outlineLvl w:val="0"/>
        <w:rPr>
          <w:rFonts w:ascii="微软雅黑" w:hAnsi="微软雅黑"/>
          <w:b/>
          <w:color w:val="00C4D8"/>
          <w:sz w:val="36"/>
          <w:szCs w:val="36"/>
        </w:rPr>
      </w:pPr>
      <w:bookmarkStart w:id="16" w:name="_Toc8579"/>
      <w:bookmarkStart w:id="17" w:name="_Toc14886"/>
      <w:bookmarkStart w:id="18" w:name="_Toc10896"/>
      <w:bookmarkStart w:id="19" w:name="_Toc445"/>
      <w:bookmarkStart w:id="20" w:name="_Toc14336"/>
      <w:bookmarkStart w:id="21" w:name="_Toc12032"/>
      <w:bookmarkStart w:id="22" w:name="_Toc3165"/>
      <w:bookmarkStart w:id="23" w:name="_Toc12673"/>
      <w:bookmarkStart w:id="24" w:name="_Toc18057"/>
      <w:bookmarkStart w:id="25" w:name="_Toc20058"/>
      <w:bookmarkStart w:id="26" w:name="_Toc32538"/>
      <w:bookmarkStart w:id="27" w:name="_Toc4575"/>
      <w:bookmarkStart w:id="28" w:name="_Toc16016"/>
      <w:bookmarkStart w:id="29" w:name="_Toc14984"/>
      <w:bookmarkStart w:id="30" w:name="_Toc22635"/>
      <w:bookmarkStart w:id="31" w:name="_Toc1945"/>
      <w:bookmarkStart w:id="32" w:name="_Toc21484"/>
      <w:bookmarkStart w:id="33" w:name="_Toc24717"/>
      <w:bookmarkStart w:id="34" w:name="_Toc7206"/>
      <w:bookmarkStart w:id="35" w:name="_Toc31884"/>
      <w:bookmarkStart w:id="36" w:name="_Toc15404"/>
      <w:bookmarkStart w:id="37" w:name="_Toc29729"/>
      <w:bookmarkStart w:id="38" w:name="_Toc15999"/>
      <w:bookmarkStart w:id="39" w:name="_Toc26009"/>
      <w:bookmarkStart w:id="40" w:name="_Toc28396"/>
      <w:r>
        <w:rPr>
          <w:sz w:val="32"/>
        </w:rPr>
        <mc:AlternateContent>
          <mc:Choice Requires="wps">
            <w:drawing>
              <wp:anchor distT="0" distB="0" distL="114300" distR="114300" simplePos="0" relativeHeight="251678720" behindDoc="0" locked="0" layoutInCell="1" allowOverlap="1">
                <wp:simplePos x="0" y="0"/>
                <wp:positionH relativeFrom="column">
                  <wp:posOffset>2717800</wp:posOffset>
                </wp:positionH>
                <wp:positionV relativeFrom="paragraph">
                  <wp:posOffset>826135</wp:posOffset>
                </wp:positionV>
                <wp:extent cx="3056890" cy="609600"/>
                <wp:effectExtent l="0" t="0" r="0" b="0"/>
                <wp:wrapNone/>
                <wp:docPr id="1017" name="文本框 53"/>
                <wp:cNvGraphicFramePr/>
                <a:graphic xmlns:a="http://schemas.openxmlformats.org/drawingml/2006/main">
                  <a:graphicData uri="http://schemas.microsoft.com/office/word/2010/wordprocessingShape">
                    <wps:wsp>
                      <wps:cNvSpPr txBox="1"/>
                      <wps:spPr>
                        <a:xfrm>
                          <a:off x="3897630" y="1962150"/>
                          <a:ext cx="3056890" cy="609600"/>
                        </a:xfrm>
                        <a:prstGeom prst="rect">
                          <a:avLst/>
                        </a:prstGeom>
                        <a:noFill/>
                        <a:ln w="6350">
                          <a:noFill/>
                        </a:ln>
                        <a:effectLst/>
                      </wps:spPr>
                      <wps:txbx>
                        <w:txbxContent>
                          <w:p w14:paraId="56FCDDD9">
                            <w:pPr>
                              <w:pStyle w:val="29"/>
                              <w:numPr>
                                <w:ilvl w:val="255"/>
                                <w:numId w:val="0"/>
                              </w:numPr>
                              <w:adjustRightInd/>
                              <w:snapToGrid/>
                              <w:spacing w:after="300" w:line="220" w:lineRule="atLeast"/>
                              <w:outlineLvl w:val="1"/>
                              <w:rPr>
                                <w:rFonts w:ascii="微软雅黑" w:hAnsi="微软雅黑"/>
                                <w:b/>
                                <w:color w:val="00C4D8"/>
                                <w:sz w:val="32"/>
                                <w:szCs w:val="32"/>
                              </w:rPr>
                            </w:pPr>
                            <w:r>
                              <w:rPr>
                                <w:rFonts w:hint="eastAsia" w:ascii="微软雅黑" w:hAnsi="微软雅黑"/>
                                <w:b/>
                                <w:color w:val="00C4D8"/>
                                <w:sz w:val="32"/>
                                <w:szCs w:val="32"/>
                              </w:rPr>
                              <w:t>样本信息</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文本框 53" o:spid="_x0000_s1026" o:spt="202" type="#_x0000_t202" style="position:absolute;left:0pt;margin-left:214pt;margin-top:65.05pt;height:48pt;width:240.7pt;z-index:251678720;mso-width-relative:page;mso-height-relative:page;" filled="f" stroked="f" coordsize="21600,21600" o:gfxdata="UEsDBAoAAAAAAIdO4kAAAAAAAAAAAAAAAAAEAAAAZHJzL1BLAwQUAAAACACHTuJAcUZSqNsAAAAL AQAADwAAAGRycy9kb3ducmV2LnhtbE2Py07DMBRE90j8g3WR2FE7plRpiFOhSBUSgkVLN+xu4tsk wo8Quw/4esyqLEczmjlTrs7WsCNNYfBOQTYTwMi1Xg+uU7B7X9/lwEJEp9F4Rwq+KcCqur4qsdD+ 5DZ03MaOpRIXClTQxzgWnIe2J4th5kdyydv7yWJMcuq4nvCUyq3hUogFtzi4tNDjSHVP7ef2YBW8 1Os33DTS5j+mfn7dP41fu48HpW5vMvEILNI5XsLwh5/QoUpMjT84HZhRMJd5+hKTcS8yYCmxFMs5 sEaBlIsMeFXy/x+qX1BLAwQUAAAACACHTuJAtIJC4E4CAACEBAAADgAAAGRycy9lMm9Eb2MueG1s rVRLbtswEN0X6B0I7hvJduzEhuXATZCiQNAESIuuaYqyBPBXko6UHqC9QVbddN9z5Rx9pOQkTbvI oht6yHl+M/NmRsuTTklyI5xvjC7o6CCnRGhuykZvC/rp4/mbY0p8YLpk0mhR0Fvh6cnq9atlaxdi bGojS+EISLRftLagdQh2kWWe10Ixf2Cs0HBWxikWcHXbrHSsBbuS2TjPZ1lrXGmd4cJ7vJ71Tjow upcQmqpquDgzfKeEDj2rE5IFlOTrxnq6StlWleDhsqq8CEQWFJWGdCII7E08s9WSLbaO2brhQwrs JSk8q0mxRiPoA9UZC4zsXPMXlWq4M95U4YAblfWFJEVQxSh/ps11zaxItUBqbx9E9/+Pln+4uXKk KTEJ+eiIEs0Uen5/9/3+x6/7n9/IdBIlaq1fAHltgQ3dW9MBvn/3eIyVd5VT8Rc1Efgnx/Oj2QQy 3wI7n41H00Fs0QXCIyCfzo7nAHAgZvl8lidA9shknQ/vhFEkGgV1aGbSmN1c+ICsAN1DYmBtzhsp U0OlJi1IJ4j5hwf/kDq+iDQaA02srq8iWqHbdEPJG1PeomJn+rHxlp83SOWC+XDFHOYE2WOTwiWO ShqENINFSW3c13+9RzzaBy8lLeauoP7LjjlBiXyv0dj56PAQtCFdDqdHY1zcU8/mqUfv1KnBaI+w s5YnM+KD3JuVM+ozFm4do8LFNEfsgoa9eRr6bcDCcrFeJxBG07Jwoa8tj9S9hOtdMFWTdI8y9dqg CfGC4UztGBYpTv/Te0I9fjxWvwFQSwMECgAAAAAAh07iQAAAAAAAAAAAAAAAAAYAAABfcmVscy9Q SwMEFAAAAAgAh07iQIoUZjzRAAAAlAEAAAsAAABfcmVscy8ucmVsc6WQwWrDMAyG74O9g9F9cZrD GKNOL6PQa+kewNiKYxpbRjLZ+vbzDoNl9LajfqHvE//+8JkWtSJLpGxg1/WgMDvyMQcD75fj0wso qTZ7u1BGAzcUOIyPD/szLra2I5ljEdUoWQzMtZZXrcXNmKx0VDC3zUScbG0jB12su9qAeuj7Z82/ GTBumOrkDfDJD6Aut9LMf9gpOiahqXaOkqZpiu4eVQe2ZY7uyDbhG7lGsxywGvAsGgdqWdd+BH1f v/un3tNHPuO61X6HjOuPV2+6HL8AUEsDBBQAAAAIAIdO4kB+5uUg9wAAAOEBAAATAAAAW0NvbnRl bnRfVHlwZXNdLnhtbJWRQU7DMBBF90jcwfIWJU67QAgl6YK0S0CoHGBkTxKLZGx5TGhvj5O2G0SR WNoz/78nu9wcxkFMGNg6quQqL6RA0s5Y6ir5vt9lD1JwBDIwOMJKHpHlpr69KfdHjyxSmriSfYz+ USnWPY7AufNIadK6MEJMx9ApD/oDOlTrorhX2lFEilmcO2RdNtjC5xDF9pCuTyYBB5bi6bQ4syoJ 3g9WQ0ymaiLzg5KdCXlKLjvcW893SUOqXwnz5DrgnHtJTxOsQfEKIT7DmDSUCayM+6KAU/53yWw5 cuba1mrMm8BNir3hdLG61o5r1zj93/Ltkrp0q+WD6m9QSwECFAAUAAAACACHTuJAfublIPcAAADh AQAAEwAAAAAAAAABACAAAADCBAAAW0NvbnRlbnRfVHlwZXNdLnhtbFBLAQIUAAoAAAAAAIdO4kAA AAAAAAAAAAAAAAAGAAAAAAAAAAAAEAAAAKQDAABfcmVscy9QSwECFAAUAAAACACHTuJAihRmPNEA AACUAQAACwAAAAAAAAABACAAAADIAwAAX3JlbHMvLnJlbHNQSwECFAAKAAAAAACHTuJAAAAAAAAA AAAAAAAABAAAAAAAAAAAABAAAAAAAAAAZHJzL1BLAQIUABQAAAAIAIdO4kBxRlKo2wAAAAsBAAAP AAAAAAAAAAEAIAAAACIAAABkcnMvZG93bnJldi54bWxQSwECFAAUAAAACACHTuJAtIJC4E4CAACE BAAADgAAAAAAAAABACAAAAAqAQAAZHJzL2Uyb0RvYy54bWxQSwUGAAAAAAYABgBZAQAA6gUAAAAA ">
                <v:fill on="f" focussize="0,0"/>
                <v:stroke on="f" weight="0.5pt"/>
                <v:imagedata o:title=""/>
                <o:lock v:ext="edit" aspectratio="f"/>
                <v:textbox>
                  <w:txbxContent>
                    <w:p w14:paraId="56FCDDD9">
                      <w:pPr>
                        <w:pStyle w:val="29"/>
                        <w:numPr>
                          <w:ilvl w:val="255"/>
                          <w:numId w:val="0"/>
                        </w:numPr>
                        <w:adjustRightInd/>
                        <w:snapToGrid/>
                        <w:spacing w:after="300" w:line="220" w:lineRule="atLeast"/>
                        <w:outlineLvl w:val="1"/>
                        <w:rPr>
                          <w:rFonts w:ascii="微软雅黑" w:hAnsi="微软雅黑"/>
                          <w:b/>
                          <w:color w:val="00C4D8"/>
                          <w:sz w:val="32"/>
                          <w:szCs w:val="32"/>
                        </w:rPr>
                      </w:pPr>
                      <w:r>
                        <w:rPr>
                          <w:rFonts w:hint="eastAsia" w:ascii="微软雅黑" w:hAnsi="微软雅黑"/>
                          <w:b/>
                          <w:color w:val="00C4D8"/>
                          <w:sz w:val="32"/>
                          <w:szCs w:val="32"/>
                        </w:rPr>
                        <w:t>样本信息</w:t>
                      </w:r>
                    </w:p>
                  </w:txbxContent>
                </v:textbox>
              </v:shape>
            </w:pict>
          </mc:Fallback>
        </mc:AlternateContent>
      </w:r>
      <w:bookmarkEnd w:id="16"/>
      <w:bookmarkEnd w:id="17"/>
      <w:bookmarkEnd w:id="18"/>
      <w:bookmarkEnd w:id="19"/>
      <w:bookmarkEnd w:id="20"/>
      <w:bookmarkEnd w:id="21"/>
      <w:bookmarkEnd w:id="22"/>
      <w:bookmarkEnd w:id="23"/>
      <w:bookmarkEnd w:id="24"/>
      <w:bookmarkEnd w:id="25"/>
      <w:bookmarkEnd w:id="26"/>
      <w:bookmarkEnd w:id="27"/>
      <w:r>
        <w:rPr>
          <w:rFonts w:hint="eastAsia" w:ascii="微软雅黑" w:hAnsi="微软雅黑"/>
          <w:b/>
          <w:color w:val="00C4D8"/>
          <w:sz w:val="36"/>
          <w:szCs w:val="36"/>
        </w:rPr>
        <w:t>第一部分：</w:t>
      </w:r>
      <w:bookmarkEnd w:id="28"/>
      <w:bookmarkEnd w:id="29"/>
      <w:bookmarkEnd w:id="30"/>
      <w:bookmarkEnd w:id="31"/>
      <w:bookmarkEnd w:id="32"/>
      <w:bookmarkEnd w:id="33"/>
      <w:bookmarkEnd w:id="34"/>
      <w:bookmarkEnd w:id="35"/>
      <w:bookmarkEnd w:id="36"/>
      <w:bookmarkEnd w:id="37"/>
      <w:bookmarkEnd w:id="38"/>
      <w:r>
        <w:rPr>
          <w:rFonts w:hint="eastAsia" w:ascii="微软雅黑" w:hAnsi="微软雅黑"/>
          <w:b/>
          <w:color w:val="00C4D8"/>
          <w:sz w:val="36"/>
          <w:szCs w:val="36"/>
        </w:rPr>
        <w:t>基本信息</w:t>
      </w:r>
      <w:bookmarkEnd w:id="39"/>
      <w:bookmarkEnd w:id="40"/>
    </w:p>
    <w:p w14:paraId="70CD0809">
      <w:pPr>
        <w:pStyle w:val="29"/>
        <w:numPr>
          <w:ilvl w:val="255"/>
          <w:numId w:val="0"/>
        </w:numPr>
        <w:adjustRightInd/>
        <w:snapToGrid/>
        <w:spacing w:after="300" w:line="220" w:lineRule="atLeast"/>
        <w:outlineLvl w:val="0"/>
        <w:rPr>
          <w:rFonts w:ascii="微软雅黑" w:hAnsi="微软雅黑"/>
          <w:b/>
          <w:color w:val="00C4D8"/>
          <w:sz w:val="32"/>
          <w:szCs w:val="32"/>
        </w:rPr>
      </w:pPr>
      <w:bookmarkStart w:id="41" w:name="_Toc24274"/>
      <w:r>
        <w:rPr>
          <w:rFonts w:ascii="微软雅黑" w:hAnsi="微软雅黑"/>
          <w:b/>
          <w:color w:val="00C4D8"/>
          <w:sz w:val="32"/>
          <w:szCs w:val="32"/>
        </w:rPr>
        <mc:AlternateContent>
          <mc:Choice Requires="wps">
            <w:drawing>
              <wp:anchor distT="0" distB="0" distL="114300" distR="114300" simplePos="0" relativeHeight="251677696" behindDoc="0" locked="0" layoutInCell="1" allowOverlap="1">
                <wp:simplePos x="0" y="0"/>
                <wp:positionH relativeFrom="column">
                  <wp:posOffset>-52705</wp:posOffset>
                </wp:positionH>
                <wp:positionV relativeFrom="paragraph">
                  <wp:posOffset>386080</wp:posOffset>
                </wp:positionV>
                <wp:extent cx="2521585" cy="1905"/>
                <wp:effectExtent l="33655" t="23495" r="35560" b="69850"/>
                <wp:wrapNone/>
                <wp:docPr id="1018" name="直接连接符 51"/>
                <wp:cNvGraphicFramePr/>
                <a:graphic xmlns:a="http://schemas.openxmlformats.org/drawingml/2006/main">
                  <a:graphicData uri="http://schemas.microsoft.com/office/word/2010/wordprocessingShape">
                    <wps:wsp>
                      <wps:cNvCnPr/>
                      <wps:spPr>
                        <a:xfrm>
                          <a:off x="1040765" y="2446655"/>
                          <a:ext cx="2521585" cy="1905"/>
                        </a:xfrm>
                        <a:prstGeom prst="line">
                          <a:avLst/>
                        </a:prstGeom>
                        <a:noFill/>
                        <a:ln w="19050" cap="flat" cmpd="sng" algn="ctr">
                          <a:solidFill>
                            <a:srgbClr val="00C4D8"/>
                          </a:solidFill>
                          <a:prstDash val="sysDot"/>
                        </a:ln>
                        <a:effectLst>
                          <a:outerShdw blurRad="40000" dist="20000" dir="5400000" rotWithShape="0">
                            <a:srgbClr val="000000">
                              <a:alpha val="38000"/>
                            </a:srgbClr>
                          </a:outerShdw>
                        </a:effectLst>
                      </wps:spPr>
                      <wps:bodyPr/>
                    </wps:wsp>
                  </a:graphicData>
                </a:graphic>
              </wp:anchor>
            </w:drawing>
          </mc:Choice>
          <mc:Fallback>
            <w:pict>
              <v:line id="直接连接符 51" o:spid="_x0000_s1026" o:spt="20" style="position:absolute;left:0pt;margin-left:-4.15pt;margin-top:30.4pt;height:0.15pt;width:198.55pt;z-index:251677696;mso-width-relative:page;mso-height-relative:page;" filled="f" stroked="t" coordsize="21600,21600" o:gfxdata="UEsDBAoAAAAAAIdO4kAAAAAAAAAAAAAAAAAEAAAAZHJzL1BLAwQUAAAACACHTuJAqmkVt9cAAAAI AQAADwAAAGRycy9kb3ducmV2LnhtbE2PzU7DMBCE70i8g7VIXFBrh4pihTgVQuoRIQIcuLnx5kfE 6zR2mvL2LCe47e6MZr8pdmc/iBNOsQ9kIFsrEEh1cD21Bt7f9isNIiZLzg6B0MA3RtiVlxeFzV1Y 6BVPVWoFh1DMrYEupTGXMtYdehvXYURirQmTt4nXqZVusguH+0HeKrWV3vbEHzo74lOH9Vc1ewPH 8fP+OPfpZdL7m+bxo0nLXfVszPVVph5AJDynPzP84jM6lMx0CDO5KAYDK71hp4Gt4gasb7Tm4cCH LANZFvJ/gfIHUEsDBBQAAAAIAIdO4kBiazaDOAIAAFsEAAAOAAAAZHJzL2Uyb0RvYy54bWytVMGO 0zAQvSPxD5bvNElpSoma7qHRckFQsSDOruM0lhzb8rhN+xP8ABI3OHHcO3/D8hmMnVDKwmEP9OB6 7Mmb92Zesrw6doochANpdEmzSUqJ0NzUUu9K+u7t9ZMFJeCZrpkyWpT0JIBerR4/Wva2EFPTGlUL RxBEQ9Hbkrbe2yJJgLeiYzAxVmi8bIzrmMfQ7ZLasR7RO5VM03Se9MbV1hkuAPC0Gi7piOgeAmia RnJRGb7vhPYDqhOKeZQErbRAV5Ft0wjuXzcNCE9USVGpjysWwf02rMlqyYqdY7aVfKTAHkLhnqaO SY1Fz1AV84zsnfwLqpPcGTCNn3DTJYOQ2BFUkaX3enPTMiuiFmw12HPT4f/B8leHjSOyRiekGU5e sw5nfvfx9vuHzz++fcL17usXkmehUb2FAvPXeuPGCOzGBdXHxnXhH/WQY4Capc/mOSWnkk5ns/k8 z4dGi6MnHBOm+TTLF5jAMSN7nsbr5DeOdeBfCNORsCmpkjq0gRXs8BI81sbUXynhWJtrqVQcpdKk HyBxwpyhPxv0BW47ixpB7yhhaofG595FSDBK1uHxAARut10rRw4s2CVdz6pFII7l/kgLtSsG7ZAH J6iMH/OUDjgiOg+5hsDsvXA3bd2Trdq7Nwx5zFL8UVLLoA5fiiFAW+bxBq+c8e+lb6MDgk//wS4+ Fs6Zsi0buDxdBKyR8iAm0j9ziNEFvSQMdRhj2G1NfYrTjefouZg/vh/B1Jcx7i+/CaufUEsDBAoA AAAAAIdO4kAAAAAAAAAAAAAAAAAGAAAAX3JlbHMvUEsDBBQAAAAIAIdO4kCKFGY80QAAAJQBAAAL AAAAX3JlbHMvLnJlbHOlkMFqwzAMhu+DvYPRfXGawxijTi+j0GvpHsDYimMaW0Yy2fr28w6DZfS2 o36h7xP//vCZFrUiS6RsYNf1oDA78jEHA++X49MLKKk2e7tQRgM3FDiMjw/7My62tiOZYxHVKFkM zLWWV63FzZisdFQwt81EnGxtIwddrLvagHro+2fNvxkwbpjq5A3wyQ+gLrfSzH/YKTomoal2jpKm aYruHlUHtmWO7sg24Ru5RrMcsBrwLBoHalnXfgR9X7/7p97TRz7jutV+h4zrj1dvuhy/AFBLAwQU AAAACACHTuJAfublIPcAAADhAQAAEwAAAFtDb250ZW50X1R5cGVzXS54bWyVkUFOwzAQRfdI3MHy FiVOu0AIJemCtEtAqBxgZE8Si2RseUxob4+TthtEkVjaM/+/J7vcHMZBTBjYOqrkKi+kQNLOWOoq +b7fZQ9ScAQyMDjCSh6R5aa+vSn3R48sUpq4kn2M/lEp1j2OwLnzSGnSujBCTMfQKQ/6AzpU66K4 V9pRRIpZnDtkXTbYwucQxfaQrk8mAQeW4um0OLMqCd4PVkNMpmoi84OSnQl5Si473FvPd0lDql8J 8+Q64Jx7SU8TrEHxCiE+w5g0lAmsjPuigFP+d8lsOXLm2tZqzJvATYq94XSxutaOa9c4/d/y7ZK6 dKvlg+pvUEsBAhQAFAAAAAgAh07iQH7m5SD3AAAA4QEAABMAAAAAAAAAAQAgAAAAqAQAAFtDb250 ZW50X1R5cGVzXS54bWxQSwECFAAKAAAAAACHTuJAAAAAAAAAAAAAAAAABgAAAAAAAAAAABAAAACK AwAAX3JlbHMvUEsBAhQAFAAAAAgAh07iQIoUZjzRAAAAlAEAAAsAAAAAAAAAAQAgAAAArgMAAF9y ZWxzLy5yZWxzUEsBAhQACgAAAAAAh07iQAAAAAAAAAAAAAAAAAQAAAAAAAAAAAAQAAAAAAAAAGRy cy9QSwECFAAUAAAACACHTuJAqmkVt9cAAAAIAQAADwAAAAAAAAABACAAAAAiAAAAZHJzL2Rvd25y ZXYueG1sUEsBAhQAFAAAAAgAh07iQGJrNoM4AgAAWwQAAA4AAAAAAAAAAQAgAAAAJgEAAGRycy9l Mm9Eb2MueG1sUEsFBgAAAAAGAAYAWQEAANAFAAAAAA== ">
                <v:fill on="f" focussize="0,0"/>
                <v:stroke weight="1.5pt" color="#00C4D8" joinstyle="round" dashstyle="1 1"/>
                <v:imagedata o:title=""/>
                <o:lock v:ext="edit" aspectratio="f"/>
                <v:shadow on="t" color="#000000" opacity="24903f" offset="0pt,1.5748031496063pt" origin="0f,32768f" matrix="65536f,0f,0f,65536f"/>
              </v:line>
            </w:pict>
          </mc:Fallback>
        </mc:AlternateContent>
      </w:r>
      <w:r>
        <w:rPr>
          <w:rFonts w:ascii="微软雅黑" w:hAnsi="微软雅黑"/>
          <w:b/>
          <w:color w:val="00C4D8"/>
          <w:sz w:val="32"/>
          <w:szCs w:val="32"/>
        </w:rPr>
        <mc:AlternateContent>
          <mc:Choice Requires="wps">
            <w:drawing>
              <wp:anchor distT="0" distB="0" distL="114300" distR="114300" simplePos="0" relativeHeight="251668480" behindDoc="1" locked="0" layoutInCell="1" allowOverlap="1">
                <wp:simplePos x="0" y="0"/>
                <wp:positionH relativeFrom="column">
                  <wp:posOffset>2727960</wp:posOffset>
                </wp:positionH>
                <wp:positionV relativeFrom="paragraph">
                  <wp:posOffset>391795</wp:posOffset>
                </wp:positionV>
                <wp:extent cx="2538095" cy="1270"/>
                <wp:effectExtent l="33655" t="23495" r="38100" b="70485"/>
                <wp:wrapNone/>
                <wp:docPr id="1019" name="直接连接符 54"/>
                <wp:cNvGraphicFramePr/>
                <a:graphic xmlns:a="http://schemas.openxmlformats.org/drawingml/2006/main">
                  <a:graphicData uri="http://schemas.microsoft.com/office/word/2010/wordprocessingShape">
                    <wps:wsp>
                      <wps:cNvCnPr/>
                      <wps:spPr>
                        <a:xfrm>
                          <a:off x="0" y="0"/>
                          <a:ext cx="2538095" cy="1270"/>
                        </a:xfrm>
                        <a:prstGeom prst="line">
                          <a:avLst/>
                        </a:prstGeom>
                        <a:noFill/>
                        <a:ln w="19050" cap="flat" cmpd="sng" algn="ctr">
                          <a:solidFill>
                            <a:srgbClr val="00C4D8"/>
                          </a:solidFill>
                          <a:prstDash val="sysDot"/>
                        </a:ln>
                        <a:effectLst>
                          <a:outerShdw blurRad="40000" dist="20000" dir="5400000" rotWithShape="0">
                            <a:srgbClr val="000000">
                              <a:alpha val="38000"/>
                            </a:srgbClr>
                          </a:outerShdw>
                        </a:effectLst>
                      </wps:spPr>
                      <wps:bodyPr/>
                    </wps:wsp>
                  </a:graphicData>
                </a:graphic>
              </wp:anchor>
            </w:drawing>
          </mc:Choice>
          <mc:Fallback>
            <w:pict>
              <v:line id="直接连接符 54" o:spid="_x0000_s1026" o:spt="20" style="position:absolute;left:0pt;margin-left:214.8pt;margin-top:30.85pt;height:0.1pt;width:199.85pt;z-index:-251648000;mso-width-relative:page;mso-height-relative:page;" filled="f" stroked="t" coordsize="21600,21600" o:gfxdata="UEsDBAoAAAAAAIdO4kAAAAAAAAAAAAAAAAAEAAAAZHJzL1BLAwQUAAAACACHTuJANdBMZtkAAAAJ AQAADwAAAGRycy9kb3ducmV2LnhtbE2Py07DMBBF90j8gzVIbBB1EiBNQpwKIXWJEIEuunPjyUPE 49R2mvL3uCtYzszRnXPLzVmP7ITWDYYExKsIGFJj1ECdgK/P7X0GzHlJSo6GUMAPOthU11elLJRZ 6ANPte9YCCFXSAG991PBuWt61NKtzIQUbq2xWvow2o4rK5cQrkeeRFHKtRwofOjlhK89Nt/1rAUc p/36OA/+3Wbbu/Zl1/rlqX4T4vYmjp6BeTz7Pxgu+kEdquB0MDMpx0YBj0meBlRAGq+BBSBL8gdg h8siB16V/H+D6hdQSwMEFAAAAAgAh07iQP6y/JEvAgAATwQAAA4AAABkcnMvZTJvRG9jLnhtbK1U zY7TMBC+I/EOlu80aWmhjZruodFyQVCxIM6u4zSW/CeP27QvwQsgcYMTx73zNiyPwdgJpSwc9kAO jmc8/ub7ZiZZXh21IgfhQVpT0vEop0QYbmtpdiV99/b6yZwSCMzUTFkjSnoSQK9Wjx8tO1eIiW2t qoUnCGKg6FxJ2xBckWXAW6EZjKwTBg8b6zULaPpdVnvWIbpW2STPn2Wd9bXzlgsA9Fb9IR0Q/UMA bdNILirL91qY0KN6oVhASdBKB3SV2DaN4OF104AIRJUUlYa0YhLcb+OarZas2HnmWskHCuwhFO5p 0kwaTHqGqlhgZO/lX1Bacm/BNmHErc56IakiqGKc36vNTcucSFqw1ODORYf/B8tfHTaeyBonIR8v KDFMY8/vPt5+//D5x7dPuN59/UJm01iozkGB8Wuz8YMFbuOj6mPjdXyjHnJMxT2diyuOgXB0TmZP 5/liRgnHs/Hkeap99vuu8xBeCKtJ3JRUSROls4IdXkLAfBj6KyS6jb2WSqX2KUM6hFzkM+wqZziT Dc4CbrVDXWB2lDC1w2HnwSdIsErW8XoEAr/brpUnBxZHJF9Pq3kUi+n+CIu5KwZtHwcnqGwY4pSJ OCJNG3KNht0H4W/auiNbtfdvGPKY5vhQUsuoDj+E3sBRnKUTPPI2vJehTV2P5fsHu3Qt+plyLeu5 YFkRa6Dci0n0zxySdUEvi43sWxd3W1ufUkeTH+csxQ/fRBzkSxv3l/+B1U9QSwMECgAAAAAAh07i QAAAAAAAAAAAAAAAAAYAAABfcmVscy9QSwMEFAAAAAgAh07iQIoUZjzRAAAAlAEAAAsAAABfcmVs cy8ucmVsc6WQwWrDMAyG74O9g9F9cZrDGKNOL6PQa+kewNiKYxpbRjLZ+vbzDoNl9LajfqHvE//+ 8JkWtSJLpGxg1/WgMDvyMQcD75fj0wsoqTZ7u1BGAzcUOIyPD/szLra2I5ljEdUoWQzMtZZXrcXN mKx0VDC3zUScbG0jB12su9qAeuj7Z82/GTBumOrkDfDJD6Aut9LMf9gpOiahqXaOkqZpiu4eVQe2 ZY7uyDbhG7lGsxywGvAsGgdqWdd+BH1fv/un3tNHPuO61X6HjOuPV2+6HL8AUEsDBBQAAAAIAIdO 4kB+5uUg9wAAAOEBAAATAAAAW0NvbnRlbnRfVHlwZXNdLnhtbJWRQU7DMBBF90jcwfIWJU67QAgl 6YK0S0CoHGBkTxKLZGx5TGhvj5O2G0SRWNoz/78nu9wcxkFMGNg6quQqL6RA0s5Y6ir5vt9lD1Jw BDIwOMJKHpHlpr69KfdHjyxSmriSfYz+USnWPY7AufNIadK6MEJMx9ApD/oDOlTrorhX2lFEilmc O2RdNtjC5xDF9pCuTyYBB5bi6bQ4syoJ3g9WQ0ymaiLzg5KdCXlKLjvcW893SUOqXwnz5DrgnHtJ TxOsQfEKIT7DmDSUCayM+6KAU/53yWw5cuba1mrMm8BNir3hdLG61o5r1zj93/Ltkrp0q+WD6m9Q SwECFAAUAAAACACHTuJAfublIPcAAADhAQAAEwAAAAAAAAABACAAAAChBAAAW0NvbnRlbnRfVHlw ZXNdLnhtbFBLAQIUAAoAAAAAAIdO4kAAAAAAAAAAAAAAAAAGAAAAAAAAAAAAEAAAAIMDAABfcmVs cy9QSwECFAAUAAAACACHTuJAihRmPNEAAACUAQAACwAAAAAAAAABACAAAACnAwAAX3JlbHMvLnJl bHNQSwECFAAKAAAAAACHTuJAAAAAAAAAAAAAAAAABAAAAAAAAAAAABAAAAAAAAAAZHJzL1BLAQIU ABQAAAAIAIdO4kA10Exm2QAAAAkBAAAPAAAAAAAAAAEAIAAAACIAAABkcnMvZG93bnJldi54bWxQ SwECFAAUAAAACACHTuJA/rL8kS8CAABPBAAADgAAAAAAAAABACAAAAAoAQAAZHJzL2Uyb0RvYy54 bWxQSwUGAAAAAAYABgBZAQAAyQUAAAAA ">
                <v:fill on="f" focussize="0,0"/>
                <v:stroke weight="1.5pt" color="#00C4D8" joinstyle="round" dashstyle="1 1"/>
                <v:imagedata o:title=""/>
                <o:lock v:ext="edit" aspectratio="f"/>
                <v:shadow on="t" color="#000000" opacity="24903f" offset="0pt,1.5748031496063pt" origin="0f,32768f" matrix="65536f,0f,0f,65536f"/>
              </v:line>
            </w:pict>
          </mc:Fallback>
        </mc:AlternateContent>
      </w:r>
      <w:r>
        <w:rPr>
          <w:rFonts w:hint="eastAsia" w:ascii="微软雅黑" w:hAnsi="微软雅黑"/>
          <w:b/>
          <w:color w:val="00C4D8"/>
          <w:sz w:val="32"/>
          <w:szCs w:val="32"/>
        </w:rPr>
        <w:t>患者信息</w:t>
      </w:r>
      <w:bookmarkEnd w:id="41"/>
    </w:p>
    <w:tbl>
      <w:tblPr>
        <w:tblStyle w:val="16"/>
        <w:tblW w:w="8654" w:type="dxa"/>
        <w:tblInd w:w="0" w:type="dxa"/>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shd w:val="clear" w:color="auto" w:fill="DBEEF3" w:themeFill="accent5" w:themeFillTint="32"/>
        <w:tblLayout w:type="fixed"/>
        <w:tblCellMar>
          <w:top w:w="0" w:type="dxa"/>
          <w:left w:w="108" w:type="dxa"/>
          <w:bottom w:w="0" w:type="dxa"/>
          <w:right w:w="108" w:type="dxa"/>
        </w:tblCellMar>
      </w:tblPr>
      <w:tblGrid>
        <w:gridCol w:w="1557"/>
        <w:gridCol w:w="2629"/>
        <w:gridCol w:w="240"/>
        <w:gridCol w:w="1907"/>
        <w:gridCol w:w="2321"/>
      </w:tblGrid>
      <w:tr w14:paraId="01A15D79">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cantSplit/>
          <w:trHeight w:val="578" w:hRule="atLeast"/>
        </w:trPr>
        <w:tc>
          <w:tcPr>
            <w:tcW w:w="1557" w:type="dxa"/>
            <w:tcBorders>
              <w:tl2br w:val="nil"/>
              <w:tr2bl w:val="nil"/>
            </w:tcBorders>
            <w:shd w:val="clear" w:color="auto" w:fill="DBEEF3" w:themeFill="accent5" w:themeFillTint="32"/>
            <w:vAlign w:val="center"/>
          </w:tcPr>
          <w:p w14:paraId="3D922DAF">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b/>
                <w:kern w:val="2"/>
                <w:sz w:val="24"/>
                <w:szCs w:val="24"/>
              </w:rPr>
            </w:pPr>
            <w:bookmarkStart w:id="42" w:name="OLE_LINK60" w:colFirst="0" w:colLast="4"/>
            <w:r>
              <w:rPr>
                <w:rFonts w:hint="eastAsia" w:ascii="微软雅黑" w:hAnsi="微软雅黑"/>
                <w:b/>
                <w:kern w:val="2"/>
                <w:sz w:val="24"/>
                <w:szCs w:val="24"/>
              </w:rPr>
              <w:t>姓名：</w:t>
            </w:r>
          </w:p>
        </w:tc>
        <w:tc>
          <w:tcPr>
            <w:tcW w:w="2629" w:type="dxa"/>
            <w:tcBorders>
              <w:tl2br w:val="nil"/>
              <w:tr2bl w:val="nil"/>
            </w:tcBorders>
            <w:shd w:val="clear" w:color="auto" w:fill="DBEEF3" w:themeFill="accent5" w:themeFillTint="32"/>
            <w:vAlign w:val="center"/>
          </w:tcPr>
          <w:p w14:paraId="6B9A69E1">
            <w:pPr>
              <w:pStyle w:val="29"/>
              <w:keepNext w:val="0"/>
              <w:keepLines w:val="0"/>
              <w:widowControl/>
              <w:numPr>
                <w:ilvl w:val="255"/>
                <w:numId w:val="0"/>
              </w:numPr>
              <w:suppressLineNumbers w:val="0"/>
              <w:spacing w:before="0" w:beforeAutospacing="0" w:after="0" w:afterAutospacing="0"/>
              <w:ind w:left="0" w:right="0"/>
              <w:rPr>
                <w:rFonts w:hint="eastAsia" w:ascii="微软雅黑" w:hAnsi="微软雅黑" w:eastAsia="微软雅黑"/>
                <w:bCs/>
                <w:kern w:val="2"/>
                <w:sz w:val="24"/>
                <w:szCs w:val="24"/>
                <w:lang w:eastAsia="zh-CN"/>
              </w:rPr>
            </w:pPr>
            <w:r>
              <w:rPr>
                <w:rFonts w:hint="eastAsia" w:ascii="微软雅黑" w:hAnsi="微软雅黑"/>
                <w:bCs/>
                <w:kern w:val="2"/>
                <w:sz w:val="24"/>
                <w:szCs w:val="24"/>
                <w:lang w:eastAsia="zh-CN"/>
              </w:rPr>
              <w:t>{{ patient_name }}</w:t>
            </w:r>
          </w:p>
        </w:tc>
        <w:tc>
          <w:tcPr>
            <w:tcW w:w="240" w:type="dxa"/>
            <w:tcBorders>
              <w:tl2br w:val="nil"/>
              <w:tr2bl w:val="nil"/>
            </w:tcBorders>
            <w:shd w:val="clear" w:color="auto" w:fill="FFFFFF" w:themeFill="background1" w:themeFillTint="32"/>
            <w:vAlign w:val="center"/>
          </w:tcPr>
          <w:p w14:paraId="5E695D9E">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cs="微软雅黑"/>
                <w:bCs/>
                <w:kern w:val="2"/>
                <w:sz w:val="24"/>
                <w:szCs w:val="24"/>
              </w:rPr>
            </w:pPr>
          </w:p>
        </w:tc>
        <w:tc>
          <w:tcPr>
            <w:tcW w:w="1907" w:type="dxa"/>
            <w:tcBorders>
              <w:tl2br w:val="nil"/>
              <w:tr2bl w:val="nil"/>
            </w:tcBorders>
            <w:shd w:val="clear" w:color="auto" w:fill="DBEEF3" w:themeFill="accent5" w:themeFillTint="32"/>
            <w:vAlign w:val="center"/>
          </w:tcPr>
          <w:p w14:paraId="7D996789">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cs="微软雅黑"/>
                <w:bCs/>
                <w:kern w:val="2"/>
                <w:sz w:val="24"/>
                <w:szCs w:val="24"/>
              </w:rPr>
            </w:pPr>
            <w:r>
              <w:rPr>
                <w:rFonts w:hint="eastAsia" w:ascii="微软雅黑" w:hAnsi="微软雅黑"/>
                <w:b/>
                <w:kern w:val="2"/>
                <w:sz w:val="24"/>
                <w:szCs w:val="24"/>
              </w:rPr>
              <w:t>样本类型：</w:t>
            </w:r>
          </w:p>
        </w:tc>
        <w:tc>
          <w:tcPr>
            <w:tcW w:w="2321" w:type="dxa"/>
            <w:tcBorders>
              <w:tl2br w:val="nil"/>
              <w:tr2bl w:val="nil"/>
            </w:tcBorders>
            <w:shd w:val="clear" w:color="auto" w:fill="DBEEF3" w:themeFill="accent5" w:themeFillTint="32"/>
            <w:vAlign w:val="center"/>
          </w:tcPr>
          <w:p w14:paraId="71C77A2B">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cs="微软雅黑"/>
                <w:bCs/>
                <w:kern w:val="2"/>
                <w:sz w:val="24"/>
                <w:szCs w:val="24"/>
              </w:rPr>
            </w:pPr>
            <w:r>
              <w:rPr>
                <w:rFonts w:hint="eastAsia" w:ascii="微软雅黑" w:hAnsi="微软雅黑" w:cs="微软雅黑"/>
                <w:bCs/>
                <w:kern w:val="2"/>
                <w:sz w:val="24"/>
                <w:szCs w:val="24"/>
              </w:rPr>
              <w:t>{{ sample_type }}</w:t>
            </w:r>
            <w:r>
              <w:commentReference w:id="1"/>
            </w:r>
          </w:p>
        </w:tc>
      </w:tr>
      <w:tr w14:paraId="3110C11A">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cantSplit/>
          <w:trHeight w:val="578" w:hRule="atLeast"/>
        </w:trPr>
        <w:tc>
          <w:tcPr>
            <w:tcW w:w="1557" w:type="dxa"/>
            <w:tcBorders>
              <w:tl2br w:val="nil"/>
              <w:tr2bl w:val="nil"/>
            </w:tcBorders>
            <w:shd w:val="clear" w:color="auto" w:fill="DBEEF3" w:themeFill="accent5" w:themeFillTint="32"/>
            <w:vAlign w:val="center"/>
          </w:tcPr>
          <w:p w14:paraId="6A7EB1CD">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b/>
                <w:kern w:val="2"/>
                <w:sz w:val="24"/>
                <w:szCs w:val="24"/>
              </w:rPr>
            </w:pPr>
            <w:r>
              <w:rPr>
                <w:rFonts w:hint="eastAsia" w:ascii="微软雅黑" w:hAnsi="微软雅黑"/>
                <w:b/>
                <w:kern w:val="2"/>
                <w:sz w:val="24"/>
                <w:szCs w:val="24"/>
              </w:rPr>
              <w:t>性别：</w:t>
            </w:r>
          </w:p>
        </w:tc>
        <w:tc>
          <w:tcPr>
            <w:tcW w:w="2629" w:type="dxa"/>
            <w:tcBorders>
              <w:tl2br w:val="nil"/>
              <w:tr2bl w:val="nil"/>
            </w:tcBorders>
            <w:shd w:val="clear" w:color="auto" w:fill="DBEEF3" w:themeFill="accent5" w:themeFillTint="32"/>
            <w:vAlign w:val="center"/>
          </w:tcPr>
          <w:p w14:paraId="1A808895">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eastAsia="微软雅黑"/>
                <w:bCs/>
                <w:kern w:val="2"/>
                <w:sz w:val="24"/>
                <w:szCs w:val="24"/>
                <w:lang w:val="en-US" w:eastAsia="zh-CN"/>
              </w:rPr>
            </w:pPr>
            <w:r>
              <w:rPr>
                <w:rFonts w:hint="eastAsia" w:ascii="微软雅黑" w:hAnsi="微软雅黑"/>
                <w:bCs/>
                <w:kern w:val="2"/>
                <w:sz w:val="24"/>
                <w:szCs w:val="24"/>
                <w:lang w:val="en-US" w:eastAsia="zh-CN"/>
              </w:rPr>
              <w:t>{{ gender }}</w:t>
            </w:r>
          </w:p>
        </w:tc>
        <w:tc>
          <w:tcPr>
            <w:tcW w:w="240" w:type="dxa"/>
            <w:tcBorders>
              <w:tl2br w:val="nil"/>
              <w:tr2bl w:val="nil"/>
            </w:tcBorders>
            <w:shd w:val="clear" w:color="auto" w:fill="FFFFFF" w:themeFill="background1" w:themeFillTint="32"/>
            <w:vAlign w:val="center"/>
          </w:tcPr>
          <w:p w14:paraId="3ED49DBC">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bCs/>
                <w:kern w:val="2"/>
                <w:sz w:val="24"/>
                <w:szCs w:val="24"/>
              </w:rPr>
            </w:pPr>
          </w:p>
        </w:tc>
        <w:tc>
          <w:tcPr>
            <w:tcW w:w="1907" w:type="dxa"/>
            <w:tcBorders>
              <w:tl2br w:val="nil"/>
              <w:tr2bl w:val="nil"/>
            </w:tcBorders>
            <w:shd w:val="clear" w:color="auto" w:fill="DBEEF3" w:themeFill="accent5" w:themeFillTint="32"/>
            <w:vAlign w:val="center"/>
          </w:tcPr>
          <w:p w14:paraId="6615350A">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bCs/>
                <w:kern w:val="2"/>
                <w:sz w:val="24"/>
                <w:szCs w:val="24"/>
              </w:rPr>
            </w:pPr>
            <w:r>
              <w:rPr>
                <w:rFonts w:hint="eastAsia" w:ascii="微软雅黑" w:hAnsi="微软雅黑"/>
                <w:b/>
                <w:kern w:val="2"/>
                <w:sz w:val="24"/>
                <w:szCs w:val="24"/>
              </w:rPr>
              <w:t>取材手段：</w:t>
            </w:r>
          </w:p>
        </w:tc>
        <w:tc>
          <w:tcPr>
            <w:tcW w:w="2321" w:type="dxa"/>
            <w:tcBorders>
              <w:tl2br w:val="nil"/>
              <w:tr2bl w:val="nil"/>
            </w:tcBorders>
            <w:shd w:val="clear" w:color="auto" w:fill="DBEEF3" w:themeFill="accent5" w:themeFillTint="32"/>
            <w:vAlign w:val="center"/>
          </w:tcPr>
          <w:p w14:paraId="047695C8">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bCs/>
                <w:kern w:val="2"/>
                <w:sz w:val="24"/>
                <w:szCs w:val="24"/>
              </w:rPr>
            </w:pPr>
            <w:r>
              <w:rPr>
                <w:rFonts w:hint="eastAsia" w:ascii="微软雅黑" w:hAnsi="微软雅黑"/>
                <w:bCs/>
                <w:kern w:val="2"/>
                <w:sz w:val="24"/>
                <w:szCs w:val="24"/>
              </w:rPr>
              <w:t>-</w:t>
            </w:r>
          </w:p>
        </w:tc>
      </w:tr>
      <w:tr w14:paraId="5FCB214E">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shd w:val="clear" w:color="auto" w:fill="DBEEF3" w:themeFill="accent5" w:themeFillTint="32"/>
          <w:tblCellMar>
            <w:top w:w="0" w:type="dxa"/>
            <w:left w:w="108" w:type="dxa"/>
            <w:bottom w:w="0" w:type="dxa"/>
            <w:right w:w="108" w:type="dxa"/>
          </w:tblCellMar>
        </w:tblPrEx>
        <w:trPr>
          <w:cantSplit/>
          <w:trHeight w:val="578" w:hRule="atLeast"/>
        </w:trPr>
        <w:tc>
          <w:tcPr>
            <w:tcW w:w="1557" w:type="dxa"/>
            <w:tcBorders>
              <w:tl2br w:val="nil"/>
              <w:tr2bl w:val="nil"/>
            </w:tcBorders>
            <w:shd w:val="clear" w:color="auto" w:fill="DBEEF3" w:themeFill="accent5" w:themeFillTint="32"/>
            <w:vAlign w:val="center"/>
          </w:tcPr>
          <w:p w14:paraId="6546D31B">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b/>
                <w:kern w:val="2"/>
                <w:sz w:val="24"/>
                <w:szCs w:val="24"/>
              </w:rPr>
            </w:pPr>
            <w:r>
              <w:rPr>
                <w:rFonts w:hint="eastAsia" w:ascii="微软雅黑" w:hAnsi="微软雅黑"/>
                <w:b/>
                <w:kern w:val="2"/>
                <w:sz w:val="24"/>
                <w:szCs w:val="24"/>
              </w:rPr>
              <w:t>年龄：</w:t>
            </w:r>
          </w:p>
        </w:tc>
        <w:tc>
          <w:tcPr>
            <w:tcW w:w="2629" w:type="dxa"/>
            <w:tcBorders>
              <w:tl2br w:val="nil"/>
              <w:tr2bl w:val="nil"/>
            </w:tcBorders>
            <w:shd w:val="clear" w:color="auto" w:fill="DBEEF3" w:themeFill="accent5" w:themeFillTint="32"/>
            <w:vAlign w:val="center"/>
          </w:tcPr>
          <w:p w14:paraId="39D7E3D9">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eastAsia="微软雅黑"/>
                <w:bCs/>
                <w:kern w:val="2"/>
                <w:sz w:val="24"/>
                <w:szCs w:val="24"/>
                <w:lang w:val="en-US" w:eastAsia="zh-CN"/>
              </w:rPr>
            </w:pPr>
            <w:r>
              <w:rPr>
                <w:rFonts w:hint="eastAsia" w:ascii="微软雅黑" w:hAnsi="微软雅黑"/>
                <w:bCs/>
                <w:kern w:val="2"/>
                <w:sz w:val="24"/>
                <w:szCs w:val="24"/>
                <w:lang w:val="en-US" w:eastAsia="zh-CN"/>
              </w:rPr>
              <w:t>{{ age }}</w:t>
            </w:r>
          </w:p>
        </w:tc>
        <w:tc>
          <w:tcPr>
            <w:tcW w:w="240" w:type="dxa"/>
            <w:tcBorders>
              <w:tl2br w:val="nil"/>
              <w:tr2bl w:val="nil"/>
            </w:tcBorders>
            <w:shd w:val="clear" w:color="auto" w:fill="FFFFFF" w:themeFill="background1" w:themeFillTint="32"/>
            <w:vAlign w:val="center"/>
          </w:tcPr>
          <w:p w14:paraId="2ACA21FE">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bCs/>
                <w:kern w:val="2"/>
                <w:sz w:val="24"/>
                <w:szCs w:val="24"/>
              </w:rPr>
            </w:pPr>
          </w:p>
        </w:tc>
        <w:tc>
          <w:tcPr>
            <w:tcW w:w="1907" w:type="dxa"/>
            <w:tcBorders>
              <w:tl2br w:val="nil"/>
              <w:tr2bl w:val="nil"/>
            </w:tcBorders>
            <w:shd w:val="clear" w:color="auto" w:fill="DBEEF3" w:themeFill="accent5" w:themeFillTint="32"/>
            <w:vAlign w:val="center"/>
          </w:tcPr>
          <w:p w14:paraId="0CDC6A70">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bCs/>
                <w:kern w:val="2"/>
                <w:sz w:val="24"/>
                <w:szCs w:val="24"/>
              </w:rPr>
            </w:pPr>
            <w:r>
              <w:rPr>
                <w:rFonts w:hint="eastAsia" w:ascii="微软雅黑" w:hAnsi="微软雅黑"/>
                <w:b/>
                <w:kern w:val="2"/>
                <w:sz w:val="24"/>
                <w:szCs w:val="24"/>
              </w:rPr>
              <w:t>取材部位：</w:t>
            </w:r>
          </w:p>
        </w:tc>
        <w:tc>
          <w:tcPr>
            <w:tcW w:w="2321" w:type="dxa"/>
            <w:tcBorders>
              <w:tl2br w:val="nil"/>
              <w:tr2bl w:val="nil"/>
            </w:tcBorders>
            <w:shd w:val="clear" w:color="auto" w:fill="DBEEF3" w:themeFill="accent5" w:themeFillTint="32"/>
            <w:vAlign w:val="center"/>
          </w:tcPr>
          <w:p w14:paraId="7EC4F6C6">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bCs/>
                <w:kern w:val="2"/>
                <w:sz w:val="24"/>
                <w:szCs w:val="24"/>
              </w:rPr>
            </w:pPr>
            <w:r>
              <w:rPr>
                <w:rFonts w:hint="eastAsia" w:ascii="微软雅黑" w:hAnsi="微软雅黑"/>
                <w:bCs/>
                <w:kern w:val="2"/>
                <w:sz w:val="24"/>
                <w:szCs w:val="24"/>
              </w:rPr>
              <w:t>-</w:t>
            </w:r>
          </w:p>
        </w:tc>
      </w:tr>
      <w:tr w14:paraId="691C18D3">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shd w:val="clear" w:color="auto" w:fill="DBEEF3" w:themeFill="accent5" w:themeFillTint="32"/>
          <w:tblCellMar>
            <w:top w:w="0" w:type="dxa"/>
            <w:left w:w="108" w:type="dxa"/>
            <w:bottom w:w="0" w:type="dxa"/>
            <w:right w:w="108" w:type="dxa"/>
          </w:tblCellMar>
        </w:tblPrEx>
        <w:trPr>
          <w:cantSplit/>
          <w:trHeight w:val="578" w:hRule="atLeast"/>
        </w:trPr>
        <w:tc>
          <w:tcPr>
            <w:tcW w:w="1557" w:type="dxa"/>
            <w:tcBorders>
              <w:tl2br w:val="nil"/>
              <w:tr2bl w:val="nil"/>
            </w:tcBorders>
            <w:shd w:val="clear" w:color="auto" w:fill="DBEEF3" w:themeFill="accent5" w:themeFillTint="32"/>
            <w:vAlign w:val="center"/>
          </w:tcPr>
          <w:p w14:paraId="5FED2548">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b/>
                <w:kern w:val="2"/>
                <w:sz w:val="24"/>
                <w:szCs w:val="24"/>
              </w:rPr>
            </w:pPr>
            <w:r>
              <w:rPr>
                <w:rFonts w:hint="eastAsia" w:ascii="微软雅黑" w:hAnsi="微软雅黑"/>
                <w:b/>
                <w:kern w:val="2"/>
                <w:sz w:val="24"/>
                <w:szCs w:val="24"/>
              </w:rPr>
              <w:t>临床诊断：</w:t>
            </w:r>
          </w:p>
        </w:tc>
        <w:tc>
          <w:tcPr>
            <w:tcW w:w="2629" w:type="dxa"/>
            <w:tcBorders>
              <w:tl2br w:val="nil"/>
              <w:tr2bl w:val="nil"/>
            </w:tcBorders>
            <w:shd w:val="clear" w:color="auto" w:fill="DBEEF3" w:themeFill="accent5" w:themeFillTint="32"/>
            <w:vAlign w:val="center"/>
          </w:tcPr>
          <w:p w14:paraId="38816B10">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eastAsia="微软雅黑"/>
                <w:bCs/>
                <w:kern w:val="2"/>
                <w:sz w:val="24"/>
                <w:szCs w:val="24"/>
                <w:lang w:val="en-US" w:eastAsia="zh-CN"/>
              </w:rPr>
            </w:pPr>
            <w:r>
              <w:rPr>
                <w:rFonts w:hint="eastAsia" w:ascii="微软雅黑" w:hAnsi="微软雅黑"/>
                <w:bCs/>
                <w:kern w:val="2"/>
                <w:sz w:val="24"/>
                <w:szCs w:val="24"/>
                <w:lang w:val="en-US" w:eastAsia="zh-CN"/>
              </w:rPr>
              <w:t>{{ cancer_type }}</w:t>
            </w:r>
          </w:p>
        </w:tc>
        <w:tc>
          <w:tcPr>
            <w:tcW w:w="240" w:type="dxa"/>
            <w:tcBorders>
              <w:tl2br w:val="nil"/>
              <w:tr2bl w:val="nil"/>
            </w:tcBorders>
            <w:shd w:val="clear" w:color="auto" w:fill="FFFFFF" w:themeFill="background1" w:themeFillTint="32"/>
            <w:vAlign w:val="center"/>
          </w:tcPr>
          <w:p w14:paraId="69DE7E9C">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bCs/>
                <w:kern w:val="2"/>
                <w:sz w:val="24"/>
                <w:szCs w:val="24"/>
              </w:rPr>
            </w:pPr>
          </w:p>
        </w:tc>
        <w:tc>
          <w:tcPr>
            <w:tcW w:w="1907" w:type="dxa"/>
            <w:tcBorders>
              <w:tl2br w:val="nil"/>
              <w:tr2bl w:val="nil"/>
            </w:tcBorders>
            <w:shd w:val="clear" w:color="auto" w:fill="DBEEF3" w:themeFill="accent5" w:themeFillTint="32"/>
            <w:vAlign w:val="center"/>
          </w:tcPr>
          <w:p w14:paraId="2CF53269">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bCs/>
                <w:kern w:val="2"/>
                <w:sz w:val="24"/>
                <w:szCs w:val="24"/>
              </w:rPr>
            </w:pPr>
            <w:r>
              <w:rPr>
                <w:rFonts w:hint="eastAsia" w:ascii="微软雅黑" w:hAnsi="微软雅黑"/>
                <w:b/>
                <w:kern w:val="2"/>
                <w:sz w:val="24"/>
                <w:szCs w:val="24"/>
              </w:rPr>
              <w:t>项目编码：</w:t>
            </w:r>
          </w:p>
        </w:tc>
        <w:tc>
          <w:tcPr>
            <w:tcW w:w="2321" w:type="dxa"/>
            <w:tcBorders>
              <w:tl2br w:val="nil"/>
              <w:tr2bl w:val="nil"/>
            </w:tcBorders>
            <w:shd w:val="clear" w:color="auto" w:fill="DBEEF3" w:themeFill="accent5" w:themeFillTint="32"/>
            <w:vAlign w:val="center"/>
          </w:tcPr>
          <w:p w14:paraId="521B9166">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eastAsia="微软雅黑"/>
                <w:bCs/>
                <w:kern w:val="2"/>
                <w:sz w:val="24"/>
                <w:szCs w:val="24"/>
                <w:lang w:val="en-US" w:eastAsia="zh-CN"/>
              </w:rPr>
            </w:pPr>
            <w:r>
              <w:rPr>
                <w:rFonts w:hint="eastAsia" w:ascii="微软雅黑" w:hAnsi="微软雅黑"/>
                <w:bCs/>
                <w:kern w:val="2"/>
                <w:sz w:val="24"/>
                <w:szCs w:val="24"/>
                <w:lang w:eastAsia="zh-CN"/>
              </w:rPr>
              <w:t>{{ pathology_id }}</w:t>
            </w:r>
            <w:r>
              <w:rPr>
                <w:rFonts w:hint="eastAsia" w:ascii="微软雅黑" w:hAnsi="微软雅黑"/>
                <w:bCs/>
                <w:kern w:val="2"/>
                <w:sz w:val="24"/>
                <w:szCs w:val="24"/>
                <w:lang w:val="en-US" w:eastAsia="zh-CN"/>
              </w:rPr>
              <w:t/>
            </w:r>
            <w:r>
              <w:commentReference w:id="2"/>
            </w:r>
          </w:p>
        </w:tc>
      </w:tr>
      <w:bookmarkEnd w:id="42"/>
    </w:tbl>
    <w:p w14:paraId="2D23A9C5">
      <w:pPr>
        <w:tabs>
          <w:tab w:val="left" w:pos="6274"/>
        </w:tabs>
        <w:adjustRightInd/>
        <w:snapToGrid/>
        <w:spacing w:before="100" w:after="100" w:line="220" w:lineRule="atLeast"/>
        <w:jc w:val="both"/>
        <w:rPr>
          <w:rFonts w:ascii="微软雅黑" w:hAnsi="微软雅黑"/>
          <w:b/>
          <w:color w:val="0D0D0D" w:themeColor="text1" w:themeTint="F2"/>
          <w:sz w:val="18"/>
          <w:szCs w:val="18"/>
          <w14:textFill>
            <w14:solidFill>
              <w14:schemeClr w14:val="tx1">
                <w14:lumMod w14:val="95000"/>
                <w14:lumOff w14:val="5000"/>
              </w14:schemeClr>
            </w14:solidFill>
          </w14:textFill>
        </w:rPr>
      </w:pPr>
      <w:bookmarkStart w:id="43" w:name="_Toc14589"/>
      <w:bookmarkStart w:id="44" w:name="_Toc22529"/>
      <w:bookmarkStart w:id="45" w:name="_Toc3347"/>
      <w:bookmarkStart w:id="46" w:name="_Toc1619"/>
      <w:bookmarkStart w:id="47" w:name="_Toc31667"/>
      <w:bookmarkStart w:id="48" w:name="_Toc18728"/>
      <w:bookmarkStart w:id="49" w:name="_Toc16727"/>
      <w:bookmarkStart w:id="50" w:name="_Toc30103"/>
      <w:bookmarkStart w:id="51" w:name="_Toc5570"/>
      <w:bookmarkStart w:id="52" w:name="_Toc31893"/>
      <w:bookmarkStart w:id="53" w:name="_Toc5129"/>
      <w:r>
        <w:rPr>
          <w:rFonts w:hint="eastAsia" w:ascii="微软雅黑" w:hAnsi="微软雅黑"/>
          <w:b/>
          <w:color w:val="0D0D0D" w:themeColor="text1" w:themeTint="F2"/>
          <w:sz w:val="18"/>
          <w:szCs w:val="18"/>
          <w14:textFill>
            <w14:solidFill>
              <w14:schemeClr w14:val="tx1">
                <w14:lumMod w14:val="95000"/>
                <w14:lumOff w14:val="5000"/>
              </w14:schemeClr>
            </w14:solidFill>
          </w14:textFill>
        </w:rPr>
        <w:t>附注：以上受检者信息和样本信息均来自受检者送检时提供的信息，而非来自检测结果。本检测报告不对以上信息的准确性负责。</w:t>
      </w:r>
    </w:p>
    <w:p w14:paraId="4CC8F785">
      <w:pPr>
        <w:tabs>
          <w:tab w:val="left" w:pos="6274"/>
        </w:tabs>
        <w:adjustRightInd/>
        <w:snapToGrid/>
        <w:spacing w:before="400" w:line="220" w:lineRule="atLeast"/>
        <w:outlineLvl w:val="0"/>
        <w:rPr>
          <w:rFonts w:ascii="微软雅黑" w:hAnsi="微软雅黑"/>
          <w:b/>
          <w:sz w:val="32"/>
          <w:szCs w:val="32"/>
        </w:rPr>
      </w:pPr>
      <w:bookmarkStart w:id="54" w:name="_Toc17258"/>
      <w:bookmarkStart w:id="55" w:name="_Toc2382"/>
      <w:r>
        <w:rPr>
          <w:rFonts w:hint="eastAsia" w:ascii="微软雅黑" w:hAnsi="微软雅黑"/>
          <w:b/>
          <w:color w:val="00C4D8"/>
          <w:sz w:val="32"/>
          <w:szCs w:val="32"/>
        </w:rPr>
        <w:t>检测内容</w:t>
      </w:r>
      <w:bookmarkEnd w:id="43"/>
      <w:bookmarkEnd w:id="44"/>
      <w:bookmarkEnd w:id="45"/>
      <w:bookmarkEnd w:id="46"/>
      <w:bookmarkEnd w:id="47"/>
      <w:bookmarkEnd w:id="48"/>
      <w:bookmarkEnd w:id="49"/>
      <w:bookmarkEnd w:id="50"/>
      <w:bookmarkEnd w:id="51"/>
      <w:bookmarkEnd w:id="52"/>
      <w:bookmarkEnd w:id="53"/>
      <w:bookmarkEnd w:id="54"/>
      <w:bookmarkEnd w:id="55"/>
      <w:r>
        <w:rPr>
          <w:rFonts w:ascii="微软雅黑" w:hAnsi="微软雅黑"/>
          <w:b/>
          <w:sz w:val="32"/>
          <w:szCs w:val="32"/>
        </w:rPr>
        <w:tab/>
      </w:r>
    </w:p>
    <w:p w14:paraId="1652F277">
      <w:pPr>
        <w:spacing w:line="312" w:lineRule="auto"/>
        <w:ind w:firstLine="480" w:firstLineChars="200"/>
        <w:jc w:val="both"/>
        <w:rPr>
          <w:rFonts w:ascii="微软雅黑" w:hAnsi="微软雅黑" w:cs="LPJNJT+Arial Unicode MS"/>
          <w:sz w:val="24"/>
          <w:szCs w:val="24"/>
        </w:rPr>
      </w:pPr>
      <w:r>
        <w:rPr>
          <w:rFonts w:ascii="微软雅黑" w:hAnsi="微软雅黑" w:cs="LPJNJT+Arial Unicode MS"/>
          <w:sz w:val="24"/>
          <w:szCs w:val="24"/>
        </w:rPr>
        <w:t>对委托人</w:t>
      </w:r>
      <w:r>
        <w:rPr>
          <w:rFonts w:hint="eastAsia" w:ascii="微软雅黑" w:hAnsi="微软雅黑" w:cs="LPJNJT+Arial Unicode MS"/>
          <w:sz w:val="24"/>
          <w:szCs w:val="24"/>
          <w:u w:val="single"/>
        </w:rPr>
        <w:t xml:space="preserve">    组织    </w:t>
      </w:r>
      <w:r>
        <w:rPr>
          <w:rFonts w:ascii="微软雅黑" w:hAnsi="微软雅黑" w:cs="LPJNJT+Arial Unicode MS"/>
          <w:sz w:val="24"/>
          <w:szCs w:val="24"/>
        </w:rPr>
        <w:t xml:space="preserve">的 </w:t>
      </w:r>
      <w:r>
        <w:rPr>
          <w:rFonts w:ascii="微软雅黑" w:hAnsi="微软雅黑"/>
          <w:sz w:val="24"/>
          <w:szCs w:val="24"/>
        </w:rPr>
        <w:t xml:space="preserve">DNA </w:t>
      </w:r>
      <w:r>
        <w:rPr>
          <w:rFonts w:ascii="微软雅黑" w:hAnsi="微软雅黑" w:cs="LPJNJT+Arial Unicode MS"/>
          <w:sz w:val="24"/>
          <w:szCs w:val="24"/>
        </w:rPr>
        <w:t>样本</w:t>
      </w:r>
      <w:r>
        <w:rPr>
          <w:rFonts w:hint="eastAsia" w:ascii="微软雅黑" w:hAnsi="微软雅黑" w:cs="LPJNJT+Arial Unicode MS"/>
          <w:sz w:val="24"/>
          <w:szCs w:val="24"/>
        </w:rPr>
        <w:t>微卫星不稳定性（MSI）以及</w:t>
      </w:r>
      <w:r>
        <w:rPr>
          <w:rFonts w:ascii="微软雅黑" w:hAnsi="微软雅黑" w:cs="LPJNJT+Arial Unicode MS"/>
          <w:sz w:val="24"/>
          <w:szCs w:val="24"/>
        </w:rPr>
        <w:t>与肿瘤密切相关的</w:t>
      </w:r>
      <w:r>
        <w:rPr>
          <w:rFonts w:hint="eastAsia" w:ascii="微软雅黑" w:hAnsi="微软雅黑" w:cs="LPJNJT+Arial Unicode MS"/>
          <w:sz w:val="24"/>
          <w:szCs w:val="24"/>
          <w:lang w:eastAsia="zh-CN"/>
        </w:rPr>
        <w:t>358</w:t>
      </w:r>
      <w:r>
        <w:rPr>
          <w:rFonts w:ascii="微软雅黑" w:hAnsi="微软雅黑" w:cs="LPJNJT+Arial Unicode MS"/>
          <w:sz w:val="24"/>
          <w:szCs w:val="24"/>
        </w:rPr>
        <w:t>个基因进行</w:t>
      </w:r>
      <w:r>
        <w:rPr>
          <w:rFonts w:hint="eastAsia" w:ascii="微软雅黑" w:hAnsi="微软雅黑" w:cs="LPJNJT+Arial Unicode MS"/>
          <w:sz w:val="24"/>
          <w:szCs w:val="24"/>
        </w:rPr>
        <w:t>检测</w:t>
      </w:r>
      <w:r>
        <w:rPr>
          <w:rFonts w:ascii="微软雅黑" w:hAnsi="微软雅黑" w:cs="LPJNJT+Arial Unicode MS"/>
          <w:sz w:val="24"/>
          <w:szCs w:val="24"/>
        </w:rPr>
        <w:t>：</w:t>
      </w:r>
    </w:p>
    <w:p w14:paraId="415FEE6D">
      <w:pPr>
        <w:numPr>
          <w:ilvl w:val="0"/>
          <w:numId w:val="1"/>
        </w:numPr>
        <w:spacing w:after="0" w:line="312" w:lineRule="auto"/>
        <w:jc w:val="both"/>
        <w:rPr>
          <w:rFonts w:ascii="微软雅黑" w:hAnsi="微软雅黑" w:cs="LPJNJT+Arial Unicode MS"/>
          <w:sz w:val="24"/>
          <w:szCs w:val="24"/>
        </w:rPr>
      </w:pPr>
      <w:bookmarkStart w:id="56" w:name="OLE_LINK28"/>
      <w:r>
        <w:rPr>
          <w:rFonts w:hint="eastAsia" w:ascii="微软雅黑" w:hAnsi="微软雅黑" w:cs="LPJNJT+Arial Unicode MS"/>
          <w:sz w:val="24"/>
          <w:szCs w:val="24"/>
        </w:rPr>
        <w:t>分析样本微卫星不稳定性，给予用药提示。</w:t>
      </w:r>
    </w:p>
    <w:p w14:paraId="6909263C">
      <w:pPr>
        <w:spacing w:after="0" w:line="312" w:lineRule="auto"/>
        <w:jc w:val="both"/>
        <w:rPr>
          <w:rFonts w:ascii="微软雅黑" w:hAnsi="微软雅黑" w:cs="LPJNJT+Arial Unicode MS"/>
          <w:sz w:val="24"/>
          <w:szCs w:val="24"/>
        </w:rPr>
      </w:pPr>
      <w:r>
        <w:rPr>
          <w:rFonts w:hint="eastAsia" w:ascii="微软雅黑" w:hAnsi="微软雅黑" w:cs="LPJNJT+Arial Unicode MS"/>
          <w:sz w:val="24"/>
          <w:szCs w:val="24"/>
        </w:rPr>
        <w:t>2</w:t>
      </w:r>
      <w:r>
        <w:rPr>
          <w:rFonts w:ascii="微软雅黑" w:hAnsi="微软雅黑" w:cs="LPJNJT+Arial Unicode MS"/>
          <w:sz w:val="24"/>
          <w:szCs w:val="24"/>
        </w:rPr>
        <w:t xml:space="preserve">. </w:t>
      </w:r>
      <w:r>
        <w:rPr>
          <w:rFonts w:hint="eastAsia" w:ascii="微软雅黑" w:hAnsi="微软雅黑" w:cs="LPJNJT+Arial Unicode MS"/>
          <w:sz w:val="24"/>
          <w:szCs w:val="24"/>
        </w:rPr>
        <w:t>分析样本存在的基因变异情况，寻找与靶向/免疫药物相关的变异，给予用药提示与理论支持。</w:t>
      </w:r>
    </w:p>
    <w:bookmarkEnd w:id="56"/>
    <w:p w14:paraId="489EAF85">
      <w:pPr>
        <w:pStyle w:val="28"/>
        <w:widowControl w:val="0"/>
        <w:autoSpaceDE w:val="0"/>
        <w:autoSpaceDN w:val="0"/>
        <w:adjustRightInd w:val="0"/>
        <w:spacing w:before="0" w:after="0" w:line="312" w:lineRule="auto"/>
        <w:rPr>
          <w:rFonts w:ascii="微软雅黑" w:hAnsi="微软雅黑" w:eastAsia="微软雅黑" w:cs="LPJNJT+Arial Unicode MS"/>
          <w:sz w:val="24"/>
          <w:szCs w:val="24"/>
          <w:lang w:eastAsia="zh-CN"/>
        </w:rPr>
      </w:pPr>
    </w:p>
    <w:p w14:paraId="63B0A0F6">
      <w:pPr>
        <w:pStyle w:val="28"/>
        <w:widowControl w:val="0"/>
        <w:autoSpaceDE w:val="0"/>
        <w:autoSpaceDN w:val="0"/>
        <w:adjustRightInd w:val="0"/>
        <w:spacing w:line="312" w:lineRule="auto"/>
        <w:rPr>
          <w:rFonts w:ascii="微软雅黑" w:hAnsi="微软雅黑" w:eastAsia="微软雅黑" w:cs="OSTASS+åæä¸­å®"/>
          <w:color w:val="000000"/>
          <w:sz w:val="24"/>
          <w:szCs w:val="24"/>
          <w:lang w:eastAsia="zh-CN"/>
        </w:rPr>
      </w:pPr>
      <w:r>
        <w:rPr>
          <w:rFonts w:ascii="微软雅黑" w:hAnsi="微软雅黑" w:eastAsia="微软雅黑" w:cs="OSTASS+åæä¸­å®"/>
          <w:b/>
          <w:color w:val="000000"/>
          <w:sz w:val="24"/>
          <w:szCs w:val="24"/>
          <w:lang w:eastAsia="zh-CN"/>
        </w:rPr>
        <w:t>*</w:t>
      </w:r>
      <w:r>
        <w:rPr>
          <w:rFonts w:ascii="微软雅黑" w:hAnsi="微软雅黑" w:eastAsia="微软雅黑" w:cs="OSTASS+åæä¸­å®"/>
          <w:color w:val="000000"/>
          <w:sz w:val="24"/>
          <w:szCs w:val="24"/>
          <w:lang w:eastAsia="zh-CN"/>
        </w:rPr>
        <w:t>本检测只针对</w:t>
      </w:r>
      <w:r>
        <w:rPr>
          <w:rFonts w:ascii="微软雅黑" w:hAnsi="微软雅黑" w:eastAsia="微软雅黑"/>
          <w:color w:val="000000"/>
          <w:sz w:val="24"/>
          <w:szCs w:val="24"/>
          <w:lang w:eastAsia="zh-CN"/>
        </w:rPr>
        <w:t>DNA</w:t>
      </w:r>
      <w:r>
        <w:rPr>
          <w:rFonts w:ascii="微软雅黑" w:hAnsi="微软雅黑" w:eastAsia="微软雅黑" w:cs="OSTASS+åæä¸­å®"/>
          <w:color w:val="000000"/>
          <w:sz w:val="24"/>
          <w:szCs w:val="24"/>
          <w:lang w:eastAsia="zh-CN"/>
        </w:rPr>
        <w:t>水平（包括点突变</w:t>
      </w:r>
      <w:r>
        <w:rPr>
          <w:rFonts w:hint="eastAsia" w:ascii="微软雅黑" w:hAnsi="微软雅黑" w:eastAsia="微软雅黑" w:cs="OSTASS+åæä¸­å®"/>
          <w:color w:val="000000"/>
          <w:sz w:val="24"/>
          <w:szCs w:val="24"/>
          <w:lang w:eastAsia="zh-CN"/>
        </w:rPr>
        <w:t>、</w:t>
      </w:r>
      <w:r>
        <w:rPr>
          <w:rFonts w:ascii="微软雅黑" w:hAnsi="微软雅黑" w:eastAsia="微软雅黑" w:cs="OSTASS+åæä¸­å®"/>
          <w:color w:val="000000"/>
          <w:sz w:val="24"/>
          <w:szCs w:val="24"/>
          <w:lang w:eastAsia="zh-CN"/>
        </w:rPr>
        <w:t>小的缺失和插入</w:t>
      </w:r>
      <w:r>
        <w:rPr>
          <w:rFonts w:hint="eastAsia" w:ascii="微软雅黑" w:hAnsi="微软雅黑" w:eastAsia="微软雅黑" w:cs="OSTASS+åæä¸­å®"/>
          <w:color w:val="000000"/>
          <w:sz w:val="24"/>
          <w:szCs w:val="24"/>
          <w:lang w:eastAsia="zh-CN"/>
        </w:rPr>
        <w:t>、</w:t>
      </w:r>
      <w:r>
        <w:rPr>
          <w:rFonts w:ascii="微软雅黑" w:hAnsi="微软雅黑" w:eastAsia="微软雅黑" w:cs="OSTASS+åæä¸­å®"/>
          <w:color w:val="000000"/>
          <w:sz w:val="24"/>
          <w:szCs w:val="24"/>
          <w:lang w:eastAsia="zh-CN"/>
        </w:rPr>
        <w:t>拷贝数</w:t>
      </w:r>
      <w:r>
        <w:rPr>
          <w:rFonts w:hint="eastAsia" w:ascii="微软雅黑" w:hAnsi="微软雅黑" w:eastAsia="微软雅黑" w:cs="OSTASS+åæä¸­å®"/>
          <w:color w:val="000000"/>
          <w:sz w:val="24"/>
          <w:szCs w:val="24"/>
          <w:lang w:eastAsia="zh-CN"/>
        </w:rPr>
        <w:t>变异</w:t>
      </w:r>
      <w:r>
        <w:rPr>
          <w:rFonts w:ascii="微软雅黑" w:hAnsi="微软雅黑" w:eastAsia="微软雅黑" w:cs="OSTASS+åæä¸­å®"/>
          <w:color w:val="000000"/>
          <w:sz w:val="24"/>
          <w:szCs w:val="24"/>
          <w:lang w:eastAsia="zh-CN"/>
        </w:rPr>
        <w:t>和目前已知的融合基因），不涉及蛋白、</w:t>
      </w:r>
      <w:r>
        <w:rPr>
          <w:rFonts w:ascii="微软雅黑" w:hAnsi="微软雅黑" w:eastAsia="微软雅黑"/>
          <w:color w:val="000000"/>
          <w:sz w:val="24"/>
          <w:szCs w:val="24"/>
          <w:lang w:eastAsia="zh-CN"/>
        </w:rPr>
        <w:t>RNA</w:t>
      </w:r>
      <w:r>
        <w:rPr>
          <w:rFonts w:ascii="微软雅黑" w:hAnsi="微软雅黑" w:eastAsia="微软雅黑" w:cs="OSTASS+åæä¸­å®"/>
          <w:color w:val="000000"/>
          <w:sz w:val="24"/>
          <w:szCs w:val="24"/>
          <w:lang w:eastAsia="zh-CN"/>
        </w:rPr>
        <w:t>水平。</w:t>
      </w:r>
      <w:bookmarkStart w:id="57" w:name="_Toc3810"/>
      <w:bookmarkEnd w:id="57"/>
      <w:bookmarkStart w:id="58" w:name="_Toc8199"/>
      <w:bookmarkEnd w:id="58"/>
      <w:bookmarkStart w:id="59" w:name="_Toc5769"/>
      <w:bookmarkEnd w:id="59"/>
      <w:bookmarkStart w:id="60" w:name="_Toc20306"/>
      <w:bookmarkEnd w:id="60"/>
      <w:bookmarkStart w:id="61" w:name="_Toc30794"/>
      <w:bookmarkEnd w:id="61"/>
      <w:bookmarkStart w:id="62" w:name="_Toc7901"/>
      <w:bookmarkEnd w:id="62"/>
      <w:bookmarkStart w:id="63" w:name="_Toc23594"/>
      <w:bookmarkStart w:id="64" w:name="_Toc4168"/>
      <w:bookmarkStart w:id="65" w:name="_Toc26709"/>
      <w:bookmarkStart w:id="66" w:name="_Toc6361"/>
      <w:bookmarkStart w:id="67" w:name="_Toc28223"/>
      <w:bookmarkStart w:id="68" w:name="_Toc21519"/>
      <w:bookmarkStart w:id="69" w:name="_Toc26768"/>
      <w:bookmarkStart w:id="70" w:name="_Toc30443"/>
      <w:bookmarkStart w:id="71" w:name="_Toc12358"/>
      <w:bookmarkStart w:id="72" w:name="_Toc1330"/>
      <w:bookmarkStart w:id="73" w:name="_Toc30145"/>
      <w:bookmarkStart w:id="74" w:name="_Toc25481"/>
      <w:bookmarkStart w:id="75" w:name="_Toc10524"/>
    </w:p>
    <w:p w14:paraId="289E6EDC">
      <w:pPr>
        <w:rPr>
          <w:rFonts w:ascii="微软雅黑" w:hAnsi="微软雅黑" w:eastAsia="微软雅黑" w:cs="OSTASS+åæä¸­å®"/>
          <w:color w:val="000000"/>
          <w:sz w:val="24"/>
          <w:szCs w:val="24"/>
          <w:lang w:eastAsia="zh-CN"/>
        </w:rPr>
      </w:pPr>
      <w:r>
        <w:rPr>
          <w:rFonts w:ascii="微软雅黑" w:hAnsi="微软雅黑" w:eastAsia="微软雅黑" w:cs="OSTASS+åæä¸­å®"/>
          <w:color w:val="000000"/>
          <w:sz w:val="24"/>
          <w:szCs w:val="24"/>
          <w:lang w:eastAsia="zh-CN"/>
        </w:rPr>
        <w:br w:type="page"/>
      </w:r>
    </w:p>
    <w:p w14:paraId="3EA8B616">
      <w:pPr>
        <w:pStyle w:val="28"/>
        <w:widowControl w:val="0"/>
        <w:autoSpaceDE w:val="0"/>
        <w:autoSpaceDN w:val="0"/>
        <w:adjustRightInd w:val="0"/>
        <w:spacing w:line="312" w:lineRule="auto"/>
        <w:rPr>
          <w:rFonts w:ascii="微软雅黑" w:hAnsi="微软雅黑"/>
          <w:b/>
          <w:sz w:val="30"/>
          <w:szCs w:val="30"/>
        </w:rPr>
      </w:pPr>
      <w:r>
        <w:rPr>
          <w:rFonts w:hint="eastAsia" w:ascii="微软雅黑" w:hAnsi="微软雅黑"/>
          <w:b/>
          <w:sz w:val="30"/>
          <w:szCs w:val="30"/>
        </w:rPr>
        <w:tab/>
      </w:r>
    </w:p>
    <w:p w14:paraId="501053BD">
      <w:pPr>
        <w:pStyle w:val="29"/>
        <w:numPr>
          <w:ilvl w:val="255"/>
          <w:numId w:val="0"/>
        </w:numPr>
        <w:adjustRightInd/>
        <w:snapToGrid/>
        <w:spacing w:before="200" w:after="100" w:line="220" w:lineRule="atLeast"/>
        <w:jc w:val="center"/>
        <w:outlineLvl w:val="0"/>
        <w:rPr>
          <w:rFonts w:ascii="微软雅黑" w:hAnsi="微软雅黑"/>
          <w:b/>
          <w:color w:val="00C4D8"/>
          <w:sz w:val="32"/>
          <w:szCs w:val="32"/>
        </w:rPr>
      </w:pPr>
      <w:r>
        <w:rPr>
          <w:rFonts w:hint="eastAsia" w:ascii="微软雅黑" w:hAnsi="微软雅黑"/>
          <w:b/>
          <w:color w:val="00C4D8"/>
          <w:sz w:val="36"/>
          <w:szCs w:val="36"/>
        </w:rPr>
        <w:t>第二部分：检测结果</w:t>
      </w:r>
      <w:bookmarkEnd w:id="63"/>
      <w:bookmarkEnd w:id="64"/>
    </w:p>
    <w:p w14:paraId="5473502D">
      <w:pPr>
        <w:adjustRightInd/>
        <w:snapToGrid/>
        <w:spacing w:after="0" w:line="220" w:lineRule="atLeast"/>
        <w:outlineLvl w:val="0"/>
        <w:rPr>
          <w:rFonts w:ascii="微软雅黑" w:hAnsi="微软雅黑"/>
          <w:b/>
          <w:color w:val="00C4D8"/>
          <w:sz w:val="32"/>
          <w:szCs w:val="32"/>
        </w:rPr>
      </w:pPr>
      <w:bookmarkStart w:id="76" w:name="_Toc14194"/>
      <w:bookmarkStart w:id="77" w:name="_Toc27165"/>
      <w:r>
        <w:rPr>
          <w:rFonts w:ascii="微软雅黑" w:hAnsi="微软雅黑"/>
          <w:b/>
          <w:color w:val="00C4D8"/>
          <w:sz w:val="32"/>
          <w:szCs w:val="32"/>
        </w:rPr>
        <w:t>1.</w:t>
      </w:r>
      <w:r>
        <w:rPr>
          <w:rFonts w:hint="eastAsia" w:ascii="微软雅黑" w:hAnsi="微软雅黑"/>
          <w:b/>
          <w:color w:val="00C4D8"/>
          <w:sz w:val="32"/>
          <w:szCs w:val="32"/>
        </w:rPr>
        <w:t>检测结果小结</w:t>
      </w:r>
      <w:bookmarkEnd w:id="65"/>
      <w:bookmarkEnd w:id="66"/>
      <w:bookmarkEnd w:id="67"/>
      <w:bookmarkEnd w:id="68"/>
      <w:bookmarkEnd w:id="69"/>
      <w:bookmarkEnd w:id="70"/>
      <w:bookmarkEnd w:id="71"/>
      <w:bookmarkEnd w:id="72"/>
      <w:bookmarkEnd w:id="73"/>
      <w:bookmarkEnd w:id="74"/>
      <w:bookmarkEnd w:id="75"/>
      <w:bookmarkEnd w:id="76"/>
      <w:bookmarkEnd w:id="77"/>
    </w:p>
    <w:p w14:paraId="01671F87">
      <w:pPr>
        <w:pStyle w:val="29"/>
        <w:numPr>
          <w:ilvl w:val="0"/>
          <w:numId w:val="2"/>
        </w:numPr>
        <w:adjustRightInd/>
        <w:snapToGrid/>
        <w:spacing w:before="200" w:line="320" w:lineRule="exact"/>
        <w:ind w:firstLineChars="0"/>
        <w:rPr>
          <w:rFonts w:ascii="微软雅黑" w:hAnsi="微软雅黑"/>
          <w:b/>
          <w:color w:val="00C4D8"/>
          <w:sz w:val="28"/>
          <w:szCs w:val="28"/>
        </w:rPr>
      </w:pPr>
      <w:r>
        <w:rPr>
          <w:rFonts w:hint="eastAsia" w:ascii="微软雅黑" w:hAnsi="微软雅黑"/>
          <w:b/>
          <w:color w:val="00C4D8"/>
          <w:sz w:val="28"/>
          <w:szCs w:val="28"/>
        </w:rPr>
        <w:t>靶向药物相关体细胞变异用药提示</w:t>
      </w:r>
    </w:p>
    <w:tbl>
      <w:tblPr>
        <w:tblStyle w:val="16"/>
        <w:tblW w:w="82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70"/>
        <w:gridCol w:w="1758"/>
        <w:gridCol w:w="3530"/>
        <w:gridCol w:w="1837"/>
      </w:tblGrid>
      <w:tr w14:paraId="488B66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170" w:type="dxa"/>
            <w:shd w:val="clear" w:color="auto" w:fill="00C4D8"/>
            <w:vAlign w:val="center"/>
          </w:tcPr>
          <w:p w14:paraId="0AEF1315">
            <w:pPr>
              <w:keepNext w:val="0"/>
              <w:keepLines w:val="0"/>
              <w:widowControl/>
              <w:suppressLineNumbers w:val="0"/>
              <w:adjustRightInd/>
              <w:snapToGrid/>
              <w:spacing w:before="0" w:beforeAutospacing="0" w:after="0" w:afterAutospacing="0" w:line="320" w:lineRule="exact"/>
              <w:ind w:left="0" w:right="0"/>
              <w:jc w:val="center"/>
              <w:rPr>
                <w:rFonts w:hint="default" w:ascii="微软雅黑" w:hAnsi="微软雅黑" w:cs="微软雅黑"/>
                <w:b/>
                <w:bCs/>
                <w:color w:val="FFFFFF" w:themeColor="background1"/>
                <w:kern w:val="2"/>
                <w:sz w:val="18"/>
                <w:szCs w:val="18"/>
                <w14:textFill>
                  <w14:solidFill>
                    <w14:schemeClr w14:val="bg1"/>
                  </w14:solidFill>
                </w14:textFill>
              </w:rPr>
            </w:pPr>
            <w:bookmarkStart w:id="78" w:name="OLE_LINK9"/>
            <w:r>
              <w:rPr>
                <w:rFonts w:hint="eastAsia" w:ascii="微软雅黑" w:hAnsi="微软雅黑" w:cs="微软雅黑"/>
                <w:b/>
                <w:bCs/>
                <w:color w:val="FFFFFF" w:themeColor="background1"/>
                <w:kern w:val="2"/>
                <w:sz w:val="18"/>
                <w:szCs w:val="18"/>
                <w14:textFill>
                  <w14:solidFill>
                    <w14:schemeClr w14:val="bg1"/>
                  </w14:solidFill>
                </w14:textFill>
              </w:rPr>
              <w:t>基因</w:t>
            </w:r>
            <w:r>
              <w:commentReference w:id="3"/>
            </w:r>
          </w:p>
        </w:tc>
        <w:tc>
          <w:tcPr>
            <w:tcW w:w="1758" w:type="dxa"/>
            <w:shd w:val="clear" w:color="auto" w:fill="00C4D8"/>
            <w:vAlign w:val="center"/>
          </w:tcPr>
          <w:p w14:paraId="336B05FD">
            <w:pPr>
              <w:keepNext w:val="0"/>
              <w:keepLines w:val="0"/>
              <w:widowControl/>
              <w:suppressLineNumbers w:val="0"/>
              <w:adjustRightInd/>
              <w:snapToGrid/>
              <w:spacing w:before="0" w:beforeAutospacing="0" w:after="0" w:afterAutospacing="0" w:line="320" w:lineRule="exact"/>
              <w:ind w:left="0" w:right="0"/>
              <w:jc w:val="center"/>
              <w:rPr>
                <w:rFonts w:hint="default" w:ascii="微软雅黑" w:hAnsi="微软雅黑" w:cs="微软雅黑"/>
                <w:b/>
                <w:bCs/>
                <w:color w:val="FFFFFF" w:themeColor="background1"/>
                <w:kern w:val="2"/>
                <w:sz w:val="18"/>
                <w:szCs w:val="18"/>
                <w14:textFill>
                  <w14:solidFill>
                    <w14:schemeClr w14:val="bg1"/>
                  </w14:solidFill>
                </w14:textFill>
              </w:rPr>
            </w:pPr>
            <w:r>
              <w:rPr>
                <w:rFonts w:hint="eastAsia" w:ascii="微软雅黑" w:hAnsi="微软雅黑" w:cs="微软雅黑"/>
                <w:b/>
                <w:bCs/>
                <w:color w:val="FFFFFF" w:themeColor="background1"/>
                <w:kern w:val="2"/>
                <w:sz w:val="18"/>
                <w:szCs w:val="18"/>
                <w14:textFill>
                  <w14:solidFill>
                    <w14:schemeClr w14:val="bg1"/>
                  </w14:solidFill>
                </w14:textFill>
              </w:rPr>
              <w:t>突变位点</w:t>
            </w:r>
            <w:r>
              <w:commentReference w:id="4"/>
            </w:r>
          </w:p>
        </w:tc>
        <w:tc>
          <w:tcPr>
            <w:tcW w:w="3530" w:type="dxa"/>
            <w:shd w:val="clear" w:color="auto" w:fill="00C4D8"/>
            <w:vAlign w:val="center"/>
          </w:tcPr>
          <w:p w14:paraId="221172AA">
            <w:pPr>
              <w:keepNext w:val="0"/>
              <w:keepLines w:val="0"/>
              <w:widowControl/>
              <w:suppressLineNumbers w:val="0"/>
              <w:adjustRightInd/>
              <w:snapToGrid/>
              <w:spacing w:before="0" w:beforeAutospacing="0" w:after="0" w:afterAutospacing="0" w:line="320" w:lineRule="exact"/>
              <w:ind w:left="0" w:right="0"/>
              <w:jc w:val="center"/>
              <w:rPr>
                <w:rFonts w:hint="default" w:ascii="微软雅黑" w:hAnsi="微软雅黑" w:cs="微软雅黑"/>
                <w:b/>
                <w:bCs/>
                <w:color w:val="FFFFFF" w:themeColor="background1"/>
                <w:kern w:val="2"/>
                <w:sz w:val="18"/>
                <w:szCs w:val="18"/>
                <w14:textFill>
                  <w14:solidFill>
                    <w14:schemeClr w14:val="bg1"/>
                  </w14:solidFill>
                </w14:textFill>
              </w:rPr>
            </w:pPr>
            <w:r>
              <w:rPr>
                <w:rFonts w:hint="eastAsia" w:ascii="微软雅黑" w:hAnsi="微软雅黑" w:cs="微软雅黑"/>
                <w:b/>
                <w:bCs/>
                <w:color w:val="FFFFFF" w:themeColor="background1"/>
                <w:kern w:val="2"/>
                <w:sz w:val="18"/>
                <w:szCs w:val="18"/>
                <w14:textFill>
                  <w14:solidFill>
                    <w14:schemeClr w14:val="bg1"/>
                  </w14:solidFill>
                </w14:textFill>
              </w:rPr>
              <w:t>潜在获益靶向药物</w:t>
            </w:r>
            <w:r>
              <w:commentReference w:id="5"/>
            </w:r>
          </w:p>
          <w:p w14:paraId="32D95D25">
            <w:pPr>
              <w:keepNext w:val="0"/>
              <w:keepLines w:val="0"/>
              <w:widowControl/>
              <w:suppressLineNumbers w:val="0"/>
              <w:adjustRightInd/>
              <w:snapToGrid/>
              <w:spacing w:before="0" w:beforeAutospacing="0" w:after="0" w:afterAutospacing="0" w:line="320" w:lineRule="exact"/>
              <w:ind w:left="0" w:right="0"/>
              <w:jc w:val="center"/>
              <w:rPr>
                <w:rFonts w:hint="default" w:ascii="微软雅黑" w:hAnsi="微软雅黑" w:cs="微软雅黑"/>
                <w:b/>
                <w:bCs/>
                <w:color w:val="FFFFFF" w:themeColor="background1"/>
                <w:kern w:val="2"/>
                <w:sz w:val="18"/>
                <w:szCs w:val="18"/>
                <w14:textFill>
                  <w14:solidFill>
                    <w14:schemeClr w14:val="bg1"/>
                  </w14:solidFill>
                </w14:textFill>
              </w:rPr>
            </w:pPr>
            <w:r>
              <w:rPr>
                <w:rFonts w:hint="eastAsia" w:ascii="微软雅黑" w:hAnsi="微软雅黑" w:cs="微软雅黑"/>
                <w:b/>
                <w:bCs/>
                <w:color w:val="FFFFFF" w:themeColor="background1"/>
                <w:kern w:val="2"/>
                <w:sz w:val="18"/>
                <w:szCs w:val="18"/>
                <w14:textFill>
                  <w14:solidFill>
                    <w14:schemeClr w14:val="bg1"/>
                  </w14:solidFill>
                </w14:textFill>
              </w:rPr>
              <w:t>（证据等级）</w:t>
            </w:r>
          </w:p>
        </w:tc>
        <w:tc>
          <w:tcPr>
            <w:tcW w:w="1837" w:type="dxa"/>
            <w:shd w:val="clear" w:color="auto" w:fill="00C4D8"/>
            <w:vAlign w:val="center"/>
          </w:tcPr>
          <w:p w14:paraId="2774FB64">
            <w:pPr>
              <w:keepNext w:val="0"/>
              <w:keepLines w:val="0"/>
              <w:widowControl/>
              <w:suppressLineNumbers w:val="0"/>
              <w:adjustRightInd/>
              <w:snapToGrid/>
              <w:spacing w:before="0" w:beforeAutospacing="0" w:after="0" w:afterAutospacing="0" w:line="320" w:lineRule="exact"/>
              <w:ind w:left="0" w:right="0"/>
              <w:jc w:val="center"/>
              <w:rPr>
                <w:rFonts w:hint="default" w:ascii="微软雅黑" w:hAnsi="微软雅黑" w:cs="微软雅黑"/>
                <w:b/>
                <w:bCs/>
                <w:color w:val="FFFFFF" w:themeColor="background1"/>
                <w:kern w:val="2"/>
                <w:sz w:val="18"/>
                <w:szCs w:val="18"/>
                <w14:textFill>
                  <w14:solidFill>
                    <w14:schemeClr w14:val="bg1"/>
                  </w14:solidFill>
                </w14:textFill>
              </w:rPr>
            </w:pPr>
            <w:r>
              <w:rPr>
                <w:rFonts w:hint="eastAsia" w:ascii="微软雅黑" w:hAnsi="微软雅黑" w:cs="微软雅黑"/>
                <w:b/>
                <w:bCs/>
                <w:color w:val="FFFFFF" w:themeColor="background1"/>
                <w:kern w:val="2"/>
                <w:sz w:val="18"/>
                <w:szCs w:val="18"/>
                <w14:textFill>
                  <w14:solidFill>
                    <w14:schemeClr w14:val="bg1"/>
                  </w14:solidFill>
                </w14:textFill>
              </w:rPr>
              <w:t>可能耐药或慎重药物</w:t>
            </w:r>
          </w:p>
          <w:p w14:paraId="24316C50">
            <w:pPr>
              <w:keepNext w:val="0"/>
              <w:keepLines w:val="0"/>
              <w:widowControl/>
              <w:suppressLineNumbers w:val="0"/>
              <w:adjustRightInd/>
              <w:snapToGrid/>
              <w:spacing w:before="0" w:beforeAutospacing="0" w:after="0" w:afterAutospacing="0" w:line="320" w:lineRule="exact"/>
              <w:ind w:left="0" w:right="0"/>
              <w:jc w:val="center"/>
              <w:rPr>
                <w:rFonts w:hint="default" w:ascii="微软雅黑" w:hAnsi="微软雅黑" w:cs="微软雅黑"/>
                <w:b/>
                <w:color w:val="00C4D8"/>
                <w:kern w:val="2"/>
                <w:sz w:val="18"/>
                <w:szCs w:val="18"/>
              </w:rPr>
            </w:pPr>
            <w:r>
              <w:rPr>
                <w:rFonts w:hint="eastAsia" w:ascii="微软雅黑" w:hAnsi="微软雅黑" w:cs="微软雅黑"/>
                <w:b/>
                <w:bCs/>
                <w:color w:val="FFFFFF" w:themeColor="background1"/>
                <w:kern w:val="2"/>
                <w:sz w:val="18"/>
                <w:szCs w:val="18"/>
                <w14:textFill>
                  <w14:solidFill>
                    <w14:schemeClr w14:val="bg1"/>
                  </w14:solidFill>
                </w14:textFill>
              </w:rPr>
              <w:t>（证据等级）</w:t>
            </w:r>
          </w:p>
        </w:tc>
      </w:tr>
      <w:tr>
        <w:trPr>
          <w:trHeight w:val="0" w:hRule="auto"/>
        </w:trPr>
        <w:tc>
          <w:tcPr>
            <w:tcW w:w="0" w:type="auto"/>
          </w:tcPr>
          <w:p>
            <w:r>
              <w:t>{%tr for row in variants %}</w:t>
            </w:r>
          </w:p>
        </w:tc>
      </w:tr>
      <w:tr w14:paraId="4DB29A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2" w:hRule="atLeast"/>
          <w:jc w:val="center"/>
        </w:trPr>
        <w:tc>
          <w:tcPr>
            <w:tcW w:w="1170" w:type="dxa"/>
            <w:shd w:val="clear" w:color="auto" w:fill="auto"/>
            <w:vAlign w:val="center"/>
          </w:tcPr>
          <w:p w14:paraId="55710990">
            <w:pPr>
              <w:keepNext w:val="0"/>
              <w:keepLines w:val="0"/>
              <w:widowControl/>
              <w:suppressLineNumbers w:val="0"/>
              <w:adjustRightInd/>
              <w:snapToGrid/>
              <w:spacing w:before="0" w:beforeAutospacing="0" w:after="0" w:afterAutospacing="0" w:line="220" w:lineRule="atLeast"/>
              <w:ind w:left="0" w:right="0"/>
              <w:jc w:val="center"/>
              <w:rPr>
                <w:rFonts w:hint="eastAsia" w:ascii="微软雅黑" w:hAnsi="微软雅黑" w:eastAsia="微软雅黑" w:cs="微软雅黑"/>
                <w:color w:val="0000FF"/>
                <w:kern w:val="2"/>
                <w:sz w:val="18"/>
                <w:szCs w:val="18"/>
                <w:u w:val="single"/>
                <w:lang w:val="en-US" w:eastAsia="zh-CN" w:bidi="ar-SA"/>
              </w:rPr>
            </w:pPr>
            <w:r>
              <w:rPr>
                <w:rFonts w:hint="eastAsia" w:ascii="微软雅黑" w:hAnsi="微软雅黑" w:cs="微软雅黑"/>
                <w:bCs/>
                <w:color w:val="0000FF"/>
                <w:kern w:val="2"/>
                <w:sz w:val="18"/>
                <w:szCs w:val="18"/>
                <w:u w:val="single"/>
              </w:rPr>
              <w:t>{{ row.gene }}</w:t>
            </w:r>
          </w:p>
        </w:tc>
        <w:tc>
          <w:tcPr>
            <w:tcW w:w="1758" w:type="dxa"/>
            <w:shd w:val="clear" w:color="auto" w:fill="auto"/>
            <w:vAlign w:val="center"/>
          </w:tcPr>
          <w:p w14:paraId="58C4FDB7">
            <w:pPr>
              <w:keepNext w:val="0"/>
              <w:keepLines w:val="0"/>
              <w:widowControl/>
              <w:suppressLineNumbers w:val="0"/>
              <w:spacing w:before="0" w:beforeAutospacing="0" w:after="0" w:afterAutospacing="0" w:line="220" w:lineRule="atLeast"/>
              <w:ind w:left="0" w:right="0"/>
              <w:jc w:val="center"/>
              <w:rPr>
                <w:rFonts w:hint="default" w:ascii="微软雅黑" w:hAnsi="微软雅黑" w:cs="微软雅黑"/>
                <w:bCs/>
                <w:kern w:val="2"/>
                <w:sz w:val="18"/>
                <w:szCs w:val="18"/>
              </w:rPr>
            </w:pPr>
            <w:r>
              <w:rPr>
                <w:rFonts w:hint="eastAsia" w:ascii="微软雅黑" w:hAnsi="微软雅黑" w:cs="微软雅黑"/>
                <w:bCs/>
                <w:kern w:val="2"/>
                <w:sz w:val="18"/>
                <w:szCs w:val="18"/>
              </w:rPr>
              <w:t>{{ row.cHGVS }},</w:t>
            </w:r>
          </w:p>
          <w:p w14:paraId="5981CA6E">
            <w:pPr>
              <w:keepNext w:val="0"/>
              <w:keepLines w:val="0"/>
              <w:widowControl/>
              <w:suppressLineNumbers w:val="0"/>
              <w:spacing w:before="0" w:beforeAutospacing="0" w:after="0" w:afterAutospacing="0" w:line="220" w:lineRule="atLeast"/>
              <w:ind w:left="0" w:right="0"/>
              <w:jc w:val="center"/>
              <w:rPr>
                <w:rFonts w:hint="eastAsia" w:ascii="微软雅黑" w:hAnsi="微软雅黑" w:eastAsia="微软雅黑" w:cs="微软雅黑"/>
                <w:bCs/>
                <w:kern w:val="2"/>
                <w:sz w:val="18"/>
                <w:szCs w:val="18"/>
                <w:lang w:val="en-US" w:eastAsia="zh-CN" w:bidi="ar"/>
              </w:rPr>
            </w:pPr>
            <w:r>
              <w:rPr>
                <w:rFonts w:hint="eastAsia" w:ascii="微软雅黑" w:hAnsi="微软雅黑" w:cs="微软雅黑"/>
                <w:bCs/>
                <w:kern w:val="2"/>
                <w:sz w:val="18"/>
                <w:szCs w:val="18"/>
              </w:rPr>
              <w:t>{{ row.pHGVS }}</w:t>
            </w:r>
          </w:p>
        </w:tc>
        <w:tc>
          <w:tcPr>
            <w:tcW w:w="3530" w:type="dxa"/>
            <w:shd w:val="clear" w:color="auto" w:fill="auto"/>
            <w:vAlign w:val="center"/>
          </w:tcPr>
          <w:p w14:paraId="29974C93">
            <w:pPr>
              <w:keepNext w:val="0"/>
              <w:keepLines w:val="0"/>
              <w:widowControl/>
              <w:suppressLineNumbers w:val="0"/>
              <w:adjustRightInd/>
              <w:snapToGrid/>
              <w:spacing w:before="0" w:beforeAutospacing="0" w:after="0" w:afterAutospacing="0" w:line="220" w:lineRule="atLeast"/>
              <w:ind w:left="0" w:right="0"/>
              <w:jc w:val="center"/>
              <w:rPr>
                <w:rFonts w:hint="eastAsia" w:ascii="微软雅黑" w:hAnsi="微软雅黑" w:eastAsia="微软雅黑" w:cs="微软雅黑"/>
                <w:bCs/>
                <w:color w:val="0000FF"/>
                <w:kern w:val="2"/>
                <w:sz w:val="18"/>
                <w:szCs w:val="18"/>
                <w:u w:val="single"/>
                <w:lang w:val="en-US" w:eastAsia="zh-CN"/>
              </w:rPr>
            </w:pPr>
            <w:r>
              <w:rPr>
                <w:rFonts w:hint="eastAsia" w:ascii="微软雅黑" w:hAnsi="微软雅黑" w:eastAsia="微软雅黑" w:cs="微软雅黑"/>
                <w:bCs/>
                <w:color w:val="0000FF"/>
                <w:kern w:val="2"/>
                <w:sz w:val="18"/>
                <w:szCs w:val="18"/>
                <w:u w:val="single"/>
                <w:lang w:val="en-US" w:eastAsia="zh-CN"/>
              </w:rPr>
              <w:t>{{ row.benefit_drugs }}</w:t>
            </w:r>
          </w:p>
        </w:tc>
        <w:tc>
          <w:tcPr>
            <w:tcW w:w="1837" w:type="dxa"/>
            <w:shd w:val="clear" w:color="auto" w:fill="auto"/>
            <w:vAlign w:val="center"/>
          </w:tcPr>
          <w:p w14:paraId="6E083D7D">
            <w:pPr>
              <w:keepNext w:val="0"/>
              <w:keepLines w:val="0"/>
              <w:widowControl/>
              <w:suppressLineNumbers w:val="0"/>
              <w:adjustRightInd/>
              <w:snapToGrid/>
              <w:spacing w:before="0" w:beforeAutospacing="0" w:after="0" w:afterAutospacing="0" w:line="220" w:lineRule="atLeast"/>
              <w:ind w:left="0" w:leftChars="0" w:right="0" w:rightChars="0"/>
              <w:jc w:val="center"/>
              <w:rPr>
                <w:rFonts w:hint="eastAsia" w:ascii="微软雅黑" w:hAnsi="微软雅黑" w:eastAsia="微软雅黑" w:cs="微软雅黑"/>
                <w:bCs/>
                <w:color w:val="0000FF"/>
                <w:kern w:val="2"/>
                <w:sz w:val="18"/>
                <w:szCs w:val="18"/>
                <w:u w:val="single"/>
                <w:lang w:val="en-US" w:eastAsia="zh-CN" w:bidi="ar-SA"/>
              </w:rPr>
            </w:pPr>
            <w:r>
              <w:rPr>
                <w:rFonts w:hint="eastAsia" w:ascii="微软雅黑" w:hAnsi="微软雅黑" w:eastAsia="微软雅黑" w:cs="微软雅黑"/>
                <w:bCs/>
                <w:kern w:val="2"/>
                <w:sz w:val="18"/>
                <w:szCs w:val="18"/>
              </w:rPr>
              <w:t>{{ row.caution_drugs }}</w:t>
            </w:r>
          </w:p>
        </w:tc>
      </w:tr>
      <w:tr>
        <w:trPr>
          <w:trHeight w:val="0" w:hRule="auto"/>
        </w:trPr>
        <w:tc>
          <w:tcPr>
            <w:tcW w:w="0" w:type="auto"/>
          </w:tcPr>
          <w:p>
            <w:r>
              <w:t>{%tr endfor %}</w:t>
            </w:r>
          </w:p>
        </w:tc>
      </w:tr>
      <w:bookmarkEnd w:id="78"/>
    </w:tbl>
    <w:p w14:paraId="7B1239DF">
      <w:pPr>
        <w:adjustRightInd/>
        <w:snapToGrid/>
        <w:spacing w:after="260"/>
        <w:jc w:val="both"/>
        <w:rPr>
          <w:rFonts w:hint="eastAsia" w:ascii="微软雅黑" w:hAnsi="微软雅黑" w:eastAsia="微软雅黑" w:cs="微软雅黑"/>
          <w:kern w:val="2"/>
          <w:sz w:val="18"/>
          <w:szCs w:val="18"/>
        </w:rPr>
      </w:pPr>
      <w:r>
        <w:rPr>
          <w:rFonts w:hint="eastAsia" w:ascii="微软雅黑" w:hAnsi="微软雅黑" w:eastAsia="微软雅黑" w:cs="微软雅黑"/>
          <w:kern w:val="2"/>
          <w:sz w:val="18"/>
          <w:szCs w:val="18"/>
        </w:rPr>
        <w:t>*本次共检出体细胞变异：</w:t>
      </w:r>
      <w:r>
        <w:rPr>
          <w:rFonts w:hint="eastAsia" w:ascii="微软雅黑" w:hAnsi="微软雅黑" w:cs="微软雅黑"/>
          <w:kern w:val="2"/>
          <w:sz w:val="18"/>
          <w:szCs w:val="18"/>
          <w:lang w:val="en-US" w:eastAsia="zh-CN"/>
        </w:rPr>
        <w:t>{{ total_variants_count }}</w:t>
      </w:r>
      <w:r>
        <w:rPr>
          <w:rFonts w:hint="eastAsia" w:ascii="微软雅黑" w:hAnsi="微软雅黑" w:eastAsia="微软雅黑" w:cs="微软雅黑"/>
          <w:kern w:val="2"/>
          <w:sz w:val="18"/>
          <w:szCs w:val="18"/>
        </w:rPr>
        <w:t>个，其中与靶向药物用药相关的变异有：</w:t>
      </w:r>
      <w:r>
        <w:rPr>
          <w:rFonts w:hint="eastAsia" w:ascii="微软雅黑" w:hAnsi="微软雅黑" w:cs="微软雅黑"/>
          <w:kern w:val="2"/>
          <w:sz w:val="18"/>
          <w:szCs w:val="18"/>
          <w:lang w:val="en-US" w:eastAsia="zh-CN"/>
        </w:rPr>
        <w:t>{{ drug_related_count }}</w:t>
      </w:r>
      <w:r>
        <w:rPr>
          <w:rFonts w:hint="eastAsia" w:ascii="微软雅黑" w:hAnsi="微软雅黑" w:eastAsia="微软雅黑" w:cs="微软雅黑"/>
          <w:kern w:val="2"/>
          <w:sz w:val="18"/>
          <w:szCs w:val="18"/>
        </w:rPr>
        <w:t>个。</w:t>
      </w:r>
    </w:p>
    <w:p w14:paraId="23ABDA43">
      <w:pPr>
        <w:adjustRightInd/>
        <w:snapToGrid/>
        <w:spacing w:after="0"/>
        <w:jc w:val="both"/>
        <w:rPr>
          <w:rFonts w:ascii="微软雅黑" w:hAnsi="微软雅黑"/>
          <w:sz w:val="16"/>
          <w:szCs w:val="21"/>
        </w:rPr>
      </w:pPr>
      <w:commentRangeStart w:id="6"/>
      <w:r>
        <w:rPr>
          <w:rFonts w:hint="eastAsia" w:ascii="微软雅黑" w:hAnsi="微软雅黑"/>
          <w:sz w:val="16"/>
          <w:szCs w:val="21"/>
        </w:rPr>
        <w:t>备注：1. 变异与药物敏感性证据等级依据AMP/ASCO/CAP相关指南，将证据等级分为四个等级：</w:t>
      </w:r>
    </w:p>
    <w:p w14:paraId="17068449">
      <w:pPr>
        <w:adjustRightInd/>
        <w:snapToGrid/>
        <w:spacing w:after="0"/>
        <w:jc w:val="both"/>
        <w:rPr>
          <w:rFonts w:ascii="微软雅黑" w:hAnsi="微软雅黑"/>
          <w:sz w:val="16"/>
          <w:szCs w:val="21"/>
        </w:rPr>
      </w:pPr>
      <w:r>
        <w:rPr>
          <w:rFonts w:hint="eastAsia" w:ascii="微软雅黑" w:hAnsi="微软雅黑"/>
          <w:sz w:val="16"/>
          <w:szCs w:val="21"/>
        </w:rPr>
        <w:t>Level A：FDA/NMPA或专业指南批准/推荐在本癌种中针对该靶点治疗有响应或耐药的药物；</w:t>
      </w:r>
    </w:p>
    <w:p w14:paraId="44C26DB5">
      <w:pPr>
        <w:adjustRightInd/>
        <w:snapToGrid/>
        <w:spacing w:after="0"/>
        <w:jc w:val="both"/>
        <w:rPr>
          <w:rFonts w:ascii="微软雅黑" w:hAnsi="微软雅黑"/>
          <w:sz w:val="16"/>
          <w:szCs w:val="21"/>
        </w:rPr>
      </w:pPr>
      <w:r>
        <w:rPr>
          <w:rFonts w:hint="eastAsia" w:ascii="微软雅黑" w:hAnsi="微软雅黑"/>
          <w:sz w:val="16"/>
          <w:szCs w:val="21"/>
        </w:rPr>
        <w:t>Level B：专家共识明确在本癌种中针对该靶点治疗有响应或耐药的药物；</w:t>
      </w:r>
    </w:p>
    <w:p w14:paraId="2B7D0532">
      <w:pPr>
        <w:adjustRightInd/>
        <w:snapToGrid/>
        <w:spacing w:after="0"/>
        <w:jc w:val="both"/>
        <w:rPr>
          <w:rFonts w:ascii="微软雅黑" w:hAnsi="微软雅黑"/>
          <w:sz w:val="16"/>
          <w:szCs w:val="21"/>
        </w:rPr>
      </w:pPr>
      <w:r>
        <w:rPr>
          <w:rFonts w:hint="eastAsia" w:ascii="微软雅黑" w:hAnsi="微软雅黑"/>
          <w:sz w:val="16"/>
          <w:szCs w:val="21"/>
        </w:rPr>
        <w:t>Level C：FDA/NMPA或专业指南批准/推荐在其他癌种中针对该靶点治疗有响应或耐药的药物，或已作为临床试验的筛选入组标准；</w:t>
      </w:r>
    </w:p>
    <w:p w14:paraId="4CB6B777">
      <w:pPr>
        <w:adjustRightInd/>
        <w:snapToGrid/>
        <w:spacing w:after="0"/>
        <w:jc w:val="both"/>
        <w:rPr>
          <w:rFonts w:ascii="微软雅黑" w:hAnsi="微软雅黑"/>
          <w:sz w:val="16"/>
          <w:szCs w:val="21"/>
        </w:rPr>
      </w:pPr>
      <w:r>
        <w:rPr>
          <w:rFonts w:hint="eastAsia" w:ascii="微软雅黑" w:hAnsi="微软雅黑"/>
          <w:sz w:val="16"/>
          <w:szCs w:val="21"/>
        </w:rPr>
        <w:t>Level D：临床前研究/案例报道显示针对该靶点可能对治疗有响应或耐药的药物。</w:t>
      </w:r>
    </w:p>
    <w:p w14:paraId="04F289F2">
      <w:pPr>
        <w:adjustRightInd/>
        <w:snapToGrid/>
        <w:spacing w:after="0"/>
        <w:jc w:val="both"/>
        <w:rPr>
          <w:rFonts w:ascii="微软雅黑" w:hAnsi="微软雅黑"/>
          <w:sz w:val="16"/>
          <w:szCs w:val="21"/>
          <w:highlight w:val="yellow"/>
        </w:rPr>
      </w:pPr>
      <w:r>
        <w:rPr>
          <w:rFonts w:hint="eastAsia" w:ascii="微软雅黑" w:hAnsi="微软雅黑"/>
          <w:sz w:val="16"/>
          <w:szCs w:val="21"/>
        </w:rPr>
        <w:t>随临床证据更新药物推荐结果及分级可能产生变化。</w:t>
      </w:r>
      <w:commentRangeEnd w:id="6"/>
      <w:r>
        <w:commentReference w:id="6"/>
      </w:r>
    </w:p>
    <w:p w14:paraId="77FB5E70">
      <w:pPr>
        <w:jc w:val="both"/>
        <w:rPr>
          <w:rFonts w:hint="eastAsia" w:ascii="微软雅黑" w:hAnsi="微软雅黑"/>
          <w:b/>
          <w:bCs/>
          <w:sz w:val="16"/>
          <w:szCs w:val="21"/>
        </w:rPr>
      </w:pPr>
      <w:r>
        <w:rPr>
          <w:rFonts w:ascii="微软雅黑" w:hAnsi="微软雅黑"/>
          <w:sz w:val="16"/>
          <w:szCs w:val="21"/>
        </w:rPr>
        <w:t>2.</w:t>
      </w:r>
      <w:r>
        <w:rPr>
          <w:rFonts w:hint="eastAsia" w:ascii="微软雅黑" w:hAnsi="微软雅黑"/>
          <w:sz w:val="16"/>
          <w:szCs w:val="21"/>
        </w:rPr>
        <w:t>上表涉及的已上市的药物名称及对应的商品名称：</w:t>
      </w:r>
      <w:commentRangeStart w:id="7"/>
      <w:r>
        <w:rPr>
          <w:rFonts w:hint="eastAsia" w:ascii="微软雅黑" w:hAnsi="微软雅黑"/>
          <w:b/>
          <w:bCs/>
          <w:sz w:val="16"/>
          <w:szCs w:val="21"/>
        </w:rPr>
        <w:t>Avutometinib[AVMAPKI]、Defactinib[FAKZYNJA]、阿替利珠单抗[泰圣奇]、阿维鲁单抗[巴文西亚]、奥拉帕利[利普卓]、贝美替尼[MEKTOVI]、度伐利尤单抗[英飞凡]、福巴替尼[LYTGOBI]、芦卡帕利[RUBRACA]、奈拉替尼[贺俪安]、尼拉帕利[则乐]、帕博利珠单抗[可瑞达]、帕米帕利[百汇泽]、帕尼单抗[维克替比]、哌柏西利[爱博新]、曲美替尼[迈吉宁]、司美替尼[科赛优]、他拉唑帕利[泰泽纳]、替雷利珠单抗[百泽安]、西妥昔单抗[爱必妥]、盐酸可泮利塞[奥罗巴]、依维莫司[飞尼妥]。</w:t>
      </w:r>
      <w:commentRangeEnd w:id="7"/>
      <w:r>
        <w:commentReference w:id="7"/>
      </w:r>
    </w:p>
    <w:p w14:paraId="1F1ED41D">
      <w:pPr>
        <w:rPr>
          <w:rFonts w:ascii="微软雅黑" w:hAnsi="微软雅黑"/>
          <w:b/>
          <w:color w:val="00C4D8"/>
          <w:sz w:val="28"/>
          <w:szCs w:val="28"/>
        </w:rPr>
      </w:pPr>
    </w:p>
    <w:p w14:paraId="43583AD7">
      <w:pPr>
        <w:pStyle w:val="29"/>
        <w:numPr>
          <w:ilvl w:val="0"/>
          <w:numId w:val="2"/>
        </w:numPr>
        <w:adjustRightInd/>
        <w:snapToGrid/>
        <w:spacing w:after="100"/>
        <w:ind w:firstLineChars="0"/>
        <w:rPr>
          <w:rFonts w:ascii="微软雅黑" w:hAnsi="微软雅黑"/>
          <w:b/>
          <w:color w:val="00C4D8"/>
          <w:sz w:val="28"/>
          <w:szCs w:val="28"/>
        </w:rPr>
      </w:pPr>
      <w:r>
        <w:rPr>
          <w:rFonts w:hint="eastAsia" w:ascii="微软雅黑" w:hAnsi="微软雅黑"/>
          <w:b/>
          <w:color w:val="00C4D8"/>
          <w:sz w:val="28"/>
          <w:szCs w:val="28"/>
        </w:rPr>
        <w:t>免疫</w:t>
      </w:r>
      <w:r>
        <w:rPr>
          <w:rFonts w:ascii="微软雅黑" w:hAnsi="微软雅黑"/>
          <w:b/>
          <w:color w:val="00C4D8"/>
          <w:sz w:val="28"/>
          <w:szCs w:val="28"/>
        </w:rPr>
        <w:t>治疗</w:t>
      </w:r>
      <w:r>
        <w:rPr>
          <w:rFonts w:hint="eastAsia" w:ascii="微软雅黑" w:hAnsi="微软雅黑"/>
          <w:b/>
          <w:color w:val="00C4D8"/>
          <w:sz w:val="28"/>
          <w:szCs w:val="28"/>
        </w:rPr>
        <w:t>检测结果及用药提示</w:t>
      </w:r>
    </w:p>
    <w:tbl>
      <w:tblPr>
        <w:tblStyle w:val="16"/>
        <w:tblW w:w="90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89"/>
        <w:gridCol w:w="3211"/>
        <w:gridCol w:w="3971"/>
      </w:tblGrid>
      <w:tr w14:paraId="147F2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3" w:hRule="atLeast"/>
          <w:jc w:val="center"/>
        </w:trPr>
        <w:tc>
          <w:tcPr>
            <w:tcW w:w="5100" w:type="dxa"/>
            <w:gridSpan w:val="2"/>
            <w:shd w:val="clear" w:color="auto" w:fill="00C4D8"/>
            <w:vAlign w:val="center"/>
          </w:tcPr>
          <w:p w14:paraId="55B97E5B">
            <w:pPr>
              <w:pStyle w:val="53"/>
              <w:keepNext w:val="0"/>
              <w:keepLines w:val="0"/>
              <w:widowControl/>
              <w:numPr>
                <w:ilvl w:val="255"/>
                <w:numId w:val="0"/>
              </w:numPr>
              <w:suppressLineNumbers w:val="0"/>
              <w:spacing w:before="0" w:beforeAutospacing="0" w:after="0" w:afterAutospacing="0"/>
              <w:ind w:left="0" w:right="0"/>
              <w:jc w:val="center"/>
              <w:rPr>
                <w:rFonts w:hint="default" w:ascii="微软雅黑" w:hAnsi="微软雅黑" w:cs="微软雅黑"/>
                <w:b/>
                <w:bCs/>
                <w:color w:val="F9FBFA"/>
                <w:kern w:val="2"/>
                <w:sz w:val="20"/>
                <w:szCs w:val="20"/>
              </w:rPr>
            </w:pPr>
            <w:r>
              <w:rPr>
                <w:rFonts w:hint="eastAsia" w:ascii="微软雅黑" w:hAnsi="微软雅黑" w:cs="微软雅黑"/>
                <w:b/>
                <w:bCs/>
                <w:color w:val="F9FBFA"/>
                <w:kern w:val="2"/>
                <w:sz w:val="20"/>
                <w:szCs w:val="20"/>
              </w:rPr>
              <w:t>TMB/MSI/其它生物标志物检测结果</w:t>
            </w:r>
          </w:p>
        </w:tc>
        <w:tc>
          <w:tcPr>
            <w:tcW w:w="3971" w:type="dxa"/>
            <w:shd w:val="clear" w:color="auto" w:fill="00C4D8"/>
            <w:vAlign w:val="center"/>
          </w:tcPr>
          <w:p w14:paraId="4350D2B0">
            <w:pPr>
              <w:pStyle w:val="53"/>
              <w:keepNext w:val="0"/>
              <w:keepLines w:val="0"/>
              <w:widowControl/>
              <w:numPr>
                <w:ilvl w:val="255"/>
                <w:numId w:val="0"/>
              </w:numPr>
              <w:suppressLineNumbers w:val="0"/>
              <w:spacing w:before="0" w:beforeAutospacing="0" w:after="0" w:afterAutospacing="0"/>
              <w:ind w:left="0" w:right="0"/>
              <w:jc w:val="center"/>
              <w:rPr>
                <w:rFonts w:hint="default" w:ascii="微软雅黑" w:hAnsi="微软雅黑" w:cs="微软雅黑"/>
                <w:b/>
                <w:bCs/>
                <w:color w:val="F9FBFA"/>
                <w:kern w:val="2"/>
                <w:sz w:val="20"/>
                <w:szCs w:val="20"/>
              </w:rPr>
            </w:pPr>
            <w:r>
              <w:rPr>
                <w:rFonts w:hint="eastAsia" w:ascii="微软雅黑" w:hAnsi="微软雅黑" w:cs="微软雅黑"/>
                <w:b/>
                <w:bCs/>
                <w:color w:val="F9FBFA"/>
                <w:kern w:val="2"/>
                <w:sz w:val="20"/>
                <w:szCs w:val="20"/>
              </w:rPr>
              <w:t>用药提示</w:t>
            </w:r>
          </w:p>
        </w:tc>
      </w:tr>
      <w:tr w14:paraId="4D3D07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889" w:type="dxa"/>
            <w:vAlign w:val="center"/>
          </w:tcPr>
          <w:p w14:paraId="2678CD2B">
            <w:pPr>
              <w:pStyle w:val="53"/>
              <w:keepNext w:val="0"/>
              <w:keepLines w:val="0"/>
              <w:widowControl/>
              <w:suppressLineNumbers w:val="0"/>
              <w:spacing w:before="0" w:beforeAutospacing="0" w:after="0" w:afterAutospacing="0"/>
              <w:ind w:left="0" w:right="0" w:firstLine="0" w:firstLineChars="0"/>
              <w:jc w:val="center"/>
              <w:rPr>
                <w:rFonts w:hint="default" w:ascii="微软雅黑" w:hAnsi="微软雅黑" w:cs="微软雅黑"/>
                <w:kern w:val="2"/>
                <w:sz w:val="18"/>
                <w:szCs w:val="18"/>
              </w:rPr>
            </w:pPr>
            <w:r>
              <w:rPr>
                <w:rFonts w:hint="eastAsia" w:ascii="微软雅黑" w:hAnsi="微软雅黑" w:cs="微软雅黑"/>
                <w:kern w:val="2"/>
                <w:sz w:val="18"/>
                <w:szCs w:val="18"/>
              </w:rPr>
              <w:t>肿瘤突变负荷（TMB）</w:t>
            </w:r>
          </w:p>
        </w:tc>
        <w:tc>
          <w:tcPr>
            <w:tcW w:w="3211" w:type="dxa"/>
            <w:vAlign w:val="center"/>
          </w:tcPr>
          <w:p w14:paraId="7B228BC8">
            <w:pPr>
              <w:pStyle w:val="55"/>
              <w:keepNext w:val="0"/>
              <w:keepLines w:val="0"/>
              <w:widowControl/>
              <w:suppressLineNumbers w:val="0"/>
              <w:spacing w:before="0" w:beforeAutospacing="0" w:after="0" w:afterAutospacing="0"/>
              <w:ind w:left="0" w:right="0" w:firstLine="0" w:firstLineChars="0"/>
              <w:jc w:val="center"/>
              <w:rPr>
                <w:rFonts w:hint="eastAsia" w:ascii="微软雅黑" w:hAnsi="微软雅黑" w:eastAsia="微软雅黑" w:cs="微软雅黑"/>
                <w:kern w:val="2"/>
                <w:sz w:val="18"/>
                <w:szCs w:val="18"/>
                <w:lang w:val="en-US" w:eastAsia="zh-CN"/>
              </w:rPr>
            </w:pPr>
            <w:r>
              <w:rPr>
                <w:rFonts w:hint="eastAsia" w:ascii="微软雅黑" w:hAnsi="微软雅黑" w:cs="微软雅黑"/>
                <w:kern w:val="2"/>
                <w:sz w:val="18"/>
                <w:szCs w:val="18"/>
                <w:lang w:val="en-US" w:eastAsia="zh-CN"/>
              </w:rPr>
              <w:t>{{ tmb_value }}</w:t>
            </w:r>
            <w:r>
              <w:rPr>
                <w:rFonts w:hint="eastAsia" w:ascii="微软雅黑" w:hAnsi="微软雅黑" w:cs="微软雅黑"/>
                <w:kern w:val="2"/>
                <w:sz w:val="18"/>
                <w:szCs w:val="18"/>
              </w:rPr>
              <w:t>mutations/Mb，TMB-</w:t>
            </w:r>
            <w:r>
              <w:rPr>
                <w:rFonts w:hint="eastAsia" w:ascii="微软雅黑" w:hAnsi="微软雅黑" w:cs="微软雅黑"/>
                <w:kern w:val="2"/>
                <w:sz w:val="18"/>
                <w:szCs w:val="18"/>
                <w:lang w:val="en-US" w:eastAsia="zh-CN"/>
              </w:rPr>
              <w:t>{{ tmb_status }}</w:t>
            </w:r>
            <w:r>
              <w:commentReference w:id="8"/>
            </w:r>
          </w:p>
          <w:p w14:paraId="022ECF79">
            <w:pPr>
              <w:pStyle w:val="55"/>
              <w:keepNext w:val="0"/>
              <w:keepLines w:val="0"/>
              <w:widowControl/>
              <w:suppressLineNumbers w:val="0"/>
              <w:spacing w:before="0" w:beforeAutospacing="0" w:after="0" w:afterAutospacing="0"/>
              <w:ind w:left="0" w:right="0" w:firstLine="0" w:firstLineChars="0"/>
              <w:jc w:val="center"/>
              <w:rPr>
                <w:rFonts w:hint="default" w:ascii="微软雅黑" w:hAnsi="微软雅黑" w:cs="微软雅黑"/>
                <w:kern w:val="2"/>
                <w:sz w:val="18"/>
                <w:szCs w:val="18"/>
              </w:rPr>
            </w:pPr>
            <w:commentRangeStart w:id="9"/>
            <w:r>
              <w:rPr>
                <w:rFonts w:hint="eastAsia" w:ascii="微软雅黑" w:hAnsi="微软雅黑" w:cs="微软雅黑"/>
                <w:kern w:val="2"/>
                <w:sz w:val="18"/>
                <w:szCs w:val="18"/>
              </w:rPr>
              <w:t>(本次检测结果</w:t>
            </w:r>
            <w:r>
              <w:rPr>
                <w:rFonts w:hint="eastAsia" w:ascii="微软雅黑" w:hAnsi="微软雅黑" w:cs="微软雅黑"/>
                <w:kern w:val="2"/>
                <w:sz w:val="18"/>
                <w:szCs w:val="18"/>
                <w:lang w:val="en-US" w:eastAsia="zh-CN"/>
              </w:rPr>
              <w:t>低</w:t>
            </w:r>
            <w:r>
              <w:rPr>
                <w:rFonts w:hint="eastAsia" w:ascii="微软雅黑" w:hAnsi="微软雅黑" w:cs="微软雅黑"/>
                <w:kern w:val="2"/>
                <w:sz w:val="18"/>
                <w:szCs w:val="18"/>
              </w:rPr>
              <w:t>于参考值</w:t>
            </w:r>
          </w:p>
          <w:p w14:paraId="63687046">
            <w:pPr>
              <w:pStyle w:val="55"/>
              <w:keepNext w:val="0"/>
              <w:keepLines w:val="0"/>
              <w:widowControl/>
              <w:suppressLineNumbers w:val="0"/>
              <w:spacing w:before="0" w:beforeAutospacing="0" w:after="0" w:afterAutospacing="0"/>
              <w:ind w:left="0" w:right="0" w:firstLine="0" w:firstLineChars="0"/>
              <w:jc w:val="center"/>
              <w:rPr>
                <w:rFonts w:hint="default" w:ascii="微软雅黑" w:hAnsi="微软雅黑" w:cs="微软雅黑"/>
                <w:kern w:val="2"/>
                <w:sz w:val="18"/>
                <w:szCs w:val="18"/>
              </w:rPr>
            </w:pPr>
            <w:r>
              <w:rPr>
                <w:rFonts w:hint="eastAsia" w:ascii="微软雅黑" w:hAnsi="微软雅黑" w:cs="微软雅黑"/>
                <w:kern w:val="2"/>
                <w:sz w:val="18"/>
                <w:szCs w:val="18"/>
              </w:rPr>
              <w:t>{{ tmb_reference }} mutations/Mb)</w:t>
            </w:r>
            <w:commentRangeEnd w:id="9"/>
            <w:r>
              <w:commentReference w:id="9"/>
            </w:r>
          </w:p>
        </w:tc>
        <w:tc>
          <w:tcPr>
            <w:tcW w:w="3971" w:type="dxa"/>
            <w:vAlign w:val="center"/>
          </w:tcPr>
          <w:p w14:paraId="3913828D">
            <w:pPr>
              <w:pStyle w:val="55"/>
              <w:keepNext w:val="0"/>
              <w:keepLines w:val="0"/>
              <w:widowControl/>
              <w:suppressLineNumbers w:val="0"/>
              <w:spacing w:before="0" w:beforeAutospacing="0" w:after="0" w:afterAutospacing="0"/>
              <w:ind w:left="0" w:right="0" w:firstLine="0" w:firstLineChars="0"/>
              <w:jc w:val="center"/>
              <w:rPr>
                <w:rFonts w:hint="default" w:ascii="微软雅黑" w:hAnsi="微软雅黑"/>
                <w:kern w:val="2"/>
                <w:sz w:val="18"/>
                <w:szCs w:val="18"/>
              </w:rPr>
            </w:pPr>
            <w:commentRangeStart w:id="10"/>
            <w:r>
              <w:rPr>
                <w:rFonts w:hint="eastAsia" w:ascii="微软雅黑" w:hAnsi="微软雅黑"/>
                <w:kern w:val="2"/>
                <w:sz w:val="18"/>
                <w:szCs w:val="18"/>
              </w:rPr>
              <w:t>多项临床研究表明，TMB-H的肿瘤对免疫检查点抑制剂有更强的免疫应答效果</w:t>
            </w:r>
          </w:p>
          <w:p w14:paraId="05925EC1">
            <w:pPr>
              <w:pStyle w:val="55"/>
              <w:keepNext w:val="0"/>
              <w:keepLines w:val="0"/>
              <w:widowControl/>
              <w:suppressLineNumbers w:val="0"/>
              <w:spacing w:before="0" w:beforeAutospacing="0" w:after="0" w:afterAutospacing="0"/>
              <w:ind w:left="0" w:right="0" w:firstLine="0" w:firstLineChars="0"/>
              <w:jc w:val="center"/>
              <w:rPr>
                <w:rStyle w:val="23"/>
                <w:rFonts w:hint="default" w:ascii="微软雅黑" w:hAnsi="微软雅黑" w:cs="微软雅黑"/>
                <w:bCs/>
                <w:color w:val="0000FF"/>
                <w:kern w:val="2"/>
                <w:sz w:val="18"/>
                <w:szCs w:val="18"/>
              </w:rPr>
            </w:pPr>
            <w:r>
              <w:rPr>
                <w:rFonts w:hint="eastAsia" w:ascii="微软雅黑" w:hAnsi="微软雅黑"/>
                <w:kern w:val="2"/>
                <w:sz w:val="18"/>
                <w:szCs w:val="18"/>
              </w:rPr>
              <w:t>常用免疫抑制剂有：#帕博利珠单抗、#纳武利尤单抗、#纳武利尤单抗+伊匹木单抗、阿替利珠单抗、度伐利尤单抗、特瑞普利单抗、信迪利单抗、卡瑞利珠单抗、</w:t>
            </w:r>
            <w:r>
              <w:rPr>
                <w:rFonts w:hint="eastAsia" w:ascii="微软雅黑" w:hAnsi="微软雅黑"/>
                <w:kern w:val="2"/>
                <w:sz w:val="18"/>
                <w:szCs w:val="18"/>
                <w:lang w:val="en-US" w:eastAsia="zh-CN"/>
              </w:rPr>
              <w:t>#</w:t>
            </w:r>
            <w:r>
              <w:rPr>
                <w:rFonts w:hint="eastAsia" w:ascii="微软雅黑" w:hAnsi="微软雅黑"/>
                <w:kern w:val="2"/>
                <w:sz w:val="18"/>
                <w:szCs w:val="18"/>
              </w:rPr>
              <w:t>替雷利珠单抗、#恩沃利单抗、#多塔利单抗</w:t>
            </w:r>
            <w:r>
              <w:rPr>
                <w:rFonts w:hint="eastAsia" w:ascii="微软雅黑" w:hAnsi="微软雅黑"/>
                <w:kern w:val="2"/>
                <w:sz w:val="18"/>
                <w:szCs w:val="18"/>
                <w:highlight w:val="none"/>
                <w:lang w:eastAsia="zh-CN"/>
              </w:rPr>
              <w:t>、#斯鲁利单抗</w:t>
            </w:r>
            <w:r>
              <w:rPr>
                <w:rFonts w:hint="eastAsia" w:ascii="微软雅黑" w:hAnsi="微软雅黑"/>
                <w:kern w:val="2"/>
                <w:sz w:val="18"/>
                <w:szCs w:val="18"/>
                <w:lang w:eastAsia="zh-CN"/>
              </w:rPr>
              <w:t>、</w:t>
            </w:r>
            <w:r>
              <w:rPr>
                <w:rFonts w:hint="eastAsia" w:ascii="微软雅黑" w:hAnsi="微软雅黑"/>
                <w:kern w:val="2"/>
                <w:sz w:val="18"/>
                <w:szCs w:val="18"/>
              </w:rPr>
              <w:t>#</w:t>
            </w:r>
            <w:r>
              <w:rPr>
                <w:rFonts w:hint="eastAsia" w:ascii="微软雅黑" w:hAnsi="微软雅黑"/>
                <w:kern w:val="2"/>
                <w:sz w:val="18"/>
                <w:szCs w:val="18"/>
                <w:lang w:eastAsia="zh-CN"/>
              </w:rPr>
              <w:t>普特利单抗</w:t>
            </w:r>
            <w:r>
              <w:rPr>
                <w:rFonts w:hint="eastAsia" w:ascii="微软雅黑" w:hAnsi="微软雅黑"/>
                <w:kern w:val="2"/>
                <w:sz w:val="18"/>
                <w:szCs w:val="18"/>
              </w:rPr>
              <w:t>、派安普利单抗、赛帕利单抗等</w:t>
            </w:r>
            <w:commentRangeEnd w:id="10"/>
            <w:r>
              <w:commentReference w:id="10"/>
            </w:r>
          </w:p>
        </w:tc>
      </w:tr>
      <w:tr w14:paraId="03C219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889" w:type="dxa"/>
            <w:vAlign w:val="center"/>
          </w:tcPr>
          <w:p w14:paraId="7AB85D5F">
            <w:pPr>
              <w:pStyle w:val="53"/>
              <w:keepNext w:val="0"/>
              <w:keepLines w:val="0"/>
              <w:widowControl/>
              <w:suppressLineNumbers w:val="0"/>
              <w:spacing w:before="0" w:beforeAutospacing="0" w:after="0" w:afterAutospacing="0"/>
              <w:ind w:left="0" w:right="0" w:firstLine="0" w:firstLineChars="0"/>
              <w:jc w:val="center"/>
              <w:rPr>
                <w:rFonts w:hint="default" w:ascii="微软雅黑" w:hAnsi="微软雅黑" w:cs="微软雅黑"/>
                <w:kern w:val="2"/>
                <w:sz w:val="18"/>
                <w:szCs w:val="18"/>
              </w:rPr>
            </w:pPr>
            <w:r>
              <w:rPr>
                <w:rFonts w:hint="eastAsia" w:ascii="微软雅黑" w:hAnsi="微软雅黑" w:cs="微软雅黑"/>
                <w:kern w:val="2"/>
                <w:sz w:val="18"/>
                <w:szCs w:val="18"/>
              </w:rPr>
              <w:t>微卫星不稳定性（MSI）</w:t>
            </w:r>
          </w:p>
        </w:tc>
        <w:tc>
          <w:tcPr>
            <w:tcW w:w="3211" w:type="dxa"/>
            <w:vAlign w:val="center"/>
          </w:tcPr>
          <w:p w14:paraId="7DAB5B87">
            <w:pPr>
              <w:pStyle w:val="55"/>
              <w:keepNext w:val="0"/>
              <w:keepLines w:val="0"/>
              <w:widowControl/>
              <w:suppressLineNumbers w:val="0"/>
              <w:spacing w:before="0" w:beforeAutospacing="0" w:after="0" w:afterAutospacing="0"/>
              <w:ind w:left="0" w:right="0" w:firstLine="0" w:firstLineChars="0"/>
              <w:jc w:val="center"/>
              <w:rPr>
                <w:rFonts w:hint="default" w:ascii="微软雅黑" w:hAnsi="微软雅黑" w:cs="微软雅黑"/>
                <w:kern w:val="2"/>
                <w:sz w:val="18"/>
                <w:szCs w:val="18"/>
                <w:highlight w:val="yellow"/>
              </w:rPr>
            </w:pPr>
            <w:r>
              <w:rPr>
                <w:rFonts w:hint="eastAsia" w:ascii="微软雅黑" w:hAnsi="微软雅黑" w:cs="微软雅黑"/>
                <w:kern w:val="2"/>
                <w:sz w:val="18"/>
                <w:szCs w:val="18"/>
              </w:rPr>
              <w:t>{{ msi_status_cn }}</w:t>
            </w:r>
            <w:r>
              <w:commentReference w:id="11"/>
            </w:r>
          </w:p>
        </w:tc>
        <w:tc>
          <w:tcPr>
            <w:tcW w:w="3971" w:type="dxa"/>
            <w:vAlign w:val="center"/>
          </w:tcPr>
          <w:p w14:paraId="53E0273A">
            <w:pPr>
              <w:pStyle w:val="55"/>
              <w:keepNext w:val="0"/>
              <w:keepLines w:val="0"/>
              <w:widowControl/>
              <w:suppressLineNumbers w:val="0"/>
              <w:spacing w:before="0" w:beforeAutospacing="0" w:after="0" w:afterAutospacing="0"/>
              <w:ind w:left="0" w:right="0" w:firstLine="0" w:firstLineChars="0"/>
              <w:jc w:val="center"/>
              <w:rPr>
                <w:rFonts w:hint="default" w:ascii="微软雅黑" w:hAnsi="微软雅黑" w:cs="微软雅黑"/>
                <w:kern w:val="2"/>
                <w:sz w:val="18"/>
                <w:szCs w:val="18"/>
                <w:highlight w:val="yellow"/>
                <w:u w:val="single"/>
              </w:rPr>
            </w:pPr>
            <w:r>
              <w:rPr>
                <w:rFonts w:hint="eastAsia" w:ascii="微软雅黑" w:hAnsi="微软雅黑"/>
                <w:kern w:val="2"/>
                <w:sz w:val="18"/>
                <w:szCs w:val="18"/>
              </w:rPr>
              <w:t>研究表明，</w:t>
            </w:r>
            <w:r>
              <w:rPr>
                <w:rFonts w:hint="default" w:ascii="微软雅黑" w:hAnsi="微软雅黑"/>
                <w:kern w:val="2"/>
                <w:sz w:val="18"/>
                <w:szCs w:val="18"/>
              </w:rPr>
              <w:t>MSI-H的实体瘤通常具有免疫原性和广泛的T细胞浸润性，从而对免疫检查点抑制剂的治疗响应较高</w:t>
            </w:r>
          </w:p>
        </w:tc>
      </w:tr>
      <w:tr w14:paraId="36143D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889" w:type="dxa"/>
            <w:vAlign w:val="center"/>
          </w:tcPr>
          <w:p w14:paraId="794C1E45">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bCs/>
                <w:kern w:val="2"/>
                <w:sz w:val="18"/>
                <w:szCs w:val="18"/>
                <w:lang w:bidi="ar"/>
              </w:rPr>
            </w:pPr>
            <w:r>
              <w:rPr>
                <w:rStyle w:val="23"/>
                <w:rFonts w:hint="eastAsia" w:ascii="微软雅黑" w:hAnsi="微软雅黑" w:cs="微软雅黑"/>
                <w:bCs/>
                <w:color w:val="auto"/>
                <w:kern w:val="2"/>
                <w:sz w:val="18"/>
                <w:szCs w:val="18"/>
                <w:u w:val="none"/>
                <w:lang w:bidi="ar"/>
              </w:rPr>
              <w:t>免疫正相关基因</w:t>
            </w:r>
            <w:r>
              <w:commentReference w:id="12"/>
            </w:r>
          </w:p>
        </w:tc>
        <w:tc>
          <w:tcPr>
            <w:tcW w:w="3211" w:type="dxa"/>
            <w:vAlign w:val="center"/>
          </w:tcPr>
          <w:p w14:paraId="64A84E5E">
            <w:pPr>
              <w:keepNext w:val="0"/>
              <w:keepLines w:val="0"/>
              <w:widowControl/>
              <w:suppressLineNumbers w:val="0"/>
              <w:adjustRightInd/>
              <w:snapToGrid/>
              <w:spacing w:before="0" w:beforeAutospacing="0" w:after="0" w:afterAutospacing="0" w:line="220" w:lineRule="atLeast"/>
              <w:ind w:left="0" w:right="0"/>
              <w:jc w:val="center"/>
              <w:rPr>
                <w:rStyle w:val="23"/>
                <w:rFonts w:hint="default" w:ascii="微软雅黑" w:hAnsi="微软雅黑" w:cs="微软雅黑"/>
                <w:bCs/>
                <w:color w:val="auto"/>
                <w:kern w:val="2"/>
                <w:sz w:val="18"/>
                <w:szCs w:val="18"/>
                <w:u w:val="none"/>
                <w:lang w:bidi="ar"/>
              </w:rPr>
            </w:pPr>
            <w:r>
              <w:rPr>
                <w:rStyle w:val="23"/>
                <w:rFonts w:hint="eastAsia" w:ascii="微软雅黑" w:hAnsi="微软雅黑" w:cs="微软雅黑"/>
                <w:bCs/>
                <w:color w:val="auto"/>
                <w:kern w:val="2"/>
                <w:sz w:val="18"/>
                <w:szCs w:val="18"/>
                <w:u w:val="none"/>
                <w:lang w:bidi="ar"/>
              </w:rPr>
              <w:t>检出（</w:t>
            </w:r>
            <w:r>
              <w:rPr>
                <w:rStyle w:val="23"/>
                <w:rFonts w:hint="eastAsia" w:ascii="微软雅黑" w:hAnsi="微软雅黑" w:cs="微软雅黑"/>
                <w:bCs/>
                <w:color w:val="auto"/>
                <w:kern w:val="2"/>
                <w:sz w:val="18"/>
                <w:szCs w:val="18"/>
                <w:u w:val="none"/>
                <w:lang w:val="en-US" w:eastAsia="zh-CN" w:bidi="ar"/>
              </w:rPr>
              <w:t>{{ immune_positive_count }}</w:t>
            </w:r>
            <w:r>
              <w:rPr>
                <w:rStyle w:val="23"/>
                <w:rFonts w:hint="eastAsia" w:ascii="微软雅黑" w:hAnsi="微软雅黑" w:cs="微软雅黑"/>
                <w:bCs/>
                <w:color w:val="auto"/>
                <w:kern w:val="2"/>
                <w:sz w:val="18"/>
                <w:szCs w:val="18"/>
                <w:u w:val="none"/>
                <w:lang w:bidi="ar"/>
              </w:rPr>
              <w:t>个）</w:t>
            </w:r>
          </w:p>
          <w:p w14:paraId="45DBEDC3">
            <w:pPr>
              <w:keepNext w:val="0"/>
              <w:keepLines w:val="0"/>
              <w:widowControl/>
              <w:suppressLineNumbers w:val="0"/>
              <w:spacing w:before="0" w:beforeAutospacing="0" w:after="0" w:afterAutospacing="0" w:line="220" w:lineRule="atLeast"/>
              <w:ind w:left="0" w:right="0"/>
              <w:jc w:val="center"/>
              <w:rPr>
                <w:rFonts w:hint="eastAsia" w:ascii="微软雅黑" w:hAnsi="微软雅黑" w:eastAsia="微软雅黑" w:cs="微软雅黑"/>
                <w:bCs/>
                <w:kern w:val="2"/>
                <w:sz w:val="18"/>
                <w:szCs w:val="18"/>
                <w:lang w:eastAsia="zh-CN" w:bidi="ar"/>
              </w:rPr>
            </w:pPr>
            <w:r>
              <w:rPr>
                <w:rFonts w:hint="eastAsia" w:ascii="微软雅黑" w:hAnsi="微软雅黑" w:eastAsia="微软雅黑" w:cs="微软雅黑"/>
                <w:bCs/>
                <w:kern w:val="2"/>
                <w:sz w:val="18"/>
                <w:szCs w:val="18"/>
                <w:lang w:eastAsia="zh-CN" w:bidi="ar"/>
              </w:rPr>
              <w:t>{{ immune_positive_genes }}</w:t>
            </w:r>
          </w:p>
        </w:tc>
        <w:tc>
          <w:tcPr>
            <w:tcW w:w="3971" w:type="dxa"/>
            <w:vAlign w:val="center"/>
          </w:tcPr>
          <w:p w14:paraId="505ED8BE">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bCs/>
                <w:color w:val="0000FF"/>
                <w:kern w:val="2"/>
                <w:sz w:val="18"/>
                <w:szCs w:val="18"/>
                <w:u w:val="single"/>
              </w:rPr>
            </w:pPr>
            <w:r>
              <w:rPr>
                <w:rFonts w:hint="eastAsia" w:ascii="微软雅黑" w:hAnsi="微软雅黑" w:cs="微软雅黑"/>
                <w:color w:val="000000" w:themeColor="text1"/>
                <w:kern w:val="0"/>
                <w:sz w:val="18"/>
                <w:szCs w:val="18"/>
                <w:lang w:bidi="ar"/>
                <w14:textFill>
                  <w14:solidFill>
                    <w14:schemeClr w14:val="tx1"/>
                  </w14:solidFill>
                </w14:textFill>
              </w:rPr>
              <w:t>检出有害变异时可能疗效较好</w:t>
            </w:r>
          </w:p>
        </w:tc>
      </w:tr>
      <w:tr w14:paraId="019F5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889" w:type="dxa"/>
            <w:vAlign w:val="center"/>
          </w:tcPr>
          <w:p w14:paraId="54B4A072">
            <w:pPr>
              <w:keepNext w:val="0"/>
              <w:keepLines w:val="0"/>
              <w:widowControl/>
              <w:suppressLineNumbers w:val="0"/>
              <w:adjustRightInd/>
              <w:snapToGrid/>
              <w:spacing w:before="0" w:beforeAutospacing="0" w:after="0" w:afterAutospacing="0" w:line="220" w:lineRule="atLeast"/>
              <w:ind w:left="0" w:right="0"/>
              <w:jc w:val="center"/>
              <w:rPr>
                <w:rStyle w:val="23"/>
                <w:rFonts w:hint="default" w:ascii="微软雅黑" w:hAnsi="微软雅黑" w:cs="微软雅黑"/>
                <w:bCs/>
                <w:color w:val="auto"/>
                <w:kern w:val="2"/>
                <w:sz w:val="18"/>
                <w:szCs w:val="18"/>
                <w:u w:val="none"/>
                <w:lang w:bidi="ar"/>
              </w:rPr>
            </w:pPr>
            <w:r>
              <w:rPr>
                <w:rStyle w:val="23"/>
                <w:rFonts w:hint="eastAsia" w:ascii="微软雅黑" w:hAnsi="微软雅黑" w:cs="微软雅黑"/>
                <w:bCs/>
                <w:color w:val="auto"/>
                <w:kern w:val="2"/>
                <w:sz w:val="18"/>
                <w:szCs w:val="18"/>
                <w:u w:val="none"/>
                <w:lang w:bidi="ar"/>
              </w:rPr>
              <w:t>免疫负相关基因</w:t>
            </w:r>
          </w:p>
        </w:tc>
        <w:tc>
          <w:tcPr>
            <w:tcW w:w="3211" w:type="dxa"/>
            <w:vAlign w:val="center"/>
          </w:tcPr>
          <w:p w14:paraId="3D096273">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18"/>
                <w:szCs w:val="18"/>
                <w:lang w:val="en-US" w:eastAsia="zh-CN"/>
              </w:rPr>
            </w:pPr>
            <w:r>
              <w:rPr>
                <w:rFonts w:hint="eastAsia" w:ascii="微软雅黑" w:hAnsi="微软雅黑" w:cs="微软雅黑"/>
                <w:kern w:val="2"/>
                <w:sz w:val="18"/>
                <w:szCs w:val="18"/>
              </w:rPr>
              <w:t>{{ immune_negative_result }}</w:t>
            </w:r>
          </w:p>
        </w:tc>
        <w:tc>
          <w:tcPr>
            <w:tcW w:w="3971" w:type="dxa"/>
            <w:vAlign w:val="center"/>
          </w:tcPr>
          <w:p w14:paraId="56B42F58">
            <w:pPr>
              <w:keepNext w:val="0"/>
              <w:keepLines w:val="0"/>
              <w:widowControl/>
              <w:suppressLineNumbers w:val="0"/>
              <w:adjustRightInd/>
              <w:snapToGrid/>
              <w:spacing w:before="0" w:beforeAutospacing="0" w:after="0" w:afterAutospacing="0" w:line="220" w:lineRule="atLeast"/>
              <w:ind w:left="0" w:right="0"/>
              <w:jc w:val="center"/>
              <w:rPr>
                <w:rStyle w:val="23"/>
                <w:rFonts w:hint="default" w:ascii="微软雅黑" w:hAnsi="微软雅黑" w:cs="微软雅黑"/>
                <w:bCs/>
                <w:color w:val="0000FF"/>
                <w:kern w:val="2"/>
                <w:sz w:val="18"/>
                <w:szCs w:val="18"/>
              </w:rPr>
            </w:pPr>
            <w:r>
              <w:rPr>
                <w:rFonts w:hint="eastAsia" w:ascii="微软雅黑" w:hAnsi="微软雅黑" w:cs="微软雅黑"/>
                <w:kern w:val="0"/>
                <w:sz w:val="18"/>
                <w:szCs w:val="18"/>
                <w:lang w:bidi="ar"/>
              </w:rPr>
              <w:t>检出有害变异时可能耐药/疗效不佳</w:t>
            </w:r>
          </w:p>
        </w:tc>
      </w:tr>
      <w:tr w14:paraId="18A477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5" w:hRule="atLeast"/>
          <w:jc w:val="center"/>
        </w:trPr>
        <w:tc>
          <w:tcPr>
            <w:tcW w:w="1889" w:type="dxa"/>
            <w:vAlign w:val="center"/>
          </w:tcPr>
          <w:p w14:paraId="7CC925F0">
            <w:pPr>
              <w:keepNext w:val="0"/>
              <w:keepLines w:val="0"/>
              <w:widowControl/>
              <w:suppressLineNumbers w:val="0"/>
              <w:adjustRightInd/>
              <w:snapToGrid/>
              <w:spacing w:before="0" w:beforeAutospacing="0" w:after="0" w:afterAutospacing="0" w:line="220" w:lineRule="atLeast"/>
              <w:ind w:left="0" w:right="0"/>
              <w:jc w:val="center"/>
              <w:rPr>
                <w:rStyle w:val="23"/>
                <w:rFonts w:hint="default" w:ascii="微软雅黑" w:hAnsi="微软雅黑" w:cs="微软雅黑"/>
                <w:bCs/>
                <w:color w:val="auto"/>
                <w:kern w:val="2"/>
                <w:sz w:val="18"/>
                <w:szCs w:val="18"/>
                <w:u w:val="none"/>
                <w:lang w:bidi="ar"/>
              </w:rPr>
            </w:pPr>
            <w:r>
              <w:rPr>
                <w:rStyle w:val="23"/>
                <w:rFonts w:hint="eastAsia" w:ascii="微软雅黑" w:hAnsi="微软雅黑" w:cs="微软雅黑"/>
                <w:bCs/>
                <w:color w:val="auto"/>
                <w:kern w:val="2"/>
                <w:sz w:val="18"/>
                <w:szCs w:val="18"/>
                <w:u w:val="none"/>
                <w:lang w:bidi="ar"/>
              </w:rPr>
              <w:t>免疫超进展相关基因</w:t>
            </w:r>
          </w:p>
        </w:tc>
        <w:tc>
          <w:tcPr>
            <w:tcW w:w="3211" w:type="dxa"/>
            <w:vAlign w:val="center"/>
          </w:tcPr>
          <w:p w14:paraId="31AEB7C5">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18"/>
                <w:szCs w:val="18"/>
              </w:rPr>
            </w:pPr>
            <w:r>
              <w:rPr>
                <w:rFonts w:hint="eastAsia" w:ascii="微软雅黑" w:hAnsi="微软雅黑" w:cs="微软雅黑"/>
                <w:kern w:val="2"/>
                <w:sz w:val="18"/>
                <w:szCs w:val="18"/>
              </w:rPr>
              <w:t>{{ immune_hyperprogression_result }}</w:t>
            </w:r>
          </w:p>
        </w:tc>
        <w:tc>
          <w:tcPr>
            <w:tcW w:w="3971" w:type="dxa"/>
            <w:vAlign w:val="center"/>
          </w:tcPr>
          <w:p w14:paraId="6041BB87">
            <w:pPr>
              <w:keepNext w:val="0"/>
              <w:keepLines w:val="0"/>
              <w:widowControl/>
              <w:suppressLineNumbers w:val="0"/>
              <w:adjustRightInd/>
              <w:snapToGrid/>
              <w:spacing w:before="0" w:beforeAutospacing="0" w:after="0" w:afterAutospacing="0" w:line="220" w:lineRule="atLeast"/>
              <w:ind w:left="0" w:right="0"/>
              <w:jc w:val="center"/>
              <w:rPr>
                <w:rStyle w:val="23"/>
                <w:rFonts w:hint="default" w:ascii="微软雅黑" w:hAnsi="微软雅黑" w:cs="微软雅黑"/>
                <w:bCs/>
                <w:color w:val="0000FF"/>
                <w:kern w:val="2"/>
                <w:sz w:val="18"/>
                <w:szCs w:val="18"/>
              </w:rPr>
            </w:pPr>
            <w:r>
              <w:rPr>
                <w:rFonts w:hint="eastAsia" w:ascii="微软雅黑" w:hAnsi="微软雅黑" w:cs="微软雅黑"/>
                <w:color w:val="000000" w:themeColor="text1"/>
                <w:kern w:val="0"/>
                <w:sz w:val="18"/>
                <w:szCs w:val="18"/>
                <w:lang w:bidi="ar"/>
                <w14:textFill>
                  <w14:solidFill>
                    <w14:schemeClr w14:val="tx1"/>
                  </w14:solidFill>
                </w14:textFill>
              </w:rPr>
              <w:t>检出有害变异时可能与超进展相关</w:t>
            </w:r>
          </w:p>
        </w:tc>
      </w:tr>
    </w:tbl>
    <w:p w14:paraId="2F9DA7A8">
      <w:pPr>
        <w:numPr>
          <w:ilvl w:val="255"/>
          <w:numId w:val="0"/>
        </w:numPr>
        <w:spacing w:after="0"/>
        <w:jc w:val="both"/>
        <w:rPr>
          <w:rFonts w:ascii="微软雅黑" w:hAnsi="微软雅黑"/>
          <w:sz w:val="18"/>
        </w:rPr>
      </w:pPr>
      <w:commentRangeStart w:id="13"/>
      <w:r>
        <w:rPr>
          <w:rFonts w:hint="eastAsia" w:ascii="微软雅黑" w:hAnsi="微软雅黑"/>
          <w:sz w:val="18"/>
        </w:rPr>
        <w:t>备注：1. FoundationOne CDx (324 个基因) TMB 研究表明，对于组织样本，TMB≥10 mut/Mb 为高突变负荷 (仅供参考) 。而对于血液样本，POPLAR 和 OAK 研究表明，bTMB（血液肿瘤突变负荷）≥16 或可成为阿替利珠单抗治疗晚期非小细胞肺癌的生物标记物（仅供参考）。</w:t>
      </w:r>
    </w:p>
    <w:p w14:paraId="6C157ADC">
      <w:pPr>
        <w:numPr>
          <w:ilvl w:val="0"/>
          <w:numId w:val="1"/>
        </w:numPr>
        <w:spacing w:after="0"/>
        <w:jc w:val="both"/>
        <w:rPr>
          <w:rFonts w:ascii="微软雅黑" w:hAnsi="微软雅黑"/>
          <w:kern w:val="2"/>
          <w:sz w:val="18"/>
        </w:rPr>
      </w:pPr>
      <w:r>
        <w:rPr>
          <w:rFonts w:hint="eastAsia" w:ascii="微软雅黑" w:hAnsi="微软雅黑"/>
          <w:kern w:val="2"/>
          <w:sz w:val="18"/>
        </w:rPr>
        <w:t>#帕博利珠单抗、#纳武利尤单抗、#纳武利尤单抗+伊匹木单抗均已获FDA和/或NMPA批准用于治疗结直肠癌。</w:t>
      </w:r>
      <w:r>
        <w:rPr>
          <w:rFonts w:hint="eastAsia" w:ascii="微软雅黑" w:hAnsi="微软雅黑"/>
          <w:b w:val="0"/>
          <w:bCs w:val="0"/>
          <w:kern w:val="2"/>
          <w:sz w:val="18"/>
          <w:szCs w:val="22"/>
          <w:lang w:val="en-US" w:eastAsia="zh-CN"/>
        </w:rPr>
        <w:t>#普特利单抗、#替雷利珠单抗、#多塔利单抗、#斯鲁利单抗、#恩沃利单抗已获FDA或NMPA批准用于治疗MSI-H或dMMR实体瘤患者。</w:t>
      </w:r>
    </w:p>
    <w:p w14:paraId="40316303">
      <w:pPr>
        <w:spacing w:after="0"/>
        <w:jc w:val="both"/>
        <w:rPr>
          <w:rFonts w:ascii="微软雅黑" w:hAnsi="微软雅黑"/>
          <w:b/>
          <w:color w:val="00C4D8"/>
          <w:sz w:val="32"/>
          <w:szCs w:val="32"/>
        </w:rPr>
      </w:pPr>
      <w:r>
        <w:rPr>
          <w:rFonts w:hint="eastAsia" w:ascii="微软雅黑" w:hAnsi="微软雅黑"/>
          <w:kern w:val="2"/>
          <w:sz w:val="18"/>
          <w:lang w:val="en-US" w:eastAsia="zh-CN"/>
        </w:rPr>
        <w:t xml:space="preserve">3. </w:t>
      </w:r>
      <w:r>
        <w:rPr>
          <w:rFonts w:hint="eastAsia" w:ascii="微软雅黑" w:hAnsi="微软雅黑"/>
          <w:kern w:val="2"/>
          <w:sz w:val="18"/>
        </w:rPr>
        <w:t>上表涉及的已上市的药物名称及对应的商品名称</w:t>
      </w:r>
      <w:r>
        <w:rPr>
          <w:rFonts w:hint="eastAsia" w:ascii="微软雅黑" w:hAnsi="微软雅黑"/>
          <w:sz w:val="18"/>
        </w:rPr>
        <w:t>：</w:t>
      </w:r>
      <w:r>
        <w:rPr>
          <w:rFonts w:hint="eastAsia" w:ascii="微软雅黑" w:hAnsi="微软雅黑"/>
          <w:b/>
          <w:bCs/>
          <w:sz w:val="18"/>
        </w:rPr>
        <w:t>帕博利珠单抗[可瑞达]、纳武利尤单抗[欧狄沃]、阿替利珠单抗[泰圣奇]、度伐利尤单抗[英飞凡]、特瑞普利单抗[拓益]、信迪利单抗[达伯舒]、卡瑞利珠单抗[艾立妥]、替雷利珠单抗[百</w:t>
      </w:r>
      <w:r>
        <w:rPr>
          <w:rFonts w:hint="eastAsia" w:ascii="微软雅黑" w:hAnsi="微软雅黑"/>
          <w:b/>
          <w:bCs/>
          <w:sz w:val="18"/>
          <w:lang w:val="en-US" w:eastAsia="zh-CN"/>
        </w:rPr>
        <w:t>泽</w:t>
      </w:r>
      <w:r>
        <w:rPr>
          <w:rFonts w:hint="eastAsia" w:ascii="微软雅黑" w:hAnsi="微软雅黑"/>
          <w:b/>
          <w:bCs/>
          <w:sz w:val="18"/>
        </w:rPr>
        <w:t>安]、伊匹木单抗[逸沃]、恩沃利单抗[恩维达]、多塔利单抗[JEMPERLI]、派安普利单抗[安尼可]、赛帕利单抗[誉妥]</w:t>
      </w:r>
      <w:r>
        <w:rPr>
          <w:rFonts w:hint="eastAsia" w:ascii="微软雅黑" w:hAnsi="微软雅黑"/>
          <w:b/>
          <w:bCs/>
          <w:sz w:val="18"/>
          <w:highlight w:val="none"/>
          <w:lang w:val="en-US" w:eastAsia="zh-CN"/>
        </w:rPr>
        <w:t>、斯鲁利单抗[汉斯状]</w:t>
      </w:r>
      <w:r>
        <w:rPr>
          <w:rFonts w:hint="eastAsia" w:ascii="微软雅黑" w:hAnsi="微软雅黑"/>
          <w:b/>
          <w:bCs/>
          <w:sz w:val="18"/>
          <w:lang w:val="en-US" w:eastAsia="zh-CN"/>
        </w:rPr>
        <w:t>、</w:t>
      </w:r>
      <w:r>
        <w:rPr>
          <w:rFonts w:hint="eastAsia" w:ascii="微软雅黑" w:hAnsi="微软雅黑"/>
          <w:b/>
          <w:bCs/>
          <w:sz w:val="18"/>
          <w:highlight w:val="none"/>
          <w:lang w:val="en-US" w:eastAsia="zh-CN"/>
        </w:rPr>
        <w:t>普特利单抗[普佑恒]</w:t>
      </w:r>
      <w:r>
        <w:rPr>
          <w:rFonts w:hint="eastAsia" w:ascii="微软雅黑" w:hAnsi="微软雅黑"/>
          <w:b/>
          <w:bCs/>
          <w:sz w:val="18"/>
        </w:rPr>
        <w:t>。</w:t>
      </w:r>
      <w:commentRangeEnd w:id="13"/>
      <w:bookmarkStart w:id="79" w:name="_Toc2090"/>
      <w:bookmarkStart w:id="80" w:name="_Toc137"/>
      <w:r>
        <w:commentReference w:id="13"/>
      </w:r>
    </w:p>
    <w:p w14:paraId="60293507">
      <w:pPr>
        <w:adjustRightInd/>
        <w:snapToGrid/>
        <w:spacing w:after="0" w:line="240" w:lineRule="auto"/>
        <w:outlineLvl w:val="9"/>
        <w:rPr>
          <w:rFonts w:hint="eastAsia" w:ascii="微软雅黑" w:hAnsi="微软雅黑"/>
          <w:b/>
          <w:color w:val="00C4D8"/>
          <w:sz w:val="32"/>
          <w:szCs w:val="32"/>
        </w:rPr>
      </w:pPr>
      <w:bookmarkStart w:id="81" w:name="_Toc24469"/>
      <w:r>
        <w:rPr>
          <w:rFonts w:hint="eastAsia" w:ascii="微软雅黑" w:hAnsi="微软雅黑"/>
          <w:b/>
          <w:color w:val="00C4D8"/>
          <w:sz w:val="32"/>
          <w:szCs w:val="32"/>
        </w:rPr>
        <w:br w:type="page"/>
      </w:r>
    </w:p>
    <w:p w14:paraId="48AF7AEC">
      <w:pPr>
        <w:adjustRightInd/>
        <w:snapToGrid/>
        <w:spacing w:after="0" w:line="220" w:lineRule="atLeast"/>
        <w:outlineLvl w:val="0"/>
        <w:rPr>
          <w:rFonts w:ascii="微软雅黑" w:hAnsi="微软雅黑"/>
          <w:b/>
          <w:color w:val="00C4D8"/>
          <w:sz w:val="32"/>
          <w:szCs w:val="32"/>
        </w:rPr>
      </w:pPr>
      <w:r>
        <w:rPr>
          <w:rFonts w:hint="eastAsia" w:ascii="微软雅黑" w:hAnsi="微软雅黑"/>
          <w:b/>
          <w:color w:val="00C4D8"/>
          <w:sz w:val="32"/>
          <w:szCs w:val="32"/>
        </w:rPr>
        <w:t>2. 靶向药物相关检测结果</w:t>
      </w:r>
      <w:bookmarkEnd w:id="81"/>
    </w:p>
    <w:p w14:paraId="68EE026B">
      <w:pPr>
        <w:adjustRightInd/>
        <w:snapToGrid/>
        <w:spacing w:before="100" w:after="100" w:line="220" w:lineRule="atLeast"/>
        <w:rPr>
          <w:rFonts w:ascii="微软雅黑" w:hAnsi="微软雅黑"/>
          <w:b/>
          <w:color w:val="00C4D8"/>
          <w:sz w:val="28"/>
          <w:szCs w:val="28"/>
        </w:rPr>
      </w:pPr>
      <w:r>
        <w:rPr>
          <w:rFonts w:hint="eastAsia" w:ascii="微软雅黑" w:hAnsi="微软雅黑"/>
          <w:b/>
          <w:color w:val="00C4D8"/>
          <w:sz w:val="28"/>
          <w:szCs w:val="28"/>
        </w:rPr>
        <w:t>2</w:t>
      </w:r>
      <w:r>
        <w:rPr>
          <w:rFonts w:ascii="微软雅黑" w:hAnsi="微软雅黑"/>
          <w:b/>
          <w:color w:val="00C4D8"/>
          <w:sz w:val="28"/>
          <w:szCs w:val="28"/>
        </w:rPr>
        <w:t>.1</w:t>
      </w:r>
      <w:r>
        <w:rPr>
          <w:rFonts w:hint="eastAsia" w:ascii="微软雅黑" w:hAnsi="微软雅黑"/>
          <w:b/>
          <w:color w:val="00C4D8"/>
          <w:sz w:val="28"/>
          <w:szCs w:val="28"/>
        </w:rPr>
        <w:t xml:space="preserve"> </w:t>
      </w:r>
      <w:bookmarkStart w:id="82" w:name="基因变异检测结果及相关靶向药物信息"/>
      <w:r>
        <w:rPr>
          <w:rFonts w:ascii="微软雅黑" w:hAnsi="微软雅黑"/>
          <w:b/>
          <w:color w:val="00C4D8"/>
          <w:sz w:val="28"/>
          <w:szCs w:val="28"/>
        </w:rPr>
        <w:t>基因变异</w:t>
      </w:r>
      <w:r>
        <w:rPr>
          <w:rFonts w:hint="eastAsia" w:ascii="微软雅黑" w:hAnsi="微软雅黑"/>
          <w:b/>
          <w:color w:val="00C4D8"/>
          <w:sz w:val="28"/>
          <w:szCs w:val="28"/>
        </w:rPr>
        <w:t>检测结果</w:t>
      </w:r>
      <w:r>
        <w:rPr>
          <w:rFonts w:ascii="微软雅黑" w:hAnsi="微软雅黑"/>
          <w:b/>
          <w:color w:val="00C4D8"/>
          <w:sz w:val="28"/>
          <w:szCs w:val="28"/>
        </w:rPr>
        <w:t>及</w:t>
      </w:r>
      <w:r>
        <w:rPr>
          <w:rFonts w:hint="eastAsia" w:ascii="微软雅黑" w:hAnsi="微软雅黑"/>
          <w:b/>
          <w:color w:val="00C4D8"/>
          <w:sz w:val="28"/>
          <w:szCs w:val="28"/>
        </w:rPr>
        <w:t>相关</w:t>
      </w:r>
      <w:r>
        <w:rPr>
          <w:rFonts w:ascii="微软雅黑" w:hAnsi="微软雅黑"/>
          <w:b/>
          <w:color w:val="00C4D8"/>
          <w:sz w:val="28"/>
          <w:szCs w:val="28"/>
        </w:rPr>
        <w:t>靶向药物信息</w:t>
      </w:r>
      <w:bookmarkEnd w:id="82"/>
    </w:p>
    <w:tbl>
      <w:tblPr>
        <w:tblStyle w:val="16"/>
        <w:tblW w:w="9545" w:type="dxa"/>
        <w:jc w:val="center"/>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Layout w:type="fixed"/>
        <w:tblCellMar>
          <w:top w:w="0" w:type="dxa"/>
          <w:left w:w="108" w:type="dxa"/>
          <w:bottom w:w="0" w:type="dxa"/>
          <w:right w:w="108" w:type="dxa"/>
        </w:tblCellMar>
      </w:tblPr>
      <w:tblGrid>
        <w:gridCol w:w="1143"/>
        <w:gridCol w:w="870"/>
        <w:gridCol w:w="495"/>
        <w:gridCol w:w="450"/>
        <w:gridCol w:w="1294"/>
        <w:gridCol w:w="686"/>
        <w:gridCol w:w="696"/>
        <w:gridCol w:w="2469"/>
        <w:gridCol w:w="1442"/>
      </w:tblGrid>
      <w:tr w14:paraId="66E82AB2">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23" w:hRule="atLeast"/>
          <w:jc w:val="center"/>
        </w:trPr>
        <w:tc>
          <w:tcPr>
            <w:tcW w:w="1143" w:type="dxa"/>
            <w:vMerge w:val="restart"/>
            <w:tcBorders>
              <w:tl2br w:val="nil"/>
              <w:tr2bl w:val="nil"/>
            </w:tcBorders>
            <w:shd w:val="clear" w:color="auto" w:fill="00C4D8"/>
            <w:vAlign w:val="center"/>
          </w:tcPr>
          <w:p w14:paraId="48201ADE">
            <w:pPr>
              <w:keepNext w:val="0"/>
              <w:keepLines w:val="0"/>
              <w:widowControl/>
              <w:suppressLineNumbers w:val="0"/>
              <w:spacing w:before="0" w:beforeAutospacing="0" w:after="0" w:afterAutospacing="0"/>
              <w:ind w:left="0" w:right="0"/>
              <w:jc w:val="center"/>
              <w:rPr>
                <w:rFonts w:hint="default" w:ascii="微软雅黑" w:hAnsi="微软雅黑" w:cs="微软雅黑"/>
                <w:b/>
                <w:bCs/>
                <w:color w:val="F9FBFA"/>
                <w:kern w:val="2"/>
                <w:sz w:val="18"/>
                <w:szCs w:val="18"/>
              </w:rPr>
            </w:pPr>
            <w:r>
              <w:rPr>
                <w:rFonts w:hint="eastAsia" w:ascii="微软雅黑" w:hAnsi="微软雅黑" w:cs="微软雅黑"/>
                <w:b/>
                <w:bCs/>
                <w:color w:val="F9FBFA"/>
                <w:kern w:val="2"/>
                <w:sz w:val="18"/>
                <w:szCs w:val="18"/>
              </w:rPr>
              <w:t>基因名称</w:t>
            </w:r>
          </w:p>
        </w:tc>
        <w:tc>
          <w:tcPr>
            <w:tcW w:w="4491" w:type="dxa"/>
            <w:gridSpan w:val="6"/>
            <w:tcBorders>
              <w:tl2br w:val="nil"/>
              <w:tr2bl w:val="nil"/>
            </w:tcBorders>
            <w:shd w:val="clear" w:color="auto" w:fill="00C4D8"/>
            <w:vAlign w:val="center"/>
          </w:tcPr>
          <w:p w14:paraId="16935D61">
            <w:pPr>
              <w:keepNext w:val="0"/>
              <w:keepLines w:val="0"/>
              <w:widowControl/>
              <w:suppressLineNumbers w:val="0"/>
              <w:spacing w:before="0" w:beforeAutospacing="0" w:after="0" w:afterAutospacing="0"/>
              <w:ind w:left="0" w:right="0"/>
              <w:jc w:val="center"/>
              <w:rPr>
                <w:rFonts w:hint="default" w:ascii="微软雅黑" w:hAnsi="微软雅黑" w:cs="微软雅黑"/>
                <w:b/>
                <w:bCs/>
                <w:color w:val="F9FBFA"/>
                <w:kern w:val="2"/>
                <w:sz w:val="18"/>
                <w:szCs w:val="18"/>
              </w:rPr>
            </w:pPr>
            <w:r>
              <w:rPr>
                <w:rFonts w:hint="eastAsia" w:ascii="微软雅黑" w:hAnsi="微软雅黑" w:cs="微软雅黑"/>
                <w:b/>
                <w:bCs/>
                <w:color w:val="F9FBFA"/>
                <w:kern w:val="2"/>
                <w:sz w:val="18"/>
                <w:szCs w:val="18"/>
              </w:rPr>
              <w:t>基因突变信息</w:t>
            </w:r>
          </w:p>
        </w:tc>
        <w:tc>
          <w:tcPr>
            <w:tcW w:w="3911" w:type="dxa"/>
            <w:gridSpan w:val="2"/>
            <w:tcBorders>
              <w:tl2br w:val="nil"/>
              <w:tr2bl w:val="nil"/>
            </w:tcBorders>
            <w:shd w:val="clear" w:color="auto" w:fill="00C4D8"/>
            <w:vAlign w:val="center"/>
          </w:tcPr>
          <w:p w14:paraId="7BD00B99">
            <w:pPr>
              <w:keepNext w:val="0"/>
              <w:keepLines w:val="0"/>
              <w:widowControl/>
              <w:suppressLineNumbers w:val="0"/>
              <w:spacing w:before="0" w:beforeAutospacing="0" w:after="0" w:afterAutospacing="0"/>
              <w:ind w:left="0" w:right="0"/>
              <w:jc w:val="center"/>
              <w:rPr>
                <w:rFonts w:hint="default" w:ascii="微软雅黑" w:hAnsi="微软雅黑" w:cs="微软雅黑"/>
                <w:b/>
                <w:bCs/>
                <w:color w:val="F9FBFA"/>
                <w:kern w:val="2"/>
                <w:sz w:val="18"/>
                <w:szCs w:val="18"/>
              </w:rPr>
            </w:pPr>
            <w:r>
              <w:rPr>
                <w:rFonts w:hint="eastAsia" w:ascii="微软雅黑" w:hAnsi="微软雅黑" w:cs="微软雅黑"/>
                <w:b/>
                <w:bCs/>
                <w:color w:val="F9FBFA"/>
                <w:kern w:val="2"/>
                <w:sz w:val="18"/>
                <w:szCs w:val="18"/>
              </w:rPr>
              <w:t>靶向药物信息</w:t>
            </w:r>
          </w:p>
        </w:tc>
      </w:tr>
      <w:tr w14:paraId="7C688B75">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23" w:hRule="atLeast"/>
          <w:jc w:val="center"/>
        </w:trPr>
        <w:tc>
          <w:tcPr>
            <w:tcW w:w="1143" w:type="dxa"/>
            <w:vMerge w:val="continue"/>
            <w:tcBorders>
              <w:tl2br w:val="nil"/>
              <w:tr2bl w:val="nil"/>
            </w:tcBorders>
            <w:shd w:val="clear" w:color="auto" w:fill="00C4D8"/>
            <w:vAlign w:val="center"/>
          </w:tcPr>
          <w:p w14:paraId="73CBF2BF">
            <w:pPr>
              <w:keepNext w:val="0"/>
              <w:keepLines w:val="0"/>
              <w:widowControl/>
              <w:suppressLineNumbers w:val="0"/>
              <w:spacing w:before="0" w:beforeAutospacing="0" w:after="0" w:afterAutospacing="0"/>
              <w:ind w:left="0" w:right="0"/>
              <w:jc w:val="center"/>
              <w:rPr>
                <w:rFonts w:hint="default" w:ascii="微软雅黑" w:hAnsi="微软雅黑" w:cs="微软雅黑"/>
                <w:b/>
                <w:bCs/>
                <w:color w:val="F9FBFA"/>
                <w:kern w:val="2"/>
                <w:sz w:val="18"/>
                <w:szCs w:val="18"/>
              </w:rPr>
            </w:pPr>
          </w:p>
        </w:tc>
        <w:tc>
          <w:tcPr>
            <w:tcW w:w="870" w:type="dxa"/>
            <w:tcBorders>
              <w:tl2br w:val="nil"/>
              <w:tr2bl w:val="nil"/>
            </w:tcBorders>
            <w:shd w:val="clear" w:color="auto" w:fill="00C4D8"/>
            <w:vAlign w:val="center"/>
          </w:tcPr>
          <w:p w14:paraId="531D0807">
            <w:pPr>
              <w:keepNext w:val="0"/>
              <w:keepLines w:val="0"/>
              <w:widowControl/>
              <w:suppressLineNumbers w:val="0"/>
              <w:spacing w:before="0" w:beforeAutospacing="0" w:after="0" w:afterAutospacing="0"/>
              <w:ind w:left="0" w:right="0"/>
              <w:jc w:val="center"/>
              <w:rPr>
                <w:rFonts w:hint="default" w:ascii="微软雅黑" w:hAnsi="微软雅黑" w:cs="微软雅黑"/>
                <w:b/>
                <w:bCs/>
                <w:color w:val="F9FBFA"/>
                <w:kern w:val="2"/>
                <w:sz w:val="18"/>
                <w:szCs w:val="18"/>
                <w:highlight w:val="yellow"/>
              </w:rPr>
            </w:pPr>
            <w:r>
              <w:rPr>
                <w:rFonts w:hint="eastAsia" w:ascii="微软雅黑" w:hAnsi="微软雅黑" w:cs="微软雅黑"/>
                <w:b/>
                <w:bCs/>
                <w:color w:val="F9FBFA"/>
                <w:kern w:val="2"/>
                <w:sz w:val="18"/>
                <w:szCs w:val="18"/>
              </w:rPr>
              <w:t>转录本号</w:t>
            </w:r>
          </w:p>
        </w:tc>
        <w:tc>
          <w:tcPr>
            <w:tcW w:w="495" w:type="dxa"/>
            <w:tcBorders>
              <w:tl2br w:val="nil"/>
              <w:tr2bl w:val="nil"/>
            </w:tcBorders>
            <w:shd w:val="clear" w:color="auto" w:fill="00C4D8"/>
            <w:vAlign w:val="center"/>
          </w:tcPr>
          <w:p w14:paraId="7BDE936A">
            <w:pPr>
              <w:keepNext w:val="0"/>
              <w:keepLines w:val="0"/>
              <w:widowControl/>
              <w:suppressLineNumbers w:val="0"/>
              <w:spacing w:before="0" w:beforeAutospacing="0" w:after="0" w:afterAutospacing="0"/>
              <w:ind w:left="0" w:right="0"/>
              <w:jc w:val="center"/>
              <w:rPr>
                <w:rFonts w:hint="default" w:ascii="微软雅黑" w:hAnsi="微软雅黑" w:cs="微软雅黑"/>
                <w:b/>
                <w:bCs/>
                <w:color w:val="F9FBFA"/>
                <w:kern w:val="2"/>
                <w:sz w:val="18"/>
                <w:szCs w:val="18"/>
              </w:rPr>
            </w:pPr>
            <w:r>
              <w:rPr>
                <w:rFonts w:hint="eastAsia" w:ascii="微软雅黑" w:hAnsi="微软雅黑" w:cs="微软雅黑"/>
                <w:b/>
                <w:bCs/>
                <w:color w:val="F9FBFA"/>
                <w:kern w:val="2"/>
                <w:sz w:val="18"/>
                <w:szCs w:val="18"/>
              </w:rPr>
              <w:t>染色体</w:t>
            </w:r>
          </w:p>
        </w:tc>
        <w:tc>
          <w:tcPr>
            <w:tcW w:w="450" w:type="dxa"/>
            <w:tcBorders>
              <w:tl2br w:val="nil"/>
              <w:tr2bl w:val="nil"/>
            </w:tcBorders>
            <w:shd w:val="clear" w:color="auto" w:fill="00C4D8"/>
            <w:vAlign w:val="center"/>
          </w:tcPr>
          <w:p w14:paraId="21C68594">
            <w:pPr>
              <w:keepNext w:val="0"/>
              <w:keepLines w:val="0"/>
              <w:widowControl/>
              <w:suppressLineNumbers w:val="0"/>
              <w:spacing w:before="0" w:beforeAutospacing="0" w:after="0" w:afterAutospacing="0"/>
              <w:ind w:left="0" w:right="0"/>
              <w:jc w:val="center"/>
              <w:rPr>
                <w:rFonts w:hint="default" w:ascii="微软雅黑" w:hAnsi="微软雅黑" w:cs="微软雅黑"/>
                <w:b/>
                <w:bCs/>
                <w:color w:val="F9FBFA"/>
                <w:kern w:val="2"/>
                <w:sz w:val="18"/>
                <w:szCs w:val="18"/>
              </w:rPr>
            </w:pPr>
            <w:r>
              <w:rPr>
                <w:rFonts w:hint="eastAsia" w:ascii="微软雅黑" w:hAnsi="微软雅黑" w:cs="微软雅黑"/>
                <w:b/>
                <w:bCs/>
                <w:color w:val="F9FBFA"/>
                <w:kern w:val="2"/>
                <w:sz w:val="18"/>
                <w:szCs w:val="18"/>
              </w:rPr>
              <w:t>外显子</w:t>
            </w:r>
          </w:p>
        </w:tc>
        <w:tc>
          <w:tcPr>
            <w:tcW w:w="1294" w:type="dxa"/>
            <w:tcBorders>
              <w:tl2br w:val="nil"/>
              <w:tr2bl w:val="nil"/>
            </w:tcBorders>
            <w:shd w:val="clear" w:color="auto" w:fill="00C4D8"/>
            <w:vAlign w:val="center"/>
          </w:tcPr>
          <w:p w14:paraId="46D0635F">
            <w:pPr>
              <w:keepNext w:val="0"/>
              <w:keepLines w:val="0"/>
              <w:widowControl/>
              <w:suppressLineNumbers w:val="0"/>
              <w:spacing w:before="0" w:beforeAutospacing="0" w:after="0" w:afterAutospacing="0"/>
              <w:ind w:left="0" w:right="0"/>
              <w:jc w:val="center"/>
              <w:rPr>
                <w:rFonts w:hint="default" w:ascii="微软雅黑" w:hAnsi="微软雅黑" w:cs="微软雅黑"/>
                <w:b/>
                <w:bCs/>
                <w:color w:val="F9FBFA"/>
                <w:kern w:val="2"/>
                <w:sz w:val="18"/>
                <w:szCs w:val="18"/>
              </w:rPr>
            </w:pPr>
            <w:r>
              <w:rPr>
                <w:rFonts w:hint="eastAsia" w:ascii="微软雅黑" w:hAnsi="微软雅黑" w:cs="微软雅黑"/>
                <w:b/>
                <w:bCs/>
                <w:color w:val="F9FBFA"/>
                <w:kern w:val="2"/>
                <w:sz w:val="18"/>
                <w:szCs w:val="18"/>
              </w:rPr>
              <w:t>位点</w:t>
            </w:r>
          </w:p>
        </w:tc>
        <w:tc>
          <w:tcPr>
            <w:tcW w:w="686" w:type="dxa"/>
            <w:tcBorders>
              <w:tl2br w:val="nil"/>
              <w:tr2bl w:val="nil"/>
            </w:tcBorders>
            <w:shd w:val="clear" w:color="auto" w:fill="00C4D8"/>
            <w:vAlign w:val="center"/>
          </w:tcPr>
          <w:p w14:paraId="25CEF3A5">
            <w:pPr>
              <w:keepNext w:val="0"/>
              <w:keepLines w:val="0"/>
              <w:widowControl/>
              <w:suppressLineNumbers w:val="0"/>
              <w:spacing w:before="0" w:beforeAutospacing="0" w:after="0" w:afterAutospacing="0"/>
              <w:ind w:left="0" w:right="0"/>
              <w:jc w:val="center"/>
              <w:rPr>
                <w:rFonts w:hint="default" w:ascii="微软雅黑" w:hAnsi="微软雅黑" w:cs="微软雅黑"/>
                <w:b/>
                <w:bCs/>
                <w:color w:val="F9FBFA"/>
                <w:kern w:val="2"/>
                <w:sz w:val="18"/>
                <w:szCs w:val="18"/>
              </w:rPr>
            </w:pPr>
            <w:r>
              <w:rPr>
                <w:rFonts w:hint="eastAsia" w:ascii="微软雅黑" w:hAnsi="微软雅黑" w:cs="微软雅黑"/>
                <w:b/>
                <w:bCs/>
                <w:color w:val="F9FBFA"/>
                <w:kern w:val="2"/>
                <w:sz w:val="18"/>
                <w:szCs w:val="18"/>
              </w:rPr>
              <w:t>突变</w:t>
            </w:r>
          </w:p>
          <w:p w14:paraId="255FC6A4">
            <w:pPr>
              <w:keepNext w:val="0"/>
              <w:keepLines w:val="0"/>
              <w:widowControl/>
              <w:suppressLineNumbers w:val="0"/>
              <w:spacing w:before="0" w:beforeAutospacing="0" w:after="0" w:afterAutospacing="0"/>
              <w:ind w:left="0" w:right="0"/>
              <w:jc w:val="center"/>
              <w:rPr>
                <w:rFonts w:hint="default" w:ascii="微软雅黑" w:hAnsi="微软雅黑" w:cs="微软雅黑"/>
                <w:b/>
                <w:bCs/>
                <w:color w:val="F9FBFA"/>
                <w:kern w:val="2"/>
                <w:sz w:val="18"/>
                <w:szCs w:val="18"/>
              </w:rPr>
            </w:pPr>
            <w:r>
              <w:rPr>
                <w:rFonts w:hint="eastAsia" w:ascii="微软雅黑" w:hAnsi="微软雅黑" w:cs="微软雅黑"/>
                <w:b/>
                <w:bCs/>
                <w:color w:val="F9FBFA"/>
                <w:kern w:val="2"/>
                <w:sz w:val="18"/>
                <w:szCs w:val="18"/>
              </w:rPr>
              <w:t>类型</w:t>
            </w:r>
          </w:p>
        </w:tc>
        <w:tc>
          <w:tcPr>
            <w:tcW w:w="696" w:type="dxa"/>
            <w:tcBorders>
              <w:tl2br w:val="nil"/>
              <w:tr2bl w:val="nil"/>
            </w:tcBorders>
            <w:shd w:val="clear" w:color="auto" w:fill="00C4D8"/>
            <w:vAlign w:val="center"/>
          </w:tcPr>
          <w:p w14:paraId="32C82E42">
            <w:pPr>
              <w:keepNext w:val="0"/>
              <w:keepLines w:val="0"/>
              <w:widowControl/>
              <w:suppressLineNumbers w:val="0"/>
              <w:spacing w:before="0" w:beforeAutospacing="0" w:after="0" w:afterAutospacing="0"/>
              <w:ind w:left="0" w:right="0"/>
              <w:jc w:val="center"/>
              <w:rPr>
                <w:rFonts w:hint="default" w:ascii="微软雅黑" w:hAnsi="微软雅黑" w:cs="微软雅黑"/>
                <w:b/>
                <w:bCs/>
                <w:color w:val="F9FBFA"/>
                <w:kern w:val="2"/>
                <w:sz w:val="18"/>
                <w:szCs w:val="18"/>
              </w:rPr>
            </w:pPr>
            <w:r>
              <w:rPr>
                <w:rFonts w:hint="eastAsia" w:ascii="微软雅黑" w:hAnsi="微软雅黑" w:cs="微软雅黑"/>
                <w:b/>
                <w:bCs/>
                <w:color w:val="F9FBFA"/>
                <w:kern w:val="2"/>
                <w:sz w:val="18"/>
                <w:szCs w:val="18"/>
              </w:rPr>
              <w:t>频率</w:t>
            </w:r>
          </w:p>
          <w:p w14:paraId="645C32EC">
            <w:pPr>
              <w:keepNext w:val="0"/>
              <w:keepLines w:val="0"/>
              <w:widowControl/>
              <w:suppressLineNumbers w:val="0"/>
              <w:spacing w:before="0" w:beforeAutospacing="0" w:after="0" w:afterAutospacing="0"/>
              <w:ind w:left="0" w:right="0"/>
              <w:jc w:val="center"/>
              <w:rPr>
                <w:rFonts w:hint="default" w:ascii="微软雅黑" w:hAnsi="微软雅黑" w:cs="微软雅黑"/>
                <w:b/>
                <w:bCs/>
                <w:color w:val="F9FBFA"/>
                <w:kern w:val="2"/>
                <w:sz w:val="18"/>
                <w:szCs w:val="18"/>
              </w:rPr>
            </w:pPr>
            <w:r>
              <w:rPr>
                <w:rFonts w:hint="eastAsia" w:ascii="微软雅黑" w:hAnsi="微软雅黑" w:cs="微软雅黑"/>
                <w:b/>
                <w:bCs/>
                <w:color w:val="F9FBFA"/>
                <w:kern w:val="2"/>
                <w:sz w:val="18"/>
                <w:szCs w:val="18"/>
              </w:rPr>
              <w:t xml:space="preserve">(%)                                                                                                                                 </w:t>
            </w:r>
          </w:p>
        </w:tc>
        <w:tc>
          <w:tcPr>
            <w:tcW w:w="2469" w:type="dxa"/>
            <w:tcBorders>
              <w:tl2br w:val="nil"/>
              <w:tr2bl w:val="nil"/>
            </w:tcBorders>
            <w:shd w:val="clear" w:color="auto" w:fill="00C4D8"/>
            <w:vAlign w:val="center"/>
          </w:tcPr>
          <w:p w14:paraId="206E7CC5">
            <w:pPr>
              <w:keepNext w:val="0"/>
              <w:keepLines w:val="0"/>
              <w:widowControl/>
              <w:suppressLineNumbers w:val="0"/>
              <w:adjustRightInd/>
              <w:snapToGrid/>
              <w:spacing w:before="0" w:beforeAutospacing="0" w:after="0" w:afterAutospacing="0" w:line="320" w:lineRule="exact"/>
              <w:ind w:left="0" w:right="0"/>
              <w:jc w:val="center"/>
              <w:rPr>
                <w:rFonts w:hint="default" w:ascii="微软雅黑" w:hAnsi="微软雅黑" w:cs="微软雅黑"/>
                <w:b/>
                <w:bCs/>
                <w:color w:val="FFFFFF" w:themeColor="background1"/>
                <w:kern w:val="2"/>
                <w:sz w:val="18"/>
                <w:szCs w:val="18"/>
                <w14:textFill>
                  <w14:solidFill>
                    <w14:schemeClr w14:val="bg1"/>
                  </w14:solidFill>
                </w14:textFill>
              </w:rPr>
            </w:pPr>
            <w:r>
              <w:rPr>
                <w:rFonts w:hint="eastAsia" w:ascii="微软雅黑" w:hAnsi="微软雅黑" w:cs="微软雅黑"/>
                <w:b/>
                <w:bCs/>
                <w:color w:val="FFFFFF" w:themeColor="background1"/>
                <w:kern w:val="2"/>
                <w:sz w:val="18"/>
                <w:szCs w:val="18"/>
                <w14:textFill>
                  <w14:solidFill>
                    <w14:schemeClr w14:val="bg1"/>
                  </w14:solidFill>
                </w14:textFill>
              </w:rPr>
              <w:t>潜在获益靶向药物</w:t>
            </w:r>
          </w:p>
          <w:p w14:paraId="2B6230E2">
            <w:pPr>
              <w:keepNext w:val="0"/>
              <w:keepLines w:val="0"/>
              <w:widowControl/>
              <w:suppressLineNumbers w:val="0"/>
              <w:adjustRightInd/>
              <w:snapToGrid/>
              <w:spacing w:before="0" w:beforeAutospacing="0" w:after="0" w:afterAutospacing="0" w:line="320" w:lineRule="exact"/>
              <w:ind w:left="0" w:right="0"/>
              <w:jc w:val="center"/>
              <w:rPr>
                <w:rFonts w:hint="default" w:ascii="微软雅黑" w:hAnsi="微软雅黑" w:cs="微软雅黑"/>
                <w:b/>
                <w:bCs/>
                <w:color w:val="FFFFFF" w:themeColor="background1"/>
                <w:kern w:val="2"/>
                <w:sz w:val="18"/>
                <w:szCs w:val="18"/>
                <w14:textFill>
                  <w14:solidFill>
                    <w14:schemeClr w14:val="bg1"/>
                  </w14:solidFill>
                </w14:textFill>
              </w:rPr>
            </w:pPr>
            <w:r>
              <w:rPr>
                <w:rFonts w:hint="eastAsia" w:ascii="微软雅黑" w:hAnsi="微软雅黑" w:cs="微软雅黑"/>
                <w:b/>
                <w:bCs/>
                <w:color w:val="FFFFFF" w:themeColor="background1"/>
                <w:kern w:val="2"/>
                <w:sz w:val="18"/>
                <w:szCs w:val="18"/>
                <w14:textFill>
                  <w14:solidFill>
                    <w14:schemeClr w14:val="bg1"/>
                  </w14:solidFill>
                </w14:textFill>
              </w:rPr>
              <w:t>（证据等级）</w:t>
            </w:r>
          </w:p>
        </w:tc>
        <w:tc>
          <w:tcPr>
            <w:tcW w:w="1442" w:type="dxa"/>
            <w:tcBorders>
              <w:tl2br w:val="nil"/>
              <w:tr2bl w:val="nil"/>
            </w:tcBorders>
            <w:shd w:val="clear" w:color="auto" w:fill="00C4D8"/>
            <w:vAlign w:val="center"/>
          </w:tcPr>
          <w:p w14:paraId="388116FC">
            <w:pPr>
              <w:keepNext w:val="0"/>
              <w:keepLines w:val="0"/>
              <w:widowControl/>
              <w:suppressLineNumbers w:val="0"/>
              <w:adjustRightInd/>
              <w:snapToGrid/>
              <w:spacing w:before="0" w:beforeAutospacing="0" w:after="0" w:afterAutospacing="0" w:line="320" w:lineRule="exact"/>
              <w:ind w:left="0" w:right="0"/>
              <w:jc w:val="center"/>
              <w:rPr>
                <w:rFonts w:hint="default" w:ascii="微软雅黑" w:hAnsi="微软雅黑" w:cs="微软雅黑"/>
                <w:b/>
                <w:bCs/>
                <w:color w:val="FFFFFF" w:themeColor="background1"/>
                <w:kern w:val="2"/>
                <w:sz w:val="18"/>
                <w:szCs w:val="18"/>
                <w14:textFill>
                  <w14:solidFill>
                    <w14:schemeClr w14:val="bg1"/>
                  </w14:solidFill>
                </w14:textFill>
              </w:rPr>
            </w:pPr>
            <w:r>
              <w:rPr>
                <w:rFonts w:hint="eastAsia" w:ascii="微软雅黑" w:hAnsi="微软雅黑" w:cs="微软雅黑"/>
                <w:b/>
                <w:bCs/>
                <w:color w:val="FFFFFF" w:themeColor="background1"/>
                <w:kern w:val="2"/>
                <w:sz w:val="18"/>
                <w:szCs w:val="18"/>
                <w14:textFill>
                  <w14:solidFill>
                    <w14:schemeClr w14:val="bg1"/>
                  </w14:solidFill>
                </w14:textFill>
              </w:rPr>
              <w:t>可能耐药或</w:t>
            </w:r>
          </w:p>
          <w:p w14:paraId="5C2677BE">
            <w:pPr>
              <w:keepNext w:val="0"/>
              <w:keepLines w:val="0"/>
              <w:widowControl/>
              <w:suppressLineNumbers w:val="0"/>
              <w:adjustRightInd/>
              <w:snapToGrid/>
              <w:spacing w:before="0" w:beforeAutospacing="0" w:after="0" w:afterAutospacing="0" w:line="320" w:lineRule="exact"/>
              <w:ind w:left="0" w:right="0"/>
              <w:jc w:val="center"/>
              <w:rPr>
                <w:rFonts w:hint="default" w:ascii="微软雅黑" w:hAnsi="微软雅黑" w:cs="微软雅黑"/>
                <w:b/>
                <w:bCs/>
                <w:color w:val="FFFFFF" w:themeColor="background1"/>
                <w:kern w:val="2"/>
                <w:sz w:val="18"/>
                <w:szCs w:val="18"/>
                <w14:textFill>
                  <w14:solidFill>
                    <w14:schemeClr w14:val="bg1"/>
                  </w14:solidFill>
                </w14:textFill>
              </w:rPr>
            </w:pPr>
            <w:r>
              <w:rPr>
                <w:rFonts w:hint="eastAsia" w:ascii="微软雅黑" w:hAnsi="微软雅黑" w:cs="微软雅黑"/>
                <w:b/>
                <w:bCs/>
                <w:color w:val="FFFFFF" w:themeColor="background1"/>
                <w:kern w:val="2"/>
                <w:sz w:val="18"/>
                <w:szCs w:val="18"/>
                <w14:textFill>
                  <w14:solidFill>
                    <w14:schemeClr w14:val="bg1"/>
                  </w14:solidFill>
                </w14:textFill>
              </w:rPr>
              <w:t>慎重药物</w:t>
            </w:r>
          </w:p>
          <w:p w14:paraId="7956C1FA">
            <w:pPr>
              <w:keepNext w:val="0"/>
              <w:keepLines w:val="0"/>
              <w:widowControl/>
              <w:suppressLineNumbers w:val="0"/>
              <w:adjustRightInd/>
              <w:snapToGrid/>
              <w:spacing w:before="0" w:beforeAutospacing="0" w:after="0" w:afterAutospacing="0" w:line="320" w:lineRule="exact"/>
              <w:ind w:left="0" w:right="0"/>
              <w:jc w:val="center"/>
              <w:rPr>
                <w:rFonts w:hint="default" w:ascii="微软雅黑" w:hAnsi="微软雅黑" w:cs="微软雅黑"/>
                <w:b/>
                <w:color w:val="00C4D8"/>
                <w:kern w:val="2"/>
                <w:sz w:val="18"/>
                <w:szCs w:val="18"/>
              </w:rPr>
            </w:pPr>
            <w:r>
              <w:rPr>
                <w:rFonts w:hint="eastAsia" w:ascii="微软雅黑" w:hAnsi="微软雅黑" w:cs="微软雅黑"/>
                <w:b/>
                <w:bCs/>
                <w:color w:val="FFFFFF" w:themeColor="background1"/>
                <w:kern w:val="2"/>
                <w:sz w:val="18"/>
                <w:szCs w:val="18"/>
                <w14:textFill>
                  <w14:solidFill>
                    <w14:schemeClr w14:val="bg1"/>
                  </w14:solidFill>
                </w14:textFill>
              </w:rPr>
              <w:t>（证据等级）</w:t>
            </w:r>
          </w:p>
        </w:tc>
      </w:tr>
      <w:tr>
        <w:trPr>
          <w:trHeight w:val="0" w:hRule="auto"/>
        </w:trPr>
        <w:tc>
          <w:tcPr>
            <w:tcW w:w="0" w:type="auto"/>
          </w:tcPr>
          <w:p>
            <w:r>
              <w:t>{%tr for row in summary_variants %}</w:t>
            </w:r>
          </w:p>
        </w:tc>
      </w:tr>
      <w:tr w14:paraId="00E5E1E5">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578" w:hRule="atLeast"/>
          <w:jc w:val="center"/>
        </w:trPr>
        <w:tc>
          <w:tcPr>
            <w:tcW w:w="1143" w:type="dxa"/>
            <w:tcBorders>
              <w:tl2br w:val="nil"/>
              <w:tr2bl w:val="nil"/>
            </w:tcBorders>
            <w:vAlign w:val="center"/>
          </w:tcPr>
          <w:p w14:paraId="3E46306B">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color w:val="0000FF"/>
                <w:kern w:val="2"/>
                <w:sz w:val="18"/>
                <w:szCs w:val="18"/>
                <w:u w:val="single"/>
              </w:rPr>
            </w:pPr>
            <w:r>
              <w:rPr>
                <w:rFonts w:hint="default" w:ascii="微软雅黑" w:hAnsi="微软雅黑" w:cs="微软雅黑"/>
                <w:color w:val="0000FF"/>
                <w:kern w:val="2"/>
                <w:sz w:val="18"/>
                <w:szCs w:val="18"/>
                <w:u w:val="single"/>
              </w:rPr>
              <w:t>{{ row.gene }}</w:t>
            </w:r>
          </w:p>
        </w:tc>
        <w:tc>
          <w:tcPr>
            <w:tcW w:w="870" w:type="dxa"/>
            <w:tcBorders>
              <w:tl2br w:val="nil"/>
              <w:tr2bl w:val="nil"/>
            </w:tcBorders>
            <w:vAlign w:val="center"/>
          </w:tcPr>
          <w:p w14:paraId="474F4533">
            <w:pPr>
              <w:keepNext w:val="0"/>
              <w:keepLines w:val="0"/>
              <w:widowControl/>
              <w:suppressLineNumbers w:val="0"/>
              <w:spacing w:before="0" w:beforeAutospacing="0" w:after="0" w:afterAutospacing="0" w:line="220" w:lineRule="atLeast"/>
              <w:ind w:left="0" w:right="0"/>
              <w:jc w:val="center"/>
              <w:rPr>
                <w:rFonts w:hint="default" w:ascii="微软雅黑" w:hAnsi="微软雅黑" w:cs="微软雅黑"/>
                <w:bCs/>
                <w:kern w:val="2"/>
                <w:sz w:val="18"/>
                <w:szCs w:val="18"/>
                <w:lang w:bidi="ar"/>
              </w:rPr>
            </w:pPr>
            <w:r>
              <w:rPr>
                <w:rFonts w:hint="default" w:ascii="微软雅黑" w:hAnsi="微软雅黑" w:cs="微软雅黑"/>
                <w:bCs/>
                <w:kern w:val="2"/>
                <w:sz w:val="18"/>
                <w:szCs w:val="18"/>
                <w:lang w:bidi="ar"/>
              </w:rPr>
              <w:t>{{ row.transcript }}</w:t>
            </w:r>
          </w:p>
        </w:tc>
        <w:tc>
          <w:tcPr>
            <w:tcW w:w="495" w:type="dxa"/>
            <w:tcBorders>
              <w:tl2br w:val="nil"/>
              <w:tr2bl w:val="nil"/>
            </w:tcBorders>
            <w:vAlign w:val="center"/>
          </w:tcPr>
          <w:p w14:paraId="3D89DEF3">
            <w:pPr>
              <w:keepNext w:val="0"/>
              <w:keepLines w:val="0"/>
              <w:widowControl/>
              <w:suppressLineNumbers w:val="0"/>
              <w:spacing w:before="0" w:beforeAutospacing="0" w:after="0" w:afterAutospacing="0" w:line="220" w:lineRule="atLeast"/>
              <w:ind w:left="0" w:right="0"/>
              <w:jc w:val="center"/>
              <w:rPr>
                <w:rFonts w:hint="default" w:ascii="微软雅黑" w:hAnsi="微软雅黑" w:cs="微软雅黑"/>
                <w:bCs/>
                <w:kern w:val="2"/>
                <w:sz w:val="18"/>
                <w:szCs w:val="18"/>
                <w:lang w:bidi="ar"/>
              </w:rPr>
            </w:pPr>
            <w:r>
              <w:rPr>
                <w:rFonts w:hint="default" w:ascii="微软雅黑" w:hAnsi="微软雅黑" w:cs="微软雅黑"/>
                <w:bCs/>
                <w:kern w:val="2"/>
                <w:sz w:val="18"/>
                <w:szCs w:val="18"/>
                <w:lang w:bidi="ar"/>
              </w:rPr>
              <w:t>{{ row.chromosome }}</w:t>
            </w:r>
            <w:r>
              <w:commentReference w:id="14"/>
            </w:r>
          </w:p>
        </w:tc>
        <w:tc>
          <w:tcPr>
            <w:tcW w:w="450" w:type="dxa"/>
            <w:tcBorders>
              <w:tl2br w:val="nil"/>
              <w:tr2bl w:val="nil"/>
            </w:tcBorders>
            <w:vAlign w:val="center"/>
          </w:tcPr>
          <w:p w14:paraId="0C1D010A">
            <w:pPr>
              <w:keepNext w:val="0"/>
              <w:keepLines w:val="0"/>
              <w:widowControl/>
              <w:suppressLineNumbers w:val="0"/>
              <w:spacing w:before="0" w:beforeAutospacing="0" w:after="0" w:afterAutospacing="0" w:line="220" w:lineRule="atLeast"/>
              <w:ind w:left="0" w:right="0"/>
              <w:jc w:val="center"/>
              <w:rPr>
                <w:rFonts w:hint="default" w:ascii="微软雅黑" w:hAnsi="微软雅黑" w:cs="微软雅黑"/>
                <w:bCs/>
                <w:kern w:val="2"/>
                <w:sz w:val="18"/>
                <w:szCs w:val="18"/>
                <w:lang w:bidi="ar"/>
              </w:rPr>
            </w:pPr>
            <w:r>
              <w:rPr>
                <w:rFonts w:hint="default" w:ascii="微软雅黑" w:hAnsi="微软雅黑" w:cs="微软雅黑"/>
                <w:bCs/>
                <w:kern w:val="2"/>
                <w:sz w:val="18"/>
                <w:szCs w:val="18"/>
                <w:lang w:bidi="ar"/>
              </w:rPr>
              <w:t>{{ row.exon }}</w:t>
            </w:r>
            <w:r>
              <w:commentReference w:id="15"/>
            </w:r>
          </w:p>
        </w:tc>
        <w:tc>
          <w:tcPr>
            <w:tcW w:w="1294" w:type="dxa"/>
            <w:tcBorders>
              <w:tl2br w:val="nil"/>
              <w:tr2bl w:val="nil"/>
            </w:tcBorders>
            <w:vAlign w:val="center"/>
          </w:tcPr>
          <w:p w14:paraId="0E2E30D3">
            <w:pPr>
              <w:keepNext w:val="0"/>
              <w:keepLines w:val="0"/>
              <w:widowControl/>
              <w:suppressLineNumbers w:val="0"/>
              <w:spacing w:before="0" w:beforeAutospacing="0" w:after="0" w:afterAutospacing="0" w:line="220" w:lineRule="atLeast"/>
              <w:ind w:left="0" w:right="0"/>
              <w:jc w:val="center"/>
              <w:rPr>
                <w:rFonts w:hint="default" w:ascii="微软雅黑" w:hAnsi="微软雅黑" w:cs="微软雅黑"/>
                <w:bCs/>
                <w:kern w:val="2"/>
                <w:sz w:val="18"/>
                <w:szCs w:val="18"/>
                <w:lang w:bidi="ar"/>
              </w:rPr>
            </w:pPr>
            <w:r>
              <w:rPr>
                <w:rFonts w:hint="default" w:ascii="微软雅黑" w:hAnsi="微软雅黑" w:cs="微软雅黑"/>
                <w:bCs/>
                <w:kern w:val="2"/>
                <w:sz w:val="18"/>
                <w:szCs w:val="18"/>
                <w:lang w:bidi="ar"/>
              </w:rPr>
              <w:t>{{ row.cHGVS }}</w:t>
            </w:r>
          </w:p>
          <w:p w14:paraId="000D9AE3">
            <w:pPr>
              <w:keepNext w:val="0"/>
              <w:keepLines w:val="0"/>
              <w:widowControl/>
              <w:suppressLineNumbers w:val="0"/>
              <w:spacing w:before="0" w:beforeAutospacing="0" w:after="0" w:afterAutospacing="0" w:line="220" w:lineRule="atLeast"/>
              <w:ind w:left="0" w:right="0"/>
              <w:jc w:val="center"/>
              <w:rPr>
                <w:rFonts w:hint="default" w:ascii="微软雅黑" w:hAnsi="微软雅黑" w:cs="微软雅黑"/>
                <w:bCs/>
                <w:kern w:val="2"/>
                <w:sz w:val="18"/>
                <w:szCs w:val="18"/>
                <w:lang w:bidi="ar"/>
              </w:rPr>
            </w:pPr>
            <w:r>
              <w:rPr>
                <w:rFonts w:hint="default" w:ascii="微软雅黑" w:hAnsi="微软雅黑" w:cs="微软雅黑"/>
                <w:bCs/>
                <w:kern w:val="2"/>
                <w:sz w:val="18"/>
                <w:szCs w:val="18"/>
                <w:lang w:bidi="ar"/>
              </w:rPr>
              <w:t>{{ row.pHGVS }}</w:t>
            </w:r>
          </w:p>
        </w:tc>
        <w:tc>
          <w:tcPr>
            <w:tcW w:w="686" w:type="dxa"/>
            <w:tcBorders>
              <w:tl2br w:val="nil"/>
              <w:tr2bl w:val="nil"/>
            </w:tcBorders>
            <w:vAlign w:val="center"/>
          </w:tcPr>
          <w:p w14:paraId="0AE187AF">
            <w:pPr>
              <w:keepNext w:val="0"/>
              <w:keepLines w:val="0"/>
              <w:widowControl/>
              <w:suppressLineNumbers w:val="0"/>
              <w:spacing w:before="0" w:beforeAutospacing="0" w:after="0" w:afterAutospacing="0" w:line="220" w:lineRule="atLeast"/>
              <w:ind w:left="0" w:right="0"/>
              <w:jc w:val="center"/>
              <w:rPr>
                <w:rFonts w:hint="default" w:ascii="微软雅黑" w:hAnsi="微软雅黑" w:cs="微软雅黑"/>
                <w:bCs/>
                <w:kern w:val="2"/>
                <w:sz w:val="18"/>
                <w:szCs w:val="18"/>
                <w:lang w:bidi="ar"/>
              </w:rPr>
            </w:pPr>
            <w:r>
              <w:rPr>
                <w:rFonts w:hint="default" w:ascii="微软雅黑" w:hAnsi="微软雅黑" w:cs="微软雅黑"/>
                <w:kern w:val="2"/>
                <w:sz w:val="18"/>
                <w:szCs w:val="18"/>
              </w:rPr>
              <w:t>{{ row.mutation_type }}</w:t>
            </w:r>
            <w:r>
              <w:commentReference w:id="16"/>
            </w:r>
          </w:p>
        </w:tc>
        <w:tc>
          <w:tcPr>
            <w:tcW w:w="696" w:type="dxa"/>
            <w:tcBorders>
              <w:tl2br w:val="nil"/>
              <w:tr2bl w:val="nil"/>
            </w:tcBorders>
            <w:vAlign w:val="center"/>
          </w:tcPr>
          <w:p w14:paraId="78D588C7">
            <w:pPr>
              <w:keepNext w:val="0"/>
              <w:keepLines w:val="0"/>
              <w:widowControl/>
              <w:suppressLineNumbers w:val="0"/>
              <w:spacing w:before="0" w:beforeAutospacing="0" w:after="0" w:afterAutospacing="0" w:line="220" w:lineRule="atLeast"/>
              <w:ind w:left="0" w:right="0"/>
              <w:jc w:val="center"/>
              <w:rPr>
                <w:rFonts w:hint="default" w:ascii="微软雅黑" w:hAnsi="微软雅黑" w:cs="微软雅黑"/>
                <w:bCs/>
                <w:kern w:val="2"/>
                <w:sz w:val="18"/>
                <w:szCs w:val="18"/>
                <w:lang w:bidi="ar"/>
              </w:rPr>
            </w:pPr>
            <w:r>
              <w:rPr>
                <w:rFonts w:hint="default" w:ascii="微软雅黑" w:hAnsi="微软雅黑" w:cs="微软雅黑"/>
                <w:bCs/>
                <w:kern w:val="2"/>
                <w:sz w:val="18"/>
                <w:szCs w:val="18"/>
                <w:lang w:bidi="ar"/>
              </w:rPr>
              <w:t>{{ row.frequency }}</w:t>
            </w:r>
          </w:p>
        </w:tc>
        <w:tc>
          <w:tcPr>
            <w:tcW w:w="2469" w:type="dxa"/>
            <w:tcBorders>
              <w:tl2br w:val="nil"/>
              <w:tr2bl w:val="nil"/>
            </w:tcBorders>
            <w:shd w:val="clear" w:color="auto" w:fill="auto"/>
            <w:vAlign w:val="center"/>
          </w:tcPr>
          <w:p w14:paraId="6AF81B52">
            <w:pPr>
              <w:keepNext w:val="0"/>
              <w:keepLines w:val="0"/>
              <w:widowControl/>
              <w:suppressLineNumbers w:val="0"/>
              <w:adjustRightInd/>
              <w:snapToGrid/>
              <w:spacing w:before="0" w:beforeAutospacing="0" w:after="0" w:afterAutospacing="0" w:line="220" w:lineRule="atLeast"/>
              <w:ind w:left="0" w:right="0"/>
              <w:jc w:val="center"/>
              <w:rPr>
                <w:rFonts w:hint="eastAsia" w:ascii="微软雅黑" w:hAnsi="微软雅黑" w:eastAsia="微软雅黑" w:cs="微软雅黑"/>
                <w:bCs/>
                <w:color w:val="0000FF"/>
                <w:kern w:val="2"/>
                <w:sz w:val="18"/>
                <w:szCs w:val="18"/>
                <w:u w:val="single"/>
                <w:lang w:val="en-US" w:eastAsia="zh-CN"/>
              </w:rPr>
            </w:pPr>
            <w:r>
              <w:rPr>
                <w:rFonts w:hint="eastAsia" w:ascii="微软雅黑" w:hAnsi="微软雅黑" w:eastAsia="微软雅黑" w:cs="微软雅黑"/>
                <w:bCs/>
                <w:color w:val="0000FF"/>
                <w:kern w:val="2"/>
                <w:sz w:val="18"/>
                <w:szCs w:val="18"/>
                <w:u w:val="single"/>
                <w:lang w:val="en-US" w:eastAsia="zh-CN"/>
              </w:rPr>
              <w:t>{{ row.benefit_drugs }}</w:t>
            </w:r>
          </w:p>
        </w:tc>
        <w:tc>
          <w:tcPr>
            <w:tcW w:w="1442" w:type="dxa"/>
            <w:tcBorders>
              <w:tl2br w:val="nil"/>
              <w:tr2bl w:val="nil"/>
            </w:tcBorders>
            <w:shd w:val="clear" w:color="auto" w:fill="auto"/>
            <w:vAlign w:val="center"/>
          </w:tcPr>
          <w:p w14:paraId="7596B120">
            <w:pPr>
              <w:keepNext w:val="0"/>
              <w:keepLines w:val="0"/>
              <w:widowControl/>
              <w:suppressLineNumbers w:val="0"/>
              <w:adjustRightInd/>
              <w:snapToGrid/>
              <w:spacing w:before="0" w:beforeAutospacing="0" w:after="0" w:afterAutospacing="0" w:line="220" w:lineRule="atLeast"/>
              <w:ind w:left="0" w:leftChars="0" w:right="0" w:rightChars="0"/>
              <w:jc w:val="center"/>
              <w:rPr>
                <w:rFonts w:hint="eastAsia" w:ascii="微软雅黑" w:hAnsi="微软雅黑" w:eastAsia="微软雅黑" w:cs="微软雅黑"/>
                <w:bCs/>
                <w:color w:val="0000FF"/>
                <w:kern w:val="2"/>
                <w:sz w:val="18"/>
                <w:szCs w:val="18"/>
                <w:u w:val="single"/>
                <w:lang w:val="en-US" w:eastAsia="zh-CN" w:bidi="ar-SA"/>
              </w:rPr>
            </w:pPr>
            <w:r>
              <w:rPr>
                <w:rFonts w:hint="eastAsia" w:ascii="微软雅黑" w:hAnsi="微软雅黑" w:eastAsia="微软雅黑" w:cs="微软雅黑"/>
                <w:bCs/>
                <w:kern w:val="2"/>
                <w:sz w:val="18"/>
                <w:szCs w:val="18"/>
              </w:rPr>
              <w:t>{{ row.caution_drugs }}</w:t>
            </w:r>
          </w:p>
        </w:tc>
      </w:tr>
      <w:tr>
        <w:trPr>
          <w:trHeight w:val="0" w:hRule="auto"/>
        </w:trPr>
        <w:tc>
          <w:tcPr>
            <w:tcW w:w="0" w:type="auto"/>
          </w:tcPr>
          <w:p>
            <w:r>
              <w:t>{%tr endfor %}</w:t>
            </w:r>
          </w:p>
        </w:tc>
      </w:tr>
      <w:tr>
        <w:trPr>
          <w:trHeight w:val="0" w:hRule="auto"/>
        </w:trPr>
        <w:tc>
          <w:tcPr>
            <w:tcW w:w="0" w:type="auto"/>
          </w:tcPr>
          <w:p>
            <w:r>
              <w:t>{%tr for gene in undetected_genes %}</w:t>
            </w:r>
          </w:p>
        </w:tc>
      </w:tr>
      <w:tr w14:paraId="05459EE8">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578" w:hRule="atLeast"/>
          <w:jc w:val="center"/>
        </w:trPr>
        <w:tc>
          <w:tcPr>
            <w:tcW w:w="1143" w:type="dxa"/>
            <w:tcBorders>
              <w:tl2br w:val="nil"/>
              <w:tr2bl w:val="nil"/>
            </w:tcBorders>
            <w:vAlign w:val="center"/>
          </w:tcPr>
          <w:p w14:paraId="7A653E8B">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bCs/>
                <w:kern w:val="2"/>
                <w:sz w:val="18"/>
                <w:szCs w:val="18"/>
              </w:rPr>
            </w:pPr>
            <w:r>
              <w:commentReference w:id="17"/>
            </w:r>
            <w:r>
              <w:rPr>
                <w:rFonts w:hint="default" w:ascii="微软雅黑" w:hAnsi="微软雅黑" w:cs="微软雅黑"/>
                <w:bCs/>
                <w:kern w:val="2"/>
                <w:sz w:val="18"/>
                <w:szCs w:val="18"/>
              </w:rPr>
              <w:t>{{ gene.name }}</w:t>
            </w:r>
          </w:p>
        </w:tc>
        <w:tc>
          <w:tcPr>
            <w:tcW w:w="870" w:type="dxa"/>
            <w:tcBorders>
              <w:tl2br w:val="nil"/>
              <w:tr2bl w:val="nil"/>
            </w:tcBorders>
            <w:vAlign w:val="center"/>
          </w:tcPr>
          <w:p w14:paraId="5D9A47D5">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jc w:val="center"/>
              <w:textAlignment w:val="auto"/>
              <w:rPr>
                <w:rFonts w:hint="eastAsia" w:cs="Times New Roman"/>
                <w:kern w:val="2"/>
              </w:rPr>
            </w:pPr>
            <w:r>
              <w:rPr>
                <w:rFonts w:hint="default" w:ascii="微软雅黑" w:hAnsi="微软雅黑" w:cs="微软雅黑"/>
                <w:bCs/>
                <w:kern w:val="2"/>
                <w:sz w:val="18"/>
                <w:szCs w:val="18"/>
                <w:lang w:bidi="ar"/>
              </w:rPr>
              <w:t>{{ gene.transcript }}</w:t>
            </w:r>
          </w:p>
        </w:tc>
        <w:tc>
          <w:tcPr>
            <w:tcW w:w="495" w:type="dxa"/>
            <w:tcBorders>
              <w:tl2br w:val="nil"/>
              <w:tr2bl w:val="nil"/>
            </w:tcBorders>
            <w:vAlign w:val="center"/>
          </w:tcPr>
          <w:p w14:paraId="410763B0">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18"/>
                <w:szCs w:val="18"/>
              </w:rPr>
            </w:pPr>
            <w:r>
              <w:rPr>
                <w:rFonts w:hint="default" w:ascii="微软雅黑" w:hAnsi="微软雅黑" w:cs="微软雅黑"/>
                <w:bCs/>
                <w:kern w:val="2"/>
                <w:sz w:val="18"/>
                <w:szCs w:val="18"/>
                <w:lang w:bidi="ar"/>
              </w:rPr>
              <w:t>{{ gene.chromosome }}</w:t>
            </w:r>
          </w:p>
        </w:tc>
        <w:tc>
          <w:tcPr>
            <w:tcW w:w="450" w:type="dxa"/>
            <w:tcBorders>
              <w:tl2br w:val="nil"/>
              <w:tr2bl w:val="nil"/>
            </w:tcBorders>
            <w:vAlign w:val="center"/>
          </w:tcPr>
          <w:p w14:paraId="021F7CF9">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bCs/>
                <w:color w:val="000000" w:themeColor="text1"/>
                <w:kern w:val="2"/>
                <w:sz w:val="18"/>
                <w:szCs w:val="18"/>
                <w:lang w:bidi="ar"/>
                <w14:textFill>
                  <w14:solidFill>
                    <w14:schemeClr w14:val="tx1"/>
                  </w14:solidFill>
                </w14:textFill>
              </w:rPr>
            </w:pPr>
          </w:p>
        </w:tc>
        <w:tc>
          <w:tcPr>
            <w:tcW w:w="1294" w:type="dxa"/>
            <w:tcBorders>
              <w:tl2br w:val="nil"/>
              <w:tr2bl w:val="nil"/>
            </w:tcBorders>
            <w:vAlign w:val="center"/>
          </w:tcPr>
          <w:p w14:paraId="027556E7">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bCs/>
                <w:kern w:val="2"/>
                <w:sz w:val="18"/>
                <w:szCs w:val="18"/>
              </w:rPr>
            </w:pPr>
            <w:r>
              <w:rPr>
                <w:rFonts w:hint="eastAsia" w:ascii="微软雅黑" w:hAnsi="微软雅黑" w:cs="微软雅黑"/>
                <w:bCs/>
                <w:kern w:val="2"/>
                <w:sz w:val="18"/>
                <w:szCs w:val="18"/>
              </w:rPr>
              <w:t>未见突变</w:t>
            </w:r>
          </w:p>
        </w:tc>
        <w:tc>
          <w:tcPr>
            <w:tcW w:w="686" w:type="dxa"/>
            <w:tcBorders>
              <w:tl2br w:val="nil"/>
              <w:tr2bl w:val="nil"/>
            </w:tcBorders>
            <w:vAlign w:val="center"/>
          </w:tcPr>
          <w:p w14:paraId="4F1769AC">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bCs/>
                <w:kern w:val="2"/>
                <w:sz w:val="18"/>
                <w:szCs w:val="18"/>
              </w:rPr>
            </w:pPr>
            <w:r>
              <w:rPr>
                <w:rFonts w:hint="eastAsia" w:ascii="微软雅黑" w:hAnsi="微软雅黑" w:cs="微软雅黑"/>
                <w:bCs/>
                <w:kern w:val="2"/>
                <w:sz w:val="18"/>
                <w:szCs w:val="18"/>
              </w:rPr>
              <w:t>--</w:t>
            </w:r>
          </w:p>
        </w:tc>
        <w:tc>
          <w:tcPr>
            <w:tcW w:w="696" w:type="dxa"/>
            <w:tcBorders>
              <w:tl2br w:val="nil"/>
              <w:tr2bl w:val="nil"/>
            </w:tcBorders>
            <w:vAlign w:val="center"/>
          </w:tcPr>
          <w:p w14:paraId="686EF817">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bCs/>
                <w:kern w:val="2"/>
                <w:sz w:val="18"/>
                <w:szCs w:val="18"/>
              </w:rPr>
            </w:pPr>
            <w:r>
              <w:rPr>
                <w:rFonts w:hint="eastAsia" w:ascii="微软雅黑" w:hAnsi="微软雅黑" w:cs="微软雅黑"/>
                <w:bCs/>
                <w:kern w:val="2"/>
                <w:sz w:val="18"/>
                <w:szCs w:val="18"/>
              </w:rPr>
              <w:t>--</w:t>
            </w:r>
          </w:p>
        </w:tc>
        <w:tc>
          <w:tcPr>
            <w:tcW w:w="2469" w:type="dxa"/>
            <w:tcBorders>
              <w:tl2br w:val="nil"/>
              <w:tr2bl w:val="nil"/>
            </w:tcBorders>
            <w:vAlign w:val="center"/>
          </w:tcPr>
          <w:p w14:paraId="5C403E28">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bCs/>
                <w:kern w:val="2"/>
                <w:sz w:val="18"/>
                <w:szCs w:val="18"/>
              </w:rPr>
            </w:pPr>
            <w:r>
              <w:rPr>
                <w:rFonts w:hint="eastAsia" w:ascii="微软雅黑" w:hAnsi="微软雅黑" w:cs="微软雅黑"/>
                <w:bCs/>
                <w:kern w:val="2"/>
                <w:sz w:val="18"/>
                <w:szCs w:val="18"/>
              </w:rPr>
              <w:t>--</w:t>
            </w:r>
          </w:p>
        </w:tc>
        <w:tc>
          <w:tcPr>
            <w:tcW w:w="1442" w:type="dxa"/>
            <w:tcBorders>
              <w:tl2br w:val="nil"/>
              <w:tr2bl w:val="nil"/>
            </w:tcBorders>
            <w:vAlign w:val="center"/>
          </w:tcPr>
          <w:p w14:paraId="5072290F">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bCs/>
                <w:kern w:val="2"/>
                <w:sz w:val="18"/>
                <w:szCs w:val="18"/>
              </w:rPr>
            </w:pPr>
            <w:r>
              <w:rPr>
                <w:rFonts w:hint="eastAsia" w:ascii="微软雅黑" w:hAnsi="微软雅黑" w:cs="微软雅黑"/>
                <w:bCs/>
                <w:kern w:val="2"/>
                <w:sz w:val="18"/>
                <w:szCs w:val="18"/>
              </w:rPr>
              <w:t>--</w:t>
            </w:r>
          </w:p>
        </w:tc>
      </w:tr>
      <w:tr>
        <w:trPr>
          <w:trHeight w:val="0" w:hRule="auto"/>
        </w:trPr>
        <w:tc>
          <w:tcPr>
            <w:tcW w:w="0" w:type="auto"/>
          </w:tcPr>
          <w:p>
            <w:r>
              <w:t>{%tr endfor %}</w:t>
            </w:r>
          </w:p>
        </w:tc>
      </w:tr>
    </w:tbl>
    <w:p w14:paraId="724EBEA6">
      <w:pPr>
        <w:adjustRightInd/>
        <w:snapToGrid/>
        <w:spacing w:after="0" w:line="220" w:lineRule="atLeast"/>
        <w:jc w:val="both"/>
        <w:rPr>
          <w:rFonts w:ascii="微软雅黑" w:hAnsi="微软雅黑" w:cs="微软雅黑"/>
          <w:color w:val="000000"/>
          <w:sz w:val="20"/>
          <w:szCs w:val="20"/>
        </w:rPr>
      </w:pPr>
      <w:bookmarkStart w:id="83" w:name="_Toc26040"/>
      <w:bookmarkStart w:id="84" w:name="_Toc30153"/>
      <w:r>
        <w:rPr>
          <w:rFonts w:hint="eastAsia" w:ascii="微软雅黑" w:hAnsi="微软雅黑" w:cs="微软雅黑"/>
          <w:color w:val="000000"/>
          <w:sz w:val="20"/>
          <w:szCs w:val="20"/>
        </w:rPr>
        <w:t>*突变频率是指在该位点所有等位基因中，突变基因所占的百分比。上述基因变异及相应靶向药物的详细解析请见第三部分。</w:t>
      </w:r>
      <w:bookmarkEnd w:id="83"/>
      <w:bookmarkEnd w:id="84"/>
      <w:r>
        <w:rPr>
          <w:rFonts w:hint="eastAsia" w:ascii="微软雅黑" w:hAnsi="微软雅黑" w:cs="微软雅黑"/>
          <w:color w:val="000000"/>
          <w:sz w:val="20"/>
          <w:szCs w:val="20"/>
        </w:rPr>
        <w:t>上表中“未见突变”基因仅为与本癌种最相关的部分基因，此次所检测的全部基因列表请见附录。</w:t>
      </w:r>
    </w:p>
    <w:p w14:paraId="1FF8A671">
      <w:pPr>
        <w:adjustRightInd/>
        <w:snapToGrid/>
        <w:spacing w:after="0" w:line="220" w:lineRule="atLeast"/>
        <w:jc w:val="both"/>
        <w:rPr>
          <w:rFonts w:ascii="微软雅黑" w:hAnsi="微软雅黑" w:cs="微软雅黑"/>
          <w:color w:val="000000"/>
          <w:sz w:val="20"/>
          <w:szCs w:val="20"/>
        </w:rPr>
      </w:pPr>
    </w:p>
    <w:p w14:paraId="4399BCB0">
      <w:pPr>
        <w:adjustRightInd/>
        <w:snapToGrid/>
        <w:jc w:val="both"/>
        <w:rPr>
          <w:rFonts w:ascii="微软雅黑" w:hAnsi="微软雅黑" w:cs="微软雅黑"/>
          <w:kern w:val="2"/>
          <w:sz w:val="21"/>
          <w:szCs w:val="24"/>
        </w:rPr>
      </w:pPr>
      <w:r>
        <w:rPr>
          <w:rFonts w:hint="eastAsia" w:ascii="微软雅黑" w:hAnsi="微软雅黑" w:cs="微软雅黑"/>
          <w:kern w:val="2"/>
          <w:sz w:val="21"/>
          <w:szCs w:val="24"/>
        </w:rPr>
        <w:t>本次检测结果仅供参考，最终治疗方案请遵照医嘱。肿瘤基因随着病情发展存在动态变化，所以检测及分析结果只能在一定时间范围内对治疗有参考作用。如果病情发生变化（例如：转移、稳定、好转），请咨询主治医生，是否需要重新检测以调整治疗方案。</w:t>
      </w:r>
    </w:p>
    <w:p w14:paraId="3F8C857B">
      <w:pPr>
        <w:rPr>
          <w:rFonts w:ascii="微软雅黑" w:hAnsi="微软雅黑"/>
          <w:b/>
          <w:color w:val="00C4D8"/>
          <w:sz w:val="28"/>
          <w:szCs w:val="28"/>
        </w:rPr>
      </w:pPr>
      <w:r>
        <w:rPr>
          <w:rFonts w:hint="eastAsia" w:ascii="微软雅黑" w:hAnsi="微软雅黑"/>
          <w:b/>
          <w:color w:val="00C4D8"/>
          <w:sz w:val="28"/>
          <w:szCs w:val="28"/>
        </w:rPr>
        <w:br w:type="page"/>
      </w:r>
    </w:p>
    <w:p w14:paraId="363D0D1C">
      <w:pPr>
        <w:adjustRightInd/>
        <w:snapToGrid/>
        <w:spacing w:before="200" w:line="220" w:lineRule="atLeast"/>
        <w:rPr>
          <w:rFonts w:ascii="微软雅黑" w:hAnsi="微软雅黑"/>
          <w:b/>
          <w:color w:val="00C4D8"/>
          <w:sz w:val="28"/>
          <w:szCs w:val="28"/>
        </w:rPr>
      </w:pPr>
      <w:r>
        <w:rPr>
          <w:rFonts w:hint="eastAsia" w:ascii="微软雅黑" w:hAnsi="微软雅黑"/>
          <w:b/>
          <w:color w:val="00C4D8"/>
          <w:sz w:val="28"/>
          <w:szCs w:val="28"/>
        </w:rPr>
        <w:t>2</w:t>
      </w:r>
      <w:r>
        <w:rPr>
          <w:rFonts w:ascii="微软雅黑" w:hAnsi="微软雅黑"/>
          <w:b/>
          <w:color w:val="00C4D8"/>
          <w:sz w:val="28"/>
          <w:szCs w:val="28"/>
        </w:rPr>
        <w:t>.</w:t>
      </w:r>
      <w:r>
        <w:rPr>
          <w:rFonts w:hint="eastAsia" w:ascii="微软雅黑" w:hAnsi="微软雅黑"/>
          <w:b/>
          <w:color w:val="00C4D8"/>
          <w:sz w:val="28"/>
          <w:szCs w:val="28"/>
        </w:rPr>
        <w:t>2 其它潜在获益上市</w:t>
      </w:r>
      <w:r>
        <w:rPr>
          <w:rFonts w:ascii="微软雅黑" w:hAnsi="微软雅黑"/>
          <w:b/>
          <w:color w:val="00C4D8"/>
          <w:sz w:val="28"/>
          <w:szCs w:val="28"/>
        </w:rPr>
        <w:t>药物提示</w:t>
      </w:r>
      <w:r>
        <w:rPr>
          <w:rFonts w:hint="eastAsia" w:ascii="微软雅黑" w:hAnsi="微软雅黑"/>
          <w:b/>
          <w:color w:val="00C4D8"/>
          <w:sz w:val="28"/>
          <w:szCs w:val="28"/>
        </w:rPr>
        <w:t>*</w:t>
      </w:r>
      <w:bookmarkEnd w:id="79"/>
      <w:bookmarkEnd w:id="80"/>
      <w:r>
        <w:commentReference w:id="18"/>
      </w:r>
    </w:p>
    <w:p w14:paraId="3E48C0FE">
      <w:pPr>
        <w:adjustRightInd/>
        <w:snapToGrid/>
        <w:spacing w:after="100" w:line="220" w:lineRule="atLeast"/>
        <w:jc w:val="both"/>
        <w:rPr>
          <w:rFonts w:ascii="微软雅黑" w:hAnsi="微软雅黑"/>
          <w:b/>
          <w:color w:val="00C4D8"/>
          <w:sz w:val="21"/>
          <w:szCs w:val="21"/>
        </w:rPr>
      </w:pPr>
      <w:bookmarkStart w:id="85" w:name="_Toc27296"/>
      <w:bookmarkStart w:id="86" w:name="_Toc19562"/>
      <w:r>
        <w:rPr>
          <w:rFonts w:hint="eastAsia" w:ascii="微软雅黑" w:hAnsi="微软雅黑"/>
          <w:b/>
          <w:color w:val="00C4D8"/>
          <w:sz w:val="21"/>
          <w:szCs w:val="21"/>
        </w:rPr>
        <w:t>（*以下为本癌种FDA/NMPA批准的抗血管生成类的靶向药物，或国内临床实践中疗效较好的靶向药物，可以作为多线治疗的备选方案。）</w:t>
      </w:r>
    </w:p>
    <w:tbl>
      <w:tblPr>
        <w:tblStyle w:val="16"/>
        <w:tblW w:w="8728" w:type="dxa"/>
        <w:tblInd w:w="-57"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1806"/>
        <w:gridCol w:w="2539"/>
        <w:gridCol w:w="4383"/>
      </w:tblGrid>
      <w:tr w14:paraId="5AE3EC0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27" w:hRule="atLeast"/>
        </w:trPr>
        <w:tc>
          <w:tcPr>
            <w:tcW w:w="1806" w:type="dxa"/>
            <w:tcBorders>
              <w:tl2br w:val="nil"/>
              <w:tr2bl w:val="nil"/>
            </w:tcBorders>
            <w:shd w:val="clear" w:color="auto" w:fill="00C4D8"/>
            <w:vAlign w:val="center"/>
          </w:tcPr>
          <w:p w14:paraId="4D2F6D48">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b/>
                <w:color w:val="F9FBFA"/>
                <w:kern w:val="0"/>
              </w:rPr>
            </w:pPr>
            <w:r>
              <w:rPr>
                <w:rFonts w:hint="eastAsia" w:ascii="微软雅黑" w:hAnsi="微软雅黑"/>
                <w:b/>
                <w:color w:val="F9FBFA"/>
                <w:kern w:val="2"/>
                <w:sz w:val="24"/>
                <w:szCs w:val="24"/>
              </w:rPr>
              <w:t>药物名称</w:t>
            </w:r>
          </w:p>
        </w:tc>
        <w:tc>
          <w:tcPr>
            <w:tcW w:w="2539" w:type="dxa"/>
            <w:tcBorders>
              <w:tl2br w:val="nil"/>
              <w:tr2bl w:val="nil"/>
            </w:tcBorders>
            <w:shd w:val="clear" w:color="auto" w:fill="00C4D8"/>
            <w:vAlign w:val="center"/>
          </w:tcPr>
          <w:p w14:paraId="080FC067">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b/>
                <w:color w:val="F9FBFA"/>
                <w:kern w:val="0"/>
              </w:rPr>
            </w:pPr>
            <w:r>
              <w:rPr>
                <w:rFonts w:hint="eastAsia" w:ascii="微软雅黑" w:hAnsi="微软雅黑"/>
                <w:b/>
                <w:color w:val="F9FBFA"/>
                <w:kern w:val="2"/>
                <w:sz w:val="24"/>
                <w:szCs w:val="24"/>
              </w:rPr>
              <w:t>相关基因</w:t>
            </w:r>
          </w:p>
        </w:tc>
        <w:tc>
          <w:tcPr>
            <w:tcW w:w="4383" w:type="dxa"/>
            <w:tcBorders>
              <w:tl2br w:val="nil"/>
              <w:tr2bl w:val="nil"/>
            </w:tcBorders>
            <w:shd w:val="clear" w:color="auto" w:fill="00C4D8"/>
            <w:vAlign w:val="center"/>
          </w:tcPr>
          <w:p w14:paraId="369B1B65">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b/>
                <w:color w:val="F9FBFA"/>
                <w:kern w:val="0"/>
              </w:rPr>
            </w:pPr>
            <w:r>
              <w:rPr>
                <w:rFonts w:hint="eastAsia" w:ascii="微软雅黑" w:hAnsi="微软雅黑"/>
                <w:b/>
                <w:color w:val="F9FBFA"/>
                <w:kern w:val="2"/>
                <w:sz w:val="24"/>
                <w:szCs w:val="24"/>
              </w:rPr>
              <w:t>药物适应情况</w:t>
            </w:r>
          </w:p>
        </w:tc>
      </w:tr>
      <w:tr w14:paraId="1BD3398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10" w:hRule="atLeast"/>
        </w:trPr>
        <w:tc>
          <w:tcPr>
            <w:tcW w:w="1806" w:type="dxa"/>
            <w:tcBorders>
              <w:tl2br w:val="nil"/>
              <w:tr2bl w:val="nil"/>
            </w:tcBorders>
            <w:shd w:val="clear" w:color="auto" w:fill="auto"/>
            <w:vAlign w:val="center"/>
          </w:tcPr>
          <w:p w14:paraId="6EDDCB2A">
            <w:pPr>
              <w:keepNext w:val="0"/>
              <w:keepLines w:val="0"/>
              <w:widowControl/>
              <w:suppressLineNumbers w:val="0"/>
              <w:spacing w:before="0" w:beforeAutospacing="0" w:after="0" w:afterAutospacing="0"/>
              <w:ind w:left="0" w:right="0"/>
              <w:jc w:val="center"/>
              <w:rPr>
                <w:rFonts w:hint="default" w:ascii="微软雅黑" w:hAnsi="微软雅黑" w:cs="Times New Roman"/>
                <w:bCs/>
                <w:kern w:val="2"/>
                <w:sz w:val="21"/>
                <w:szCs w:val="21"/>
              </w:rPr>
            </w:pPr>
            <w:r>
              <w:rPr>
                <w:rFonts w:hint="eastAsia" w:ascii="微软雅黑" w:hAnsi="微软雅黑" w:cs="Times New Roman"/>
                <w:bCs/>
                <w:kern w:val="2"/>
                <w:sz w:val="21"/>
                <w:szCs w:val="21"/>
              </w:rPr>
              <w:t>瑞戈非尼</w:t>
            </w:r>
          </w:p>
          <w:p w14:paraId="17A64EC7">
            <w:pPr>
              <w:keepNext w:val="0"/>
              <w:keepLines w:val="0"/>
              <w:widowControl/>
              <w:suppressLineNumbers w:val="0"/>
              <w:spacing w:before="0" w:beforeAutospacing="0" w:after="0" w:afterAutospacing="0"/>
              <w:ind w:left="0" w:right="0"/>
              <w:jc w:val="center"/>
              <w:rPr>
                <w:rFonts w:hint="default" w:ascii="微软雅黑" w:hAnsi="微软雅黑" w:cs="Times New Roman"/>
                <w:bCs/>
                <w:kern w:val="2"/>
                <w:sz w:val="21"/>
                <w:szCs w:val="21"/>
              </w:rPr>
            </w:pPr>
            <w:r>
              <w:rPr>
                <w:rFonts w:hint="eastAsia" w:ascii="微软雅黑" w:hAnsi="微软雅黑" w:cs="Times New Roman"/>
                <w:bCs/>
                <w:kern w:val="2"/>
                <w:sz w:val="21"/>
                <w:szCs w:val="21"/>
              </w:rPr>
              <w:t>Regorafenib</w:t>
            </w:r>
          </w:p>
          <w:p w14:paraId="38067CD9">
            <w:pPr>
              <w:keepNext w:val="0"/>
              <w:keepLines w:val="0"/>
              <w:widowControl/>
              <w:suppressLineNumbers w:val="0"/>
              <w:spacing w:before="0" w:beforeAutospacing="0" w:after="0" w:afterAutospacing="0"/>
              <w:ind w:left="0" w:right="0"/>
              <w:jc w:val="center"/>
              <w:rPr>
                <w:rFonts w:hint="eastAsia" w:ascii="微软雅黑" w:hAnsi="微软雅黑" w:eastAsia="微软雅黑" w:cs="微软雅黑"/>
                <w:kern w:val="2"/>
                <w:sz w:val="21"/>
                <w:szCs w:val="21"/>
                <w:lang w:val="en-US" w:eastAsia="zh-CN" w:bidi="ar-SA"/>
              </w:rPr>
            </w:pPr>
            <w:r>
              <w:rPr>
                <w:rFonts w:hint="eastAsia" w:ascii="微软雅黑" w:hAnsi="微软雅黑" w:cs="Times New Roman"/>
                <w:bCs/>
                <w:kern w:val="2"/>
                <w:sz w:val="21"/>
                <w:szCs w:val="21"/>
              </w:rPr>
              <w:t>[</w:t>
            </w:r>
            <w:r>
              <w:rPr>
                <w:rFonts w:hint="eastAsia" w:ascii="微软雅黑" w:hAnsi="微软雅黑" w:cs="微软雅黑"/>
                <w:kern w:val="2"/>
                <w:sz w:val="21"/>
                <w:szCs w:val="21"/>
              </w:rPr>
              <w:t>拜万戈</w:t>
            </w:r>
            <w:r>
              <w:rPr>
                <w:rFonts w:hint="eastAsia" w:ascii="微软雅黑" w:hAnsi="微软雅黑" w:cs="Times New Roman"/>
                <w:bCs/>
                <w:kern w:val="2"/>
                <w:sz w:val="21"/>
                <w:szCs w:val="21"/>
              </w:rPr>
              <w:t>]</w:t>
            </w:r>
          </w:p>
        </w:tc>
        <w:tc>
          <w:tcPr>
            <w:tcW w:w="2539" w:type="dxa"/>
            <w:tcBorders>
              <w:tl2br w:val="nil"/>
              <w:tr2bl w:val="nil"/>
            </w:tcBorders>
            <w:shd w:val="clear" w:color="auto" w:fill="auto"/>
            <w:vAlign w:val="center"/>
          </w:tcPr>
          <w:p w14:paraId="4A867BC7">
            <w:pPr>
              <w:keepNext w:val="0"/>
              <w:keepLines w:val="0"/>
              <w:widowControl/>
              <w:suppressLineNumbers w:val="0"/>
              <w:spacing w:before="0" w:beforeAutospacing="0" w:after="0" w:afterAutospacing="0"/>
              <w:ind w:left="0" w:right="0"/>
              <w:jc w:val="center"/>
              <w:rPr>
                <w:rFonts w:hint="default" w:ascii="微软雅黑" w:hAnsi="微软雅黑" w:cs="Times New Roman"/>
                <w:bCs/>
                <w:kern w:val="2"/>
                <w:sz w:val="21"/>
                <w:szCs w:val="21"/>
              </w:rPr>
            </w:pPr>
            <w:r>
              <w:rPr>
                <w:rFonts w:hint="eastAsia" w:ascii="微软雅黑" w:hAnsi="微软雅黑" w:cs="Times New Roman"/>
                <w:bCs/>
                <w:kern w:val="2"/>
                <w:sz w:val="21"/>
                <w:szCs w:val="21"/>
              </w:rPr>
              <w:t>RET、VEGFR1、VEGFR2、VEGFR3、KIT、PDGFRα、</w:t>
            </w:r>
          </w:p>
          <w:p w14:paraId="0FD24A37">
            <w:pPr>
              <w:keepNext w:val="0"/>
              <w:keepLines w:val="0"/>
              <w:widowControl/>
              <w:suppressLineNumbers w:val="0"/>
              <w:spacing w:before="0" w:beforeAutospacing="0" w:after="0" w:afterAutospacing="0"/>
              <w:ind w:left="0" w:right="0"/>
              <w:jc w:val="center"/>
              <w:rPr>
                <w:rFonts w:hint="eastAsia" w:ascii="微软雅黑" w:hAnsi="微软雅黑" w:eastAsia="微软雅黑" w:cs="微软雅黑"/>
                <w:kern w:val="2"/>
                <w:sz w:val="21"/>
                <w:szCs w:val="21"/>
                <w:lang w:val="en-US" w:eastAsia="zh-CN" w:bidi="ar-SA"/>
              </w:rPr>
            </w:pPr>
            <w:r>
              <w:rPr>
                <w:rFonts w:hint="eastAsia" w:ascii="微软雅黑" w:hAnsi="微软雅黑" w:cs="Times New Roman"/>
                <w:bCs/>
                <w:kern w:val="2"/>
                <w:sz w:val="21"/>
                <w:szCs w:val="21"/>
              </w:rPr>
              <w:t>PDGFRβ、FGFR1、FGFR2、TIE2、DDR2、TrkA、EphA2、RAF1、BRAF、BRAF、V600E、SAPK2、PTK5、ABL</w:t>
            </w:r>
          </w:p>
        </w:tc>
        <w:tc>
          <w:tcPr>
            <w:tcW w:w="4383" w:type="dxa"/>
            <w:tcBorders>
              <w:tl2br w:val="nil"/>
              <w:tr2bl w:val="nil"/>
            </w:tcBorders>
            <w:shd w:val="clear" w:color="auto" w:fill="auto"/>
            <w:vAlign w:val="center"/>
          </w:tcPr>
          <w:p w14:paraId="2C6E4867">
            <w:pPr>
              <w:keepNext w:val="0"/>
              <w:keepLines w:val="0"/>
              <w:widowControl/>
              <w:suppressLineNumbers w:val="0"/>
              <w:spacing w:before="0" w:beforeAutospacing="0" w:after="0" w:afterAutospacing="0"/>
              <w:ind w:left="0" w:right="0" w:firstLine="420" w:firstLineChars="200"/>
              <w:jc w:val="both"/>
              <w:rPr>
                <w:rFonts w:hint="eastAsia" w:ascii="微软雅黑" w:hAnsi="微软雅黑" w:eastAsia="微软雅黑" w:cs="微软雅黑"/>
                <w:kern w:val="2"/>
                <w:sz w:val="21"/>
                <w:szCs w:val="21"/>
                <w:lang w:val="en-US" w:eastAsia="zh-CN" w:bidi="ar-SA"/>
              </w:rPr>
            </w:pPr>
            <w:r>
              <w:rPr>
                <w:rFonts w:hint="eastAsia" w:ascii="微软雅黑" w:hAnsi="微软雅黑" w:cs="微软雅黑"/>
                <w:kern w:val="2"/>
                <w:sz w:val="21"/>
                <w:szCs w:val="21"/>
              </w:rPr>
              <w:t>FDA和NMPA批准用于治疗结直肠癌、胃肠道间质瘤和肝癌。2022年结肠癌和直肠癌NCCN指南推荐</w:t>
            </w:r>
            <w:r>
              <w:rPr>
                <w:rFonts w:hint="eastAsia" w:ascii="微软雅黑" w:hAnsi="微软雅黑" w:cs="Times New Roman"/>
                <w:bCs/>
                <w:kern w:val="2"/>
                <w:sz w:val="21"/>
                <w:szCs w:val="21"/>
              </w:rPr>
              <w:t>瑞戈非尼为在所有可用方案进展的结直肠癌患者的治疗方案。2022年CSCO指南推荐</w:t>
            </w:r>
            <w:r>
              <w:rPr>
                <w:rFonts w:hint="eastAsia" w:ascii="微软雅黑" w:hAnsi="微软雅黑" w:cs="微软雅黑"/>
                <w:kern w:val="2"/>
                <w:sz w:val="21"/>
                <w:szCs w:val="21"/>
              </w:rPr>
              <w:t>瑞戈非尼</w:t>
            </w:r>
            <w:r>
              <w:rPr>
                <w:rFonts w:hint="eastAsia" w:ascii="微软雅黑" w:hAnsi="微软雅黑" w:cs="Times New Roman"/>
                <w:bCs/>
                <w:kern w:val="2"/>
                <w:sz w:val="21"/>
                <w:szCs w:val="21"/>
              </w:rPr>
              <w:t>作为化疗，或抗VEGF和抗EGFR靶向药物等现有标准治疗失败后的三线用药。</w:t>
            </w:r>
          </w:p>
        </w:tc>
      </w:tr>
      <w:tr w14:paraId="42ABF48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10" w:hRule="atLeast"/>
        </w:trPr>
        <w:tc>
          <w:tcPr>
            <w:tcW w:w="1806" w:type="dxa"/>
            <w:tcBorders>
              <w:tl2br w:val="nil"/>
              <w:tr2bl w:val="nil"/>
            </w:tcBorders>
            <w:shd w:val="clear" w:color="auto" w:fill="auto"/>
            <w:vAlign w:val="center"/>
          </w:tcPr>
          <w:p w14:paraId="58A1CBBF">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rPr>
            </w:pPr>
            <w:r>
              <w:rPr>
                <w:rFonts w:hint="eastAsia" w:ascii="微软雅黑" w:hAnsi="微软雅黑" w:cs="微软雅黑"/>
                <w:kern w:val="2"/>
                <w:sz w:val="21"/>
                <w:szCs w:val="21"/>
              </w:rPr>
              <w:t>贝伐珠单抗</w:t>
            </w:r>
          </w:p>
          <w:p w14:paraId="2F173E17">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rPr>
            </w:pPr>
            <w:r>
              <w:rPr>
                <w:rFonts w:hint="eastAsia" w:ascii="微软雅黑" w:hAnsi="微软雅黑" w:cs="微软雅黑"/>
                <w:kern w:val="2"/>
                <w:sz w:val="21"/>
                <w:szCs w:val="21"/>
              </w:rPr>
              <w:t>Bevacizumab</w:t>
            </w:r>
          </w:p>
          <w:p w14:paraId="5E2FAC7C">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rPr>
            </w:pPr>
            <w:r>
              <w:rPr>
                <w:rFonts w:hint="eastAsia" w:ascii="微软雅黑" w:hAnsi="微软雅黑" w:cs="微软雅黑"/>
                <w:kern w:val="2"/>
                <w:sz w:val="21"/>
                <w:szCs w:val="21"/>
              </w:rPr>
              <w:t>[安维汀]</w:t>
            </w:r>
          </w:p>
        </w:tc>
        <w:tc>
          <w:tcPr>
            <w:tcW w:w="2539" w:type="dxa"/>
            <w:tcBorders>
              <w:tl2br w:val="nil"/>
              <w:tr2bl w:val="nil"/>
            </w:tcBorders>
            <w:shd w:val="clear" w:color="auto" w:fill="auto"/>
            <w:vAlign w:val="center"/>
          </w:tcPr>
          <w:p w14:paraId="0DABED4A">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rPr>
            </w:pPr>
            <w:r>
              <w:rPr>
                <w:rFonts w:hint="eastAsia" w:ascii="微软雅黑" w:hAnsi="微软雅黑" w:cs="微软雅黑"/>
                <w:kern w:val="2"/>
                <w:sz w:val="21"/>
                <w:szCs w:val="21"/>
              </w:rPr>
              <w:t>VEGF</w:t>
            </w:r>
          </w:p>
        </w:tc>
        <w:tc>
          <w:tcPr>
            <w:tcW w:w="4383" w:type="dxa"/>
            <w:tcBorders>
              <w:tl2br w:val="nil"/>
              <w:tr2bl w:val="nil"/>
            </w:tcBorders>
            <w:shd w:val="clear" w:color="auto" w:fill="auto"/>
            <w:vAlign w:val="center"/>
          </w:tcPr>
          <w:p w14:paraId="5863EE73">
            <w:pPr>
              <w:keepNext w:val="0"/>
              <w:keepLines w:val="0"/>
              <w:widowControl/>
              <w:suppressLineNumbers w:val="0"/>
              <w:spacing w:before="0" w:beforeAutospacing="0" w:after="0" w:afterAutospacing="0"/>
              <w:ind w:left="0" w:right="0" w:firstLine="420"/>
              <w:jc w:val="both"/>
              <w:rPr>
                <w:rFonts w:hint="default" w:ascii="微软雅黑" w:hAnsi="微软雅黑" w:cs="微软雅黑"/>
                <w:kern w:val="2"/>
                <w:sz w:val="21"/>
                <w:szCs w:val="21"/>
              </w:rPr>
            </w:pPr>
            <w:r>
              <w:rPr>
                <w:rFonts w:hint="eastAsia" w:ascii="微软雅黑" w:hAnsi="微软雅黑" w:cs="微软雅黑"/>
                <w:kern w:val="2"/>
                <w:sz w:val="21"/>
                <w:szCs w:val="21"/>
              </w:rPr>
              <w:t>FDA批准用于治疗转移性结直肠癌、非鳞状非小细胞肺癌、胶质母细胞瘤、转移性肾细胞癌、宫颈癌、</w:t>
            </w:r>
            <w:r>
              <w:rPr>
                <w:rFonts w:hint="eastAsia" w:ascii="微软雅黑" w:hAnsi="微软雅黑" w:cs="微软雅黑"/>
                <w:kern w:val="2"/>
                <w:sz w:val="21"/>
                <w:szCs w:val="24"/>
              </w:rPr>
              <w:t>卵巢上皮癌、输卵管癌、原发性腹膜癌和肝细胞癌</w:t>
            </w:r>
            <w:r>
              <w:rPr>
                <w:rFonts w:hint="eastAsia" w:ascii="微软雅黑" w:hAnsi="微软雅黑" w:cs="微软雅黑"/>
                <w:kern w:val="2"/>
                <w:sz w:val="21"/>
                <w:szCs w:val="21"/>
              </w:rPr>
              <w:t>。NMPA批准用于治疗转移性结直肠癌、非鳞状非小细胞肺癌、胶质母细胞瘤、</w:t>
            </w:r>
            <w:r>
              <w:rPr>
                <w:rFonts w:hint="eastAsia" w:ascii="微软雅黑" w:hAnsi="微软雅黑" w:cs="微软雅黑"/>
                <w:kern w:val="2"/>
                <w:sz w:val="21"/>
                <w:szCs w:val="24"/>
              </w:rPr>
              <w:t>肝细胞癌、卵巢上皮癌、输卵管癌、原发性腹膜癌和</w:t>
            </w:r>
            <w:r>
              <w:rPr>
                <w:rFonts w:hint="eastAsia" w:ascii="微软雅黑" w:hAnsi="微软雅黑" w:cs="微软雅黑"/>
                <w:kern w:val="2"/>
                <w:sz w:val="21"/>
                <w:szCs w:val="21"/>
              </w:rPr>
              <w:t>宫颈癌。2022年结肠癌和直肠癌NCCN指南推荐多种化疗方案（FOLFIRI、FOLFOX、CAPEOX或FOLFOXIRI）联合贝伐珠单抗用于治疗结肠癌和直肠癌患者，TAS-102±贝伐珠单抗适用于接受过任意治疗方案进展的晚期结肠癌和直肠癌患者。</w:t>
            </w:r>
            <w:r>
              <w:rPr>
                <w:rFonts w:hint="eastAsia" w:ascii="微软雅黑" w:hAnsi="微软雅黑" w:cs="Times New Roman"/>
                <w:bCs/>
                <w:kern w:val="2"/>
                <w:sz w:val="21"/>
                <w:szCs w:val="21"/>
              </w:rPr>
              <w:t>2022年CSCO指南亦推荐</w:t>
            </w:r>
            <w:r>
              <w:rPr>
                <w:rFonts w:hint="eastAsia" w:ascii="微软雅黑" w:hAnsi="微软雅黑" w:cs="微软雅黑"/>
                <w:kern w:val="2"/>
                <w:sz w:val="21"/>
                <w:szCs w:val="21"/>
              </w:rPr>
              <w:t>多种化疗方案联合贝伐珠单抗用于治疗结肠癌和直肠癌患者。</w:t>
            </w:r>
          </w:p>
        </w:tc>
      </w:tr>
      <w:tr w14:paraId="624F6FB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10" w:hRule="atLeast"/>
        </w:trPr>
        <w:tc>
          <w:tcPr>
            <w:tcW w:w="1806" w:type="dxa"/>
            <w:tcBorders>
              <w:tl2br w:val="nil"/>
              <w:tr2bl w:val="nil"/>
            </w:tcBorders>
            <w:shd w:val="clear" w:color="auto" w:fill="auto"/>
            <w:vAlign w:val="center"/>
          </w:tcPr>
          <w:p w14:paraId="7437BC72">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rPr>
            </w:pPr>
            <w:r>
              <w:rPr>
                <w:rFonts w:hint="eastAsia" w:ascii="微软雅黑" w:hAnsi="微软雅黑" w:cs="微软雅黑"/>
                <w:kern w:val="2"/>
                <w:sz w:val="21"/>
                <w:szCs w:val="21"/>
              </w:rPr>
              <w:t>雷莫西尤单抗</w:t>
            </w:r>
          </w:p>
          <w:p w14:paraId="26366EA0">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rPr>
            </w:pPr>
            <w:r>
              <w:rPr>
                <w:rFonts w:hint="eastAsia" w:ascii="微软雅黑" w:hAnsi="微软雅黑" w:cs="微软雅黑"/>
                <w:kern w:val="2"/>
                <w:sz w:val="21"/>
                <w:szCs w:val="21"/>
              </w:rPr>
              <w:t>Ramucirumab</w:t>
            </w:r>
          </w:p>
          <w:p w14:paraId="6E861AA1">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rPr>
            </w:pPr>
            <w:r>
              <w:rPr>
                <w:rFonts w:hint="eastAsia" w:ascii="微软雅黑" w:hAnsi="微软雅黑" w:cs="微软雅黑"/>
                <w:kern w:val="2"/>
                <w:sz w:val="21"/>
                <w:szCs w:val="21"/>
              </w:rPr>
              <w:t>[希冉择]</w:t>
            </w:r>
          </w:p>
        </w:tc>
        <w:tc>
          <w:tcPr>
            <w:tcW w:w="2539" w:type="dxa"/>
            <w:tcBorders>
              <w:tl2br w:val="nil"/>
              <w:tr2bl w:val="nil"/>
            </w:tcBorders>
            <w:shd w:val="clear" w:color="auto" w:fill="auto"/>
            <w:vAlign w:val="center"/>
          </w:tcPr>
          <w:p w14:paraId="5778289F">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4"/>
              </w:rPr>
            </w:pPr>
            <w:r>
              <w:rPr>
                <w:rFonts w:hint="eastAsia" w:ascii="微软雅黑" w:hAnsi="微软雅黑" w:cs="微软雅黑"/>
                <w:kern w:val="2"/>
                <w:sz w:val="21"/>
                <w:szCs w:val="21"/>
              </w:rPr>
              <w:t>VEGFR2</w:t>
            </w:r>
          </w:p>
        </w:tc>
        <w:tc>
          <w:tcPr>
            <w:tcW w:w="4383" w:type="dxa"/>
            <w:tcBorders>
              <w:tl2br w:val="nil"/>
              <w:tr2bl w:val="nil"/>
            </w:tcBorders>
            <w:shd w:val="clear" w:color="auto" w:fill="auto"/>
            <w:vAlign w:val="center"/>
          </w:tcPr>
          <w:p w14:paraId="09F916C8">
            <w:pPr>
              <w:keepNext w:val="0"/>
              <w:keepLines w:val="0"/>
              <w:widowControl/>
              <w:suppressLineNumbers w:val="0"/>
              <w:spacing w:before="0" w:beforeAutospacing="0" w:after="0" w:afterAutospacing="0"/>
              <w:ind w:left="0" w:right="0" w:firstLine="420"/>
              <w:jc w:val="both"/>
              <w:rPr>
                <w:rFonts w:hint="default" w:ascii="微软雅黑" w:hAnsi="微软雅黑" w:cs="微软雅黑"/>
                <w:kern w:val="2"/>
                <w:sz w:val="21"/>
                <w:szCs w:val="21"/>
              </w:rPr>
            </w:pPr>
            <w:r>
              <w:rPr>
                <w:rFonts w:hint="eastAsia" w:ascii="微软雅黑" w:hAnsi="微软雅黑" w:cs="微软雅黑"/>
                <w:kern w:val="2"/>
                <w:sz w:val="21"/>
                <w:szCs w:val="21"/>
              </w:rPr>
              <w:t>FDA批准用于治疗胃癌或胃食管交界处腺癌、非小细胞肺癌、结直肠癌、肝细胞癌。NMPA批准用于治疗胃癌或胃食管交界处腺癌。2022年结肠癌和直肠癌NCCN指南推荐FOLFIRI方案联合雷莫西尤单抗用于治疗结肠癌和直肠癌患者。</w:t>
            </w:r>
          </w:p>
        </w:tc>
      </w:tr>
      <w:tr w14:paraId="79BB30D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75" w:hRule="atLeast"/>
        </w:trPr>
        <w:tc>
          <w:tcPr>
            <w:tcW w:w="1806" w:type="dxa"/>
            <w:tcBorders>
              <w:tl2br w:val="nil"/>
              <w:tr2bl w:val="nil"/>
            </w:tcBorders>
            <w:shd w:val="clear" w:color="auto" w:fill="auto"/>
            <w:vAlign w:val="center"/>
          </w:tcPr>
          <w:p w14:paraId="6B9CA627">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rPr>
            </w:pPr>
            <w:r>
              <w:rPr>
                <w:rFonts w:hint="eastAsia" w:ascii="微软雅黑" w:hAnsi="微软雅黑" w:cs="微软雅黑"/>
                <w:kern w:val="2"/>
                <w:sz w:val="21"/>
                <w:szCs w:val="21"/>
              </w:rPr>
              <w:t>呋喹替尼</w:t>
            </w:r>
          </w:p>
          <w:p w14:paraId="017CA194">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rPr>
            </w:pPr>
            <w:r>
              <w:rPr>
                <w:rFonts w:hint="eastAsia" w:ascii="微软雅黑" w:hAnsi="微软雅黑" w:cs="微软雅黑"/>
                <w:kern w:val="2"/>
                <w:sz w:val="21"/>
                <w:szCs w:val="21"/>
              </w:rPr>
              <w:t>Fruquintinib</w:t>
            </w:r>
          </w:p>
          <w:p w14:paraId="098706F4">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rPr>
            </w:pPr>
            <w:r>
              <w:rPr>
                <w:rFonts w:hint="eastAsia" w:ascii="微软雅黑" w:hAnsi="微软雅黑" w:cs="微软雅黑"/>
                <w:kern w:val="2"/>
                <w:sz w:val="21"/>
                <w:szCs w:val="21"/>
              </w:rPr>
              <w:t>[爱优特]</w:t>
            </w:r>
          </w:p>
        </w:tc>
        <w:tc>
          <w:tcPr>
            <w:tcW w:w="2539" w:type="dxa"/>
            <w:tcBorders>
              <w:tl2br w:val="nil"/>
              <w:tr2bl w:val="nil"/>
            </w:tcBorders>
            <w:shd w:val="clear" w:color="auto" w:fill="auto"/>
            <w:vAlign w:val="center"/>
          </w:tcPr>
          <w:p w14:paraId="5B62B2C3">
            <w:pPr>
              <w:keepNext w:val="0"/>
              <w:keepLines w:val="0"/>
              <w:widowControl/>
              <w:suppressLineNumbers w:val="0"/>
              <w:spacing w:before="0" w:beforeAutospacing="0" w:after="0" w:afterAutospacing="0"/>
              <w:ind w:left="0" w:right="0"/>
              <w:jc w:val="center"/>
              <w:rPr>
                <w:rFonts w:hint="eastAsia" w:ascii="微软雅黑" w:hAnsi="微软雅黑" w:eastAsia="微软雅黑" w:cs="微软雅黑"/>
                <w:kern w:val="2"/>
                <w:sz w:val="21"/>
                <w:szCs w:val="24"/>
                <w:lang w:eastAsia="zh-CN"/>
              </w:rPr>
            </w:pPr>
            <w:r>
              <w:rPr>
                <w:rFonts w:hint="eastAsia" w:ascii="微软雅黑" w:hAnsi="微软雅黑" w:cs="微软雅黑"/>
                <w:kern w:val="2"/>
                <w:sz w:val="21"/>
                <w:szCs w:val="24"/>
              </w:rPr>
              <w:t>VEGFR1</w:t>
            </w:r>
            <w:r>
              <w:rPr>
                <w:rFonts w:hint="eastAsia" w:ascii="微软雅黑" w:hAnsi="微软雅黑" w:cs="微软雅黑"/>
                <w:kern w:val="2"/>
                <w:sz w:val="21"/>
                <w:szCs w:val="24"/>
                <w:lang w:eastAsia="zh-CN"/>
              </w:rPr>
              <w:t>、</w:t>
            </w:r>
          </w:p>
          <w:p w14:paraId="3798E284">
            <w:pPr>
              <w:keepNext w:val="0"/>
              <w:keepLines w:val="0"/>
              <w:widowControl/>
              <w:suppressLineNumbers w:val="0"/>
              <w:spacing w:before="0" w:beforeAutospacing="0" w:after="0" w:afterAutospacing="0"/>
              <w:ind w:left="0" w:right="0"/>
              <w:jc w:val="center"/>
              <w:rPr>
                <w:rFonts w:hint="eastAsia" w:ascii="微软雅黑" w:hAnsi="微软雅黑" w:eastAsia="微软雅黑" w:cs="微软雅黑"/>
                <w:kern w:val="2"/>
                <w:sz w:val="21"/>
                <w:szCs w:val="24"/>
                <w:lang w:eastAsia="zh-CN"/>
              </w:rPr>
            </w:pPr>
            <w:r>
              <w:rPr>
                <w:rFonts w:hint="eastAsia" w:ascii="微软雅黑" w:hAnsi="微软雅黑" w:cs="微软雅黑"/>
                <w:kern w:val="2"/>
                <w:sz w:val="21"/>
                <w:szCs w:val="24"/>
              </w:rPr>
              <w:t>VEGFR2</w:t>
            </w:r>
            <w:r>
              <w:rPr>
                <w:rFonts w:hint="eastAsia" w:ascii="微软雅黑" w:hAnsi="微软雅黑" w:cs="微软雅黑"/>
                <w:kern w:val="2"/>
                <w:sz w:val="21"/>
                <w:szCs w:val="24"/>
                <w:lang w:eastAsia="zh-CN"/>
              </w:rPr>
              <w:t>、</w:t>
            </w:r>
          </w:p>
          <w:p w14:paraId="018C9014">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4"/>
              </w:rPr>
            </w:pPr>
            <w:r>
              <w:rPr>
                <w:rFonts w:hint="eastAsia" w:ascii="微软雅黑" w:hAnsi="微软雅黑" w:cs="微软雅黑"/>
                <w:kern w:val="2"/>
                <w:sz w:val="21"/>
                <w:szCs w:val="24"/>
              </w:rPr>
              <w:t>VEGFR3</w:t>
            </w:r>
          </w:p>
        </w:tc>
        <w:tc>
          <w:tcPr>
            <w:tcW w:w="4383" w:type="dxa"/>
            <w:tcBorders>
              <w:tl2br w:val="nil"/>
              <w:tr2bl w:val="nil"/>
            </w:tcBorders>
            <w:shd w:val="clear" w:color="auto" w:fill="auto"/>
            <w:vAlign w:val="center"/>
          </w:tcPr>
          <w:p w14:paraId="74F9F0B8">
            <w:pPr>
              <w:keepNext w:val="0"/>
              <w:keepLines w:val="0"/>
              <w:widowControl/>
              <w:suppressLineNumbers w:val="0"/>
              <w:spacing w:before="0" w:beforeAutospacing="0" w:after="0" w:afterAutospacing="0"/>
              <w:ind w:left="0" w:right="0" w:firstLine="420"/>
              <w:jc w:val="both"/>
              <w:rPr>
                <w:rFonts w:hint="default" w:ascii="微软雅黑" w:hAnsi="微软雅黑" w:cs="微软雅黑"/>
                <w:kern w:val="2"/>
                <w:sz w:val="21"/>
                <w:szCs w:val="21"/>
              </w:rPr>
            </w:pPr>
            <w:r>
              <w:rPr>
                <w:rFonts w:hint="eastAsia" w:ascii="微软雅黑" w:hAnsi="微软雅黑" w:cs="微软雅黑"/>
                <w:kern w:val="2"/>
                <w:sz w:val="21"/>
                <w:szCs w:val="21"/>
              </w:rPr>
              <w:t>NMPA批准用于治疗既往接受过氟尿嘧啶类、奥沙利铂和伊立替康为基础的化疗，以及既往接受过或不适合接受抗血管内皮生长因子（VEGF）治疗、抗表皮生长因子受体（EGFR）治疗（RAS野生型）的转移性结直肠癌患者。</w:t>
            </w:r>
            <w:r>
              <w:rPr>
                <w:rFonts w:hint="eastAsia" w:ascii="微软雅黑" w:hAnsi="微软雅黑" w:cs="Times New Roman"/>
                <w:bCs/>
                <w:kern w:val="2"/>
                <w:sz w:val="21"/>
                <w:szCs w:val="21"/>
              </w:rPr>
              <w:t>2022年CSCO指南推荐</w:t>
            </w:r>
            <w:r>
              <w:rPr>
                <w:rFonts w:hint="eastAsia" w:ascii="微软雅黑" w:hAnsi="微软雅黑" w:cs="微软雅黑"/>
                <w:kern w:val="2"/>
                <w:sz w:val="21"/>
                <w:szCs w:val="21"/>
              </w:rPr>
              <w:t>呋喹替尼用于治疗</w:t>
            </w:r>
            <w:r>
              <w:rPr>
                <w:rFonts w:hint="eastAsia" w:ascii="微软雅黑" w:hAnsi="微软雅黑" w:cs="Times New Roman"/>
                <w:bCs/>
                <w:kern w:val="2"/>
                <w:sz w:val="21"/>
                <w:szCs w:val="21"/>
              </w:rPr>
              <w:t>标准治疗失败后的结肠癌和直肠癌患者。</w:t>
            </w:r>
          </w:p>
        </w:tc>
      </w:tr>
      <w:tr w14:paraId="7DFAD5D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024" w:hRule="atLeast"/>
        </w:trPr>
        <w:tc>
          <w:tcPr>
            <w:tcW w:w="1806" w:type="dxa"/>
            <w:tcBorders>
              <w:tl2br w:val="nil"/>
              <w:tr2bl w:val="nil"/>
            </w:tcBorders>
            <w:shd w:val="clear" w:color="auto" w:fill="auto"/>
            <w:vAlign w:val="center"/>
          </w:tcPr>
          <w:p w14:paraId="2A77F4FC">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rPr>
            </w:pPr>
            <w:r>
              <w:rPr>
                <w:rFonts w:hint="eastAsia" w:ascii="微软雅黑" w:hAnsi="微软雅黑" w:cs="微软雅黑"/>
                <w:kern w:val="2"/>
                <w:sz w:val="21"/>
                <w:szCs w:val="21"/>
              </w:rPr>
              <w:t>阿柏西普</w:t>
            </w:r>
          </w:p>
          <w:p w14:paraId="3FC305DE">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rPr>
            </w:pPr>
            <w:r>
              <w:rPr>
                <w:rFonts w:hint="eastAsia" w:ascii="微软雅黑" w:hAnsi="微软雅黑" w:cs="微软雅黑"/>
                <w:kern w:val="2"/>
                <w:sz w:val="21"/>
                <w:szCs w:val="21"/>
              </w:rPr>
              <w:t>Ziv-aflibercept</w:t>
            </w:r>
          </w:p>
          <w:p w14:paraId="7ABA1D8F">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rPr>
            </w:pPr>
            <w:r>
              <w:rPr>
                <w:rFonts w:hint="eastAsia" w:ascii="微软雅黑" w:hAnsi="微软雅黑" w:cs="微软雅黑"/>
                <w:kern w:val="2"/>
                <w:sz w:val="21"/>
                <w:szCs w:val="21"/>
              </w:rPr>
              <w:t>[ZALTRAP]</w:t>
            </w:r>
          </w:p>
        </w:tc>
        <w:tc>
          <w:tcPr>
            <w:tcW w:w="2539" w:type="dxa"/>
            <w:tcBorders>
              <w:tl2br w:val="nil"/>
              <w:tr2bl w:val="nil"/>
            </w:tcBorders>
            <w:shd w:val="clear" w:color="auto" w:fill="auto"/>
            <w:vAlign w:val="center"/>
          </w:tcPr>
          <w:p w14:paraId="3A248D7B">
            <w:pPr>
              <w:keepNext w:val="0"/>
              <w:keepLines w:val="0"/>
              <w:widowControl/>
              <w:suppressLineNumbers w:val="0"/>
              <w:spacing w:before="0" w:beforeAutospacing="0" w:after="0" w:afterAutospacing="0"/>
              <w:ind w:left="0" w:right="0"/>
              <w:jc w:val="center"/>
              <w:rPr>
                <w:rFonts w:hint="eastAsia" w:ascii="微软雅黑" w:hAnsi="微软雅黑" w:eastAsia="微软雅黑" w:cs="微软雅黑"/>
                <w:kern w:val="2"/>
                <w:sz w:val="21"/>
                <w:szCs w:val="24"/>
                <w:lang w:eastAsia="zh-CN"/>
              </w:rPr>
            </w:pPr>
            <w:r>
              <w:rPr>
                <w:rFonts w:hint="eastAsia" w:ascii="微软雅黑" w:hAnsi="微软雅黑" w:cs="微软雅黑"/>
                <w:kern w:val="2"/>
                <w:sz w:val="21"/>
                <w:szCs w:val="24"/>
              </w:rPr>
              <w:t>VEGF-A</w:t>
            </w:r>
            <w:r>
              <w:rPr>
                <w:rFonts w:hint="eastAsia" w:ascii="微软雅黑" w:hAnsi="微软雅黑" w:cs="微软雅黑"/>
                <w:kern w:val="2"/>
                <w:sz w:val="21"/>
                <w:szCs w:val="24"/>
                <w:lang w:eastAsia="zh-CN"/>
              </w:rPr>
              <w:t>、</w:t>
            </w:r>
          </w:p>
          <w:p w14:paraId="1FBB5138">
            <w:pPr>
              <w:keepNext w:val="0"/>
              <w:keepLines w:val="0"/>
              <w:widowControl/>
              <w:suppressLineNumbers w:val="0"/>
              <w:spacing w:before="0" w:beforeAutospacing="0" w:after="0" w:afterAutospacing="0"/>
              <w:ind w:left="0" w:right="0"/>
              <w:jc w:val="center"/>
              <w:rPr>
                <w:rFonts w:hint="eastAsia" w:ascii="微软雅黑" w:hAnsi="微软雅黑" w:eastAsia="微软雅黑" w:cs="微软雅黑"/>
                <w:kern w:val="2"/>
                <w:sz w:val="21"/>
                <w:szCs w:val="24"/>
                <w:lang w:eastAsia="zh-CN"/>
              </w:rPr>
            </w:pPr>
            <w:r>
              <w:rPr>
                <w:rFonts w:hint="eastAsia" w:ascii="微软雅黑" w:hAnsi="微软雅黑" w:cs="微软雅黑"/>
                <w:kern w:val="2"/>
                <w:sz w:val="21"/>
                <w:szCs w:val="24"/>
              </w:rPr>
              <w:t>VEGF-B</w:t>
            </w:r>
            <w:r>
              <w:rPr>
                <w:rFonts w:hint="eastAsia" w:ascii="微软雅黑" w:hAnsi="微软雅黑" w:cs="微软雅黑"/>
                <w:kern w:val="2"/>
                <w:sz w:val="21"/>
                <w:szCs w:val="24"/>
                <w:lang w:eastAsia="zh-CN"/>
              </w:rPr>
              <w:t>、</w:t>
            </w:r>
          </w:p>
          <w:p w14:paraId="68CEB297">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4"/>
              </w:rPr>
            </w:pPr>
            <w:r>
              <w:rPr>
                <w:rFonts w:hint="eastAsia" w:ascii="微软雅黑" w:hAnsi="微软雅黑" w:cs="微软雅黑"/>
                <w:kern w:val="2"/>
                <w:sz w:val="21"/>
                <w:szCs w:val="24"/>
              </w:rPr>
              <w:t>PIGF</w:t>
            </w:r>
          </w:p>
        </w:tc>
        <w:tc>
          <w:tcPr>
            <w:tcW w:w="4383" w:type="dxa"/>
            <w:tcBorders>
              <w:tl2br w:val="nil"/>
              <w:tr2bl w:val="nil"/>
            </w:tcBorders>
            <w:shd w:val="clear" w:color="auto" w:fill="auto"/>
            <w:vAlign w:val="center"/>
          </w:tcPr>
          <w:p w14:paraId="2084E35B">
            <w:pPr>
              <w:keepNext w:val="0"/>
              <w:keepLines w:val="0"/>
              <w:widowControl/>
              <w:suppressLineNumbers w:val="0"/>
              <w:spacing w:before="0" w:beforeAutospacing="0" w:after="0" w:afterAutospacing="0"/>
              <w:ind w:left="0" w:right="0" w:firstLine="420"/>
              <w:jc w:val="both"/>
              <w:rPr>
                <w:rFonts w:hint="default" w:ascii="微软雅黑" w:hAnsi="微软雅黑" w:cs="微软雅黑"/>
                <w:kern w:val="2"/>
                <w:sz w:val="21"/>
                <w:szCs w:val="21"/>
              </w:rPr>
            </w:pPr>
            <w:r>
              <w:rPr>
                <w:rFonts w:hint="eastAsia" w:ascii="微软雅黑" w:hAnsi="微软雅黑" w:cs="微软雅黑"/>
                <w:kern w:val="2"/>
                <w:sz w:val="21"/>
                <w:szCs w:val="21"/>
              </w:rPr>
              <w:t>FDA批准</w:t>
            </w:r>
            <w:r>
              <w:rPr>
                <w:rFonts w:hint="eastAsia" w:ascii="微软雅黑" w:hAnsi="微软雅黑" w:cs="微软雅黑"/>
                <w:kern w:val="2"/>
                <w:sz w:val="21"/>
                <w:szCs w:val="24"/>
              </w:rPr>
              <w:t>阿柏西普联合5-氟尿嘧啶、亚叶酸钙、伊立替康（FOLFIRI）用于治疗奥沙利铂治疗后耐药或疾病进展的转移性结直肠癌（mCRC）患者。</w:t>
            </w:r>
            <w:r>
              <w:rPr>
                <w:rFonts w:hint="eastAsia" w:ascii="微软雅黑" w:hAnsi="微软雅黑" w:cs="微软雅黑"/>
                <w:kern w:val="2"/>
                <w:sz w:val="21"/>
                <w:szCs w:val="21"/>
              </w:rPr>
              <w:t>2022年结肠癌和直肠癌NCCN指南推荐阿柏西普联合化疗用于治疗结肠癌和直肠癌患者。</w:t>
            </w:r>
          </w:p>
        </w:tc>
      </w:tr>
      <w:tr w14:paraId="0807A6B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1324" w:hRule="atLeast"/>
        </w:trPr>
        <w:tc>
          <w:tcPr>
            <w:tcW w:w="1806" w:type="dxa"/>
            <w:tcBorders>
              <w:tl2br w:val="nil"/>
              <w:tr2bl w:val="nil"/>
            </w:tcBorders>
            <w:shd w:val="clear" w:color="auto" w:fill="auto"/>
            <w:vAlign w:val="center"/>
          </w:tcPr>
          <w:p w14:paraId="0D025D08">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rPr>
            </w:pPr>
            <w:r>
              <w:rPr>
                <w:rFonts w:hint="eastAsia" w:ascii="微软雅黑" w:hAnsi="微软雅黑" w:cs="微软雅黑"/>
                <w:kern w:val="2"/>
                <w:sz w:val="21"/>
                <w:szCs w:val="21"/>
              </w:rPr>
              <w:t>阿帕替尼</w:t>
            </w:r>
          </w:p>
          <w:p w14:paraId="2618F976">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rPr>
            </w:pPr>
            <w:r>
              <w:rPr>
                <w:rFonts w:hint="eastAsia" w:ascii="微软雅黑" w:hAnsi="微软雅黑" w:cs="微软雅黑"/>
                <w:kern w:val="2"/>
                <w:sz w:val="21"/>
                <w:szCs w:val="21"/>
              </w:rPr>
              <w:t>Apatinib</w:t>
            </w:r>
          </w:p>
          <w:p w14:paraId="00B67BD0">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lang w:bidi="ar"/>
              </w:rPr>
            </w:pPr>
            <w:r>
              <w:rPr>
                <w:rFonts w:hint="eastAsia" w:ascii="微软雅黑" w:hAnsi="微软雅黑" w:cs="微软雅黑"/>
                <w:kern w:val="2"/>
                <w:sz w:val="21"/>
                <w:szCs w:val="21"/>
              </w:rPr>
              <w:t>[艾坦]</w:t>
            </w:r>
          </w:p>
        </w:tc>
        <w:tc>
          <w:tcPr>
            <w:tcW w:w="2539" w:type="dxa"/>
            <w:tcBorders>
              <w:tl2br w:val="nil"/>
              <w:tr2bl w:val="nil"/>
            </w:tcBorders>
            <w:shd w:val="clear" w:color="auto" w:fill="auto"/>
            <w:vAlign w:val="center"/>
          </w:tcPr>
          <w:p w14:paraId="6996B8B4">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rPr>
            </w:pPr>
            <w:r>
              <w:rPr>
                <w:rFonts w:hint="eastAsia" w:ascii="微软雅黑" w:hAnsi="微软雅黑" w:cs="微软雅黑"/>
                <w:kern w:val="2"/>
                <w:sz w:val="21"/>
                <w:szCs w:val="24"/>
              </w:rPr>
              <w:t>VEGFR2</w:t>
            </w:r>
          </w:p>
        </w:tc>
        <w:tc>
          <w:tcPr>
            <w:tcW w:w="4383" w:type="dxa"/>
            <w:tcBorders>
              <w:tl2br w:val="nil"/>
              <w:tr2bl w:val="nil"/>
            </w:tcBorders>
            <w:shd w:val="clear" w:color="auto" w:fill="auto"/>
            <w:vAlign w:val="center"/>
          </w:tcPr>
          <w:p w14:paraId="457C856A">
            <w:pPr>
              <w:keepNext w:val="0"/>
              <w:keepLines w:val="0"/>
              <w:widowControl/>
              <w:suppressLineNumbers w:val="0"/>
              <w:spacing w:before="0" w:beforeAutospacing="0" w:after="0" w:afterAutospacing="0"/>
              <w:ind w:left="0" w:right="0" w:firstLine="420"/>
              <w:jc w:val="both"/>
              <w:rPr>
                <w:rFonts w:hint="default" w:ascii="微软雅黑" w:hAnsi="微软雅黑" w:cs="微软雅黑"/>
                <w:kern w:val="2"/>
                <w:sz w:val="21"/>
                <w:szCs w:val="21"/>
                <w:lang w:bidi="ar"/>
              </w:rPr>
            </w:pPr>
            <w:r>
              <w:rPr>
                <w:rFonts w:hint="eastAsia" w:ascii="微软雅黑" w:hAnsi="微软雅黑" w:cs="微软雅黑"/>
                <w:kern w:val="2"/>
                <w:sz w:val="21"/>
                <w:szCs w:val="21"/>
              </w:rPr>
              <w:t>NMPA批准用于治疗胃腺癌或胃食管交界处腺癌、肝细胞癌。目前在国内的临床实践中，有将阿帕替尼应用于治疗结直肠癌患者的案例，并从中观察到比较好的疗效。</w:t>
            </w:r>
          </w:p>
        </w:tc>
      </w:tr>
      <w:tr w14:paraId="13095C5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024" w:hRule="atLeast"/>
        </w:trPr>
        <w:tc>
          <w:tcPr>
            <w:tcW w:w="1806" w:type="dxa"/>
            <w:tcBorders>
              <w:tl2br w:val="nil"/>
              <w:tr2bl w:val="nil"/>
            </w:tcBorders>
            <w:shd w:val="clear" w:color="auto" w:fill="auto"/>
            <w:vAlign w:val="center"/>
          </w:tcPr>
          <w:p w14:paraId="760A97EC">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lang w:bidi="ar"/>
              </w:rPr>
            </w:pPr>
            <w:r>
              <w:rPr>
                <w:rFonts w:hint="eastAsia" w:ascii="微软雅黑" w:hAnsi="微软雅黑" w:cs="微软雅黑"/>
                <w:kern w:val="2"/>
                <w:sz w:val="21"/>
                <w:szCs w:val="21"/>
                <w:lang w:bidi="ar"/>
              </w:rPr>
              <w:t>盐酸安罗替尼</w:t>
            </w:r>
          </w:p>
          <w:p w14:paraId="65AAF245">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lang w:bidi="ar"/>
              </w:rPr>
            </w:pPr>
            <w:r>
              <w:rPr>
                <w:rFonts w:hint="eastAsia" w:ascii="微软雅黑" w:hAnsi="微软雅黑" w:cs="微软雅黑"/>
                <w:kern w:val="2"/>
                <w:sz w:val="21"/>
                <w:szCs w:val="21"/>
                <w:lang w:bidi="ar"/>
              </w:rPr>
              <w:t>Anlotinib Hydrochloride</w:t>
            </w:r>
          </w:p>
          <w:p w14:paraId="53CFDCDB">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lang w:bidi="ar"/>
              </w:rPr>
            </w:pPr>
            <w:r>
              <w:rPr>
                <w:rFonts w:hint="eastAsia" w:ascii="微软雅黑" w:hAnsi="微软雅黑" w:cs="微软雅黑"/>
                <w:kern w:val="2"/>
                <w:sz w:val="21"/>
                <w:szCs w:val="21"/>
                <w:lang w:bidi="ar"/>
              </w:rPr>
              <w:t>[福可维]</w:t>
            </w:r>
          </w:p>
        </w:tc>
        <w:tc>
          <w:tcPr>
            <w:tcW w:w="2539" w:type="dxa"/>
            <w:tcBorders>
              <w:tl2br w:val="nil"/>
              <w:tr2bl w:val="nil"/>
            </w:tcBorders>
            <w:shd w:val="clear" w:color="auto" w:fill="auto"/>
            <w:vAlign w:val="center"/>
          </w:tcPr>
          <w:p w14:paraId="776B618B">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lang w:bidi="ar"/>
              </w:rPr>
            </w:pPr>
            <w:r>
              <w:rPr>
                <w:rFonts w:hint="eastAsia" w:ascii="微软雅黑" w:hAnsi="微软雅黑" w:cs="微软雅黑"/>
                <w:kern w:val="2"/>
                <w:sz w:val="21"/>
                <w:szCs w:val="21"/>
                <w:lang w:bidi="ar"/>
              </w:rPr>
              <w:t>VEGFR1、</w:t>
            </w:r>
          </w:p>
          <w:p w14:paraId="1285F85D">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lang w:bidi="ar"/>
              </w:rPr>
            </w:pPr>
            <w:r>
              <w:rPr>
                <w:rFonts w:hint="eastAsia" w:ascii="微软雅黑" w:hAnsi="微软雅黑" w:cs="微软雅黑"/>
                <w:kern w:val="2"/>
                <w:sz w:val="21"/>
                <w:szCs w:val="21"/>
                <w:lang w:bidi="ar"/>
              </w:rPr>
              <w:t>VEGFR2、</w:t>
            </w:r>
          </w:p>
          <w:p w14:paraId="25DD928C">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lang w:bidi="ar"/>
              </w:rPr>
            </w:pPr>
            <w:r>
              <w:rPr>
                <w:rFonts w:hint="eastAsia" w:ascii="微软雅黑" w:hAnsi="微软雅黑" w:cs="微软雅黑"/>
                <w:kern w:val="2"/>
                <w:sz w:val="21"/>
                <w:szCs w:val="21"/>
                <w:lang w:bidi="ar"/>
              </w:rPr>
              <w:t>VEGFR3、</w:t>
            </w:r>
          </w:p>
          <w:p w14:paraId="1FAB17DE">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lang w:bidi="ar"/>
              </w:rPr>
            </w:pPr>
            <w:r>
              <w:rPr>
                <w:rFonts w:hint="eastAsia" w:ascii="微软雅黑" w:hAnsi="微软雅黑" w:cs="微软雅黑"/>
                <w:kern w:val="2"/>
                <w:sz w:val="21"/>
                <w:szCs w:val="21"/>
                <w:lang w:bidi="ar"/>
              </w:rPr>
              <w:t>c-KIT、</w:t>
            </w:r>
          </w:p>
          <w:p w14:paraId="13B4CE3D">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lang w:bidi="ar"/>
              </w:rPr>
            </w:pPr>
            <w:r>
              <w:rPr>
                <w:rFonts w:hint="eastAsia" w:ascii="微软雅黑" w:hAnsi="微软雅黑" w:cs="微软雅黑"/>
                <w:kern w:val="2"/>
                <w:sz w:val="21"/>
                <w:szCs w:val="21"/>
                <w:lang w:bidi="ar"/>
              </w:rPr>
              <w:t>PDGFR-β</w:t>
            </w:r>
          </w:p>
        </w:tc>
        <w:tc>
          <w:tcPr>
            <w:tcW w:w="4383" w:type="dxa"/>
            <w:tcBorders>
              <w:tl2br w:val="nil"/>
              <w:tr2bl w:val="nil"/>
            </w:tcBorders>
            <w:shd w:val="clear" w:color="auto" w:fill="auto"/>
            <w:vAlign w:val="center"/>
          </w:tcPr>
          <w:p w14:paraId="4630AA5E">
            <w:pPr>
              <w:keepNext w:val="0"/>
              <w:keepLines w:val="0"/>
              <w:widowControl/>
              <w:suppressLineNumbers w:val="0"/>
              <w:spacing w:before="0" w:beforeAutospacing="0" w:after="0" w:afterAutospacing="0"/>
              <w:ind w:left="0" w:right="0" w:firstLine="420" w:firstLineChars="200"/>
              <w:jc w:val="both"/>
              <w:rPr>
                <w:rFonts w:hint="default" w:ascii="微软雅黑" w:hAnsi="微软雅黑" w:cs="微软雅黑"/>
                <w:kern w:val="2"/>
                <w:sz w:val="21"/>
                <w:szCs w:val="21"/>
                <w:lang w:bidi="ar"/>
              </w:rPr>
            </w:pPr>
            <w:r>
              <w:rPr>
                <w:rFonts w:hint="eastAsia" w:ascii="微软雅黑" w:hAnsi="微软雅黑" w:cs="微软雅黑"/>
                <w:kern w:val="2"/>
                <w:sz w:val="21"/>
                <w:szCs w:val="21"/>
                <w:lang w:bidi="ar"/>
              </w:rPr>
              <w:t>NMPA批准用于治疗小细胞肺癌、腺泡状软组织肉瘤、透明细胞肉瘤以及既往至少接受过含蒽环类化疗方案治疗后进展或复发的其它晚期软组织肉瘤、放射性碘难治性分化型甲状腺癌、甲状腺髓样癌、非小细胞肺癌。目前有将安罗替尼用于治疗结直肠癌患者的临床试验，正在招募患者。</w:t>
            </w:r>
          </w:p>
        </w:tc>
      </w:tr>
    </w:tbl>
    <w:p w14:paraId="09F8EFC9">
      <w:pPr>
        <w:adjustRightInd/>
        <w:snapToGrid/>
        <w:spacing w:after="0" w:line="220" w:lineRule="atLeast"/>
        <w:rPr>
          <w:rFonts w:ascii="微软雅黑" w:hAnsi="微软雅黑" w:cs="微软雅黑"/>
          <w:kern w:val="2"/>
          <w:sz w:val="21"/>
          <w:szCs w:val="21"/>
        </w:rPr>
      </w:pPr>
      <w:r>
        <w:rPr>
          <w:rFonts w:hint="eastAsia" w:ascii="微软雅黑" w:hAnsi="微软雅黑" w:cs="微软雅黑"/>
          <w:kern w:val="2"/>
          <w:sz w:val="21"/>
          <w:szCs w:val="21"/>
        </w:rPr>
        <w:t xml:space="preserve">注： </w:t>
      </w:r>
    </w:p>
    <w:p w14:paraId="0BC9E81C">
      <w:pPr>
        <w:adjustRightInd/>
        <w:snapToGrid/>
        <w:spacing w:after="0" w:line="220" w:lineRule="atLeast"/>
        <w:rPr>
          <w:rFonts w:ascii="微软雅黑" w:hAnsi="微软雅黑" w:cs="微软雅黑"/>
          <w:kern w:val="2"/>
          <w:sz w:val="21"/>
          <w:szCs w:val="21"/>
        </w:rPr>
      </w:pPr>
      <w:r>
        <w:rPr>
          <w:rFonts w:hint="eastAsia" w:ascii="微软雅黑" w:hAnsi="微软雅黑" w:cs="微软雅黑"/>
          <w:kern w:val="2"/>
          <w:sz w:val="21"/>
          <w:szCs w:val="21"/>
        </w:rPr>
        <w:t>FOLFIRI，即伊立替康+亚叶酸钙+5-FU；</w:t>
      </w:r>
    </w:p>
    <w:p w14:paraId="26EAA772">
      <w:pPr>
        <w:adjustRightInd/>
        <w:snapToGrid/>
        <w:spacing w:after="0" w:line="220" w:lineRule="atLeast"/>
        <w:rPr>
          <w:rFonts w:ascii="微软雅黑" w:hAnsi="微软雅黑" w:cs="微软雅黑"/>
          <w:kern w:val="2"/>
          <w:sz w:val="21"/>
          <w:szCs w:val="21"/>
        </w:rPr>
      </w:pPr>
      <w:r>
        <w:rPr>
          <w:rFonts w:hint="eastAsia" w:ascii="微软雅黑" w:hAnsi="微软雅黑" w:cs="微软雅黑"/>
          <w:kern w:val="2"/>
          <w:sz w:val="21"/>
          <w:szCs w:val="21"/>
        </w:rPr>
        <w:t>FOLFOX，即奥沙利铂+亚叶酸钙+5-FU；</w:t>
      </w:r>
    </w:p>
    <w:p w14:paraId="6DDD81C7">
      <w:pPr>
        <w:adjustRightInd/>
        <w:snapToGrid/>
        <w:spacing w:after="0" w:line="220" w:lineRule="atLeast"/>
        <w:rPr>
          <w:rFonts w:ascii="微软雅黑" w:hAnsi="微软雅黑" w:cs="微软雅黑"/>
          <w:kern w:val="2"/>
          <w:sz w:val="21"/>
          <w:szCs w:val="21"/>
        </w:rPr>
      </w:pPr>
      <w:r>
        <w:rPr>
          <w:rFonts w:hint="eastAsia" w:ascii="微软雅黑" w:hAnsi="微软雅黑" w:cs="微软雅黑"/>
          <w:kern w:val="2"/>
          <w:sz w:val="21"/>
          <w:szCs w:val="21"/>
        </w:rPr>
        <w:t>CAPEOX，即奥沙利铂+卡培他滨；</w:t>
      </w:r>
    </w:p>
    <w:p w14:paraId="7844E60E">
      <w:pPr>
        <w:adjustRightInd/>
        <w:snapToGrid/>
        <w:spacing w:after="0" w:line="220" w:lineRule="atLeast"/>
        <w:rPr>
          <w:rFonts w:ascii="微软雅黑" w:hAnsi="微软雅黑" w:cs="微软雅黑"/>
          <w:kern w:val="2"/>
          <w:sz w:val="21"/>
          <w:szCs w:val="21"/>
        </w:rPr>
      </w:pPr>
      <w:r>
        <w:rPr>
          <w:rFonts w:hint="eastAsia" w:ascii="微软雅黑" w:hAnsi="微软雅黑" w:cs="微软雅黑"/>
          <w:kern w:val="2"/>
          <w:sz w:val="21"/>
          <w:szCs w:val="21"/>
        </w:rPr>
        <w:t>FOLFOXIRI，即伊立替康+奥沙利铂+亚叶酸钙+5-FU。</w:t>
      </w:r>
    </w:p>
    <w:p w14:paraId="6123A10C">
      <w:pPr>
        <w:adjustRightInd/>
        <w:snapToGrid/>
        <w:spacing w:before="200" w:after="80" w:line="220" w:lineRule="atLeast"/>
        <w:rPr>
          <w:rFonts w:ascii="微软雅黑" w:hAnsi="微软雅黑"/>
          <w:b/>
          <w:color w:val="00C4D8"/>
          <w:sz w:val="28"/>
          <w:szCs w:val="28"/>
        </w:rPr>
      </w:pPr>
      <w:r>
        <w:rPr>
          <w:rFonts w:hint="eastAsia" w:ascii="微软雅黑" w:hAnsi="微软雅黑"/>
          <w:b/>
          <w:color w:val="00C4D8"/>
          <w:sz w:val="28"/>
          <w:szCs w:val="28"/>
        </w:rPr>
        <w:br w:type="page"/>
      </w:r>
    </w:p>
    <w:bookmarkEnd w:id="85"/>
    <w:bookmarkEnd w:id="86"/>
    <w:p w14:paraId="1C9E9177">
      <w:pPr>
        <w:adjustRightInd/>
        <w:snapToGrid/>
        <w:spacing w:before="200" w:after="0" w:line="220" w:lineRule="atLeast"/>
        <w:jc w:val="both"/>
        <w:rPr>
          <w:rFonts w:ascii="微软雅黑" w:hAnsi="微软雅黑"/>
          <w:b/>
          <w:color w:val="00C4D8"/>
          <w:sz w:val="28"/>
          <w:szCs w:val="28"/>
        </w:rPr>
      </w:pPr>
      <w:bookmarkStart w:id="87" w:name="_Toc19901"/>
      <w:bookmarkStart w:id="88" w:name="_Toc3639"/>
      <w:bookmarkStart w:id="89" w:name="_Toc12380"/>
      <w:bookmarkStart w:id="90" w:name="_Toc4246"/>
      <w:bookmarkStart w:id="91" w:name="_Toc31019"/>
      <w:bookmarkStart w:id="92" w:name="_Toc18838"/>
      <w:bookmarkStart w:id="93" w:name="_Toc6223"/>
      <w:bookmarkStart w:id="94" w:name="_Toc5868"/>
      <w:bookmarkStart w:id="95" w:name="_Toc11221"/>
      <w:bookmarkStart w:id="96" w:name="_Toc26244"/>
      <w:bookmarkStart w:id="97" w:name="_Toc32035"/>
      <w:bookmarkStart w:id="98" w:name="_Toc32647"/>
      <w:bookmarkStart w:id="99" w:name="_Toc621"/>
      <w:bookmarkStart w:id="100" w:name="_Toc15081"/>
      <w:bookmarkStart w:id="101" w:name="_Toc25543"/>
      <w:bookmarkStart w:id="102" w:name="_Toc2116"/>
      <w:r>
        <w:rPr>
          <w:rFonts w:hint="eastAsia" w:ascii="微软雅黑" w:hAnsi="微软雅黑"/>
          <w:b/>
          <w:color w:val="00C4D8"/>
          <w:sz w:val="28"/>
          <w:szCs w:val="28"/>
        </w:rPr>
        <w:t>2.3</w:t>
      </w:r>
      <w:r>
        <w:rPr>
          <w:rFonts w:ascii="微软雅黑" w:hAnsi="微软雅黑"/>
          <w:b/>
          <w:color w:val="00C4D8"/>
          <w:sz w:val="28"/>
          <w:szCs w:val="28"/>
        </w:rPr>
        <w:t xml:space="preserve"> </w:t>
      </w:r>
      <w:bookmarkStart w:id="103" w:name="推荐临床常规靶向药物相关基因检测结果"/>
      <w:r>
        <w:rPr>
          <w:rFonts w:ascii="微软雅黑" w:hAnsi="微软雅黑"/>
          <w:b/>
          <w:color w:val="00C4D8"/>
          <w:sz w:val="28"/>
          <w:szCs w:val="28"/>
        </w:rPr>
        <w:t>NCCN 推荐临床常规靶向药物相关基因检测结果</w:t>
      </w:r>
      <w:bookmarkEnd w:id="87"/>
      <w:bookmarkEnd w:id="88"/>
      <w:bookmarkEnd w:id="89"/>
      <w:bookmarkEnd w:id="90"/>
      <w:bookmarkEnd w:id="91"/>
      <w:bookmarkEnd w:id="103"/>
      <w:r>
        <w:rPr>
          <w:rFonts w:hint="eastAsia" w:ascii="微软雅黑" w:hAnsi="微软雅黑"/>
          <w:b/>
          <w:color w:val="00C4D8"/>
          <w:sz w:val="28"/>
          <w:szCs w:val="28"/>
        </w:rPr>
        <w:t>（不限于本癌种）</w:t>
      </w:r>
    </w:p>
    <w:bookmarkEnd w:id="92"/>
    <w:bookmarkEnd w:id="93"/>
    <w:bookmarkEnd w:id="94"/>
    <w:bookmarkEnd w:id="95"/>
    <w:bookmarkEnd w:id="96"/>
    <w:bookmarkEnd w:id="97"/>
    <w:bookmarkEnd w:id="98"/>
    <w:bookmarkEnd w:id="99"/>
    <w:bookmarkEnd w:id="100"/>
    <w:bookmarkEnd w:id="101"/>
    <w:bookmarkEnd w:id="102"/>
    <w:tbl>
      <w:tblPr>
        <w:tblStyle w:val="16"/>
        <w:tblW w:w="8401" w:type="dxa"/>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1738"/>
        <w:gridCol w:w="2277"/>
        <w:gridCol w:w="4386"/>
      </w:tblGrid>
      <w:tr w14:paraId="1FC4B56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87" w:hRule="exact"/>
        </w:trPr>
        <w:tc>
          <w:tcPr>
            <w:tcW w:w="1738" w:type="dxa"/>
            <w:shd w:val="clear" w:color="auto" w:fill="00C4D8"/>
            <w:vAlign w:val="center"/>
          </w:tcPr>
          <w:p w14:paraId="0829D514">
            <w:pPr>
              <w:keepNext w:val="0"/>
              <w:keepLines w:val="0"/>
              <w:widowControl/>
              <w:suppressLineNumbers w:val="0"/>
              <w:adjustRightInd/>
              <w:snapToGrid/>
              <w:spacing w:before="0" w:beforeAutospacing="0" w:after="0" w:afterAutospacing="0"/>
              <w:ind w:left="0" w:right="0"/>
              <w:jc w:val="center"/>
              <w:rPr>
                <w:rFonts w:hint="default" w:ascii="微软雅黑" w:hAnsi="微软雅黑" w:cs="Arial Unicode MS"/>
                <w:b/>
                <w:color w:val="F9FBFA"/>
                <w:kern w:val="2"/>
                <w:sz w:val="21"/>
                <w:szCs w:val="21"/>
              </w:rPr>
            </w:pPr>
            <w:r>
              <w:rPr>
                <w:rFonts w:hint="eastAsia" w:ascii="微软雅黑" w:hAnsi="微软雅黑"/>
                <w:b/>
                <w:color w:val="F9FBFA"/>
                <w:kern w:val="2"/>
                <w:sz w:val="24"/>
                <w:szCs w:val="24"/>
              </w:rPr>
              <w:t>检测基因</w:t>
            </w:r>
          </w:p>
        </w:tc>
        <w:tc>
          <w:tcPr>
            <w:tcW w:w="2277" w:type="dxa"/>
            <w:shd w:val="clear" w:color="auto" w:fill="00C4D8"/>
            <w:vAlign w:val="center"/>
          </w:tcPr>
          <w:p w14:paraId="1B68CDEA">
            <w:pPr>
              <w:keepNext w:val="0"/>
              <w:keepLines w:val="0"/>
              <w:widowControl/>
              <w:suppressLineNumbers w:val="0"/>
              <w:adjustRightInd/>
              <w:snapToGrid/>
              <w:spacing w:before="0" w:beforeAutospacing="0" w:after="0" w:afterAutospacing="0"/>
              <w:ind w:left="0" w:right="0"/>
              <w:jc w:val="center"/>
              <w:rPr>
                <w:rFonts w:hint="default" w:ascii="微软雅黑" w:hAnsi="微软雅黑" w:cs="Arial Unicode MS"/>
                <w:b/>
                <w:color w:val="F9FBFA"/>
                <w:kern w:val="2"/>
                <w:sz w:val="21"/>
                <w:szCs w:val="21"/>
              </w:rPr>
            </w:pPr>
            <w:r>
              <w:rPr>
                <w:rFonts w:hint="eastAsia" w:ascii="微软雅黑" w:hAnsi="微软雅黑"/>
                <w:b/>
                <w:color w:val="F9FBFA"/>
                <w:kern w:val="2"/>
                <w:sz w:val="24"/>
                <w:szCs w:val="24"/>
              </w:rPr>
              <w:t>检测内容</w:t>
            </w:r>
          </w:p>
        </w:tc>
        <w:tc>
          <w:tcPr>
            <w:tcW w:w="4386" w:type="dxa"/>
            <w:shd w:val="clear" w:color="auto" w:fill="00C4D8"/>
            <w:vAlign w:val="center"/>
          </w:tcPr>
          <w:p w14:paraId="14188507">
            <w:pPr>
              <w:keepNext w:val="0"/>
              <w:keepLines w:val="0"/>
              <w:widowControl/>
              <w:suppressLineNumbers w:val="0"/>
              <w:adjustRightInd/>
              <w:snapToGrid/>
              <w:spacing w:before="0" w:beforeAutospacing="0" w:after="0" w:afterAutospacing="0"/>
              <w:ind w:left="0" w:right="0"/>
              <w:jc w:val="center"/>
              <w:rPr>
                <w:rFonts w:hint="default" w:ascii="微软雅黑" w:hAnsi="微软雅黑" w:cs="Arial Unicode MS"/>
                <w:b/>
                <w:color w:val="F9FBFA"/>
                <w:kern w:val="2"/>
                <w:sz w:val="21"/>
                <w:szCs w:val="21"/>
              </w:rPr>
            </w:pPr>
            <w:r>
              <w:rPr>
                <w:rFonts w:hint="eastAsia" w:ascii="微软雅黑" w:hAnsi="微软雅黑"/>
                <w:b/>
                <w:color w:val="F9FBFA"/>
                <w:kern w:val="2"/>
                <w:sz w:val="24"/>
                <w:szCs w:val="24"/>
              </w:rPr>
              <w:t>检测结果</w:t>
            </w:r>
          </w:p>
        </w:tc>
      </w:tr>
      <w:tr w14:paraId="3905A6E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restart"/>
            <w:vAlign w:val="center"/>
          </w:tcPr>
          <w:p w14:paraId="0C0CBF79">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bCs/>
                <w:kern w:val="2"/>
                <w:sz w:val="20"/>
                <w:szCs w:val="20"/>
              </w:rPr>
              <w:t>EGFR</w:t>
            </w:r>
          </w:p>
        </w:tc>
        <w:tc>
          <w:tcPr>
            <w:tcW w:w="2277" w:type="dxa"/>
            <w:vAlign w:val="center"/>
          </w:tcPr>
          <w:p w14:paraId="2B7E6633">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bCs/>
                <w:kern w:val="2"/>
                <w:sz w:val="20"/>
                <w:szCs w:val="20"/>
              </w:rPr>
              <w:t>外显子18</w:t>
            </w:r>
          </w:p>
        </w:tc>
        <w:tc>
          <w:tcPr>
            <w:tcW w:w="4386" w:type="dxa"/>
            <w:vAlign w:val="center"/>
          </w:tcPr>
          <w:p w14:paraId="11675E37">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bCs/>
                <w:kern w:val="2"/>
                <w:sz w:val="20"/>
                <w:szCs w:val="20"/>
              </w:rPr>
              <w:t>{{ immune_hyperprogression_result }}</w:t>
            </w:r>
          </w:p>
        </w:tc>
      </w:tr>
      <w:tr w14:paraId="0BC23FB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continue"/>
            <w:vAlign w:val="center"/>
          </w:tcPr>
          <w:p w14:paraId="0EFB00C7">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p>
        </w:tc>
        <w:tc>
          <w:tcPr>
            <w:tcW w:w="2277" w:type="dxa"/>
            <w:vAlign w:val="center"/>
          </w:tcPr>
          <w:p w14:paraId="64A9A757">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bCs/>
                <w:kern w:val="2"/>
                <w:sz w:val="20"/>
                <w:szCs w:val="20"/>
              </w:rPr>
              <w:t>外显子19</w:t>
            </w:r>
          </w:p>
        </w:tc>
        <w:tc>
          <w:tcPr>
            <w:tcW w:w="4386" w:type="dxa"/>
            <w:vAlign w:val="center"/>
          </w:tcPr>
          <w:p w14:paraId="7ABFD0B3">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cs="微软雅黑"/>
                <w:bCs/>
                <w:kern w:val="2"/>
                <w:sz w:val="20"/>
                <w:szCs w:val="20"/>
              </w:rPr>
              <w:t>未检出</w:t>
            </w:r>
          </w:p>
        </w:tc>
      </w:tr>
      <w:tr w14:paraId="573E643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continue"/>
            <w:vAlign w:val="center"/>
          </w:tcPr>
          <w:p w14:paraId="25D1B98E">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p>
        </w:tc>
        <w:tc>
          <w:tcPr>
            <w:tcW w:w="2277" w:type="dxa"/>
            <w:vAlign w:val="center"/>
          </w:tcPr>
          <w:p w14:paraId="561EF29B">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bCs/>
                <w:kern w:val="2"/>
                <w:sz w:val="20"/>
                <w:szCs w:val="20"/>
              </w:rPr>
              <w:t>外显子20</w:t>
            </w:r>
          </w:p>
        </w:tc>
        <w:tc>
          <w:tcPr>
            <w:tcW w:w="4386" w:type="dxa"/>
            <w:vAlign w:val="center"/>
          </w:tcPr>
          <w:p w14:paraId="12D85516">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cs="微软雅黑"/>
                <w:bCs/>
                <w:kern w:val="2"/>
                <w:sz w:val="20"/>
                <w:szCs w:val="20"/>
              </w:rPr>
              <w:t>未检出</w:t>
            </w:r>
          </w:p>
        </w:tc>
      </w:tr>
      <w:tr w14:paraId="488476F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continue"/>
            <w:vAlign w:val="center"/>
          </w:tcPr>
          <w:p w14:paraId="30656722">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p>
        </w:tc>
        <w:tc>
          <w:tcPr>
            <w:tcW w:w="2277" w:type="dxa"/>
            <w:vAlign w:val="center"/>
          </w:tcPr>
          <w:p w14:paraId="15BB72B6">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bCs/>
                <w:kern w:val="2"/>
                <w:sz w:val="20"/>
                <w:szCs w:val="20"/>
              </w:rPr>
              <w:t>外显子21</w:t>
            </w:r>
          </w:p>
        </w:tc>
        <w:tc>
          <w:tcPr>
            <w:tcW w:w="4386" w:type="dxa"/>
            <w:vAlign w:val="center"/>
          </w:tcPr>
          <w:p w14:paraId="28BFDD78">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cs="微软雅黑"/>
                <w:bCs/>
                <w:kern w:val="2"/>
                <w:sz w:val="20"/>
                <w:szCs w:val="20"/>
              </w:rPr>
              <w:t>未检出</w:t>
            </w:r>
          </w:p>
        </w:tc>
      </w:tr>
      <w:tr w14:paraId="5F8C33A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restart"/>
            <w:vAlign w:val="center"/>
          </w:tcPr>
          <w:p w14:paraId="15AC988B">
            <w:pPr>
              <w:keepNext w:val="0"/>
              <w:keepLines w:val="0"/>
              <w:widowControl/>
              <w:suppressLineNumbers w:val="0"/>
              <w:spacing w:before="0" w:beforeAutospacing="0" w:after="0" w:afterAutospacing="0"/>
              <w:ind w:left="0" w:right="0"/>
              <w:jc w:val="center"/>
              <w:rPr>
                <w:rFonts w:hint="default" w:ascii="微软雅黑" w:hAnsi="微软雅黑" w:cs="Arial Unicode MS"/>
                <w:bCs/>
                <w:kern w:val="2"/>
                <w:sz w:val="20"/>
                <w:szCs w:val="20"/>
              </w:rPr>
            </w:pPr>
            <w:r>
              <w:rPr>
                <w:rFonts w:hint="eastAsia" w:ascii="微软雅黑" w:hAnsi="微软雅黑" w:cs="Arial Unicode MS"/>
                <w:bCs/>
                <w:kern w:val="2"/>
                <w:sz w:val="20"/>
                <w:szCs w:val="20"/>
              </w:rPr>
              <w:t>KRAS</w:t>
            </w:r>
          </w:p>
        </w:tc>
        <w:tc>
          <w:tcPr>
            <w:tcW w:w="2277" w:type="dxa"/>
            <w:vAlign w:val="center"/>
          </w:tcPr>
          <w:p w14:paraId="60073A27">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cs="Arial Unicode MS"/>
                <w:bCs/>
                <w:kern w:val="2"/>
                <w:sz w:val="20"/>
                <w:szCs w:val="20"/>
              </w:rPr>
              <w:t>外显子2</w:t>
            </w:r>
          </w:p>
        </w:tc>
        <w:tc>
          <w:tcPr>
            <w:tcW w:w="4386" w:type="dxa"/>
            <w:vAlign w:val="center"/>
          </w:tcPr>
          <w:p w14:paraId="6CB61D87">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default" w:ascii="微软雅黑" w:hAnsi="微软雅黑"/>
                <w:bCs/>
                <w:kern w:val="2"/>
                <w:sz w:val="20"/>
                <w:szCs w:val="20"/>
              </w:rPr>
              <w:t>c.34G&gt;A</w:t>
            </w:r>
            <w:r>
              <w:rPr>
                <w:rFonts w:hint="eastAsia" w:ascii="微软雅黑" w:hAnsi="微软雅黑"/>
                <w:bCs/>
                <w:kern w:val="2"/>
                <w:sz w:val="20"/>
                <w:szCs w:val="20"/>
                <w:lang w:eastAsia="zh-CN"/>
              </w:rPr>
              <w:t>，</w:t>
            </w:r>
            <w:r>
              <w:rPr>
                <w:rFonts w:hint="default" w:ascii="微软雅黑" w:hAnsi="微软雅黑"/>
                <w:bCs/>
                <w:kern w:val="2"/>
                <w:sz w:val="20"/>
                <w:szCs w:val="20"/>
              </w:rPr>
              <w:t>p.G12S</w:t>
            </w:r>
            <w:r>
              <w:commentReference w:id="19"/>
            </w:r>
          </w:p>
        </w:tc>
      </w:tr>
      <w:tr w14:paraId="4892586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20" w:hRule="atLeast"/>
        </w:trPr>
        <w:tc>
          <w:tcPr>
            <w:tcW w:w="1738" w:type="dxa"/>
            <w:vMerge w:val="continue"/>
            <w:vAlign w:val="center"/>
          </w:tcPr>
          <w:p w14:paraId="33D10137">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p>
        </w:tc>
        <w:tc>
          <w:tcPr>
            <w:tcW w:w="2277" w:type="dxa"/>
            <w:vAlign w:val="center"/>
          </w:tcPr>
          <w:p w14:paraId="02F41283">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cs="Arial Unicode MS"/>
                <w:bCs/>
                <w:kern w:val="2"/>
                <w:sz w:val="20"/>
                <w:szCs w:val="20"/>
              </w:rPr>
              <w:t>外显子3</w:t>
            </w:r>
          </w:p>
        </w:tc>
        <w:tc>
          <w:tcPr>
            <w:tcW w:w="4386" w:type="dxa"/>
            <w:vAlign w:val="center"/>
          </w:tcPr>
          <w:p w14:paraId="5E6FCBAF">
            <w:pPr>
              <w:keepNext w:val="0"/>
              <w:keepLines w:val="0"/>
              <w:widowControl/>
              <w:suppressLineNumbers w:val="0"/>
              <w:spacing w:before="0" w:beforeAutospacing="0" w:after="0" w:afterAutospacing="0"/>
              <w:ind w:left="0" w:right="0"/>
              <w:jc w:val="center"/>
              <w:rPr>
                <w:rFonts w:hint="eastAsia" w:ascii="微软雅黑" w:hAnsi="微软雅黑" w:eastAsia="微软雅黑"/>
                <w:bCs/>
                <w:kern w:val="2"/>
                <w:sz w:val="20"/>
                <w:szCs w:val="20"/>
                <w:lang w:eastAsia="zh-CN"/>
              </w:rPr>
            </w:pPr>
            <w:r>
              <w:rPr>
                <w:rFonts w:hint="eastAsia" w:ascii="微软雅黑" w:hAnsi="微软雅黑" w:cs="微软雅黑"/>
                <w:bCs/>
                <w:kern w:val="2"/>
                <w:sz w:val="20"/>
                <w:szCs w:val="20"/>
              </w:rPr>
              <w:t>未检出</w:t>
            </w:r>
          </w:p>
        </w:tc>
      </w:tr>
      <w:tr w14:paraId="3B8BC45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continue"/>
            <w:vAlign w:val="center"/>
          </w:tcPr>
          <w:p w14:paraId="455A2BAF">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p>
        </w:tc>
        <w:tc>
          <w:tcPr>
            <w:tcW w:w="2277" w:type="dxa"/>
            <w:vAlign w:val="center"/>
          </w:tcPr>
          <w:p w14:paraId="1B5F0AD1">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cs="Arial Unicode MS"/>
                <w:bCs/>
                <w:kern w:val="2"/>
                <w:sz w:val="20"/>
                <w:szCs w:val="20"/>
              </w:rPr>
              <w:t>外显子4</w:t>
            </w:r>
          </w:p>
        </w:tc>
        <w:tc>
          <w:tcPr>
            <w:tcW w:w="4386" w:type="dxa"/>
            <w:vAlign w:val="center"/>
          </w:tcPr>
          <w:p w14:paraId="0D812F79">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cs="微软雅黑"/>
                <w:bCs/>
                <w:kern w:val="2"/>
                <w:sz w:val="20"/>
                <w:szCs w:val="20"/>
              </w:rPr>
              <w:t>未检出</w:t>
            </w:r>
          </w:p>
        </w:tc>
      </w:tr>
      <w:tr w14:paraId="3E8EBDF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Align w:val="center"/>
          </w:tcPr>
          <w:p w14:paraId="480771C5">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cs="Arial Unicode MS"/>
                <w:bCs/>
                <w:kern w:val="2"/>
                <w:sz w:val="20"/>
                <w:szCs w:val="20"/>
              </w:rPr>
              <w:t>ALK</w:t>
            </w:r>
          </w:p>
        </w:tc>
        <w:tc>
          <w:tcPr>
            <w:tcW w:w="2277" w:type="dxa"/>
            <w:vAlign w:val="center"/>
          </w:tcPr>
          <w:p w14:paraId="3EC2DE69">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cs="Arial Unicode MS"/>
                <w:bCs/>
                <w:kern w:val="2"/>
                <w:sz w:val="20"/>
                <w:szCs w:val="20"/>
              </w:rPr>
              <w:t>融合</w:t>
            </w:r>
          </w:p>
        </w:tc>
        <w:tc>
          <w:tcPr>
            <w:tcW w:w="4386" w:type="dxa"/>
            <w:vAlign w:val="center"/>
          </w:tcPr>
          <w:p w14:paraId="00961D45">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cs="微软雅黑"/>
                <w:bCs/>
                <w:kern w:val="2"/>
                <w:sz w:val="20"/>
                <w:szCs w:val="20"/>
              </w:rPr>
              <w:t>未检出</w:t>
            </w:r>
          </w:p>
        </w:tc>
      </w:tr>
      <w:tr w14:paraId="32F30AA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Align w:val="center"/>
          </w:tcPr>
          <w:p w14:paraId="26951881">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cs="Arial Unicode MS"/>
                <w:bCs/>
                <w:kern w:val="2"/>
                <w:sz w:val="20"/>
                <w:szCs w:val="20"/>
              </w:rPr>
              <w:t>ROS1</w:t>
            </w:r>
          </w:p>
        </w:tc>
        <w:tc>
          <w:tcPr>
            <w:tcW w:w="2277" w:type="dxa"/>
            <w:vAlign w:val="center"/>
          </w:tcPr>
          <w:p w14:paraId="439A9F96">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cs="Arial Unicode MS"/>
                <w:bCs/>
                <w:kern w:val="2"/>
                <w:sz w:val="20"/>
                <w:szCs w:val="20"/>
              </w:rPr>
              <w:t>融合</w:t>
            </w:r>
          </w:p>
        </w:tc>
        <w:tc>
          <w:tcPr>
            <w:tcW w:w="4386" w:type="dxa"/>
            <w:vAlign w:val="center"/>
          </w:tcPr>
          <w:p w14:paraId="019A8DF1">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cs="微软雅黑"/>
                <w:bCs/>
                <w:kern w:val="2"/>
                <w:sz w:val="20"/>
                <w:szCs w:val="20"/>
              </w:rPr>
              <w:t>未检出</w:t>
            </w:r>
          </w:p>
        </w:tc>
      </w:tr>
      <w:tr w14:paraId="546D54F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Align w:val="center"/>
          </w:tcPr>
          <w:p w14:paraId="48CCFFCB">
            <w:pPr>
              <w:keepNext w:val="0"/>
              <w:keepLines w:val="0"/>
              <w:widowControl/>
              <w:suppressLineNumbers w:val="0"/>
              <w:spacing w:before="0" w:beforeAutospacing="0" w:after="0" w:afterAutospacing="0"/>
              <w:ind w:left="0" w:right="0"/>
              <w:jc w:val="center"/>
              <w:rPr>
                <w:rFonts w:hint="default" w:ascii="微软雅黑" w:hAnsi="微软雅黑" w:cs="Arial Unicode MS"/>
                <w:bCs/>
                <w:kern w:val="2"/>
                <w:sz w:val="20"/>
                <w:szCs w:val="20"/>
              </w:rPr>
            </w:pPr>
            <w:r>
              <w:rPr>
                <w:rFonts w:hint="eastAsia" w:ascii="微软雅黑" w:hAnsi="微软雅黑" w:cs="Arial Unicode MS"/>
                <w:bCs/>
                <w:kern w:val="2"/>
                <w:sz w:val="20"/>
                <w:szCs w:val="20"/>
              </w:rPr>
              <w:t>RET</w:t>
            </w:r>
          </w:p>
        </w:tc>
        <w:tc>
          <w:tcPr>
            <w:tcW w:w="2277" w:type="dxa"/>
            <w:vAlign w:val="center"/>
          </w:tcPr>
          <w:p w14:paraId="59CCAAB4">
            <w:pPr>
              <w:keepNext w:val="0"/>
              <w:keepLines w:val="0"/>
              <w:widowControl/>
              <w:suppressLineNumbers w:val="0"/>
              <w:spacing w:before="0" w:beforeAutospacing="0" w:after="0" w:afterAutospacing="0"/>
              <w:ind w:left="0" w:right="0"/>
              <w:jc w:val="center"/>
              <w:rPr>
                <w:rFonts w:hint="default" w:ascii="微软雅黑" w:hAnsi="微软雅黑" w:cs="Arial Unicode MS"/>
                <w:bCs/>
                <w:kern w:val="2"/>
                <w:sz w:val="20"/>
                <w:szCs w:val="20"/>
              </w:rPr>
            </w:pPr>
            <w:r>
              <w:rPr>
                <w:rFonts w:hint="eastAsia" w:ascii="微软雅黑" w:hAnsi="微软雅黑" w:cs="Arial Unicode MS"/>
                <w:bCs/>
                <w:kern w:val="2"/>
                <w:sz w:val="20"/>
                <w:szCs w:val="20"/>
              </w:rPr>
              <w:t>融合</w:t>
            </w:r>
          </w:p>
        </w:tc>
        <w:tc>
          <w:tcPr>
            <w:tcW w:w="4386" w:type="dxa"/>
            <w:vAlign w:val="center"/>
          </w:tcPr>
          <w:p w14:paraId="4AF6DEB4">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cs="微软雅黑"/>
                <w:bCs/>
                <w:kern w:val="2"/>
                <w:sz w:val="20"/>
                <w:szCs w:val="20"/>
              </w:rPr>
              <w:t>未检出</w:t>
            </w:r>
          </w:p>
        </w:tc>
      </w:tr>
      <w:tr w14:paraId="099A728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restart"/>
            <w:vAlign w:val="center"/>
          </w:tcPr>
          <w:p w14:paraId="0CA9894F">
            <w:pPr>
              <w:keepNext w:val="0"/>
              <w:keepLines w:val="0"/>
              <w:widowControl/>
              <w:suppressLineNumbers w:val="0"/>
              <w:spacing w:before="0" w:beforeAutospacing="0" w:after="0" w:afterAutospacing="0"/>
              <w:ind w:left="0" w:right="0"/>
              <w:jc w:val="center"/>
              <w:rPr>
                <w:rFonts w:hint="default" w:ascii="微软雅黑" w:hAnsi="微软雅黑" w:cs="Arial Unicode MS"/>
                <w:bCs/>
                <w:kern w:val="2"/>
                <w:sz w:val="20"/>
                <w:szCs w:val="20"/>
              </w:rPr>
            </w:pPr>
            <w:r>
              <w:rPr>
                <w:rFonts w:hint="eastAsia" w:ascii="微软雅黑" w:hAnsi="微软雅黑" w:cs="Arial Unicode MS"/>
                <w:bCs/>
                <w:kern w:val="2"/>
                <w:sz w:val="20"/>
                <w:szCs w:val="20"/>
              </w:rPr>
              <w:t>ERBB2</w:t>
            </w:r>
          </w:p>
          <w:p w14:paraId="01A57C50">
            <w:pPr>
              <w:keepNext w:val="0"/>
              <w:keepLines w:val="0"/>
              <w:widowControl/>
              <w:suppressLineNumbers w:val="0"/>
              <w:spacing w:before="0" w:beforeAutospacing="0" w:after="0" w:afterAutospacing="0"/>
              <w:ind w:left="0" w:right="0"/>
              <w:jc w:val="center"/>
              <w:rPr>
                <w:rFonts w:hint="default" w:ascii="微软雅黑" w:hAnsi="微软雅黑" w:cs="Arial Unicode MS"/>
                <w:bCs/>
                <w:kern w:val="2"/>
                <w:sz w:val="20"/>
                <w:szCs w:val="20"/>
              </w:rPr>
            </w:pPr>
            <w:r>
              <w:rPr>
                <w:rFonts w:hint="eastAsia" w:ascii="微软雅黑" w:hAnsi="微软雅黑" w:cs="Arial Unicode MS"/>
                <w:bCs/>
                <w:kern w:val="2"/>
                <w:sz w:val="20"/>
                <w:szCs w:val="20"/>
              </w:rPr>
              <w:t>（HER2）</w:t>
            </w:r>
          </w:p>
        </w:tc>
        <w:tc>
          <w:tcPr>
            <w:tcW w:w="2277" w:type="dxa"/>
            <w:vAlign w:val="center"/>
          </w:tcPr>
          <w:p w14:paraId="045E17D5">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cs="Arial Unicode MS"/>
                <w:bCs/>
                <w:kern w:val="2"/>
                <w:sz w:val="20"/>
                <w:szCs w:val="20"/>
              </w:rPr>
              <w:t>突变</w:t>
            </w:r>
          </w:p>
        </w:tc>
        <w:tc>
          <w:tcPr>
            <w:tcW w:w="4386" w:type="dxa"/>
            <w:vAlign w:val="center"/>
          </w:tcPr>
          <w:p w14:paraId="5DBBEE60">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cs="微软雅黑"/>
                <w:bCs/>
                <w:kern w:val="2"/>
                <w:sz w:val="20"/>
                <w:szCs w:val="20"/>
              </w:rPr>
              <w:t>未检出</w:t>
            </w:r>
          </w:p>
        </w:tc>
      </w:tr>
      <w:tr w14:paraId="5C4A228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continue"/>
            <w:vAlign w:val="center"/>
          </w:tcPr>
          <w:p w14:paraId="60C19DE6">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p>
        </w:tc>
        <w:tc>
          <w:tcPr>
            <w:tcW w:w="2277" w:type="dxa"/>
            <w:vAlign w:val="center"/>
          </w:tcPr>
          <w:p w14:paraId="3B3BE5BD">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cs="Arial Unicode MS"/>
                <w:bCs/>
                <w:kern w:val="2"/>
                <w:sz w:val="20"/>
                <w:szCs w:val="20"/>
              </w:rPr>
              <w:t>扩增</w:t>
            </w:r>
          </w:p>
        </w:tc>
        <w:tc>
          <w:tcPr>
            <w:tcW w:w="4386" w:type="dxa"/>
            <w:vAlign w:val="center"/>
          </w:tcPr>
          <w:p w14:paraId="1B3752DE">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cs="微软雅黑"/>
                <w:bCs/>
                <w:kern w:val="2"/>
                <w:sz w:val="20"/>
                <w:szCs w:val="20"/>
              </w:rPr>
              <w:t>未检出</w:t>
            </w:r>
          </w:p>
        </w:tc>
      </w:tr>
      <w:tr w14:paraId="3DA3069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restart"/>
            <w:vAlign w:val="center"/>
          </w:tcPr>
          <w:p w14:paraId="5B4102E1">
            <w:pPr>
              <w:keepNext w:val="0"/>
              <w:keepLines w:val="0"/>
              <w:widowControl/>
              <w:suppressLineNumbers w:val="0"/>
              <w:spacing w:before="0" w:beforeAutospacing="0" w:after="0" w:afterAutospacing="0"/>
              <w:ind w:left="0" w:right="0"/>
              <w:jc w:val="center"/>
              <w:rPr>
                <w:rFonts w:hint="default" w:ascii="微软雅黑" w:hAnsi="微软雅黑" w:cs="Arial Unicode MS"/>
                <w:bCs/>
                <w:kern w:val="2"/>
                <w:sz w:val="20"/>
                <w:szCs w:val="20"/>
              </w:rPr>
            </w:pPr>
            <w:r>
              <w:rPr>
                <w:rFonts w:hint="eastAsia" w:ascii="微软雅黑" w:hAnsi="微软雅黑" w:cs="Arial Unicode MS"/>
                <w:bCs/>
                <w:kern w:val="2"/>
                <w:sz w:val="20"/>
                <w:szCs w:val="20"/>
              </w:rPr>
              <w:t>PIK3CA</w:t>
            </w:r>
          </w:p>
        </w:tc>
        <w:tc>
          <w:tcPr>
            <w:tcW w:w="2277" w:type="dxa"/>
            <w:vAlign w:val="center"/>
          </w:tcPr>
          <w:p w14:paraId="2054ABC6">
            <w:pPr>
              <w:keepNext w:val="0"/>
              <w:keepLines w:val="0"/>
              <w:widowControl/>
              <w:suppressLineNumbers w:val="0"/>
              <w:spacing w:before="0" w:beforeAutospacing="0" w:after="0" w:afterAutospacing="0"/>
              <w:ind w:left="0" w:right="0"/>
              <w:jc w:val="center"/>
              <w:rPr>
                <w:rFonts w:hint="default" w:ascii="微软雅黑" w:hAnsi="微软雅黑" w:cs="Arial Unicode MS"/>
                <w:bCs/>
                <w:kern w:val="2"/>
                <w:sz w:val="20"/>
                <w:szCs w:val="20"/>
              </w:rPr>
            </w:pPr>
            <w:r>
              <w:rPr>
                <w:rFonts w:hint="eastAsia" w:ascii="微软雅黑" w:hAnsi="微软雅黑" w:cs="Arial Unicode MS"/>
                <w:bCs/>
                <w:kern w:val="2"/>
                <w:sz w:val="20"/>
                <w:szCs w:val="20"/>
              </w:rPr>
              <w:t>外显子10</w:t>
            </w:r>
          </w:p>
        </w:tc>
        <w:tc>
          <w:tcPr>
            <w:tcW w:w="4386" w:type="dxa"/>
            <w:vAlign w:val="center"/>
          </w:tcPr>
          <w:p w14:paraId="593A7EBA">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cs="微软雅黑"/>
                <w:bCs/>
                <w:kern w:val="2"/>
                <w:sz w:val="20"/>
                <w:szCs w:val="20"/>
              </w:rPr>
              <w:t>未检出</w:t>
            </w:r>
          </w:p>
        </w:tc>
      </w:tr>
      <w:tr w14:paraId="0970982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continue"/>
            <w:vAlign w:val="center"/>
          </w:tcPr>
          <w:p w14:paraId="720D5732">
            <w:pPr>
              <w:keepNext w:val="0"/>
              <w:keepLines w:val="0"/>
              <w:widowControl/>
              <w:suppressLineNumbers w:val="0"/>
              <w:spacing w:before="0" w:beforeAutospacing="0" w:after="0" w:afterAutospacing="0"/>
              <w:ind w:left="0" w:right="0"/>
              <w:jc w:val="center"/>
              <w:rPr>
                <w:rFonts w:hint="default" w:ascii="微软雅黑" w:hAnsi="微软雅黑" w:cs="Arial Unicode MS"/>
                <w:bCs/>
                <w:kern w:val="2"/>
                <w:sz w:val="20"/>
                <w:szCs w:val="20"/>
              </w:rPr>
            </w:pPr>
          </w:p>
        </w:tc>
        <w:tc>
          <w:tcPr>
            <w:tcW w:w="2277" w:type="dxa"/>
            <w:vAlign w:val="center"/>
          </w:tcPr>
          <w:p w14:paraId="636E1133">
            <w:pPr>
              <w:keepNext w:val="0"/>
              <w:keepLines w:val="0"/>
              <w:widowControl/>
              <w:suppressLineNumbers w:val="0"/>
              <w:spacing w:before="0" w:beforeAutospacing="0" w:after="0" w:afterAutospacing="0"/>
              <w:ind w:left="0" w:right="0"/>
              <w:jc w:val="center"/>
              <w:rPr>
                <w:rFonts w:hint="default" w:ascii="微软雅黑" w:hAnsi="微软雅黑" w:cs="Arial Unicode MS"/>
                <w:bCs/>
                <w:kern w:val="2"/>
                <w:sz w:val="20"/>
                <w:szCs w:val="20"/>
              </w:rPr>
            </w:pPr>
            <w:r>
              <w:rPr>
                <w:rFonts w:hint="eastAsia" w:ascii="微软雅黑" w:hAnsi="微软雅黑" w:cs="Arial Unicode MS"/>
                <w:bCs/>
                <w:kern w:val="2"/>
                <w:sz w:val="20"/>
                <w:szCs w:val="20"/>
              </w:rPr>
              <w:t>外显子21</w:t>
            </w:r>
          </w:p>
        </w:tc>
        <w:tc>
          <w:tcPr>
            <w:tcW w:w="4386" w:type="dxa"/>
            <w:vAlign w:val="center"/>
          </w:tcPr>
          <w:p w14:paraId="054C0C6B">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cs="微软雅黑"/>
                <w:bCs/>
                <w:kern w:val="2"/>
                <w:sz w:val="20"/>
                <w:szCs w:val="20"/>
              </w:rPr>
              <w:t>未检出</w:t>
            </w:r>
          </w:p>
        </w:tc>
      </w:tr>
      <w:tr w14:paraId="6DACCAC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restart"/>
            <w:vAlign w:val="center"/>
          </w:tcPr>
          <w:p w14:paraId="368896F8">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cs="Arial Unicode MS"/>
                <w:bCs/>
                <w:kern w:val="2"/>
                <w:sz w:val="20"/>
                <w:szCs w:val="20"/>
              </w:rPr>
              <w:t>MET</w:t>
            </w:r>
          </w:p>
        </w:tc>
        <w:tc>
          <w:tcPr>
            <w:tcW w:w="2277" w:type="dxa"/>
            <w:vAlign w:val="center"/>
          </w:tcPr>
          <w:p w14:paraId="5C5B295F">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cs="Arial Unicode MS"/>
                <w:bCs/>
                <w:kern w:val="2"/>
                <w:sz w:val="20"/>
                <w:szCs w:val="20"/>
              </w:rPr>
              <w:t>外显子14跳跃</w:t>
            </w:r>
          </w:p>
        </w:tc>
        <w:tc>
          <w:tcPr>
            <w:tcW w:w="4386" w:type="dxa"/>
            <w:vAlign w:val="center"/>
          </w:tcPr>
          <w:p w14:paraId="3FD52B38">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cs="微软雅黑"/>
                <w:bCs/>
                <w:kern w:val="2"/>
                <w:sz w:val="20"/>
                <w:szCs w:val="20"/>
              </w:rPr>
              <w:t>未检出</w:t>
            </w:r>
          </w:p>
        </w:tc>
      </w:tr>
      <w:tr w14:paraId="2CD60CA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continue"/>
            <w:vAlign w:val="center"/>
          </w:tcPr>
          <w:p w14:paraId="71AC115B">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p>
        </w:tc>
        <w:tc>
          <w:tcPr>
            <w:tcW w:w="2277" w:type="dxa"/>
            <w:vAlign w:val="center"/>
          </w:tcPr>
          <w:p w14:paraId="5E0BBD0A">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cs="Arial Unicode MS"/>
                <w:bCs/>
                <w:kern w:val="2"/>
                <w:sz w:val="20"/>
                <w:szCs w:val="20"/>
              </w:rPr>
              <w:t>扩增</w:t>
            </w:r>
          </w:p>
        </w:tc>
        <w:tc>
          <w:tcPr>
            <w:tcW w:w="4386" w:type="dxa"/>
            <w:vAlign w:val="center"/>
          </w:tcPr>
          <w:p w14:paraId="36C3A18A">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cs="微软雅黑"/>
                <w:bCs/>
                <w:kern w:val="2"/>
                <w:sz w:val="20"/>
                <w:szCs w:val="20"/>
              </w:rPr>
              <w:t>未检出</w:t>
            </w:r>
          </w:p>
        </w:tc>
      </w:tr>
      <w:tr w14:paraId="351DC47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restart"/>
            <w:vAlign w:val="center"/>
          </w:tcPr>
          <w:p w14:paraId="1D22D575">
            <w:pPr>
              <w:keepNext w:val="0"/>
              <w:keepLines w:val="0"/>
              <w:widowControl/>
              <w:suppressLineNumbers w:val="0"/>
              <w:spacing w:before="0" w:beforeAutospacing="0" w:after="0" w:afterAutospacing="0"/>
              <w:ind w:left="0" w:right="0"/>
              <w:jc w:val="center"/>
              <w:rPr>
                <w:rFonts w:hint="default" w:ascii="微软雅黑" w:hAnsi="微软雅黑" w:cs="Arial Unicode MS"/>
                <w:bCs/>
                <w:kern w:val="2"/>
                <w:sz w:val="20"/>
                <w:szCs w:val="20"/>
              </w:rPr>
            </w:pPr>
            <w:r>
              <w:rPr>
                <w:rFonts w:hint="eastAsia" w:ascii="微软雅黑" w:hAnsi="微软雅黑" w:cs="Arial Unicode MS"/>
                <w:bCs/>
                <w:kern w:val="2"/>
                <w:sz w:val="20"/>
                <w:szCs w:val="20"/>
              </w:rPr>
              <w:t>NRAS</w:t>
            </w:r>
          </w:p>
        </w:tc>
        <w:tc>
          <w:tcPr>
            <w:tcW w:w="2277" w:type="dxa"/>
            <w:vAlign w:val="center"/>
          </w:tcPr>
          <w:p w14:paraId="67DAB08D">
            <w:pPr>
              <w:keepNext w:val="0"/>
              <w:keepLines w:val="0"/>
              <w:widowControl/>
              <w:suppressLineNumbers w:val="0"/>
              <w:spacing w:before="0" w:beforeAutospacing="0" w:after="0" w:afterAutospacing="0"/>
              <w:ind w:left="0" w:right="0"/>
              <w:jc w:val="center"/>
              <w:rPr>
                <w:rFonts w:hint="default" w:ascii="微软雅黑" w:hAnsi="微软雅黑" w:cs="Arial Unicode MS"/>
                <w:bCs/>
                <w:kern w:val="2"/>
                <w:sz w:val="20"/>
                <w:szCs w:val="20"/>
              </w:rPr>
            </w:pPr>
            <w:r>
              <w:rPr>
                <w:rFonts w:hint="eastAsia" w:ascii="微软雅黑" w:hAnsi="微软雅黑" w:cs="Arial Unicode MS"/>
                <w:bCs/>
                <w:kern w:val="2"/>
                <w:sz w:val="20"/>
                <w:szCs w:val="20"/>
              </w:rPr>
              <w:t>外显子2</w:t>
            </w:r>
          </w:p>
        </w:tc>
        <w:tc>
          <w:tcPr>
            <w:tcW w:w="4386" w:type="dxa"/>
            <w:vAlign w:val="center"/>
          </w:tcPr>
          <w:p w14:paraId="1CD5B43E">
            <w:pPr>
              <w:keepNext w:val="0"/>
              <w:keepLines w:val="0"/>
              <w:widowControl/>
              <w:suppressLineNumbers w:val="0"/>
              <w:spacing w:before="0" w:beforeAutospacing="0" w:after="0" w:afterAutospacing="0"/>
              <w:ind w:left="0" w:right="0"/>
              <w:jc w:val="center"/>
              <w:rPr>
                <w:rFonts w:hint="default" w:ascii="微软雅黑" w:hAnsi="微软雅黑" w:cs="微软雅黑"/>
                <w:bCs/>
                <w:kern w:val="2"/>
                <w:sz w:val="20"/>
                <w:szCs w:val="20"/>
              </w:rPr>
            </w:pPr>
            <w:r>
              <w:rPr>
                <w:rFonts w:hint="eastAsia" w:ascii="微软雅黑" w:hAnsi="微软雅黑" w:cs="微软雅黑"/>
                <w:bCs/>
                <w:kern w:val="2"/>
                <w:sz w:val="20"/>
                <w:szCs w:val="20"/>
              </w:rPr>
              <w:t>未检出</w:t>
            </w:r>
          </w:p>
        </w:tc>
      </w:tr>
      <w:tr w14:paraId="741B04B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continue"/>
            <w:vAlign w:val="center"/>
          </w:tcPr>
          <w:p w14:paraId="1834DF79">
            <w:pPr>
              <w:keepNext w:val="0"/>
              <w:keepLines w:val="0"/>
              <w:widowControl/>
              <w:suppressLineNumbers w:val="0"/>
              <w:spacing w:before="0" w:beforeAutospacing="0" w:after="0" w:afterAutospacing="0"/>
              <w:ind w:left="0" w:right="0"/>
              <w:jc w:val="center"/>
              <w:rPr>
                <w:rFonts w:hint="default" w:ascii="微软雅黑" w:hAnsi="微软雅黑" w:cs="Arial Unicode MS"/>
                <w:bCs/>
                <w:kern w:val="2"/>
                <w:sz w:val="20"/>
                <w:szCs w:val="20"/>
              </w:rPr>
            </w:pPr>
          </w:p>
        </w:tc>
        <w:tc>
          <w:tcPr>
            <w:tcW w:w="2277" w:type="dxa"/>
            <w:vAlign w:val="center"/>
          </w:tcPr>
          <w:p w14:paraId="086E895D">
            <w:pPr>
              <w:keepNext w:val="0"/>
              <w:keepLines w:val="0"/>
              <w:widowControl/>
              <w:suppressLineNumbers w:val="0"/>
              <w:spacing w:before="0" w:beforeAutospacing="0" w:after="0" w:afterAutospacing="0"/>
              <w:ind w:left="0" w:right="0"/>
              <w:jc w:val="center"/>
              <w:rPr>
                <w:rFonts w:hint="default" w:ascii="微软雅黑" w:hAnsi="微软雅黑" w:cs="Arial Unicode MS"/>
                <w:bCs/>
                <w:kern w:val="2"/>
                <w:sz w:val="20"/>
                <w:szCs w:val="20"/>
              </w:rPr>
            </w:pPr>
            <w:r>
              <w:rPr>
                <w:rFonts w:hint="eastAsia" w:ascii="微软雅黑" w:hAnsi="微软雅黑" w:cs="Arial Unicode MS"/>
                <w:bCs/>
                <w:kern w:val="2"/>
                <w:sz w:val="20"/>
                <w:szCs w:val="20"/>
              </w:rPr>
              <w:t>外显子3</w:t>
            </w:r>
          </w:p>
        </w:tc>
        <w:tc>
          <w:tcPr>
            <w:tcW w:w="4386" w:type="dxa"/>
            <w:vAlign w:val="center"/>
          </w:tcPr>
          <w:p w14:paraId="0D1D0EF2">
            <w:pPr>
              <w:keepNext w:val="0"/>
              <w:keepLines w:val="0"/>
              <w:widowControl/>
              <w:suppressLineNumbers w:val="0"/>
              <w:spacing w:before="0" w:beforeAutospacing="0" w:after="0" w:afterAutospacing="0"/>
              <w:ind w:left="0" w:right="0"/>
              <w:jc w:val="center"/>
              <w:rPr>
                <w:rFonts w:hint="default" w:ascii="微软雅黑" w:hAnsi="微软雅黑" w:cs="微软雅黑"/>
                <w:bCs/>
                <w:kern w:val="2"/>
                <w:sz w:val="20"/>
                <w:szCs w:val="20"/>
              </w:rPr>
            </w:pPr>
            <w:r>
              <w:rPr>
                <w:rFonts w:hint="eastAsia" w:ascii="微软雅黑" w:hAnsi="微软雅黑" w:cs="微软雅黑"/>
                <w:bCs/>
                <w:kern w:val="2"/>
                <w:sz w:val="20"/>
                <w:szCs w:val="20"/>
              </w:rPr>
              <w:t>未检出</w:t>
            </w:r>
          </w:p>
        </w:tc>
      </w:tr>
      <w:tr w14:paraId="158C952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continue"/>
            <w:vAlign w:val="center"/>
          </w:tcPr>
          <w:p w14:paraId="41581636">
            <w:pPr>
              <w:keepNext w:val="0"/>
              <w:keepLines w:val="0"/>
              <w:widowControl/>
              <w:suppressLineNumbers w:val="0"/>
              <w:spacing w:before="0" w:beforeAutospacing="0" w:after="0" w:afterAutospacing="0"/>
              <w:ind w:left="0" w:right="0"/>
              <w:jc w:val="center"/>
              <w:rPr>
                <w:rFonts w:hint="default" w:ascii="微软雅黑" w:hAnsi="微软雅黑" w:cs="Arial Unicode MS"/>
                <w:bCs/>
                <w:kern w:val="2"/>
                <w:sz w:val="20"/>
                <w:szCs w:val="20"/>
              </w:rPr>
            </w:pPr>
          </w:p>
        </w:tc>
        <w:tc>
          <w:tcPr>
            <w:tcW w:w="2277" w:type="dxa"/>
            <w:vAlign w:val="center"/>
          </w:tcPr>
          <w:p w14:paraId="7CBC174E">
            <w:pPr>
              <w:keepNext w:val="0"/>
              <w:keepLines w:val="0"/>
              <w:widowControl/>
              <w:suppressLineNumbers w:val="0"/>
              <w:spacing w:before="0" w:beforeAutospacing="0" w:after="0" w:afterAutospacing="0"/>
              <w:ind w:left="0" w:right="0"/>
              <w:jc w:val="center"/>
              <w:rPr>
                <w:rFonts w:hint="default" w:ascii="微软雅黑" w:hAnsi="微软雅黑" w:cs="Arial Unicode MS"/>
                <w:bCs/>
                <w:kern w:val="2"/>
                <w:sz w:val="20"/>
                <w:szCs w:val="20"/>
              </w:rPr>
            </w:pPr>
            <w:r>
              <w:rPr>
                <w:rFonts w:hint="eastAsia" w:ascii="微软雅黑" w:hAnsi="微软雅黑" w:cs="Arial Unicode MS"/>
                <w:bCs/>
                <w:kern w:val="2"/>
                <w:sz w:val="20"/>
                <w:szCs w:val="20"/>
              </w:rPr>
              <w:t>外显子4</w:t>
            </w:r>
          </w:p>
        </w:tc>
        <w:tc>
          <w:tcPr>
            <w:tcW w:w="4386" w:type="dxa"/>
            <w:vAlign w:val="center"/>
          </w:tcPr>
          <w:p w14:paraId="5B04EFC7">
            <w:pPr>
              <w:keepNext w:val="0"/>
              <w:keepLines w:val="0"/>
              <w:widowControl/>
              <w:suppressLineNumbers w:val="0"/>
              <w:spacing w:before="0" w:beforeAutospacing="0" w:after="0" w:afterAutospacing="0"/>
              <w:ind w:left="0" w:right="0"/>
              <w:jc w:val="center"/>
              <w:rPr>
                <w:rFonts w:hint="default" w:ascii="微软雅黑" w:hAnsi="微软雅黑" w:cs="微软雅黑"/>
                <w:bCs/>
                <w:kern w:val="2"/>
                <w:sz w:val="20"/>
                <w:szCs w:val="20"/>
              </w:rPr>
            </w:pPr>
            <w:r>
              <w:rPr>
                <w:rFonts w:hint="eastAsia" w:ascii="微软雅黑" w:hAnsi="微软雅黑" w:cs="微软雅黑"/>
                <w:bCs/>
                <w:kern w:val="2"/>
                <w:sz w:val="20"/>
                <w:szCs w:val="20"/>
              </w:rPr>
              <w:t>未检出</w:t>
            </w:r>
          </w:p>
        </w:tc>
      </w:tr>
      <w:tr w14:paraId="6EEF115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Align w:val="center"/>
          </w:tcPr>
          <w:p w14:paraId="472E130C">
            <w:pPr>
              <w:keepNext w:val="0"/>
              <w:keepLines w:val="0"/>
              <w:widowControl/>
              <w:suppressLineNumbers w:val="0"/>
              <w:spacing w:before="0" w:beforeAutospacing="0" w:after="0" w:afterAutospacing="0"/>
              <w:ind w:left="0" w:right="0"/>
              <w:jc w:val="center"/>
              <w:rPr>
                <w:rFonts w:hint="default" w:ascii="微软雅黑" w:hAnsi="微软雅黑" w:cs="Arial Unicode MS"/>
                <w:bCs/>
                <w:kern w:val="2"/>
                <w:sz w:val="20"/>
                <w:szCs w:val="20"/>
              </w:rPr>
            </w:pPr>
            <w:r>
              <w:rPr>
                <w:rFonts w:hint="eastAsia" w:ascii="微软雅黑" w:hAnsi="微软雅黑" w:cs="Arial Unicode MS"/>
                <w:bCs/>
                <w:kern w:val="2"/>
                <w:sz w:val="20"/>
                <w:szCs w:val="20"/>
              </w:rPr>
              <w:t>BRAF</w:t>
            </w:r>
          </w:p>
        </w:tc>
        <w:tc>
          <w:tcPr>
            <w:tcW w:w="2277" w:type="dxa"/>
            <w:vAlign w:val="center"/>
          </w:tcPr>
          <w:p w14:paraId="17BD81F2">
            <w:pPr>
              <w:keepNext w:val="0"/>
              <w:keepLines w:val="0"/>
              <w:widowControl/>
              <w:suppressLineNumbers w:val="0"/>
              <w:spacing w:before="0" w:beforeAutospacing="0" w:after="0" w:afterAutospacing="0"/>
              <w:ind w:left="0" w:right="0"/>
              <w:jc w:val="center"/>
              <w:rPr>
                <w:rFonts w:hint="default" w:ascii="微软雅黑" w:hAnsi="微软雅黑" w:cs="Arial Unicode MS"/>
                <w:bCs/>
                <w:kern w:val="2"/>
                <w:sz w:val="20"/>
                <w:szCs w:val="20"/>
              </w:rPr>
            </w:pPr>
            <w:r>
              <w:rPr>
                <w:rFonts w:hint="eastAsia" w:ascii="微软雅黑" w:hAnsi="微软雅黑" w:cs="Arial Unicode MS"/>
                <w:bCs/>
                <w:kern w:val="2"/>
                <w:sz w:val="20"/>
                <w:szCs w:val="20"/>
              </w:rPr>
              <w:t>密码子600</w:t>
            </w:r>
          </w:p>
        </w:tc>
        <w:tc>
          <w:tcPr>
            <w:tcW w:w="4386" w:type="dxa"/>
            <w:vAlign w:val="center"/>
          </w:tcPr>
          <w:p w14:paraId="2CA03303">
            <w:pPr>
              <w:keepNext w:val="0"/>
              <w:keepLines w:val="0"/>
              <w:widowControl/>
              <w:suppressLineNumbers w:val="0"/>
              <w:spacing w:before="0" w:beforeAutospacing="0" w:after="0" w:afterAutospacing="0"/>
              <w:ind w:left="0" w:right="0"/>
              <w:jc w:val="center"/>
              <w:rPr>
                <w:rFonts w:hint="default" w:ascii="微软雅黑" w:hAnsi="微软雅黑" w:cs="Arial Unicode MS"/>
                <w:bCs/>
                <w:kern w:val="2"/>
                <w:sz w:val="20"/>
                <w:szCs w:val="20"/>
              </w:rPr>
            </w:pPr>
            <w:r>
              <w:rPr>
                <w:rFonts w:hint="eastAsia" w:ascii="微软雅黑" w:hAnsi="微软雅黑" w:cs="微软雅黑"/>
                <w:bCs/>
                <w:kern w:val="2"/>
                <w:sz w:val="20"/>
                <w:szCs w:val="20"/>
              </w:rPr>
              <w:t>未检出</w:t>
            </w:r>
          </w:p>
        </w:tc>
      </w:tr>
      <w:tr w14:paraId="77F2A2C6">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restart"/>
            <w:vAlign w:val="center"/>
          </w:tcPr>
          <w:p w14:paraId="4B38CBE4">
            <w:pPr>
              <w:keepNext w:val="0"/>
              <w:keepLines w:val="0"/>
              <w:widowControl/>
              <w:suppressLineNumbers w:val="0"/>
              <w:spacing w:before="0" w:beforeAutospacing="0" w:after="0" w:afterAutospacing="0"/>
              <w:ind w:left="0" w:right="0"/>
              <w:jc w:val="center"/>
              <w:rPr>
                <w:rFonts w:hint="default" w:ascii="微软雅黑" w:hAnsi="微软雅黑" w:cs="Arial Unicode MS"/>
                <w:bCs/>
                <w:kern w:val="2"/>
                <w:sz w:val="20"/>
                <w:szCs w:val="20"/>
              </w:rPr>
            </w:pPr>
            <w:r>
              <w:rPr>
                <w:rFonts w:hint="eastAsia" w:ascii="微软雅黑" w:hAnsi="微软雅黑" w:cs="Arial Unicode MS"/>
                <w:bCs/>
                <w:kern w:val="2"/>
                <w:sz w:val="20"/>
                <w:szCs w:val="20"/>
              </w:rPr>
              <w:t>FGFR1/2/3</w:t>
            </w:r>
          </w:p>
        </w:tc>
        <w:tc>
          <w:tcPr>
            <w:tcW w:w="2277" w:type="dxa"/>
            <w:vAlign w:val="center"/>
          </w:tcPr>
          <w:p w14:paraId="194B96D8">
            <w:pPr>
              <w:keepNext w:val="0"/>
              <w:keepLines w:val="0"/>
              <w:widowControl/>
              <w:suppressLineNumbers w:val="0"/>
              <w:spacing w:before="0" w:beforeAutospacing="0" w:after="0" w:afterAutospacing="0"/>
              <w:ind w:left="0" w:right="0"/>
              <w:jc w:val="center"/>
              <w:rPr>
                <w:rFonts w:hint="default" w:ascii="微软雅黑" w:hAnsi="微软雅黑" w:cs="Arial Unicode MS"/>
                <w:bCs/>
                <w:kern w:val="2"/>
                <w:sz w:val="20"/>
                <w:szCs w:val="20"/>
              </w:rPr>
            </w:pPr>
            <w:r>
              <w:rPr>
                <w:rFonts w:hint="eastAsia" w:ascii="微软雅黑" w:hAnsi="微软雅黑" w:cs="Arial Unicode MS"/>
                <w:bCs/>
                <w:kern w:val="2"/>
                <w:sz w:val="20"/>
                <w:szCs w:val="20"/>
              </w:rPr>
              <w:t>突变</w:t>
            </w:r>
          </w:p>
        </w:tc>
        <w:tc>
          <w:tcPr>
            <w:tcW w:w="4386" w:type="dxa"/>
            <w:vAlign w:val="center"/>
          </w:tcPr>
          <w:p w14:paraId="32FA6FF3">
            <w:pPr>
              <w:keepNext w:val="0"/>
              <w:keepLines w:val="0"/>
              <w:widowControl/>
              <w:suppressLineNumbers w:val="0"/>
              <w:spacing w:before="0" w:beforeAutospacing="0" w:after="0" w:afterAutospacing="0"/>
              <w:ind w:left="0" w:right="0"/>
              <w:jc w:val="center"/>
              <w:rPr>
                <w:rFonts w:hint="default" w:ascii="微软雅黑" w:hAnsi="微软雅黑" w:cs="微软雅黑"/>
                <w:bCs/>
                <w:kern w:val="2"/>
                <w:sz w:val="20"/>
                <w:szCs w:val="20"/>
              </w:rPr>
            </w:pPr>
            <w:r>
              <w:rPr>
                <w:rFonts w:hint="eastAsia" w:ascii="微软雅黑" w:hAnsi="微软雅黑" w:cs="微软雅黑"/>
                <w:bCs/>
                <w:kern w:val="2"/>
                <w:sz w:val="20"/>
                <w:szCs w:val="20"/>
              </w:rPr>
              <w:t>未检出</w:t>
            </w:r>
          </w:p>
        </w:tc>
      </w:tr>
      <w:tr w14:paraId="7FE385A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continue"/>
            <w:vAlign w:val="center"/>
          </w:tcPr>
          <w:p w14:paraId="37ACCDF6">
            <w:pPr>
              <w:keepNext w:val="0"/>
              <w:keepLines w:val="0"/>
              <w:widowControl/>
              <w:suppressLineNumbers w:val="0"/>
              <w:spacing w:before="0" w:beforeAutospacing="0" w:after="0" w:afterAutospacing="0"/>
              <w:ind w:left="0" w:right="0"/>
              <w:jc w:val="center"/>
              <w:rPr>
                <w:rFonts w:hint="default" w:ascii="微软雅黑" w:hAnsi="微软雅黑" w:cs="Arial Unicode MS"/>
                <w:bCs/>
                <w:kern w:val="2"/>
                <w:sz w:val="20"/>
                <w:szCs w:val="20"/>
              </w:rPr>
            </w:pPr>
          </w:p>
        </w:tc>
        <w:tc>
          <w:tcPr>
            <w:tcW w:w="2277" w:type="dxa"/>
            <w:vAlign w:val="center"/>
          </w:tcPr>
          <w:p w14:paraId="40D9C061">
            <w:pPr>
              <w:keepNext w:val="0"/>
              <w:keepLines w:val="0"/>
              <w:widowControl/>
              <w:suppressLineNumbers w:val="0"/>
              <w:spacing w:before="0" w:beforeAutospacing="0" w:after="0" w:afterAutospacing="0"/>
              <w:ind w:left="0" w:right="0"/>
              <w:jc w:val="center"/>
              <w:rPr>
                <w:rFonts w:hint="default" w:ascii="微软雅黑" w:hAnsi="微软雅黑" w:cs="Arial Unicode MS"/>
                <w:bCs/>
                <w:kern w:val="2"/>
                <w:sz w:val="20"/>
                <w:szCs w:val="20"/>
              </w:rPr>
            </w:pPr>
            <w:r>
              <w:rPr>
                <w:rFonts w:hint="eastAsia" w:ascii="微软雅黑" w:hAnsi="微软雅黑" w:cs="Arial Unicode MS"/>
                <w:bCs/>
                <w:kern w:val="2"/>
                <w:sz w:val="20"/>
                <w:szCs w:val="20"/>
              </w:rPr>
              <w:t>融合</w:t>
            </w:r>
          </w:p>
        </w:tc>
        <w:tc>
          <w:tcPr>
            <w:tcW w:w="4386" w:type="dxa"/>
            <w:vAlign w:val="center"/>
          </w:tcPr>
          <w:p w14:paraId="32DBC162">
            <w:pPr>
              <w:keepNext w:val="0"/>
              <w:keepLines w:val="0"/>
              <w:widowControl/>
              <w:suppressLineNumbers w:val="0"/>
              <w:spacing w:before="0" w:beforeAutospacing="0" w:after="0" w:afterAutospacing="0"/>
              <w:ind w:left="0" w:right="0"/>
              <w:jc w:val="center"/>
              <w:rPr>
                <w:rFonts w:hint="default" w:ascii="微软雅黑" w:hAnsi="微软雅黑" w:cs="微软雅黑"/>
                <w:bCs/>
                <w:kern w:val="2"/>
                <w:sz w:val="20"/>
                <w:szCs w:val="20"/>
              </w:rPr>
            </w:pPr>
            <w:r>
              <w:rPr>
                <w:rFonts w:hint="eastAsia" w:ascii="微软雅黑" w:hAnsi="微软雅黑" w:cs="微软雅黑"/>
                <w:bCs/>
                <w:kern w:val="2"/>
                <w:sz w:val="20"/>
                <w:szCs w:val="20"/>
              </w:rPr>
              <w:t>未检出</w:t>
            </w:r>
          </w:p>
        </w:tc>
      </w:tr>
      <w:tr w14:paraId="031BF14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Align w:val="center"/>
          </w:tcPr>
          <w:p w14:paraId="4FEDB4D8">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cs="Arial Unicode MS"/>
                <w:bCs/>
                <w:kern w:val="2"/>
                <w:sz w:val="20"/>
                <w:szCs w:val="20"/>
              </w:rPr>
              <w:t>NTRK1/2/3</w:t>
            </w:r>
          </w:p>
        </w:tc>
        <w:tc>
          <w:tcPr>
            <w:tcW w:w="2277" w:type="dxa"/>
            <w:vAlign w:val="center"/>
          </w:tcPr>
          <w:p w14:paraId="4C8DA5A2">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cs="Arial Unicode MS"/>
                <w:bCs/>
                <w:kern w:val="2"/>
                <w:sz w:val="20"/>
                <w:szCs w:val="20"/>
              </w:rPr>
              <w:t>融合</w:t>
            </w:r>
          </w:p>
        </w:tc>
        <w:tc>
          <w:tcPr>
            <w:tcW w:w="4386" w:type="dxa"/>
            <w:vAlign w:val="center"/>
          </w:tcPr>
          <w:p w14:paraId="3F07844A">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cs="微软雅黑"/>
                <w:bCs/>
                <w:kern w:val="2"/>
                <w:sz w:val="20"/>
                <w:szCs w:val="20"/>
              </w:rPr>
              <w:t>未检出</w:t>
            </w:r>
          </w:p>
        </w:tc>
      </w:tr>
      <w:tr w14:paraId="73959D1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restart"/>
            <w:vAlign w:val="center"/>
          </w:tcPr>
          <w:p w14:paraId="61EDF6CF">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cs="Arial Unicode MS"/>
                <w:bCs/>
                <w:kern w:val="2"/>
                <w:sz w:val="20"/>
                <w:szCs w:val="20"/>
              </w:rPr>
              <w:t>KIT</w:t>
            </w:r>
          </w:p>
        </w:tc>
        <w:tc>
          <w:tcPr>
            <w:tcW w:w="2277" w:type="dxa"/>
            <w:vAlign w:val="center"/>
          </w:tcPr>
          <w:p w14:paraId="377CF421">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cs="Arial Unicode MS"/>
                <w:bCs/>
                <w:kern w:val="2"/>
                <w:sz w:val="20"/>
                <w:szCs w:val="20"/>
              </w:rPr>
              <w:t>外显子9</w:t>
            </w:r>
          </w:p>
        </w:tc>
        <w:tc>
          <w:tcPr>
            <w:tcW w:w="4386" w:type="dxa"/>
            <w:vAlign w:val="center"/>
          </w:tcPr>
          <w:p w14:paraId="4988092F">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cs="微软雅黑"/>
                <w:bCs/>
                <w:kern w:val="2"/>
                <w:sz w:val="20"/>
                <w:szCs w:val="20"/>
              </w:rPr>
              <w:t>未检出</w:t>
            </w:r>
          </w:p>
        </w:tc>
      </w:tr>
      <w:tr w14:paraId="2D06A8B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continue"/>
            <w:vAlign w:val="center"/>
          </w:tcPr>
          <w:p w14:paraId="3C548F7E">
            <w:pPr>
              <w:keepNext w:val="0"/>
              <w:keepLines w:val="0"/>
              <w:widowControl/>
              <w:suppressLineNumbers w:val="0"/>
              <w:spacing w:before="0" w:beforeAutospacing="0" w:after="0" w:afterAutospacing="0"/>
              <w:ind w:left="0" w:right="0"/>
              <w:jc w:val="center"/>
              <w:rPr>
                <w:rFonts w:hint="default" w:ascii="微软雅黑" w:hAnsi="微软雅黑" w:cs="Arial Unicode MS"/>
                <w:bCs/>
                <w:kern w:val="2"/>
                <w:sz w:val="20"/>
                <w:szCs w:val="20"/>
              </w:rPr>
            </w:pPr>
          </w:p>
        </w:tc>
        <w:tc>
          <w:tcPr>
            <w:tcW w:w="2277" w:type="dxa"/>
            <w:vAlign w:val="center"/>
          </w:tcPr>
          <w:p w14:paraId="0ED987EE">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cs="Arial Unicode MS"/>
                <w:bCs/>
                <w:kern w:val="2"/>
                <w:sz w:val="20"/>
                <w:szCs w:val="20"/>
              </w:rPr>
              <w:t>外显子11</w:t>
            </w:r>
          </w:p>
        </w:tc>
        <w:tc>
          <w:tcPr>
            <w:tcW w:w="4386" w:type="dxa"/>
            <w:vAlign w:val="center"/>
          </w:tcPr>
          <w:p w14:paraId="0D0B2019">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cs="微软雅黑"/>
                <w:bCs/>
                <w:kern w:val="2"/>
                <w:sz w:val="20"/>
                <w:szCs w:val="20"/>
              </w:rPr>
              <w:t>未检出</w:t>
            </w:r>
          </w:p>
        </w:tc>
      </w:tr>
      <w:tr w14:paraId="65DCE4B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continue"/>
            <w:vAlign w:val="center"/>
          </w:tcPr>
          <w:p w14:paraId="61CD4AFA">
            <w:pPr>
              <w:keepNext w:val="0"/>
              <w:keepLines w:val="0"/>
              <w:widowControl/>
              <w:suppressLineNumbers w:val="0"/>
              <w:spacing w:before="0" w:beforeAutospacing="0" w:after="0" w:afterAutospacing="0"/>
              <w:ind w:left="0" w:right="0"/>
              <w:jc w:val="center"/>
              <w:rPr>
                <w:rFonts w:hint="default" w:ascii="微软雅黑" w:hAnsi="微软雅黑" w:cs="Arial Unicode MS"/>
                <w:bCs/>
                <w:kern w:val="2"/>
                <w:sz w:val="20"/>
                <w:szCs w:val="20"/>
              </w:rPr>
            </w:pPr>
          </w:p>
        </w:tc>
        <w:tc>
          <w:tcPr>
            <w:tcW w:w="2277" w:type="dxa"/>
            <w:vAlign w:val="center"/>
          </w:tcPr>
          <w:p w14:paraId="4759CD7B">
            <w:pPr>
              <w:keepNext w:val="0"/>
              <w:keepLines w:val="0"/>
              <w:widowControl/>
              <w:suppressLineNumbers w:val="0"/>
              <w:spacing w:before="0" w:beforeAutospacing="0" w:after="0" w:afterAutospacing="0"/>
              <w:ind w:left="0" w:right="0"/>
              <w:jc w:val="center"/>
              <w:rPr>
                <w:rFonts w:hint="default" w:ascii="微软雅黑" w:hAnsi="微软雅黑" w:cs="Arial Unicode MS"/>
                <w:bCs/>
                <w:kern w:val="2"/>
                <w:sz w:val="20"/>
                <w:szCs w:val="20"/>
              </w:rPr>
            </w:pPr>
            <w:r>
              <w:rPr>
                <w:rFonts w:hint="eastAsia" w:ascii="微软雅黑" w:hAnsi="微软雅黑" w:cs="Arial Unicode MS"/>
                <w:bCs/>
                <w:kern w:val="2"/>
                <w:sz w:val="20"/>
                <w:szCs w:val="20"/>
              </w:rPr>
              <w:t>外显子13</w:t>
            </w:r>
          </w:p>
        </w:tc>
        <w:tc>
          <w:tcPr>
            <w:tcW w:w="4386" w:type="dxa"/>
            <w:vAlign w:val="center"/>
          </w:tcPr>
          <w:p w14:paraId="636B071D">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cs="微软雅黑"/>
                <w:bCs/>
                <w:kern w:val="2"/>
                <w:sz w:val="20"/>
                <w:szCs w:val="20"/>
              </w:rPr>
              <w:t>未检出</w:t>
            </w:r>
          </w:p>
        </w:tc>
      </w:tr>
      <w:tr w14:paraId="1F0ED3E6">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continue"/>
            <w:vAlign w:val="center"/>
          </w:tcPr>
          <w:p w14:paraId="1152D777">
            <w:pPr>
              <w:keepNext w:val="0"/>
              <w:keepLines w:val="0"/>
              <w:widowControl/>
              <w:suppressLineNumbers w:val="0"/>
              <w:spacing w:before="0" w:beforeAutospacing="0" w:after="0" w:afterAutospacing="0"/>
              <w:ind w:left="0" w:right="0"/>
              <w:jc w:val="center"/>
              <w:rPr>
                <w:rFonts w:hint="default" w:ascii="微软雅黑" w:hAnsi="微软雅黑" w:cs="Arial Unicode MS"/>
                <w:bCs/>
                <w:kern w:val="2"/>
                <w:sz w:val="20"/>
                <w:szCs w:val="20"/>
              </w:rPr>
            </w:pPr>
          </w:p>
        </w:tc>
        <w:tc>
          <w:tcPr>
            <w:tcW w:w="2277" w:type="dxa"/>
            <w:vAlign w:val="center"/>
          </w:tcPr>
          <w:p w14:paraId="67C6A9A0">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cs="Arial Unicode MS"/>
                <w:bCs/>
                <w:kern w:val="2"/>
                <w:sz w:val="20"/>
                <w:szCs w:val="20"/>
              </w:rPr>
              <w:t>外显子17</w:t>
            </w:r>
          </w:p>
        </w:tc>
        <w:tc>
          <w:tcPr>
            <w:tcW w:w="4386" w:type="dxa"/>
            <w:vAlign w:val="center"/>
          </w:tcPr>
          <w:p w14:paraId="6D131475">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cs="微软雅黑"/>
                <w:bCs/>
                <w:kern w:val="2"/>
                <w:sz w:val="20"/>
                <w:szCs w:val="20"/>
              </w:rPr>
              <w:t>未检出</w:t>
            </w:r>
          </w:p>
        </w:tc>
      </w:tr>
      <w:tr w14:paraId="300F1B66">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restart"/>
            <w:vAlign w:val="center"/>
          </w:tcPr>
          <w:p w14:paraId="3FE0A3B2">
            <w:pPr>
              <w:keepNext w:val="0"/>
              <w:keepLines w:val="0"/>
              <w:widowControl/>
              <w:suppressLineNumbers w:val="0"/>
              <w:spacing w:before="0" w:beforeAutospacing="0" w:after="0" w:afterAutospacing="0"/>
              <w:ind w:left="0" w:right="0"/>
              <w:jc w:val="center"/>
              <w:rPr>
                <w:rFonts w:hint="default" w:ascii="微软雅黑" w:hAnsi="微软雅黑" w:cs="Arial Unicode MS"/>
                <w:bCs/>
                <w:kern w:val="2"/>
                <w:sz w:val="20"/>
                <w:szCs w:val="20"/>
              </w:rPr>
            </w:pPr>
            <w:r>
              <w:rPr>
                <w:rFonts w:hint="eastAsia" w:ascii="微软雅黑" w:hAnsi="微软雅黑" w:cs="Arial Unicode MS"/>
                <w:bCs/>
                <w:kern w:val="2"/>
                <w:sz w:val="20"/>
                <w:szCs w:val="20"/>
              </w:rPr>
              <w:t>PDGFRA</w:t>
            </w:r>
          </w:p>
        </w:tc>
        <w:tc>
          <w:tcPr>
            <w:tcW w:w="2277" w:type="dxa"/>
            <w:vAlign w:val="center"/>
          </w:tcPr>
          <w:p w14:paraId="2153BFE1">
            <w:pPr>
              <w:keepNext w:val="0"/>
              <w:keepLines w:val="0"/>
              <w:widowControl/>
              <w:suppressLineNumbers w:val="0"/>
              <w:spacing w:before="0" w:beforeAutospacing="0" w:after="0" w:afterAutospacing="0"/>
              <w:ind w:left="0" w:right="0"/>
              <w:jc w:val="center"/>
              <w:rPr>
                <w:rFonts w:hint="default" w:ascii="微软雅黑" w:hAnsi="微软雅黑" w:cs="Arial Unicode MS"/>
                <w:bCs/>
                <w:kern w:val="2"/>
                <w:sz w:val="20"/>
                <w:szCs w:val="20"/>
              </w:rPr>
            </w:pPr>
            <w:r>
              <w:rPr>
                <w:rFonts w:hint="eastAsia" w:ascii="微软雅黑" w:hAnsi="微软雅黑" w:cs="Arial Unicode MS"/>
                <w:bCs/>
                <w:kern w:val="2"/>
                <w:sz w:val="20"/>
                <w:szCs w:val="20"/>
              </w:rPr>
              <w:t>外显子12</w:t>
            </w:r>
          </w:p>
        </w:tc>
        <w:tc>
          <w:tcPr>
            <w:tcW w:w="4386" w:type="dxa"/>
            <w:vAlign w:val="center"/>
          </w:tcPr>
          <w:p w14:paraId="07D53F7B">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cs="微软雅黑"/>
                <w:bCs/>
                <w:kern w:val="2"/>
                <w:sz w:val="20"/>
                <w:szCs w:val="20"/>
              </w:rPr>
              <w:t>未检出</w:t>
            </w:r>
          </w:p>
        </w:tc>
      </w:tr>
      <w:tr w14:paraId="0009772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continue"/>
            <w:vAlign w:val="center"/>
          </w:tcPr>
          <w:p w14:paraId="28206AFA">
            <w:pPr>
              <w:keepNext w:val="0"/>
              <w:keepLines w:val="0"/>
              <w:widowControl/>
              <w:suppressLineNumbers w:val="0"/>
              <w:spacing w:before="0" w:beforeAutospacing="0" w:after="0" w:afterAutospacing="0"/>
              <w:ind w:left="0" w:right="0"/>
              <w:jc w:val="center"/>
              <w:rPr>
                <w:rFonts w:hint="default" w:ascii="微软雅黑" w:hAnsi="微软雅黑" w:cs="Arial Unicode MS"/>
                <w:bCs/>
                <w:kern w:val="2"/>
                <w:sz w:val="20"/>
                <w:szCs w:val="20"/>
              </w:rPr>
            </w:pPr>
          </w:p>
        </w:tc>
        <w:tc>
          <w:tcPr>
            <w:tcW w:w="2277" w:type="dxa"/>
            <w:vAlign w:val="center"/>
          </w:tcPr>
          <w:p w14:paraId="24A02431">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cs="Arial Unicode MS"/>
                <w:bCs/>
                <w:kern w:val="2"/>
                <w:sz w:val="20"/>
                <w:szCs w:val="20"/>
              </w:rPr>
              <w:t>外显子14</w:t>
            </w:r>
          </w:p>
        </w:tc>
        <w:tc>
          <w:tcPr>
            <w:tcW w:w="4386" w:type="dxa"/>
            <w:vAlign w:val="center"/>
          </w:tcPr>
          <w:p w14:paraId="303441B2">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cs="微软雅黑"/>
                <w:bCs/>
                <w:kern w:val="2"/>
                <w:sz w:val="20"/>
                <w:szCs w:val="20"/>
              </w:rPr>
              <w:t>未检出</w:t>
            </w:r>
          </w:p>
        </w:tc>
      </w:tr>
      <w:tr w14:paraId="3C598F8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continue"/>
            <w:vAlign w:val="center"/>
          </w:tcPr>
          <w:p w14:paraId="20C9C065">
            <w:pPr>
              <w:keepNext w:val="0"/>
              <w:keepLines w:val="0"/>
              <w:widowControl/>
              <w:suppressLineNumbers w:val="0"/>
              <w:spacing w:before="0" w:beforeAutospacing="0" w:after="0" w:afterAutospacing="0"/>
              <w:ind w:left="0" w:right="0"/>
              <w:jc w:val="center"/>
              <w:rPr>
                <w:rFonts w:hint="default" w:ascii="微软雅黑" w:hAnsi="微软雅黑" w:cs="Arial Unicode MS"/>
                <w:bCs/>
                <w:kern w:val="2"/>
                <w:sz w:val="20"/>
                <w:szCs w:val="20"/>
              </w:rPr>
            </w:pPr>
          </w:p>
        </w:tc>
        <w:tc>
          <w:tcPr>
            <w:tcW w:w="2277" w:type="dxa"/>
            <w:vAlign w:val="center"/>
          </w:tcPr>
          <w:p w14:paraId="677B05F5">
            <w:pPr>
              <w:keepNext w:val="0"/>
              <w:keepLines w:val="0"/>
              <w:widowControl/>
              <w:suppressLineNumbers w:val="0"/>
              <w:spacing w:before="0" w:beforeAutospacing="0" w:after="0" w:afterAutospacing="0"/>
              <w:ind w:left="0" w:right="0"/>
              <w:jc w:val="center"/>
              <w:rPr>
                <w:rFonts w:hint="default" w:ascii="微软雅黑" w:hAnsi="微软雅黑" w:cs="Arial Unicode MS"/>
                <w:bCs/>
                <w:kern w:val="2"/>
                <w:sz w:val="20"/>
                <w:szCs w:val="20"/>
              </w:rPr>
            </w:pPr>
            <w:r>
              <w:rPr>
                <w:rFonts w:hint="eastAsia" w:ascii="微软雅黑" w:hAnsi="微软雅黑" w:cs="Arial Unicode MS"/>
                <w:bCs/>
                <w:kern w:val="2"/>
                <w:sz w:val="20"/>
                <w:szCs w:val="20"/>
              </w:rPr>
              <w:t>外显子18</w:t>
            </w:r>
          </w:p>
        </w:tc>
        <w:tc>
          <w:tcPr>
            <w:tcW w:w="4386" w:type="dxa"/>
            <w:vAlign w:val="center"/>
          </w:tcPr>
          <w:p w14:paraId="7377F749">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cs="微软雅黑"/>
                <w:bCs/>
                <w:kern w:val="2"/>
                <w:sz w:val="20"/>
                <w:szCs w:val="20"/>
              </w:rPr>
              <w:t>未检出</w:t>
            </w:r>
          </w:p>
        </w:tc>
      </w:tr>
      <w:tr w14:paraId="724A9E2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Align w:val="center"/>
          </w:tcPr>
          <w:p w14:paraId="78BF744B">
            <w:pPr>
              <w:keepNext w:val="0"/>
              <w:keepLines w:val="0"/>
              <w:widowControl/>
              <w:suppressLineNumbers w:val="0"/>
              <w:spacing w:before="0" w:beforeAutospacing="0" w:after="0" w:afterAutospacing="0"/>
              <w:ind w:left="0" w:right="0"/>
              <w:jc w:val="center"/>
              <w:rPr>
                <w:rFonts w:hint="default" w:ascii="微软雅黑" w:hAnsi="微软雅黑" w:cs="Arial Unicode MS"/>
                <w:bCs/>
                <w:kern w:val="2"/>
                <w:sz w:val="20"/>
                <w:szCs w:val="20"/>
              </w:rPr>
            </w:pPr>
            <w:r>
              <w:rPr>
                <w:rFonts w:hint="eastAsia" w:ascii="微软雅黑" w:hAnsi="微软雅黑" w:cs="Arial Unicode MS"/>
                <w:bCs/>
                <w:kern w:val="2"/>
                <w:sz w:val="20"/>
                <w:szCs w:val="20"/>
              </w:rPr>
              <w:t>BRCA1/2</w:t>
            </w:r>
          </w:p>
        </w:tc>
        <w:tc>
          <w:tcPr>
            <w:tcW w:w="2277" w:type="dxa"/>
            <w:vAlign w:val="center"/>
          </w:tcPr>
          <w:p w14:paraId="70CE5BF2">
            <w:pPr>
              <w:keepNext w:val="0"/>
              <w:keepLines w:val="0"/>
              <w:widowControl/>
              <w:suppressLineNumbers w:val="0"/>
              <w:spacing w:before="0" w:beforeAutospacing="0" w:after="0" w:afterAutospacing="0"/>
              <w:ind w:left="0" w:right="0"/>
              <w:jc w:val="center"/>
              <w:rPr>
                <w:rFonts w:hint="default" w:ascii="微软雅黑" w:hAnsi="微软雅黑" w:cs="Arial Unicode MS"/>
                <w:bCs/>
                <w:kern w:val="2"/>
                <w:sz w:val="20"/>
                <w:szCs w:val="20"/>
              </w:rPr>
            </w:pPr>
            <w:r>
              <w:rPr>
                <w:rFonts w:hint="eastAsia" w:ascii="微软雅黑" w:hAnsi="微软雅黑" w:cs="Arial Unicode MS"/>
                <w:bCs/>
                <w:kern w:val="2"/>
                <w:sz w:val="20"/>
                <w:szCs w:val="20"/>
              </w:rPr>
              <w:t>突变</w:t>
            </w:r>
          </w:p>
        </w:tc>
        <w:tc>
          <w:tcPr>
            <w:tcW w:w="4386" w:type="dxa"/>
            <w:vAlign w:val="center"/>
          </w:tcPr>
          <w:p w14:paraId="613DC2E2">
            <w:pPr>
              <w:keepNext w:val="0"/>
              <w:keepLines w:val="0"/>
              <w:widowControl/>
              <w:suppressLineNumbers w:val="0"/>
              <w:spacing w:before="0" w:beforeAutospacing="0" w:after="0" w:afterAutospacing="0"/>
              <w:ind w:left="0" w:right="0"/>
              <w:jc w:val="center"/>
              <w:rPr>
                <w:rFonts w:hint="eastAsia" w:ascii="微软雅黑" w:hAnsi="微软雅黑" w:eastAsia="微软雅黑" w:cs="微软雅黑"/>
                <w:bCs/>
                <w:kern w:val="2"/>
                <w:sz w:val="20"/>
                <w:szCs w:val="20"/>
                <w:lang w:eastAsia="zh-CN"/>
              </w:rPr>
            </w:pPr>
            <w:r>
              <w:rPr>
                <w:rFonts w:hint="eastAsia" w:ascii="微软雅黑" w:hAnsi="微软雅黑" w:cs="微软雅黑"/>
                <w:bCs/>
                <w:kern w:val="2"/>
                <w:sz w:val="20"/>
                <w:szCs w:val="20"/>
              </w:rPr>
              <w:t>未检出</w:t>
            </w:r>
          </w:p>
        </w:tc>
      </w:tr>
      <w:tr w14:paraId="2F1E12B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Align w:val="center"/>
          </w:tcPr>
          <w:p w14:paraId="43AA7202">
            <w:pPr>
              <w:keepNext w:val="0"/>
              <w:keepLines w:val="0"/>
              <w:widowControl/>
              <w:suppressLineNumbers w:val="0"/>
              <w:spacing w:before="0" w:beforeAutospacing="0" w:after="0" w:afterAutospacing="0"/>
              <w:ind w:left="0" w:right="0"/>
              <w:jc w:val="center"/>
              <w:rPr>
                <w:rFonts w:hint="default" w:ascii="微软雅黑" w:hAnsi="微软雅黑" w:cs="Arial Unicode MS"/>
                <w:bCs/>
                <w:kern w:val="2"/>
                <w:sz w:val="20"/>
                <w:szCs w:val="20"/>
              </w:rPr>
            </w:pPr>
            <w:r>
              <w:rPr>
                <w:rFonts w:hint="eastAsia" w:ascii="微软雅黑" w:hAnsi="微软雅黑" w:cs="微软雅黑"/>
                <w:kern w:val="2"/>
                <w:sz w:val="20"/>
                <w:szCs w:val="20"/>
              </w:rPr>
              <w:t>IDH1/2</w:t>
            </w:r>
          </w:p>
        </w:tc>
        <w:tc>
          <w:tcPr>
            <w:tcW w:w="2277" w:type="dxa"/>
            <w:vAlign w:val="center"/>
          </w:tcPr>
          <w:p w14:paraId="397ACD75">
            <w:pPr>
              <w:keepNext w:val="0"/>
              <w:keepLines w:val="0"/>
              <w:widowControl/>
              <w:suppressLineNumbers w:val="0"/>
              <w:spacing w:before="0" w:beforeAutospacing="0" w:after="0" w:afterAutospacing="0"/>
              <w:ind w:left="0" w:right="0"/>
              <w:jc w:val="center"/>
              <w:rPr>
                <w:rFonts w:hint="default" w:ascii="微软雅黑" w:hAnsi="微软雅黑" w:cs="Arial Unicode MS"/>
                <w:bCs/>
                <w:kern w:val="2"/>
                <w:sz w:val="20"/>
                <w:szCs w:val="20"/>
              </w:rPr>
            </w:pPr>
            <w:r>
              <w:rPr>
                <w:rFonts w:hint="eastAsia" w:ascii="微软雅黑" w:hAnsi="微软雅黑" w:cs="Arial Unicode MS"/>
                <w:bCs/>
                <w:kern w:val="2"/>
                <w:sz w:val="20"/>
                <w:szCs w:val="20"/>
              </w:rPr>
              <w:t>突变</w:t>
            </w:r>
          </w:p>
        </w:tc>
        <w:tc>
          <w:tcPr>
            <w:tcW w:w="4386" w:type="dxa"/>
            <w:vAlign w:val="center"/>
          </w:tcPr>
          <w:p w14:paraId="3310B010">
            <w:pPr>
              <w:keepNext w:val="0"/>
              <w:keepLines w:val="0"/>
              <w:widowControl/>
              <w:suppressLineNumbers w:val="0"/>
              <w:spacing w:before="0" w:beforeAutospacing="0" w:after="0" w:afterAutospacing="0"/>
              <w:ind w:left="0" w:right="0"/>
              <w:jc w:val="center"/>
              <w:rPr>
                <w:rFonts w:hint="eastAsia" w:ascii="微软雅黑" w:hAnsi="微软雅黑" w:eastAsia="微软雅黑" w:cs="微软雅黑"/>
                <w:bCs/>
                <w:kern w:val="2"/>
                <w:sz w:val="20"/>
                <w:szCs w:val="20"/>
                <w:lang w:eastAsia="zh-CN"/>
              </w:rPr>
            </w:pPr>
            <w:r>
              <w:rPr>
                <w:rFonts w:hint="eastAsia" w:ascii="微软雅黑" w:hAnsi="微软雅黑" w:cs="微软雅黑"/>
                <w:bCs/>
                <w:kern w:val="2"/>
                <w:sz w:val="20"/>
                <w:szCs w:val="20"/>
              </w:rPr>
              <w:t>未检出</w:t>
            </w:r>
          </w:p>
        </w:tc>
      </w:tr>
    </w:tbl>
    <w:p w14:paraId="7A11A733">
      <w:pPr>
        <w:adjustRightInd/>
        <w:snapToGrid/>
        <w:spacing w:after="0" w:line="220" w:lineRule="atLeast"/>
        <w:rPr>
          <w:rFonts w:ascii="微软雅黑" w:hAnsi="微软雅黑" w:cs="微软雅黑"/>
          <w:color w:val="262626"/>
          <w:sz w:val="18"/>
          <w:szCs w:val="18"/>
        </w:rPr>
      </w:pPr>
      <w:r>
        <w:rPr>
          <w:rFonts w:hint="eastAsia" w:ascii="微软雅黑" w:hAnsi="微软雅黑" w:cs="微软雅黑"/>
          <w:color w:val="262626"/>
          <w:sz w:val="18"/>
          <w:szCs w:val="18"/>
        </w:rPr>
        <w:t>注：1. 以上只列出 NCCN 指南推荐的检测基因，基因检测范围涵盖但不限于上表中列出的检测内容。</w:t>
      </w:r>
    </w:p>
    <w:p w14:paraId="775EE7E9">
      <w:pPr>
        <w:adjustRightInd/>
        <w:snapToGrid/>
        <w:spacing w:after="0" w:line="220" w:lineRule="atLeast"/>
        <w:ind w:firstLine="360" w:firstLineChars="200"/>
        <w:rPr>
          <w:rFonts w:ascii="微软雅黑" w:hAnsi="微软雅黑" w:cs="微软雅黑"/>
          <w:color w:val="262626"/>
          <w:sz w:val="18"/>
          <w:szCs w:val="18"/>
        </w:rPr>
      </w:pPr>
      <w:r>
        <w:rPr>
          <w:rFonts w:hint="eastAsia" w:ascii="微软雅黑" w:hAnsi="微软雅黑" w:cs="微软雅黑"/>
          <w:color w:val="262626"/>
          <w:sz w:val="18"/>
          <w:szCs w:val="18"/>
        </w:rPr>
        <w:t>2. 检出详情，可查</w:t>
      </w:r>
      <w:r>
        <w:rPr>
          <w:rFonts w:hint="eastAsia" w:ascii="微软雅黑" w:hAnsi="微软雅黑" w:cs="微软雅黑"/>
          <w:color w:val="000000"/>
          <w:sz w:val="18"/>
          <w:szCs w:val="18"/>
        </w:rPr>
        <w:t>看</w:t>
      </w:r>
      <w:r>
        <w:rPr>
          <w:rFonts w:hint="eastAsia" w:ascii="微软雅黑" w:hAnsi="微软雅黑" w:cs="微软雅黑"/>
          <w:color w:val="262626"/>
          <w:sz w:val="18"/>
          <w:szCs w:val="18"/>
        </w:rPr>
        <w:t>基因变异检测结果。</w:t>
      </w:r>
    </w:p>
    <w:p w14:paraId="2D07B8AF">
      <w:pPr>
        <w:adjustRightInd/>
        <w:snapToGrid/>
        <w:spacing w:after="0" w:line="220" w:lineRule="atLeast"/>
        <w:ind w:firstLine="360" w:firstLineChars="200"/>
        <w:rPr>
          <w:rFonts w:ascii="微软雅黑" w:hAnsi="微软雅黑" w:cs="微软雅黑"/>
          <w:color w:val="262626"/>
          <w:sz w:val="18"/>
          <w:szCs w:val="18"/>
        </w:rPr>
      </w:pPr>
    </w:p>
    <w:p w14:paraId="4B161EA5">
      <w:pPr>
        <w:spacing w:after="0"/>
        <w:jc w:val="both"/>
        <w:rPr>
          <w:rFonts w:ascii="微软雅黑" w:hAnsi="微软雅黑" w:cs="微软雅黑"/>
          <w:b/>
          <w:color w:val="00C4D8"/>
          <w:sz w:val="24"/>
          <w:szCs w:val="24"/>
        </w:rPr>
      </w:pPr>
      <w:r>
        <w:commentReference w:id="20"/>
      </w:r>
      <w:r>
        <w:rPr>
          <w:rFonts w:hint="eastAsia" w:ascii="微软雅黑" w:hAnsi="微软雅黑" w:cs="微软雅黑"/>
          <w:b/>
          <w:color w:val="00C4D8"/>
          <w:sz w:val="24"/>
          <w:szCs w:val="24"/>
        </w:rPr>
        <w:t>结肠癌NCCN指南（2022 V1）和直肠癌NCCN指南（2022 V1）</w:t>
      </w:r>
    </w:p>
    <w:p w14:paraId="01CB2458">
      <w:pPr>
        <w:numPr>
          <w:ilvl w:val="0"/>
          <w:numId w:val="3"/>
        </w:numPr>
        <w:spacing w:after="0"/>
        <w:jc w:val="both"/>
        <w:rPr>
          <w:rFonts w:ascii="微软雅黑" w:hAnsi="微软雅黑" w:cs="微软雅黑"/>
          <w:color w:val="00C4D8"/>
          <w:sz w:val="21"/>
          <w:szCs w:val="21"/>
        </w:rPr>
      </w:pPr>
      <w:r>
        <w:rPr>
          <w:rFonts w:hint="eastAsia" w:ascii="微软雅黑" w:hAnsi="微软雅黑" w:cs="微软雅黑"/>
          <w:color w:val="000000"/>
          <w:sz w:val="21"/>
          <w:szCs w:val="21"/>
        </w:rPr>
        <w:t>KRAS基因/NARS基因/BRAF基因野生型的结肠癌和直肠癌患者推荐西妥昔单抗/帕尼单抗±化疗（针对结肠癌：仅限于左半结肠，即</w:t>
      </w:r>
      <w:r>
        <w:rPr>
          <w:rFonts w:ascii="微软雅黑" w:hAnsi="微软雅黑" w:cs="微软雅黑"/>
          <w:color w:val="222222"/>
          <w:sz w:val="21"/>
          <w:szCs w:val="21"/>
          <w:shd w:val="clear" w:color="auto" w:fill="FFFFFF"/>
        </w:rPr>
        <w:t>脾曲至直肠</w:t>
      </w:r>
      <w:r>
        <w:rPr>
          <w:rFonts w:hint="eastAsia" w:ascii="微软雅黑" w:hAnsi="微软雅黑" w:cs="微软雅黑"/>
          <w:color w:val="222222"/>
          <w:sz w:val="21"/>
          <w:szCs w:val="21"/>
          <w:shd w:val="clear" w:color="auto" w:fill="FFFFFF"/>
        </w:rPr>
        <w:t>段</w:t>
      </w:r>
      <w:r>
        <w:rPr>
          <w:rFonts w:hint="eastAsia" w:ascii="微软雅黑" w:hAnsi="微软雅黑" w:cs="微软雅黑"/>
          <w:color w:val="000000"/>
          <w:sz w:val="21"/>
          <w:szCs w:val="21"/>
        </w:rPr>
        <w:t>）；</w:t>
      </w:r>
    </w:p>
    <w:p w14:paraId="39EB683B">
      <w:pPr>
        <w:numPr>
          <w:ilvl w:val="0"/>
          <w:numId w:val="3"/>
        </w:numPr>
        <w:spacing w:after="0"/>
        <w:jc w:val="both"/>
        <w:rPr>
          <w:rFonts w:ascii="微软雅黑" w:hAnsi="微软雅黑" w:cs="微软雅黑"/>
          <w:color w:val="00C4D8"/>
          <w:sz w:val="21"/>
          <w:szCs w:val="21"/>
        </w:rPr>
      </w:pPr>
      <w:r>
        <w:rPr>
          <w:rFonts w:hint="eastAsia" w:ascii="微软雅黑" w:hAnsi="微软雅黑" w:cs="微软雅黑"/>
          <w:sz w:val="21"/>
          <w:szCs w:val="21"/>
        </w:rPr>
        <w:t>KRAS基因和NRAS基因2、3、4号外显子已知突变的结肠癌和直肠癌患者不推荐西妥昔单抗和帕尼单抗；</w:t>
      </w:r>
    </w:p>
    <w:p w14:paraId="7542146E">
      <w:pPr>
        <w:numPr>
          <w:ilvl w:val="0"/>
          <w:numId w:val="3"/>
        </w:numPr>
        <w:spacing w:after="0"/>
        <w:jc w:val="both"/>
        <w:rPr>
          <w:rFonts w:ascii="微软雅黑" w:hAnsi="微软雅黑" w:cs="微软雅黑"/>
          <w:color w:val="00C4D8"/>
          <w:sz w:val="21"/>
          <w:szCs w:val="21"/>
        </w:rPr>
      </w:pPr>
      <w:r>
        <w:rPr>
          <w:rFonts w:hint="eastAsia" w:ascii="微软雅黑" w:hAnsi="微软雅黑" w:cs="微软雅黑"/>
          <w:sz w:val="21"/>
          <w:szCs w:val="21"/>
        </w:rPr>
        <w:t>BRAF基因V600E突变阳性的结肠癌和直肠癌患者推荐康奈非尼+西妥昔单抗/帕尼单抗；</w:t>
      </w:r>
    </w:p>
    <w:p w14:paraId="52B99B81">
      <w:pPr>
        <w:numPr>
          <w:ilvl w:val="0"/>
          <w:numId w:val="3"/>
        </w:numPr>
        <w:spacing w:after="0"/>
        <w:jc w:val="both"/>
        <w:rPr>
          <w:rFonts w:ascii="微软雅黑" w:hAnsi="微软雅黑" w:cs="微软雅黑"/>
          <w:color w:val="00C4D8"/>
          <w:sz w:val="21"/>
          <w:szCs w:val="21"/>
        </w:rPr>
      </w:pPr>
      <w:r>
        <w:rPr>
          <w:rFonts w:hint="eastAsia" w:ascii="微软雅黑" w:hAnsi="微软雅黑" w:cs="微软雅黑"/>
          <w:color w:val="000000"/>
          <w:sz w:val="21"/>
          <w:szCs w:val="21"/>
        </w:rPr>
        <w:t>HER2扩增且RAS/BRAF野生型的结肠癌和直肠癌患者推荐曲妥珠单抗+</w:t>
      </w:r>
      <w:r>
        <w:fldChar w:fldCharType="begin"/>
      </w:r>
      <w:r>
        <w:instrText xml:space="preserve"> HYPERLINK "http://www.baidu.com/link?url=z_Cosz0facbgFVcnFkx7T5GGDSMtTGnOs0mmKI6WKGHPGl76DWuxkh5ftT9dps1dqOOMejkqJ7jj9JUDal9vna" \t "https://www.baidu.com/_blank" </w:instrText>
      </w:r>
      <w:r>
        <w:fldChar w:fldCharType="separate"/>
      </w:r>
      <w:r>
        <w:rPr>
          <w:rFonts w:hint="eastAsia" w:ascii="微软雅黑" w:hAnsi="微软雅黑" w:cs="微软雅黑"/>
          <w:color w:val="000000"/>
          <w:sz w:val="21"/>
          <w:szCs w:val="21"/>
        </w:rPr>
        <w:t>帕妥珠单抗</w:t>
      </w:r>
      <w:r>
        <w:rPr>
          <w:rFonts w:hint="eastAsia" w:ascii="微软雅黑" w:hAnsi="微软雅黑" w:cs="微软雅黑"/>
          <w:color w:val="000000"/>
          <w:sz w:val="21"/>
          <w:szCs w:val="21"/>
        </w:rPr>
        <w:fldChar w:fldCharType="end"/>
      </w:r>
      <w:r>
        <w:rPr>
          <w:rFonts w:hint="eastAsia" w:ascii="微软雅黑" w:hAnsi="微软雅黑" w:cs="微软雅黑"/>
          <w:color w:val="000000"/>
          <w:sz w:val="21"/>
          <w:szCs w:val="21"/>
        </w:rPr>
        <w:t>/拉帕替尼</w:t>
      </w:r>
      <w:r>
        <w:rPr>
          <w:rFonts w:hint="eastAsia" w:ascii="微软雅黑" w:hAnsi="微软雅黑" w:cs="微软雅黑"/>
          <w:sz w:val="21"/>
          <w:szCs w:val="21"/>
        </w:rPr>
        <w:t>、</w:t>
      </w:r>
      <w:r>
        <w:rPr>
          <w:rFonts w:hint="eastAsia" w:ascii="微软雅黑" w:hAnsi="微软雅黑" w:cs="微软雅黑"/>
          <w:kern w:val="2"/>
          <w:sz w:val="21"/>
          <w:szCs w:val="21"/>
        </w:rPr>
        <w:t>德曲妥珠单抗</w:t>
      </w:r>
      <w:r>
        <w:rPr>
          <w:rFonts w:hint="eastAsia" w:ascii="微软雅黑" w:hAnsi="微软雅黑" w:cs="微软雅黑"/>
          <w:color w:val="000000"/>
          <w:sz w:val="21"/>
          <w:szCs w:val="21"/>
        </w:rPr>
        <w:t>；</w:t>
      </w:r>
    </w:p>
    <w:p w14:paraId="7644855B">
      <w:pPr>
        <w:numPr>
          <w:ilvl w:val="0"/>
          <w:numId w:val="3"/>
        </w:numPr>
        <w:spacing w:after="0"/>
        <w:jc w:val="both"/>
        <w:rPr>
          <w:rFonts w:ascii="微软雅黑" w:hAnsi="微软雅黑" w:cs="微软雅黑"/>
          <w:color w:val="00C4D8"/>
          <w:sz w:val="21"/>
          <w:szCs w:val="21"/>
        </w:rPr>
      </w:pPr>
      <w:r>
        <w:rPr>
          <w:rFonts w:hint="eastAsia" w:ascii="微软雅黑" w:hAnsi="微软雅黑" w:cs="微软雅黑"/>
          <w:sz w:val="21"/>
          <w:szCs w:val="21"/>
        </w:rPr>
        <w:t>NTRK基因融合阳性的结肠癌和直肠癌患者推荐拉罗替尼</w:t>
      </w:r>
      <w:r>
        <w:rPr>
          <w:rFonts w:hint="eastAsia" w:ascii="微软雅黑" w:hAnsi="微软雅黑" w:cs="微软雅黑"/>
          <w:color w:val="000000"/>
          <w:sz w:val="21"/>
          <w:szCs w:val="21"/>
        </w:rPr>
        <w:t>、</w:t>
      </w:r>
      <w:r>
        <w:fldChar w:fldCharType="begin"/>
      </w:r>
      <w:r>
        <w:instrText xml:space="preserve"> HYPERLINK "http://www.baidu.com/link?url=iRSZFkrWlWRnyToUBJ36cOsFFuSfIVHNYc_liWy2RGsCcnDP8rmSzqylht-BACtJe_jPjek8iwXrp1-gifZb3K" \t "https://www.baidu.com/_blank" </w:instrText>
      </w:r>
      <w:r>
        <w:fldChar w:fldCharType="separate"/>
      </w:r>
      <w:r>
        <w:rPr>
          <w:rFonts w:hint="eastAsia" w:ascii="微软雅黑" w:hAnsi="微软雅黑" w:cs="微软雅黑"/>
          <w:color w:val="000000"/>
          <w:sz w:val="21"/>
          <w:szCs w:val="21"/>
        </w:rPr>
        <w:t>恩曲替尼</w:t>
      </w:r>
      <w:r>
        <w:rPr>
          <w:rFonts w:hint="eastAsia" w:ascii="微软雅黑" w:hAnsi="微软雅黑" w:cs="微软雅黑"/>
          <w:color w:val="000000"/>
          <w:sz w:val="21"/>
          <w:szCs w:val="21"/>
        </w:rPr>
        <w:fldChar w:fldCharType="end"/>
      </w:r>
      <w:r>
        <w:rPr>
          <w:rFonts w:hint="eastAsia" w:ascii="微软雅黑" w:hAnsi="微软雅黑" w:cs="微软雅黑"/>
          <w:sz w:val="21"/>
          <w:szCs w:val="21"/>
        </w:rPr>
        <w:t>；</w:t>
      </w:r>
    </w:p>
    <w:p w14:paraId="73BA1201">
      <w:pPr>
        <w:numPr>
          <w:ilvl w:val="0"/>
          <w:numId w:val="3"/>
        </w:numPr>
        <w:spacing w:after="0"/>
        <w:jc w:val="both"/>
        <w:rPr>
          <w:rFonts w:ascii="微软雅黑" w:hAnsi="微软雅黑" w:cs="微软雅黑"/>
          <w:color w:val="00C4D8"/>
          <w:sz w:val="21"/>
          <w:szCs w:val="21"/>
        </w:rPr>
      </w:pPr>
      <w:r>
        <w:rPr>
          <w:rFonts w:hint="eastAsia" w:ascii="微软雅黑" w:hAnsi="微软雅黑" w:cs="微软雅黑"/>
          <w:sz w:val="21"/>
          <w:szCs w:val="21"/>
        </w:rPr>
        <w:t>PIK3CA基因突变与结肠癌和直肠癌患者对阿司匹林的响应有关，PIK3CA突变的患者接受阿司匹林的辅助治疗能延长生存期。非阿司匹林NSAIDS（非甾体抗炎药）更有利于预防复发，但低剂量阿司匹林更安全，能够降低患者复发和死亡的风险；</w:t>
      </w:r>
    </w:p>
    <w:p w14:paraId="5D970A98">
      <w:pPr>
        <w:numPr>
          <w:ilvl w:val="0"/>
          <w:numId w:val="3"/>
        </w:numPr>
        <w:spacing w:after="0"/>
        <w:jc w:val="both"/>
        <w:rPr>
          <w:rFonts w:ascii="微软雅黑" w:hAnsi="微软雅黑" w:cs="微软雅黑"/>
          <w:b/>
          <w:color w:val="00C4D8"/>
          <w:sz w:val="24"/>
          <w:szCs w:val="24"/>
        </w:rPr>
      </w:pPr>
      <w:r>
        <w:rPr>
          <w:rFonts w:hint="eastAsia" w:ascii="微软雅黑" w:hAnsi="微软雅黑" w:cs="微软雅黑"/>
          <w:color w:val="000000"/>
          <w:sz w:val="21"/>
          <w:szCs w:val="21"/>
        </w:rPr>
        <w:t>结肠癌或直肠癌患者推荐进行微卫星不稳定性（MSI）或错配修复（MMR）检测，MSI-H或dMMR患者推荐帕博利珠单抗、纳武利尤单抗、纳武利尤单抗+伊匹木单抗、多塔利单抗。MLH1缺失且存在BRAF V600E突变的绝大多数病例排除林奇综合征。但值得注意的是，大约1%的BRAF V600E突变（和MLH1缺失）的病例为林奇综合征；</w:t>
      </w:r>
      <w:r>
        <w:rPr>
          <w:rFonts w:hint="eastAsia" w:ascii="微软雅黑" w:hAnsi="微软雅黑" w:cs="微软雅黑"/>
          <w:color w:val="000000"/>
          <w:sz w:val="21"/>
          <w:szCs w:val="21"/>
        </w:rPr>
        <w:fldChar w:fldCharType="begin"/>
      </w:r>
      <w:r>
        <w:rPr>
          <w:rFonts w:hint="eastAsia" w:ascii="微软雅黑" w:hAnsi="微软雅黑" w:cs="微软雅黑"/>
          <w:color w:val="000000"/>
          <w:sz w:val="21"/>
          <w:szCs w:val="21"/>
        </w:rPr>
        <w:instrText xml:space="preserve"> = 2 \* ROMAN \* MERGEFORMAT </w:instrText>
      </w:r>
      <w:r>
        <w:rPr>
          <w:rFonts w:hint="eastAsia" w:ascii="微软雅黑" w:hAnsi="微软雅黑" w:cs="微软雅黑"/>
          <w:color w:val="000000"/>
          <w:sz w:val="21"/>
          <w:szCs w:val="21"/>
        </w:rPr>
        <w:fldChar w:fldCharType="separate"/>
      </w:r>
      <w:r>
        <w:rPr>
          <w:rFonts w:hint="eastAsia" w:ascii="微软雅黑" w:hAnsi="微软雅黑" w:cs="微软雅黑"/>
          <w:color w:val="000000"/>
          <w:sz w:val="21"/>
          <w:szCs w:val="21"/>
        </w:rPr>
        <w:t>II</w:t>
      </w:r>
      <w:r>
        <w:rPr>
          <w:rFonts w:hint="eastAsia" w:ascii="微软雅黑" w:hAnsi="微软雅黑" w:cs="微软雅黑"/>
          <w:color w:val="000000"/>
          <w:sz w:val="21"/>
          <w:szCs w:val="21"/>
        </w:rPr>
        <w:fldChar w:fldCharType="end"/>
      </w:r>
      <w:r>
        <w:rPr>
          <w:rFonts w:hint="eastAsia" w:ascii="微软雅黑" w:hAnsi="微软雅黑" w:cs="微软雅黑"/>
          <w:color w:val="000000"/>
          <w:sz w:val="21"/>
          <w:szCs w:val="21"/>
        </w:rPr>
        <w:t>期MSI-H的患者预后良好，可能不能从5-FU辅助治疗中获益。</w:t>
      </w:r>
    </w:p>
    <w:p w14:paraId="5DC27E2F">
      <w:pPr>
        <w:widowControl w:val="0"/>
        <w:adjustRightInd/>
        <w:spacing w:after="0"/>
        <w:jc w:val="both"/>
        <w:rPr>
          <w:rFonts w:ascii="微软雅黑" w:hAnsi="微软雅黑" w:cs="微软雅黑"/>
          <w:b/>
          <w:color w:val="00C4D8"/>
          <w:sz w:val="24"/>
          <w:szCs w:val="24"/>
        </w:rPr>
      </w:pPr>
      <w:r>
        <w:rPr>
          <w:rFonts w:hint="eastAsia" w:ascii="微软雅黑" w:hAnsi="微软雅黑" w:cs="微软雅黑"/>
          <w:b/>
          <w:color w:val="00C4D8"/>
          <w:sz w:val="24"/>
          <w:szCs w:val="24"/>
        </w:rPr>
        <w:t>结直肠癌CSCO指南（2022）</w:t>
      </w:r>
    </w:p>
    <w:p w14:paraId="0F8169D4">
      <w:pPr>
        <w:widowControl w:val="0"/>
        <w:numPr>
          <w:ilvl w:val="0"/>
          <w:numId w:val="3"/>
        </w:numPr>
        <w:adjustRightInd/>
        <w:spacing w:after="0"/>
        <w:jc w:val="both"/>
        <w:rPr>
          <w:rFonts w:ascii="微软雅黑" w:hAnsi="微软雅黑" w:cs="微软雅黑"/>
          <w:color w:val="000000"/>
          <w:sz w:val="21"/>
          <w:szCs w:val="21"/>
        </w:rPr>
      </w:pPr>
      <w:r>
        <w:rPr>
          <w:rFonts w:hint="eastAsia" w:ascii="微软雅黑" w:hAnsi="微软雅黑" w:cs="微软雅黑"/>
          <w:color w:val="000000"/>
          <w:sz w:val="21"/>
          <w:szCs w:val="21"/>
        </w:rPr>
        <w:t>潜在可切除组治疗（RAS和BRAF均野生型）：原发灶位于左侧结直肠的适合强烈治疗的患者Ⅰ级推荐化疗+西妥昔单抗（2A类），Ⅱ级推荐化疗±贝伐珠单抗（2A类）；原发灶位于右侧结肠的适合强烈治疗的患者Ⅰ级推荐化疗±贝伐珠单抗（2A类），Ⅱ级推荐化疗±西妥昔单抗（2B类），Ⅲ级推荐化疗+西妥昔单抗（2B类）；</w:t>
      </w:r>
    </w:p>
    <w:p w14:paraId="13027679">
      <w:pPr>
        <w:widowControl w:val="0"/>
        <w:numPr>
          <w:ilvl w:val="0"/>
          <w:numId w:val="3"/>
        </w:numPr>
        <w:adjustRightInd/>
        <w:spacing w:after="0"/>
        <w:jc w:val="both"/>
        <w:rPr>
          <w:rFonts w:ascii="微软雅黑" w:hAnsi="微软雅黑" w:cs="微软雅黑"/>
          <w:color w:val="000000"/>
          <w:sz w:val="21"/>
          <w:szCs w:val="21"/>
        </w:rPr>
      </w:pPr>
      <w:r>
        <w:rPr>
          <w:rFonts w:hint="eastAsia" w:ascii="微软雅黑" w:hAnsi="微软雅黑" w:cs="微软雅黑"/>
          <w:color w:val="000000"/>
          <w:sz w:val="21"/>
          <w:szCs w:val="21"/>
        </w:rPr>
        <w:t>潜在可切除组治疗（RAS或BRAF突变型）：适合强烈治疗的患者Ⅰ级推荐化疗±贝伐珠单抗（2A类）；</w:t>
      </w:r>
    </w:p>
    <w:p w14:paraId="5BFC1250">
      <w:pPr>
        <w:widowControl w:val="0"/>
        <w:numPr>
          <w:ilvl w:val="0"/>
          <w:numId w:val="3"/>
        </w:numPr>
        <w:adjustRightInd/>
        <w:spacing w:after="0"/>
        <w:jc w:val="both"/>
        <w:rPr>
          <w:rFonts w:ascii="微软雅黑" w:hAnsi="微软雅黑" w:cs="微软雅黑"/>
          <w:color w:val="000000"/>
          <w:sz w:val="21"/>
          <w:szCs w:val="21"/>
        </w:rPr>
      </w:pPr>
      <w:r>
        <w:rPr>
          <w:rFonts w:hint="eastAsia" w:ascii="微软雅黑" w:hAnsi="微软雅黑" w:cs="微软雅黑"/>
          <w:color w:val="000000"/>
          <w:sz w:val="21"/>
          <w:szCs w:val="21"/>
        </w:rPr>
        <w:t>MSI-H/dMMR的结直肠癌患者Ⅰ级推荐帕博利珠单抗（1A类）；一线未使用免疫检查点抑制剂，二线方案Ⅱ级推荐免疫检查点抑制剂（PD-1/PD-L1抑制剂）（2A类）；一线、二线未使用免疫检查点抑制剂，三线方案Ⅱ级推荐免疫检查点抑制剂（PD-1/PD-L1抑制剂）（2A类）；</w:t>
      </w:r>
    </w:p>
    <w:p w14:paraId="59E0C93E">
      <w:pPr>
        <w:widowControl w:val="0"/>
        <w:numPr>
          <w:ilvl w:val="0"/>
          <w:numId w:val="3"/>
        </w:numPr>
        <w:adjustRightInd/>
        <w:spacing w:after="0"/>
        <w:jc w:val="both"/>
        <w:rPr>
          <w:rFonts w:ascii="微软雅黑" w:hAnsi="微软雅黑" w:cs="微软雅黑"/>
          <w:color w:val="000000"/>
          <w:sz w:val="21"/>
          <w:szCs w:val="21"/>
        </w:rPr>
      </w:pPr>
      <w:r>
        <w:rPr>
          <w:rFonts w:hint="eastAsia" w:ascii="微软雅黑" w:hAnsi="微软雅黑" w:cs="微软雅黑"/>
          <w:color w:val="000000"/>
          <w:sz w:val="21"/>
          <w:szCs w:val="21"/>
        </w:rPr>
        <w:t>姑息治疗组一线方案（MSS或MSI-L/pMMR，RAS和BRAF均野生型）：原发灶位于左侧结直肠的适合强烈治疗的患者Ⅰ级推荐化疗±西妥昔单抗（1A类），Ⅱ级推荐化疗±贝伐珠单抗（1类）；原发灶位于右侧结肠的适合强烈治疗的患者Ⅰ级推荐两药化疗±贝伐珠单抗（1A类），Ⅱ级推荐三药化疗±贝伐珠单抗（1B类），化疗+西妥昔单抗（贝伐珠单抗有禁忌者）（2A类）；不适合强烈治疗的结直肠癌患者Ⅰ级推荐氟尿嘧啶类单药±贝伐珠单抗（1A类），Ⅱ级推荐西妥昔单抗单药（左半结直肠）（2B类），化疗±西妥昔单抗（2B类），化疗±贝伐珠单抗（2B类）；</w:t>
      </w:r>
    </w:p>
    <w:p w14:paraId="0714033C">
      <w:pPr>
        <w:widowControl w:val="0"/>
        <w:numPr>
          <w:ilvl w:val="0"/>
          <w:numId w:val="3"/>
        </w:numPr>
        <w:adjustRightInd/>
        <w:spacing w:after="0"/>
        <w:jc w:val="both"/>
        <w:rPr>
          <w:rFonts w:ascii="微软雅黑" w:hAnsi="微软雅黑" w:cs="微软雅黑"/>
          <w:color w:val="000000"/>
          <w:sz w:val="21"/>
          <w:szCs w:val="21"/>
        </w:rPr>
      </w:pPr>
      <w:r>
        <w:rPr>
          <w:rFonts w:hint="eastAsia" w:ascii="微软雅黑" w:hAnsi="微软雅黑" w:cs="微软雅黑"/>
          <w:color w:val="000000"/>
          <w:sz w:val="21"/>
          <w:szCs w:val="21"/>
        </w:rPr>
        <w:t>姑息治疗组一线方案（MSS或MSI-L/pMMR，RAS或BRAF突变型）：适合强烈治疗的结直肠癌患者推荐化疗±贝伐珠单抗（1类）；不适合强烈治疗的患者Ⅰ级推荐氟尿嘧啶类单药±贝伐珠单抗（1A类），Ⅱ级推荐减量的两药化疗±贝伐珠单抗（2B类）；</w:t>
      </w:r>
    </w:p>
    <w:p w14:paraId="0EFFC033">
      <w:pPr>
        <w:widowControl w:val="0"/>
        <w:numPr>
          <w:ilvl w:val="0"/>
          <w:numId w:val="3"/>
        </w:numPr>
        <w:adjustRightInd/>
        <w:spacing w:after="0"/>
        <w:jc w:val="both"/>
        <w:rPr>
          <w:rFonts w:ascii="微软雅黑" w:hAnsi="微软雅黑" w:cs="微软雅黑"/>
          <w:color w:val="000000"/>
          <w:sz w:val="21"/>
          <w:szCs w:val="21"/>
        </w:rPr>
      </w:pPr>
      <w:r>
        <w:rPr>
          <w:rFonts w:hint="eastAsia" w:ascii="微软雅黑" w:hAnsi="微软雅黑" w:cs="微软雅黑"/>
          <w:color w:val="000000"/>
          <w:sz w:val="21"/>
          <w:szCs w:val="21"/>
        </w:rPr>
        <w:t>姑息治疗组二线方案（MSS或MSI-L/pMMR，RAS和BRAF均野生型）：一线接受奥沙利铂治疗的结直肠癌患者二线方案Ⅰ级推荐化疗±西妥昔单抗/贝伐珠单抗（2A类），Ⅱ级推荐伊立替康±西妥昔单抗（2A类）、伊立替康+卡培他滨±贝伐珠单抗（1B类）；一线接受伊立替康治疗的结直肠癌患者二线方案Ⅰ级推荐推荐化疗±西妥昔单抗/贝伐珠单抗，Ⅱ级推荐伊立替康±西妥昔单抗；</w:t>
      </w:r>
    </w:p>
    <w:p w14:paraId="3801F3D9">
      <w:pPr>
        <w:widowControl w:val="0"/>
        <w:numPr>
          <w:ilvl w:val="0"/>
          <w:numId w:val="3"/>
        </w:numPr>
        <w:adjustRightInd/>
        <w:spacing w:after="0"/>
        <w:jc w:val="both"/>
        <w:rPr>
          <w:rFonts w:ascii="微软雅黑" w:hAnsi="微软雅黑" w:cs="微软雅黑"/>
          <w:color w:val="000000"/>
          <w:sz w:val="21"/>
          <w:szCs w:val="21"/>
        </w:rPr>
      </w:pPr>
      <w:r>
        <w:rPr>
          <w:rFonts w:hint="eastAsia" w:ascii="微软雅黑" w:hAnsi="微软雅黑" w:cs="微软雅黑"/>
          <w:color w:val="000000"/>
          <w:sz w:val="21"/>
          <w:szCs w:val="21"/>
        </w:rPr>
        <w:t>姑息治疗组二线方案（MSS或MSI-L/pMMR，RAS或BRAF突变型）：一线接受奥沙利铂治疗的结直肠癌患者二线方案Ⅰ级推荐化疗±贝伐珠单抗（1A类），Ⅱ级推荐伊立替康±贝伐珠单抗（2A类）、伊立替康＋卡培他滨±贝伐珠单抗（1B类），Ⅲ级推荐伊立替康+西妥昔单抗+维莫非尼（RAS野生型/BRAF V600E突变）（2B类）、BRAF抑制剂+西妥昔单抗±MEK抑制剂（RAS野生型/BRAF V600E突变）（2B类）；一线接受伊立替康治疗（MSS或MSI-L/pMMR，RAS或BRAF突变型）的结直肠癌患者二线方案Ⅰ级推荐推荐化疗±贝伐珠单抗（1A类），Ⅲ级推荐BRAF抑制剂+西妥昔单抗±MEK抑制剂（RAS野生型/BRAF V600E突变）（2B类）；</w:t>
      </w:r>
    </w:p>
    <w:p w14:paraId="61EAE631">
      <w:pPr>
        <w:widowControl w:val="0"/>
        <w:numPr>
          <w:ilvl w:val="0"/>
          <w:numId w:val="3"/>
        </w:numPr>
        <w:adjustRightInd/>
        <w:spacing w:after="0"/>
        <w:jc w:val="both"/>
        <w:rPr>
          <w:rFonts w:ascii="微软雅黑" w:hAnsi="微软雅黑" w:cs="微软雅黑"/>
          <w:color w:val="000000"/>
          <w:sz w:val="21"/>
          <w:szCs w:val="21"/>
        </w:rPr>
      </w:pPr>
      <w:r>
        <w:rPr>
          <w:rFonts w:hint="eastAsia" w:ascii="微软雅黑" w:hAnsi="微软雅黑" w:cs="微软雅黑"/>
          <w:color w:val="000000"/>
          <w:sz w:val="21"/>
          <w:szCs w:val="21"/>
        </w:rPr>
        <w:t>姑息治疗组二线方案（MSS或MSI-L/pMMR）：一线未接受奥沙利铂或伊立替康治疗的结直肠癌患者二线方案Ⅰ级推荐化疗±西妥昔单抗/贝伐珠单抗（2A类），Ⅱ级推荐伊立替康±西妥昔单抗/贝伐珠单抗（2A类）、伊立替康+卡培他滨±贝伐珠单抗（1B类），Ⅲ级推荐伊立替康+西妥昔单抗+维莫非尼（RAS野生型/BRAF V600E突变）（2B类）、BRAF抑制剂+西妥昔单抗±MEK抑制剂（RAS野生型/BRAF V600E突变）（2B类）；</w:t>
      </w:r>
    </w:p>
    <w:p w14:paraId="4FE930E0">
      <w:pPr>
        <w:widowControl w:val="0"/>
        <w:numPr>
          <w:ilvl w:val="0"/>
          <w:numId w:val="3"/>
        </w:numPr>
        <w:adjustRightInd/>
        <w:spacing w:after="0"/>
        <w:jc w:val="both"/>
        <w:rPr>
          <w:rFonts w:ascii="微软雅黑" w:hAnsi="微软雅黑" w:cs="微软雅黑"/>
          <w:color w:val="000000"/>
          <w:sz w:val="21"/>
          <w:szCs w:val="21"/>
        </w:rPr>
      </w:pPr>
      <w:r>
        <w:rPr>
          <w:rFonts w:hint="eastAsia" w:ascii="微软雅黑" w:hAnsi="微软雅黑" w:cs="微软雅黑"/>
          <w:color w:val="000000"/>
          <w:sz w:val="21"/>
          <w:szCs w:val="21"/>
        </w:rPr>
        <w:t>姑息治疗组三线方案（MSS或MSI-L/pMMR，RAS和BRAF均野生型）：已接受过奥沙利铂和伊立替康治疗的结直肠癌患者三线方案Ⅰ级推荐西妥昔单抗±伊立替康（之前未行西妥昔单抗治疗）（1A类）、瑞戈非尼（1A类）、呋喹替尼（1A类），Ⅲ级推荐抗HER2治疗（HER2扩增）（2B类）、曲氟尿苷替匹嘧啶＋贝伐珠单抗（2B类）、西妥昔单抗±伊立替康（之前接受过西妥昔单抗治疗）（3类）；</w:t>
      </w:r>
    </w:p>
    <w:p w14:paraId="0BDF3325">
      <w:pPr>
        <w:numPr>
          <w:ilvl w:val="0"/>
          <w:numId w:val="3"/>
        </w:numPr>
        <w:adjustRightInd/>
        <w:snapToGrid/>
        <w:spacing w:after="0"/>
        <w:jc w:val="both"/>
        <w:rPr>
          <w:rFonts w:ascii="微软雅黑" w:hAnsi="微软雅黑" w:cs="微软雅黑"/>
          <w:b/>
          <w:color w:val="00C4D8"/>
          <w:sz w:val="24"/>
          <w:szCs w:val="24"/>
        </w:rPr>
      </w:pPr>
      <w:r>
        <w:rPr>
          <w:rFonts w:hint="eastAsia" w:ascii="微软雅黑" w:hAnsi="微软雅黑" w:cs="微软雅黑"/>
          <w:color w:val="000000"/>
          <w:sz w:val="21"/>
          <w:szCs w:val="21"/>
        </w:rPr>
        <w:t>姑息治疗组三线方案（MSS或MSI-L/pMMR，RAS或BRAF突变型）：已接受过奥沙利铂和伊立替康治疗的结直肠癌患者三线方案Ⅰ级推荐瑞戈非尼（1A类）、呋喹替尼（1A类），Ⅲ级推荐伊立替康+西妥昔单抗+维莫非尼（RAS野生型/BRAF V600E突变）（2B类）、BRAF抑制剂+西妥昔单抗±MEK抑制剂（RAS野生型/BRAF V600E突变）（2B类）、曲氟尿苷替匹嘧啶＋贝伐珠单抗（2B类）。</w:t>
      </w:r>
    </w:p>
    <w:p w14:paraId="57B72DFF">
      <w:pPr>
        <w:numPr>
          <w:ilvl w:val="255"/>
          <w:numId w:val="0"/>
        </w:numPr>
        <w:adjustRightInd/>
        <w:snapToGrid/>
        <w:spacing w:after="0" w:line="228" w:lineRule="auto"/>
        <w:jc w:val="both"/>
        <w:rPr>
          <w:rFonts w:ascii="微软雅黑" w:hAnsi="微软雅黑" w:cs="微软雅黑"/>
          <w:color w:val="00C4D8"/>
          <w:sz w:val="21"/>
          <w:szCs w:val="21"/>
        </w:rPr>
      </w:pPr>
    </w:p>
    <w:p w14:paraId="1E4D6F0B">
      <w:pPr>
        <w:rPr>
          <w:rFonts w:ascii="微软雅黑" w:hAnsi="微软雅黑" w:cs="微软雅黑"/>
          <w:sz w:val="21"/>
          <w:szCs w:val="21"/>
        </w:rPr>
      </w:pPr>
      <w:r>
        <w:rPr>
          <w:rFonts w:hint="eastAsia" w:ascii="微软雅黑" w:hAnsi="微软雅黑" w:cs="微软雅黑"/>
          <w:sz w:val="21"/>
          <w:szCs w:val="21"/>
        </w:rPr>
        <w:br w:type="page"/>
      </w:r>
    </w:p>
    <w:p w14:paraId="33D7048A">
      <w:pPr>
        <w:numPr>
          <w:ilvl w:val="255"/>
          <w:numId w:val="0"/>
        </w:numPr>
        <w:adjustRightInd/>
        <w:snapToGrid/>
        <w:spacing w:after="0" w:line="220" w:lineRule="atLeast"/>
        <w:outlineLvl w:val="0"/>
        <w:rPr>
          <w:rFonts w:ascii="微软雅黑" w:hAnsi="微软雅黑"/>
          <w:b/>
          <w:color w:val="00C4D8"/>
          <w:sz w:val="32"/>
          <w:szCs w:val="32"/>
        </w:rPr>
      </w:pPr>
      <w:bookmarkStart w:id="104" w:name="_Toc31097"/>
      <w:bookmarkStart w:id="105" w:name="_Toc31274"/>
      <w:bookmarkStart w:id="106" w:name="_Toc28714"/>
      <w:bookmarkStart w:id="107" w:name="_Toc6327"/>
      <w:bookmarkStart w:id="108" w:name="肿瘤突变负荷（TMB）水平提示"/>
      <w:bookmarkStart w:id="109" w:name="肿瘤突变负荷（TMB）水平提示杨传敏"/>
      <w:bookmarkStart w:id="110" w:name="_Toc21388"/>
      <w:bookmarkStart w:id="111" w:name="_Toc10173"/>
      <w:bookmarkStart w:id="112" w:name="_Toc11092"/>
      <w:bookmarkStart w:id="113" w:name="_Toc9198"/>
      <w:bookmarkStart w:id="114" w:name="_Toc22245"/>
      <w:bookmarkStart w:id="115" w:name="_Toc18298"/>
      <w:bookmarkStart w:id="116" w:name="_Toc28845"/>
      <w:bookmarkStart w:id="117" w:name="_Toc1459"/>
      <w:bookmarkStart w:id="118" w:name="_Toc29653"/>
      <w:bookmarkStart w:id="119" w:name="_Toc5886"/>
      <w:bookmarkStart w:id="120" w:name="_Toc5877"/>
      <w:r>
        <w:rPr>
          <w:rFonts w:hint="eastAsia" w:ascii="微软雅黑" w:hAnsi="微软雅黑"/>
          <w:b/>
          <w:color w:val="00C4D8"/>
          <w:sz w:val="32"/>
          <w:szCs w:val="32"/>
        </w:rPr>
        <w:t>3. 免疫治疗疗效评估</w:t>
      </w:r>
      <w:bookmarkEnd w:id="104"/>
    </w:p>
    <w:p w14:paraId="29403A30">
      <w:pPr>
        <w:adjustRightInd/>
        <w:snapToGrid/>
        <w:spacing w:before="200" w:line="220" w:lineRule="atLeast"/>
        <w:rPr>
          <w:rFonts w:ascii="微软雅黑" w:hAnsi="微软雅黑"/>
          <w:b/>
          <w:color w:val="00C4D8"/>
          <w:sz w:val="28"/>
          <w:szCs w:val="28"/>
        </w:rPr>
      </w:pPr>
      <w:bookmarkStart w:id="121" w:name="OLE_LINK4"/>
      <w:r>
        <w:rPr>
          <w:rFonts w:hint="eastAsia" w:ascii="微软雅黑" w:hAnsi="微软雅黑"/>
          <w:b/>
          <w:color w:val="00C4D8"/>
          <w:sz w:val="28"/>
          <w:szCs w:val="28"/>
        </w:rPr>
        <w:t>3.1 肿瘤突变负荷（TMB）水平提示</w:t>
      </w:r>
      <w:bookmarkEnd w:id="105"/>
      <w:bookmarkEnd w:id="106"/>
      <w:bookmarkEnd w:id="107"/>
    </w:p>
    <w:bookmarkEnd w:id="108"/>
    <w:bookmarkEnd w:id="109"/>
    <w:bookmarkEnd w:id="121"/>
    <w:p w14:paraId="7AC94F57">
      <w:pPr>
        <w:numPr>
          <w:ilvl w:val="255"/>
          <w:numId w:val="0"/>
        </w:numPr>
        <w:spacing w:after="0" w:line="236" w:lineRule="auto"/>
        <w:ind w:firstLine="420" w:firstLineChars="200"/>
        <w:jc w:val="both"/>
        <w:rPr>
          <w:rFonts w:ascii="微软雅黑" w:hAnsi="微软雅黑" w:cs="微软雅黑"/>
          <w:sz w:val="21"/>
          <w:szCs w:val="21"/>
        </w:rPr>
      </w:pPr>
      <w:bookmarkStart w:id="122" w:name="OLE_LINK29"/>
      <w:r>
        <w:rPr>
          <w:rFonts w:hint="eastAsia" w:ascii="微软雅黑" w:hAnsi="微软雅黑" w:cs="Arial Unicode MS"/>
          <w:b/>
          <w:bCs/>
          <w:kern w:val="2"/>
          <w:sz w:val="21"/>
          <w:szCs w:val="21"/>
        </w:rPr>
        <w:t>在本次检测范围内，该样本</w:t>
      </w:r>
      <w:r>
        <w:rPr>
          <w:rFonts w:hint="eastAsia" w:ascii="微软雅黑" w:hAnsi="微软雅黑" w:cs="微软雅黑"/>
          <w:b/>
          <w:bCs/>
          <w:sz w:val="21"/>
          <w:szCs w:val="21"/>
        </w:rPr>
        <w:t>肿瘤突变负荷为</w:t>
      </w:r>
      <w:commentRangeStart w:id="21"/>
      <w:r>
        <w:rPr>
          <w:rFonts w:hint="eastAsia" w:ascii="微软雅黑" w:hAnsi="微软雅黑" w:cs="微软雅黑"/>
          <w:b/>
          <w:bCs/>
          <w:sz w:val="21"/>
          <w:szCs w:val="21"/>
          <w:lang w:val="en-US" w:eastAsia="zh-CN"/>
        </w:rPr>
        <w:t>6.5</w:t>
      </w:r>
      <w:commentRangeEnd w:id="21"/>
      <w:r>
        <w:commentReference w:id="21"/>
      </w:r>
      <w:r>
        <w:rPr>
          <w:rFonts w:hint="eastAsia" w:ascii="微软雅黑" w:hAnsi="微软雅黑" w:cs="微软雅黑"/>
          <w:b/>
          <w:bCs/>
          <w:sz w:val="21"/>
          <w:szCs w:val="21"/>
          <w:lang w:val="en-US" w:eastAsia="zh-CN"/>
        </w:rPr>
        <w:t xml:space="preserve"> </w:t>
      </w:r>
      <w:r>
        <w:rPr>
          <w:rFonts w:hint="eastAsia" w:ascii="微软雅黑" w:hAnsi="微软雅黑" w:cs="微软雅黑"/>
          <w:b/>
          <w:bCs/>
          <w:sz w:val="21"/>
          <w:szCs w:val="21"/>
        </w:rPr>
        <w:t>mutations/Mb，TMB水平较</w:t>
      </w:r>
      <w:r>
        <w:rPr>
          <w:rFonts w:hint="eastAsia" w:ascii="微软雅黑" w:hAnsi="微软雅黑" w:cs="微软雅黑"/>
          <w:b/>
          <w:bCs/>
          <w:sz w:val="21"/>
          <w:szCs w:val="21"/>
          <w:lang w:val="en-US" w:eastAsia="zh-CN"/>
        </w:rPr>
        <w:t>低</w:t>
      </w:r>
      <w:r>
        <w:rPr>
          <w:rFonts w:hint="eastAsia" w:ascii="微软雅黑" w:hAnsi="微软雅黑" w:cs="微软雅黑"/>
          <w:b/>
          <w:bCs/>
          <w:sz w:val="21"/>
          <w:szCs w:val="21"/>
        </w:rPr>
        <w:t>。</w:t>
      </w:r>
      <w:bookmarkEnd w:id="122"/>
    </w:p>
    <w:p w14:paraId="18235869">
      <w:pPr>
        <w:numPr>
          <w:ilvl w:val="255"/>
          <w:numId w:val="0"/>
        </w:numPr>
        <w:spacing w:after="120" w:afterLines="50" w:line="236" w:lineRule="auto"/>
        <w:ind w:firstLine="420" w:firstLineChars="200"/>
        <w:jc w:val="both"/>
        <w:rPr>
          <w:rFonts w:ascii="微软雅黑" w:hAnsi="微软雅黑" w:cs="微软雅黑"/>
          <w:sz w:val="21"/>
          <w:szCs w:val="21"/>
        </w:rPr>
      </w:pPr>
      <w:r>
        <w:rPr>
          <w:rFonts w:hint="eastAsia" w:ascii="微软雅黑" w:hAnsi="微软雅黑" w:cs="微软雅黑"/>
          <w:sz w:val="21"/>
          <w:szCs w:val="21"/>
        </w:rPr>
        <w:t>肿瘤突变负荷（Tumor Mutation Burden，TMB）即肿瘤基因组去除胚系突变后的体细胞突变数量，一般以非同义突变（导致氨基酸改变的核苷酸变异）总数量或每1Mb（即1百万个碱基对）的突变数量来表示。</w:t>
      </w:r>
      <w:r>
        <w:rPr>
          <w:rFonts w:hint="eastAsia" w:ascii="微软雅黑" w:hAnsi="微软雅黑" w:cs="Arial Unicode MS"/>
          <w:kern w:val="2"/>
          <w:sz w:val="21"/>
          <w:szCs w:val="21"/>
        </w:rPr>
        <w:t>研究表明，具有较高水平TMB的肿瘤细胞更容易被免疫系统识别，同时在多项临床研究中已证实，TMB水平较高的肿瘤对免疫检查点抑制剂有更强的免疫应答效果</w:t>
      </w:r>
      <w:r>
        <w:rPr>
          <w:rFonts w:hint="eastAsia" w:ascii="微软雅黑" w:hAnsi="微软雅黑" w:cs="Arial Unicode MS"/>
          <w:kern w:val="2"/>
          <w:sz w:val="21"/>
          <w:szCs w:val="21"/>
          <w:vertAlign w:val="superscript"/>
        </w:rPr>
        <w:t>[1]</w:t>
      </w:r>
      <w:r>
        <w:rPr>
          <w:rFonts w:hint="eastAsia" w:ascii="微软雅黑" w:hAnsi="微软雅黑" w:cs="Arial Unicode MS"/>
          <w:kern w:val="2"/>
          <w:sz w:val="21"/>
          <w:szCs w:val="21"/>
        </w:rPr>
        <w:t>。</w:t>
      </w:r>
      <w:r>
        <w:rPr>
          <w:rFonts w:hint="eastAsia" w:ascii="微软雅黑" w:hAnsi="微软雅黑" w:cs="微软雅黑"/>
          <w:sz w:val="21"/>
          <w:szCs w:val="21"/>
        </w:rPr>
        <w:t>2020年6月，FDA批准帕博利珠单抗用于治疗组织肿瘤突变负荷高且既往治疗后病情进展且无满意替代治疗方案的不可切除或转移性成年和小儿实体瘤患者</w:t>
      </w:r>
      <w:r>
        <w:rPr>
          <w:rFonts w:hint="eastAsia" w:ascii="微软雅黑" w:hAnsi="微软雅黑" w:cs="微软雅黑"/>
          <w:sz w:val="21"/>
          <w:szCs w:val="21"/>
          <w:vertAlign w:val="superscript"/>
        </w:rPr>
        <w:t>[2]</w:t>
      </w:r>
      <w:r>
        <w:rPr>
          <w:rFonts w:hint="eastAsia" w:ascii="微软雅黑" w:hAnsi="微软雅黑" w:cs="微软雅黑"/>
          <w:sz w:val="21"/>
          <w:szCs w:val="21"/>
        </w:rPr>
        <w:t xml:space="preserve">。 </w:t>
      </w:r>
    </w:p>
    <w:p w14:paraId="1AAEAA90">
      <w:pPr>
        <w:numPr>
          <w:ilvl w:val="255"/>
          <w:numId w:val="0"/>
        </w:numPr>
        <w:spacing w:after="120" w:afterLines="50" w:line="236" w:lineRule="auto"/>
        <w:ind w:firstLine="420" w:firstLineChars="200"/>
        <w:jc w:val="both"/>
        <w:rPr>
          <w:rFonts w:ascii="微软雅黑" w:hAnsi="微软雅黑" w:cs="Arial Unicode MS"/>
          <w:color w:val="FF0000"/>
          <w:kern w:val="2"/>
          <w:sz w:val="21"/>
          <w:szCs w:val="21"/>
        </w:rPr>
      </w:pPr>
      <w:r>
        <w:rPr>
          <w:rFonts w:hint="eastAsia" w:ascii="微软雅黑" w:hAnsi="微软雅黑" w:cs="微软雅黑"/>
          <w:sz w:val="21"/>
          <w:szCs w:val="21"/>
        </w:rPr>
        <w:t>常用的免疫抑制剂有：帕博利珠单抗、纳武利尤单抗、阿替利珠单抗、度伐利尤单抗、替雷利珠单抗、恩沃利单抗等。</w:t>
      </w:r>
    </w:p>
    <w:p w14:paraId="704DD9D8">
      <w:pPr>
        <w:numPr>
          <w:ilvl w:val="255"/>
          <w:numId w:val="0"/>
        </w:numPr>
        <w:spacing w:after="0" w:line="236" w:lineRule="auto"/>
        <w:jc w:val="both"/>
      </w:pPr>
      <w:r>
        <w:drawing>
          <wp:inline distT="0" distB="0" distL="114300" distR="114300">
            <wp:extent cx="5267960" cy="2298065"/>
            <wp:effectExtent l="0" t="0" r="8890" b="6985"/>
            <wp:docPr id="102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 name="图片 2"/>
                    <pic:cNvPicPr>
                      <a:picLocks noChangeAspect="1"/>
                    </pic:cNvPicPr>
                  </pic:nvPicPr>
                  <pic:blipFill>
                    <a:blip r:embed="rId21"/>
                    <a:stretch>
                      <a:fillRect/>
                    </a:stretch>
                  </pic:blipFill>
                  <pic:spPr>
                    <a:xfrm>
                      <a:off x="0" y="0"/>
                      <a:ext cx="5267960" cy="2298065"/>
                    </a:xfrm>
                    <a:prstGeom prst="rect">
                      <a:avLst/>
                    </a:prstGeom>
                    <a:noFill/>
                    <a:ln>
                      <a:noFill/>
                    </a:ln>
                  </pic:spPr>
                </pic:pic>
              </a:graphicData>
            </a:graphic>
          </wp:inline>
        </w:drawing>
      </w:r>
    </w:p>
    <w:p w14:paraId="5604AC2F">
      <w:pPr>
        <w:numPr>
          <w:ilvl w:val="255"/>
          <w:numId w:val="0"/>
        </w:numPr>
        <w:spacing w:after="0" w:line="236" w:lineRule="auto"/>
        <w:ind w:firstLine="440" w:firstLineChars="200"/>
        <w:jc w:val="center"/>
        <w:rPr>
          <w:rFonts w:ascii="微软雅黑" w:hAnsi="微软雅黑" w:cs="微软雅黑"/>
          <w:sz w:val="21"/>
          <w:szCs w:val="21"/>
        </w:rPr>
      </w:pPr>
      <w:r>
        <w:rPr>
          <w:rFonts w:hint="eastAsia" w:ascii="微软雅黑" w:hAnsi="微软雅黑" w:cs="微软雅黑"/>
        </w:rPr>
        <w:t>图1  不同癌种高/低</w:t>
      </w:r>
      <w:r>
        <w:rPr>
          <w:rFonts w:hint="eastAsia" w:ascii="微软雅黑" w:hAnsi="微软雅黑" w:cs="微软雅黑"/>
          <w:sz w:val="21"/>
          <w:szCs w:val="21"/>
        </w:rPr>
        <w:t>TMB与抗PD-1/PD-L1治疗的客观反应率</w:t>
      </w:r>
      <w:r>
        <w:rPr>
          <w:rFonts w:hint="eastAsia" w:ascii="微软雅黑" w:hAnsi="微软雅黑" w:cs="微软雅黑"/>
          <w:sz w:val="21"/>
          <w:szCs w:val="21"/>
          <w:vertAlign w:val="superscript"/>
        </w:rPr>
        <w:t>[2]</w:t>
      </w:r>
    </w:p>
    <w:p w14:paraId="5B36C188">
      <w:pPr>
        <w:numPr>
          <w:ilvl w:val="255"/>
          <w:numId w:val="0"/>
        </w:numPr>
        <w:spacing w:after="0" w:line="236" w:lineRule="auto"/>
        <w:jc w:val="both"/>
        <w:rPr>
          <w:rFonts w:ascii="微软雅黑" w:hAnsi="微软雅黑" w:cs="Arial Unicode MS"/>
          <w:b/>
          <w:bCs/>
          <w:kern w:val="2"/>
          <w:sz w:val="20"/>
          <w:szCs w:val="20"/>
        </w:rPr>
      </w:pPr>
      <w:r>
        <w:rPr>
          <w:rFonts w:hint="eastAsia" w:ascii="微软雅黑" w:hAnsi="微软雅黑" w:cs="Arial Unicode MS"/>
          <w:b/>
          <w:bCs/>
          <w:kern w:val="2"/>
          <w:sz w:val="20"/>
          <w:szCs w:val="20"/>
        </w:rPr>
        <w:t>说明：</w:t>
      </w:r>
    </w:p>
    <w:p w14:paraId="745BEBF8">
      <w:pPr>
        <w:adjustRightInd/>
        <w:spacing w:after="0" w:line="220" w:lineRule="atLeast"/>
        <w:ind w:firstLine="400" w:firstLineChars="200"/>
        <w:jc w:val="both"/>
        <w:rPr>
          <w:rFonts w:ascii="微软雅黑" w:hAnsi="微软雅黑" w:cs="微软雅黑"/>
          <w:sz w:val="20"/>
          <w:szCs w:val="20"/>
        </w:rPr>
      </w:pPr>
      <w:r>
        <w:rPr>
          <w:rFonts w:hint="eastAsia" w:ascii="微软雅黑" w:hAnsi="微软雅黑" w:cs="微软雅黑"/>
          <w:sz w:val="20"/>
          <w:szCs w:val="20"/>
        </w:rPr>
        <w:t>由于 TMB 的计算方式与检测的靶向捕获技术类型等因素相关，且具体阈值的划定需要临床试验提供依据。FoundationOne CDx (324 个基因) TMB 研究表明，对于组织样本，TMB≥10 mut/Mb 为高突变负荷 (仅供参考) 。而对于血液样本，POPLAR 和 OAK 研究表明，bTMB（血液肿瘤突变负荷）≥16 或可成为阿替利珠单抗治疗晚期非小细胞肺癌的生物标记物（仅供参考）。</w:t>
      </w:r>
    </w:p>
    <w:p w14:paraId="23D66E85">
      <w:pPr>
        <w:adjustRightInd/>
        <w:spacing w:after="0" w:line="220" w:lineRule="atLeast"/>
        <w:ind w:firstLine="400" w:firstLineChars="200"/>
        <w:jc w:val="both"/>
        <w:rPr>
          <w:rFonts w:ascii="微软雅黑" w:hAnsi="微软雅黑" w:cs="微软雅黑"/>
          <w:sz w:val="20"/>
          <w:szCs w:val="20"/>
        </w:rPr>
      </w:pPr>
    </w:p>
    <w:p w14:paraId="5D0AEBC9">
      <w:pPr>
        <w:pStyle w:val="14"/>
        <w:widowControl w:val="0"/>
        <w:autoSpaceDE w:val="0"/>
        <w:autoSpaceDN w:val="0"/>
        <w:snapToGrid/>
        <w:spacing w:beforeAutospacing="0" w:afterAutospacing="0"/>
        <w:ind w:right="-51"/>
        <w:jc w:val="both"/>
        <w:rPr>
          <w:rFonts w:ascii="微软雅黑" w:hAnsi="微软雅黑" w:cs="LPJNJT+Arial Unicode MS"/>
          <w:b/>
          <w:color w:val="000000"/>
          <w:sz w:val="21"/>
          <w:szCs w:val="21"/>
          <w:lang w:bidi="ar"/>
        </w:rPr>
      </w:pPr>
      <w:r>
        <w:rPr>
          <w:rFonts w:hint="eastAsia" w:ascii="微软雅黑" w:hAnsi="微软雅黑" w:cs="LPJNJT+Arial Unicode MS"/>
          <w:b/>
          <w:color w:val="000000"/>
          <w:sz w:val="21"/>
          <w:szCs w:val="21"/>
          <w:lang w:bidi="ar"/>
        </w:rPr>
        <w:t>参考文献：</w:t>
      </w:r>
    </w:p>
    <w:p w14:paraId="7D737292">
      <w:pPr>
        <w:pStyle w:val="14"/>
        <w:widowControl w:val="0"/>
        <w:numPr>
          <w:ilvl w:val="0"/>
          <w:numId w:val="4"/>
        </w:numPr>
        <w:autoSpaceDE w:val="0"/>
        <w:autoSpaceDN w:val="0"/>
        <w:snapToGrid/>
        <w:spacing w:beforeAutospacing="0" w:afterAutospacing="0"/>
        <w:ind w:right="-51"/>
        <w:jc w:val="both"/>
        <w:rPr>
          <w:rFonts w:ascii="微软雅黑" w:hAnsi="微软雅黑" w:cs="LPJNJT+Arial Unicode MS"/>
          <w:color w:val="000000"/>
          <w:sz w:val="16"/>
          <w:szCs w:val="16"/>
          <w:lang w:bidi="ar"/>
        </w:rPr>
      </w:pPr>
      <w:r>
        <w:rPr>
          <w:rFonts w:hint="eastAsia" w:ascii="微软雅黑" w:hAnsi="微软雅黑" w:cs="LPJNJT+Arial Unicode MS"/>
          <w:color w:val="000000"/>
          <w:sz w:val="16"/>
          <w:szCs w:val="16"/>
          <w:lang w:bidi="ar"/>
        </w:rPr>
        <w:t>Yarchoan M , Hopkins A, et al. Tumor Mutational Burden and Response Rate to PD-1 Inhibition[J]. New England Journal of Medicine, 2017, 377(25): 2500-2501.</w:t>
      </w:r>
    </w:p>
    <w:p w14:paraId="4EC1A39A">
      <w:pPr>
        <w:pStyle w:val="14"/>
        <w:widowControl w:val="0"/>
        <w:numPr>
          <w:ilvl w:val="0"/>
          <w:numId w:val="4"/>
        </w:numPr>
        <w:autoSpaceDE w:val="0"/>
        <w:autoSpaceDN w:val="0"/>
        <w:snapToGrid/>
        <w:spacing w:beforeAutospacing="0" w:afterAutospacing="0"/>
        <w:ind w:right="-51"/>
        <w:jc w:val="both"/>
        <w:rPr>
          <w:rFonts w:ascii="微软雅黑" w:hAnsi="微软雅黑" w:cs="LPJNJT+Arial Unicode MS"/>
          <w:color w:val="000000"/>
          <w:sz w:val="16"/>
          <w:szCs w:val="16"/>
          <w:lang w:bidi="ar"/>
        </w:rPr>
      </w:pPr>
      <w:r>
        <w:rPr>
          <w:rFonts w:hint="eastAsia" w:ascii="微软雅黑" w:hAnsi="微软雅黑" w:cs="LPJNJT+Arial Unicode MS"/>
          <w:color w:val="000000"/>
          <w:sz w:val="16"/>
          <w:szCs w:val="16"/>
          <w:lang w:bidi="ar"/>
        </w:rPr>
        <w:t xml:space="preserve">Marabelle A, Fakih M, et al. Association of tumour mutational burden with outcomes in patients with advanced solid tumours treated with pembrolizumab: prospective biomarker analysis of the multicohort, open-label, phase 2 KEYNOTE-158 study. Lancet Oncol. 2020 Oct;21(10):1353-1365. </w:t>
      </w:r>
    </w:p>
    <w:p w14:paraId="3B0B4B45">
      <w:pPr>
        <w:adjustRightInd/>
        <w:snapToGrid/>
        <w:spacing w:after="0" w:line="288" w:lineRule="auto"/>
        <w:jc w:val="both"/>
        <w:rPr>
          <w:rFonts w:ascii="微软雅黑" w:hAnsi="微软雅黑" w:cs="LPJNJT+Arial Unicode MS"/>
          <w:sz w:val="18"/>
          <w:szCs w:val="18"/>
        </w:rPr>
      </w:pPr>
      <w:r>
        <w:rPr>
          <w:rFonts w:hint="eastAsia" w:ascii="微软雅黑" w:hAnsi="微软雅黑" w:cs="微软雅黑"/>
          <w:sz w:val="21"/>
          <w:szCs w:val="21"/>
        </w:rPr>
        <w:br w:type="page"/>
      </w:r>
    </w:p>
    <w:bookmarkEnd w:id="110"/>
    <w:bookmarkEnd w:id="111"/>
    <w:bookmarkEnd w:id="112"/>
    <w:bookmarkEnd w:id="113"/>
    <w:bookmarkEnd w:id="114"/>
    <w:bookmarkEnd w:id="115"/>
    <w:bookmarkEnd w:id="116"/>
    <w:bookmarkEnd w:id="117"/>
    <w:bookmarkEnd w:id="118"/>
    <w:p w14:paraId="11D23B54">
      <w:pPr>
        <w:rPr>
          <w:rFonts w:ascii="微软雅黑" w:hAnsi="微软雅黑"/>
          <w:b/>
          <w:color w:val="00C4D8"/>
          <w:sz w:val="28"/>
          <w:szCs w:val="28"/>
        </w:rPr>
      </w:pPr>
      <w:bookmarkStart w:id="123" w:name="_Toc22528"/>
      <w:bookmarkStart w:id="124" w:name="_Toc18750"/>
      <w:bookmarkStart w:id="125" w:name="_Toc27001"/>
      <w:bookmarkStart w:id="126" w:name="_Toc25168"/>
      <w:bookmarkStart w:id="127" w:name="_Toc10847"/>
      <w:bookmarkStart w:id="128" w:name="_Toc21245"/>
      <w:bookmarkStart w:id="129" w:name="_Toc9267"/>
      <w:bookmarkStart w:id="130" w:name="_Toc11842"/>
      <w:bookmarkStart w:id="131" w:name="_Toc11318"/>
      <w:bookmarkStart w:id="132" w:name="_Toc9573"/>
      <w:bookmarkStart w:id="133" w:name="化疗药物用药提示"/>
      <w:r>
        <w:rPr>
          <w:rFonts w:hint="eastAsia" w:ascii="微软雅黑" w:hAnsi="微软雅黑"/>
          <w:b/>
          <w:color w:val="00C4D8"/>
          <w:sz w:val="28"/>
          <w:szCs w:val="28"/>
        </w:rPr>
        <w:t>3.2微卫星不稳定性（MSI）检测结果</w:t>
      </w:r>
    </w:p>
    <w:p w14:paraId="14384A29">
      <w:pPr>
        <w:spacing w:after="0" w:line="288" w:lineRule="auto"/>
        <w:ind w:firstLine="420" w:firstLineChars="200"/>
        <w:rPr>
          <w:rFonts w:ascii="微软雅黑" w:hAnsi="微软雅黑" w:cs="LPJNJT+Arial Unicode MS"/>
          <w:color w:val="000000"/>
          <w:sz w:val="21"/>
          <w:szCs w:val="21"/>
          <w:u w:val="single"/>
        </w:rPr>
      </w:pPr>
      <w:r>
        <w:rPr>
          <w:rFonts w:hint="eastAsia" w:ascii="微软雅黑" w:hAnsi="微软雅黑" w:cs="LPJNJT+Arial Unicode MS"/>
          <w:color w:val="000000"/>
          <w:sz w:val="21"/>
          <w:szCs w:val="21"/>
        </w:rPr>
        <w:t>依据本次检测结果，</w:t>
      </w:r>
      <w:r>
        <w:rPr>
          <w:rFonts w:hint="eastAsia" w:ascii="微软雅黑" w:hAnsi="微软雅黑" w:cs="LPJNJT+Arial Unicode MS"/>
          <w:b/>
          <w:color w:val="000000"/>
          <w:sz w:val="21"/>
          <w:szCs w:val="21"/>
        </w:rPr>
        <w:t>该肿瘤样本为</w:t>
      </w:r>
      <w:r>
        <w:rPr>
          <w:rFonts w:hint="eastAsia" w:ascii="微软雅黑" w:hAnsi="微软雅黑" w:cs="LPJNJT+Arial Unicode MS"/>
          <w:b/>
          <w:color w:val="000000"/>
          <w:sz w:val="21"/>
          <w:szCs w:val="21"/>
          <w:u w:val="single"/>
        </w:rPr>
        <w:t xml:space="preserve"> </w:t>
      </w:r>
      <w:commentRangeStart w:id="22"/>
      <w:r>
        <w:rPr>
          <w:rFonts w:hint="eastAsia" w:ascii="微软雅黑" w:hAnsi="微软雅黑" w:cs="LPJNJT+Arial Unicode MS"/>
          <w:b/>
          <w:color w:val="000000"/>
          <w:sz w:val="21"/>
          <w:szCs w:val="21"/>
          <w:u w:val="single"/>
        </w:rPr>
        <w:t>微卫星稳定（MSS）型。</w:t>
      </w:r>
      <w:commentRangeEnd w:id="22"/>
      <w:r>
        <w:commentReference w:id="22"/>
      </w:r>
    </w:p>
    <w:p w14:paraId="48882F1B">
      <w:pPr>
        <w:spacing w:after="0" w:line="288" w:lineRule="auto"/>
        <w:rPr>
          <w:rFonts w:ascii="微软雅黑" w:hAnsi="微软雅黑" w:cs="LPJNJT+Arial Unicode MS"/>
          <w:color w:val="000000"/>
          <w:sz w:val="21"/>
          <w:szCs w:val="21"/>
        </w:rPr>
      </w:pPr>
    </w:p>
    <w:p w14:paraId="136352D9">
      <w:pPr>
        <w:adjustRightInd/>
        <w:snapToGrid/>
        <w:spacing w:after="0" w:line="288" w:lineRule="auto"/>
        <w:rPr>
          <w:rFonts w:ascii="微软雅黑" w:hAnsi="微软雅黑" w:cs="微软雅黑"/>
          <w:b/>
          <w:color w:val="00C4D8"/>
          <w:sz w:val="21"/>
          <w:szCs w:val="21"/>
        </w:rPr>
      </w:pPr>
      <w:r>
        <w:rPr>
          <w:rFonts w:hint="eastAsia" w:ascii="微软雅黑" w:hAnsi="微软雅黑" w:cs="LPJNJT+Arial Unicode MS"/>
          <w:b/>
          <w:color w:val="000000"/>
          <w:sz w:val="21"/>
          <w:szCs w:val="21"/>
        </w:rPr>
        <w:t>结果解读：</w:t>
      </w:r>
    </w:p>
    <w:p w14:paraId="43BD192D">
      <w:pPr>
        <w:spacing w:after="0" w:line="288" w:lineRule="auto"/>
        <w:ind w:right="-51" w:firstLine="420" w:firstLineChars="200"/>
        <w:jc w:val="both"/>
        <w:rPr>
          <w:rFonts w:ascii="微软雅黑" w:hAnsi="微软雅黑" w:cs="LPJNJT+Arial Unicode MS"/>
          <w:color w:val="000000"/>
          <w:sz w:val="21"/>
          <w:szCs w:val="21"/>
        </w:rPr>
      </w:pPr>
      <w:r>
        <w:rPr>
          <w:rFonts w:hint="eastAsia" w:ascii="微软雅黑" w:hAnsi="微软雅黑" w:cs="LPJNJT+Arial Unicode MS"/>
          <w:color w:val="000000"/>
          <w:sz w:val="21"/>
          <w:szCs w:val="21"/>
        </w:rPr>
        <w:t>结肠癌和直肠癌NCCN指南涉及的化疗药物包括伊立替康、亚叶酸钙、5-氟尿嘧啶、奥沙利铂以及卡培他滨，指南中涉及的化疗方案包括FOLFOX（奥沙利铂+亚叶酸钙+5-氟尿嘧啶）、CAPEOX（奥沙利铂+卡培他滨）、FOLFIRI（伊立替康+亚叶酸钙+5-氟尿嘧啶）、FOLFOXIRI（伊立替康+奥沙利铂+亚叶酸钙+5-FU）以及IROX（奥沙利铂+伊立替康）。</w:t>
      </w:r>
    </w:p>
    <w:p w14:paraId="1792BCA5">
      <w:pPr>
        <w:pStyle w:val="14"/>
        <w:widowControl w:val="0"/>
        <w:numPr>
          <w:ilvl w:val="0"/>
          <w:numId w:val="5"/>
        </w:numPr>
        <w:autoSpaceDE w:val="0"/>
        <w:autoSpaceDN w:val="0"/>
        <w:snapToGrid/>
        <w:spacing w:beforeAutospacing="0" w:afterAutospacing="0" w:line="288" w:lineRule="auto"/>
        <w:ind w:right="-51"/>
        <w:jc w:val="both"/>
        <w:rPr>
          <w:rFonts w:ascii="微软雅黑" w:hAnsi="微软雅黑" w:cs="LPJNJT+Arial Unicode MS"/>
          <w:sz w:val="21"/>
          <w:szCs w:val="21"/>
          <w:u w:val="single"/>
        </w:rPr>
      </w:pPr>
      <w:r>
        <w:rPr>
          <w:rFonts w:hint="eastAsia" w:ascii="微软雅黑" w:hAnsi="微软雅黑" w:cs="LPJNJT+Arial Unicode MS"/>
          <w:color w:val="000000"/>
          <w:sz w:val="21"/>
          <w:szCs w:val="21"/>
          <w:u w:val="single"/>
        </w:rPr>
        <w:t>肿瘤组织为MSS（微卫星稳定）/MSI-L（微卫星低度不稳定）的结直肠癌患者，含5-FU的化疗方案相对敏感，可以正常使用，建议结合临床实际情况选择治疗方案</w:t>
      </w:r>
      <w:r>
        <w:rPr>
          <w:rFonts w:hint="eastAsia" w:ascii="微软雅黑" w:hAnsi="微软雅黑" w:cs="LPJNJT+Arial Unicode MS"/>
          <w:color w:val="000000"/>
          <w:sz w:val="21"/>
          <w:szCs w:val="21"/>
          <w:u w:val="single"/>
          <w:vertAlign w:val="superscript"/>
        </w:rPr>
        <w:t>[1]</w:t>
      </w:r>
      <w:r>
        <w:rPr>
          <w:rFonts w:hint="eastAsia" w:ascii="微软雅黑" w:hAnsi="微软雅黑" w:cs="LPJNJT+Arial Unicode MS"/>
          <w:color w:val="000000"/>
          <w:sz w:val="21"/>
          <w:szCs w:val="21"/>
          <w:u w:val="single"/>
        </w:rPr>
        <w:t>。</w:t>
      </w:r>
    </w:p>
    <w:p w14:paraId="2783E9E4">
      <w:pPr>
        <w:pStyle w:val="14"/>
        <w:widowControl w:val="0"/>
        <w:numPr>
          <w:ilvl w:val="0"/>
          <w:numId w:val="5"/>
        </w:numPr>
        <w:autoSpaceDE w:val="0"/>
        <w:autoSpaceDN w:val="0"/>
        <w:snapToGrid/>
        <w:spacing w:beforeAutospacing="0" w:afterAutospacing="0" w:line="288" w:lineRule="auto"/>
        <w:ind w:right="-51"/>
        <w:jc w:val="both"/>
        <w:rPr>
          <w:rFonts w:ascii="微软雅黑" w:hAnsi="微软雅黑" w:cs="LPJNJT+Arial Unicode MS"/>
          <w:sz w:val="21"/>
          <w:szCs w:val="21"/>
        </w:rPr>
      </w:pPr>
      <w:r>
        <w:rPr>
          <w:rFonts w:hint="eastAsia" w:ascii="微软雅黑" w:hAnsi="微软雅黑" w:cs="LPJNJT+Arial Unicode MS"/>
          <w:color w:val="000000"/>
          <w:sz w:val="21"/>
          <w:szCs w:val="21"/>
        </w:rPr>
        <w:t>肿瘤组织为MSI-H（微卫星高度不稳定）的</w:t>
      </w:r>
      <w:r>
        <w:rPr>
          <w:rFonts w:hint="eastAsia" w:ascii="微软雅黑" w:hAnsi="微软雅黑" w:cs="微软雅黑"/>
          <w:color w:val="000000"/>
          <w:sz w:val="21"/>
          <w:szCs w:val="21"/>
        </w:rPr>
        <w:t>Ⅱ</w:t>
      </w:r>
      <w:r>
        <w:rPr>
          <w:rFonts w:hint="eastAsia" w:ascii="微软雅黑" w:hAnsi="微软雅黑" w:cs="LPJNJT+Arial Unicode MS"/>
          <w:color w:val="000000"/>
          <w:sz w:val="21"/>
          <w:szCs w:val="21"/>
        </w:rPr>
        <w:t>期结直肠癌患者，预后较好，且不能从5-FU辅助化疗获益，不推荐氟尿嘧啶类药物的单药辅助化疗</w:t>
      </w:r>
      <w:r>
        <w:rPr>
          <w:rFonts w:hint="eastAsia" w:ascii="微软雅黑" w:hAnsi="微软雅黑" w:cs="LPJNJT+Arial Unicode MS"/>
          <w:color w:val="000000"/>
          <w:sz w:val="21"/>
          <w:szCs w:val="21"/>
          <w:vertAlign w:val="superscript"/>
        </w:rPr>
        <w:t>[1-3]</w:t>
      </w:r>
      <w:r>
        <w:rPr>
          <w:rFonts w:hint="eastAsia" w:ascii="微软雅黑" w:hAnsi="微软雅黑" w:cs="LPJNJT+Arial Unicode MS"/>
          <w:color w:val="000000"/>
          <w:sz w:val="21"/>
          <w:szCs w:val="21"/>
        </w:rPr>
        <w:t>。</w:t>
      </w:r>
    </w:p>
    <w:p w14:paraId="5B6E1C96">
      <w:pPr>
        <w:pStyle w:val="14"/>
        <w:widowControl w:val="0"/>
        <w:numPr>
          <w:ilvl w:val="0"/>
          <w:numId w:val="5"/>
        </w:numPr>
        <w:autoSpaceDE w:val="0"/>
        <w:autoSpaceDN w:val="0"/>
        <w:snapToGrid/>
        <w:spacing w:beforeAutospacing="0" w:afterAutospacing="0" w:line="288" w:lineRule="auto"/>
        <w:ind w:right="-51"/>
        <w:jc w:val="both"/>
        <w:rPr>
          <w:rFonts w:ascii="微软雅黑" w:hAnsi="微软雅黑" w:cs="LPJNJT+Arial Unicode MS"/>
          <w:sz w:val="21"/>
          <w:szCs w:val="21"/>
        </w:rPr>
      </w:pPr>
      <w:r>
        <w:rPr>
          <w:rFonts w:hint="eastAsia" w:ascii="微软雅黑" w:hAnsi="微软雅黑" w:cs="LPJNJT+Arial Unicode MS"/>
          <w:color w:val="000000"/>
          <w:sz w:val="21"/>
          <w:szCs w:val="21"/>
        </w:rPr>
        <w:t>肿瘤组织为MSI-H的转移性结直肠癌患者，可能从PD-1免疫治疗获益</w:t>
      </w:r>
      <w:r>
        <w:rPr>
          <w:rFonts w:hint="eastAsia" w:ascii="微软雅黑" w:hAnsi="微软雅黑" w:cs="LPJNJT+Arial Unicode MS"/>
          <w:color w:val="000000"/>
          <w:sz w:val="21"/>
          <w:szCs w:val="21"/>
          <w:vertAlign w:val="superscript"/>
        </w:rPr>
        <w:t>[4,5]</w:t>
      </w:r>
      <w:r>
        <w:rPr>
          <w:rFonts w:hint="eastAsia" w:ascii="微软雅黑" w:hAnsi="微软雅黑" w:cs="LPJNJT+Arial Unicode MS"/>
          <w:color w:val="000000"/>
          <w:sz w:val="21"/>
          <w:szCs w:val="21"/>
        </w:rPr>
        <w:t>。</w:t>
      </w:r>
    </w:p>
    <w:p w14:paraId="730469B2">
      <w:pPr>
        <w:pStyle w:val="14"/>
        <w:widowControl w:val="0"/>
        <w:numPr>
          <w:ilvl w:val="0"/>
          <w:numId w:val="5"/>
        </w:numPr>
        <w:autoSpaceDE w:val="0"/>
        <w:autoSpaceDN w:val="0"/>
        <w:snapToGrid/>
        <w:spacing w:beforeAutospacing="0" w:afterAutospacing="0" w:line="288" w:lineRule="auto"/>
        <w:ind w:right="-51"/>
        <w:jc w:val="both"/>
        <w:rPr>
          <w:rFonts w:ascii="微软雅黑" w:hAnsi="微软雅黑" w:cs="LPJNJT+Arial Unicode MS"/>
          <w:color w:val="000000"/>
          <w:sz w:val="21"/>
          <w:szCs w:val="21"/>
        </w:rPr>
      </w:pPr>
      <w:r>
        <w:rPr>
          <w:rFonts w:hint="eastAsia" w:ascii="微软雅黑" w:hAnsi="微软雅黑" w:cs="LPJNJT+Arial Unicode MS"/>
          <w:color w:val="000000"/>
          <w:sz w:val="21"/>
          <w:szCs w:val="21"/>
        </w:rPr>
        <w:t>肿瘤组织为MSI-H的结直肠癌患者，患有林奇综合征的风险较高，建议做进一步的林奇综合征筛查诊断（NCCN指南建议林奇综合征的基因检测应包括：MMR基因MLH1、MSH2、MSH6、PMS2和EPCAM基因）。</w:t>
      </w:r>
    </w:p>
    <w:p w14:paraId="3F0D5172">
      <w:pPr>
        <w:pStyle w:val="14"/>
        <w:widowControl w:val="0"/>
        <w:numPr>
          <w:ilvl w:val="255"/>
          <w:numId w:val="0"/>
        </w:numPr>
        <w:autoSpaceDE w:val="0"/>
        <w:autoSpaceDN w:val="0"/>
        <w:snapToGrid/>
        <w:spacing w:beforeAutospacing="0" w:afterAutospacing="0" w:line="288" w:lineRule="auto"/>
        <w:ind w:right="-51"/>
        <w:jc w:val="both"/>
        <w:rPr>
          <w:rFonts w:ascii="微软雅黑" w:hAnsi="微软雅黑" w:cs="LPJNJT+Arial Unicode MS"/>
          <w:color w:val="000000"/>
          <w:sz w:val="21"/>
          <w:szCs w:val="21"/>
        </w:rPr>
      </w:pPr>
    </w:p>
    <w:p w14:paraId="648C3818">
      <w:pPr>
        <w:adjustRightInd/>
        <w:snapToGrid/>
        <w:spacing w:after="0" w:line="220" w:lineRule="atLeast"/>
        <w:jc w:val="both"/>
        <w:rPr>
          <w:rFonts w:ascii="微软雅黑" w:hAnsi="微软雅黑" w:cs="LPJNJT+Arial Unicode MS"/>
          <w:color w:val="000000"/>
          <w:sz w:val="21"/>
          <w:szCs w:val="21"/>
        </w:rPr>
      </w:pPr>
      <w:r>
        <w:rPr>
          <w:rFonts w:hint="eastAsia" w:ascii="微软雅黑" w:hAnsi="微软雅黑" w:cs="LPJNJT+Arial Unicode MS"/>
          <w:color w:val="000000"/>
          <w:sz w:val="21"/>
          <w:szCs w:val="21"/>
        </w:rPr>
        <w:t>注：</w:t>
      </w:r>
    </w:p>
    <w:p w14:paraId="4B0C8ABA">
      <w:pPr>
        <w:numPr>
          <w:ilvl w:val="0"/>
          <w:numId w:val="6"/>
        </w:numPr>
        <w:adjustRightInd/>
        <w:snapToGrid/>
        <w:spacing w:after="0" w:line="288" w:lineRule="auto"/>
        <w:jc w:val="both"/>
        <w:rPr>
          <w:rFonts w:ascii="微软雅黑" w:hAnsi="微软雅黑" w:cs="LPJNJT+Arial Unicode MS"/>
          <w:color w:val="000000"/>
          <w:sz w:val="21"/>
          <w:szCs w:val="21"/>
        </w:rPr>
      </w:pPr>
      <w:r>
        <w:rPr>
          <w:rFonts w:hint="eastAsia" w:ascii="微软雅黑" w:hAnsi="微软雅黑" w:cs="LPJNJT+Arial Unicode MS"/>
          <w:color w:val="000000"/>
          <w:sz w:val="21"/>
          <w:szCs w:val="21"/>
        </w:rPr>
        <w:t>2022年中国临床肿瘤学会（CSCO）《结直肠癌诊疗指南》指出，所有</w:t>
      </w:r>
      <w:r>
        <w:rPr>
          <w:rFonts w:hint="eastAsia" w:ascii="微软雅黑" w:hAnsi="微软雅黑" w:cs="微软雅黑"/>
          <w:color w:val="000000"/>
          <w:sz w:val="21"/>
          <w:szCs w:val="21"/>
        </w:rPr>
        <w:t>Ⅱ</w:t>
      </w:r>
      <w:r>
        <w:rPr>
          <w:rFonts w:hint="eastAsia" w:ascii="微软雅黑" w:hAnsi="微软雅黑" w:cs="LPJNJT+Arial Unicode MS"/>
          <w:color w:val="000000"/>
          <w:sz w:val="21"/>
          <w:szCs w:val="21"/>
        </w:rPr>
        <w:t>期结直肠癌患者均应考虑进行错配修复蛋白（MMR，mismatch repair）检测，dMMR或MSI-H的</w:t>
      </w:r>
      <w:r>
        <w:rPr>
          <w:rFonts w:hint="eastAsia" w:ascii="微软雅黑" w:hAnsi="微软雅黑" w:cs="微软雅黑"/>
          <w:color w:val="000000"/>
          <w:sz w:val="21"/>
          <w:szCs w:val="21"/>
        </w:rPr>
        <w:t>Ⅱ</w:t>
      </w:r>
      <w:r>
        <w:rPr>
          <w:rFonts w:hint="eastAsia" w:ascii="微软雅黑" w:hAnsi="微软雅黑" w:cs="LPJNJT+Arial Unicode MS"/>
          <w:color w:val="000000"/>
          <w:sz w:val="21"/>
          <w:szCs w:val="21"/>
        </w:rPr>
        <w:t>期结直肠癌患者可能预后较好，且不会从单药5-FU的辅助化疗中获益</w:t>
      </w:r>
      <w:r>
        <w:rPr>
          <w:rFonts w:hint="eastAsia" w:ascii="微软雅黑" w:hAnsi="微软雅黑" w:cs="LPJNJT+Arial Unicode MS"/>
          <w:color w:val="000000"/>
          <w:sz w:val="21"/>
          <w:szCs w:val="21"/>
          <w:vertAlign w:val="superscript"/>
        </w:rPr>
        <w:t>[3]</w:t>
      </w:r>
      <w:r>
        <w:rPr>
          <w:rFonts w:hint="eastAsia" w:ascii="微软雅黑" w:hAnsi="微软雅黑" w:cs="LPJNJT+Arial Unicode MS"/>
          <w:color w:val="000000"/>
          <w:sz w:val="21"/>
          <w:szCs w:val="21"/>
        </w:rPr>
        <w:t>；</w:t>
      </w:r>
    </w:p>
    <w:p w14:paraId="5822F70B">
      <w:pPr>
        <w:numPr>
          <w:ilvl w:val="0"/>
          <w:numId w:val="6"/>
        </w:numPr>
        <w:adjustRightInd/>
        <w:snapToGrid/>
        <w:spacing w:after="0" w:line="288" w:lineRule="auto"/>
        <w:jc w:val="both"/>
        <w:rPr>
          <w:rFonts w:ascii="微软雅黑" w:hAnsi="微软雅黑" w:cs="LPJNJT+Arial Unicode MS"/>
          <w:color w:val="000000"/>
          <w:sz w:val="21"/>
          <w:szCs w:val="21"/>
        </w:rPr>
      </w:pPr>
      <w:r>
        <w:rPr>
          <w:rFonts w:hint="eastAsia" w:ascii="微软雅黑" w:hAnsi="微软雅黑" w:cs="LPJNJT+Arial Unicode MS"/>
          <w:color w:val="000000"/>
          <w:sz w:val="21"/>
          <w:szCs w:val="21"/>
        </w:rPr>
        <w:t>《结直肠癌及其他相关实体瘤微卫星不稳定性检测中国专家共识（2019）》推荐对所有明确诊断为结直肠癌的患者，均应考虑进行MMR/MSI状态筛查；晚期实体瘤患者（如胃癌、小肠癌、子宫内膜癌、尿路上皮癌、胰腺癌和胆管癌等）如考虑跨适应症进行免疫治疗，均应行MSI状态检测</w:t>
      </w:r>
      <w:r>
        <w:rPr>
          <w:rFonts w:hint="eastAsia" w:ascii="微软雅黑" w:hAnsi="微软雅黑" w:cs="LPJNJT+Arial Unicode MS"/>
          <w:color w:val="000000"/>
          <w:sz w:val="21"/>
          <w:szCs w:val="21"/>
          <w:vertAlign w:val="superscript"/>
        </w:rPr>
        <w:t>[4]</w:t>
      </w:r>
      <w:r>
        <w:rPr>
          <w:rFonts w:hint="eastAsia" w:ascii="微软雅黑" w:hAnsi="微软雅黑" w:cs="LPJNJT+Arial Unicode MS"/>
          <w:color w:val="000000"/>
          <w:sz w:val="21"/>
          <w:szCs w:val="21"/>
        </w:rPr>
        <w:t>；</w:t>
      </w:r>
    </w:p>
    <w:p w14:paraId="61606681">
      <w:pPr>
        <w:numPr>
          <w:ilvl w:val="0"/>
          <w:numId w:val="6"/>
        </w:numPr>
        <w:adjustRightInd/>
        <w:snapToGrid/>
        <w:spacing w:after="0" w:line="288" w:lineRule="auto"/>
        <w:jc w:val="both"/>
        <w:rPr>
          <w:rFonts w:ascii="微软雅黑" w:hAnsi="微软雅黑" w:cs="LPJNJT+Arial Unicode MS"/>
          <w:color w:val="000000"/>
          <w:sz w:val="21"/>
          <w:szCs w:val="21"/>
        </w:rPr>
      </w:pPr>
      <w:r>
        <w:rPr>
          <w:rFonts w:hint="eastAsia" w:ascii="微软雅黑" w:hAnsi="微软雅黑" w:cs="LPJNJT+Arial Unicode MS"/>
          <w:color w:val="000000"/>
          <w:sz w:val="21"/>
          <w:szCs w:val="21"/>
        </w:rPr>
        <w:t>若患者同时进行IHC-MMR蛋白表达和DNA分析（PCR或NGS法）MSI状态检测，且存在检测结果不一致的情况，可考虑采用第3种方法（NGS或PCR法）进行验证</w:t>
      </w:r>
      <w:r>
        <w:rPr>
          <w:rFonts w:hint="eastAsia" w:ascii="微软雅黑" w:hAnsi="微软雅黑" w:cs="LPJNJT+Arial Unicode MS"/>
          <w:color w:val="000000"/>
          <w:sz w:val="21"/>
          <w:szCs w:val="21"/>
          <w:vertAlign w:val="superscript"/>
        </w:rPr>
        <w:t>[4]</w:t>
      </w:r>
      <w:r>
        <w:rPr>
          <w:rFonts w:hint="eastAsia" w:ascii="微软雅黑" w:hAnsi="微软雅黑" w:cs="LPJNJT+Arial Unicode MS"/>
          <w:color w:val="000000"/>
          <w:sz w:val="21"/>
          <w:szCs w:val="21"/>
        </w:rPr>
        <w:t>。</w:t>
      </w:r>
    </w:p>
    <w:p w14:paraId="1FDB1861">
      <w:pPr>
        <w:adjustRightInd/>
        <w:snapToGrid/>
        <w:spacing w:after="0" w:line="220" w:lineRule="atLeast"/>
        <w:jc w:val="both"/>
        <w:rPr>
          <w:rFonts w:ascii="微软雅黑" w:hAnsi="微软雅黑" w:cs="LPJNJT+Arial Unicode MS"/>
          <w:color w:val="000000"/>
          <w:sz w:val="21"/>
          <w:szCs w:val="21"/>
        </w:rPr>
      </w:pPr>
    </w:p>
    <w:p w14:paraId="489A977A">
      <w:pPr>
        <w:adjustRightInd/>
        <w:snapToGrid/>
        <w:spacing w:after="0" w:line="220" w:lineRule="atLeast"/>
        <w:jc w:val="both"/>
        <w:rPr>
          <w:rFonts w:ascii="微软雅黑" w:hAnsi="微软雅黑" w:cs="LPJNJT+Arial Unicode MS"/>
          <w:color w:val="000000"/>
          <w:sz w:val="21"/>
          <w:szCs w:val="21"/>
        </w:rPr>
      </w:pPr>
    </w:p>
    <w:p w14:paraId="6DCD7ED1">
      <w:pPr>
        <w:adjustRightInd/>
        <w:snapToGrid/>
        <w:spacing w:after="0" w:line="220" w:lineRule="atLeast"/>
        <w:jc w:val="both"/>
        <w:rPr>
          <w:rFonts w:ascii="微软雅黑" w:hAnsi="微软雅黑" w:cs="LPJNJT+Arial Unicode MS"/>
          <w:color w:val="000000"/>
          <w:sz w:val="21"/>
          <w:szCs w:val="21"/>
        </w:rPr>
      </w:pPr>
    </w:p>
    <w:p w14:paraId="1DDE988D">
      <w:pPr>
        <w:adjustRightInd/>
        <w:snapToGrid/>
        <w:spacing w:after="0" w:line="220" w:lineRule="atLeast"/>
        <w:jc w:val="both"/>
        <w:rPr>
          <w:rFonts w:ascii="微软雅黑" w:hAnsi="微软雅黑" w:cs="LPJNJT+Arial Unicode MS"/>
          <w:color w:val="000000"/>
          <w:sz w:val="21"/>
          <w:szCs w:val="21"/>
        </w:rPr>
      </w:pPr>
    </w:p>
    <w:p w14:paraId="1B1651BA">
      <w:pPr>
        <w:adjustRightInd/>
        <w:snapToGrid/>
        <w:spacing w:before="200" w:after="80" w:line="220" w:lineRule="atLeast"/>
        <w:jc w:val="both"/>
        <w:rPr>
          <w:rFonts w:ascii="微软雅黑" w:hAnsi="微软雅黑" w:cs="LPJNJT+Arial Unicode MS"/>
          <w:color w:val="000000"/>
          <w:sz w:val="21"/>
          <w:szCs w:val="21"/>
        </w:rPr>
      </w:pPr>
      <w:r>
        <w:rPr>
          <w:rFonts w:hint="eastAsia" w:ascii="微软雅黑" w:hAnsi="微软雅黑" w:cs="LPJNJT+Arial Unicode MS"/>
          <w:b/>
          <w:color w:val="000000"/>
          <w:sz w:val="21"/>
          <w:szCs w:val="21"/>
        </w:rPr>
        <w:t>MSI 结果说明：</w:t>
      </w:r>
    </w:p>
    <w:p w14:paraId="2642B479">
      <w:pPr>
        <w:pStyle w:val="14"/>
        <w:widowControl w:val="0"/>
        <w:numPr>
          <w:ilvl w:val="0"/>
          <w:numId w:val="5"/>
        </w:numPr>
        <w:autoSpaceDE w:val="0"/>
        <w:autoSpaceDN w:val="0"/>
        <w:spacing w:beforeAutospacing="0" w:afterAutospacing="0" w:line="288" w:lineRule="auto"/>
        <w:ind w:right="-51"/>
        <w:jc w:val="both"/>
        <w:rPr>
          <w:rFonts w:ascii="微软雅黑" w:hAnsi="微软雅黑" w:cs="LPJNJT+Arial Unicode MS"/>
          <w:color w:val="000000"/>
          <w:sz w:val="21"/>
          <w:szCs w:val="21"/>
        </w:rPr>
      </w:pPr>
      <w:r>
        <w:rPr>
          <w:rFonts w:hint="eastAsia" w:ascii="微软雅黑" w:hAnsi="微软雅黑" w:cs="LPJNJT+Arial Unicode MS"/>
          <w:color w:val="000000"/>
          <w:sz w:val="21"/>
          <w:szCs w:val="21"/>
        </w:rPr>
        <w:t>结直肠癌组织样本中，MSI阈值的划分与传统检测方法MSI毛细电泳PCR法进行验证，一致性为100%。</w:t>
      </w:r>
    </w:p>
    <w:p w14:paraId="47CF18D3">
      <w:pPr>
        <w:pStyle w:val="14"/>
        <w:widowControl w:val="0"/>
        <w:numPr>
          <w:ilvl w:val="0"/>
          <w:numId w:val="5"/>
        </w:numPr>
        <w:autoSpaceDE w:val="0"/>
        <w:autoSpaceDN w:val="0"/>
        <w:spacing w:beforeAutospacing="0" w:afterAutospacing="0" w:line="288" w:lineRule="auto"/>
        <w:ind w:right="-51"/>
        <w:jc w:val="both"/>
        <w:rPr>
          <w:rFonts w:ascii="微软雅黑" w:hAnsi="微软雅黑" w:cs="LPJNJT+Arial Unicode MS"/>
          <w:color w:val="000000"/>
          <w:sz w:val="21"/>
          <w:szCs w:val="21"/>
        </w:rPr>
      </w:pPr>
      <w:r>
        <w:rPr>
          <w:rFonts w:hint="eastAsia" w:ascii="微软雅黑" w:hAnsi="微软雅黑" w:cs="LPJNJT+Arial Unicode MS"/>
          <w:color w:val="000000"/>
          <w:sz w:val="21"/>
          <w:szCs w:val="21"/>
        </w:rPr>
        <w:t>本次检测使用NGS技术结合生物信息学算法，对于在肿瘤样本和正常样本中测序深度均大于等于20的微卫星位点，计算其等位基因的分布信息；其次，通过卡方检验比较肿瘤样本和正常样本的相同微卫星位点的等位基因分布，若显著不同，则认为该微卫星位点不稳定；最后统计不稳定位点的比例。</w:t>
      </w:r>
    </w:p>
    <w:p w14:paraId="1E44092B">
      <w:pPr>
        <w:adjustRightInd/>
        <w:snapToGrid/>
        <w:spacing w:before="200" w:line="220" w:lineRule="atLeast"/>
        <w:jc w:val="both"/>
        <w:rPr>
          <w:rFonts w:ascii="微软雅黑" w:hAnsi="微软雅黑" w:cs="LPJNJT+Arial Unicode MS"/>
          <w:color w:val="000000"/>
          <w:sz w:val="21"/>
          <w:szCs w:val="21"/>
        </w:rPr>
      </w:pPr>
    </w:p>
    <w:p w14:paraId="3AF8F563">
      <w:pPr>
        <w:pStyle w:val="14"/>
        <w:widowControl w:val="0"/>
        <w:autoSpaceDE w:val="0"/>
        <w:autoSpaceDN w:val="0"/>
        <w:snapToGrid/>
        <w:spacing w:beforeAutospacing="0" w:afterAutospacing="0" w:line="312" w:lineRule="auto"/>
        <w:ind w:right="-51"/>
        <w:jc w:val="both"/>
        <w:rPr>
          <w:rFonts w:ascii="微软雅黑" w:hAnsi="微软雅黑" w:cs="LPJNJT+Arial Unicode MS"/>
          <w:b/>
          <w:color w:val="000000"/>
          <w:sz w:val="21"/>
          <w:szCs w:val="21"/>
        </w:rPr>
      </w:pPr>
      <w:r>
        <w:rPr>
          <w:rFonts w:hint="eastAsia" w:ascii="微软雅黑" w:hAnsi="微软雅黑" w:cs="LPJNJT+Arial Unicode MS"/>
          <w:b/>
          <w:color w:val="000000"/>
          <w:sz w:val="21"/>
          <w:szCs w:val="21"/>
        </w:rPr>
        <w:t>参考文献：</w:t>
      </w:r>
    </w:p>
    <w:p w14:paraId="18EC23E8">
      <w:pPr>
        <w:pStyle w:val="14"/>
        <w:widowControl w:val="0"/>
        <w:autoSpaceDE w:val="0"/>
        <w:autoSpaceDN w:val="0"/>
        <w:snapToGrid/>
        <w:spacing w:beforeAutospacing="0" w:afterAutospacing="0" w:line="288" w:lineRule="auto"/>
        <w:ind w:right="-51"/>
        <w:jc w:val="both"/>
        <w:rPr>
          <w:rFonts w:ascii="微软雅黑" w:hAnsi="微软雅黑" w:cs="LPJNJT+Arial Unicode MS"/>
          <w:sz w:val="16"/>
          <w:szCs w:val="16"/>
        </w:rPr>
      </w:pPr>
      <w:r>
        <w:rPr>
          <w:rFonts w:hint="eastAsia" w:ascii="微软雅黑" w:hAnsi="微软雅黑" w:cs="LPJNJT+Arial Unicode MS"/>
          <w:color w:val="000000"/>
          <w:sz w:val="16"/>
          <w:szCs w:val="16"/>
          <w:lang w:bidi="ar"/>
        </w:rPr>
        <w:t xml:space="preserve">[1] Sargent DJ, Marsoni S, Monges G, et al. Defective mismatch repair as a predictive marker for lack of efficacy of fluorouracil-based adjuvant therapy in colon cancer[J]. J Clin Oncol. 2010, 28(20): 3219-3226. </w:t>
      </w:r>
    </w:p>
    <w:p w14:paraId="05E78BF2">
      <w:pPr>
        <w:pStyle w:val="54"/>
        <w:numPr>
          <w:ilvl w:val="255"/>
          <w:numId w:val="0"/>
        </w:numPr>
        <w:spacing w:line="288" w:lineRule="auto"/>
        <w:ind w:right="-51"/>
        <w:jc w:val="both"/>
        <w:rPr>
          <w:rFonts w:hint="default" w:ascii="微软雅黑" w:hAnsi="微软雅黑" w:eastAsia="微软雅黑" w:cs="LPJNJT+Arial Unicode MS"/>
          <w:sz w:val="16"/>
          <w:szCs w:val="16"/>
        </w:rPr>
      </w:pPr>
      <w:r>
        <w:rPr>
          <w:rFonts w:ascii="微软雅黑" w:hAnsi="微软雅黑" w:eastAsia="微软雅黑" w:cs="LPJNJT+Arial Unicode MS"/>
          <w:sz w:val="16"/>
          <w:szCs w:val="16"/>
        </w:rPr>
        <w:t>[2]</w:t>
      </w:r>
      <w:r>
        <w:rPr>
          <w:rFonts w:hint="default" w:ascii="微软雅黑" w:hAnsi="微软雅黑" w:eastAsia="微软雅黑" w:cs="LPJNJT+Arial Unicode MS"/>
          <w:sz w:val="16"/>
          <w:szCs w:val="16"/>
        </w:rPr>
        <w:t xml:space="preserve">《NCCN Guidelines Version </w:t>
      </w:r>
      <w:r>
        <w:rPr>
          <w:rFonts w:ascii="微软雅黑" w:hAnsi="微软雅黑" w:eastAsia="微软雅黑" w:cs="LPJNJT+Arial Unicode MS"/>
          <w:sz w:val="16"/>
          <w:szCs w:val="16"/>
        </w:rPr>
        <w:t>1</w:t>
      </w:r>
      <w:r>
        <w:rPr>
          <w:rFonts w:hint="default" w:ascii="微软雅黑" w:hAnsi="微软雅黑" w:eastAsia="微软雅黑" w:cs="LPJNJT+Arial Unicode MS"/>
          <w:sz w:val="16"/>
          <w:szCs w:val="16"/>
        </w:rPr>
        <w:t>.</w:t>
      </w:r>
      <w:r>
        <w:rPr>
          <w:rFonts w:ascii="微软雅黑" w:hAnsi="微软雅黑" w:eastAsia="微软雅黑" w:cs="LPJNJT+Arial Unicode MS"/>
          <w:sz w:val="16"/>
          <w:szCs w:val="16"/>
        </w:rPr>
        <w:t xml:space="preserve"> </w:t>
      </w:r>
      <w:r>
        <w:rPr>
          <w:rFonts w:hint="default" w:ascii="微软雅黑" w:hAnsi="微软雅黑" w:eastAsia="微软雅黑" w:cs="LPJNJT+Arial Unicode MS"/>
          <w:sz w:val="16"/>
          <w:szCs w:val="16"/>
        </w:rPr>
        <w:t>20</w:t>
      </w:r>
      <w:r>
        <w:rPr>
          <w:rFonts w:ascii="微软雅黑" w:hAnsi="微软雅黑" w:eastAsia="微软雅黑" w:cs="LPJNJT+Arial Unicode MS"/>
          <w:sz w:val="16"/>
          <w:szCs w:val="16"/>
        </w:rPr>
        <w:t>22-</w:t>
      </w:r>
      <w:r>
        <w:rPr>
          <w:rFonts w:hint="default" w:ascii="微软雅黑" w:hAnsi="微软雅黑" w:eastAsia="微软雅黑" w:cs="LPJNJT+Arial Unicode MS"/>
          <w:sz w:val="16"/>
          <w:szCs w:val="16"/>
        </w:rPr>
        <w:t>Colon Cancer》</w:t>
      </w:r>
      <w:r>
        <w:rPr>
          <w:rFonts w:ascii="微软雅黑" w:hAnsi="微软雅黑" w:eastAsia="微软雅黑" w:cs="LPJNJT+Arial Unicode MS"/>
          <w:sz w:val="16"/>
          <w:szCs w:val="16"/>
        </w:rPr>
        <w:t>;</w:t>
      </w:r>
      <w:r>
        <w:rPr>
          <w:rFonts w:hint="default" w:ascii="微软雅黑" w:hAnsi="微软雅黑" w:eastAsia="微软雅黑" w:cs="LPJNJT+Arial Unicode MS"/>
          <w:sz w:val="16"/>
          <w:szCs w:val="16"/>
        </w:rPr>
        <w:t xml:space="preserve">《NCCN Guidelines Version </w:t>
      </w:r>
      <w:r>
        <w:rPr>
          <w:rFonts w:ascii="微软雅黑" w:hAnsi="微软雅黑" w:eastAsia="微软雅黑" w:cs="LPJNJT+Arial Unicode MS"/>
          <w:sz w:val="16"/>
          <w:szCs w:val="16"/>
        </w:rPr>
        <w:t>1</w:t>
      </w:r>
      <w:r>
        <w:rPr>
          <w:rFonts w:hint="default" w:ascii="微软雅黑" w:hAnsi="微软雅黑" w:eastAsia="微软雅黑" w:cs="LPJNJT+Arial Unicode MS"/>
          <w:sz w:val="16"/>
          <w:szCs w:val="16"/>
        </w:rPr>
        <w:t>.</w:t>
      </w:r>
      <w:r>
        <w:rPr>
          <w:rFonts w:ascii="微软雅黑" w:hAnsi="微软雅黑" w:eastAsia="微软雅黑" w:cs="LPJNJT+Arial Unicode MS"/>
          <w:sz w:val="16"/>
          <w:szCs w:val="16"/>
        </w:rPr>
        <w:t xml:space="preserve"> </w:t>
      </w:r>
      <w:r>
        <w:rPr>
          <w:rFonts w:hint="default" w:ascii="微软雅黑" w:hAnsi="微软雅黑" w:eastAsia="微软雅黑" w:cs="LPJNJT+Arial Unicode MS"/>
          <w:sz w:val="16"/>
          <w:szCs w:val="16"/>
        </w:rPr>
        <w:t>20</w:t>
      </w:r>
      <w:r>
        <w:rPr>
          <w:rFonts w:ascii="微软雅黑" w:hAnsi="微软雅黑" w:eastAsia="微软雅黑" w:cs="LPJNJT+Arial Unicode MS"/>
          <w:sz w:val="16"/>
          <w:szCs w:val="16"/>
        </w:rPr>
        <w:t>22-Rectal</w:t>
      </w:r>
      <w:r>
        <w:rPr>
          <w:rFonts w:hint="default" w:ascii="微软雅黑" w:hAnsi="微软雅黑" w:eastAsia="微软雅黑" w:cs="LPJNJT+Arial Unicode MS"/>
          <w:sz w:val="16"/>
          <w:szCs w:val="16"/>
        </w:rPr>
        <w:t xml:space="preserve"> Cancer》</w:t>
      </w:r>
      <w:r>
        <w:rPr>
          <w:rFonts w:ascii="微软雅黑" w:hAnsi="微软雅黑" w:eastAsia="微软雅黑" w:cs="LPJNJT+Arial Unicode MS"/>
          <w:sz w:val="16"/>
          <w:szCs w:val="16"/>
        </w:rPr>
        <w:t>.</w:t>
      </w:r>
    </w:p>
    <w:p w14:paraId="25390B38">
      <w:pPr>
        <w:pStyle w:val="54"/>
        <w:numPr>
          <w:ilvl w:val="255"/>
          <w:numId w:val="0"/>
        </w:numPr>
        <w:spacing w:line="288" w:lineRule="auto"/>
        <w:ind w:right="-51"/>
        <w:jc w:val="both"/>
        <w:rPr>
          <w:rFonts w:hint="default" w:ascii="微软雅黑" w:hAnsi="微软雅黑" w:eastAsia="微软雅黑" w:cs="LPJNJT+Arial Unicode MS"/>
          <w:sz w:val="16"/>
          <w:szCs w:val="16"/>
        </w:rPr>
      </w:pPr>
      <w:r>
        <w:rPr>
          <w:rFonts w:ascii="微软雅黑" w:hAnsi="微软雅黑" w:eastAsia="微软雅黑" w:cs="LPJNJT+Arial Unicode MS"/>
          <w:sz w:val="16"/>
          <w:szCs w:val="16"/>
        </w:rPr>
        <w:t>[3] 《CSCO结直肠癌诊疗指南（2022年版）》.</w:t>
      </w:r>
    </w:p>
    <w:p w14:paraId="14B78A38">
      <w:pPr>
        <w:pStyle w:val="54"/>
        <w:numPr>
          <w:ilvl w:val="255"/>
          <w:numId w:val="0"/>
        </w:numPr>
        <w:spacing w:line="288" w:lineRule="auto"/>
        <w:ind w:right="-51"/>
        <w:jc w:val="both"/>
        <w:rPr>
          <w:rFonts w:hint="default" w:ascii="微软雅黑" w:hAnsi="微软雅黑" w:eastAsia="微软雅黑" w:cs="LPJNJT+Arial Unicode MS"/>
          <w:sz w:val="16"/>
          <w:szCs w:val="16"/>
        </w:rPr>
      </w:pPr>
      <w:r>
        <w:rPr>
          <w:rFonts w:ascii="微软雅黑" w:hAnsi="微软雅黑" w:eastAsia="微软雅黑" w:cs="LPJNJT+Arial Unicode MS"/>
          <w:sz w:val="16"/>
          <w:szCs w:val="16"/>
        </w:rPr>
        <w:t>[4] 《结直肠癌及其他相关实体瘤微卫星不稳定性检测中国专家共识》.2019.</w:t>
      </w:r>
    </w:p>
    <w:p w14:paraId="69687796">
      <w:pPr>
        <w:adjustRightInd/>
        <w:snapToGrid/>
        <w:spacing w:after="0" w:line="288" w:lineRule="auto"/>
        <w:jc w:val="both"/>
        <w:rPr>
          <w:rFonts w:ascii="微软雅黑" w:hAnsi="微软雅黑" w:cs="LPJNJT+Arial Unicode MS"/>
          <w:sz w:val="18"/>
          <w:szCs w:val="18"/>
        </w:rPr>
      </w:pPr>
      <w:r>
        <w:rPr>
          <w:rFonts w:hint="eastAsia" w:ascii="微软雅黑" w:hAnsi="微软雅黑" w:cs="LPJNJT+Arial Unicode MS"/>
          <w:sz w:val="16"/>
          <w:szCs w:val="16"/>
        </w:rPr>
        <w:t>[5]</w:t>
      </w:r>
      <w:r>
        <w:rPr>
          <w:rFonts w:ascii="微软雅黑" w:hAnsi="微软雅黑" w:cs="LPJNJT+Arial Unicode MS"/>
          <w:sz w:val="16"/>
          <w:szCs w:val="16"/>
        </w:rPr>
        <w:t xml:space="preserve"> Le DT, Uram JN, Wang H,</w:t>
      </w:r>
      <w:r>
        <w:rPr>
          <w:rFonts w:hint="eastAsia" w:ascii="微软雅黑" w:hAnsi="微软雅黑" w:cs="LPJNJT+Arial Unicode MS"/>
          <w:sz w:val="16"/>
          <w:szCs w:val="16"/>
        </w:rPr>
        <w:t xml:space="preserve"> et al. PD-1 Blockade in Tumors with Mismatch-Repair Deficiency[J]. N Engl J Med. 2015, 372(26): 2509-2520.</w:t>
      </w:r>
    </w:p>
    <w:p w14:paraId="79751420">
      <w:pPr>
        <w:adjustRightInd/>
        <w:snapToGrid/>
        <w:spacing w:after="0" w:line="288" w:lineRule="auto"/>
        <w:jc w:val="both"/>
        <w:rPr>
          <w:rFonts w:ascii="微软雅黑" w:hAnsi="微软雅黑" w:cs="LPJNJT+Arial Unicode MS"/>
          <w:sz w:val="18"/>
          <w:szCs w:val="18"/>
        </w:rPr>
      </w:pPr>
    </w:p>
    <w:p w14:paraId="5F0EB5BB">
      <w:pPr>
        <w:adjustRightInd/>
        <w:snapToGrid/>
        <w:spacing w:before="200" w:line="220" w:lineRule="atLeast"/>
        <w:rPr>
          <w:rFonts w:ascii="微软雅黑" w:hAnsi="微软雅黑"/>
          <w:b/>
          <w:color w:val="00C4D8"/>
          <w:sz w:val="28"/>
          <w:szCs w:val="28"/>
        </w:rPr>
      </w:pPr>
      <w:r>
        <w:rPr>
          <w:rFonts w:ascii="微软雅黑" w:hAnsi="微软雅黑"/>
          <w:b/>
          <w:color w:val="00C4D8"/>
          <w:sz w:val="28"/>
          <w:szCs w:val="28"/>
        </w:rPr>
        <w:br w:type="page"/>
      </w:r>
    </w:p>
    <w:p w14:paraId="327E3D87">
      <w:pPr>
        <w:adjustRightInd/>
        <w:snapToGrid/>
        <w:spacing w:before="200" w:line="220" w:lineRule="atLeast"/>
        <w:rPr>
          <w:rFonts w:ascii="微软雅黑" w:hAnsi="微软雅黑"/>
          <w:b/>
          <w:color w:val="FF0000"/>
          <w:sz w:val="28"/>
          <w:szCs w:val="28"/>
        </w:rPr>
      </w:pPr>
      <w:r>
        <w:rPr>
          <w:rFonts w:hint="eastAsia" w:ascii="微软雅黑" w:hAnsi="微软雅黑"/>
          <w:b/>
          <w:color w:val="00C4D8"/>
          <w:sz w:val="28"/>
          <w:szCs w:val="28"/>
        </w:rPr>
        <w:t>3.3 免疫疗效正相关/负相关/超进展基因检测结果</w:t>
      </w:r>
      <w:r>
        <w:commentReference w:id="23"/>
      </w:r>
    </w:p>
    <w:p w14:paraId="0F2186EC">
      <w:pPr>
        <w:numPr>
          <w:ilvl w:val="255"/>
          <w:numId w:val="0"/>
        </w:numPr>
        <w:spacing w:after="0" w:line="236" w:lineRule="auto"/>
        <w:ind w:firstLine="420" w:firstLineChars="200"/>
        <w:jc w:val="both"/>
        <w:rPr>
          <w:rFonts w:ascii="微软雅黑" w:hAnsi="微软雅黑" w:cs="微软雅黑"/>
          <w:sz w:val="21"/>
          <w:szCs w:val="21"/>
        </w:rPr>
      </w:pPr>
      <w:r>
        <w:rPr>
          <w:rFonts w:ascii="微软雅黑" w:hAnsi="微软雅黑" w:cs="微软雅黑"/>
          <w:sz w:val="21"/>
          <w:szCs w:val="21"/>
        </w:rPr>
        <w:t>随着免疫治疗</w:t>
      </w:r>
      <w:r>
        <w:rPr>
          <w:rFonts w:hint="eastAsia" w:ascii="微软雅黑" w:hAnsi="微软雅黑" w:cs="微软雅黑"/>
          <w:sz w:val="21"/>
          <w:szCs w:val="21"/>
        </w:rPr>
        <w:t>研究的</w:t>
      </w:r>
      <w:r>
        <w:rPr>
          <w:rFonts w:ascii="微软雅黑" w:hAnsi="微软雅黑" w:cs="微软雅黑"/>
          <w:sz w:val="21"/>
          <w:szCs w:val="21"/>
        </w:rPr>
        <w:t>深入，更多基因组变异被发现与免疫治疗敏感、耐药、超进展相关，以下免疫相关基因标记物预测来源于多种肿瘤的科学研究成果，结果仅供参考。</w:t>
      </w:r>
    </w:p>
    <w:p w14:paraId="020D3B6B">
      <w:pPr>
        <w:pStyle w:val="29"/>
        <w:numPr>
          <w:ilvl w:val="0"/>
          <w:numId w:val="2"/>
        </w:numPr>
        <w:adjustRightInd/>
        <w:snapToGrid/>
        <w:spacing w:before="200"/>
        <w:ind w:firstLineChars="0"/>
        <w:rPr>
          <w:rFonts w:ascii="微软雅黑" w:hAnsi="微软雅黑"/>
          <w:b/>
          <w:color w:val="00C4D8"/>
          <w:sz w:val="28"/>
          <w:szCs w:val="28"/>
        </w:rPr>
      </w:pPr>
      <w:r>
        <w:rPr>
          <w:rFonts w:hint="eastAsia" w:ascii="微软雅黑" w:hAnsi="微软雅黑"/>
          <w:b/>
          <w:color w:val="00C4D8"/>
          <w:sz w:val="28"/>
          <w:szCs w:val="28"/>
        </w:rPr>
        <w:t>免疫治疗正相关基因检测结果</w:t>
      </w:r>
    </w:p>
    <w:tbl>
      <w:tblPr>
        <w:tblStyle w:val="16"/>
        <w:tblW w:w="878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06"/>
        <w:gridCol w:w="2944"/>
        <w:gridCol w:w="3033"/>
      </w:tblGrid>
      <w:tr w14:paraId="2A371D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2806" w:type="dxa"/>
            <w:shd w:val="clear" w:color="auto" w:fill="00C4D8"/>
            <w:vAlign w:val="center"/>
          </w:tcPr>
          <w:p w14:paraId="7B397E12">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b/>
                <w:color w:val="FFFFFF" w:themeColor="background1"/>
                <w:kern w:val="2"/>
                <w:sz w:val="24"/>
                <w:szCs w:val="24"/>
                <w14:textFill>
                  <w14:solidFill>
                    <w14:schemeClr w14:val="bg1"/>
                  </w14:solidFill>
                </w14:textFill>
              </w:rPr>
            </w:pPr>
            <w:r>
              <w:rPr>
                <w:rFonts w:hint="eastAsia" w:ascii="微软雅黑" w:hAnsi="微软雅黑"/>
                <w:b/>
                <w:color w:val="FFFFFF" w:themeColor="background1"/>
                <w:kern w:val="2"/>
                <w:sz w:val="24"/>
                <w:szCs w:val="24"/>
                <w14:textFill>
                  <w14:solidFill>
                    <w14:schemeClr w14:val="bg1"/>
                  </w14:solidFill>
                </w14:textFill>
              </w:rPr>
              <w:t>基因</w:t>
            </w:r>
          </w:p>
        </w:tc>
        <w:tc>
          <w:tcPr>
            <w:tcW w:w="2944" w:type="dxa"/>
            <w:shd w:val="clear" w:color="auto" w:fill="00C4D8"/>
            <w:vAlign w:val="center"/>
          </w:tcPr>
          <w:p w14:paraId="2DD30AB6">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b/>
                <w:color w:val="FFFFFF" w:themeColor="background1"/>
                <w:kern w:val="2"/>
                <w:sz w:val="24"/>
                <w:szCs w:val="24"/>
                <w14:textFill>
                  <w14:solidFill>
                    <w14:schemeClr w14:val="bg1"/>
                  </w14:solidFill>
                </w14:textFill>
              </w:rPr>
            </w:pPr>
            <w:r>
              <w:rPr>
                <w:rFonts w:hint="eastAsia" w:ascii="微软雅黑" w:hAnsi="微软雅黑"/>
                <w:b/>
                <w:color w:val="FFFFFF" w:themeColor="background1"/>
                <w:kern w:val="2"/>
                <w:sz w:val="24"/>
                <w:szCs w:val="24"/>
                <w14:textFill>
                  <w14:solidFill>
                    <w14:schemeClr w14:val="bg1"/>
                  </w14:solidFill>
                </w14:textFill>
              </w:rPr>
              <w:t>检测结果</w:t>
            </w:r>
          </w:p>
        </w:tc>
        <w:tc>
          <w:tcPr>
            <w:tcW w:w="3033" w:type="dxa"/>
            <w:shd w:val="clear" w:color="auto" w:fill="00C4D8"/>
            <w:vAlign w:val="center"/>
          </w:tcPr>
          <w:p w14:paraId="2B991938">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b/>
                <w:color w:val="FFFFFF" w:themeColor="background1"/>
                <w:kern w:val="2"/>
                <w:sz w:val="24"/>
                <w:szCs w:val="24"/>
                <w14:textFill>
                  <w14:solidFill>
                    <w14:schemeClr w14:val="bg1"/>
                  </w14:solidFill>
                </w14:textFill>
              </w:rPr>
            </w:pPr>
            <w:r>
              <w:rPr>
                <w:rFonts w:hint="eastAsia" w:ascii="微软雅黑" w:hAnsi="微软雅黑"/>
                <w:b/>
                <w:color w:val="FFFFFF" w:themeColor="background1"/>
                <w:kern w:val="2"/>
                <w:sz w:val="24"/>
                <w:szCs w:val="24"/>
                <w14:textFill>
                  <w14:solidFill>
                    <w14:schemeClr w14:val="bg1"/>
                  </w14:solidFill>
                </w14:textFill>
              </w:rPr>
              <w:t>临床解读</w:t>
            </w:r>
          </w:p>
        </w:tc>
      </w:tr>
      <w:tr w14:paraId="19D220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806" w:type="dxa"/>
            <w:vAlign w:val="center"/>
          </w:tcPr>
          <w:p w14:paraId="4F4B3986">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bookmarkStart w:id="134" w:name="OLE_LINK30" w:colFirst="1" w:colLast="2"/>
            <w:r>
              <w:rPr>
                <w:rFonts w:hint="eastAsia" w:ascii="微软雅黑" w:hAnsi="微软雅黑" w:cs="微软雅黑"/>
                <w:kern w:val="0"/>
                <w:sz w:val="20"/>
                <w:szCs w:val="20"/>
                <w:lang w:bidi="ar"/>
              </w:rPr>
              <w:t>MLH1</w:t>
            </w:r>
          </w:p>
        </w:tc>
        <w:tc>
          <w:tcPr>
            <w:tcW w:w="2944" w:type="dxa"/>
            <w:vAlign w:val="center"/>
          </w:tcPr>
          <w:p w14:paraId="6B36BAC1">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未检出有害变异</w:t>
            </w:r>
          </w:p>
        </w:tc>
        <w:tc>
          <w:tcPr>
            <w:tcW w:w="3033" w:type="dxa"/>
            <w:vAlign w:val="center"/>
          </w:tcPr>
          <w:p w14:paraId="750DFBE3">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检出有害变异时可能疗效较好。</w:t>
            </w:r>
          </w:p>
        </w:tc>
      </w:tr>
      <w:bookmarkEnd w:id="134"/>
      <w:tr w14:paraId="218C1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806" w:type="dxa"/>
            <w:vAlign w:val="center"/>
          </w:tcPr>
          <w:p w14:paraId="3187CBB9">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MSH2</w:t>
            </w:r>
          </w:p>
        </w:tc>
        <w:tc>
          <w:tcPr>
            <w:tcW w:w="2944" w:type="dxa"/>
            <w:vAlign w:val="center"/>
          </w:tcPr>
          <w:p w14:paraId="1F97A956">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未检出有害变异</w:t>
            </w:r>
          </w:p>
        </w:tc>
        <w:tc>
          <w:tcPr>
            <w:tcW w:w="3033" w:type="dxa"/>
            <w:vAlign w:val="center"/>
          </w:tcPr>
          <w:p w14:paraId="32234029">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检出有害变异时可能疗效较好。</w:t>
            </w:r>
          </w:p>
        </w:tc>
      </w:tr>
      <w:tr w14:paraId="3E941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806" w:type="dxa"/>
            <w:vAlign w:val="center"/>
          </w:tcPr>
          <w:p w14:paraId="1B37F984">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MSH6</w:t>
            </w:r>
          </w:p>
        </w:tc>
        <w:tc>
          <w:tcPr>
            <w:tcW w:w="2944" w:type="dxa"/>
            <w:vAlign w:val="center"/>
          </w:tcPr>
          <w:p w14:paraId="048961F3">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未检出有害变异</w:t>
            </w:r>
          </w:p>
        </w:tc>
        <w:tc>
          <w:tcPr>
            <w:tcW w:w="3033" w:type="dxa"/>
            <w:vAlign w:val="center"/>
          </w:tcPr>
          <w:p w14:paraId="64E1E4A3">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检出有害变异时可能疗效较好。</w:t>
            </w:r>
          </w:p>
        </w:tc>
      </w:tr>
      <w:tr w14:paraId="16AE2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806" w:type="dxa"/>
            <w:vAlign w:val="center"/>
          </w:tcPr>
          <w:p w14:paraId="6C3BAD36">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PMS2</w:t>
            </w:r>
          </w:p>
        </w:tc>
        <w:tc>
          <w:tcPr>
            <w:tcW w:w="2944" w:type="dxa"/>
            <w:vAlign w:val="center"/>
          </w:tcPr>
          <w:p w14:paraId="4092C2DB">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未检出有害变异</w:t>
            </w:r>
          </w:p>
        </w:tc>
        <w:tc>
          <w:tcPr>
            <w:tcW w:w="3033" w:type="dxa"/>
            <w:vAlign w:val="center"/>
          </w:tcPr>
          <w:p w14:paraId="7388D49C">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检出有害变异时可能疗效较好。</w:t>
            </w:r>
          </w:p>
        </w:tc>
      </w:tr>
      <w:tr w14:paraId="1F1A8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806" w:type="dxa"/>
            <w:vAlign w:val="center"/>
          </w:tcPr>
          <w:p w14:paraId="4E612ABA">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POLE</w:t>
            </w:r>
          </w:p>
        </w:tc>
        <w:tc>
          <w:tcPr>
            <w:tcW w:w="2944" w:type="dxa"/>
            <w:vAlign w:val="center"/>
          </w:tcPr>
          <w:p w14:paraId="2AA95D4D">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未检出有害变异</w:t>
            </w:r>
          </w:p>
        </w:tc>
        <w:tc>
          <w:tcPr>
            <w:tcW w:w="3033" w:type="dxa"/>
            <w:vAlign w:val="center"/>
          </w:tcPr>
          <w:p w14:paraId="64F17A56">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检出有害变异时可能疗效较好。</w:t>
            </w:r>
          </w:p>
        </w:tc>
      </w:tr>
      <w:tr w14:paraId="50380F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806" w:type="dxa"/>
            <w:vAlign w:val="center"/>
          </w:tcPr>
          <w:p w14:paraId="1BB6465B">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POLD1</w:t>
            </w:r>
          </w:p>
        </w:tc>
        <w:tc>
          <w:tcPr>
            <w:tcW w:w="2944" w:type="dxa"/>
            <w:vAlign w:val="center"/>
          </w:tcPr>
          <w:p w14:paraId="4B3E4779">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未检出有害变异</w:t>
            </w:r>
          </w:p>
        </w:tc>
        <w:tc>
          <w:tcPr>
            <w:tcW w:w="3033" w:type="dxa"/>
            <w:vAlign w:val="center"/>
          </w:tcPr>
          <w:p w14:paraId="07FD8CE2">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检出有害变异时可能疗效较好。</w:t>
            </w:r>
          </w:p>
        </w:tc>
      </w:tr>
      <w:tr w14:paraId="05CC01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806" w:type="dxa"/>
            <w:vAlign w:val="center"/>
          </w:tcPr>
          <w:p w14:paraId="17470B40">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CD274（PD-L1）</w:t>
            </w:r>
          </w:p>
        </w:tc>
        <w:tc>
          <w:tcPr>
            <w:tcW w:w="2944" w:type="dxa"/>
            <w:vAlign w:val="center"/>
          </w:tcPr>
          <w:p w14:paraId="27A9B57E">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未检出有害变异</w:t>
            </w:r>
          </w:p>
        </w:tc>
        <w:tc>
          <w:tcPr>
            <w:tcW w:w="3033" w:type="dxa"/>
            <w:vAlign w:val="center"/>
          </w:tcPr>
          <w:p w14:paraId="789B8B5B">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检出有害变异时可能疗效较好。</w:t>
            </w:r>
          </w:p>
        </w:tc>
      </w:tr>
      <w:tr w14:paraId="3BFF99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806" w:type="dxa"/>
            <w:vAlign w:val="center"/>
          </w:tcPr>
          <w:p w14:paraId="787F2FD4">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PDCD1LG2（PD-L2）</w:t>
            </w:r>
          </w:p>
        </w:tc>
        <w:tc>
          <w:tcPr>
            <w:tcW w:w="2944" w:type="dxa"/>
            <w:vAlign w:val="center"/>
          </w:tcPr>
          <w:p w14:paraId="6FF3A0CD">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未检出有害变异</w:t>
            </w:r>
          </w:p>
        </w:tc>
        <w:tc>
          <w:tcPr>
            <w:tcW w:w="3033" w:type="dxa"/>
            <w:vAlign w:val="center"/>
          </w:tcPr>
          <w:p w14:paraId="1C172642">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检出有害变异时可能疗效较好。</w:t>
            </w:r>
          </w:p>
        </w:tc>
      </w:tr>
      <w:tr w14:paraId="0FEBA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806" w:type="dxa"/>
            <w:vAlign w:val="center"/>
          </w:tcPr>
          <w:p w14:paraId="3D25BB71">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PBRM1</w:t>
            </w:r>
          </w:p>
        </w:tc>
        <w:tc>
          <w:tcPr>
            <w:tcW w:w="2944" w:type="dxa"/>
            <w:vAlign w:val="center"/>
          </w:tcPr>
          <w:p w14:paraId="61C76F53">
            <w:pPr>
              <w:keepNext w:val="0"/>
              <w:keepLines w:val="0"/>
              <w:widowControl/>
              <w:suppressLineNumbers w:val="0"/>
              <w:adjustRightInd w:val="0"/>
              <w:snapToGrid w:val="0"/>
              <w:spacing w:before="0" w:beforeAutospacing="0" w:after="0" w:afterAutospacing="0"/>
              <w:ind w:left="0" w:right="0"/>
              <w:jc w:val="center"/>
              <w:rPr>
                <w:rFonts w:hint="eastAsia" w:ascii="微软雅黑" w:hAnsi="微软雅黑" w:cs="微软雅黑"/>
                <w:color w:val="FF0000"/>
                <w:kern w:val="0"/>
                <w:sz w:val="20"/>
                <w:szCs w:val="20"/>
                <w:u w:val="none"/>
                <w:lang w:bidi="ar"/>
              </w:rPr>
            </w:pPr>
            <w:r>
              <w:rPr>
                <w:rFonts w:hint="eastAsia" w:ascii="微软雅黑" w:hAnsi="微软雅黑" w:cs="微软雅黑"/>
                <w:kern w:val="0"/>
                <w:sz w:val="20"/>
                <w:szCs w:val="20"/>
                <w:lang w:bidi="ar"/>
              </w:rPr>
              <w:t>未检出有害变异</w:t>
            </w:r>
          </w:p>
        </w:tc>
        <w:tc>
          <w:tcPr>
            <w:tcW w:w="3033" w:type="dxa"/>
            <w:vAlign w:val="center"/>
          </w:tcPr>
          <w:p w14:paraId="5BA391AB">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检出有害变异时可能疗效较好。</w:t>
            </w:r>
          </w:p>
        </w:tc>
      </w:tr>
      <w:tr w14:paraId="0CBF92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806" w:type="dxa"/>
            <w:vAlign w:val="center"/>
          </w:tcPr>
          <w:p w14:paraId="082F5F2E">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KRAS</w:t>
            </w:r>
          </w:p>
        </w:tc>
        <w:tc>
          <w:tcPr>
            <w:tcW w:w="2944" w:type="dxa"/>
            <w:vAlign w:val="center"/>
          </w:tcPr>
          <w:p w14:paraId="77CA3CBB">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jc w:val="center"/>
              <w:textAlignment w:val="auto"/>
              <w:rPr>
                <w:rFonts w:hint="default" w:ascii="微软雅黑" w:hAnsi="微软雅黑" w:cs="微软雅黑"/>
                <w:color w:val="FF0000"/>
                <w:kern w:val="0"/>
                <w:sz w:val="20"/>
                <w:szCs w:val="20"/>
                <w:lang w:bidi="ar"/>
              </w:rPr>
            </w:pPr>
            <w:r>
              <w:rPr>
                <w:rFonts w:hint="default" w:ascii="微软雅黑" w:hAnsi="微软雅黑" w:cs="微软雅黑"/>
                <w:color w:val="FF0000"/>
                <w:kern w:val="0"/>
                <w:sz w:val="20"/>
                <w:szCs w:val="20"/>
                <w:lang w:bidi="ar"/>
              </w:rPr>
              <w:t>c.34G&gt;A，p.G12S</w:t>
            </w:r>
          </w:p>
        </w:tc>
        <w:tc>
          <w:tcPr>
            <w:tcW w:w="3033" w:type="dxa"/>
            <w:vAlign w:val="center"/>
          </w:tcPr>
          <w:p w14:paraId="3497EA19">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检出有害变异时可能疗效较好。</w:t>
            </w:r>
          </w:p>
        </w:tc>
      </w:tr>
      <w:tr w14:paraId="372FA7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4" w:hRule="atLeast"/>
          <w:jc w:val="center"/>
        </w:trPr>
        <w:tc>
          <w:tcPr>
            <w:tcW w:w="2806" w:type="dxa"/>
            <w:vAlign w:val="center"/>
          </w:tcPr>
          <w:p w14:paraId="6FD8040B">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KRAS/TP53共突变</w:t>
            </w:r>
          </w:p>
        </w:tc>
        <w:tc>
          <w:tcPr>
            <w:tcW w:w="2944" w:type="dxa"/>
            <w:vAlign w:val="center"/>
          </w:tcPr>
          <w:p w14:paraId="007AAD2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20" w:lineRule="atLeast"/>
              <w:ind w:left="0" w:right="0"/>
              <w:jc w:val="center"/>
              <w:textAlignment w:val="auto"/>
              <w:rPr>
                <w:rFonts w:hint="default" w:ascii="微软雅黑" w:hAnsi="微软雅黑" w:cs="微软雅黑"/>
                <w:color w:val="FF0000"/>
                <w:kern w:val="0"/>
                <w:sz w:val="20"/>
                <w:szCs w:val="20"/>
                <w:lang w:bidi="ar"/>
              </w:rPr>
            </w:pPr>
            <w:r>
              <w:rPr>
                <w:rFonts w:hint="default" w:ascii="微软雅黑" w:hAnsi="微软雅黑" w:cs="微软雅黑"/>
                <w:color w:val="FF0000"/>
                <w:kern w:val="0"/>
                <w:sz w:val="20"/>
                <w:szCs w:val="20"/>
                <w:lang w:bidi="ar"/>
              </w:rPr>
              <w:t>TP53：c.844C&gt;T，p.R282W</w:t>
            </w:r>
          </w:p>
          <w:p w14:paraId="36EBCC1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20" w:lineRule="atLeast"/>
              <w:ind w:left="0" w:right="0"/>
              <w:jc w:val="center"/>
              <w:textAlignment w:val="auto"/>
              <w:rPr>
                <w:rFonts w:hint="default" w:ascii="微软雅黑" w:hAnsi="微软雅黑" w:cs="微软雅黑"/>
                <w:color w:val="FF0000"/>
                <w:kern w:val="0"/>
                <w:sz w:val="20"/>
                <w:szCs w:val="20"/>
                <w:lang w:bidi="ar"/>
              </w:rPr>
            </w:pPr>
            <w:r>
              <w:rPr>
                <w:rFonts w:hint="default" w:ascii="微软雅黑" w:hAnsi="微软雅黑" w:cs="微软雅黑"/>
                <w:color w:val="FF0000"/>
                <w:kern w:val="0"/>
                <w:sz w:val="20"/>
                <w:szCs w:val="20"/>
                <w:lang w:bidi="ar"/>
              </w:rPr>
              <w:t>KRAS：c.34G&gt;A，p.G12S</w:t>
            </w:r>
          </w:p>
        </w:tc>
        <w:tc>
          <w:tcPr>
            <w:tcW w:w="3033" w:type="dxa"/>
            <w:vAlign w:val="center"/>
          </w:tcPr>
          <w:p w14:paraId="57B146C4">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检出有害变异时可能疗效较好。</w:t>
            </w:r>
          </w:p>
        </w:tc>
      </w:tr>
      <w:tr w14:paraId="6BA07E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806" w:type="dxa"/>
            <w:vAlign w:val="center"/>
          </w:tcPr>
          <w:p w14:paraId="5FFEE4D0">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TET1</w:t>
            </w:r>
          </w:p>
        </w:tc>
        <w:tc>
          <w:tcPr>
            <w:tcW w:w="2944" w:type="dxa"/>
            <w:vAlign w:val="center"/>
          </w:tcPr>
          <w:p w14:paraId="1694E83E">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未检出有害变异</w:t>
            </w:r>
          </w:p>
        </w:tc>
        <w:tc>
          <w:tcPr>
            <w:tcW w:w="3033" w:type="dxa"/>
            <w:vAlign w:val="center"/>
          </w:tcPr>
          <w:p w14:paraId="20620484">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检出有害变异时可能疗效较好。</w:t>
            </w:r>
          </w:p>
        </w:tc>
      </w:tr>
      <w:tr w14:paraId="236124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806" w:type="dxa"/>
            <w:vAlign w:val="center"/>
          </w:tcPr>
          <w:p w14:paraId="7808DE81">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SERPINB3</w:t>
            </w:r>
          </w:p>
        </w:tc>
        <w:tc>
          <w:tcPr>
            <w:tcW w:w="2944" w:type="dxa"/>
            <w:vAlign w:val="center"/>
          </w:tcPr>
          <w:p w14:paraId="715DBFD3">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未检出有害变异</w:t>
            </w:r>
          </w:p>
        </w:tc>
        <w:tc>
          <w:tcPr>
            <w:tcW w:w="3033" w:type="dxa"/>
            <w:vAlign w:val="center"/>
          </w:tcPr>
          <w:p w14:paraId="730CE087">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检出有害变异时可能疗效较好。</w:t>
            </w:r>
          </w:p>
        </w:tc>
      </w:tr>
      <w:tr w14:paraId="6ABC0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806" w:type="dxa"/>
            <w:vAlign w:val="center"/>
          </w:tcPr>
          <w:p w14:paraId="344090C8">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SERPINB4</w:t>
            </w:r>
          </w:p>
        </w:tc>
        <w:tc>
          <w:tcPr>
            <w:tcW w:w="2944" w:type="dxa"/>
            <w:vAlign w:val="center"/>
          </w:tcPr>
          <w:p w14:paraId="4E9FFF99">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未检出有害变异</w:t>
            </w:r>
          </w:p>
        </w:tc>
        <w:tc>
          <w:tcPr>
            <w:tcW w:w="3033" w:type="dxa"/>
            <w:vAlign w:val="center"/>
          </w:tcPr>
          <w:p w14:paraId="44963B33">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检出有害变异时可能疗效较好。</w:t>
            </w:r>
          </w:p>
        </w:tc>
      </w:tr>
      <w:tr w14:paraId="01DE8D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exact"/>
          <w:jc w:val="center"/>
        </w:trPr>
        <w:tc>
          <w:tcPr>
            <w:tcW w:w="2806" w:type="dxa"/>
            <w:vAlign w:val="center"/>
          </w:tcPr>
          <w:p w14:paraId="27680538">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DDR基因</w:t>
            </w:r>
          </w:p>
          <w:p w14:paraId="1D2F6CE5">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（DNA损伤修复相关基因）</w:t>
            </w:r>
          </w:p>
        </w:tc>
        <w:tc>
          <w:tcPr>
            <w:tcW w:w="2944" w:type="dxa"/>
            <w:vAlign w:val="center"/>
          </w:tcPr>
          <w:p w14:paraId="77F140F5">
            <w:pPr>
              <w:keepNext w:val="0"/>
              <w:keepLines w:val="0"/>
              <w:widowControl/>
              <w:suppressLineNumbers w:val="0"/>
              <w:adjustRightInd w:val="0"/>
              <w:snapToGrid w:val="0"/>
              <w:spacing w:before="0" w:beforeAutospacing="0" w:after="0" w:afterAutospacing="0"/>
              <w:ind w:left="0" w:right="0"/>
              <w:jc w:val="center"/>
              <w:rPr>
                <w:rFonts w:hint="eastAsia" w:ascii="微软雅黑" w:hAnsi="微软雅黑" w:cs="微软雅黑"/>
                <w:color w:val="FF0000"/>
                <w:kern w:val="0"/>
                <w:sz w:val="20"/>
                <w:szCs w:val="20"/>
                <w:u w:val="none"/>
                <w:lang w:bidi="ar"/>
              </w:rPr>
            </w:pPr>
            <w:r>
              <w:rPr>
                <w:rFonts w:hint="eastAsia" w:ascii="微软雅黑" w:hAnsi="微软雅黑" w:cs="微软雅黑"/>
                <w:color w:val="FF0000"/>
                <w:kern w:val="0"/>
                <w:sz w:val="20"/>
                <w:szCs w:val="20"/>
                <w:u w:val="none"/>
                <w:lang w:bidi="ar"/>
              </w:rPr>
              <w:t>ATM：c.6874C&gt;T，p.Q2292*</w:t>
            </w:r>
          </w:p>
        </w:tc>
        <w:tc>
          <w:tcPr>
            <w:tcW w:w="3033" w:type="dxa"/>
            <w:vAlign w:val="center"/>
          </w:tcPr>
          <w:p w14:paraId="2D75D23C">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检出有害变异时可能疗效较好。</w:t>
            </w:r>
          </w:p>
        </w:tc>
      </w:tr>
    </w:tbl>
    <w:p w14:paraId="56488F99">
      <w:pPr>
        <w:adjustRightInd/>
        <w:snapToGrid/>
        <w:spacing w:before="200" w:line="220" w:lineRule="atLeast"/>
        <w:ind w:firstLine="400" w:firstLineChars="200"/>
        <w:jc w:val="both"/>
        <w:rPr>
          <w:rFonts w:ascii="微软雅黑" w:hAnsi="微软雅黑" w:cs="微软雅黑"/>
          <w:color w:val="262626"/>
          <w:sz w:val="20"/>
          <w:szCs w:val="20"/>
          <w:lang w:bidi="ar"/>
        </w:rPr>
      </w:pPr>
      <w:r>
        <w:rPr>
          <w:rFonts w:hint="eastAsia" w:ascii="微软雅黑" w:hAnsi="微软雅黑" w:cs="微软雅黑"/>
          <w:sz w:val="20"/>
          <w:szCs w:val="20"/>
        </w:rPr>
        <w:t>免疫治疗正相关基因，指的是在免疫治疗过程中，携带该类基因突变的患者接受免疫治疗疗效可能较好，如</w:t>
      </w:r>
      <w:r>
        <w:rPr>
          <w:rFonts w:hint="eastAsia" w:ascii="微软雅黑" w:hAnsi="微软雅黑" w:cs="微软雅黑"/>
          <w:color w:val="262626"/>
          <w:sz w:val="20"/>
          <w:szCs w:val="20"/>
          <w:lang w:bidi="ar"/>
        </w:rPr>
        <w:t>PBRM1基因</w:t>
      </w:r>
      <w:r>
        <w:rPr>
          <w:rFonts w:hint="eastAsia" w:ascii="微软雅黑" w:hAnsi="微软雅黑" w:cs="微软雅黑"/>
          <w:color w:val="262626"/>
          <w:sz w:val="20"/>
          <w:szCs w:val="20"/>
          <w:vertAlign w:val="superscript"/>
          <w:lang w:bidi="ar"/>
        </w:rPr>
        <w:t>[1]</w:t>
      </w:r>
      <w:r>
        <w:rPr>
          <w:rFonts w:hint="eastAsia" w:ascii="微软雅黑" w:hAnsi="微软雅黑" w:cs="微软雅黑"/>
          <w:color w:val="262626"/>
          <w:sz w:val="20"/>
          <w:szCs w:val="20"/>
          <w:lang w:bidi="ar"/>
        </w:rPr>
        <w:t>。</w:t>
      </w:r>
    </w:p>
    <w:p w14:paraId="0DBB7570">
      <w:pPr>
        <w:pStyle w:val="29"/>
        <w:adjustRightInd/>
        <w:snapToGrid/>
        <w:spacing w:before="200"/>
        <w:ind w:firstLine="0" w:firstLineChars="0"/>
        <w:jc w:val="center"/>
        <w:rPr>
          <w:rFonts w:ascii="微软雅黑" w:hAnsi="微软雅黑" w:cs="LPJNJT+Arial Unicode MS"/>
          <w:b/>
          <w:color w:val="000000"/>
          <w:sz w:val="21"/>
          <w:szCs w:val="21"/>
          <w:lang w:bidi="ar"/>
        </w:rPr>
      </w:pPr>
      <w:r>
        <w:drawing>
          <wp:inline distT="0" distB="0" distL="114300" distR="114300">
            <wp:extent cx="947420" cy="1979930"/>
            <wp:effectExtent l="0" t="0" r="5080" b="1270"/>
            <wp:docPr id="102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 name="图片 3"/>
                    <pic:cNvPicPr>
                      <a:picLocks noChangeAspect="1"/>
                    </pic:cNvPicPr>
                  </pic:nvPicPr>
                  <pic:blipFill>
                    <a:blip r:embed="rId22"/>
                    <a:stretch>
                      <a:fillRect/>
                    </a:stretch>
                  </pic:blipFill>
                  <pic:spPr>
                    <a:xfrm>
                      <a:off x="0" y="0"/>
                      <a:ext cx="947420" cy="1979930"/>
                    </a:xfrm>
                    <a:prstGeom prst="rect">
                      <a:avLst/>
                    </a:prstGeom>
                    <a:noFill/>
                    <a:ln>
                      <a:noFill/>
                    </a:ln>
                  </pic:spPr>
                </pic:pic>
              </a:graphicData>
            </a:graphic>
          </wp:inline>
        </w:drawing>
      </w:r>
      <w:r>
        <w:rPr>
          <w:rFonts w:hint="eastAsia"/>
        </w:rPr>
        <w:t xml:space="preserve"> </w:t>
      </w:r>
      <w:r>
        <w:drawing>
          <wp:inline distT="0" distB="0" distL="114300" distR="114300">
            <wp:extent cx="3230245" cy="1979930"/>
            <wp:effectExtent l="0" t="0" r="8255" b="1270"/>
            <wp:docPr id="102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 name="图片 5"/>
                    <pic:cNvPicPr>
                      <a:picLocks noChangeAspect="1"/>
                    </pic:cNvPicPr>
                  </pic:nvPicPr>
                  <pic:blipFill>
                    <a:blip r:embed="rId23"/>
                    <a:stretch>
                      <a:fillRect/>
                    </a:stretch>
                  </pic:blipFill>
                  <pic:spPr>
                    <a:xfrm>
                      <a:off x="0" y="0"/>
                      <a:ext cx="3230245" cy="1979930"/>
                    </a:xfrm>
                    <a:prstGeom prst="rect">
                      <a:avLst/>
                    </a:prstGeom>
                    <a:noFill/>
                    <a:ln>
                      <a:noFill/>
                    </a:ln>
                  </pic:spPr>
                </pic:pic>
              </a:graphicData>
            </a:graphic>
          </wp:inline>
        </w:drawing>
      </w:r>
    </w:p>
    <w:p w14:paraId="192B2E71">
      <w:pPr>
        <w:numPr>
          <w:ilvl w:val="255"/>
          <w:numId w:val="0"/>
        </w:numPr>
        <w:spacing w:after="0" w:line="236" w:lineRule="auto"/>
        <w:ind w:firstLine="400" w:firstLineChars="200"/>
        <w:jc w:val="center"/>
        <w:rPr>
          <w:sz w:val="20"/>
          <w:szCs w:val="20"/>
        </w:rPr>
      </w:pPr>
      <w:r>
        <w:rPr>
          <w:rFonts w:hint="eastAsia" w:ascii="微软雅黑" w:hAnsi="微软雅黑" w:cs="微软雅黑"/>
          <w:sz w:val="20"/>
          <w:szCs w:val="20"/>
        </w:rPr>
        <w:t>图1  PBRM1基因突变的肾透明细胞癌患者免疫治疗获益</w:t>
      </w:r>
    </w:p>
    <w:p w14:paraId="02DEBBD1">
      <w:pPr>
        <w:pStyle w:val="29"/>
        <w:adjustRightInd/>
        <w:snapToGrid/>
        <w:spacing w:after="0"/>
        <w:ind w:firstLine="0" w:firstLineChars="0"/>
        <w:rPr>
          <w:rFonts w:ascii="微软雅黑" w:hAnsi="微软雅黑" w:cs="LPJNJT+Arial Unicode MS"/>
          <w:b/>
          <w:color w:val="000000"/>
          <w:sz w:val="21"/>
          <w:szCs w:val="21"/>
          <w:lang w:bidi="ar"/>
        </w:rPr>
      </w:pPr>
      <w:r>
        <w:rPr>
          <w:rFonts w:hint="eastAsia" w:ascii="微软雅黑" w:hAnsi="微软雅黑" w:cs="LPJNJT+Arial Unicode MS"/>
          <w:b/>
          <w:color w:val="000000"/>
          <w:sz w:val="21"/>
          <w:szCs w:val="21"/>
          <w:lang w:bidi="ar"/>
        </w:rPr>
        <w:t>参考文献：</w:t>
      </w:r>
    </w:p>
    <w:p w14:paraId="03C1BD3F">
      <w:pPr>
        <w:pStyle w:val="54"/>
        <w:numPr>
          <w:ilvl w:val="255"/>
          <w:numId w:val="0"/>
        </w:numPr>
        <w:spacing w:line="288" w:lineRule="auto"/>
        <w:ind w:right="-51"/>
        <w:jc w:val="both"/>
        <w:rPr>
          <w:rFonts w:hint="default" w:ascii="微软雅黑" w:hAnsi="微软雅黑" w:eastAsia="微软雅黑" w:cs="LPJNJT+Arial Unicode MS"/>
          <w:sz w:val="16"/>
          <w:szCs w:val="16"/>
        </w:rPr>
      </w:pPr>
      <w:r>
        <w:rPr>
          <w:rFonts w:ascii="微软雅黑" w:hAnsi="微软雅黑" w:eastAsia="微软雅黑" w:cs="LPJNJT+Arial Unicode MS"/>
          <w:sz w:val="16"/>
          <w:szCs w:val="16"/>
        </w:rPr>
        <w:t xml:space="preserve">[1] </w:t>
      </w:r>
      <w:r>
        <w:rPr>
          <w:rFonts w:hint="default" w:ascii="微软雅黑" w:hAnsi="微软雅黑" w:eastAsia="微软雅黑" w:cs="LPJNJT+Arial Unicode MS"/>
          <w:sz w:val="16"/>
          <w:szCs w:val="16"/>
        </w:rPr>
        <w:t>Miao D, Margolis C A, Gao W, et al. Genomic correlates of response to immune checkpoint therapies in clear cell renal cell carcinoma[J]. Science, 2018, 359(6377): 801-806.</w:t>
      </w:r>
    </w:p>
    <w:p w14:paraId="5BA68B57">
      <w:pPr>
        <w:pStyle w:val="29"/>
        <w:numPr>
          <w:ilvl w:val="0"/>
          <w:numId w:val="2"/>
        </w:numPr>
        <w:adjustRightInd/>
        <w:snapToGrid/>
        <w:spacing w:before="200"/>
        <w:ind w:firstLineChars="0"/>
        <w:rPr>
          <w:rFonts w:ascii="微软雅黑" w:hAnsi="微软雅黑"/>
          <w:b/>
          <w:color w:val="00C4D8"/>
          <w:sz w:val="28"/>
          <w:szCs w:val="28"/>
        </w:rPr>
      </w:pPr>
      <w:r>
        <w:rPr>
          <w:rFonts w:hint="eastAsia" w:ascii="微软雅黑" w:hAnsi="微软雅黑"/>
          <w:b/>
          <w:color w:val="00C4D8"/>
          <w:sz w:val="28"/>
          <w:szCs w:val="28"/>
        </w:rPr>
        <w:t>免疫治疗负相关基因检测结果</w:t>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51"/>
        <w:gridCol w:w="2656"/>
        <w:gridCol w:w="3215"/>
      </w:tblGrid>
      <w:tr w14:paraId="46129A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651" w:type="dxa"/>
            <w:shd w:val="clear" w:color="auto" w:fill="00C4D8"/>
            <w:vAlign w:val="center"/>
          </w:tcPr>
          <w:p w14:paraId="6FD53ACF">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b/>
                <w:color w:val="FFFFFF" w:themeColor="background1"/>
                <w:kern w:val="2"/>
                <w:sz w:val="24"/>
                <w:szCs w:val="24"/>
                <w14:textFill>
                  <w14:solidFill>
                    <w14:schemeClr w14:val="bg1"/>
                  </w14:solidFill>
                </w14:textFill>
              </w:rPr>
            </w:pPr>
            <w:r>
              <w:rPr>
                <w:rFonts w:hint="eastAsia" w:ascii="微软雅黑" w:hAnsi="微软雅黑"/>
                <w:b/>
                <w:color w:val="FFFFFF" w:themeColor="background1"/>
                <w:kern w:val="2"/>
                <w:sz w:val="24"/>
                <w:szCs w:val="24"/>
                <w14:textFill>
                  <w14:solidFill>
                    <w14:schemeClr w14:val="bg1"/>
                  </w14:solidFill>
                </w14:textFill>
              </w:rPr>
              <w:t>基因</w:t>
            </w:r>
          </w:p>
        </w:tc>
        <w:tc>
          <w:tcPr>
            <w:tcW w:w="2656" w:type="dxa"/>
            <w:shd w:val="clear" w:color="auto" w:fill="00C4D8"/>
            <w:vAlign w:val="center"/>
          </w:tcPr>
          <w:p w14:paraId="4BF8E4C7">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b/>
                <w:color w:val="FFFFFF" w:themeColor="background1"/>
                <w:kern w:val="2"/>
                <w:sz w:val="24"/>
                <w:szCs w:val="24"/>
                <w14:textFill>
                  <w14:solidFill>
                    <w14:schemeClr w14:val="bg1"/>
                  </w14:solidFill>
                </w14:textFill>
              </w:rPr>
            </w:pPr>
            <w:r>
              <w:rPr>
                <w:rFonts w:hint="eastAsia" w:ascii="微软雅黑" w:hAnsi="微软雅黑"/>
                <w:b/>
                <w:color w:val="FFFFFF" w:themeColor="background1"/>
                <w:kern w:val="2"/>
                <w:sz w:val="24"/>
                <w:szCs w:val="24"/>
                <w14:textFill>
                  <w14:solidFill>
                    <w14:schemeClr w14:val="bg1"/>
                  </w14:solidFill>
                </w14:textFill>
              </w:rPr>
              <w:t>检测结果</w:t>
            </w:r>
          </w:p>
        </w:tc>
        <w:tc>
          <w:tcPr>
            <w:tcW w:w="3215" w:type="dxa"/>
            <w:shd w:val="clear" w:color="auto" w:fill="00C4D8"/>
            <w:vAlign w:val="center"/>
          </w:tcPr>
          <w:p w14:paraId="41A39688">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b/>
                <w:color w:val="FFFFFF" w:themeColor="background1"/>
                <w:kern w:val="2"/>
                <w:sz w:val="24"/>
                <w:szCs w:val="24"/>
                <w14:textFill>
                  <w14:solidFill>
                    <w14:schemeClr w14:val="bg1"/>
                  </w14:solidFill>
                </w14:textFill>
              </w:rPr>
            </w:pPr>
            <w:r>
              <w:rPr>
                <w:rFonts w:hint="eastAsia" w:ascii="微软雅黑" w:hAnsi="微软雅黑"/>
                <w:b/>
                <w:color w:val="FFFFFF" w:themeColor="background1"/>
                <w:kern w:val="2"/>
                <w:sz w:val="24"/>
                <w:szCs w:val="24"/>
                <w14:textFill>
                  <w14:solidFill>
                    <w14:schemeClr w14:val="bg1"/>
                  </w14:solidFill>
                </w14:textFill>
              </w:rPr>
              <w:t>临床解读</w:t>
            </w:r>
          </w:p>
        </w:tc>
      </w:tr>
      <w:tr w14:paraId="70D433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2651" w:type="dxa"/>
            <w:vAlign w:val="center"/>
          </w:tcPr>
          <w:p w14:paraId="64A53989">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PTEN</w:t>
            </w:r>
          </w:p>
        </w:tc>
        <w:tc>
          <w:tcPr>
            <w:tcW w:w="2656" w:type="dxa"/>
            <w:vAlign w:val="center"/>
          </w:tcPr>
          <w:p w14:paraId="1DF03F00">
            <w:pPr>
              <w:keepNext w:val="0"/>
              <w:keepLines w:val="0"/>
              <w:widowControl/>
              <w:suppressLineNumbers w:val="0"/>
              <w:adjustRightInd/>
              <w:snapToGrid/>
              <w:spacing w:before="0" w:beforeAutospacing="0" w:after="0" w:afterAutospacing="0"/>
              <w:ind w:left="0" w:right="0"/>
              <w:jc w:val="center"/>
              <w:rPr>
                <w:rFonts w:hint="eastAsia" w:ascii="微软雅黑" w:hAnsi="微软雅黑" w:eastAsia="微软雅黑" w:cs="微软雅黑"/>
                <w:kern w:val="0"/>
                <w:sz w:val="20"/>
                <w:szCs w:val="20"/>
                <w:lang w:eastAsia="zh-CN" w:bidi="ar"/>
              </w:rPr>
            </w:pPr>
            <w:r>
              <w:rPr>
                <w:rFonts w:hint="eastAsia" w:ascii="微软雅黑" w:hAnsi="微软雅黑" w:cs="微软雅黑"/>
                <w:kern w:val="0"/>
                <w:sz w:val="20"/>
                <w:szCs w:val="20"/>
                <w:lang w:bidi="ar"/>
              </w:rPr>
              <w:t>未检出有害变异</w:t>
            </w:r>
          </w:p>
        </w:tc>
        <w:tc>
          <w:tcPr>
            <w:tcW w:w="3215" w:type="dxa"/>
            <w:vAlign w:val="center"/>
          </w:tcPr>
          <w:p w14:paraId="1CEF4A3C">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检出有害变异时可能耐药。</w:t>
            </w:r>
          </w:p>
        </w:tc>
      </w:tr>
      <w:tr w14:paraId="1F996C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2651" w:type="dxa"/>
            <w:vAlign w:val="center"/>
          </w:tcPr>
          <w:p w14:paraId="4C0CAC85">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JAK1</w:t>
            </w:r>
          </w:p>
        </w:tc>
        <w:tc>
          <w:tcPr>
            <w:tcW w:w="2656" w:type="dxa"/>
            <w:vAlign w:val="center"/>
          </w:tcPr>
          <w:p w14:paraId="678B83D1">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未检出有害变异</w:t>
            </w:r>
          </w:p>
        </w:tc>
        <w:tc>
          <w:tcPr>
            <w:tcW w:w="3215" w:type="dxa"/>
            <w:vAlign w:val="center"/>
          </w:tcPr>
          <w:p w14:paraId="0351ECAE">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检出有害变异时可能耐药。</w:t>
            </w:r>
          </w:p>
        </w:tc>
      </w:tr>
      <w:tr w14:paraId="476AA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2651" w:type="dxa"/>
            <w:vAlign w:val="center"/>
          </w:tcPr>
          <w:p w14:paraId="2AE3CDA8">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JAK2</w:t>
            </w:r>
          </w:p>
        </w:tc>
        <w:tc>
          <w:tcPr>
            <w:tcW w:w="2656" w:type="dxa"/>
            <w:vAlign w:val="center"/>
          </w:tcPr>
          <w:p w14:paraId="4A75A6A8">
            <w:pPr>
              <w:keepNext w:val="0"/>
              <w:keepLines w:val="0"/>
              <w:widowControl/>
              <w:suppressLineNumbers w:val="0"/>
              <w:adjustRightInd/>
              <w:snapToGrid/>
              <w:spacing w:before="0" w:beforeAutospacing="0" w:after="0" w:afterAutospacing="0"/>
              <w:ind w:left="0" w:right="0"/>
              <w:jc w:val="center"/>
              <w:rPr>
                <w:rFonts w:hint="eastAsia" w:ascii="微软雅黑" w:hAnsi="微软雅黑" w:eastAsia="微软雅黑" w:cs="微软雅黑"/>
                <w:kern w:val="0"/>
                <w:sz w:val="20"/>
                <w:szCs w:val="20"/>
                <w:lang w:eastAsia="zh-CN" w:bidi="ar"/>
              </w:rPr>
            </w:pPr>
            <w:r>
              <w:rPr>
                <w:rFonts w:hint="eastAsia" w:ascii="微软雅黑" w:hAnsi="微软雅黑" w:cs="微软雅黑"/>
                <w:kern w:val="0"/>
                <w:sz w:val="20"/>
                <w:szCs w:val="20"/>
                <w:lang w:bidi="ar"/>
              </w:rPr>
              <w:t>未检出有害变异</w:t>
            </w:r>
          </w:p>
        </w:tc>
        <w:tc>
          <w:tcPr>
            <w:tcW w:w="3215" w:type="dxa"/>
            <w:vAlign w:val="center"/>
          </w:tcPr>
          <w:p w14:paraId="03069C20">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检出有害变异时可能耐药。</w:t>
            </w:r>
          </w:p>
        </w:tc>
      </w:tr>
      <w:tr w14:paraId="252E3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2651" w:type="dxa"/>
            <w:vAlign w:val="center"/>
          </w:tcPr>
          <w:p w14:paraId="2AE84D7D">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B2M</w:t>
            </w:r>
          </w:p>
        </w:tc>
        <w:tc>
          <w:tcPr>
            <w:tcW w:w="2656" w:type="dxa"/>
            <w:vAlign w:val="center"/>
          </w:tcPr>
          <w:p w14:paraId="0327FD0A">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未检出有害变异</w:t>
            </w:r>
          </w:p>
        </w:tc>
        <w:tc>
          <w:tcPr>
            <w:tcW w:w="3215" w:type="dxa"/>
            <w:vAlign w:val="center"/>
          </w:tcPr>
          <w:p w14:paraId="1A53A59F">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检出有害变异时可能耐药。</w:t>
            </w:r>
          </w:p>
        </w:tc>
      </w:tr>
      <w:tr w14:paraId="7F16A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2651" w:type="dxa"/>
            <w:vAlign w:val="center"/>
          </w:tcPr>
          <w:p w14:paraId="50E48A65">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CTNNB1</w:t>
            </w:r>
          </w:p>
        </w:tc>
        <w:tc>
          <w:tcPr>
            <w:tcW w:w="2656" w:type="dxa"/>
            <w:vAlign w:val="center"/>
          </w:tcPr>
          <w:p w14:paraId="6B010132">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未检出有害变异</w:t>
            </w:r>
          </w:p>
        </w:tc>
        <w:tc>
          <w:tcPr>
            <w:tcW w:w="3215" w:type="dxa"/>
            <w:vAlign w:val="center"/>
          </w:tcPr>
          <w:p w14:paraId="66B60724">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检出有害变异时可能耐药。</w:t>
            </w:r>
          </w:p>
        </w:tc>
      </w:tr>
      <w:tr w14:paraId="71E26D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2651" w:type="dxa"/>
            <w:vAlign w:val="center"/>
          </w:tcPr>
          <w:p w14:paraId="6F64042B">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EGFR（L858R/EX19del）</w:t>
            </w:r>
          </w:p>
        </w:tc>
        <w:tc>
          <w:tcPr>
            <w:tcW w:w="2656" w:type="dxa"/>
            <w:vAlign w:val="center"/>
          </w:tcPr>
          <w:p w14:paraId="5287D597">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未检出有害变异</w:t>
            </w:r>
          </w:p>
        </w:tc>
        <w:tc>
          <w:tcPr>
            <w:tcW w:w="3215" w:type="dxa"/>
            <w:vAlign w:val="center"/>
          </w:tcPr>
          <w:p w14:paraId="37CD2D75">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检出有害变异时可能疗效不佳。</w:t>
            </w:r>
          </w:p>
        </w:tc>
      </w:tr>
      <w:tr w14:paraId="3A66A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2651" w:type="dxa"/>
            <w:vAlign w:val="center"/>
          </w:tcPr>
          <w:p w14:paraId="17BA4C1D">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ALK</w:t>
            </w:r>
          </w:p>
        </w:tc>
        <w:tc>
          <w:tcPr>
            <w:tcW w:w="2656" w:type="dxa"/>
            <w:vAlign w:val="center"/>
          </w:tcPr>
          <w:p w14:paraId="0AD440A2">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未检出有害变异</w:t>
            </w:r>
          </w:p>
        </w:tc>
        <w:tc>
          <w:tcPr>
            <w:tcW w:w="3215" w:type="dxa"/>
            <w:vAlign w:val="center"/>
          </w:tcPr>
          <w:p w14:paraId="5DDB118D">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检出有害变异时可能疗效不佳。</w:t>
            </w:r>
          </w:p>
        </w:tc>
      </w:tr>
      <w:tr w14:paraId="248C31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2651" w:type="dxa"/>
            <w:vAlign w:val="center"/>
          </w:tcPr>
          <w:p w14:paraId="445790D7">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MET</w:t>
            </w:r>
          </w:p>
        </w:tc>
        <w:tc>
          <w:tcPr>
            <w:tcW w:w="2656" w:type="dxa"/>
            <w:vAlign w:val="center"/>
          </w:tcPr>
          <w:p w14:paraId="49C15730">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未检出有害变异</w:t>
            </w:r>
          </w:p>
        </w:tc>
        <w:tc>
          <w:tcPr>
            <w:tcW w:w="3215" w:type="dxa"/>
            <w:vAlign w:val="center"/>
          </w:tcPr>
          <w:p w14:paraId="52DAE4D7">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检出有害变异时可能疗效不佳。</w:t>
            </w:r>
          </w:p>
        </w:tc>
      </w:tr>
      <w:tr w14:paraId="2F5383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2651" w:type="dxa"/>
            <w:vAlign w:val="center"/>
          </w:tcPr>
          <w:p w14:paraId="052B9AA0">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STK11</w:t>
            </w:r>
          </w:p>
        </w:tc>
        <w:tc>
          <w:tcPr>
            <w:tcW w:w="2656" w:type="dxa"/>
            <w:vAlign w:val="center"/>
          </w:tcPr>
          <w:p w14:paraId="1C34A896">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未检出有害变异</w:t>
            </w:r>
          </w:p>
        </w:tc>
        <w:tc>
          <w:tcPr>
            <w:tcW w:w="3215" w:type="dxa"/>
            <w:vAlign w:val="center"/>
          </w:tcPr>
          <w:p w14:paraId="51CE6893">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检出有害变异时可能疗效不佳。</w:t>
            </w:r>
          </w:p>
        </w:tc>
      </w:tr>
      <w:tr w14:paraId="2DE3D9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2651" w:type="dxa"/>
            <w:vAlign w:val="center"/>
          </w:tcPr>
          <w:p w14:paraId="04C41988">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KRAS/STK11共突变</w:t>
            </w:r>
          </w:p>
        </w:tc>
        <w:tc>
          <w:tcPr>
            <w:tcW w:w="2656" w:type="dxa"/>
            <w:vAlign w:val="center"/>
          </w:tcPr>
          <w:p w14:paraId="689CC9AC">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未检出有害变异</w:t>
            </w:r>
          </w:p>
        </w:tc>
        <w:tc>
          <w:tcPr>
            <w:tcW w:w="3215" w:type="dxa"/>
            <w:vAlign w:val="center"/>
          </w:tcPr>
          <w:p w14:paraId="4433FDF8">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检出有害变异时可能疗效不佳。</w:t>
            </w:r>
          </w:p>
        </w:tc>
      </w:tr>
      <w:tr w14:paraId="38A16E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2651" w:type="dxa"/>
            <w:vAlign w:val="center"/>
          </w:tcPr>
          <w:p w14:paraId="3F723B6F">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KEAP1</w:t>
            </w:r>
          </w:p>
        </w:tc>
        <w:tc>
          <w:tcPr>
            <w:tcW w:w="2656" w:type="dxa"/>
            <w:vAlign w:val="center"/>
          </w:tcPr>
          <w:p w14:paraId="20D23E5F">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未检出有害变异</w:t>
            </w:r>
          </w:p>
        </w:tc>
        <w:tc>
          <w:tcPr>
            <w:tcW w:w="3215" w:type="dxa"/>
            <w:vAlign w:val="center"/>
          </w:tcPr>
          <w:p w14:paraId="3856F7D4">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检出有害变异时可能疗效不佳。</w:t>
            </w:r>
          </w:p>
        </w:tc>
      </w:tr>
      <w:tr w14:paraId="38F5B0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2651" w:type="dxa"/>
            <w:vAlign w:val="center"/>
          </w:tcPr>
          <w:p w14:paraId="079771EA">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IFNGR1/2</w:t>
            </w:r>
          </w:p>
        </w:tc>
        <w:tc>
          <w:tcPr>
            <w:tcW w:w="2656" w:type="dxa"/>
            <w:vAlign w:val="center"/>
          </w:tcPr>
          <w:p w14:paraId="7FECA3CF">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未检出有害变异</w:t>
            </w:r>
          </w:p>
        </w:tc>
        <w:tc>
          <w:tcPr>
            <w:tcW w:w="3215" w:type="dxa"/>
            <w:vAlign w:val="center"/>
          </w:tcPr>
          <w:p w14:paraId="4762A8BC">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检出有害变异时可能疗效不佳。</w:t>
            </w:r>
          </w:p>
        </w:tc>
      </w:tr>
    </w:tbl>
    <w:p w14:paraId="2773012B">
      <w:pPr>
        <w:adjustRightInd/>
        <w:snapToGrid/>
        <w:spacing w:before="200" w:line="220" w:lineRule="atLeast"/>
        <w:ind w:firstLine="400" w:firstLineChars="200"/>
        <w:jc w:val="both"/>
        <w:rPr>
          <w:rFonts w:ascii="微软雅黑" w:hAnsi="微软雅黑" w:cs="微软雅黑"/>
          <w:color w:val="000000"/>
          <w:sz w:val="20"/>
          <w:szCs w:val="20"/>
          <w:lang w:bidi="ar"/>
        </w:rPr>
      </w:pPr>
      <w:r>
        <w:rPr>
          <w:rFonts w:hint="eastAsia" w:ascii="微软雅黑" w:hAnsi="微软雅黑" w:cs="微软雅黑"/>
          <w:color w:val="000000"/>
          <w:sz w:val="20"/>
          <w:szCs w:val="20"/>
          <w:lang w:bidi="ar"/>
        </w:rPr>
        <w:t>免疫治疗负相关基因，指的是在免疫治疗过程中，携带该类基因突变的患者产生免疫治疗耐药/疗效不佳。这些特定基因突变引起通路的改变，可能导致肿瘤微环境中免疫细胞的浸润以及功能受到抑制，如JAK1/2失活突变</w:t>
      </w:r>
      <w:r>
        <w:rPr>
          <w:rFonts w:hint="eastAsia" w:ascii="微软雅黑" w:hAnsi="微软雅黑" w:cs="微软雅黑"/>
          <w:color w:val="000000"/>
          <w:sz w:val="20"/>
          <w:szCs w:val="20"/>
          <w:vertAlign w:val="superscript"/>
          <w:lang w:bidi="ar"/>
        </w:rPr>
        <w:t>[1]</w:t>
      </w:r>
      <w:r>
        <w:rPr>
          <w:rFonts w:hint="eastAsia" w:ascii="微软雅黑" w:hAnsi="微软雅黑" w:cs="微软雅黑"/>
          <w:color w:val="000000"/>
          <w:sz w:val="20"/>
          <w:szCs w:val="20"/>
          <w:lang w:bidi="ar"/>
        </w:rPr>
        <w:t>。</w:t>
      </w:r>
    </w:p>
    <w:p w14:paraId="517BD09B">
      <w:pPr>
        <w:adjustRightInd/>
        <w:snapToGrid/>
        <w:spacing w:before="200" w:line="220" w:lineRule="atLeast"/>
        <w:ind w:firstLine="440" w:firstLineChars="200"/>
        <w:jc w:val="center"/>
        <w:rPr>
          <w:rFonts w:ascii="微软雅黑" w:hAnsi="微软雅黑" w:cs="微软雅黑"/>
          <w:color w:val="262626"/>
          <w:sz w:val="20"/>
          <w:szCs w:val="20"/>
          <w:lang w:bidi="ar"/>
        </w:rPr>
      </w:pPr>
      <w:r>
        <w:drawing>
          <wp:inline distT="0" distB="0" distL="114300" distR="114300">
            <wp:extent cx="3832225" cy="2641600"/>
            <wp:effectExtent l="0" t="0" r="15875" b="6350"/>
            <wp:docPr id="102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 name="图片 6"/>
                    <pic:cNvPicPr>
                      <a:picLocks noChangeAspect="1"/>
                    </pic:cNvPicPr>
                  </pic:nvPicPr>
                  <pic:blipFill>
                    <a:blip r:embed="rId24"/>
                    <a:stretch>
                      <a:fillRect/>
                    </a:stretch>
                  </pic:blipFill>
                  <pic:spPr>
                    <a:xfrm>
                      <a:off x="0" y="0"/>
                      <a:ext cx="3832225" cy="2641600"/>
                    </a:xfrm>
                    <a:prstGeom prst="rect">
                      <a:avLst/>
                    </a:prstGeom>
                    <a:noFill/>
                    <a:ln>
                      <a:noFill/>
                    </a:ln>
                  </pic:spPr>
                </pic:pic>
              </a:graphicData>
            </a:graphic>
          </wp:inline>
        </w:drawing>
      </w:r>
    </w:p>
    <w:p w14:paraId="4A38A33A">
      <w:pPr>
        <w:numPr>
          <w:ilvl w:val="255"/>
          <w:numId w:val="0"/>
        </w:numPr>
        <w:spacing w:after="0" w:line="236" w:lineRule="auto"/>
        <w:ind w:firstLine="400" w:firstLineChars="200"/>
        <w:jc w:val="center"/>
        <w:rPr>
          <w:rFonts w:ascii="微软雅黑" w:hAnsi="微软雅黑" w:cs="微软雅黑"/>
          <w:sz w:val="21"/>
          <w:szCs w:val="21"/>
        </w:rPr>
      </w:pPr>
      <w:r>
        <w:rPr>
          <w:rFonts w:hint="eastAsia" w:ascii="微软雅黑" w:hAnsi="微软雅黑" w:cs="微软雅黑"/>
          <w:sz w:val="20"/>
          <w:szCs w:val="20"/>
        </w:rPr>
        <w:t>图1  JAK1/2失活免疫抑制机制</w:t>
      </w:r>
    </w:p>
    <w:p w14:paraId="686290C2">
      <w:pPr>
        <w:pStyle w:val="29"/>
        <w:adjustRightInd/>
        <w:snapToGrid/>
        <w:spacing w:before="200"/>
        <w:ind w:firstLine="0" w:firstLineChars="0"/>
        <w:rPr>
          <w:rFonts w:ascii="微软雅黑" w:hAnsi="微软雅黑" w:cs="LPJNJT+Arial Unicode MS"/>
          <w:color w:val="000000"/>
          <w:sz w:val="16"/>
          <w:szCs w:val="16"/>
          <w:lang w:bidi="ar"/>
        </w:rPr>
      </w:pPr>
      <w:r>
        <w:rPr>
          <w:rFonts w:hint="eastAsia" w:ascii="微软雅黑" w:hAnsi="微软雅黑" w:cs="LPJNJT+Arial Unicode MS"/>
          <w:b/>
          <w:color w:val="000000"/>
          <w:sz w:val="21"/>
          <w:szCs w:val="21"/>
          <w:lang w:bidi="ar"/>
        </w:rPr>
        <w:t>参考文献：</w:t>
      </w:r>
    </w:p>
    <w:p w14:paraId="3297A308">
      <w:pPr>
        <w:pStyle w:val="54"/>
        <w:numPr>
          <w:ilvl w:val="255"/>
          <w:numId w:val="0"/>
        </w:numPr>
        <w:spacing w:line="288" w:lineRule="auto"/>
        <w:ind w:right="-51"/>
        <w:jc w:val="both"/>
        <w:rPr>
          <w:rFonts w:hint="default" w:ascii="微软雅黑" w:hAnsi="微软雅黑" w:eastAsia="微软雅黑" w:cs="LPJNJT+Arial Unicode MS"/>
          <w:sz w:val="16"/>
          <w:szCs w:val="16"/>
        </w:rPr>
      </w:pPr>
      <w:r>
        <w:rPr>
          <w:rFonts w:ascii="微软雅黑" w:hAnsi="微软雅黑" w:eastAsia="微软雅黑" w:cs="LPJNJT+Arial Unicode MS"/>
          <w:sz w:val="16"/>
          <w:szCs w:val="16"/>
        </w:rPr>
        <w:t>[1] Kalbasi A, Ribas A. Tumour-intrinsic resistance to immune checkpoint blockade[J]. Nature Reviews Immunology, 2019: 1-15.</w:t>
      </w:r>
    </w:p>
    <w:p w14:paraId="2B48199F">
      <w:pPr>
        <w:pStyle w:val="29"/>
        <w:numPr>
          <w:ilvl w:val="0"/>
          <w:numId w:val="2"/>
        </w:numPr>
        <w:adjustRightInd/>
        <w:snapToGrid/>
        <w:spacing w:before="200"/>
        <w:ind w:firstLineChars="0"/>
        <w:rPr>
          <w:rFonts w:ascii="微软雅黑" w:hAnsi="微软雅黑"/>
          <w:b/>
          <w:color w:val="00C4D8"/>
          <w:sz w:val="28"/>
          <w:szCs w:val="28"/>
        </w:rPr>
      </w:pPr>
      <w:r>
        <w:rPr>
          <w:rFonts w:hint="eastAsia" w:ascii="微软雅黑" w:hAnsi="微软雅黑"/>
          <w:b/>
          <w:color w:val="00C4D8"/>
          <w:sz w:val="28"/>
          <w:szCs w:val="28"/>
        </w:rPr>
        <w:t>免疫治疗超进展基因检测结果</w:t>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51"/>
        <w:gridCol w:w="2793"/>
        <w:gridCol w:w="3478"/>
      </w:tblGrid>
      <w:tr w14:paraId="64AF8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rPr>
        <w:tc>
          <w:tcPr>
            <w:tcW w:w="2251" w:type="dxa"/>
            <w:shd w:val="clear" w:color="auto" w:fill="00C4D8"/>
            <w:vAlign w:val="center"/>
          </w:tcPr>
          <w:p w14:paraId="15EC3988">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b/>
                <w:color w:val="FFFFFF" w:themeColor="background1"/>
                <w:kern w:val="2"/>
                <w:sz w:val="24"/>
                <w:szCs w:val="24"/>
                <w14:textFill>
                  <w14:solidFill>
                    <w14:schemeClr w14:val="bg1"/>
                  </w14:solidFill>
                </w14:textFill>
              </w:rPr>
            </w:pPr>
            <w:r>
              <w:rPr>
                <w:rFonts w:hint="eastAsia" w:ascii="微软雅黑" w:hAnsi="微软雅黑"/>
                <w:b/>
                <w:color w:val="FFFFFF" w:themeColor="background1"/>
                <w:kern w:val="2"/>
                <w:sz w:val="24"/>
                <w:szCs w:val="24"/>
                <w14:textFill>
                  <w14:solidFill>
                    <w14:schemeClr w14:val="bg1"/>
                  </w14:solidFill>
                </w14:textFill>
              </w:rPr>
              <w:t>基因</w:t>
            </w:r>
          </w:p>
        </w:tc>
        <w:tc>
          <w:tcPr>
            <w:tcW w:w="2793" w:type="dxa"/>
            <w:shd w:val="clear" w:color="auto" w:fill="00C4D8"/>
            <w:vAlign w:val="center"/>
          </w:tcPr>
          <w:p w14:paraId="3744395A">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b/>
                <w:color w:val="FFFFFF" w:themeColor="background1"/>
                <w:kern w:val="2"/>
                <w:sz w:val="24"/>
                <w:szCs w:val="24"/>
                <w14:textFill>
                  <w14:solidFill>
                    <w14:schemeClr w14:val="bg1"/>
                  </w14:solidFill>
                </w14:textFill>
              </w:rPr>
            </w:pPr>
            <w:r>
              <w:rPr>
                <w:rFonts w:hint="eastAsia" w:ascii="微软雅黑" w:hAnsi="微软雅黑"/>
                <w:b/>
                <w:color w:val="FFFFFF" w:themeColor="background1"/>
                <w:kern w:val="2"/>
                <w:sz w:val="24"/>
                <w:szCs w:val="24"/>
                <w14:textFill>
                  <w14:solidFill>
                    <w14:schemeClr w14:val="bg1"/>
                  </w14:solidFill>
                </w14:textFill>
              </w:rPr>
              <w:t>检测结果</w:t>
            </w:r>
          </w:p>
        </w:tc>
        <w:tc>
          <w:tcPr>
            <w:tcW w:w="3478" w:type="dxa"/>
            <w:shd w:val="clear" w:color="auto" w:fill="00C4D8"/>
            <w:vAlign w:val="center"/>
          </w:tcPr>
          <w:p w14:paraId="540161B9">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b/>
                <w:color w:val="FFFFFF" w:themeColor="background1"/>
                <w:kern w:val="2"/>
                <w:sz w:val="24"/>
                <w:szCs w:val="24"/>
                <w14:textFill>
                  <w14:solidFill>
                    <w14:schemeClr w14:val="bg1"/>
                  </w14:solidFill>
                </w14:textFill>
              </w:rPr>
            </w:pPr>
            <w:r>
              <w:rPr>
                <w:rFonts w:hint="eastAsia" w:ascii="微软雅黑" w:hAnsi="微软雅黑"/>
                <w:b/>
                <w:color w:val="FFFFFF" w:themeColor="background1"/>
                <w:kern w:val="2"/>
                <w:sz w:val="24"/>
                <w:szCs w:val="24"/>
                <w14:textFill>
                  <w14:solidFill>
                    <w14:schemeClr w14:val="bg1"/>
                  </w14:solidFill>
                </w14:textFill>
              </w:rPr>
              <w:t>临床解读</w:t>
            </w:r>
          </w:p>
        </w:tc>
      </w:tr>
      <w:tr w14:paraId="649E9B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4" w:hRule="exact"/>
        </w:trPr>
        <w:tc>
          <w:tcPr>
            <w:tcW w:w="2251" w:type="dxa"/>
            <w:vAlign w:val="center"/>
          </w:tcPr>
          <w:p w14:paraId="5B2F4FE2">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color w:val="000000" w:themeColor="text1"/>
                <w:kern w:val="0"/>
                <w:sz w:val="20"/>
                <w:szCs w:val="20"/>
                <w:lang w:bidi="ar"/>
                <w14:textFill>
                  <w14:solidFill>
                    <w14:schemeClr w14:val="tx1"/>
                  </w14:solidFill>
                </w14:textFill>
              </w:rPr>
              <w:t>MDM2</w:t>
            </w:r>
          </w:p>
        </w:tc>
        <w:tc>
          <w:tcPr>
            <w:tcW w:w="2793" w:type="dxa"/>
            <w:vAlign w:val="center"/>
          </w:tcPr>
          <w:p w14:paraId="30EA82E7">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kern w:val="0"/>
                <w:sz w:val="20"/>
                <w:szCs w:val="20"/>
                <w:lang w:bidi="ar"/>
              </w:rPr>
              <w:t>未检出有害变异</w:t>
            </w:r>
          </w:p>
        </w:tc>
        <w:tc>
          <w:tcPr>
            <w:tcW w:w="3478" w:type="dxa"/>
            <w:vAlign w:val="center"/>
          </w:tcPr>
          <w:p w14:paraId="42BB512B">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color w:val="000000" w:themeColor="text1"/>
                <w:kern w:val="0"/>
                <w:sz w:val="20"/>
                <w:szCs w:val="20"/>
                <w:lang w:bidi="ar"/>
                <w14:textFill>
                  <w14:solidFill>
                    <w14:schemeClr w14:val="tx1"/>
                  </w14:solidFill>
                </w14:textFill>
              </w:rPr>
              <w:t>检出有害变异时可能与超进展相关。</w:t>
            </w:r>
          </w:p>
        </w:tc>
      </w:tr>
      <w:tr w14:paraId="207A25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4" w:hRule="exact"/>
        </w:trPr>
        <w:tc>
          <w:tcPr>
            <w:tcW w:w="2251" w:type="dxa"/>
            <w:vAlign w:val="center"/>
          </w:tcPr>
          <w:p w14:paraId="59D7AF41">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color w:val="000000" w:themeColor="text1"/>
                <w:kern w:val="0"/>
                <w:sz w:val="20"/>
                <w:szCs w:val="20"/>
                <w:lang w:bidi="ar"/>
                <w14:textFill>
                  <w14:solidFill>
                    <w14:schemeClr w14:val="tx1"/>
                  </w14:solidFill>
                </w14:textFill>
              </w:rPr>
              <w:t>MDM4</w:t>
            </w:r>
          </w:p>
        </w:tc>
        <w:tc>
          <w:tcPr>
            <w:tcW w:w="2793" w:type="dxa"/>
            <w:vAlign w:val="center"/>
          </w:tcPr>
          <w:p w14:paraId="2226F51E">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kern w:val="0"/>
                <w:sz w:val="20"/>
                <w:szCs w:val="20"/>
                <w:lang w:bidi="ar"/>
              </w:rPr>
              <w:t>未检出有害变异</w:t>
            </w:r>
          </w:p>
        </w:tc>
        <w:tc>
          <w:tcPr>
            <w:tcW w:w="3478" w:type="dxa"/>
            <w:vAlign w:val="center"/>
          </w:tcPr>
          <w:p w14:paraId="7720A3F5">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color w:val="000000" w:themeColor="text1"/>
                <w:kern w:val="0"/>
                <w:sz w:val="20"/>
                <w:szCs w:val="20"/>
                <w:lang w:bidi="ar"/>
                <w14:textFill>
                  <w14:solidFill>
                    <w14:schemeClr w14:val="tx1"/>
                  </w14:solidFill>
                </w14:textFill>
              </w:rPr>
              <w:t>检出有害变异时可能与超进展相关。</w:t>
            </w:r>
          </w:p>
        </w:tc>
      </w:tr>
      <w:tr w14:paraId="12EC1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4" w:hRule="exact"/>
        </w:trPr>
        <w:tc>
          <w:tcPr>
            <w:tcW w:w="2251" w:type="dxa"/>
            <w:vAlign w:val="center"/>
          </w:tcPr>
          <w:p w14:paraId="1279DC36">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color w:val="000000" w:themeColor="text1"/>
                <w:kern w:val="0"/>
                <w:sz w:val="20"/>
                <w:szCs w:val="20"/>
                <w:lang w:bidi="ar"/>
                <w14:textFill>
                  <w14:solidFill>
                    <w14:schemeClr w14:val="tx1"/>
                  </w14:solidFill>
                </w14:textFill>
              </w:rPr>
              <w:t>DNMT3A</w:t>
            </w:r>
          </w:p>
        </w:tc>
        <w:tc>
          <w:tcPr>
            <w:tcW w:w="2793" w:type="dxa"/>
            <w:vAlign w:val="center"/>
          </w:tcPr>
          <w:p w14:paraId="4C290626">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kern w:val="0"/>
                <w:sz w:val="20"/>
                <w:szCs w:val="20"/>
                <w:lang w:bidi="ar"/>
              </w:rPr>
              <w:t>未检出有害变异</w:t>
            </w:r>
          </w:p>
        </w:tc>
        <w:tc>
          <w:tcPr>
            <w:tcW w:w="3478" w:type="dxa"/>
            <w:vAlign w:val="center"/>
          </w:tcPr>
          <w:p w14:paraId="7086F587">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color w:val="000000" w:themeColor="text1"/>
                <w:kern w:val="0"/>
                <w:sz w:val="20"/>
                <w:szCs w:val="20"/>
                <w:lang w:bidi="ar"/>
                <w14:textFill>
                  <w14:solidFill>
                    <w14:schemeClr w14:val="tx1"/>
                  </w14:solidFill>
                </w14:textFill>
              </w:rPr>
              <w:t>检出有害变异时可能与超进展相关。</w:t>
            </w:r>
          </w:p>
        </w:tc>
      </w:tr>
      <w:tr w14:paraId="04188C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4" w:hRule="exact"/>
        </w:trPr>
        <w:tc>
          <w:tcPr>
            <w:tcW w:w="2251" w:type="dxa"/>
            <w:vAlign w:val="center"/>
          </w:tcPr>
          <w:p w14:paraId="498AA481">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default" w:ascii="微软雅黑" w:hAnsi="微软雅黑" w:cs="微软雅黑"/>
                <w:color w:val="000000" w:themeColor="text1"/>
                <w:kern w:val="0"/>
                <w:sz w:val="20"/>
                <w:szCs w:val="20"/>
                <w:lang w:bidi="ar"/>
                <w14:textFill>
                  <w14:solidFill>
                    <w14:schemeClr w14:val="tx1"/>
                  </w14:solidFill>
                </w14:textFill>
              </w:rPr>
              <w:t>EGFR</w:t>
            </w:r>
            <w:r>
              <w:rPr>
                <w:rFonts w:hint="eastAsia" w:ascii="微软雅黑" w:hAnsi="微软雅黑" w:cs="微软雅黑"/>
                <w:color w:val="000000" w:themeColor="text1"/>
                <w:kern w:val="0"/>
                <w:sz w:val="20"/>
                <w:szCs w:val="20"/>
                <w:lang w:bidi="ar"/>
                <w14:textFill>
                  <w14:solidFill>
                    <w14:schemeClr w14:val="tx1"/>
                  </w14:solidFill>
                </w14:textFill>
              </w:rPr>
              <w:t>（扩增）</w:t>
            </w:r>
          </w:p>
        </w:tc>
        <w:tc>
          <w:tcPr>
            <w:tcW w:w="2793" w:type="dxa"/>
            <w:vAlign w:val="center"/>
          </w:tcPr>
          <w:p w14:paraId="2BB761B6">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kern w:val="0"/>
                <w:sz w:val="20"/>
                <w:szCs w:val="20"/>
                <w:lang w:bidi="ar"/>
              </w:rPr>
              <w:t>未检出有害变异</w:t>
            </w:r>
          </w:p>
        </w:tc>
        <w:tc>
          <w:tcPr>
            <w:tcW w:w="3478" w:type="dxa"/>
            <w:vAlign w:val="center"/>
          </w:tcPr>
          <w:p w14:paraId="3281C3C9">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color w:val="000000" w:themeColor="text1"/>
                <w:kern w:val="0"/>
                <w:sz w:val="20"/>
                <w:szCs w:val="20"/>
                <w:lang w:bidi="ar"/>
                <w14:textFill>
                  <w14:solidFill>
                    <w14:schemeClr w14:val="tx1"/>
                  </w14:solidFill>
                </w14:textFill>
              </w:rPr>
              <w:t>检出有害变异时可能与超进展相关。</w:t>
            </w:r>
          </w:p>
        </w:tc>
      </w:tr>
      <w:tr w14:paraId="1F6A1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4" w:hRule="exact"/>
        </w:trPr>
        <w:tc>
          <w:tcPr>
            <w:tcW w:w="2251" w:type="dxa"/>
            <w:vAlign w:val="center"/>
          </w:tcPr>
          <w:p w14:paraId="75B9E144">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default" w:ascii="微软雅黑" w:hAnsi="微软雅黑" w:cs="微软雅黑"/>
                <w:color w:val="000000" w:themeColor="text1"/>
                <w:kern w:val="0"/>
                <w:sz w:val="20"/>
                <w:szCs w:val="20"/>
                <w:lang w:bidi="ar"/>
                <w14:textFill>
                  <w14:solidFill>
                    <w14:schemeClr w14:val="tx1"/>
                  </w14:solidFill>
                </w14:textFill>
              </w:rPr>
              <w:t>CCND1</w:t>
            </w:r>
          </w:p>
        </w:tc>
        <w:tc>
          <w:tcPr>
            <w:tcW w:w="2793" w:type="dxa"/>
            <w:vAlign w:val="center"/>
          </w:tcPr>
          <w:p w14:paraId="0C261D95">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kern w:val="0"/>
                <w:sz w:val="20"/>
                <w:szCs w:val="20"/>
                <w:lang w:bidi="ar"/>
              </w:rPr>
              <w:t>未检出有害变异</w:t>
            </w:r>
          </w:p>
        </w:tc>
        <w:tc>
          <w:tcPr>
            <w:tcW w:w="3478" w:type="dxa"/>
            <w:vAlign w:val="center"/>
          </w:tcPr>
          <w:p w14:paraId="2D168637">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color w:val="000000" w:themeColor="text1"/>
                <w:kern w:val="0"/>
                <w:sz w:val="20"/>
                <w:szCs w:val="20"/>
                <w:lang w:bidi="ar"/>
                <w14:textFill>
                  <w14:solidFill>
                    <w14:schemeClr w14:val="tx1"/>
                  </w14:solidFill>
                </w14:textFill>
              </w:rPr>
              <w:t>检出有害变异时可能与超进展相关。</w:t>
            </w:r>
          </w:p>
        </w:tc>
      </w:tr>
      <w:tr w14:paraId="267442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4" w:hRule="exact"/>
        </w:trPr>
        <w:tc>
          <w:tcPr>
            <w:tcW w:w="2251" w:type="dxa"/>
            <w:vAlign w:val="center"/>
          </w:tcPr>
          <w:p w14:paraId="3D053A40">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default" w:ascii="微软雅黑" w:hAnsi="微软雅黑" w:cs="微软雅黑"/>
                <w:color w:val="000000" w:themeColor="text1"/>
                <w:kern w:val="0"/>
                <w:sz w:val="20"/>
                <w:szCs w:val="20"/>
                <w:lang w:bidi="ar"/>
                <w14:textFill>
                  <w14:solidFill>
                    <w14:schemeClr w14:val="tx1"/>
                  </w14:solidFill>
                </w14:textFill>
              </w:rPr>
              <w:t>FGF3</w:t>
            </w:r>
          </w:p>
        </w:tc>
        <w:tc>
          <w:tcPr>
            <w:tcW w:w="2793" w:type="dxa"/>
            <w:vAlign w:val="center"/>
          </w:tcPr>
          <w:p w14:paraId="38E67C35">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kern w:val="0"/>
                <w:sz w:val="20"/>
                <w:szCs w:val="20"/>
                <w:lang w:bidi="ar"/>
              </w:rPr>
              <w:t>未检出有害变异</w:t>
            </w:r>
          </w:p>
        </w:tc>
        <w:tc>
          <w:tcPr>
            <w:tcW w:w="3478" w:type="dxa"/>
            <w:vAlign w:val="center"/>
          </w:tcPr>
          <w:p w14:paraId="22CAFC44">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color w:val="000000" w:themeColor="text1"/>
                <w:kern w:val="0"/>
                <w:sz w:val="20"/>
                <w:szCs w:val="20"/>
                <w:lang w:bidi="ar"/>
                <w14:textFill>
                  <w14:solidFill>
                    <w14:schemeClr w14:val="tx1"/>
                  </w14:solidFill>
                </w14:textFill>
              </w:rPr>
              <w:t>检出有害变异时可能与超进展相关。</w:t>
            </w:r>
          </w:p>
        </w:tc>
      </w:tr>
      <w:tr w14:paraId="479D16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4" w:hRule="exact"/>
        </w:trPr>
        <w:tc>
          <w:tcPr>
            <w:tcW w:w="2251" w:type="dxa"/>
            <w:vAlign w:val="center"/>
          </w:tcPr>
          <w:p w14:paraId="46168B12">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default" w:ascii="微软雅黑" w:hAnsi="微软雅黑" w:cs="微软雅黑"/>
                <w:color w:val="000000" w:themeColor="text1"/>
                <w:kern w:val="0"/>
                <w:sz w:val="20"/>
                <w:szCs w:val="20"/>
                <w:lang w:bidi="ar"/>
                <w14:textFill>
                  <w14:solidFill>
                    <w14:schemeClr w14:val="tx1"/>
                  </w14:solidFill>
                </w14:textFill>
              </w:rPr>
              <w:t>FGF4</w:t>
            </w:r>
          </w:p>
        </w:tc>
        <w:tc>
          <w:tcPr>
            <w:tcW w:w="2793" w:type="dxa"/>
            <w:vAlign w:val="center"/>
          </w:tcPr>
          <w:p w14:paraId="24F0F5C1">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kern w:val="0"/>
                <w:sz w:val="20"/>
                <w:szCs w:val="20"/>
                <w:lang w:bidi="ar"/>
              </w:rPr>
              <w:t>未检出有害变异</w:t>
            </w:r>
          </w:p>
        </w:tc>
        <w:tc>
          <w:tcPr>
            <w:tcW w:w="3478" w:type="dxa"/>
            <w:vAlign w:val="center"/>
          </w:tcPr>
          <w:p w14:paraId="1279FEDF">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color w:val="000000" w:themeColor="text1"/>
                <w:kern w:val="0"/>
                <w:sz w:val="20"/>
                <w:szCs w:val="20"/>
                <w:lang w:bidi="ar"/>
                <w14:textFill>
                  <w14:solidFill>
                    <w14:schemeClr w14:val="tx1"/>
                  </w14:solidFill>
                </w14:textFill>
              </w:rPr>
              <w:t>检出有害变异时可能与超进展相关。</w:t>
            </w:r>
          </w:p>
        </w:tc>
      </w:tr>
      <w:tr w14:paraId="201626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4" w:hRule="exact"/>
        </w:trPr>
        <w:tc>
          <w:tcPr>
            <w:tcW w:w="2251" w:type="dxa"/>
            <w:vAlign w:val="center"/>
          </w:tcPr>
          <w:p w14:paraId="18C3A94C">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default" w:ascii="微软雅黑" w:hAnsi="微软雅黑" w:cs="微软雅黑"/>
                <w:color w:val="000000" w:themeColor="text1"/>
                <w:kern w:val="0"/>
                <w:sz w:val="20"/>
                <w:szCs w:val="20"/>
                <w:lang w:bidi="ar"/>
                <w14:textFill>
                  <w14:solidFill>
                    <w14:schemeClr w14:val="tx1"/>
                  </w14:solidFill>
                </w14:textFill>
              </w:rPr>
              <w:t>FGF19</w:t>
            </w:r>
          </w:p>
        </w:tc>
        <w:tc>
          <w:tcPr>
            <w:tcW w:w="2793" w:type="dxa"/>
            <w:vAlign w:val="center"/>
          </w:tcPr>
          <w:p w14:paraId="435812B0">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kern w:val="0"/>
                <w:sz w:val="20"/>
                <w:szCs w:val="20"/>
                <w:lang w:bidi="ar"/>
              </w:rPr>
              <w:t>未检出有害变异</w:t>
            </w:r>
          </w:p>
        </w:tc>
        <w:tc>
          <w:tcPr>
            <w:tcW w:w="3478" w:type="dxa"/>
            <w:vAlign w:val="center"/>
          </w:tcPr>
          <w:p w14:paraId="4A93A177">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color w:val="000000" w:themeColor="text1"/>
                <w:kern w:val="0"/>
                <w:sz w:val="20"/>
                <w:szCs w:val="20"/>
                <w:lang w:bidi="ar"/>
                <w14:textFill>
                  <w14:solidFill>
                    <w14:schemeClr w14:val="tx1"/>
                  </w14:solidFill>
                </w14:textFill>
              </w:rPr>
              <w:t>检出有害变异时可能与超进展相关。</w:t>
            </w:r>
          </w:p>
        </w:tc>
      </w:tr>
    </w:tbl>
    <w:p w14:paraId="21CA29B9">
      <w:pPr>
        <w:adjustRightInd/>
        <w:snapToGrid/>
        <w:spacing w:before="200" w:line="220" w:lineRule="atLeast"/>
        <w:ind w:firstLine="400" w:firstLineChars="200"/>
        <w:jc w:val="both"/>
        <w:rPr>
          <w:rFonts w:ascii="微软雅黑" w:hAnsi="微软雅黑" w:cs="微软雅黑"/>
          <w:sz w:val="21"/>
          <w:szCs w:val="21"/>
        </w:rPr>
      </w:pPr>
      <w:r>
        <w:rPr>
          <w:rFonts w:hint="eastAsia" w:ascii="微软雅黑" w:hAnsi="微软雅黑" w:cs="微软雅黑"/>
          <w:sz w:val="20"/>
          <w:szCs w:val="20"/>
        </w:rPr>
        <w:t>有研究表明，MDM2/4基因的有害突变与疾病超进展（HPD）密切相关</w:t>
      </w:r>
      <w:r>
        <w:rPr>
          <w:rFonts w:hint="eastAsia" w:ascii="微软雅黑" w:hAnsi="微软雅黑" w:cs="微软雅黑"/>
          <w:sz w:val="20"/>
          <w:szCs w:val="20"/>
          <w:vertAlign w:val="superscript"/>
        </w:rPr>
        <w:t>[1-2]</w:t>
      </w:r>
      <w:r>
        <w:rPr>
          <w:rFonts w:hint="eastAsia" w:ascii="微软雅黑" w:hAnsi="微软雅黑" w:cs="微软雅黑"/>
          <w:sz w:val="20"/>
          <w:szCs w:val="20"/>
        </w:rPr>
        <w:t>。HPD被定义为治疗后肿瘤反常地加速生长，包括：（1）在免疫检查点抑制剂治疗后第一次评价时进展，或至治疗失败时间（TTF）&lt;2月；（2）肿瘤体积增加&gt;50%；(3)肿瘤增长速度（TGR）增加&gt;2倍。</w:t>
      </w:r>
    </w:p>
    <w:p w14:paraId="7AC3CDC5">
      <w:pPr>
        <w:adjustRightInd/>
        <w:snapToGrid/>
        <w:spacing w:before="200" w:line="220" w:lineRule="atLeast"/>
        <w:jc w:val="center"/>
        <w:rPr>
          <w:rFonts w:ascii="微软雅黑" w:hAnsi="微软雅黑"/>
          <w:b/>
          <w:color w:val="FF0000"/>
          <w:sz w:val="28"/>
          <w:szCs w:val="28"/>
        </w:rPr>
      </w:pPr>
      <w:r>
        <w:drawing>
          <wp:inline distT="0" distB="0" distL="114300" distR="114300">
            <wp:extent cx="4568190" cy="2336800"/>
            <wp:effectExtent l="0" t="0" r="3810" b="6350"/>
            <wp:docPr id="102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 name="图片 2"/>
                    <pic:cNvPicPr>
                      <a:picLocks noChangeAspect="1"/>
                    </pic:cNvPicPr>
                  </pic:nvPicPr>
                  <pic:blipFill>
                    <a:blip r:embed="rId25"/>
                    <a:stretch>
                      <a:fillRect/>
                    </a:stretch>
                  </pic:blipFill>
                  <pic:spPr>
                    <a:xfrm>
                      <a:off x="0" y="0"/>
                      <a:ext cx="4568190" cy="2336800"/>
                    </a:xfrm>
                    <a:prstGeom prst="rect">
                      <a:avLst/>
                    </a:prstGeom>
                    <a:noFill/>
                    <a:ln>
                      <a:noFill/>
                    </a:ln>
                  </pic:spPr>
                </pic:pic>
              </a:graphicData>
            </a:graphic>
          </wp:inline>
        </w:drawing>
      </w:r>
    </w:p>
    <w:p w14:paraId="14CA6F52">
      <w:pPr>
        <w:numPr>
          <w:ilvl w:val="255"/>
          <w:numId w:val="0"/>
        </w:numPr>
        <w:spacing w:after="0" w:line="236" w:lineRule="auto"/>
        <w:ind w:firstLine="400" w:firstLineChars="200"/>
        <w:jc w:val="center"/>
      </w:pPr>
      <w:r>
        <w:rPr>
          <w:rFonts w:hint="eastAsia" w:ascii="微软雅黑" w:hAnsi="微软雅黑" w:cs="微软雅黑"/>
          <w:sz w:val="20"/>
          <w:szCs w:val="20"/>
        </w:rPr>
        <w:t>图1  疾病超进展图示</w:t>
      </w:r>
    </w:p>
    <w:p w14:paraId="284402D5">
      <w:pPr>
        <w:pStyle w:val="14"/>
        <w:widowControl w:val="0"/>
        <w:autoSpaceDE w:val="0"/>
        <w:autoSpaceDN w:val="0"/>
        <w:snapToGrid/>
        <w:spacing w:beforeAutospacing="0" w:afterAutospacing="0" w:line="312" w:lineRule="auto"/>
        <w:ind w:right="-51"/>
        <w:jc w:val="both"/>
        <w:rPr>
          <w:rFonts w:ascii="微软雅黑" w:hAnsi="微软雅黑" w:cs="LPJNJT+Arial Unicode MS"/>
          <w:b/>
          <w:color w:val="000000"/>
          <w:sz w:val="21"/>
          <w:szCs w:val="21"/>
          <w:lang w:bidi="ar"/>
        </w:rPr>
      </w:pPr>
    </w:p>
    <w:p w14:paraId="026C51A3">
      <w:pPr>
        <w:pStyle w:val="14"/>
        <w:widowControl w:val="0"/>
        <w:autoSpaceDE w:val="0"/>
        <w:autoSpaceDN w:val="0"/>
        <w:snapToGrid/>
        <w:spacing w:beforeAutospacing="0" w:afterAutospacing="0" w:line="312" w:lineRule="auto"/>
        <w:ind w:right="-51"/>
        <w:jc w:val="both"/>
        <w:rPr>
          <w:rFonts w:ascii="微软雅黑" w:hAnsi="微软雅黑" w:cs="LPJNJT+Arial Unicode MS"/>
          <w:b/>
          <w:color w:val="000000"/>
          <w:sz w:val="21"/>
          <w:szCs w:val="21"/>
          <w:lang w:bidi="ar"/>
        </w:rPr>
      </w:pPr>
    </w:p>
    <w:p w14:paraId="0BB6BC9E">
      <w:pPr>
        <w:pStyle w:val="14"/>
        <w:widowControl w:val="0"/>
        <w:autoSpaceDE w:val="0"/>
        <w:autoSpaceDN w:val="0"/>
        <w:snapToGrid/>
        <w:spacing w:beforeAutospacing="0" w:afterAutospacing="0" w:line="312" w:lineRule="auto"/>
        <w:ind w:right="-51"/>
        <w:jc w:val="both"/>
        <w:rPr>
          <w:rFonts w:ascii="微软雅黑" w:hAnsi="微软雅黑" w:cs="LPJNJT+Arial Unicode MS"/>
          <w:b/>
          <w:color w:val="000000"/>
          <w:sz w:val="21"/>
          <w:szCs w:val="21"/>
          <w:lang w:bidi="ar"/>
        </w:rPr>
      </w:pPr>
      <w:r>
        <w:rPr>
          <w:rFonts w:hint="eastAsia" w:ascii="微软雅黑" w:hAnsi="微软雅黑" w:cs="LPJNJT+Arial Unicode MS"/>
          <w:b/>
          <w:color w:val="000000"/>
          <w:sz w:val="21"/>
          <w:szCs w:val="21"/>
          <w:lang w:bidi="ar"/>
        </w:rPr>
        <w:t>参考文献：</w:t>
      </w:r>
    </w:p>
    <w:p w14:paraId="0419CC47">
      <w:pPr>
        <w:pStyle w:val="14"/>
        <w:widowControl w:val="0"/>
        <w:autoSpaceDE w:val="0"/>
        <w:autoSpaceDN w:val="0"/>
        <w:snapToGrid/>
        <w:spacing w:beforeAutospacing="0" w:afterAutospacing="0" w:line="288" w:lineRule="auto"/>
        <w:ind w:right="-51"/>
        <w:jc w:val="both"/>
        <w:rPr>
          <w:rFonts w:ascii="微软雅黑" w:hAnsi="微软雅黑" w:cs="LPJNJT+Arial Unicode MS"/>
          <w:color w:val="000000"/>
          <w:sz w:val="16"/>
          <w:szCs w:val="16"/>
          <w:lang w:bidi="ar"/>
        </w:rPr>
      </w:pPr>
      <w:r>
        <w:rPr>
          <w:rFonts w:hint="eastAsia" w:ascii="微软雅黑" w:hAnsi="微软雅黑" w:cs="LPJNJT+Arial Unicode MS"/>
          <w:color w:val="000000"/>
          <w:sz w:val="16"/>
          <w:szCs w:val="16"/>
          <w:lang w:bidi="ar"/>
        </w:rPr>
        <w:t>[1] Kato S , Goodman A M , Walavalkar V , et al. Hyper-progressors after Immunotherapy: Analysis of Genomic Alterations Associated with Accelerated Growth Rate[J]. Clinical Cancer Research, 2017: clincanres. 3133.2016.</w:t>
      </w:r>
    </w:p>
    <w:p w14:paraId="76A93F45">
      <w:pPr>
        <w:pStyle w:val="14"/>
        <w:widowControl w:val="0"/>
        <w:autoSpaceDE w:val="0"/>
        <w:autoSpaceDN w:val="0"/>
        <w:snapToGrid/>
        <w:spacing w:beforeAutospacing="0" w:afterAutospacing="0" w:line="288" w:lineRule="auto"/>
        <w:ind w:right="-51"/>
        <w:jc w:val="both"/>
        <w:rPr>
          <w:rFonts w:ascii="微软雅黑" w:hAnsi="微软雅黑" w:cs="LPJNJT+Arial Unicode MS"/>
          <w:color w:val="000000"/>
          <w:sz w:val="16"/>
          <w:szCs w:val="16"/>
          <w:lang w:bidi="ar"/>
        </w:rPr>
      </w:pPr>
      <w:r>
        <w:rPr>
          <w:rFonts w:hint="eastAsia" w:ascii="微软雅黑" w:hAnsi="微软雅黑" w:cs="LPJNJT+Arial Unicode MS"/>
          <w:color w:val="000000"/>
          <w:sz w:val="16"/>
          <w:szCs w:val="16"/>
          <w:lang w:bidi="ar"/>
        </w:rPr>
        <w:t>[2] Hyperprogressive Disease in Patients With Advanced Non-Small Cell Lung Cancer Treated With PD-1/PD-L1 Inhibitors or With Single-Agent Chemotherapy.[J]. JAMA oncology, 2018.</w:t>
      </w:r>
    </w:p>
    <w:p w14:paraId="3738B207">
      <w:pPr>
        <w:adjustRightInd/>
        <w:snapToGrid/>
        <w:spacing w:after="0" w:line="312" w:lineRule="auto"/>
        <w:jc w:val="both"/>
        <w:rPr>
          <w:rFonts w:ascii="微软雅黑" w:hAnsi="微软雅黑"/>
          <w:b/>
          <w:color w:val="00C4D8"/>
          <w:sz w:val="28"/>
          <w:szCs w:val="28"/>
        </w:rPr>
      </w:pPr>
    </w:p>
    <w:p w14:paraId="4634BE55">
      <w:pPr>
        <w:numPr>
          <w:ilvl w:val="0"/>
          <w:numId w:val="7"/>
        </w:numPr>
        <w:adjustRightInd/>
        <w:snapToGrid/>
        <w:spacing w:before="200" w:line="220" w:lineRule="atLeast"/>
        <w:jc w:val="both"/>
        <w:rPr>
          <w:rFonts w:ascii="微软雅黑" w:hAnsi="微软雅黑" w:cs="LPJNJT+Arial Unicode MS"/>
          <w:color w:val="000000"/>
          <w:sz w:val="16"/>
          <w:szCs w:val="16"/>
        </w:rPr>
      </w:pPr>
      <w:r>
        <w:rPr>
          <w:rFonts w:hint="eastAsia" w:ascii="微软雅黑" w:hAnsi="微软雅黑" w:cs="LPJNJT+Arial Unicode MS"/>
          <w:color w:val="000000"/>
          <w:sz w:val="16"/>
          <w:szCs w:val="16"/>
        </w:rPr>
        <w:br w:type="page"/>
      </w:r>
    </w:p>
    <w:bookmarkEnd w:id="119"/>
    <w:bookmarkEnd w:id="120"/>
    <w:bookmarkEnd w:id="123"/>
    <w:bookmarkEnd w:id="124"/>
    <w:bookmarkEnd w:id="125"/>
    <w:bookmarkEnd w:id="126"/>
    <w:bookmarkEnd w:id="127"/>
    <w:bookmarkEnd w:id="128"/>
    <w:bookmarkEnd w:id="129"/>
    <w:bookmarkEnd w:id="130"/>
    <w:bookmarkEnd w:id="131"/>
    <w:bookmarkEnd w:id="132"/>
    <w:bookmarkEnd w:id="133"/>
    <w:p w14:paraId="2BC1F0D3">
      <w:pPr>
        <w:numPr>
          <w:ilvl w:val="255"/>
          <w:numId w:val="0"/>
        </w:numPr>
        <w:jc w:val="both"/>
        <w:outlineLvl w:val="0"/>
        <w:rPr>
          <w:rFonts w:ascii="微软雅黑" w:hAnsi="微软雅黑"/>
          <w:b/>
          <w:color w:val="00C4D8"/>
          <w:sz w:val="32"/>
          <w:szCs w:val="32"/>
        </w:rPr>
      </w:pPr>
      <w:bookmarkStart w:id="135" w:name="_Toc6736"/>
      <w:bookmarkStart w:id="136" w:name="_Toc14090"/>
      <w:bookmarkStart w:id="137" w:name="_Toc16388"/>
      <w:bookmarkStart w:id="138" w:name="_Toc27819"/>
      <w:bookmarkStart w:id="139" w:name="_Toc29647"/>
      <w:bookmarkStart w:id="140" w:name="_Toc2916"/>
      <w:bookmarkStart w:id="141" w:name="_Toc24294"/>
      <w:bookmarkStart w:id="142" w:name="_Toc3246"/>
      <w:bookmarkStart w:id="143" w:name="_Toc27301"/>
      <w:bookmarkStart w:id="144" w:name="_Toc7238"/>
      <w:bookmarkStart w:id="145" w:name="_Toc29075"/>
      <w:bookmarkStart w:id="146" w:name="_Toc2749"/>
      <w:r>
        <w:rPr>
          <w:rFonts w:hint="eastAsia" w:ascii="微软雅黑" w:hAnsi="微软雅黑"/>
          <w:b/>
          <w:color w:val="00C4D8"/>
          <w:sz w:val="32"/>
          <w:szCs w:val="32"/>
          <w:lang w:val="en-US" w:eastAsia="zh-CN"/>
        </w:rPr>
        <w:t>4</w:t>
      </w:r>
      <w:r>
        <w:rPr>
          <w:rFonts w:hint="eastAsia" w:ascii="微软雅黑" w:hAnsi="微软雅黑"/>
          <w:b/>
          <w:color w:val="00C4D8"/>
          <w:sz w:val="32"/>
          <w:szCs w:val="32"/>
        </w:rPr>
        <w:t>. 检测结果说明</w:t>
      </w:r>
      <w:bookmarkEnd w:id="135"/>
      <w:bookmarkEnd w:id="136"/>
      <w:bookmarkEnd w:id="137"/>
      <w:bookmarkEnd w:id="138"/>
      <w:bookmarkEnd w:id="139"/>
      <w:bookmarkEnd w:id="140"/>
      <w:bookmarkEnd w:id="141"/>
      <w:bookmarkEnd w:id="142"/>
      <w:bookmarkEnd w:id="143"/>
      <w:bookmarkEnd w:id="144"/>
      <w:bookmarkEnd w:id="145"/>
      <w:bookmarkEnd w:id="146"/>
    </w:p>
    <w:p w14:paraId="39789A30">
      <w:pPr>
        <w:pStyle w:val="29"/>
        <w:numPr>
          <w:ilvl w:val="0"/>
          <w:numId w:val="8"/>
        </w:numPr>
        <w:adjustRightInd/>
        <w:snapToGrid/>
        <w:spacing w:after="0" w:line="360" w:lineRule="auto"/>
        <w:ind w:firstLineChars="0"/>
        <w:jc w:val="both"/>
        <w:rPr>
          <w:rFonts w:ascii="微软雅黑" w:hAnsi="微软雅黑"/>
          <w:color w:val="000000"/>
          <w:sz w:val="24"/>
          <w:szCs w:val="24"/>
        </w:rPr>
      </w:pPr>
      <w:r>
        <w:rPr>
          <w:rFonts w:ascii="微软雅黑" w:hAnsi="微软雅黑"/>
          <w:color w:val="000000"/>
          <w:sz w:val="24"/>
          <w:szCs w:val="24"/>
        </w:rPr>
        <w:t>本报告结果只对送检样品负责，所得结论来自于目前世界上最前沿的科学研究进展。</w:t>
      </w:r>
    </w:p>
    <w:p w14:paraId="6892D3F2">
      <w:pPr>
        <w:pStyle w:val="29"/>
        <w:numPr>
          <w:ilvl w:val="0"/>
          <w:numId w:val="8"/>
        </w:numPr>
        <w:adjustRightInd/>
        <w:snapToGrid/>
        <w:spacing w:after="0" w:line="360" w:lineRule="auto"/>
        <w:ind w:firstLineChars="0"/>
        <w:jc w:val="both"/>
        <w:rPr>
          <w:rFonts w:ascii="微软雅黑" w:hAnsi="微软雅黑"/>
          <w:color w:val="000000"/>
          <w:sz w:val="24"/>
          <w:szCs w:val="24"/>
        </w:rPr>
      </w:pPr>
      <w:r>
        <w:rPr>
          <w:rFonts w:ascii="微软雅黑" w:hAnsi="微软雅黑"/>
          <w:color w:val="000000"/>
          <w:sz w:val="24"/>
          <w:szCs w:val="24"/>
        </w:rPr>
        <w:t>本检测报告仅为受检者相关疾病的临床诊断、治疗、监测提供参考。具体医学问题，请咨询相关执业医师。</w:t>
      </w:r>
    </w:p>
    <w:p w14:paraId="38CF8F07">
      <w:pPr>
        <w:pStyle w:val="29"/>
        <w:numPr>
          <w:ilvl w:val="0"/>
          <w:numId w:val="8"/>
        </w:numPr>
        <w:adjustRightInd/>
        <w:snapToGrid/>
        <w:spacing w:after="0" w:line="360" w:lineRule="auto"/>
        <w:ind w:firstLineChars="0"/>
        <w:jc w:val="both"/>
        <w:rPr>
          <w:rFonts w:ascii="微软雅黑" w:hAnsi="微软雅黑"/>
          <w:color w:val="000000"/>
          <w:sz w:val="24"/>
          <w:szCs w:val="24"/>
        </w:rPr>
      </w:pPr>
      <w:r>
        <w:rPr>
          <w:rFonts w:hint="eastAsia" w:ascii="微软雅黑" w:hAnsi="微软雅黑"/>
          <w:color w:val="000000"/>
          <w:sz w:val="24"/>
          <w:szCs w:val="24"/>
        </w:rPr>
        <w:t>本检测结果仅供临床科研参考，不代表最终诊断意见。请结合临床实际情况及其他检测结果综合使用本结果。</w:t>
      </w:r>
    </w:p>
    <w:p w14:paraId="2381842E">
      <w:pPr>
        <w:pStyle w:val="29"/>
        <w:numPr>
          <w:ilvl w:val="0"/>
          <w:numId w:val="8"/>
        </w:numPr>
        <w:adjustRightInd/>
        <w:snapToGrid/>
        <w:spacing w:after="0" w:line="360" w:lineRule="auto"/>
        <w:ind w:firstLineChars="0"/>
        <w:jc w:val="both"/>
        <w:rPr>
          <w:rFonts w:ascii="微软雅黑" w:hAnsi="微软雅黑"/>
          <w:color w:val="000000"/>
          <w:sz w:val="24"/>
          <w:szCs w:val="24"/>
        </w:rPr>
      </w:pPr>
      <w:r>
        <w:rPr>
          <w:rFonts w:ascii="微软雅黑" w:hAnsi="微软雅黑"/>
          <w:color w:val="000000"/>
          <w:sz w:val="24"/>
          <w:szCs w:val="24"/>
        </w:rPr>
        <w:t>本</w:t>
      </w:r>
      <w:r>
        <w:rPr>
          <w:rFonts w:hint="eastAsia" w:ascii="微软雅黑" w:hAnsi="微软雅黑"/>
          <w:color w:val="000000"/>
          <w:sz w:val="24"/>
          <w:szCs w:val="24"/>
        </w:rPr>
        <w:t>公司对以上检测结果保留最终解释权，电子版报告仅供参考，以加盖红章的纸质报告为准，无章无效。如有疑义，请在收到结果后的三个工作日内与我们联系</w:t>
      </w:r>
      <w:r>
        <w:rPr>
          <w:rFonts w:ascii="微软雅黑" w:hAnsi="微软雅黑"/>
          <w:color w:val="000000"/>
          <w:sz w:val="24"/>
          <w:szCs w:val="24"/>
        </w:rPr>
        <w:t>。</w:t>
      </w:r>
    </w:p>
    <w:p w14:paraId="3EF05F79">
      <w:pPr>
        <w:pStyle w:val="29"/>
        <w:numPr>
          <w:ilvl w:val="255"/>
          <w:numId w:val="0"/>
        </w:numPr>
        <w:adjustRightInd/>
        <w:snapToGrid/>
        <w:spacing w:after="0" w:line="360" w:lineRule="auto"/>
        <w:jc w:val="both"/>
        <w:rPr>
          <w:rFonts w:ascii="微软雅黑" w:hAnsi="微软雅黑"/>
          <w:color w:val="000000"/>
          <w:sz w:val="21"/>
          <w:szCs w:val="21"/>
        </w:rPr>
      </w:pPr>
      <w:r>
        <w:drawing>
          <wp:anchor distT="0" distB="0" distL="114300" distR="114300" simplePos="0" relativeHeight="251693056" behindDoc="0" locked="0" layoutInCell="1" allowOverlap="1">
            <wp:simplePos x="0" y="0"/>
            <wp:positionH relativeFrom="column">
              <wp:posOffset>628650</wp:posOffset>
            </wp:positionH>
            <wp:positionV relativeFrom="paragraph">
              <wp:posOffset>233680</wp:posOffset>
            </wp:positionV>
            <wp:extent cx="762635" cy="407035"/>
            <wp:effectExtent l="0" t="0" r="12065" b="12065"/>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26"/>
                    <a:stretch>
                      <a:fillRect/>
                    </a:stretch>
                  </pic:blipFill>
                  <pic:spPr>
                    <a:xfrm>
                      <a:off x="0" y="0"/>
                      <a:ext cx="762635" cy="407035"/>
                    </a:xfrm>
                    <a:prstGeom prst="rect">
                      <a:avLst/>
                    </a:prstGeom>
                    <a:noFill/>
                    <a:ln>
                      <a:noFill/>
                    </a:ln>
                  </pic:spPr>
                </pic:pic>
              </a:graphicData>
            </a:graphic>
          </wp:anchor>
        </w:drawing>
      </w:r>
      <w:r>
        <w:rPr>
          <w:rFonts w:hint="eastAsia" w:eastAsiaTheme="minorEastAsia"/>
        </w:rPr>
        <w:drawing>
          <wp:anchor distT="0" distB="0" distL="114300" distR="114300" simplePos="0" relativeHeight="251691008" behindDoc="0" locked="0" layoutInCell="1" allowOverlap="1">
            <wp:simplePos x="0" y="0"/>
            <wp:positionH relativeFrom="column">
              <wp:posOffset>2604770</wp:posOffset>
            </wp:positionH>
            <wp:positionV relativeFrom="paragraph">
              <wp:posOffset>288925</wp:posOffset>
            </wp:positionV>
            <wp:extent cx="762000" cy="317500"/>
            <wp:effectExtent l="0" t="0" r="0" b="7620"/>
            <wp:wrapNone/>
            <wp:docPr id="1026" name="图片 19" descr="C:/Users/Wonzer/Desktop/微信图片_20241230095914.png微信图片_20241230095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图片 19" descr="C:/Users/Wonzer/Desktop/微信图片_20241230095914.png微信图片_20241230095914"/>
                    <pic:cNvPicPr>
                      <a:picLocks noChangeAspect="1"/>
                    </pic:cNvPicPr>
                  </pic:nvPicPr>
                  <pic:blipFill>
                    <a:blip r:embed="rId27"/>
                    <a:srcRect t="8167" b="8167"/>
                    <a:stretch>
                      <a:fillRect/>
                    </a:stretch>
                  </pic:blipFill>
                  <pic:spPr>
                    <a:xfrm>
                      <a:off x="0" y="0"/>
                      <a:ext cx="762000" cy="317500"/>
                    </a:xfrm>
                    <a:prstGeom prst="rect">
                      <a:avLst/>
                    </a:prstGeom>
                  </pic:spPr>
                </pic:pic>
              </a:graphicData>
            </a:graphic>
          </wp:anchor>
        </w:drawing>
      </w:r>
    </w:p>
    <w:p w14:paraId="6D6F9AD0">
      <w:pPr>
        <w:adjustRightInd/>
        <w:snapToGrid/>
        <w:spacing w:line="360" w:lineRule="auto"/>
        <w:rPr>
          <w:rFonts w:hint="default" w:ascii="微软雅黑" w:hAnsi="微软雅黑" w:eastAsia="微软雅黑"/>
          <w:sz w:val="24"/>
          <w:szCs w:val="24"/>
          <w:lang w:val="en-US" w:eastAsia="zh-CN"/>
        </w:rPr>
      </w:pPr>
      <w:r>
        <w:rPr>
          <w:rFonts w:hint="eastAsia" w:ascii="微软雅黑" w:hAnsi="微软雅黑"/>
          <w:b/>
          <w:color w:val="000000"/>
          <w:sz w:val="24"/>
          <w:szCs w:val="24"/>
        </w:rPr>
        <w:t>检测</w:t>
      </w:r>
      <w:r>
        <w:rPr>
          <w:rFonts w:ascii="微软雅黑" w:hAnsi="微软雅黑"/>
          <w:b/>
          <w:color w:val="000000"/>
          <w:sz w:val="24"/>
          <w:szCs w:val="24"/>
        </w:rPr>
        <w:t>者：</w:t>
      </w:r>
      <w:r>
        <w:rPr>
          <w:rFonts w:hint="eastAsia" w:ascii="微软雅黑" w:hAnsi="微软雅黑"/>
          <w:b/>
          <w:color w:val="000000"/>
          <w:sz w:val="24"/>
          <w:szCs w:val="24"/>
        </w:rPr>
        <w:t xml:space="preserve">    </w:t>
      </w:r>
      <w:r>
        <w:rPr>
          <w:rFonts w:hint="eastAsia" w:ascii="微软雅黑" w:hAnsi="微软雅黑"/>
          <w:bCs/>
          <w:color w:val="000000"/>
          <w:sz w:val="24"/>
          <w:szCs w:val="24"/>
        </w:rPr>
        <w:t xml:space="preserve">            </w:t>
      </w:r>
      <w:r>
        <w:rPr>
          <w:rFonts w:ascii="微软雅黑" w:hAnsi="微软雅黑"/>
          <w:b/>
          <w:color w:val="000000"/>
          <w:sz w:val="24"/>
          <w:szCs w:val="24"/>
        </w:rPr>
        <w:t>审核者：</w:t>
      </w:r>
      <w:r>
        <w:rPr>
          <w:rFonts w:hint="eastAsia" w:ascii="微软雅黑" w:hAnsi="微软雅黑"/>
          <w:b/>
          <w:color w:val="000000"/>
          <w:sz w:val="24"/>
          <w:szCs w:val="24"/>
        </w:rPr>
        <w:t xml:space="preserve">       </w:t>
      </w:r>
      <w:r>
        <w:rPr>
          <w:rFonts w:hint="eastAsia" w:ascii="微软雅黑" w:hAnsi="微软雅黑"/>
          <w:bCs/>
          <w:color w:val="000000"/>
          <w:sz w:val="24"/>
          <w:szCs w:val="24"/>
        </w:rPr>
        <w:t xml:space="preserve">      </w:t>
      </w:r>
      <w:r>
        <w:rPr>
          <w:rFonts w:hint="eastAsia" w:ascii="微软雅黑" w:hAnsi="微软雅黑"/>
          <w:bCs/>
          <w:color w:val="000000"/>
          <w:sz w:val="24"/>
          <w:szCs w:val="24"/>
          <w:lang w:val="en-US" w:eastAsia="zh-CN"/>
        </w:rPr>
        <w:t xml:space="preserve"> </w:t>
      </w:r>
      <w:r>
        <w:rPr>
          <w:rFonts w:ascii="微软雅黑" w:hAnsi="微软雅黑"/>
          <w:b/>
          <w:color w:val="000000"/>
          <w:sz w:val="24"/>
          <w:szCs w:val="24"/>
        </w:rPr>
        <w:t>报告日期：</w:t>
      </w:r>
      <w:r>
        <w:rPr>
          <w:rFonts w:ascii="微软雅黑" w:hAnsi="微软雅黑"/>
          <w:sz w:val="24"/>
          <w:szCs w:val="24"/>
        </w:rPr>
        <w:t>2025.</w:t>
      </w:r>
      <w:r>
        <w:rPr>
          <w:rFonts w:hint="eastAsia" w:ascii="微软雅黑" w:hAnsi="微软雅黑"/>
          <w:sz w:val="24"/>
          <w:szCs w:val="24"/>
          <w:lang w:val="en-US" w:eastAsia="zh-CN"/>
        </w:rPr>
        <w:t>12</w:t>
      </w:r>
      <w:r>
        <w:rPr>
          <w:rFonts w:ascii="微软雅黑" w:hAnsi="微软雅黑"/>
          <w:sz w:val="24"/>
          <w:szCs w:val="24"/>
        </w:rPr>
        <w:t>.</w:t>
      </w:r>
      <w:r>
        <w:rPr>
          <w:rFonts w:hint="eastAsia" w:ascii="微软雅黑" w:hAnsi="微软雅黑"/>
          <w:sz w:val="24"/>
          <w:szCs w:val="24"/>
          <w:lang w:val="en-US" w:eastAsia="zh-CN"/>
        </w:rPr>
        <w:t>04</w:t>
      </w:r>
    </w:p>
    <w:p w14:paraId="7D9AEFBF"/>
    <w:p w14:paraId="0D994C33"/>
    <w:p w14:paraId="66D19B44"/>
    <w:p w14:paraId="42E5FAD5"/>
    <w:p w14:paraId="404555B1"/>
    <w:p w14:paraId="62FB4799"/>
    <w:p w14:paraId="66E0B589">
      <w:pPr>
        <w:tabs>
          <w:tab w:val="left" w:pos="3071"/>
        </w:tabs>
        <w:sectPr>
          <w:headerReference r:id="rId9" w:type="default"/>
          <w:footerReference r:id="rId10" w:type="default"/>
          <w:pgSz w:w="11906" w:h="16838"/>
          <w:pgMar w:top="1440" w:right="1800" w:bottom="1440" w:left="1800" w:header="708" w:footer="708" w:gutter="0"/>
          <w:pgNumType w:start="1"/>
          <w:cols w:space="708" w:num="1"/>
          <w:docGrid w:linePitch="360" w:charSpace="0"/>
        </w:sectPr>
      </w:pPr>
    </w:p>
    <w:p w14:paraId="52A9245A">
      <w:pPr>
        <w:jc w:val="center"/>
        <w:outlineLvl w:val="0"/>
        <w:rPr>
          <w:rFonts w:ascii="微软雅黑" w:hAnsi="微软雅黑"/>
          <w:b/>
          <w:sz w:val="30"/>
          <w:szCs w:val="30"/>
        </w:rPr>
      </w:pPr>
      <w:bookmarkStart w:id="147" w:name="_Toc7183"/>
      <w:bookmarkStart w:id="148" w:name="_Toc5394"/>
      <w:bookmarkStart w:id="149" w:name="_Toc6684"/>
      <w:bookmarkStart w:id="150" w:name="_Toc350"/>
      <w:bookmarkStart w:id="151" w:name="_Toc6828"/>
      <w:bookmarkStart w:id="152" w:name="_Toc20456"/>
      <w:bookmarkStart w:id="153" w:name="_Toc23181"/>
      <w:bookmarkStart w:id="154" w:name="_Toc9132"/>
      <w:bookmarkStart w:id="155" w:name="_Toc13707"/>
      <w:bookmarkStart w:id="156" w:name="_Toc8942"/>
      <w:bookmarkStart w:id="157" w:name="_Toc15791"/>
      <w:bookmarkStart w:id="158" w:name="_Toc10825"/>
      <w:bookmarkStart w:id="159" w:name="_Toc8090"/>
      <w:r>
        <w:rPr>
          <w:rFonts w:hint="eastAsia" w:ascii="微软雅黑" w:hAnsi="微软雅黑"/>
          <w:b/>
          <w:sz w:val="30"/>
          <w:szCs w:val="30"/>
        </w:rPr>
        <w:t>第三部分：</w:t>
      </w:r>
      <w:bookmarkEnd w:id="0"/>
      <w:bookmarkEnd w:id="1"/>
      <w:bookmarkEnd w:id="2"/>
      <w:bookmarkEnd w:id="3"/>
      <w:bookmarkEnd w:id="4"/>
      <w:bookmarkEnd w:id="5"/>
      <w:bookmarkEnd w:id="6"/>
      <w:bookmarkEnd w:id="7"/>
      <w:bookmarkEnd w:id="8"/>
      <w:bookmarkEnd w:id="9"/>
      <w:bookmarkEnd w:id="10"/>
      <w:bookmarkEnd w:id="11"/>
      <w:r>
        <w:rPr>
          <w:rFonts w:hint="eastAsia" w:ascii="微软雅黑" w:hAnsi="微软雅黑"/>
          <w:b/>
          <w:sz w:val="30"/>
          <w:szCs w:val="30"/>
        </w:rPr>
        <w:t>基因变异及相应靶向</w:t>
      </w:r>
      <w:r>
        <w:rPr>
          <w:rFonts w:ascii="微软雅黑" w:hAnsi="微软雅黑"/>
          <w:b/>
          <w:sz w:val="30"/>
          <w:szCs w:val="30"/>
        </w:rPr>
        <w:t>/</w:t>
      </w:r>
      <w:r>
        <w:rPr>
          <w:rFonts w:hint="eastAsia" w:ascii="微软雅黑" w:hAnsi="微软雅黑"/>
          <w:b/>
          <w:sz w:val="30"/>
          <w:szCs w:val="30"/>
        </w:rPr>
        <w:t>免疫药物解析</w:t>
      </w:r>
      <w:bookmarkEnd w:id="12"/>
      <w:bookmarkEnd w:id="13"/>
      <w:bookmarkEnd w:id="147"/>
      <w:bookmarkEnd w:id="148"/>
      <w:bookmarkEnd w:id="149"/>
      <w:bookmarkEnd w:id="150"/>
      <w:bookmarkEnd w:id="151"/>
      <w:bookmarkEnd w:id="152"/>
      <w:bookmarkEnd w:id="153"/>
      <w:bookmarkEnd w:id="154"/>
      <w:bookmarkEnd w:id="155"/>
      <w:bookmarkEnd w:id="156"/>
      <w:bookmarkEnd w:id="157"/>
      <w:bookmarkEnd w:id="158"/>
      <w:bookmarkEnd w:id="159"/>
    </w:p>
    <w:p w14:paraId="1A07FF19">
      <w:pPr>
        <w:numPr>
          <w:ilvl w:val="0"/>
          <w:numId w:val="9"/>
        </w:numPr>
        <w:outlineLvl w:val="0"/>
        <w:rPr>
          <w:rFonts w:ascii="微软雅黑" w:hAnsi="微软雅黑"/>
          <w:b/>
          <w:sz w:val="24"/>
          <w:szCs w:val="24"/>
        </w:rPr>
      </w:pPr>
      <w:bookmarkStart w:id="160" w:name="_Toc6727"/>
      <w:bookmarkStart w:id="161" w:name="_Toc4690"/>
      <w:bookmarkStart w:id="162" w:name="_Toc7612"/>
      <w:bookmarkStart w:id="163" w:name="_Toc20363"/>
      <w:bookmarkStart w:id="164" w:name="_Toc13243"/>
      <w:bookmarkStart w:id="165" w:name="_Toc28597"/>
      <w:bookmarkStart w:id="166" w:name="_Toc8230"/>
      <w:bookmarkStart w:id="167" w:name="_Toc24256"/>
      <w:bookmarkStart w:id="168" w:name="_Toc17360"/>
      <w:bookmarkStart w:id="169" w:name="_Toc15599"/>
      <w:bookmarkStart w:id="170" w:name="_Toc11477"/>
      <w:bookmarkStart w:id="171" w:name="_Toc9120"/>
      <w:bookmarkStart w:id="172" w:name="潜在获益靶向药物解析"/>
      <w:bookmarkStart w:id="173" w:name="_Toc10990"/>
      <w:bookmarkStart w:id="174" w:name="_Toc9236"/>
      <w:bookmarkStart w:id="175" w:name="_Toc6679"/>
      <w:bookmarkStart w:id="176" w:name="_Toc26457"/>
      <w:r>
        <w:rPr>
          <w:rFonts w:ascii="微软雅黑" w:hAnsi="微软雅黑"/>
          <w:b/>
          <w:sz w:val="24"/>
          <w:szCs w:val="24"/>
        </w:rPr>
        <w:t>基因</w:t>
      </w:r>
      <w:r>
        <w:rPr>
          <w:rFonts w:hint="eastAsia" w:ascii="微软雅黑" w:hAnsi="微软雅黑"/>
          <w:b/>
          <w:sz w:val="24"/>
          <w:szCs w:val="24"/>
        </w:rPr>
        <w:t>变异</w:t>
      </w:r>
      <w:r>
        <w:rPr>
          <w:rFonts w:ascii="微软雅黑" w:hAnsi="微软雅黑"/>
          <w:b/>
          <w:sz w:val="24"/>
          <w:szCs w:val="24"/>
        </w:rPr>
        <w:t>解析</w:t>
      </w:r>
      <w:bookmarkEnd w:id="160"/>
      <w:r>
        <w:commentReference w:id="24"/>
      </w:r>
    </w:p>
    <w:p w14:paraId="5F21ACF6">
      <w:pPr>
        <w:numPr>
          <w:ilvl w:val="0"/>
          <w:numId w:val="10"/>
        </w:numPr>
        <w:jc w:val="both"/>
        <w:rPr>
          <w:rFonts w:ascii="微软雅黑" w:hAnsi="微软雅黑" w:cs="Arial Unicode MS"/>
          <w:kern w:val="2"/>
          <w:sz w:val="21"/>
          <w:szCs w:val="21"/>
        </w:rPr>
      </w:pPr>
      <w:r>
        <w:rPr>
          <w:rFonts w:hint="eastAsia" w:ascii="微软雅黑" w:hAnsi="微软雅黑" w:cs="微软雅黑"/>
          <w:sz w:val="21"/>
          <w:szCs w:val="21"/>
        </w:rPr>
        <w:t>在本次检测范围内，检出体细胞变异：</w:t>
      </w:r>
      <w:r>
        <w:rPr>
          <w:rFonts w:hint="eastAsia" w:ascii="微软雅黑" w:hAnsi="微软雅黑" w:cs="微软雅黑"/>
          <w:sz w:val="21"/>
          <w:szCs w:val="21"/>
          <w:lang w:val="en-US" w:eastAsia="zh-CN"/>
        </w:rPr>
        <w:t>8</w:t>
      </w:r>
      <w:r>
        <w:rPr>
          <w:rFonts w:hint="eastAsia" w:ascii="微软雅黑" w:hAnsi="微软雅黑" w:cs="微软雅黑"/>
          <w:sz w:val="21"/>
          <w:szCs w:val="21"/>
        </w:rPr>
        <w:t>个，其中与靶向/免疫药物相关的变异：</w:t>
      </w:r>
      <w:r>
        <w:rPr>
          <w:rFonts w:hint="eastAsia" w:ascii="微软雅黑" w:hAnsi="微软雅黑" w:cs="微软雅黑"/>
          <w:sz w:val="21"/>
          <w:szCs w:val="21"/>
          <w:lang w:val="en-US" w:eastAsia="zh-CN"/>
        </w:rPr>
        <w:t>4</w:t>
      </w:r>
      <w:r>
        <w:rPr>
          <w:rFonts w:hint="eastAsia" w:ascii="微软雅黑" w:hAnsi="微软雅黑" w:cs="微软雅黑"/>
          <w:sz w:val="21"/>
          <w:szCs w:val="21"/>
        </w:rPr>
        <w:t>个。（下面红色标注的为有对应靶向/免疫药物的基因变异。）</w:t>
      </w:r>
      <w:bookmarkStart w:id="177" w:name="KRAS侯"/>
    </w:p>
    <w:bookmarkEnd w:id="177"/>
    <w:p w14:paraId="243891A8">
      <w:pPr>
        <w:spacing w:before="200"/>
        <w:jc w:val="both"/>
        <w:rPr>
          <w:rFonts w:hint="eastAsia" w:ascii="微软雅黑" w:hAnsi="微软雅黑" w:cs="微软雅黑"/>
          <w:b/>
          <w:color w:val="FF0000"/>
          <w:sz w:val="24"/>
          <w:u w:val="single"/>
        </w:rPr>
      </w:pPr>
      <w:r>
        <w:rPr>
          <w:rFonts w:ascii="Wingdings" w:hAnsi="Wingdings" w:eastAsia="Wingdings" w:cs="Wingdings"/>
          <w:sz w:val="24"/>
        </w:rPr>
        <w:t>u</w:t>
      </w:r>
      <w:r>
        <w:rPr>
          <w:rFonts w:hint="eastAsia" w:ascii="Wingdings" w:hAnsi="Wingdings" w:eastAsia="宋体" w:cs="Wingdings"/>
          <w:sz w:val="24"/>
        </w:rPr>
        <w:t xml:space="preserve"> </w:t>
      </w:r>
      <w:r>
        <w:rPr>
          <w:rFonts w:hint="eastAsia" w:ascii="微软雅黑" w:hAnsi="微软雅黑" w:eastAsia="宋体" w:cs="微软雅黑"/>
          <w:b/>
          <w:color w:val="FF0000"/>
          <w:sz w:val="24"/>
          <w:u w:val="single"/>
        </w:rPr>
        <w:t>TP53</w:t>
      </w:r>
      <w:r>
        <w:rPr>
          <w:rFonts w:ascii="微软雅黑" w:hAnsi="微软雅黑" w:cs="微软雅黑"/>
          <w:b/>
          <w:color w:val="FF0000"/>
          <w:sz w:val="24"/>
          <w:u w:val="single"/>
        </w:rPr>
        <w:t>：</w:t>
      </w:r>
      <w:r>
        <w:rPr>
          <w:rFonts w:hint="eastAsia" w:ascii="微软雅黑" w:hAnsi="微软雅黑" w:cs="微软雅黑"/>
          <w:b/>
          <w:color w:val="FF0000"/>
          <w:sz w:val="24"/>
          <w:u w:val="single"/>
        </w:rPr>
        <w:t>c.844C&gt;T，p.R282W；67.29%</w:t>
      </w:r>
      <w:r>
        <w:commentReference w:id="25"/>
      </w:r>
    </w:p>
    <w:p w14:paraId="50CD55D4">
      <w:pPr>
        <w:spacing w:after="0"/>
      </w:pPr>
      <w:r>
        <w:rPr>
          <w:rFonts w:ascii="微软雅黑" w:hAnsi="微软雅黑" w:cs="微软雅黑"/>
          <w:b/>
        </w:rPr>
        <w:t>基因简介：</w:t>
      </w:r>
    </w:p>
    <w:p w14:paraId="6C0691F2">
      <w:pPr>
        <w:spacing w:after="0"/>
        <w:ind w:firstLine="400"/>
        <w:jc w:val="both"/>
        <w:rPr>
          <w:rFonts w:ascii="微软雅黑" w:hAnsi="微软雅黑" w:cs="微软雅黑"/>
          <w:sz w:val="21"/>
        </w:rPr>
      </w:pPr>
      <w:r>
        <w:rPr>
          <w:rFonts w:hint="eastAsia" w:ascii="微软雅黑" w:hAnsi="微软雅黑" w:cs="微软雅黑"/>
          <w:sz w:val="21"/>
        </w:rPr>
        <w:t>TP53基因是重要的抑癌基因之一，其编码蛋白为p53，大约有一半人类肿瘤呈现出TP53的失活突变，其余的恶性肿瘤中通过活化p53抑制因子、降低p53活化因子，使p53信号通路失活。p53通过其在细胞核中转录依赖和胞浆中转录不依赖两种途径发挥抑癌作用。p53作为转录因子可靶向结合特定的DNA序列，使与细胞周期停滞、凋亡、细胞代谢改变等功能相关的基因转录活化。除了细胞核内的活性，p53在胞浆中表现出转录非依赖的生物活性，研究表明细胞质中p53的活化有促进细胞凋亡的作用[19407794]。其作用机制为：DNA受损时，p53蛋白活化DNA修复蛋白并阻滞细胞生长周期的进行[22872685]。当细胞DNA受损严重不能修复时，p53蛋白与特定DNA结合，激活WAF1/CIP1等多种基因，启动细胞凋亡程序，抑制细胞分裂，从而避免携带异常遗传信息的细胞继续生长、分裂[21728981]。</w:t>
      </w:r>
    </w:p>
    <w:p w14:paraId="3C1CACC8">
      <w:pPr>
        <w:spacing w:after="0"/>
      </w:pPr>
      <w:r>
        <w:rPr>
          <w:rFonts w:ascii="微软雅黑" w:hAnsi="微软雅黑" w:cs="微软雅黑"/>
          <w:b/>
        </w:rPr>
        <w:t>基因变异说明：</w:t>
      </w:r>
    </w:p>
    <w:p w14:paraId="62D2B214">
      <w:pPr>
        <w:spacing w:after="0"/>
        <w:ind w:firstLine="400"/>
        <w:jc w:val="both"/>
        <w:rPr>
          <w:rFonts w:ascii="微软雅黑" w:hAnsi="微软雅黑" w:cs="微软雅黑"/>
          <w:sz w:val="21"/>
        </w:rPr>
      </w:pPr>
      <w:commentRangeStart w:id="26"/>
      <w:r>
        <w:rPr>
          <w:rFonts w:hint="eastAsia" w:ascii="微软雅黑" w:hAnsi="微软雅黑" w:cs="微软雅黑"/>
          <w:sz w:val="21"/>
        </w:rPr>
        <w:t>该样本检出TP53基因c.844C&gt;T，p.R282W错义突变，第844位核苷酸由C突变为T，导致相应蛋白序列中第282位氨基酸由精氨酸突变为色氨酸，此突变在样本中的突变丰度为67.29%。</w:t>
      </w:r>
      <w:commentRangeEnd w:id="26"/>
      <w:r>
        <w:commentReference w:id="26"/>
      </w:r>
    </w:p>
    <w:p w14:paraId="4643BAA1">
      <w:pPr>
        <w:spacing w:after="0"/>
      </w:pPr>
      <w:r>
        <w:rPr>
          <w:rFonts w:ascii="微软雅黑" w:hAnsi="微软雅黑" w:cs="微软雅黑"/>
          <w:b/>
        </w:rPr>
        <w:t xml:space="preserve">基因变异解析： </w:t>
      </w:r>
    </w:p>
    <w:p w14:paraId="4DFF7FB7">
      <w:pPr>
        <w:spacing w:after="0"/>
        <w:ind w:firstLine="400"/>
        <w:jc w:val="both"/>
        <w:rPr>
          <w:rFonts w:hint="eastAsia" w:ascii="微软雅黑" w:hAnsi="微软雅黑" w:cs="微软雅黑"/>
          <w:sz w:val="21"/>
        </w:rPr>
      </w:pPr>
      <w:r>
        <w:rPr>
          <w:rFonts w:hint="eastAsia" w:ascii="微软雅黑" w:hAnsi="微软雅黑" w:cs="微软雅黑"/>
          <w:sz w:val="21"/>
        </w:rPr>
        <w:t>TP53基因编码的蛋白p53全长393个氨基酸，包含3个结构域：反式激活结构域（5-29位氨基酸）、DNA结合结构域（95-289位氨基酸）和四聚化结构域（318-359位氨基酸）。根据报道TP53突变主要发生在175、245、248、273和282这五个热点突变密码子区[19810096，10612830，12619105]，而TP53基因的K132、C135、P151、V157、R158、Y163、V173、C176、H179、H193、Y205、Y220、Y234、M237、C238、S241、C242、M246、R249、G266、P278、R280、D281和E285也是较为常见的突变密码子区[19336573]。这些位点均处于p53蛋白的DNA结合结构域，均可能会对蛋白功能产生影响。</w:t>
      </w:r>
      <w:commentRangeStart w:id="27"/>
      <w:r>
        <w:rPr>
          <w:rFonts w:hint="eastAsia" w:ascii="微软雅黑" w:hAnsi="微软雅黑" w:cs="微软雅黑"/>
          <w:sz w:val="21"/>
        </w:rPr>
        <w:t>该样本检出的p.R282W 突变位于DNA结合结构域</w:t>
      </w:r>
      <w:r>
        <w:rPr>
          <w:rFonts w:hint="eastAsia" w:ascii="微软雅黑" w:hAnsi="微软雅黑" w:cs="微软雅黑"/>
          <w:sz w:val="21"/>
          <w:lang w:eastAsia="zh-CN"/>
        </w:rPr>
        <w:t>，</w:t>
      </w:r>
      <w:r>
        <w:rPr>
          <w:rFonts w:hint="eastAsia" w:ascii="微软雅黑" w:hAnsi="微软雅黑" w:cs="微软雅黑"/>
          <w:sz w:val="21"/>
        </w:rPr>
        <w:t>研究表明，该突变抑制 AMPK 信号传导，导致细胞侵袭性生长，促进小鼠模型中的肿瘤发展[24857548]。</w:t>
      </w:r>
      <w:commentRangeEnd w:id="27"/>
      <w:r>
        <w:commentReference w:id="27"/>
      </w:r>
    </w:p>
    <w:p w14:paraId="403D4904">
      <w:pPr>
        <w:spacing w:after="0"/>
        <w:ind w:firstLine="400"/>
        <w:jc w:val="both"/>
        <w:rPr>
          <w:rFonts w:hint="eastAsia" w:ascii="微软雅黑" w:hAnsi="微软雅黑" w:cs="微软雅黑"/>
          <w:b/>
          <w:color w:val="FF0000"/>
          <w:sz w:val="24"/>
          <w:u w:val="single"/>
        </w:rPr>
      </w:pPr>
      <w:commentRangeStart w:id="28"/>
      <w:r>
        <w:rPr>
          <w:rFonts w:hint="eastAsia" w:ascii="微软雅黑" w:hAnsi="微软雅黑" w:cs="微软雅黑"/>
          <w:sz w:val="21"/>
        </w:rPr>
        <w:t>一项研究在389名Ⅲ期结肠癌患者中检测TP53的突变状态，结果表明TP53的突变频率为33%[26425688]。在一项包含276个结直肠癌样本的分子突变分析研究中，发现165个非高频突变的结直肠癌样本中有59%检测到TP53突变，导致TP53信号通路失活[22810696]，说明TP53在结直肠癌的发生发展中具有重要作用。因此，该样本检出的突变可能与疾病的发生发展相关。</w:t>
      </w:r>
      <w:commentRangeEnd w:id="28"/>
      <w:r>
        <w:commentReference w:id="28"/>
      </w:r>
    </w:p>
    <w:p w14:paraId="20131506">
      <w:pPr>
        <w:spacing w:before="200"/>
        <w:jc w:val="both"/>
        <w:rPr>
          <w:rFonts w:hint="eastAsia" w:ascii="微软雅黑" w:hAnsi="微软雅黑" w:cs="微软雅黑"/>
          <w:b/>
          <w:color w:val="FF0000"/>
          <w:sz w:val="24"/>
          <w:u w:val="single"/>
        </w:rPr>
      </w:pPr>
      <w:r>
        <w:rPr>
          <w:rFonts w:ascii="Wingdings" w:hAnsi="Wingdings" w:eastAsia="Wingdings" w:cs="Wingdings"/>
          <w:sz w:val="24"/>
        </w:rPr>
        <w:t>u</w:t>
      </w:r>
      <w:r>
        <w:rPr>
          <w:rFonts w:hint="eastAsia" w:ascii="Wingdings" w:hAnsi="Wingdings" w:eastAsia="宋体" w:cs="Wingdings"/>
          <w:sz w:val="24"/>
        </w:rPr>
        <w:t xml:space="preserve"> </w:t>
      </w:r>
      <w:r>
        <w:rPr>
          <w:rFonts w:hint="eastAsia" w:ascii="微软雅黑" w:hAnsi="微软雅黑" w:eastAsia="宋体" w:cs="微软雅黑"/>
          <w:b/>
          <w:color w:val="FF0000"/>
          <w:sz w:val="24"/>
          <w:u w:val="single"/>
        </w:rPr>
        <w:t>KRAS</w:t>
      </w:r>
      <w:r>
        <w:rPr>
          <w:rFonts w:ascii="微软雅黑" w:hAnsi="微软雅黑" w:cs="微软雅黑"/>
          <w:b/>
          <w:color w:val="FF0000"/>
          <w:sz w:val="24"/>
          <w:u w:val="single"/>
        </w:rPr>
        <w:t>：</w:t>
      </w:r>
      <w:r>
        <w:rPr>
          <w:rFonts w:hint="eastAsia" w:ascii="微软雅黑" w:hAnsi="微软雅黑" w:cs="微软雅黑"/>
          <w:b/>
          <w:color w:val="FF0000"/>
          <w:sz w:val="24"/>
          <w:u w:val="single"/>
        </w:rPr>
        <w:t>c.34G&gt;A，p.G12S；46.29%</w:t>
      </w:r>
    </w:p>
    <w:p w14:paraId="41D8986D">
      <w:pPr>
        <w:spacing w:after="0"/>
      </w:pPr>
      <w:r>
        <w:rPr>
          <w:rFonts w:ascii="微软雅黑" w:hAnsi="微软雅黑" w:cs="微软雅黑"/>
          <w:b/>
        </w:rPr>
        <w:t>基因简介：</w:t>
      </w:r>
    </w:p>
    <w:p w14:paraId="0A1BA969">
      <w:pPr>
        <w:spacing w:after="0"/>
        <w:ind w:firstLine="400"/>
        <w:jc w:val="both"/>
        <w:rPr>
          <w:rFonts w:ascii="微软雅黑" w:hAnsi="微软雅黑" w:cs="微软雅黑"/>
          <w:sz w:val="21"/>
        </w:rPr>
      </w:pPr>
      <w:r>
        <w:rPr>
          <w:rFonts w:hint="eastAsia" w:ascii="微软雅黑" w:hAnsi="微软雅黑" w:cs="微软雅黑"/>
          <w:sz w:val="21"/>
        </w:rPr>
        <w:t>KRAS基因是致癌基因，属于RAS基因家族成员，编码P21蛋白。该蛋白在MAPK信号通路中起作用，能够与GDP/GTP结合并促进GTP酶活性。当KRAS基因发生突变时不能被水解酶水解失活，而处于持续激活状态，引起RAF/MAPK的上调，传递多种生存通路信号，从而使细胞过度生长、增殖，抵抗EGFR-TKIs的作用。KRAS突变可以导致肺癌、黏蛋白腺瘤、胰腺导管癌和结肠癌等多种恶性肿瘤。KRAS基因被激活最常见的方式是点突变，多发生在N端的第12、13、61和146密码子，其中以第12密码子突变最常见。不同突变位点对P21蛋白的活化机制不同，第12密码子突变可以减弱P21内在的GTP酶活性，并使细胞凋亡减少，细胞间接触抑制减弱。RAS家族基因在癌症中没有可用的药物直接拮抗靶点，主要影响信号通路上下游靶点药物的使用效果，突变主要导致EGFR靶药和BRAF靶药的耐药性。</w:t>
      </w:r>
    </w:p>
    <w:p w14:paraId="2A5782EA">
      <w:pPr>
        <w:spacing w:after="0"/>
      </w:pPr>
      <w:r>
        <w:rPr>
          <w:rFonts w:ascii="微软雅黑" w:hAnsi="微软雅黑" w:cs="微软雅黑"/>
          <w:b/>
        </w:rPr>
        <w:t>基因变异说明：</w:t>
      </w:r>
    </w:p>
    <w:p w14:paraId="4CF37066">
      <w:pPr>
        <w:spacing w:after="0"/>
        <w:ind w:firstLine="400"/>
        <w:jc w:val="both"/>
        <w:rPr>
          <w:rFonts w:ascii="微软雅黑" w:hAnsi="微软雅黑" w:cs="微软雅黑"/>
          <w:sz w:val="21"/>
        </w:rPr>
      </w:pPr>
      <w:r>
        <w:rPr>
          <w:rFonts w:hint="eastAsia" w:ascii="微软雅黑" w:hAnsi="微软雅黑" w:cs="微软雅黑"/>
          <w:sz w:val="21"/>
        </w:rPr>
        <w:t>该样本检出KRAS基因c.34G&gt;A，p.G12S错义突变，第34位核苷酸由G突变为A，导致相应蛋白序列中第12位氨基酸由甘氨酸突变为丝氨酸，此突变在样本中的突变丰度为46.29%。</w:t>
      </w:r>
    </w:p>
    <w:p w14:paraId="64CDA2B2">
      <w:pPr>
        <w:spacing w:after="0"/>
      </w:pPr>
      <w:r>
        <w:rPr>
          <w:rFonts w:ascii="微软雅黑" w:hAnsi="微软雅黑" w:cs="微软雅黑"/>
          <w:b/>
        </w:rPr>
        <w:t xml:space="preserve">基因变异解析： </w:t>
      </w:r>
    </w:p>
    <w:p w14:paraId="45791A43">
      <w:pPr>
        <w:spacing w:after="0"/>
        <w:ind w:firstLine="400"/>
        <w:jc w:val="both"/>
        <w:rPr>
          <w:rFonts w:hint="eastAsia" w:ascii="微软雅黑" w:hAnsi="微软雅黑" w:cs="微软雅黑"/>
          <w:sz w:val="21"/>
        </w:rPr>
      </w:pPr>
      <w:r>
        <w:rPr>
          <w:rFonts w:hint="eastAsia" w:ascii="微软雅黑" w:hAnsi="微软雅黑" w:cs="微软雅黑"/>
          <w:sz w:val="21"/>
        </w:rPr>
        <w:t>KRAS基因编码的蛋白全长为189个氨基酸，主要包含RAS结构域（1-166位氨基酸）。该样本检出的p.G12</w:t>
      </w:r>
      <w:r>
        <w:rPr>
          <w:rFonts w:hint="eastAsia" w:ascii="微软雅黑" w:hAnsi="微软雅黑" w:cs="微软雅黑"/>
          <w:sz w:val="21"/>
          <w:lang w:val="en-US" w:eastAsia="zh-CN"/>
        </w:rPr>
        <w:t>S</w:t>
      </w:r>
      <w:r>
        <w:rPr>
          <w:rFonts w:hint="eastAsia" w:ascii="微软雅黑" w:hAnsi="微软雅黑" w:cs="微软雅黑"/>
          <w:sz w:val="21"/>
        </w:rPr>
        <w:t>突变位于上述结构域</w:t>
      </w:r>
      <w:r>
        <w:rPr>
          <w:rFonts w:hint="eastAsia" w:ascii="微软雅黑" w:hAnsi="微软雅黑" w:cs="微软雅黑"/>
          <w:sz w:val="21"/>
          <w:lang w:val="en-US" w:eastAsia="zh-CN"/>
        </w:rPr>
        <w:t>之</w:t>
      </w:r>
      <w:r>
        <w:rPr>
          <w:rFonts w:hint="eastAsia" w:ascii="微软雅黑" w:hAnsi="微软雅黑" w:cs="微软雅黑"/>
          <w:sz w:val="21"/>
        </w:rPr>
        <w:t>内，为已知激活突变，对蛋白功能有重要影响。</w:t>
      </w:r>
    </w:p>
    <w:p w14:paraId="05B21F62">
      <w:pPr>
        <w:spacing w:after="0"/>
        <w:ind w:firstLine="400"/>
        <w:jc w:val="both"/>
        <w:rPr>
          <w:rFonts w:hint="eastAsia" w:ascii="微软雅黑" w:hAnsi="微软雅黑" w:cs="微软雅黑"/>
          <w:b/>
          <w:color w:val="FF0000"/>
          <w:sz w:val="24"/>
          <w:u w:val="single"/>
        </w:rPr>
      </w:pPr>
      <w:r>
        <w:rPr>
          <w:rFonts w:hint="eastAsia" w:ascii="微软雅黑" w:hAnsi="微软雅黑" w:cs="微软雅黑"/>
          <w:sz w:val="21"/>
        </w:rPr>
        <w:t>KRAS突变在人体肿瘤发生过程中起着重要的作用，并在胰腺癌、甲状腺癌、结直肠癌和肺癌中普遍存在[23066310]。研究显示，大约有35%-45%的结直肠癌患者携带原癌基因KRAS的突变。常见的KRAS突变多发生在N端第12、13、61和第146号密码子。这些突变会导致KRAS蛋白处于激活状态，并激活下游的信号通路，且已被证实是anti-EGFR抗体药物（如西妥昔单抗、帕尼单抗）耐药的标志[20100961]。因此，该样本检出的突变可能与疾病的发生发展</w:t>
      </w:r>
      <w:r>
        <w:rPr>
          <w:rFonts w:hint="eastAsia" w:ascii="微软雅黑" w:hAnsi="微软雅黑" w:cs="微软雅黑"/>
          <w:sz w:val="21"/>
          <w:lang w:val="en-US" w:eastAsia="zh-CN"/>
        </w:rPr>
        <w:t>及用药</w:t>
      </w:r>
      <w:r>
        <w:rPr>
          <w:rFonts w:hint="eastAsia" w:ascii="微软雅黑" w:hAnsi="微软雅黑" w:cs="微软雅黑"/>
          <w:sz w:val="21"/>
        </w:rPr>
        <w:t>相关。</w:t>
      </w:r>
    </w:p>
    <w:p w14:paraId="6E8559E3">
      <w:pPr>
        <w:spacing w:before="200"/>
        <w:jc w:val="both"/>
        <w:rPr>
          <w:rFonts w:ascii="微软雅黑" w:hAnsi="微软雅黑" w:cs="微软雅黑"/>
          <w:sz w:val="21"/>
        </w:rPr>
      </w:pPr>
      <w:r>
        <w:rPr>
          <w:rFonts w:ascii="Wingdings" w:hAnsi="Wingdings" w:eastAsia="Wingdings" w:cs="Wingdings"/>
          <w:sz w:val="24"/>
        </w:rPr>
        <w:t>u</w:t>
      </w:r>
      <w:r>
        <w:rPr>
          <w:rFonts w:hint="eastAsia" w:ascii="Wingdings" w:hAnsi="Wingdings" w:eastAsia="宋体" w:cs="Wingdings"/>
          <w:sz w:val="24"/>
        </w:rPr>
        <w:t xml:space="preserve"> </w:t>
      </w:r>
      <w:r>
        <w:rPr>
          <w:rFonts w:hint="eastAsia" w:ascii="微软雅黑" w:hAnsi="微软雅黑" w:cs="微软雅黑"/>
          <w:b/>
          <w:color w:val="0000FF"/>
          <w:sz w:val="24"/>
          <w:u w:val="single"/>
        </w:rPr>
        <w:t>APC：c.4348C&gt;T，p.R1450*；41.12%</w:t>
      </w:r>
    </w:p>
    <w:p w14:paraId="20B44021">
      <w:pPr>
        <w:spacing w:after="0"/>
      </w:pPr>
      <w:r>
        <w:rPr>
          <w:rFonts w:ascii="微软雅黑" w:hAnsi="微软雅黑" w:cs="微软雅黑"/>
          <w:b/>
        </w:rPr>
        <w:t>基因简介：</w:t>
      </w:r>
    </w:p>
    <w:p w14:paraId="38BA68E0">
      <w:pPr>
        <w:spacing w:after="0"/>
        <w:ind w:firstLine="400"/>
        <w:jc w:val="both"/>
        <w:rPr>
          <w:rFonts w:ascii="微软雅黑" w:hAnsi="微软雅黑" w:cs="微软雅黑"/>
          <w:sz w:val="21"/>
        </w:rPr>
      </w:pPr>
      <w:r>
        <w:rPr>
          <w:rFonts w:hint="eastAsia" w:ascii="微软雅黑" w:hAnsi="微软雅黑" w:cs="微软雅黑"/>
          <w:sz w:val="21"/>
        </w:rPr>
        <w:t>APC基因能够编码肿瘤抑制蛋白，并在经典WNT信号通路中起拮抗作用，APC作为β-链蛋白（β-catenin）信号传导的负调节因子，与β-链蛋白的稳定性密切相关。β-链蛋白参与E-钙粘蛋白细胞粘附系统和Wnt信号传导途径[10959075]。APC基因突变导致其不能有效地与β-catenin、GSK-3β和Axin结合而形成复合物，失去了调节表达水平的能力，信号通路下游相关基因转录激活，从而导致细胞增殖异常和肿瘤的发生。研究显示，APC突变在胰腺癌、胃癌中也频繁发生，可能与其疾病的发生发展相关[1338691，12378616，1423316]。对APC的功能研究还发现APC通过其基本结构域与微管细胞骨架结合，参与细胞迁移过程。有助于微管网络的组装和重组，这与细胞分裂密切相关。APC可以间接调节肌动蛋白丝网络的组织，并因此影响细胞形态、极性和迁移[8033082，8698812]。APC-hDLG复合物形成在APC细胞周期阻断信号转导中起重要作用[10656683]。</w:t>
      </w:r>
    </w:p>
    <w:p w14:paraId="37D81575">
      <w:pPr>
        <w:spacing w:after="0"/>
      </w:pPr>
      <w:r>
        <w:rPr>
          <w:rFonts w:ascii="微软雅黑" w:hAnsi="微软雅黑" w:cs="微软雅黑"/>
          <w:b/>
        </w:rPr>
        <w:t>基因变异说明：</w:t>
      </w:r>
    </w:p>
    <w:p w14:paraId="5DB70BD0">
      <w:pPr>
        <w:spacing w:after="0"/>
        <w:ind w:firstLine="400"/>
        <w:jc w:val="both"/>
        <w:rPr>
          <w:rFonts w:ascii="微软雅黑" w:hAnsi="微软雅黑" w:cs="微软雅黑"/>
          <w:sz w:val="21"/>
        </w:rPr>
      </w:pPr>
      <w:r>
        <w:rPr>
          <w:rFonts w:hint="eastAsia" w:ascii="微软雅黑" w:hAnsi="微软雅黑" w:cs="微软雅黑"/>
          <w:sz w:val="21"/>
        </w:rPr>
        <w:t>该样本检出APC基因c.4348C&gt;T，p.R1450*无义突变，第4348位核苷酸由C突变为T，导致相应蛋白序列中第1450位氨基酸由精氨酸突变为终止密码子，此突变在样本中的突变丰度为41.12%。</w:t>
      </w:r>
    </w:p>
    <w:p w14:paraId="40C2F624">
      <w:pPr>
        <w:spacing w:after="0"/>
      </w:pPr>
      <w:r>
        <w:rPr>
          <w:rFonts w:ascii="微软雅黑" w:hAnsi="微软雅黑" w:cs="微软雅黑"/>
          <w:b/>
        </w:rPr>
        <w:t xml:space="preserve">基因变异解析： </w:t>
      </w:r>
    </w:p>
    <w:p w14:paraId="3E7C71F6">
      <w:pPr>
        <w:spacing w:after="0"/>
        <w:ind w:firstLine="400"/>
        <w:jc w:val="both"/>
        <w:rPr>
          <w:rFonts w:hint="eastAsia" w:ascii="微软雅黑" w:hAnsi="微软雅黑" w:cs="微软雅黑"/>
          <w:sz w:val="21"/>
        </w:rPr>
      </w:pPr>
      <w:r>
        <w:rPr>
          <w:rFonts w:hint="eastAsia" w:ascii="微软雅黑" w:hAnsi="微软雅黑" w:cs="微软雅黑"/>
          <w:sz w:val="21"/>
        </w:rPr>
        <w:t>APC基因编码的蛋白全长为2843个氨基酸，主要包含2个卷曲螺旋结构域（2-59位、1869-1893位氨基酸）、1个Suppressor_APC结构域（126-208位氨基酸）、6个ARM结构域（340-392位、459-510位、512-553位、556-597位、599-644位和649-689位氨基酸）、1个Armadillo/beta-catenin-like repeat结构域（691-731位氨基酸）、4个APC_15aa结构域、7个APC_crr结构域、3个SAMP结构域、1个APC基础结构域（2223-2579位氨基酸）以及1个EB-1结合结构域（2670-2843位氨基酸）。该样本检出的p.R1450*突变导致蛋白翻译提前终止，产生截短的蛋白，可能导致蛋白功能缺失。</w:t>
      </w:r>
    </w:p>
    <w:p w14:paraId="4C034EC9">
      <w:pPr>
        <w:spacing w:after="0"/>
        <w:ind w:firstLine="400"/>
        <w:jc w:val="both"/>
        <w:rPr>
          <w:rFonts w:hint="eastAsia" w:ascii="微软雅黑" w:hAnsi="微软雅黑" w:cs="微软雅黑"/>
          <w:sz w:val="21"/>
        </w:rPr>
      </w:pPr>
      <w:r>
        <w:rPr>
          <w:rFonts w:hint="eastAsia" w:ascii="微软雅黑" w:hAnsi="微软雅黑" w:cs="微软雅黑"/>
          <w:sz w:val="21"/>
        </w:rPr>
        <w:t>APC作为看家基因，参与DNA修复，它的突变会导致DNA修复减缓，增加周边其它细胞突变的风险，从而促进癌症的进展[24200292]。有研究表明，结直肠癌患者存在APC基因缺失，从而导致Wnt信号通路失调和C-Myc的反式激活，是潜在的治疗靶点[18593890]。</w:t>
      </w:r>
      <w:r>
        <w:rPr>
          <w:rFonts w:hint="eastAsia" w:ascii="微软雅黑" w:hAnsi="微软雅黑" w:cs="Arial Unicode MS"/>
          <w:kern w:val="2"/>
          <w:sz w:val="21"/>
          <w:szCs w:val="21"/>
          <w:lang w:val="en-US" w:eastAsia="zh-CN"/>
        </w:rPr>
        <w:t>因此，该样本检出的突变可能与疾病的发生发展相关。</w:t>
      </w:r>
      <w:r>
        <w:rPr>
          <w:rFonts w:hint="eastAsia" w:ascii="微软雅黑" w:hAnsi="微软雅黑" w:cs="微软雅黑"/>
          <w:sz w:val="21"/>
        </w:rPr>
        <w:t xml:space="preserve">  </w:t>
      </w:r>
    </w:p>
    <w:p w14:paraId="664D8C6F">
      <w:pPr>
        <w:spacing w:before="200"/>
        <w:jc w:val="both"/>
        <w:rPr>
          <w:rFonts w:ascii="微软雅黑" w:hAnsi="微软雅黑" w:cs="微软雅黑"/>
          <w:sz w:val="21"/>
        </w:rPr>
      </w:pPr>
      <w:r>
        <w:rPr>
          <w:rFonts w:ascii="Wingdings" w:hAnsi="Wingdings" w:eastAsia="Wingdings" w:cs="Wingdings"/>
          <w:sz w:val="24"/>
        </w:rPr>
        <w:t>u</w:t>
      </w:r>
      <w:r>
        <w:rPr>
          <w:rFonts w:hint="eastAsia" w:ascii="Wingdings" w:hAnsi="Wingdings" w:eastAsia="宋体" w:cs="Wingdings"/>
          <w:sz w:val="24"/>
        </w:rPr>
        <w:t xml:space="preserve"> </w:t>
      </w:r>
      <w:r>
        <w:rPr>
          <w:rFonts w:hint="eastAsia" w:ascii="微软雅黑" w:hAnsi="微软雅黑" w:cs="微软雅黑"/>
          <w:b/>
          <w:color w:val="0000FF"/>
          <w:sz w:val="24"/>
          <w:u w:val="single"/>
        </w:rPr>
        <w:t>APC：c.2387_2388del，p.Y796Wfs*2；37.52%</w:t>
      </w:r>
    </w:p>
    <w:p w14:paraId="07F959AF">
      <w:pPr>
        <w:spacing w:after="0"/>
      </w:pPr>
      <w:r>
        <w:rPr>
          <w:rFonts w:ascii="微软雅黑" w:hAnsi="微软雅黑" w:cs="微软雅黑"/>
          <w:b/>
        </w:rPr>
        <w:t>基因简介：</w:t>
      </w:r>
    </w:p>
    <w:p w14:paraId="2321AE8A">
      <w:pPr>
        <w:spacing w:after="0"/>
        <w:ind w:firstLine="400"/>
        <w:jc w:val="both"/>
        <w:rPr>
          <w:rFonts w:ascii="微软雅黑" w:hAnsi="微软雅黑" w:cs="微软雅黑"/>
          <w:sz w:val="21"/>
        </w:rPr>
      </w:pPr>
      <w:r>
        <w:rPr>
          <w:rFonts w:hint="eastAsia" w:ascii="微软雅黑" w:hAnsi="微软雅黑" w:cs="微软雅黑"/>
          <w:sz w:val="21"/>
        </w:rPr>
        <w:t>APC基因能够编码肿瘤抑制蛋白，并在经典WNT信号通路中起拮抗作用，APC作为β-链蛋白（β-catenin）信号传导的负调节因子，与β-链蛋白的稳定性密切相关。β-链蛋白参与E-钙粘蛋白细胞粘附系统和Wnt信号传导途径[10959075]。APC基因突变导致其不能有效地与β-catenin、GSK-3β和Axin结合而形成复合物，失去了调节表达水平的能力，信号通路下游相关基因转录激活，从而导致细胞增殖异常和肿瘤的发生。研究显示，APC突变在胰腺癌、胃癌中也频繁发生，可能与其疾病的发生发展相关[1338691，12378616，1423316]。对APC的功能研究还发现APC通过其基本结构域与微管细胞骨架结合，参与细胞迁移过程。有助于微管网络的组装和重组，这与细胞分裂密切相关。APC可以间接调节肌动蛋白丝网络的组织，并因此影响细胞形态、极性和迁移[8033082，8698812]。APC-hDLG复合物形成在APC细胞周期阻断信号转导中起重要作用[10656683]。</w:t>
      </w:r>
    </w:p>
    <w:p w14:paraId="716B65A7">
      <w:pPr>
        <w:spacing w:after="0"/>
      </w:pPr>
      <w:r>
        <w:rPr>
          <w:rFonts w:ascii="微软雅黑" w:hAnsi="微软雅黑" w:cs="微软雅黑"/>
          <w:b/>
        </w:rPr>
        <w:t>基因变异说明：</w:t>
      </w:r>
    </w:p>
    <w:p w14:paraId="4339EAC3">
      <w:pPr>
        <w:spacing w:after="0"/>
        <w:ind w:firstLine="400"/>
        <w:jc w:val="both"/>
        <w:rPr>
          <w:rFonts w:ascii="微软雅黑" w:hAnsi="微软雅黑" w:cs="微软雅黑"/>
          <w:sz w:val="21"/>
        </w:rPr>
      </w:pPr>
      <w:r>
        <w:rPr>
          <w:rFonts w:hint="eastAsia" w:ascii="微软雅黑" w:hAnsi="微软雅黑" w:cs="微软雅黑"/>
          <w:sz w:val="21"/>
        </w:rPr>
        <w:t>该样本检出APC基因c.2387_2388del，p.Y796Wfs*2碱基缺失引起的移码突变，第2387位至第2388位核苷酸缺失，导致相应蛋白序列中第796位氨基酸由酪氨酸突变为色氨酸，并开始发生移码，于此后第2位氨基酸处翻译终止，此突变在样本中的突变丰度为37.52%。</w:t>
      </w:r>
    </w:p>
    <w:p w14:paraId="547DAF2E">
      <w:pPr>
        <w:spacing w:after="0"/>
      </w:pPr>
      <w:r>
        <w:rPr>
          <w:rFonts w:ascii="微软雅黑" w:hAnsi="微软雅黑" w:cs="微软雅黑"/>
          <w:b/>
        </w:rPr>
        <w:t xml:space="preserve">基因变异解析： </w:t>
      </w:r>
    </w:p>
    <w:p w14:paraId="0DB53F77">
      <w:pPr>
        <w:spacing w:after="0"/>
        <w:ind w:firstLine="400"/>
        <w:jc w:val="both"/>
        <w:rPr>
          <w:rFonts w:hint="eastAsia" w:ascii="微软雅黑" w:hAnsi="微软雅黑" w:cs="微软雅黑"/>
          <w:sz w:val="21"/>
        </w:rPr>
      </w:pPr>
      <w:r>
        <w:rPr>
          <w:rFonts w:hint="eastAsia" w:ascii="微软雅黑" w:hAnsi="微软雅黑" w:cs="微软雅黑"/>
          <w:sz w:val="21"/>
        </w:rPr>
        <w:t>APC基因编码的蛋白全长为2843个氨基酸，主要包含2个卷曲螺旋结构域（2-59位、1869-1893位氨基酸）、1个Suppressor_APC结构域（126-208位氨基酸）、6个ARM结构域（340-392位、459-510位、512-553位、556-597位、599-644位和649-689位氨基酸）、1个Armadillo/beta-catenin-like repeat结构域（691-731位氨基酸）、4个APC_15aa结构域、7个APC_crr结构域、3个SAMP结构域、1个APC基础结构域（2223-2579位氨基酸）以及1个EB-1结合结构域（2670-2843位氨基酸）。该样本检出的p.Y796Wfs*2突变导致蛋白翻译提前终止，产生截短的蛋白，可能导致蛋白功能缺失。</w:t>
      </w:r>
    </w:p>
    <w:p w14:paraId="455FFDDD">
      <w:pPr>
        <w:spacing w:after="0"/>
        <w:ind w:firstLine="400"/>
        <w:jc w:val="both"/>
        <w:rPr>
          <w:rFonts w:hint="eastAsia" w:ascii="微软雅黑" w:hAnsi="微软雅黑" w:cs="微软雅黑"/>
          <w:sz w:val="21"/>
        </w:rPr>
      </w:pPr>
      <w:r>
        <w:rPr>
          <w:rFonts w:hint="eastAsia" w:ascii="微软雅黑" w:hAnsi="微软雅黑" w:cs="微软雅黑"/>
          <w:sz w:val="21"/>
        </w:rPr>
        <w:t>APC作为看家基因，参与DNA修复，它的突变会导致DNA修复减缓，增加周边其它细胞突变的风险，从而促进癌症的进展[24200292]。有研究表明，结直肠癌患者存在APC基因缺失，从而导致Wnt信号通路失调和C-Myc的反式激活，是潜在的治疗靶点[18593890]。</w:t>
      </w:r>
      <w:r>
        <w:rPr>
          <w:rFonts w:hint="eastAsia" w:ascii="微软雅黑" w:hAnsi="微软雅黑" w:cs="Arial Unicode MS"/>
          <w:kern w:val="2"/>
          <w:sz w:val="21"/>
          <w:szCs w:val="21"/>
          <w:lang w:val="en-US" w:eastAsia="zh-CN"/>
        </w:rPr>
        <w:t>因此，该样本检出的突变可能与疾病的发生发展相关。</w:t>
      </w:r>
      <w:r>
        <w:rPr>
          <w:rFonts w:hint="eastAsia" w:ascii="微软雅黑" w:hAnsi="微软雅黑" w:cs="微软雅黑"/>
          <w:sz w:val="21"/>
        </w:rPr>
        <w:t xml:space="preserve">  </w:t>
      </w:r>
    </w:p>
    <w:p w14:paraId="503F804B">
      <w:pPr>
        <w:spacing w:before="200"/>
        <w:jc w:val="both"/>
        <w:rPr>
          <w:rFonts w:hint="eastAsia" w:ascii="微软雅黑" w:hAnsi="微软雅黑" w:cs="微软雅黑"/>
          <w:b/>
          <w:color w:val="FF0000"/>
          <w:sz w:val="24"/>
          <w:u w:val="single"/>
        </w:rPr>
      </w:pPr>
      <w:r>
        <w:rPr>
          <w:rFonts w:ascii="Wingdings" w:hAnsi="Wingdings" w:eastAsia="Wingdings" w:cs="Wingdings"/>
          <w:sz w:val="24"/>
        </w:rPr>
        <w:t>u</w:t>
      </w:r>
      <w:r>
        <w:rPr>
          <w:rFonts w:hint="eastAsia" w:ascii="Wingdings" w:hAnsi="Wingdings" w:eastAsia="宋体" w:cs="Wingdings"/>
          <w:sz w:val="24"/>
        </w:rPr>
        <w:t xml:space="preserve"> </w:t>
      </w:r>
      <w:r>
        <w:rPr>
          <w:rFonts w:hint="eastAsia" w:ascii="微软雅黑" w:hAnsi="微软雅黑" w:eastAsia="宋体" w:cs="微软雅黑"/>
          <w:b/>
          <w:color w:val="FF0000"/>
          <w:sz w:val="24"/>
          <w:u w:val="single"/>
        </w:rPr>
        <w:t>SETD2</w:t>
      </w:r>
      <w:r>
        <w:rPr>
          <w:rFonts w:ascii="微软雅黑" w:hAnsi="微软雅黑" w:cs="微软雅黑"/>
          <w:b/>
          <w:color w:val="FF0000"/>
          <w:sz w:val="24"/>
          <w:u w:val="single"/>
        </w:rPr>
        <w:t>：</w:t>
      </w:r>
      <w:r>
        <w:rPr>
          <w:rFonts w:hint="eastAsia" w:ascii="微软雅黑" w:hAnsi="微软雅黑" w:cs="微软雅黑"/>
          <w:b/>
          <w:color w:val="FF0000"/>
          <w:sz w:val="24"/>
          <w:u w:val="single"/>
        </w:rPr>
        <w:t>c.4930G&gt;T，p.G1644*；22.15%</w:t>
      </w:r>
    </w:p>
    <w:p w14:paraId="6FFBAC27">
      <w:pPr>
        <w:spacing w:after="0"/>
      </w:pPr>
      <w:r>
        <w:rPr>
          <w:rFonts w:ascii="微软雅黑" w:hAnsi="微软雅黑" w:cs="微软雅黑"/>
          <w:b/>
        </w:rPr>
        <w:t>基因简介：</w:t>
      </w:r>
    </w:p>
    <w:p w14:paraId="48F51615">
      <w:pPr>
        <w:spacing w:after="0"/>
        <w:ind w:firstLine="420" w:firstLineChars="200"/>
        <w:jc w:val="both"/>
        <w:outlineLvl w:val="9"/>
        <w:rPr>
          <w:rFonts w:hint="eastAsia" w:ascii="微软雅黑" w:hAnsi="微软雅黑" w:cs="Arial Unicode MS"/>
          <w:kern w:val="2"/>
          <w:sz w:val="21"/>
          <w:szCs w:val="21"/>
        </w:rPr>
      </w:pPr>
      <w:r>
        <w:rPr>
          <w:rFonts w:hint="eastAsia" w:ascii="微软雅黑" w:hAnsi="微软雅黑" w:cs="Arial Unicode MS"/>
          <w:kern w:val="2"/>
          <w:sz w:val="21"/>
          <w:szCs w:val="21"/>
        </w:rPr>
        <w:t>SETD2基因又名KMT3A或HYPB，该基因编码的蛋白是一个含有SET结构域的组蛋白H3K36特异性三甲基转移酶，最早是由人造血干细胞分离的，也是与亨廷顿病的发病机制相关的蛋白[9700202]。在人体中，SETD2是H3K36唯一的三甲基转移酶，参与调节H3K36三甲基化过程（H3K36me3）[12730288</w:t>
      </w:r>
      <w:r>
        <w:rPr>
          <w:rFonts w:hint="eastAsia" w:ascii="微软雅黑" w:hAnsi="微软雅黑" w:cs="Arial Unicode MS"/>
          <w:kern w:val="2"/>
          <w:sz w:val="21"/>
          <w:szCs w:val="21"/>
          <w:lang w:eastAsia="zh-CN"/>
        </w:rPr>
        <w:t>，</w:t>
      </w:r>
      <w:r>
        <w:rPr>
          <w:rFonts w:hint="eastAsia" w:ascii="微软雅黑" w:hAnsi="微软雅黑" w:cs="Arial Unicode MS"/>
          <w:kern w:val="2"/>
          <w:sz w:val="21"/>
          <w:szCs w:val="21"/>
        </w:rPr>
        <w:t>18157086]。SETD2蛋白主要包含WW结构域和AWS-SET-postSET三联结构域，负责与H3K36的特异性结合发挥甲基转移酶活性；保守的低电荷区域( low charge region) ，被认为是富有谷氨酰胺和脯氨酸的转录激活结构域；SETD2通过羧基端与高度磷酸化的RNA聚合酶Ⅱ相结合[16118227</w:t>
      </w:r>
      <w:r>
        <w:rPr>
          <w:rFonts w:hint="eastAsia" w:ascii="微软雅黑" w:hAnsi="微软雅黑" w:cs="Arial Unicode MS"/>
          <w:kern w:val="2"/>
          <w:sz w:val="21"/>
          <w:szCs w:val="21"/>
          <w:lang w:val="en-US" w:eastAsia="zh-CN"/>
        </w:rPr>
        <w:t>]</w:t>
      </w:r>
      <w:r>
        <w:rPr>
          <w:rFonts w:hint="eastAsia" w:ascii="微软雅黑" w:hAnsi="微软雅黑" w:cs="Arial Unicode MS"/>
          <w:kern w:val="2"/>
          <w:sz w:val="21"/>
          <w:szCs w:val="21"/>
        </w:rPr>
        <w:t>。因此SETD2可能是组蛋白甲基化修饰与基因转录调控之间的桥梁。SETD2通过抑制转录起始、激活转录因子p53、参与DNA修复过程和对细胞凋亡基因的调节等防止肿瘤的发生。目前，已在肾透明细胞癌、结直肠癌、乳腺癌、急性淋巴细胞性白血病和晚期脑胶质细胞瘤等多种肿瘤中发现SETD2基因发生突变，而绝大多数突变导致H3K36me3水平降低，表明SETD2的突变导致其编码蛋白失活[20501857</w:t>
      </w:r>
      <w:r>
        <w:rPr>
          <w:rFonts w:hint="eastAsia" w:ascii="微软雅黑" w:hAnsi="微软雅黑" w:cs="Arial Unicode MS"/>
          <w:kern w:val="2"/>
          <w:sz w:val="21"/>
          <w:szCs w:val="21"/>
          <w:lang w:eastAsia="zh-CN"/>
        </w:rPr>
        <w:t>，</w:t>
      </w:r>
      <w:r>
        <w:rPr>
          <w:rFonts w:hint="eastAsia" w:ascii="微软雅黑" w:hAnsi="微软雅黑" w:cs="Arial Unicode MS"/>
          <w:kern w:val="2"/>
          <w:sz w:val="21"/>
          <w:szCs w:val="21"/>
        </w:rPr>
        <w:t>20944102</w:t>
      </w:r>
      <w:r>
        <w:rPr>
          <w:rFonts w:hint="eastAsia" w:ascii="微软雅黑" w:hAnsi="微软雅黑" w:cs="Arial Unicode MS"/>
          <w:kern w:val="2"/>
          <w:sz w:val="21"/>
          <w:szCs w:val="21"/>
          <w:lang w:eastAsia="zh-CN"/>
        </w:rPr>
        <w:t>，</w:t>
      </w:r>
      <w:r>
        <w:rPr>
          <w:rFonts w:hint="eastAsia" w:ascii="微软雅黑" w:hAnsi="微软雅黑" w:cs="Arial Unicode MS"/>
          <w:kern w:val="2"/>
          <w:sz w:val="21"/>
          <w:szCs w:val="21"/>
        </w:rPr>
        <w:t>24509477]。</w:t>
      </w:r>
    </w:p>
    <w:p w14:paraId="5702E89C">
      <w:pPr>
        <w:spacing w:after="0"/>
      </w:pPr>
      <w:r>
        <w:rPr>
          <w:rFonts w:ascii="微软雅黑" w:hAnsi="微软雅黑" w:cs="微软雅黑"/>
          <w:b/>
        </w:rPr>
        <w:t>基因变异说明：</w:t>
      </w:r>
    </w:p>
    <w:p w14:paraId="6139506B">
      <w:pPr>
        <w:spacing w:after="0"/>
        <w:ind w:firstLine="400"/>
        <w:jc w:val="both"/>
        <w:rPr>
          <w:rFonts w:ascii="微软雅黑" w:hAnsi="微软雅黑" w:cs="微软雅黑"/>
          <w:sz w:val="21"/>
        </w:rPr>
      </w:pPr>
      <w:r>
        <w:rPr>
          <w:rFonts w:hint="eastAsia" w:ascii="微软雅黑" w:hAnsi="微软雅黑" w:cs="微软雅黑"/>
          <w:sz w:val="21"/>
        </w:rPr>
        <w:t>该样本检出SETD2基因c.4930G&gt;T，p.G1644*无义突变，第4930位核苷酸由G突变为T，导致相应蛋白序列中第1644位氨基酸由甘氨酸突变为终止密码子，此突变在样本中的突变丰度为22.15%。</w:t>
      </w:r>
    </w:p>
    <w:p w14:paraId="638F7D83">
      <w:pPr>
        <w:spacing w:after="0"/>
      </w:pPr>
      <w:r>
        <w:rPr>
          <w:rFonts w:ascii="微软雅黑" w:hAnsi="微软雅黑" w:cs="微软雅黑"/>
          <w:b/>
        </w:rPr>
        <w:t xml:space="preserve">基因变异解析： </w:t>
      </w:r>
    </w:p>
    <w:p w14:paraId="0BF9D77D">
      <w:pPr>
        <w:numPr>
          <w:ilvl w:val="-1"/>
          <w:numId w:val="0"/>
        </w:numPr>
        <w:spacing w:before="0" w:beforeLines="-2147483648" w:after="0" w:afterLines="-2147483648"/>
        <w:ind w:left="0" w:leftChars="0" w:firstLine="420" w:firstLineChars="200"/>
        <w:jc w:val="both"/>
        <w:outlineLvl w:val="9"/>
        <w:rPr>
          <w:rFonts w:hint="eastAsia" w:ascii="微软雅黑" w:hAnsi="微软雅黑" w:cs="Arial Unicode MS"/>
          <w:b w:val="0"/>
          <w:bCs w:val="0"/>
          <w:kern w:val="2"/>
          <w:sz w:val="21"/>
          <w:szCs w:val="21"/>
          <w:highlight w:val="none"/>
          <w:lang w:val="en-US" w:eastAsia="zh-CN"/>
        </w:rPr>
      </w:pPr>
      <w:r>
        <w:rPr>
          <w:rFonts w:hint="eastAsia" w:ascii="微软雅黑" w:hAnsi="微软雅黑" w:cs="Arial Unicode MS"/>
          <w:kern w:val="2"/>
          <w:sz w:val="21"/>
          <w:szCs w:val="21"/>
          <w:highlight w:val="none"/>
        </w:rPr>
        <w:t>SETD2</w:t>
      </w:r>
      <w:r>
        <w:rPr>
          <w:rFonts w:hint="eastAsia" w:ascii="微软雅黑" w:hAnsi="微软雅黑" w:cs="Arial Unicode MS"/>
          <w:kern w:val="2"/>
          <w:sz w:val="21"/>
          <w:szCs w:val="21"/>
          <w:highlight w:val="none"/>
          <w:lang w:eastAsia="zh-CN"/>
        </w:rPr>
        <w:t>基因编码的蛋</w:t>
      </w:r>
      <w:r>
        <w:rPr>
          <w:rFonts w:hint="eastAsia" w:ascii="微软雅黑" w:hAnsi="微软雅黑" w:cs="Arial Unicode MS"/>
          <w:kern w:val="2"/>
          <w:sz w:val="21"/>
          <w:szCs w:val="21"/>
          <w:lang w:eastAsia="zh-CN"/>
        </w:rPr>
        <w:t>白</w:t>
      </w:r>
      <w:r>
        <w:rPr>
          <w:rFonts w:hint="eastAsia" w:ascii="微软雅黑" w:hAnsi="微软雅黑" w:cs="Arial Unicode MS"/>
          <w:kern w:val="2"/>
          <w:sz w:val="21"/>
          <w:szCs w:val="21"/>
          <w:lang w:val="en-US" w:eastAsia="zh-CN"/>
        </w:rPr>
        <w:t>全长为2564个氨基酸，</w:t>
      </w:r>
      <w:r>
        <w:rPr>
          <w:rFonts w:hint="eastAsia" w:ascii="微软雅黑" w:hAnsi="微软雅黑" w:cs="Arial Unicode MS"/>
          <w:kern w:val="2"/>
          <w:sz w:val="21"/>
          <w:szCs w:val="21"/>
          <w:lang w:eastAsia="zh-CN"/>
        </w:rPr>
        <w:t>主要包含</w:t>
      </w:r>
      <w:r>
        <w:rPr>
          <w:rFonts w:hint="eastAsia" w:ascii="微软雅黑" w:hAnsi="微软雅黑" w:cs="Arial Unicode MS"/>
          <w:kern w:val="2"/>
          <w:sz w:val="21"/>
          <w:szCs w:val="21"/>
          <w:lang w:val="en-US" w:eastAsia="zh-CN"/>
        </w:rPr>
        <w:t>AWS结构域（第1494-1549位氨基酸）、SET结构域（第1550-1673位氨基酸）和SRI结构域（第2465-2559位氨基酸）。</w:t>
      </w:r>
      <w:r>
        <w:rPr>
          <w:rFonts w:hint="eastAsia" w:ascii="微软雅黑" w:hAnsi="微软雅黑" w:cs="Arial Unicode MS"/>
          <w:b w:val="0"/>
          <w:bCs w:val="0"/>
          <w:kern w:val="2"/>
          <w:sz w:val="21"/>
          <w:szCs w:val="21"/>
          <w:highlight w:val="none"/>
          <w:lang w:val="en-US" w:eastAsia="zh-CN"/>
        </w:rPr>
        <w:t>该样本检出的</w:t>
      </w:r>
      <w:r>
        <w:rPr>
          <w:rFonts w:hint="eastAsia" w:ascii="微软雅黑" w:hAnsi="微软雅黑" w:cs="微软雅黑"/>
          <w:sz w:val="21"/>
        </w:rPr>
        <w:t>p.G1644*</w:t>
      </w:r>
      <w:r>
        <w:rPr>
          <w:rFonts w:hint="eastAsia" w:ascii="微软雅黑" w:hAnsi="微软雅黑" w:cs="Arial Unicode MS"/>
          <w:kern w:val="2"/>
          <w:sz w:val="21"/>
          <w:szCs w:val="21"/>
          <w:highlight w:val="none"/>
          <w:lang w:eastAsia="zh-CN"/>
        </w:rPr>
        <w:t>突变导致蛋白翻译提前终止</w:t>
      </w:r>
      <w:r>
        <w:rPr>
          <w:rFonts w:hint="eastAsia" w:ascii="微软雅黑" w:hAnsi="微软雅黑" w:cs="Arial Unicode MS"/>
          <w:b w:val="0"/>
          <w:bCs w:val="0"/>
          <w:kern w:val="2"/>
          <w:sz w:val="21"/>
          <w:szCs w:val="21"/>
          <w:highlight w:val="none"/>
          <w:lang w:val="en-US" w:eastAsia="zh-CN"/>
        </w:rPr>
        <w:t>，产生截短的蛋白，可能导致蛋白功能缺失。</w:t>
      </w:r>
    </w:p>
    <w:p w14:paraId="6C5D8E05">
      <w:pPr>
        <w:numPr>
          <w:ilvl w:val="-1"/>
          <w:numId w:val="0"/>
        </w:numPr>
        <w:spacing w:before="0" w:beforeLines="-2147483648" w:after="0" w:afterLines="-2147483648"/>
        <w:ind w:left="0" w:leftChars="0" w:firstLine="420" w:firstLineChars="200"/>
        <w:jc w:val="both"/>
        <w:outlineLvl w:val="9"/>
        <w:rPr>
          <w:rFonts w:hint="eastAsia" w:ascii="微软雅黑" w:hAnsi="微软雅黑" w:cs="Arial Unicode MS"/>
          <w:kern w:val="2"/>
          <w:sz w:val="21"/>
          <w:szCs w:val="21"/>
          <w:lang w:val="en-US" w:eastAsia="zh-CN"/>
        </w:rPr>
      </w:pPr>
      <w:r>
        <w:rPr>
          <w:rFonts w:hint="eastAsia" w:ascii="微软雅黑" w:hAnsi="微软雅黑" w:cs="Arial Unicode MS"/>
          <w:kern w:val="2"/>
          <w:sz w:val="21"/>
          <w:szCs w:val="21"/>
          <w:lang w:val="en-US" w:eastAsia="zh-CN"/>
        </w:rPr>
        <w:t>有研究表明，SETD2缺失与WEE1抑制剂具有“合成致死”作用[29955114]。因此，该样本检出的突变可能与疾病的发生发展及用药相关。</w:t>
      </w:r>
    </w:p>
    <w:p w14:paraId="02C2BA7A">
      <w:pPr>
        <w:spacing w:before="200"/>
        <w:jc w:val="both"/>
        <w:rPr>
          <w:rFonts w:ascii="微软雅黑" w:hAnsi="微软雅黑" w:cs="微软雅黑"/>
          <w:sz w:val="21"/>
        </w:rPr>
      </w:pPr>
      <w:r>
        <w:rPr>
          <w:rFonts w:ascii="Wingdings" w:hAnsi="Wingdings" w:eastAsia="Wingdings" w:cs="Wingdings"/>
          <w:sz w:val="24"/>
        </w:rPr>
        <w:t>u</w:t>
      </w:r>
      <w:r>
        <w:rPr>
          <w:rFonts w:hint="eastAsia" w:ascii="Wingdings" w:hAnsi="Wingdings" w:eastAsia="宋体" w:cs="Wingdings"/>
          <w:sz w:val="24"/>
        </w:rPr>
        <w:t xml:space="preserve"> </w:t>
      </w:r>
      <w:r>
        <w:rPr>
          <w:rFonts w:hint="eastAsia" w:ascii="微软雅黑" w:hAnsi="微软雅黑" w:cs="微软雅黑"/>
          <w:b/>
          <w:color w:val="0000FF"/>
          <w:sz w:val="24"/>
          <w:u w:val="single"/>
        </w:rPr>
        <w:t>EPHA2：c.153+2T&gt;C；3.33%</w:t>
      </w:r>
    </w:p>
    <w:p w14:paraId="31DFD8D9">
      <w:pPr>
        <w:spacing w:after="0"/>
      </w:pPr>
      <w:r>
        <w:rPr>
          <w:rFonts w:ascii="微软雅黑" w:hAnsi="微软雅黑" w:cs="微软雅黑"/>
          <w:b/>
        </w:rPr>
        <w:t>基因简介：</w:t>
      </w:r>
    </w:p>
    <w:p w14:paraId="7A2AC3E0">
      <w:pPr>
        <w:keepNext w:val="0"/>
        <w:keepLines w:val="0"/>
        <w:pageBreakBefore w:val="0"/>
        <w:widowControl/>
        <w:kinsoku/>
        <w:wordWrap/>
        <w:overflowPunct/>
        <w:topLinePunct w:val="0"/>
        <w:autoSpaceDE/>
        <w:autoSpaceDN/>
        <w:bidi w:val="0"/>
        <w:adjustRightInd w:val="0"/>
        <w:snapToGrid w:val="0"/>
        <w:spacing w:after="0"/>
        <w:ind w:firstLine="420" w:firstLineChars="200"/>
        <w:jc w:val="both"/>
        <w:textAlignment w:val="auto"/>
        <w:rPr>
          <w:rFonts w:hint="eastAsia" w:ascii="微软雅黑" w:hAnsi="微软雅黑" w:cs="Arial Unicode MS"/>
          <w:kern w:val="2"/>
          <w:sz w:val="21"/>
          <w:szCs w:val="21"/>
          <w:highlight w:val="none"/>
        </w:rPr>
      </w:pPr>
      <w:r>
        <w:rPr>
          <w:rFonts w:hint="eastAsia" w:ascii="微软雅黑" w:hAnsi="微软雅黑" w:cs="Arial Unicode MS"/>
          <w:kern w:val="2"/>
          <w:sz w:val="21"/>
          <w:szCs w:val="21"/>
          <w:highlight w:val="none"/>
        </w:rPr>
        <w:t>EPHA2是EPH亚家族的成员之一，编码蛋白含有一个976个氨基酸多肽，相对分子质量为130000，为膜结合Ⅰ型糖蛋白。研究表明，EPHA2广泛高表达于许多肿瘤组织中，包括乳腺癌、脑癌、前列腺癌、非小细胞肺癌和结肠癌等[28165374]。对大肠癌的研究发现，EPHA2在癌组织中高表达，并与肿瘤组织血管形成呈正相关。EPHA2能促进肿瘤血管内皮细胞的迁移，并通过影响细胞骨架、基质粘附和细胞粘附而促进毛细血管结构的形成。EPHA2在内皮和卵巢癌细胞中的过表达与涉及血管发生和侵袭的关键因素密切相关。这些结果表明EPHA2过表达的患者的临床结局通常较差[17154180]。</w:t>
      </w:r>
    </w:p>
    <w:p w14:paraId="55922ACA">
      <w:pPr>
        <w:spacing w:after="0"/>
      </w:pPr>
      <w:r>
        <w:rPr>
          <w:rFonts w:ascii="微软雅黑" w:hAnsi="微软雅黑" w:cs="微软雅黑"/>
          <w:b/>
        </w:rPr>
        <w:t>基因变异说明：</w:t>
      </w:r>
    </w:p>
    <w:p w14:paraId="0DD5ECB4">
      <w:pPr>
        <w:spacing w:after="0"/>
        <w:ind w:firstLine="400"/>
        <w:jc w:val="both"/>
        <w:rPr>
          <w:rFonts w:ascii="微软雅黑" w:hAnsi="微软雅黑" w:cs="微软雅黑"/>
          <w:sz w:val="21"/>
        </w:rPr>
      </w:pPr>
      <w:r>
        <w:rPr>
          <w:rFonts w:hint="eastAsia" w:ascii="微软雅黑" w:hAnsi="微软雅黑" w:cs="微软雅黑"/>
          <w:sz w:val="21"/>
        </w:rPr>
        <w:t>该样本检出EPHA2基因c.153+2T&gt;C剪接突变，第153位核苷酸下游第2位核苷酸由T突变为C，此突变在样本中的突变丰度为3.33%。</w:t>
      </w:r>
    </w:p>
    <w:p w14:paraId="6467F40F">
      <w:pPr>
        <w:spacing w:after="0"/>
      </w:pPr>
      <w:r>
        <w:rPr>
          <w:rFonts w:ascii="微软雅黑" w:hAnsi="微软雅黑" w:cs="微软雅黑"/>
          <w:b/>
        </w:rPr>
        <w:t xml:space="preserve">基因变异解析： </w:t>
      </w:r>
    </w:p>
    <w:p w14:paraId="6B1957D5">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val="0"/>
        <w:snapToGrid w:val="0"/>
        <w:spacing w:before="0" w:after="0" w:line="240" w:lineRule="auto"/>
        <w:ind w:firstLine="400"/>
        <w:jc w:val="both"/>
        <w:textAlignment w:val="auto"/>
        <w:rPr>
          <w:rFonts w:hint="eastAsia" w:ascii="微软雅黑" w:hAnsi="微软雅黑" w:cs="Arial Unicode MS"/>
          <w:kern w:val="2"/>
          <w:sz w:val="21"/>
          <w:szCs w:val="21"/>
          <w:highlight w:val="yellow"/>
        </w:rPr>
      </w:pPr>
      <w:r>
        <w:rPr>
          <w:rFonts w:hint="eastAsia" w:ascii="微软雅黑" w:hAnsi="微软雅黑" w:cs="Arial Unicode MS"/>
          <w:kern w:val="2"/>
          <w:sz w:val="21"/>
          <w:szCs w:val="21"/>
          <w:highlight w:val="none"/>
        </w:rPr>
        <w:t>EPHA2基因编码的蛋白</w:t>
      </w:r>
      <w:r>
        <w:rPr>
          <w:rFonts w:hint="eastAsia" w:ascii="微软雅黑" w:hAnsi="微软雅黑" w:cs="Arial Unicode MS"/>
          <w:kern w:val="2"/>
          <w:sz w:val="21"/>
          <w:szCs w:val="21"/>
          <w:highlight w:val="none"/>
          <w:lang w:val="en-US" w:eastAsia="zh-CN"/>
        </w:rPr>
        <w:t>全长为976个氨基酸，</w:t>
      </w:r>
      <w:r>
        <w:rPr>
          <w:rFonts w:hint="eastAsia" w:ascii="微软雅黑" w:hAnsi="微软雅黑" w:cs="Arial Unicode MS"/>
          <w:kern w:val="2"/>
          <w:sz w:val="21"/>
          <w:szCs w:val="21"/>
          <w:highlight w:val="none"/>
        </w:rPr>
        <w:t>主要包含1个信号肽区域</w:t>
      </w:r>
      <w:r>
        <w:rPr>
          <w:rFonts w:hint="eastAsia" w:ascii="微软雅黑" w:hAnsi="微软雅黑" w:cs="Arial Unicode MS"/>
          <w:kern w:val="2"/>
          <w:sz w:val="21"/>
          <w:szCs w:val="21"/>
          <w:highlight w:val="none"/>
          <w:lang w:eastAsia="zh-CN"/>
        </w:rPr>
        <w:t>（</w:t>
      </w:r>
      <w:r>
        <w:rPr>
          <w:rFonts w:hint="eastAsia" w:ascii="微软雅黑" w:hAnsi="微软雅黑" w:cs="Arial Unicode MS"/>
          <w:kern w:val="2"/>
          <w:sz w:val="21"/>
          <w:szCs w:val="21"/>
          <w:highlight w:val="none"/>
          <w:lang w:val="en-US" w:eastAsia="zh-CN"/>
        </w:rPr>
        <w:t>1-24位氨基酸</w:t>
      </w:r>
      <w:r>
        <w:rPr>
          <w:rFonts w:hint="eastAsia" w:ascii="微软雅黑" w:hAnsi="微软雅黑" w:cs="Arial Unicode MS"/>
          <w:kern w:val="2"/>
          <w:sz w:val="21"/>
          <w:szCs w:val="21"/>
          <w:highlight w:val="none"/>
          <w:lang w:eastAsia="zh-CN"/>
        </w:rPr>
        <w:t>）</w:t>
      </w:r>
      <w:r>
        <w:rPr>
          <w:rFonts w:hint="eastAsia" w:ascii="微软雅黑" w:hAnsi="微软雅黑" w:cs="Arial Unicode MS"/>
          <w:kern w:val="2"/>
          <w:sz w:val="21"/>
          <w:szCs w:val="21"/>
          <w:highlight w:val="none"/>
        </w:rPr>
        <w:t>、1个胞外配体结合结构域</w:t>
      </w:r>
      <w:r>
        <w:rPr>
          <w:rFonts w:hint="eastAsia" w:ascii="微软雅黑" w:hAnsi="微软雅黑" w:cs="Arial Unicode MS"/>
          <w:kern w:val="2"/>
          <w:sz w:val="21"/>
          <w:szCs w:val="21"/>
          <w:highlight w:val="none"/>
          <w:lang w:eastAsia="zh-CN"/>
        </w:rPr>
        <w:t>（</w:t>
      </w:r>
      <w:r>
        <w:rPr>
          <w:rFonts w:hint="eastAsia" w:ascii="微软雅黑" w:hAnsi="微软雅黑" w:cs="Arial Unicode MS"/>
          <w:kern w:val="2"/>
          <w:sz w:val="21"/>
          <w:szCs w:val="21"/>
          <w:highlight w:val="none"/>
          <w:lang w:val="en-US" w:eastAsia="zh-CN"/>
        </w:rPr>
        <w:t>28-201位氨基酸</w:t>
      </w:r>
      <w:r>
        <w:rPr>
          <w:rFonts w:hint="eastAsia" w:ascii="微软雅黑" w:hAnsi="微软雅黑" w:cs="Arial Unicode MS"/>
          <w:kern w:val="2"/>
          <w:sz w:val="21"/>
          <w:szCs w:val="21"/>
          <w:highlight w:val="none"/>
          <w:lang w:eastAsia="zh-CN"/>
        </w:rPr>
        <w:t>）</w:t>
      </w:r>
      <w:r>
        <w:rPr>
          <w:rFonts w:hint="eastAsia" w:ascii="微软雅黑" w:hAnsi="微软雅黑" w:cs="Arial Unicode MS"/>
          <w:kern w:val="2"/>
          <w:sz w:val="21"/>
          <w:szCs w:val="21"/>
          <w:highlight w:val="none"/>
        </w:rPr>
        <w:t>、1个跨膜结构域</w:t>
      </w:r>
      <w:r>
        <w:rPr>
          <w:rFonts w:hint="eastAsia" w:ascii="微软雅黑" w:hAnsi="微软雅黑" w:cs="Arial Unicode MS"/>
          <w:kern w:val="2"/>
          <w:sz w:val="21"/>
          <w:szCs w:val="21"/>
          <w:highlight w:val="none"/>
          <w:lang w:eastAsia="zh-CN"/>
        </w:rPr>
        <w:t>（</w:t>
      </w:r>
      <w:r>
        <w:rPr>
          <w:rFonts w:hint="eastAsia" w:ascii="微软雅黑" w:hAnsi="微软雅黑" w:cs="Arial Unicode MS"/>
          <w:kern w:val="2"/>
          <w:sz w:val="21"/>
          <w:szCs w:val="21"/>
          <w:highlight w:val="none"/>
          <w:lang w:val="en-US" w:eastAsia="zh-CN"/>
        </w:rPr>
        <w:t>536-558位氨基酸</w:t>
      </w:r>
      <w:r>
        <w:rPr>
          <w:rFonts w:hint="eastAsia" w:ascii="微软雅黑" w:hAnsi="微软雅黑" w:cs="Arial Unicode MS"/>
          <w:kern w:val="2"/>
          <w:sz w:val="21"/>
          <w:szCs w:val="21"/>
          <w:highlight w:val="none"/>
          <w:lang w:eastAsia="zh-CN"/>
        </w:rPr>
        <w:t>）</w:t>
      </w:r>
      <w:r>
        <w:rPr>
          <w:rFonts w:hint="eastAsia" w:ascii="微软雅黑" w:hAnsi="微软雅黑" w:cs="Arial Unicode MS"/>
          <w:kern w:val="2"/>
          <w:sz w:val="21"/>
          <w:szCs w:val="21"/>
          <w:highlight w:val="none"/>
        </w:rPr>
        <w:t>、2个FN3结构域</w:t>
      </w:r>
      <w:r>
        <w:rPr>
          <w:rFonts w:hint="eastAsia" w:ascii="微软雅黑" w:hAnsi="微软雅黑" w:cs="Arial Unicode MS"/>
          <w:kern w:val="2"/>
          <w:sz w:val="21"/>
          <w:szCs w:val="21"/>
          <w:highlight w:val="none"/>
          <w:lang w:eastAsia="zh-CN"/>
        </w:rPr>
        <w:t>（</w:t>
      </w:r>
      <w:r>
        <w:rPr>
          <w:rFonts w:hint="eastAsia" w:ascii="微软雅黑" w:hAnsi="微软雅黑" w:cs="Arial Unicode MS"/>
          <w:kern w:val="2"/>
          <w:sz w:val="21"/>
          <w:szCs w:val="21"/>
          <w:highlight w:val="none"/>
          <w:lang w:val="en-US" w:eastAsia="zh-CN"/>
        </w:rPr>
        <w:t>329-419位氨基酸和436-516位氨基酸</w:t>
      </w:r>
      <w:r>
        <w:rPr>
          <w:rFonts w:hint="eastAsia" w:ascii="微软雅黑" w:hAnsi="微软雅黑" w:cs="Arial Unicode MS"/>
          <w:kern w:val="2"/>
          <w:sz w:val="21"/>
          <w:szCs w:val="21"/>
          <w:highlight w:val="none"/>
          <w:lang w:eastAsia="zh-CN"/>
        </w:rPr>
        <w:t>）</w:t>
      </w:r>
      <w:r>
        <w:rPr>
          <w:rFonts w:hint="eastAsia" w:ascii="微软雅黑" w:hAnsi="微软雅黑" w:cs="Arial Unicode MS"/>
          <w:kern w:val="2"/>
          <w:sz w:val="21"/>
          <w:szCs w:val="21"/>
          <w:highlight w:val="none"/>
        </w:rPr>
        <w:t>、1个酪氨酸激酶结构域</w:t>
      </w:r>
      <w:r>
        <w:rPr>
          <w:rFonts w:hint="eastAsia" w:ascii="微软雅黑" w:hAnsi="微软雅黑" w:cs="Arial Unicode MS"/>
          <w:kern w:val="2"/>
          <w:sz w:val="21"/>
          <w:szCs w:val="21"/>
          <w:highlight w:val="none"/>
          <w:lang w:eastAsia="zh-CN"/>
        </w:rPr>
        <w:t>（</w:t>
      </w:r>
      <w:r>
        <w:rPr>
          <w:rFonts w:hint="eastAsia" w:ascii="微软雅黑" w:hAnsi="微软雅黑" w:cs="Arial Unicode MS"/>
          <w:kern w:val="2"/>
          <w:sz w:val="21"/>
          <w:szCs w:val="21"/>
          <w:highlight w:val="none"/>
          <w:lang w:val="en-US" w:eastAsia="zh-CN"/>
        </w:rPr>
        <w:t>613-871位氨基酸</w:t>
      </w:r>
      <w:r>
        <w:rPr>
          <w:rFonts w:hint="eastAsia" w:ascii="微软雅黑" w:hAnsi="微软雅黑" w:cs="Arial Unicode MS"/>
          <w:kern w:val="2"/>
          <w:sz w:val="21"/>
          <w:szCs w:val="21"/>
          <w:highlight w:val="none"/>
          <w:lang w:eastAsia="zh-CN"/>
        </w:rPr>
        <w:t>）</w:t>
      </w:r>
      <w:r>
        <w:rPr>
          <w:rFonts w:hint="eastAsia" w:ascii="微软雅黑" w:hAnsi="微软雅黑" w:cs="Arial Unicode MS"/>
          <w:kern w:val="2"/>
          <w:sz w:val="21"/>
          <w:szCs w:val="21"/>
          <w:highlight w:val="none"/>
        </w:rPr>
        <w:t>以及1个SAM结构域</w:t>
      </w:r>
      <w:r>
        <w:rPr>
          <w:rFonts w:hint="eastAsia" w:ascii="微软雅黑" w:hAnsi="微软雅黑" w:cs="Arial Unicode MS"/>
          <w:kern w:val="2"/>
          <w:sz w:val="21"/>
          <w:szCs w:val="21"/>
          <w:highlight w:val="none"/>
          <w:lang w:eastAsia="zh-CN"/>
        </w:rPr>
        <w:t>（</w:t>
      </w:r>
      <w:r>
        <w:rPr>
          <w:rFonts w:hint="eastAsia" w:ascii="微软雅黑" w:hAnsi="微软雅黑" w:cs="Arial Unicode MS"/>
          <w:kern w:val="2"/>
          <w:sz w:val="21"/>
          <w:szCs w:val="21"/>
          <w:highlight w:val="none"/>
          <w:lang w:val="en-US" w:eastAsia="zh-CN"/>
        </w:rPr>
        <w:t>901-968位氨基酸</w:t>
      </w:r>
      <w:r>
        <w:rPr>
          <w:rFonts w:hint="eastAsia" w:ascii="微软雅黑" w:hAnsi="微软雅黑" w:cs="Arial Unicode MS"/>
          <w:kern w:val="2"/>
          <w:sz w:val="21"/>
          <w:szCs w:val="21"/>
          <w:highlight w:val="none"/>
          <w:lang w:eastAsia="zh-CN"/>
        </w:rPr>
        <w:t>）</w:t>
      </w:r>
      <w:r>
        <w:rPr>
          <w:rFonts w:hint="eastAsia" w:ascii="微软雅黑" w:hAnsi="微软雅黑" w:cs="Arial Unicode MS"/>
          <w:kern w:val="2"/>
          <w:sz w:val="21"/>
          <w:szCs w:val="21"/>
          <w:highlight w:val="none"/>
        </w:rPr>
        <w:t>。该样本检出的</w:t>
      </w:r>
      <w:r>
        <w:rPr>
          <w:rFonts w:hint="eastAsia" w:ascii="微软雅黑" w:hAnsi="微软雅黑" w:cs="微软雅黑"/>
          <w:sz w:val="21"/>
        </w:rPr>
        <w:t>c.153+2T&gt;C突变位于内含子与外显子交界处，可能导致mRNA剪接异常，进而导致蛋白功能缺失</w:t>
      </w:r>
      <w:r>
        <w:rPr>
          <w:rFonts w:hint="eastAsia" w:ascii="微软雅黑" w:hAnsi="微软雅黑" w:cs="微软雅黑"/>
          <w:sz w:val="21"/>
          <w:lang w:eastAsia="zh-CN"/>
        </w:rPr>
        <w:t>。</w:t>
      </w:r>
    </w:p>
    <w:p w14:paraId="3ECEB9BF">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val="0"/>
        <w:snapToGrid w:val="0"/>
        <w:spacing w:before="0" w:after="0" w:line="240" w:lineRule="auto"/>
        <w:ind w:firstLine="400"/>
        <w:jc w:val="both"/>
        <w:textAlignment w:val="auto"/>
        <w:rPr>
          <w:rFonts w:hint="eastAsia" w:ascii="微软雅黑" w:hAnsi="微软雅黑" w:cs="Arial Unicode MS"/>
          <w:kern w:val="2"/>
          <w:sz w:val="21"/>
          <w:szCs w:val="21"/>
          <w:highlight w:val="none"/>
        </w:rPr>
      </w:pPr>
      <w:r>
        <w:rPr>
          <w:rFonts w:hint="eastAsia" w:ascii="微软雅黑" w:hAnsi="微软雅黑" w:cs="Arial Unicode MS"/>
          <w:kern w:val="2"/>
          <w:sz w:val="21"/>
          <w:szCs w:val="21"/>
          <w:highlight w:val="none"/>
        </w:rPr>
        <w:t>人类EPHA2在前列腺癌、肺癌、食管癌、结直肠癌、宫颈癌、卵巢癌、乳腺癌和皮肤癌中大量表达</w:t>
      </w:r>
      <w:r>
        <w:rPr>
          <w:rFonts w:hint="eastAsia" w:ascii="微软雅黑" w:hAnsi="微软雅黑" w:cs="Arial Unicode MS"/>
          <w:kern w:val="2"/>
          <w:sz w:val="21"/>
          <w:szCs w:val="21"/>
          <w:highlight w:val="none"/>
          <w:lang w:val="en-US" w:eastAsia="zh-CN"/>
        </w:rPr>
        <w:t>[28966234]</w:t>
      </w:r>
      <w:r>
        <w:rPr>
          <w:rFonts w:hint="eastAsia" w:ascii="微软雅黑" w:hAnsi="微软雅黑" w:cs="Arial Unicode MS"/>
          <w:kern w:val="2"/>
          <w:sz w:val="21"/>
          <w:szCs w:val="21"/>
          <w:highlight w:val="none"/>
        </w:rPr>
        <w:t>。有研究表明，EphA2的表达与临床分期及淋巴结转移密切相关。EphA2可与VEGF结合作为判断NSCLC恶性程度及预后的指标，及早期诊断指标和治疗的新靶点</w:t>
      </w:r>
      <w:r>
        <w:rPr>
          <w:rFonts w:hint="eastAsia" w:ascii="微软雅黑" w:hAnsi="微软雅黑" w:cs="Arial Unicode MS"/>
          <w:kern w:val="2"/>
          <w:sz w:val="21"/>
          <w:szCs w:val="21"/>
          <w:highlight w:val="none"/>
          <w:lang w:val="en-US" w:eastAsia="zh-CN"/>
        </w:rPr>
        <w:t>[19531623]</w:t>
      </w:r>
      <w:r>
        <w:rPr>
          <w:rFonts w:hint="eastAsia" w:ascii="微软雅黑" w:hAnsi="微软雅黑" w:cs="Arial Unicode MS"/>
          <w:kern w:val="2"/>
          <w:sz w:val="21"/>
          <w:szCs w:val="21"/>
          <w:highlight w:val="none"/>
        </w:rPr>
        <w:t>。</w:t>
      </w:r>
      <w:r>
        <w:rPr>
          <w:rFonts w:hint="eastAsia" w:ascii="微软雅黑" w:hAnsi="微软雅黑" w:cs="微软雅黑"/>
          <w:sz w:val="21"/>
          <w:highlight w:val="none"/>
          <w:lang w:eastAsia="zh-CN"/>
        </w:rPr>
        <w:t>但是，目前该样本检出的突变在</w:t>
      </w:r>
      <w:r>
        <w:rPr>
          <w:rFonts w:hint="eastAsia" w:ascii="微软雅黑" w:hAnsi="微软雅黑" w:cs="微软雅黑"/>
          <w:sz w:val="21"/>
          <w:highlight w:val="none"/>
          <w:lang w:val="en-US" w:eastAsia="zh-CN"/>
        </w:rPr>
        <w:t>结直肠癌</w:t>
      </w:r>
      <w:r>
        <w:rPr>
          <w:rFonts w:hint="eastAsia" w:ascii="微软雅黑" w:hAnsi="微软雅黑" w:cs="微软雅黑"/>
          <w:sz w:val="21"/>
          <w:highlight w:val="none"/>
          <w:lang w:eastAsia="zh-CN"/>
        </w:rPr>
        <w:t>中的具体临床意义</w:t>
      </w:r>
      <w:r>
        <w:rPr>
          <w:rFonts w:hint="eastAsia" w:ascii="微软雅黑" w:hAnsi="微软雅黑" w:cs="微软雅黑"/>
          <w:sz w:val="21"/>
          <w:highlight w:val="none"/>
          <w:lang w:val="en-US" w:eastAsia="zh-CN"/>
        </w:rPr>
        <w:t>有待明确</w:t>
      </w:r>
      <w:r>
        <w:rPr>
          <w:rFonts w:hint="eastAsia" w:ascii="微软雅黑" w:hAnsi="微软雅黑" w:cs="微软雅黑"/>
          <w:sz w:val="21"/>
          <w:highlight w:val="none"/>
          <w:lang w:eastAsia="zh-CN"/>
        </w:rPr>
        <w:t>。</w:t>
      </w:r>
    </w:p>
    <w:p w14:paraId="25D23E08">
      <w:pPr>
        <w:spacing w:before="200"/>
        <w:jc w:val="both"/>
        <w:rPr>
          <w:rFonts w:ascii="微软雅黑" w:hAnsi="微软雅黑" w:cs="微软雅黑"/>
          <w:sz w:val="21"/>
        </w:rPr>
      </w:pPr>
      <w:r>
        <w:rPr>
          <w:rFonts w:ascii="Wingdings" w:hAnsi="Wingdings" w:eastAsia="Wingdings" w:cs="Wingdings"/>
          <w:sz w:val="24"/>
        </w:rPr>
        <w:t>u</w:t>
      </w:r>
      <w:r>
        <w:rPr>
          <w:rFonts w:hint="eastAsia" w:ascii="Wingdings" w:hAnsi="Wingdings" w:eastAsia="宋体" w:cs="Wingdings"/>
          <w:sz w:val="24"/>
        </w:rPr>
        <w:t xml:space="preserve"> </w:t>
      </w:r>
      <w:r>
        <w:rPr>
          <w:rFonts w:hint="eastAsia" w:ascii="微软雅黑" w:hAnsi="微软雅黑" w:cs="微软雅黑"/>
          <w:b/>
          <w:color w:val="0000FF"/>
          <w:sz w:val="24"/>
          <w:u w:val="single"/>
        </w:rPr>
        <w:t>FANCI：c.2879G&gt;A，p.R960Q；2.18%</w:t>
      </w:r>
    </w:p>
    <w:p w14:paraId="07618F6F">
      <w:pPr>
        <w:spacing w:after="0"/>
      </w:pPr>
      <w:r>
        <w:rPr>
          <w:rFonts w:ascii="微软雅黑" w:hAnsi="微软雅黑" w:cs="微软雅黑"/>
          <w:b/>
        </w:rPr>
        <w:t>基因简介：</w:t>
      </w:r>
    </w:p>
    <w:p w14:paraId="21EB1736">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val="0"/>
        <w:snapToGrid w:val="0"/>
        <w:spacing w:before="0" w:beforeLines="0" w:after="0" w:line="240" w:lineRule="auto"/>
        <w:ind w:firstLine="400"/>
        <w:jc w:val="both"/>
        <w:textAlignment w:val="auto"/>
        <w:rPr>
          <w:rFonts w:ascii="微软雅黑" w:hAnsi="微软雅黑" w:eastAsia="微软雅黑" w:cs="微软雅黑"/>
          <w:sz w:val="21"/>
        </w:rPr>
      </w:pPr>
      <w:r>
        <w:rPr>
          <w:rFonts w:hint="eastAsia" w:ascii="微软雅黑" w:hAnsi="微软雅黑" w:eastAsia="微软雅黑" w:cs="微软雅黑"/>
          <w:sz w:val="21"/>
        </w:rPr>
        <w:t>FANCI基因是范可尼贫血互补组（FANC）的成员之一，其他成员还包括FANCA、FANCB、FANCC、FANCD1（也称为BRCA2）、FANCD2、FANCE、FANCF、FANCG、FANCJ（也称为BRIP1）、FANCL、FANCM和FANCN（也称为PALB2）[GeneCards]。FANCI基因编码的蛋白在DNA修复中起作用。目前，已在甲状腺癌、结肠癌和皮肤癌等癌症中观察到FANCI基因的错义突变、同义突变、无义突变、移码插入和移码缺失。</w:t>
      </w:r>
    </w:p>
    <w:p w14:paraId="6F490BB4">
      <w:pPr>
        <w:spacing w:after="0"/>
      </w:pPr>
      <w:r>
        <w:rPr>
          <w:rFonts w:ascii="微软雅黑" w:hAnsi="微软雅黑" w:cs="微软雅黑"/>
          <w:b/>
        </w:rPr>
        <w:t>基因变异说明：</w:t>
      </w:r>
    </w:p>
    <w:p w14:paraId="7B4E2C5E">
      <w:pPr>
        <w:spacing w:after="0"/>
        <w:ind w:firstLine="400"/>
        <w:jc w:val="both"/>
        <w:rPr>
          <w:rFonts w:ascii="微软雅黑" w:hAnsi="微软雅黑" w:cs="微软雅黑"/>
          <w:sz w:val="21"/>
        </w:rPr>
      </w:pPr>
      <w:r>
        <w:rPr>
          <w:rFonts w:hint="eastAsia" w:ascii="微软雅黑" w:hAnsi="微软雅黑" w:cs="微软雅黑"/>
          <w:sz w:val="21"/>
        </w:rPr>
        <w:t>该样本检出FANCI基因c.2879G&gt;A，p.R960Q错义突变，第2879位核苷酸由G突变为A，导致相应蛋白序列中第960位氨基酸由精氨酸突变为谷氨酰胺，此突变在样本中的突变丰度为2.18%。</w:t>
      </w:r>
    </w:p>
    <w:p w14:paraId="272A8761">
      <w:pPr>
        <w:spacing w:after="0"/>
      </w:pPr>
      <w:r>
        <w:rPr>
          <w:rFonts w:ascii="微软雅黑" w:hAnsi="微软雅黑" w:cs="微软雅黑"/>
          <w:b/>
        </w:rPr>
        <w:t xml:space="preserve">基因变异解析： </w:t>
      </w:r>
    </w:p>
    <w:p w14:paraId="6F0D52AD">
      <w:pPr>
        <w:spacing w:after="0"/>
        <w:ind w:firstLine="420" w:firstLineChars="200"/>
        <w:jc w:val="both"/>
        <w:outlineLvl w:val="9"/>
        <w:rPr>
          <w:rFonts w:hint="eastAsia" w:ascii="微软雅黑" w:hAnsi="微软雅黑" w:eastAsia="微软雅黑" w:cs="微软雅黑"/>
          <w:sz w:val="21"/>
          <w:highlight w:val="none"/>
        </w:rPr>
      </w:pPr>
      <w:r>
        <w:rPr>
          <w:rFonts w:hint="eastAsia" w:ascii="微软雅黑" w:hAnsi="微软雅黑" w:eastAsia="微软雅黑" w:cs="微软雅黑"/>
          <w:sz w:val="21"/>
          <w:highlight w:val="none"/>
        </w:rPr>
        <w:t>FANCI基因编码的蛋白全长为1328个氨基酸，主要包含多个低复杂度区域。该样本检出的</w:t>
      </w:r>
      <w:r>
        <w:rPr>
          <w:rFonts w:hint="eastAsia" w:ascii="微软雅黑" w:hAnsi="微软雅黑" w:cs="微软雅黑"/>
          <w:sz w:val="21"/>
        </w:rPr>
        <w:t>p.R960Q</w:t>
      </w:r>
      <w:r>
        <w:rPr>
          <w:rFonts w:hint="eastAsia" w:ascii="微软雅黑" w:hAnsi="微软雅黑" w:eastAsia="微软雅黑" w:cs="微软雅黑"/>
          <w:sz w:val="21"/>
          <w:highlight w:val="none"/>
        </w:rPr>
        <w:t>突变</w:t>
      </w:r>
      <w:r>
        <w:rPr>
          <w:rFonts w:hint="eastAsia" w:ascii="微软雅黑" w:hAnsi="微软雅黑" w:cs="微软雅黑"/>
          <w:sz w:val="21"/>
          <w:highlight w:val="none"/>
          <w:lang w:val="en-US" w:eastAsia="zh-CN"/>
        </w:rPr>
        <w:t>位于上述结构域之外，对蛋白功能的影响未知</w:t>
      </w:r>
      <w:r>
        <w:rPr>
          <w:rFonts w:hint="eastAsia" w:ascii="微软雅黑" w:hAnsi="微软雅黑" w:eastAsia="微软雅黑" w:cs="微软雅黑"/>
          <w:sz w:val="21"/>
          <w:highlight w:val="none"/>
        </w:rPr>
        <w:t>。</w:t>
      </w:r>
    </w:p>
    <w:p w14:paraId="778A9581">
      <w:pPr>
        <w:spacing w:after="0"/>
        <w:ind w:firstLine="400"/>
        <w:jc w:val="both"/>
        <w:rPr>
          <w:rFonts w:hint="eastAsia" w:ascii="微软雅黑" w:hAnsi="微软雅黑" w:cs="微软雅黑"/>
          <w:sz w:val="21"/>
        </w:rPr>
      </w:pPr>
      <w:r>
        <w:rPr>
          <w:rFonts w:hint="eastAsia" w:ascii="微软雅黑" w:hAnsi="微软雅黑" w:eastAsia="微软雅黑" w:cs="微软雅黑"/>
          <w:sz w:val="21"/>
        </w:rPr>
        <w:t>有研究表明，FANCI是FA途径的第二个单泛素化成员，FANCI功能缺失可导致AKT的自发磷酸化和活化[27097374]。另有研究表明，FANCI基因编码的蛋白在DNA修复中起重要作用，FANCI功能缺失可增强肿瘤对PARP抑制剂的敏感性[27022037，Abstract IA25]。研究显示，DNA修复基因包含FANCI</w:t>
      </w:r>
      <w:r>
        <w:rPr>
          <w:rFonts w:hint="eastAsia" w:ascii="微软雅黑" w:hAnsi="微软雅黑" w:cs="微软雅黑"/>
          <w:sz w:val="21"/>
          <w:lang w:eastAsia="zh-CN"/>
        </w:rPr>
        <w:t>，</w:t>
      </w:r>
      <w:r>
        <w:rPr>
          <w:rFonts w:hint="eastAsia" w:ascii="微软雅黑" w:hAnsi="微软雅黑" w:eastAsia="微软雅黑" w:cs="微软雅黑"/>
          <w:sz w:val="21"/>
        </w:rPr>
        <w:t>DNA修复基因突变与免疫治疗临床获益相关[30262796</w:t>
      </w:r>
      <w:r>
        <w:rPr>
          <w:rFonts w:hint="eastAsia" w:ascii="微软雅黑" w:hAnsi="微软雅黑" w:cs="微软雅黑"/>
          <w:sz w:val="21"/>
          <w:lang w:eastAsia="zh-CN"/>
        </w:rPr>
        <w:t>，</w:t>
      </w:r>
      <w:r>
        <w:rPr>
          <w:rFonts w:hint="eastAsia" w:ascii="微软雅黑" w:hAnsi="微软雅黑" w:eastAsia="微软雅黑" w:cs="微软雅黑"/>
          <w:sz w:val="21"/>
        </w:rPr>
        <w:t>31658756]。</w:t>
      </w:r>
      <w:r>
        <w:rPr>
          <w:rFonts w:hint="eastAsia" w:ascii="微软雅黑" w:hAnsi="微软雅黑" w:cs="微软雅黑"/>
          <w:sz w:val="21"/>
        </w:rPr>
        <w:t>但是，目前该样本检出的突变在</w:t>
      </w:r>
      <w:r>
        <w:rPr>
          <w:rFonts w:hint="eastAsia" w:ascii="微软雅黑" w:hAnsi="微软雅黑" w:cs="微软雅黑"/>
          <w:sz w:val="21"/>
          <w:lang w:val="en-US" w:eastAsia="zh-CN"/>
        </w:rPr>
        <w:t>结直肠癌</w:t>
      </w:r>
      <w:r>
        <w:rPr>
          <w:rFonts w:hint="eastAsia" w:ascii="微软雅黑" w:hAnsi="微软雅黑" w:cs="微软雅黑"/>
          <w:sz w:val="21"/>
        </w:rPr>
        <w:t>中的具体临床意义</w:t>
      </w:r>
      <w:r>
        <w:rPr>
          <w:rFonts w:hint="eastAsia" w:ascii="微软雅黑" w:hAnsi="微软雅黑" w:cs="微软雅黑"/>
          <w:sz w:val="21"/>
          <w:lang w:val="en-US" w:eastAsia="zh-CN"/>
        </w:rPr>
        <w:t>未明</w:t>
      </w:r>
      <w:r>
        <w:rPr>
          <w:rFonts w:hint="eastAsia" w:ascii="微软雅黑" w:hAnsi="微软雅黑" w:cs="微软雅黑"/>
          <w:sz w:val="21"/>
        </w:rPr>
        <w:t xml:space="preserve">。  </w:t>
      </w:r>
    </w:p>
    <w:p w14:paraId="549E46BA">
      <w:pPr>
        <w:spacing w:before="200"/>
        <w:jc w:val="both"/>
        <w:rPr>
          <w:rFonts w:hint="eastAsia" w:ascii="微软雅黑" w:hAnsi="微软雅黑" w:cs="微软雅黑"/>
          <w:b/>
          <w:color w:val="FF0000"/>
          <w:sz w:val="24"/>
          <w:u w:val="single"/>
        </w:rPr>
      </w:pPr>
      <w:r>
        <w:rPr>
          <w:rFonts w:ascii="Wingdings" w:hAnsi="Wingdings" w:eastAsia="Wingdings" w:cs="Wingdings"/>
          <w:sz w:val="24"/>
        </w:rPr>
        <w:t>u</w:t>
      </w:r>
      <w:r>
        <w:rPr>
          <w:rFonts w:hint="eastAsia" w:ascii="Wingdings" w:hAnsi="Wingdings" w:eastAsia="宋体" w:cs="Wingdings"/>
          <w:sz w:val="24"/>
        </w:rPr>
        <w:t xml:space="preserve"> </w:t>
      </w:r>
      <w:r>
        <w:rPr>
          <w:rFonts w:hint="eastAsia" w:ascii="微软雅黑" w:hAnsi="微软雅黑" w:eastAsia="宋体" w:cs="微软雅黑"/>
          <w:b/>
          <w:color w:val="FF0000"/>
          <w:sz w:val="24"/>
          <w:u w:val="single"/>
        </w:rPr>
        <w:t>ATM</w:t>
      </w:r>
      <w:r>
        <w:rPr>
          <w:rFonts w:ascii="微软雅黑" w:hAnsi="微软雅黑" w:cs="微软雅黑"/>
          <w:b/>
          <w:color w:val="FF0000"/>
          <w:sz w:val="24"/>
          <w:u w:val="single"/>
        </w:rPr>
        <w:t>：</w:t>
      </w:r>
      <w:r>
        <w:rPr>
          <w:rFonts w:hint="eastAsia" w:ascii="微软雅黑" w:hAnsi="微软雅黑" w:cs="微软雅黑"/>
          <w:b/>
          <w:color w:val="FF0000"/>
          <w:sz w:val="24"/>
          <w:u w:val="single"/>
        </w:rPr>
        <w:t>c.6874C&gt;T，p.Q2292*；0.53%</w:t>
      </w:r>
    </w:p>
    <w:p w14:paraId="2E2EF9CF">
      <w:pPr>
        <w:spacing w:after="0"/>
      </w:pPr>
      <w:r>
        <w:rPr>
          <w:rFonts w:ascii="微软雅黑" w:hAnsi="微软雅黑" w:cs="微软雅黑"/>
          <w:b/>
        </w:rPr>
        <w:t>基因简介：</w:t>
      </w:r>
    </w:p>
    <w:p w14:paraId="7959DFC2">
      <w:pPr>
        <w:spacing w:after="0"/>
        <w:ind w:firstLine="400"/>
        <w:jc w:val="both"/>
        <w:rPr>
          <w:rFonts w:ascii="微软雅黑" w:hAnsi="微软雅黑" w:cs="微软雅黑"/>
          <w:sz w:val="21"/>
        </w:rPr>
      </w:pPr>
      <w:r>
        <w:rPr>
          <w:rFonts w:hint="eastAsia" w:ascii="微软雅黑" w:hAnsi="微软雅黑" w:cs="微软雅黑"/>
          <w:sz w:val="21"/>
        </w:rPr>
        <w:t>ATM 基因编码的蛋白属于PI3/PI4 激酶家族。ATM蛋白是重要的细胞循环检查点激酶，可调控一系列下游蛋白，包括抑癌基因蛋白P53、BRCA1，检测点激酶CHK2、RAD17 和 RAD9，以及DNA修复蛋白NBS1。ATM以及相关的蛋白激酶ATR是细胞循环调控点检测信号的主要蛋白，对于保持基因组的稳定性以及DNA 损伤修复起重要作用。ATM基因在人类恶性肿瘤发展过程中起重要作用。ATM基因是已知的肿瘤抑制基因，ATM基因的突变与共济失调毛细血管扩张（一种常染色体隐性遗传疾病）相关[7792600]。在不吸烟的肺癌患者中，ATM基因的多态性与肺癌的发生和发展密切相关[20004998]。ATM基因突变在肺癌和结直肠癌中频繁发生[25079552，22810696]。</w:t>
      </w:r>
    </w:p>
    <w:p w14:paraId="6887040A">
      <w:pPr>
        <w:spacing w:after="0"/>
      </w:pPr>
      <w:r>
        <w:rPr>
          <w:rFonts w:ascii="微软雅黑" w:hAnsi="微软雅黑" w:cs="微软雅黑"/>
          <w:b/>
        </w:rPr>
        <w:t>基因变异说明：</w:t>
      </w:r>
    </w:p>
    <w:p w14:paraId="094B12BA">
      <w:pPr>
        <w:spacing w:after="0"/>
        <w:ind w:firstLine="400"/>
        <w:jc w:val="both"/>
        <w:rPr>
          <w:rFonts w:ascii="微软雅黑" w:hAnsi="微软雅黑" w:cs="微软雅黑"/>
          <w:sz w:val="21"/>
        </w:rPr>
      </w:pPr>
      <w:r>
        <w:rPr>
          <w:rFonts w:hint="eastAsia" w:ascii="微软雅黑" w:hAnsi="微软雅黑" w:cs="微软雅黑"/>
          <w:sz w:val="21"/>
        </w:rPr>
        <w:t>该样本检出ATM基因c.6874C&gt;T，p.Q2292*无义突变，第6874位核苷酸由C突变为T，导致相应蛋白序列中第2292位氨基酸由谷氨酰胺突变为终止密码子，此突变在样本中的突变丰度为0.53%。</w:t>
      </w:r>
    </w:p>
    <w:p w14:paraId="5C8E6402">
      <w:pPr>
        <w:spacing w:after="0"/>
      </w:pPr>
      <w:r>
        <w:rPr>
          <w:rFonts w:ascii="微软雅黑" w:hAnsi="微软雅黑" w:cs="微软雅黑"/>
          <w:b/>
        </w:rPr>
        <w:t xml:space="preserve">基因变异解析： </w:t>
      </w:r>
    </w:p>
    <w:p w14:paraId="1A8E21F5">
      <w:pPr>
        <w:spacing w:after="0"/>
        <w:ind w:firstLine="400"/>
        <w:jc w:val="both"/>
        <w:rPr>
          <w:rFonts w:hint="eastAsia" w:ascii="微软雅黑" w:hAnsi="微软雅黑" w:cs="微软雅黑"/>
          <w:sz w:val="21"/>
        </w:rPr>
      </w:pPr>
      <w:r>
        <w:rPr>
          <w:rFonts w:hint="eastAsia" w:ascii="微软雅黑" w:hAnsi="微软雅黑" w:cs="微软雅黑"/>
          <w:sz w:val="21"/>
        </w:rPr>
        <w:t>ATM基因编码的蛋白全长为3056个氨基酸，主要包含TAN结构域（5-166位氨基酸）以及FAT结构域（2096-2489位氨基酸）。该样本检出的p.Q2292*突变导致蛋白翻译提前终止，产生截短的蛋白，可能导致蛋白功能缺失。</w:t>
      </w:r>
    </w:p>
    <w:p w14:paraId="46713F95">
      <w:pPr>
        <w:spacing w:after="0"/>
        <w:ind w:firstLine="400"/>
        <w:jc w:val="both"/>
        <w:rPr>
          <w:rFonts w:ascii="Wingdings" w:hAnsi="Wingdings" w:eastAsia="Wingdings" w:cs="Wingdings"/>
          <w:sz w:val="24"/>
        </w:rPr>
      </w:pPr>
      <w:r>
        <w:rPr>
          <w:rFonts w:hint="eastAsia" w:ascii="微软雅黑" w:hAnsi="微软雅黑" w:cs="微软雅黑"/>
          <w:sz w:val="21"/>
        </w:rPr>
        <w:t>ATM缺陷细胞会导致DNA损伤的积累及基因组的不稳定进而引起肿瘤发生。因此，该样本检出的突变可能与疾病的发生发展相关。</w:t>
      </w:r>
    </w:p>
    <w:p w14:paraId="482D37E4">
      <w:pPr>
        <w:spacing w:after="0"/>
        <w:rPr>
          <w:rFonts w:ascii="微软雅黑" w:hAnsi="微软雅黑" w:cs="微软雅黑"/>
          <w:b/>
        </w:rPr>
      </w:pPr>
    </w:p>
    <w:p w14:paraId="7DEF321F">
      <w:pPr>
        <w:numPr>
          <w:ilvl w:val="0"/>
          <w:numId w:val="9"/>
        </w:numPr>
        <w:spacing w:after="0"/>
        <w:jc w:val="both"/>
        <w:outlineLvl w:val="0"/>
        <w:rPr>
          <w:rFonts w:ascii="微软雅黑" w:hAnsi="微软雅黑"/>
          <w:b/>
          <w:sz w:val="24"/>
          <w:szCs w:val="24"/>
        </w:rPr>
      </w:pPr>
      <w:bookmarkStart w:id="178" w:name="_Toc16898"/>
      <w:r>
        <w:rPr>
          <w:rFonts w:hint="eastAsia" w:ascii="微软雅黑" w:hAnsi="微软雅黑"/>
          <w:b/>
          <w:sz w:val="24"/>
          <w:szCs w:val="24"/>
        </w:rPr>
        <w:t>靶向</w:t>
      </w:r>
      <w:r>
        <w:rPr>
          <w:rFonts w:ascii="微软雅黑" w:hAnsi="微软雅黑"/>
          <w:b/>
          <w:sz w:val="24"/>
          <w:szCs w:val="24"/>
        </w:rPr>
        <w:t>药物</w:t>
      </w:r>
      <w:r>
        <w:rPr>
          <w:rFonts w:hint="eastAsia" w:ascii="微软雅黑" w:hAnsi="微软雅黑"/>
          <w:b/>
          <w:sz w:val="24"/>
          <w:szCs w:val="24"/>
        </w:rPr>
        <w:t>/免疫用药</w:t>
      </w:r>
      <w:r>
        <w:rPr>
          <w:rFonts w:ascii="微软雅黑" w:hAnsi="微软雅黑"/>
          <w:b/>
          <w:sz w:val="24"/>
          <w:szCs w:val="24"/>
        </w:rPr>
        <w:t>提示解析</w:t>
      </w:r>
      <w:bookmarkEnd w:id="178"/>
    </w:p>
    <w:p w14:paraId="0398D7AE">
      <w:pPr>
        <w:numPr>
          <w:ilvl w:val="1"/>
          <w:numId w:val="9"/>
        </w:numPr>
        <w:spacing w:before="200"/>
        <w:rPr>
          <w:rFonts w:ascii="微软雅黑" w:hAnsi="微软雅黑"/>
          <w:b/>
          <w:sz w:val="24"/>
          <w:szCs w:val="24"/>
        </w:rPr>
      </w:pPr>
      <w:bookmarkStart w:id="179" w:name="_Toc19439"/>
      <w:r>
        <w:rPr>
          <w:rFonts w:ascii="微软雅黑" w:hAnsi="微软雅黑"/>
          <w:b/>
          <w:sz w:val="24"/>
          <w:szCs w:val="24"/>
        </w:rPr>
        <w:t>潜在获益靶向</w:t>
      </w:r>
      <w:r>
        <w:rPr>
          <w:rFonts w:hint="eastAsia" w:ascii="微软雅黑" w:hAnsi="微软雅黑"/>
          <w:b/>
          <w:sz w:val="24"/>
          <w:szCs w:val="24"/>
        </w:rPr>
        <w:t>/免疫</w:t>
      </w:r>
      <w:r>
        <w:rPr>
          <w:rFonts w:ascii="微软雅黑" w:hAnsi="微软雅黑"/>
          <w:b/>
          <w:sz w:val="24"/>
          <w:szCs w:val="24"/>
        </w:rPr>
        <w:t>药物解析</w:t>
      </w:r>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9"/>
    </w:p>
    <w:p w14:paraId="664E8FAE">
      <w:pPr>
        <w:numPr>
          <w:ilvl w:val="0"/>
          <w:numId w:val="11"/>
        </w:numPr>
        <w:spacing w:before="200"/>
        <w:ind w:left="420" w:hanging="420"/>
        <w:jc w:val="both"/>
        <w:rPr>
          <w:rFonts w:ascii="微软雅黑" w:hAnsi="微软雅黑" w:cs="微软雅黑"/>
          <w:color w:val="FF0000"/>
          <w:kern w:val="1"/>
          <w:sz w:val="21"/>
          <w:szCs w:val="21"/>
        </w:rPr>
      </w:pPr>
      <w:r>
        <w:rPr>
          <w:rStyle w:val="21"/>
          <w:rFonts w:hint="eastAsia" w:ascii="微软雅黑" w:hAnsi="微软雅黑" w:cs="微软雅黑"/>
          <w:b/>
          <w:bCs/>
          <w:color w:val="FF0000"/>
          <w:sz w:val="24"/>
          <w:szCs w:val="24"/>
          <w:u w:val="none"/>
        </w:rPr>
        <w:t>TP53：</w:t>
      </w:r>
      <w:r>
        <w:rPr>
          <w:rFonts w:hint="eastAsia" w:ascii="微软雅黑" w:hAnsi="微软雅黑" w:cs="微软雅黑"/>
          <w:b/>
          <w:color w:val="FF0000"/>
          <w:sz w:val="24"/>
          <w:u w:val="none"/>
        </w:rPr>
        <w:t>c.844C&gt;T，p.R282W</w:t>
      </w:r>
      <w:r>
        <w:rPr>
          <w:rStyle w:val="21"/>
          <w:rFonts w:hint="eastAsia" w:ascii="微软雅黑" w:hAnsi="微软雅黑" w:cs="微软雅黑"/>
          <w:b/>
          <w:bCs/>
          <w:color w:val="FF0000"/>
          <w:sz w:val="24"/>
          <w:szCs w:val="24"/>
          <w:u w:val="none"/>
        </w:rPr>
        <w:t>突变相应靶向药物</w:t>
      </w:r>
    </w:p>
    <w:p w14:paraId="6B0CD9D9">
      <w:pPr>
        <w:numPr>
          <w:ilvl w:val="0"/>
          <w:numId w:val="12"/>
        </w:numPr>
        <w:spacing w:before="200"/>
        <w:ind w:left="420" w:hanging="420"/>
        <w:rPr>
          <w:rFonts w:ascii="微软雅黑" w:hAnsi="微软雅黑" w:cs="微软雅黑"/>
          <w:b/>
          <w:bCs/>
          <w:color w:val="0000FF"/>
          <w:sz w:val="24"/>
          <w:szCs w:val="24"/>
        </w:rPr>
      </w:pPr>
      <w:r>
        <w:fldChar w:fldCharType="begin"/>
      </w:r>
      <w:r>
        <w:instrText xml:space="preserve"> HYPERLINK \l "基因变异检测结果及相关靶向药物信息" </w:instrText>
      </w:r>
      <w:r>
        <w:fldChar w:fldCharType="separate"/>
      </w:r>
      <w:r>
        <w:rPr>
          <w:rStyle w:val="23"/>
          <w:rFonts w:hint="eastAsia" w:ascii="微软雅黑" w:hAnsi="微软雅黑" w:cs="微软雅黑"/>
          <w:b/>
          <w:bCs/>
          <w:color w:val="0000FF"/>
          <w:sz w:val="24"/>
          <w:szCs w:val="24"/>
        </w:rPr>
        <w:t>AZD1775</w:t>
      </w:r>
      <w:r>
        <w:rPr>
          <w:rStyle w:val="23"/>
          <w:rFonts w:hint="eastAsia" w:ascii="微软雅黑" w:hAnsi="微软雅黑" w:cs="微软雅黑"/>
          <w:b/>
          <w:bCs/>
          <w:color w:val="0000FF"/>
          <w:sz w:val="24"/>
          <w:szCs w:val="24"/>
        </w:rPr>
        <w:fldChar w:fldCharType="end"/>
      </w:r>
      <w:r>
        <w:rPr>
          <w:rFonts w:hint="eastAsia" w:ascii="微软雅黑" w:hAnsi="微软雅黑" w:cs="微软雅黑"/>
          <w:b/>
          <w:bCs/>
          <w:color w:val="0000FF"/>
          <w:sz w:val="24"/>
          <w:szCs w:val="24"/>
          <w:u w:val="single"/>
        </w:rPr>
        <w:t>、</w:t>
      </w:r>
      <w:r>
        <w:fldChar w:fldCharType="begin"/>
      </w:r>
      <w:r>
        <w:instrText xml:space="preserve"> HYPERLINK \l "基因变异检测结果及相关靶向药物信息" </w:instrText>
      </w:r>
      <w:r>
        <w:fldChar w:fldCharType="separate"/>
      </w:r>
      <w:r>
        <w:rPr>
          <w:rStyle w:val="23"/>
          <w:rFonts w:hint="eastAsia" w:ascii="微软雅黑" w:hAnsi="微软雅黑" w:cs="微软雅黑"/>
          <w:b/>
          <w:bCs/>
          <w:color w:val="0000FF"/>
          <w:sz w:val="24"/>
          <w:szCs w:val="24"/>
        </w:rPr>
        <w:t>AZD1775</w:t>
      </w:r>
      <w:r>
        <w:rPr>
          <w:rStyle w:val="23"/>
          <w:rFonts w:hint="eastAsia" w:ascii="微软雅黑" w:hAnsi="微软雅黑" w:cs="微软雅黑"/>
          <w:b/>
          <w:bCs/>
          <w:color w:val="0000FF"/>
          <w:sz w:val="24"/>
          <w:szCs w:val="24"/>
        </w:rPr>
        <w:fldChar w:fldCharType="end"/>
      </w:r>
      <w:r>
        <w:rPr>
          <w:rFonts w:hint="eastAsia" w:ascii="微软雅黑" w:hAnsi="微软雅黑" w:cs="微软雅黑"/>
          <w:b/>
          <w:bCs/>
          <w:color w:val="0000FF"/>
          <w:sz w:val="24"/>
          <w:szCs w:val="24"/>
          <w:u w:val="single"/>
        </w:rPr>
        <w:t>+奥拉帕利（Olaparib）</w:t>
      </w:r>
    </w:p>
    <w:p w14:paraId="6796071C">
      <w:pPr>
        <w:spacing w:after="0"/>
        <w:jc w:val="both"/>
        <w:rPr>
          <w:rFonts w:ascii="微软雅黑" w:hAnsi="微软雅黑" w:cs="Arial Unicode MS"/>
          <w:kern w:val="2"/>
          <w:sz w:val="21"/>
          <w:szCs w:val="21"/>
        </w:rPr>
      </w:pPr>
      <w:r>
        <w:rPr>
          <w:rFonts w:hint="eastAsia"/>
          <w:b/>
          <w:bCs/>
          <w:kern w:val="2"/>
        </w:rPr>
        <w:t>基因变异与药物关联分析：</w:t>
      </w:r>
    </w:p>
    <w:p w14:paraId="559722A6">
      <w:pPr>
        <w:spacing w:after="0"/>
        <w:ind w:firstLine="420" w:firstLineChars="200"/>
        <w:jc w:val="both"/>
        <w:rPr>
          <w:rFonts w:hint="eastAsia"/>
          <w:b/>
          <w:bCs/>
          <w:kern w:val="2"/>
        </w:rPr>
      </w:pPr>
      <w:r>
        <w:rPr>
          <w:rFonts w:hint="eastAsia" w:ascii="微软雅黑" w:hAnsi="微软雅黑" w:cs="Arial Unicode MS"/>
          <w:kern w:val="2"/>
          <w:sz w:val="21"/>
          <w:szCs w:val="21"/>
        </w:rPr>
        <w:t>该样本检出TP53基因c.844C&gt;T，p.R282W</w:t>
      </w:r>
      <w:r>
        <w:rPr>
          <w:rFonts w:hint="eastAsia" w:ascii="微软雅黑" w:hAnsi="微软雅黑" w:cs="Arial Unicode MS"/>
          <w:kern w:val="2"/>
          <w:sz w:val="21"/>
          <w:szCs w:val="21"/>
          <w:lang w:val="en-US" w:eastAsia="zh-CN"/>
        </w:rPr>
        <w:t>错义</w:t>
      </w:r>
      <w:r>
        <w:rPr>
          <w:rFonts w:hint="eastAsia" w:ascii="微软雅黑" w:hAnsi="微软雅黑" w:cs="微软雅黑"/>
          <w:sz w:val="21"/>
        </w:rPr>
        <w:t>突变</w:t>
      </w:r>
      <w:r>
        <w:rPr>
          <w:rFonts w:hint="eastAsia" w:ascii="微软雅黑" w:hAnsi="微软雅黑" w:cs="Arial Unicode MS"/>
          <w:kern w:val="2"/>
          <w:sz w:val="21"/>
          <w:szCs w:val="21"/>
          <w:lang w:eastAsia="zh-CN"/>
        </w:rPr>
        <w:t>，</w:t>
      </w:r>
      <w:r>
        <w:rPr>
          <w:rFonts w:hint="eastAsia" w:ascii="微软雅黑" w:hAnsi="微软雅黑" w:cs="微软雅黑"/>
          <w:sz w:val="21"/>
        </w:rPr>
        <w:t>研究表明，该突变抑制 AMPK 信号传导，导致细胞侵袭性生长，促进小鼠模型中的肿瘤发展[24857548]。</w:t>
      </w:r>
      <w:r>
        <w:rPr>
          <w:rFonts w:hint="eastAsia" w:ascii="微软雅黑" w:hAnsi="微软雅黑" w:cs="Arial Unicode MS"/>
          <w:kern w:val="2"/>
          <w:sz w:val="21"/>
          <w:szCs w:val="21"/>
          <w:lang w:eastAsia="zh-CN"/>
        </w:rPr>
        <w:t>AZD1775是一种WEE1激酶抑制剂，可以控制细胞分裂周期的G2检验点，TP53缺失的肿</w:t>
      </w:r>
      <w:r>
        <w:rPr>
          <w:rFonts w:hint="eastAsia" w:ascii="微软雅黑" w:hAnsi="微软雅黑" w:cs="Arial Unicode MS"/>
          <w:kern w:val="2"/>
          <w:sz w:val="21"/>
          <w:szCs w:val="21"/>
        </w:rPr>
        <w:t>瘤细胞对其敏感[28978051]。目前该药正处于临床期。FDA批准</w:t>
      </w:r>
      <w:r>
        <w:rPr>
          <w:rFonts w:hint="eastAsia" w:ascii="微软雅黑" w:hAnsi="微软雅黑" w:cs="Arial Unicode MS"/>
          <w:kern w:val="2"/>
          <w:sz w:val="21"/>
          <w:szCs w:val="21"/>
          <w:lang w:eastAsia="zh-CN"/>
        </w:rPr>
        <w:t>奥拉帕利</w:t>
      </w:r>
      <w:r>
        <w:rPr>
          <w:rFonts w:hint="eastAsia" w:ascii="微软雅黑" w:hAnsi="微软雅黑" w:cs="Arial Unicode MS"/>
          <w:kern w:val="2"/>
          <w:sz w:val="21"/>
          <w:szCs w:val="21"/>
        </w:rPr>
        <w:t>用于上皮性卵巢癌、输卵管癌</w:t>
      </w:r>
      <w:r>
        <w:rPr>
          <w:rFonts w:hint="eastAsia" w:ascii="微软雅黑" w:hAnsi="微软雅黑" w:cs="Arial Unicode MS"/>
          <w:kern w:val="2"/>
          <w:sz w:val="21"/>
          <w:szCs w:val="21"/>
          <w:lang w:eastAsia="zh-CN"/>
        </w:rPr>
        <w:t>、</w:t>
      </w:r>
      <w:r>
        <w:rPr>
          <w:rFonts w:hint="eastAsia" w:ascii="微软雅黑" w:hAnsi="微软雅黑" w:cs="Arial Unicode MS"/>
          <w:kern w:val="2"/>
          <w:sz w:val="21"/>
          <w:szCs w:val="21"/>
        </w:rPr>
        <w:t>原发性腹膜癌患者</w:t>
      </w:r>
      <w:r>
        <w:rPr>
          <w:rFonts w:hint="eastAsia" w:ascii="微软雅黑" w:hAnsi="微软雅黑" w:cs="Arial Unicode MS"/>
          <w:kern w:val="2"/>
          <w:sz w:val="21"/>
          <w:szCs w:val="21"/>
          <w:lang w:eastAsia="zh-CN"/>
        </w:rPr>
        <w:t>、</w:t>
      </w:r>
      <w:r>
        <w:rPr>
          <w:rFonts w:hint="eastAsia" w:ascii="微软雅黑" w:hAnsi="微软雅黑" w:cs="Arial Unicode MS"/>
          <w:kern w:val="2"/>
          <w:sz w:val="21"/>
          <w:szCs w:val="21"/>
          <w:lang w:val="en-US" w:eastAsia="zh-CN"/>
        </w:rPr>
        <w:t>胰腺癌、</w:t>
      </w:r>
      <w:r>
        <w:rPr>
          <w:rFonts w:hint="eastAsia" w:ascii="微软雅黑" w:hAnsi="微软雅黑" w:cs="微软雅黑"/>
          <w:b w:val="0"/>
          <w:bCs w:val="0"/>
          <w:kern w:val="2"/>
          <w:sz w:val="21"/>
          <w:szCs w:val="24"/>
          <w:vertAlign w:val="baseline"/>
          <w:lang w:val="en-US" w:eastAsia="zh-CN"/>
        </w:rPr>
        <w:t>乳腺癌，以及前列腺癌；NMPA批准奥拉帕利用于卵巢癌以及前列腺癌。</w:t>
      </w:r>
    </w:p>
    <w:p w14:paraId="3EA22DF3">
      <w:pPr>
        <w:spacing w:after="0"/>
        <w:jc w:val="both"/>
        <w:rPr>
          <w:b/>
          <w:bCs/>
          <w:kern w:val="2"/>
        </w:rPr>
      </w:pPr>
      <w:r>
        <w:rPr>
          <w:rFonts w:hint="eastAsia"/>
          <w:b/>
          <w:bCs/>
          <w:kern w:val="2"/>
        </w:rPr>
        <w:t>药物疗效临床解析：</w:t>
      </w:r>
    </w:p>
    <w:p w14:paraId="3EEE2F85">
      <w:pPr>
        <w:ind w:firstLine="420" w:firstLineChars="200"/>
        <w:jc w:val="both"/>
        <w:rPr>
          <w:rFonts w:hint="eastAsia" w:ascii="微软雅黑" w:hAnsi="微软雅黑" w:cs="Arial Unicode MS"/>
          <w:kern w:val="2"/>
          <w:sz w:val="21"/>
          <w:szCs w:val="21"/>
        </w:rPr>
      </w:pPr>
      <w:r>
        <w:rPr>
          <w:rFonts w:hint="eastAsia" w:ascii="微软雅黑" w:hAnsi="微软雅黑" w:cs="Arial Unicode MS"/>
          <w:kern w:val="2"/>
          <w:sz w:val="21"/>
          <w:szCs w:val="21"/>
        </w:rPr>
        <w:t>一项临床I期研究评估了AZD1775单药治疗或联合化药治疗难治性实体瘤的安全性、耐受性、药代动力学、药效动力学。该研究分成两部分，第一部分：患者接受单次剂量AZD1775的治疗，随后观察14天；第二部分：患者接受AZD1775联合吉西他滨或顺铂或卡铂的治疗，观察患者的疾病稳定和缓解情况。该研究共招募了202名患者，第一部分包含9名患者，患者接受单次剂量AZD1775的治疗后，耐受良好，未达到最大耐受剂量。接受AZD1775联合化药治疗的患者，常见的不良反应事件包括：疲劳、恶心呕吐、腹泻和血液毒性。最终有176名患者接受了评估，94名（53%）患者疾病稳定，17名（10%）患者得到部分缓解。携带TP53突变的患者组反应率高于TP53野生型的患者组（21% vs. 12%）。该研究表明，AZD1775单药或联合化药在治疗实体瘤中的耐受良好，有潜在的抗肿瘤活性[27601554]。一项由New York University School of Medicine举办的AZD1775联合伊立替康治疗RAS突变或BRAF突变一线治疗失败的转移性结直肠癌的临床I期研究</w:t>
      </w:r>
      <w:r>
        <w:rPr>
          <w:rFonts w:hint="eastAsia" w:ascii="微软雅黑" w:hAnsi="微软雅黑" w:cs="Arial Unicode MS"/>
          <w:kern w:val="2"/>
          <w:sz w:val="21"/>
          <w:szCs w:val="21"/>
          <w:lang w:val="en-US" w:eastAsia="zh-CN"/>
        </w:rPr>
        <w:t>已完成，但数据尚未公布</w:t>
      </w:r>
      <w:r>
        <w:rPr>
          <w:rFonts w:hint="eastAsia" w:ascii="微软雅黑" w:hAnsi="微软雅黑" w:cs="Arial Unicode MS"/>
          <w:kern w:val="2"/>
          <w:sz w:val="21"/>
          <w:szCs w:val="21"/>
        </w:rPr>
        <w:t>[NCT02906059]。AZD1775联合奥拉帕利用于治疗携带KRAS突变或TP53突变的实体瘤患者或者同时携带KRAS突变和TP53突变的实体瘤患者的临床试验正在</w:t>
      </w:r>
      <w:r>
        <w:rPr>
          <w:rFonts w:hint="eastAsia" w:ascii="微软雅黑" w:hAnsi="微软雅黑" w:cs="Arial Unicode MS"/>
          <w:kern w:val="2"/>
          <w:sz w:val="21"/>
          <w:szCs w:val="21"/>
          <w:lang w:val="en-US" w:eastAsia="zh-CN"/>
        </w:rPr>
        <w:t>开展，不招募患者</w:t>
      </w:r>
      <w:r>
        <w:rPr>
          <w:rFonts w:hint="eastAsia" w:ascii="微软雅黑" w:hAnsi="微软雅黑" w:cs="Arial Unicode MS"/>
          <w:kern w:val="2"/>
          <w:sz w:val="21"/>
          <w:szCs w:val="21"/>
        </w:rPr>
        <w:t>[NCT02576444]。</w:t>
      </w:r>
    </w:p>
    <w:p w14:paraId="2B3009E2">
      <w:pPr>
        <w:numPr>
          <w:ilvl w:val="0"/>
          <w:numId w:val="13"/>
        </w:numPr>
        <w:spacing w:before="200"/>
        <w:ind w:left="420" w:hanging="420"/>
        <w:rPr>
          <w:rFonts w:ascii="微软雅黑" w:hAnsi="微软雅黑" w:cs="微软雅黑"/>
          <w:b/>
          <w:bCs/>
          <w:sz w:val="24"/>
          <w:szCs w:val="24"/>
        </w:rPr>
      </w:pPr>
      <w:r>
        <w:fldChar w:fldCharType="begin"/>
      </w:r>
      <w:r>
        <w:instrText xml:space="preserve"> HYPERLINK \l "重要基因变异及潜在靶向药物信息" </w:instrText>
      </w:r>
      <w:r>
        <w:fldChar w:fldCharType="separate"/>
      </w:r>
      <w:r>
        <w:rPr>
          <w:rStyle w:val="23"/>
          <w:rFonts w:hint="eastAsia" w:ascii="微软雅黑" w:hAnsi="微软雅黑" w:cs="微软雅黑"/>
          <w:b/>
          <w:bCs/>
          <w:color w:val="0000FF"/>
          <w:sz w:val="24"/>
          <w:szCs w:val="24"/>
        </w:rPr>
        <w:t>Alisertib</w:t>
      </w:r>
      <w:r>
        <w:rPr>
          <w:rStyle w:val="23"/>
          <w:rFonts w:hint="eastAsia" w:ascii="微软雅黑" w:hAnsi="微软雅黑" w:cs="微软雅黑"/>
          <w:b/>
          <w:bCs/>
          <w:color w:val="0000FF"/>
          <w:sz w:val="24"/>
          <w:szCs w:val="24"/>
        </w:rPr>
        <w:fldChar w:fldCharType="end"/>
      </w:r>
      <w:r>
        <w:rPr>
          <w:rStyle w:val="21"/>
          <w:rFonts w:hint="eastAsia" w:ascii="微软雅黑" w:hAnsi="微软雅黑" w:cs="微软雅黑"/>
          <w:b/>
          <w:bCs/>
          <w:color w:val="0000FF"/>
          <w:sz w:val="24"/>
          <w:szCs w:val="24"/>
        </w:rPr>
        <w:t>、</w:t>
      </w:r>
      <w:r>
        <w:fldChar w:fldCharType="begin"/>
      </w:r>
      <w:r>
        <w:instrText xml:space="preserve"> HYPERLINK \l "重要基因变异及潜在靶向药物信息" </w:instrText>
      </w:r>
      <w:r>
        <w:fldChar w:fldCharType="separate"/>
      </w:r>
      <w:r>
        <w:rPr>
          <w:rStyle w:val="23"/>
          <w:rFonts w:hint="eastAsia" w:ascii="微软雅黑" w:hAnsi="微软雅黑" w:cs="微软雅黑"/>
          <w:b/>
          <w:bCs/>
          <w:color w:val="0000FF"/>
          <w:sz w:val="24"/>
          <w:szCs w:val="24"/>
        </w:rPr>
        <w:t>Alisertib</w:t>
      </w:r>
      <w:r>
        <w:rPr>
          <w:rStyle w:val="23"/>
          <w:rFonts w:hint="eastAsia" w:ascii="微软雅黑" w:hAnsi="微软雅黑" w:cs="微软雅黑"/>
          <w:b/>
          <w:bCs/>
          <w:color w:val="0000FF"/>
          <w:sz w:val="24"/>
          <w:szCs w:val="24"/>
        </w:rPr>
        <w:fldChar w:fldCharType="end"/>
      </w:r>
      <w:r>
        <w:rPr>
          <w:rStyle w:val="21"/>
          <w:rFonts w:hint="eastAsia" w:ascii="微软雅黑" w:hAnsi="微软雅黑" w:cs="微软雅黑"/>
          <w:b/>
          <w:bCs/>
          <w:color w:val="0000FF"/>
          <w:sz w:val="24"/>
          <w:szCs w:val="24"/>
        </w:rPr>
        <w:t>+AZD1775</w:t>
      </w:r>
    </w:p>
    <w:p w14:paraId="58D35E07">
      <w:pPr>
        <w:spacing w:after="0"/>
        <w:jc w:val="both"/>
        <w:rPr>
          <w:rFonts w:ascii="微软雅黑" w:hAnsi="微软雅黑" w:cs="Arial Unicode MS"/>
          <w:kern w:val="2"/>
          <w:sz w:val="21"/>
          <w:szCs w:val="21"/>
        </w:rPr>
      </w:pPr>
      <w:r>
        <w:rPr>
          <w:rFonts w:hint="eastAsia"/>
          <w:b/>
          <w:bCs/>
          <w:kern w:val="2"/>
        </w:rPr>
        <w:t>基因变异与药物关联分析：</w:t>
      </w:r>
    </w:p>
    <w:p w14:paraId="6CF240B6">
      <w:pPr>
        <w:spacing w:after="0"/>
        <w:ind w:firstLine="420" w:firstLineChars="200"/>
        <w:jc w:val="both"/>
        <w:rPr>
          <w:rFonts w:ascii="微软雅黑" w:hAnsi="微软雅黑" w:cs="Arial Unicode MS"/>
          <w:kern w:val="2"/>
          <w:sz w:val="21"/>
          <w:szCs w:val="21"/>
        </w:rPr>
      </w:pPr>
      <w:r>
        <w:rPr>
          <w:rFonts w:hint="eastAsia" w:ascii="微软雅黑" w:hAnsi="微软雅黑" w:cs="Arial Unicode MS"/>
          <w:kern w:val="2"/>
          <w:sz w:val="21"/>
          <w:szCs w:val="21"/>
        </w:rPr>
        <w:t>该样本检出TP53基因c.844C&gt;T，p.R282W</w:t>
      </w:r>
      <w:r>
        <w:rPr>
          <w:rFonts w:hint="eastAsia" w:ascii="微软雅黑" w:hAnsi="微软雅黑" w:cs="Arial Unicode MS"/>
          <w:kern w:val="2"/>
          <w:sz w:val="21"/>
          <w:szCs w:val="21"/>
          <w:lang w:val="en-US" w:eastAsia="zh-CN"/>
        </w:rPr>
        <w:t>错义</w:t>
      </w:r>
      <w:r>
        <w:rPr>
          <w:rFonts w:hint="eastAsia" w:ascii="微软雅黑" w:hAnsi="微软雅黑" w:cs="微软雅黑"/>
          <w:sz w:val="21"/>
        </w:rPr>
        <w:t>突变</w:t>
      </w:r>
      <w:r>
        <w:rPr>
          <w:rFonts w:hint="eastAsia" w:ascii="微软雅黑" w:hAnsi="微软雅黑" w:cs="Arial Unicode MS"/>
          <w:kern w:val="2"/>
          <w:sz w:val="21"/>
          <w:szCs w:val="21"/>
          <w:lang w:eastAsia="zh-CN"/>
        </w:rPr>
        <w:t>，</w:t>
      </w:r>
      <w:r>
        <w:rPr>
          <w:rFonts w:hint="eastAsia" w:ascii="微软雅黑" w:hAnsi="微软雅黑" w:cs="微软雅黑"/>
          <w:sz w:val="21"/>
        </w:rPr>
        <w:t>研究表明，该突变抑制 AMPK 信号传导，导致细胞侵袭性生长，促进小鼠模型中的肿瘤发展[24857548]。</w:t>
      </w:r>
      <w:r>
        <w:rPr>
          <w:rFonts w:hint="eastAsia" w:ascii="微软雅黑" w:hAnsi="微软雅黑" w:cs="Arial Unicode MS"/>
          <w:kern w:val="2"/>
          <w:sz w:val="21"/>
          <w:szCs w:val="21"/>
          <w:highlight w:val="none"/>
        </w:rPr>
        <w:t>Alisertib是一种ATP竞争性的极光激酶A（AURKA）抑制剂，通过与AURKA激酶的T288结合而抑制AURKA</w:t>
      </w:r>
      <w:r>
        <w:rPr>
          <w:rFonts w:hint="eastAsia" w:ascii="微软雅黑" w:hAnsi="微软雅黑" w:cs="Arial Unicode MS"/>
          <w:kern w:val="2"/>
          <w:sz w:val="21"/>
          <w:szCs w:val="21"/>
        </w:rPr>
        <w:t>的磷酸化及活化。临床前研究表明，Alisertib可以诱导细胞停滞在G2/M期，引起胃肠道上部肿瘤细胞的凋亡。同时，Alisertib可以下调肿瘤细胞内的多个致癌信号通路，例如NF-κB、AKT、STAT3。多项研究表明，Alisertib可以使p53和p73活化[25987188]。目前该药正处于临床期。AZD1775是一种WEE1激酶抑制剂，可以控制细胞分裂周期的G2检验点，TP53缺失的肿瘤细胞对其敏感[28978051]。目前该药正处于临床期。</w:t>
      </w:r>
    </w:p>
    <w:p w14:paraId="37770A6E">
      <w:pPr>
        <w:spacing w:after="0"/>
        <w:jc w:val="both"/>
        <w:rPr>
          <w:rFonts w:hint="eastAsia"/>
          <w:b/>
          <w:bCs/>
          <w:kern w:val="2"/>
        </w:rPr>
      </w:pPr>
      <w:r>
        <w:rPr>
          <w:rFonts w:hint="eastAsia"/>
          <w:b/>
          <w:bCs/>
          <w:kern w:val="2"/>
        </w:rPr>
        <w:t>药物疗效临床解析：</w:t>
      </w:r>
    </w:p>
    <w:p w14:paraId="3AA0EC12">
      <w:pPr>
        <w:numPr>
          <w:ilvl w:val="-1"/>
          <w:numId w:val="0"/>
        </w:numPr>
        <w:spacing w:before="0" w:after="0"/>
        <w:ind w:left="0" w:firstLine="420" w:firstLineChars="200"/>
        <w:jc w:val="both"/>
        <w:rPr>
          <w:rFonts w:hint="eastAsia" w:ascii="微软雅黑" w:hAnsi="微软雅黑" w:cs="Arial Unicode MS"/>
          <w:kern w:val="2"/>
          <w:sz w:val="21"/>
          <w:szCs w:val="21"/>
        </w:rPr>
      </w:pPr>
      <w:r>
        <w:rPr>
          <w:rFonts w:hint="eastAsia" w:ascii="微软雅黑" w:hAnsi="微软雅黑" w:cs="Arial Unicode MS"/>
          <w:kern w:val="2"/>
          <w:sz w:val="21"/>
          <w:szCs w:val="21"/>
        </w:rPr>
        <w:t>一项Alisertib单药治疗实体瘤患者的临床 I 期研究中，Alisertib显示出初步的抗肿瘤活性，37%的患者疾病稳定，而且在某些实体瘤患者中（结直肠癌、软骨肉瘤、平滑肌肉瘤、脂肪肉瘤）疾病稳定超过6个月，同时治疗相关的不良反应控制的很好[22753585]。体内和体外研究显示，Alisertib单药能够抑制TP53突变的头颈部鳞状细胞癌（HNSCC）细胞系的有丝分裂，导致细胞生长停滞，并且Alisertib联合AZD1775能够产生协同抗肿瘤作用，延长总生存期，是TP53突变的癌症的潜在的治疗方法[30755439]。</w:t>
      </w:r>
    </w:p>
    <w:p w14:paraId="1D5A6276">
      <w:pPr>
        <w:numPr>
          <w:ilvl w:val="0"/>
          <w:numId w:val="13"/>
        </w:numPr>
        <w:spacing w:before="200"/>
        <w:ind w:left="420" w:hanging="420"/>
        <w:rPr>
          <w:rFonts w:ascii="微软雅黑" w:hAnsi="微软雅黑" w:cs="微软雅黑"/>
          <w:b/>
          <w:bCs/>
          <w:sz w:val="24"/>
          <w:szCs w:val="24"/>
        </w:rPr>
      </w:pPr>
      <w:r>
        <w:fldChar w:fldCharType="begin"/>
      </w:r>
      <w:r>
        <w:instrText xml:space="preserve"> HYPERLINK \l "重要基因变异及潜在靶向药物信息" </w:instrText>
      </w:r>
      <w:r>
        <w:fldChar w:fldCharType="separate"/>
      </w:r>
      <w:r>
        <w:rPr>
          <w:rStyle w:val="23"/>
          <w:rFonts w:hint="eastAsia" w:ascii="微软雅黑" w:hAnsi="微软雅黑" w:cs="微软雅黑"/>
          <w:b/>
          <w:bCs/>
          <w:color w:val="0000FF"/>
          <w:sz w:val="24"/>
          <w:szCs w:val="24"/>
          <w:lang w:eastAsia="zh-CN"/>
        </w:rPr>
        <w:t>Eprenetapopt</w:t>
      </w:r>
      <w:r>
        <w:rPr>
          <w:rStyle w:val="23"/>
          <w:rFonts w:hint="eastAsia" w:ascii="微软雅黑" w:hAnsi="微软雅黑" w:cs="微软雅黑"/>
          <w:b/>
          <w:bCs/>
          <w:color w:val="0000FF"/>
          <w:sz w:val="24"/>
          <w:szCs w:val="24"/>
        </w:rPr>
        <w:fldChar w:fldCharType="end"/>
      </w:r>
    </w:p>
    <w:p w14:paraId="4A16E274">
      <w:pPr>
        <w:spacing w:beforeLines="50" w:after="0"/>
        <w:jc w:val="both"/>
        <w:rPr>
          <w:b/>
          <w:bCs/>
          <w:kern w:val="2"/>
        </w:rPr>
      </w:pPr>
      <w:r>
        <w:rPr>
          <w:rFonts w:hint="eastAsia"/>
          <w:b/>
          <w:bCs/>
          <w:kern w:val="2"/>
        </w:rPr>
        <w:t>基因变异与药物关联分析：</w:t>
      </w:r>
    </w:p>
    <w:p w14:paraId="7831E2FB">
      <w:pPr>
        <w:spacing w:after="0"/>
        <w:ind w:firstLine="420" w:firstLineChars="200"/>
        <w:jc w:val="both"/>
        <w:rPr>
          <w:rFonts w:ascii="微软雅黑" w:hAnsi="微软雅黑" w:cs="Arial Unicode MS"/>
          <w:kern w:val="2"/>
          <w:sz w:val="21"/>
          <w:szCs w:val="21"/>
        </w:rPr>
      </w:pPr>
      <w:r>
        <w:rPr>
          <w:rFonts w:hint="eastAsia" w:ascii="微软雅黑" w:hAnsi="微软雅黑" w:cs="Arial Unicode MS"/>
          <w:kern w:val="2"/>
          <w:sz w:val="21"/>
          <w:szCs w:val="21"/>
        </w:rPr>
        <w:t>该样本检出TP53基因c.844C&gt;T，p.R282W</w:t>
      </w:r>
      <w:r>
        <w:rPr>
          <w:rFonts w:hint="eastAsia" w:ascii="微软雅黑" w:hAnsi="微软雅黑" w:cs="Arial Unicode MS"/>
          <w:kern w:val="2"/>
          <w:sz w:val="21"/>
          <w:szCs w:val="21"/>
          <w:lang w:val="en-US" w:eastAsia="zh-CN"/>
        </w:rPr>
        <w:t>错义</w:t>
      </w:r>
      <w:r>
        <w:rPr>
          <w:rFonts w:hint="eastAsia" w:ascii="微软雅黑" w:hAnsi="微软雅黑" w:cs="微软雅黑"/>
          <w:sz w:val="21"/>
        </w:rPr>
        <w:t>突变</w:t>
      </w:r>
      <w:r>
        <w:rPr>
          <w:rFonts w:hint="eastAsia" w:ascii="微软雅黑" w:hAnsi="微软雅黑" w:cs="Arial Unicode MS"/>
          <w:kern w:val="2"/>
          <w:sz w:val="21"/>
          <w:szCs w:val="21"/>
          <w:lang w:eastAsia="zh-CN"/>
        </w:rPr>
        <w:t>，</w:t>
      </w:r>
      <w:r>
        <w:rPr>
          <w:rFonts w:hint="eastAsia" w:ascii="微软雅黑" w:hAnsi="微软雅黑" w:cs="微软雅黑"/>
          <w:sz w:val="21"/>
        </w:rPr>
        <w:t>研究表明，该突变抑制 AMPK 信号传导，导致细胞侵袭性生长，促进小鼠模型中的肿瘤发展[24857548]。</w:t>
      </w:r>
      <w:r>
        <w:rPr>
          <w:rFonts w:hint="eastAsia" w:ascii="微软雅黑" w:hAnsi="微软雅黑" w:cs="微软雅黑"/>
          <w:sz w:val="21"/>
          <w:lang w:val="en-US" w:eastAsia="zh-CN"/>
        </w:rPr>
        <w:t>E</w:t>
      </w:r>
      <w:r>
        <w:rPr>
          <w:rFonts w:hint="eastAsia" w:ascii="微软雅黑" w:hAnsi="微软雅黑" w:cs="Arial Unicode MS"/>
          <w:kern w:val="2"/>
          <w:sz w:val="21"/>
          <w:szCs w:val="21"/>
          <w:lang w:eastAsia="zh-CN"/>
        </w:rPr>
        <w:t>prenetapopt（APR-246）</w:t>
      </w:r>
      <w:r>
        <w:rPr>
          <w:rFonts w:hint="eastAsia" w:ascii="微软雅黑" w:hAnsi="微软雅黑" w:cs="Arial Unicode MS"/>
          <w:kern w:val="2"/>
          <w:sz w:val="21"/>
          <w:szCs w:val="21"/>
        </w:rPr>
        <w:t>又名PRIMA-1MET，是第一个处于临床阶段的p53突变体激活剂，并能诱导细胞凋亡[26086967]。</w:t>
      </w:r>
      <w:r>
        <w:rPr>
          <w:rFonts w:hint="eastAsia" w:ascii="微软雅黑" w:hAnsi="微软雅黑" w:cs="Arial Unicode MS"/>
          <w:kern w:val="2"/>
          <w:sz w:val="21"/>
          <w:szCs w:val="21"/>
          <w:lang w:eastAsia="zh-CN"/>
        </w:rPr>
        <w:t>Eprenetapopt</w:t>
      </w:r>
      <w:r>
        <w:rPr>
          <w:rFonts w:hint="eastAsia" w:ascii="微软雅黑" w:hAnsi="微软雅黑" w:cs="Arial Unicode MS"/>
          <w:kern w:val="2"/>
          <w:sz w:val="21"/>
          <w:szCs w:val="21"/>
        </w:rPr>
        <w:t xml:space="preserve">是一种前体药物，被转变为Michael acceptor methylene quinuclidinone （MQ）后与p53 蛋白的丝氨酸结合，重折叠后恢复野生p53蛋白的活性，另外MQ通过抑制 TrxR1 酶的活性和消耗谷胱甘肽来维持胞内的氧化还原平衡，具有双重作用机制。从而 </w:t>
      </w:r>
      <w:r>
        <w:rPr>
          <w:rFonts w:hint="eastAsia" w:ascii="微软雅黑" w:hAnsi="微软雅黑" w:cs="Arial Unicode MS"/>
          <w:kern w:val="2"/>
          <w:sz w:val="21"/>
          <w:szCs w:val="21"/>
          <w:lang w:eastAsia="zh-CN"/>
        </w:rPr>
        <w:t>Eprenetapopt</w:t>
      </w:r>
      <w:r>
        <w:rPr>
          <w:rFonts w:hint="eastAsia" w:ascii="微软雅黑" w:hAnsi="微软雅黑" w:cs="Arial Unicode MS"/>
          <w:kern w:val="2"/>
          <w:sz w:val="21"/>
          <w:szCs w:val="21"/>
        </w:rPr>
        <w:t xml:space="preserve"> 能有效的诱导肿瘤细胞死亡，还能克服对其他抗肿瘤药物的耐药性，对p53失活或突变的患者有效[26870698]。目前该药正处于临床期。</w:t>
      </w:r>
    </w:p>
    <w:p w14:paraId="79A89B19">
      <w:pPr>
        <w:spacing w:after="0"/>
        <w:jc w:val="both"/>
        <w:rPr>
          <w:b/>
          <w:bCs/>
          <w:kern w:val="2"/>
        </w:rPr>
      </w:pPr>
      <w:r>
        <w:rPr>
          <w:rFonts w:hint="eastAsia"/>
          <w:b/>
          <w:bCs/>
          <w:kern w:val="2"/>
        </w:rPr>
        <w:t>药物疗效临床解析：</w:t>
      </w:r>
    </w:p>
    <w:p w14:paraId="1E878C79">
      <w:pPr>
        <w:keepNext w:val="0"/>
        <w:keepLines w:val="0"/>
        <w:pageBreakBefore w:val="0"/>
        <w:numPr>
          <w:ilvl w:val="-1"/>
          <w:numId w:val="0"/>
        </w:numPr>
        <w:kinsoku/>
        <w:wordWrap/>
        <w:overflowPunct/>
        <w:topLinePunct w:val="0"/>
        <w:autoSpaceDE/>
        <w:autoSpaceDN/>
        <w:bidi w:val="0"/>
        <w:spacing w:before="0" w:beforeLines="0" w:beforeAutospacing="0" w:after="0" w:afterLines="0"/>
        <w:ind w:left="0" w:firstLine="495"/>
        <w:jc w:val="both"/>
        <w:outlineLvl w:val="9"/>
        <w:rPr>
          <w:rFonts w:hint="eastAsia" w:ascii="微软雅黑" w:hAnsi="微软雅黑" w:cs="Arial Unicode MS"/>
          <w:kern w:val="2"/>
          <w:sz w:val="21"/>
          <w:szCs w:val="21"/>
          <w:lang w:val="en-US" w:eastAsia="zh-CN"/>
        </w:rPr>
      </w:pPr>
      <w:r>
        <w:rPr>
          <w:rFonts w:hint="eastAsia" w:ascii="微软雅黑" w:hAnsi="微软雅黑" w:cs="Arial Unicode MS"/>
          <w:kern w:val="2"/>
          <w:sz w:val="21"/>
          <w:szCs w:val="21"/>
        </w:rPr>
        <w:t>体外研究显示，</w:t>
      </w:r>
      <w:r>
        <w:rPr>
          <w:rFonts w:hint="eastAsia" w:ascii="微软雅黑" w:hAnsi="微软雅黑" w:cs="Arial Unicode MS"/>
          <w:kern w:val="2"/>
          <w:sz w:val="21"/>
          <w:szCs w:val="21"/>
          <w:lang w:eastAsia="zh-CN"/>
        </w:rPr>
        <w:t>Eprenetapopt</w:t>
      </w:r>
      <w:r>
        <w:rPr>
          <w:rFonts w:hint="eastAsia" w:ascii="微软雅黑" w:hAnsi="微软雅黑" w:cs="Arial Unicode MS"/>
          <w:kern w:val="2"/>
          <w:sz w:val="21"/>
          <w:szCs w:val="21"/>
        </w:rPr>
        <w:t>能抑制肿瘤细胞生长。在体内不同的肿瘤类型和模型中，</w:t>
      </w:r>
      <w:r>
        <w:rPr>
          <w:rFonts w:hint="eastAsia" w:ascii="微软雅黑" w:hAnsi="微软雅黑" w:cs="Arial Unicode MS"/>
          <w:kern w:val="2"/>
          <w:sz w:val="21"/>
          <w:szCs w:val="21"/>
          <w:lang w:eastAsia="zh-CN"/>
        </w:rPr>
        <w:t>Eprenetapopt</w:t>
      </w:r>
      <w:r>
        <w:rPr>
          <w:rFonts w:hint="eastAsia" w:ascii="微软雅黑" w:hAnsi="微软雅黑" w:cs="Arial Unicode MS"/>
          <w:kern w:val="2"/>
          <w:sz w:val="21"/>
          <w:szCs w:val="21"/>
        </w:rPr>
        <w:t>能以p53依赖的方式诱导细胞凋亡。</w:t>
      </w:r>
      <w:r>
        <w:rPr>
          <w:rFonts w:hint="eastAsia" w:ascii="微软雅黑" w:hAnsi="微软雅黑" w:cs="Arial Unicode MS"/>
          <w:kern w:val="2"/>
          <w:sz w:val="21"/>
          <w:szCs w:val="21"/>
          <w:lang w:eastAsia="zh-CN"/>
        </w:rPr>
        <w:t>Eprenetapopt</w:t>
      </w:r>
      <w:r>
        <w:rPr>
          <w:rFonts w:hint="eastAsia" w:ascii="微软雅黑" w:hAnsi="微软雅黑" w:cs="Arial Unicode MS"/>
          <w:kern w:val="2"/>
          <w:sz w:val="21"/>
          <w:szCs w:val="21"/>
        </w:rPr>
        <w:t>用于治疗恶性血液肿瘤和前列腺癌患者的研究显示，</w:t>
      </w:r>
      <w:r>
        <w:rPr>
          <w:rFonts w:hint="eastAsia" w:ascii="微软雅黑" w:hAnsi="微软雅黑" w:cs="Arial Unicode MS"/>
          <w:kern w:val="2"/>
          <w:sz w:val="21"/>
          <w:szCs w:val="21"/>
          <w:lang w:eastAsia="zh-CN"/>
        </w:rPr>
        <w:t>Eprenetapopt</w:t>
      </w:r>
      <w:r>
        <w:rPr>
          <w:rFonts w:hint="eastAsia" w:ascii="微软雅黑" w:hAnsi="微软雅黑" w:cs="Arial Unicode MS"/>
          <w:kern w:val="2"/>
          <w:sz w:val="21"/>
          <w:szCs w:val="21"/>
        </w:rPr>
        <w:t>可有效的增强肿瘤细胞的凋亡，细胞周期停滞及上调TP53基因[NCT02098343，22965953]。研究显示，在p53突变的胰腺癌细胞系中，</w:t>
      </w:r>
      <w:r>
        <w:rPr>
          <w:rFonts w:hint="eastAsia" w:ascii="微软雅黑" w:hAnsi="微软雅黑" w:cs="Arial Unicode MS"/>
          <w:kern w:val="2"/>
          <w:sz w:val="21"/>
          <w:szCs w:val="21"/>
          <w:lang w:eastAsia="zh-CN"/>
        </w:rPr>
        <w:t>Eprenetapopt</w:t>
      </w:r>
      <w:r>
        <w:rPr>
          <w:rFonts w:hint="eastAsia" w:ascii="微软雅黑" w:hAnsi="微软雅黑" w:cs="Arial Unicode MS"/>
          <w:kern w:val="2"/>
          <w:sz w:val="21"/>
          <w:szCs w:val="21"/>
        </w:rPr>
        <w:t>可通过重激活p53诱导细胞凋亡，在联合治疗中</w:t>
      </w:r>
      <w:r>
        <w:rPr>
          <w:rFonts w:hint="eastAsia" w:ascii="微软雅黑" w:hAnsi="微软雅黑" w:cs="Arial Unicode MS"/>
          <w:kern w:val="2"/>
          <w:sz w:val="21"/>
          <w:szCs w:val="21"/>
          <w:lang w:eastAsia="zh-CN"/>
        </w:rPr>
        <w:t>，Eprenetapopt</w:t>
      </w:r>
      <w:r>
        <w:rPr>
          <w:rFonts w:hint="eastAsia" w:ascii="微软雅黑" w:hAnsi="微软雅黑" w:cs="Arial Unicode MS"/>
          <w:kern w:val="2"/>
          <w:sz w:val="21"/>
          <w:szCs w:val="21"/>
        </w:rPr>
        <w:t>可增加多种化疗药物对胰腺癌细胞系的抗肿瘤活性[24838627]。有研究表明，</w:t>
      </w:r>
      <w:r>
        <w:rPr>
          <w:rFonts w:hint="eastAsia" w:ascii="微软雅黑" w:hAnsi="微软雅黑" w:cs="Arial Unicode MS"/>
          <w:kern w:val="2"/>
          <w:sz w:val="21"/>
          <w:szCs w:val="21"/>
          <w:lang w:eastAsia="zh-CN"/>
        </w:rPr>
        <w:t>Eprenetapopt</w:t>
      </w:r>
      <w:r>
        <w:rPr>
          <w:rFonts w:hint="eastAsia" w:ascii="微软雅黑" w:hAnsi="微软雅黑" w:cs="Arial Unicode MS"/>
          <w:kern w:val="2"/>
          <w:sz w:val="21"/>
          <w:szCs w:val="21"/>
        </w:rPr>
        <w:t>能够在具有突变型p53的结直肠癌细胞中强烈诱导细胞凋亡。在人类异种移植肿瘤模型中，</w:t>
      </w:r>
      <w:r>
        <w:rPr>
          <w:rFonts w:hint="eastAsia" w:ascii="微软雅黑" w:hAnsi="微软雅黑" w:cs="Arial Unicode MS"/>
          <w:kern w:val="2"/>
          <w:sz w:val="21"/>
          <w:szCs w:val="21"/>
          <w:lang w:eastAsia="zh-CN"/>
        </w:rPr>
        <w:t>Eprenetapopt</w:t>
      </w:r>
      <w:r>
        <w:rPr>
          <w:rFonts w:hint="eastAsia" w:ascii="微软雅黑" w:hAnsi="微软雅黑" w:cs="Arial Unicode MS"/>
          <w:kern w:val="2"/>
          <w:sz w:val="21"/>
          <w:szCs w:val="21"/>
        </w:rPr>
        <w:t>能有效抑制结直肠癌肿瘤的生长[26452133]。</w:t>
      </w:r>
      <w:r>
        <w:rPr>
          <w:rFonts w:hint="eastAsia" w:ascii="微软雅黑" w:hAnsi="微软雅黑" w:cs="Arial Unicode MS"/>
          <w:kern w:val="2"/>
          <w:sz w:val="21"/>
          <w:szCs w:val="21"/>
          <w:lang w:val="en-US" w:eastAsia="zh-CN"/>
        </w:rPr>
        <w:t>一项Ib/II期试验显示，Eprenetapopt联合阿扎胞苷（azacitidine）治疗TP53突变型骨髓增生异常综合征（MDS）和少突细胞急性髓细胞白血病（AML）患者时，耐受性良好，并产生了高临床缓解率和分子缓解率[NCT03072043]。</w:t>
      </w:r>
    </w:p>
    <w:p w14:paraId="49C18600">
      <w:pPr>
        <w:keepNext w:val="0"/>
        <w:keepLines w:val="0"/>
        <w:pageBreakBefore w:val="0"/>
        <w:widowControl/>
        <w:numPr>
          <w:ilvl w:val="0"/>
          <w:numId w:val="11"/>
        </w:numPr>
        <w:kinsoku/>
        <w:wordWrap/>
        <w:overflowPunct/>
        <w:topLinePunct w:val="0"/>
        <w:autoSpaceDE/>
        <w:autoSpaceDN/>
        <w:bidi w:val="0"/>
        <w:adjustRightInd w:val="0"/>
        <w:snapToGrid w:val="0"/>
        <w:spacing w:before="200" w:after="200" w:line="240" w:lineRule="auto"/>
        <w:ind w:left="420" w:leftChars="0" w:right="0" w:rightChars="0" w:hanging="420" w:firstLineChars="0"/>
        <w:jc w:val="left"/>
        <w:textAlignment w:val="auto"/>
        <w:outlineLvl w:val="9"/>
        <w:rPr>
          <w:rStyle w:val="21"/>
          <w:rFonts w:hint="eastAsia" w:ascii="微软雅黑" w:hAnsi="微软雅黑" w:cs="微软雅黑"/>
          <w:b/>
          <w:bCs/>
          <w:color w:val="FF0000"/>
          <w:kern w:val="0"/>
          <w:sz w:val="24"/>
          <w:szCs w:val="24"/>
          <w:highlight w:val="none"/>
          <w:u w:val="none"/>
          <w:lang w:val="en-US" w:eastAsia="zh-CN"/>
        </w:rPr>
      </w:pPr>
      <w:r>
        <w:rPr>
          <w:rStyle w:val="21"/>
          <w:rFonts w:hint="eastAsia" w:ascii="微软雅黑" w:hAnsi="微软雅黑" w:cs="微软雅黑"/>
          <w:b/>
          <w:bCs/>
          <w:color w:val="FF0000"/>
          <w:kern w:val="0"/>
          <w:sz w:val="24"/>
          <w:szCs w:val="24"/>
          <w:highlight w:val="none"/>
          <w:u w:val="none"/>
          <w:lang w:val="en-US" w:eastAsia="zh-CN"/>
        </w:rPr>
        <w:t>KRAS：c.34G&gt;A，p.G12S突变相应靶向药物</w:t>
      </w:r>
    </w:p>
    <w:p w14:paraId="548AAB05">
      <w:pPr>
        <w:keepNext w:val="0"/>
        <w:keepLines w:val="0"/>
        <w:pageBreakBefore w:val="0"/>
        <w:widowControl/>
        <w:numPr>
          <w:ilvl w:val="0"/>
          <w:numId w:val="13"/>
        </w:numPr>
        <w:kinsoku/>
        <w:wordWrap/>
        <w:overflowPunct/>
        <w:topLinePunct w:val="0"/>
        <w:autoSpaceDE/>
        <w:autoSpaceDN/>
        <w:bidi w:val="0"/>
        <w:adjustRightInd w:val="0"/>
        <w:snapToGrid w:val="0"/>
        <w:spacing w:before="200"/>
        <w:ind w:left="420" w:leftChars="0" w:hanging="420" w:firstLineChars="0"/>
        <w:jc w:val="both"/>
        <w:textAlignment w:val="auto"/>
        <w:rPr>
          <w:rFonts w:hint="eastAsia" w:ascii="微软雅黑" w:hAnsi="微软雅黑" w:eastAsia="微软雅黑" w:cs="微软雅黑"/>
          <w:b/>
          <w:bCs/>
          <w:sz w:val="24"/>
          <w:szCs w:val="24"/>
          <w:highlight w:val="none"/>
          <w:lang w:val="en-US" w:eastAsia="zh-CN"/>
        </w:rPr>
      </w:pPr>
      <w:r>
        <w:rPr>
          <w:rFonts w:hint="eastAsia" w:ascii="微软雅黑" w:hAnsi="微软雅黑" w:cs="微软雅黑"/>
          <w:b/>
          <w:bCs/>
          <w:color w:val="0000FF"/>
          <w:kern w:val="0"/>
          <w:sz w:val="24"/>
          <w:szCs w:val="24"/>
          <w:highlight w:val="none"/>
          <w:u w:val="single"/>
          <w:lang w:eastAsia="zh-CN"/>
        </w:rPr>
        <w:t>曲美替尼</w:t>
      </w:r>
      <w:r>
        <w:rPr>
          <w:rFonts w:hint="eastAsia" w:ascii="微软雅黑" w:hAnsi="微软雅黑" w:cs="微软雅黑"/>
          <w:b/>
          <w:bCs/>
          <w:color w:val="0000FF"/>
          <w:kern w:val="0"/>
          <w:sz w:val="24"/>
          <w:szCs w:val="24"/>
          <w:highlight w:val="none"/>
          <w:u w:val="single"/>
          <w:lang w:val="en-US" w:eastAsia="zh-CN"/>
        </w:rPr>
        <w:t>（</w:t>
      </w:r>
      <w:r>
        <w:rPr>
          <w:rStyle w:val="21"/>
          <w:rFonts w:hint="eastAsia" w:ascii="微软雅黑" w:hAnsi="微软雅黑" w:cs="微软雅黑"/>
          <w:b/>
          <w:bCs/>
          <w:color w:val="0000FF"/>
          <w:kern w:val="0"/>
          <w:sz w:val="24"/>
          <w:szCs w:val="24"/>
          <w:highlight w:val="none"/>
          <w:u w:val="single"/>
          <w:lang w:eastAsia="zh-CN"/>
        </w:rPr>
        <w:t>Trametinib</w:t>
      </w:r>
      <w:r>
        <w:rPr>
          <w:rFonts w:hint="eastAsia" w:ascii="微软雅黑" w:hAnsi="微软雅黑" w:cs="微软雅黑"/>
          <w:b/>
          <w:bCs/>
          <w:color w:val="0000FF"/>
          <w:kern w:val="0"/>
          <w:sz w:val="24"/>
          <w:szCs w:val="24"/>
          <w:highlight w:val="none"/>
          <w:u w:val="single"/>
          <w:lang w:val="en-US" w:eastAsia="zh-CN"/>
        </w:rPr>
        <w:t>）+Navitoclax、帕尼单抗+曲美替尼（Panitumumab+</w:t>
      </w:r>
      <w:r>
        <w:rPr>
          <w:rStyle w:val="21"/>
          <w:rFonts w:hint="eastAsia" w:ascii="微软雅黑" w:hAnsi="微软雅黑" w:cs="微软雅黑"/>
          <w:b/>
          <w:bCs/>
          <w:color w:val="0000FF"/>
          <w:kern w:val="0"/>
          <w:sz w:val="24"/>
          <w:szCs w:val="24"/>
          <w:highlight w:val="none"/>
          <w:u w:val="single"/>
          <w:lang w:eastAsia="zh-CN"/>
        </w:rPr>
        <w:t>Trametinib</w:t>
      </w:r>
      <w:r>
        <w:rPr>
          <w:rFonts w:hint="eastAsia" w:ascii="微软雅黑" w:hAnsi="微软雅黑" w:cs="微软雅黑"/>
          <w:b/>
          <w:bCs/>
          <w:color w:val="0000FF"/>
          <w:kern w:val="0"/>
          <w:sz w:val="24"/>
          <w:szCs w:val="24"/>
          <w:highlight w:val="none"/>
          <w:u w:val="single"/>
          <w:lang w:val="en-US" w:eastAsia="zh-CN"/>
        </w:rPr>
        <w:t>）、</w:t>
      </w:r>
      <w:r>
        <w:rPr>
          <w:rStyle w:val="21"/>
          <w:rFonts w:hint="eastAsia" w:ascii="微软雅黑" w:hAnsi="微软雅黑" w:cs="微软雅黑"/>
          <w:b/>
          <w:bCs/>
          <w:color w:val="0000FF"/>
          <w:kern w:val="0"/>
          <w:sz w:val="24"/>
          <w:szCs w:val="24"/>
          <w:highlight w:val="none"/>
          <w:u w:val="single"/>
          <w:lang w:val="en-US" w:eastAsia="zh-CN"/>
        </w:rPr>
        <w:t>贝美替尼+哌柏西利</w:t>
      </w:r>
      <w:r>
        <w:rPr>
          <w:rStyle w:val="21"/>
          <w:rFonts w:hint="eastAsia" w:ascii="微软雅黑" w:hAnsi="微软雅黑" w:cs="微软雅黑"/>
          <w:b/>
          <w:bCs/>
          <w:color w:val="0000FF"/>
          <w:kern w:val="0"/>
          <w:sz w:val="24"/>
          <w:szCs w:val="24"/>
          <w:highlight w:val="none"/>
          <w:u w:val="single"/>
          <w:lang w:eastAsia="zh-CN"/>
        </w:rPr>
        <w:t>（Binimetinib</w:t>
      </w:r>
      <w:r>
        <w:rPr>
          <w:rStyle w:val="21"/>
          <w:rFonts w:hint="eastAsia" w:ascii="微软雅黑" w:hAnsi="微软雅黑" w:cs="微软雅黑"/>
          <w:b/>
          <w:bCs/>
          <w:color w:val="0000FF"/>
          <w:kern w:val="0"/>
          <w:sz w:val="24"/>
          <w:szCs w:val="24"/>
          <w:highlight w:val="none"/>
          <w:u w:val="single"/>
          <w:lang w:val="en-US" w:eastAsia="zh-CN"/>
        </w:rPr>
        <w:t>+Palbociclib</w:t>
      </w:r>
      <w:r>
        <w:rPr>
          <w:rStyle w:val="21"/>
          <w:rFonts w:hint="eastAsia" w:ascii="微软雅黑" w:hAnsi="微软雅黑" w:cs="微软雅黑"/>
          <w:b/>
          <w:bCs/>
          <w:color w:val="0000FF"/>
          <w:kern w:val="0"/>
          <w:sz w:val="24"/>
          <w:szCs w:val="24"/>
          <w:highlight w:val="none"/>
          <w:u w:val="single"/>
          <w:lang w:eastAsia="zh-CN"/>
        </w:rPr>
        <w:t>）、BI 1701963、BI 1701963</w:t>
      </w:r>
      <w:r>
        <w:rPr>
          <w:rStyle w:val="21"/>
          <w:rFonts w:hint="eastAsia" w:ascii="微软雅黑" w:hAnsi="微软雅黑" w:cs="微软雅黑"/>
          <w:b/>
          <w:bCs/>
          <w:color w:val="0000FF"/>
          <w:kern w:val="0"/>
          <w:sz w:val="24"/>
          <w:szCs w:val="24"/>
          <w:highlight w:val="none"/>
          <w:u w:val="single"/>
          <w:lang w:val="en-US" w:eastAsia="zh-CN"/>
        </w:rPr>
        <w:t>+</w:t>
      </w:r>
      <w:r>
        <w:rPr>
          <w:rFonts w:hint="eastAsia" w:ascii="微软雅黑" w:hAnsi="微软雅黑" w:cs="微软雅黑"/>
          <w:b/>
          <w:bCs/>
          <w:color w:val="0000FF"/>
          <w:kern w:val="0"/>
          <w:sz w:val="24"/>
          <w:szCs w:val="24"/>
          <w:highlight w:val="none"/>
          <w:u w:val="single"/>
          <w:lang w:eastAsia="zh-CN"/>
        </w:rPr>
        <w:t>曲美替尼</w:t>
      </w:r>
      <w:r>
        <w:rPr>
          <w:rFonts w:hint="eastAsia" w:ascii="微软雅黑" w:hAnsi="微软雅黑" w:cs="微软雅黑"/>
          <w:b/>
          <w:bCs/>
          <w:color w:val="0000FF"/>
          <w:kern w:val="0"/>
          <w:sz w:val="24"/>
          <w:szCs w:val="24"/>
          <w:highlight w:val="none"/>
          <w:u w:val="single"/>
          <w:lang w:val="en-US" w:eastAsia="zh-CN"/>
        </w:rPr>
        <w:t>（</w:t>
      </w:r>
      <w:r>
        <w:rPr>
          <w:rStyle w:val="21"/>
          <w:rFonts w:hint="eastAsia" w:ascii="微软雅黑" w:hAnsi="微软雅黑" w:cs="微软雅黑"/>
          <w:b/>
          <w:bCs/>
          <w:color w:val="0000FF"/>
          <w:kern w:val="0"/>
          <w:sz w:val="24"/>
          <w:szCs w:val="24"/>
          <w:highlight w:val="none"/>
          <w:u w:val="single"/>
          <w:lang w:eastAsia="zh-CN"/>
        </w:rPr>
        <w:t>Trametinib</w:t>
      </w:r>
      <w:r>
        <w:rPr>
          <w:rFonts w:hint="eastAsia" w:ascii="微软雅黑" w:hAnsi="微软雅黑" w:cs="微软雅黑"/>
          <w:b/>
          <w:bCs/>
          <w:color w:val="0000FF"/>
          <w:kern w:val="0"/>
          <w:sz w:val="24"/>
          <w:szCs w:val="24"/>
          <w:highlight w:val="none"/>
          <w:u w:val="single"/>
          <w:lang w:val="en-US" w:eastAsia="zh-CN"/>
        </w:rPr>
        <w:t>）、奈拉替尼+曲美替尼（Neratinib+Trametinib）、福巴替尼+贝美替尼</w:t>
      </w:r>
      <w:r>
        <w:rPr>
          <w:rStyle w:val="21"/>
          <w:rFonts w:hint="eastAsia" w:ascii="微软雅黑" w:hAnsi="微软雅黑" w:cs="微软雅黑"/>
          <w:b/>
          <w:bCs/>
          <w:color w:val="0000FF"/>
          <w:kern w:val="0"/>
          <w:sz w:val="24"/>
          <w:szCs w:val="24"/>
          <w:highlight w:val="none"/>
          <w:u w:val="single"/>
          <w:lang w:eastAsia="zh-CN"/>
        </w:rPr>
        <w:t>（</w:t>
      </w:r>
      <w:r>
        <w:rPr>
          <w:rFonts w:hint="eastAsia" w:ascii="微软雅黑" w:hAnsi="微软雅黑" w:cs="微软雅黑"/>
          <w:b/>
          <w:bCs/>
          <w:color w:val="0000FF"/>
          <w:kern w:val="0"/>
          <w:sz w:val="24"/>
          <w:szCs w:val="24"/>
          <w:highlight w:val="none"/>
          <w:u w:val="single"/>
          <w:lang w:val="en-US" w:eastAsia="zh-CN"/>
        </w:rPr>
        <w:t>Futibatinib</w:t>
      </w:r>
      <w:r>
        <w:rPr>
          <w:rStyle w:val="21"/>
          <w:rFonts w:hint="eastAsia" w:ascii="微软雅黑" w:hAnsi="微软雅黑" w:cs="微软雅黑"/>
          <w:b/>
          <w:bCs/>
          <w:color w:val="0000FF"/>
          <w:kern w:val="0"/>
          <w:sz w:val="24"/>
          <w:szCs w:val="24"/>
          <w:highlight w:val="none"/>
          <w:u w:val="single"/>
          <w:lang w:val="en-US" w:eastAsia="zh-CN"/>
        </w:rPr>
        <w:t>+</w:t>
      </w:r>
      <w:r>
        <w:rPr>
          <w:rStyle w:val="21"/>
          <w:rFonts w:hint="eastAsia" w:ascii="微软雅黑" w:hAnsi="微软雅黑" w:cs="微软雅黑"/>
          <w:b/>
          <w:bCs/>
          <w:color w:val="0000FF"/>
          <w:kern w:val="0"/>
          <w:sz w:val="24"/>
          <w:szCs w:val="24"/>
          <w:highlight w:val="none"/>
          <w:u w:val="single"/>
          <w:lang w:eastAsia="zh-CN"/>
        </w:rPr>
        <w:t>Binimetinib）</w:t>
      </w:r>
    </w:p>
    <w:p w14:paraId="3FB7CC16">
      <w:pPr>
        <w:numPr>
          <w:ilvl w:val="-1"/>
          <w:numId w:val="0"/>
        </w:numPr>
        <w:spacing w:before="200" w:after="0"/>
        <w:ind w:left="0" w:firstLine="0"/>
        <w:jc w:val="both"/>
        <w:rPr>
          <w:rFonts w:hint="eastAsia"/>
          <w:b/>
          <w:bCs/>
          <w:kern w:val="2"/>
          <w:highlight w:val="none"/>
          <w:lang w:eastAsia="zh-CN"/>
        </w:rPr>
      </w:pPr>
      <w:r>
        <w:rPr>
          <w:rFonts w:hint="eastAsia"/>
          <w:b/>
          <w:bCs/>
          <w:kern w:val="2"/>
          <w:highlight w:val="none"/>
          <w:lang w:eastAsia="zh-CN"/>
        </w:rPr>
        <w:t>基因变异与药物关联分析：</w:t>
      </w:r>
    </w:p>
    <w:p w14:paraId="34710309">
      <w:pPr>
        <w:keepNext w:val="0"/>
        <w:keepLines w:val="0"/>
        <w:pageBreakBefore w:val="0"/>
        <w:widowControl/>
        <w:kinsoku/>
        <w:wordWrap/>
        <w:overflowPunct/>
        <w:topLinePunct w:val="0"/>
        <w:autoSpaceDE/>
        <w:autoSpaceDN/>
        <w:bidi w:val="0"/>
        <w:adjustRightInd w:val="0"/>
        <w:snapToGrid w:val="0"/>
        <w:spacing w:beforeLines="0" w:after="0" w:afterLines="0" w:line="240" w:lineRule="auto"/>
        <w:ind w:left="0" w:leftChars="0" w:right="0" w:rightChars="0" w:firstLine="420" w:firstLineChars="200"/>
        <w:jc w:val="both"/>
        <w:textAlignment w:val="auto"/>
        <w:outlineLvl w:val="9"/>
        <w:rPr>
          <w:rFonts w:hint="eastAsia" w:ascii="微软雅黑" w:hAnsi="微软雅黑"/>
          <w:color w:val="auto"/>
          <w:kern w:val="1"/>
          <w:sz w:val="21"/>
          <w:szCs w:val="21"/>
          <w:highlight w:val="none"/>
          <w:lang w:val="en-US" w:eastAsia="zh-CN"/>
        </w:rPr>
      </w:pPr>
      <w:r>
        <w:rPr>
          <w:rFonts w:hint="eastAsia" w:ascii="微软雅黑" w:hAnsi="微软雅黑" w:eastAsia="微软雅黑" w:cs="Arial Unicode MS"/>
          <w:color w:val="auto"/>
          <w:kern w:val="2"/>
          <w:sz w:val="21"/>
          <w:szCs w:val="21"/>
          <w:highlight w:val="none"/>
          <w:lang w:val="en-US" w:eastAsia="zh-CN"/>
        </w:rPr>
        <w:t>该样本检出KRAS基因</w:t>
      </w:r>
      <w:r>
        <w:rPr>
          <w:rFonts w:hint="eastAsia" w:ascii="微软雅黑" w:hAnsi="微软雅黑" w:cs="微软雅黑"/>
          <w:sz w:val="21"/>
          <w:lang w:eastAsia="zh-CN"/>
        </w:rPr>
        <w:t>c.34G&gt;A</w:t>
      </w:r>
      <w:r>
        <w:rPr>
          <w:rFonts w:hint="eastAsia" w:ascii="微软雅黑" w:hAnsi="微软雅黑" w:cs="微软雅黑"/>
          <w:sz w:val="21"/>
        </w:rPr>
        <w:t>，</w:t>
      </w:r>
      <w:r>
        <w:rPr>
          <w:rFonts w:hint="eastAsia" w:ascii="微软雅黑" w:hAnsi="微软雅黑" w:cs="微软雅黑"/>
          <w:sz w:val="21"/>
          <w:lang w:eastAsia="zh-CN"/>
        </w:rPr>
        <w:t>p.G12S</w:t>
      </w:r>
      <w:r>
        <w:rPr>
          <w:rFonts w:hint="eastAsia" w:ascii="微软雅黑" w:hAnsi="微软雅黑" w:eastAsia="微软雅黑" w:cs="Arial Unicode MS"/>
          <w:color w:val="auto"/>
          <w:kern w:val="2"/>
          <w:sz w:val="21"/>
          <w:szCs w:val="21"/>
          <w:highlight w:val="none"/>
          <w:lang w:val="en-US" w:eastAsia="zh-CN"/>
        </w:rPr>
        <w:t>错义突变，为已知激活突变，对蛋白功能有重要影响。</w:t>
      </w:r>
      <w:r>
        <w:rPr>
          <w:rFonts w:hint="eastAsia" w:ascii="微软雅黑" w:hAnsi="微软雅黑" w:cs="Arial Unicode MS"/>
          <w:b w:val="0"/>
          <w:bCs/>
          <w:color w:val="auto"/>
          <w:kern w:val="2"/>
          <w:sz w:val="21"/>
          <w:szCs w:val="21"/>
          <w:highlight w:val="none"/>
          <w:lang w:eastAsia="zh-CN"/>
        </w:rPr>
        <w:t>携带该突变的肿瘤患者可能从RAS/RAF</w:t>
      </w:r>
      <w:r>
        <w:rPr>
          <w:rFonts w:hint="eastAsia" w:ascii="微软雅黑" w:hAnsi="微软雅黑"/>
          <w:color w:val="auto"/>
          <w:kern w:val="1"/>
          <w:sz w:val="21"/>
          <w:szCs w:val="21"/>
          <w:highlight w:val="none"/>
        </w:rPr>
        <w:t>/MEK/ERK信号通路</w:t>
      </w:r>
      <w:r>
        <w:rPr>
          <w:rFonts w:hint="eastAsia" w:ascii="微软雅黑" w:hAnsi="微软雅黑"/>
          <w:color w:val="auto"/>
          <w:kern w:val="1"/>
          <w:sz w:val="21"/>
          <w:szCs w:val="21"/>
          <w:highlight w:val="none"/>
          <w:lang w:eastAsia="zh-CN"/>
        </w:rPr>
        <w:t>的</w:t>
      </w:r>
      <w:r>
        <w:rPr>
          <w:rFonts w:hint="eastAsia" w:ascii="微软雅黑" w:hAnsi="微软雅黑"/>
          <w:color w:val="auto"/>
          <w:kern w:val="1"/>
          <w:sz w:val="21"/>
          <w:szCs w:val="21"/>
          <w:highlight w:val="none"/>
        </w:rPr>
        <w:t>下游MEK1/2激酶</w:t>
      </w:r>
      <w:r>
        <w:rPr>
          <w:rFonts w:hint="eastAsia" w:ascii="微软雅黑" w:hAnsi="微软雅黑"/>
          <w:color w:val="auto"/>
          <w:kern w:val="1"/>
          <w:sz w:val="21"/>
          <w:szCs w:val="21"/>
          <w:highlight w:val="none"/>
          <w:lang w:eastAsia="zh-CN"/>
        </w:rPr>
        <w:t>抑制剂获益。</w:t>
      </w:r>
      <w:r>
        <w:rPr>
          <w:rFonts w:hint="eastAsia" w:ascii="微软雅黑" w:hAnsi="微软雅黑" w:eastAsia="微软雅黑" w:cs="Arial Unicode MS"/>
          <w:b w:val="0"/>
          <w:bCs/>
          <w:color w:val="auto"/>
          <w:kern w:val="2"/>
          <w:sz w:val="21"/>
          <w:szCs w:val="21"/>
          <w:highlight w:val="none"/>
        </w:rPr>
        <w:t>曲美替尼是MEK1</w:t>
      </w:r>
      <w:r>
        <w:rPr>
          <w:rFonts w:hint="eastAsia" w:ascii="微软雅黑" w:hAnsi="微软雅黑" w:cs="Arial Unicode MS"/>
          <w:b w:val="0"/>
          <w:bCs/>
          <w:color w:val="auto"/>
          <w:kern w:val="2"/>
          <w:sz w:val="21"/>
          <w:szCs w:val="21"/>
          <w:highlight w:val="none"/>
          <w:lang w:val="en-US" w:eastAsia="zh-CN"/>
        </w:rPr>
        <w:t>/</w:t>
      </w:r>
      <w:r>
        <w:rPr>
          <w:rFonts w:hint="eastAsia" w:ascii="微软雅黑" w:hAnsi="微软雅黑" w:eastAsia="微软雅黑" w:cs="Arial Unicode MS"/>
          <w:b w:val="0"/>
          <w:bCs/>
          <w:color w:val="auto"/>
          <w:kern w:val="2"/>
          <w:sz w:val="21"/>
          <w:szCs w:val="21"/>
          <w:highlight w:val="none"/>
        </w:rPr>
        <w:t>2激酶抑制剂</w:t>
      </w:r>
      <w:r>
        <w:rPr>
          <w:rFonts w:hint="eastAsia" w:ascii="微软雅黑" w:hAnsi="微软雅黑" w:cs="Arial Unicode MS"/>
          <w:b w:val="0"/>
          <w:bCs/>
          <w:color w:val="auto"/>
          <w:kern w:val="2"/>
          <w:sz w:val="21"/>
          <w:szCs w:val="21"/>
          <w:highlight w:val="none"/>
          <w:lang w:eastAsia="zh-CN"/>
        </w:rPr>
        <w:t>，能够靶向抑制RAS/RAF/MEK/ERK信号通路。</w:t>
      </w:r>
      <w:r>
        <w:rPr>
          <w:rFonts w:hint="eastAsia" w:ascii="微软雅黑" w:hAnsi="微软雅黑" w:cs="Arial Unicode MS"/>
          <w:b w:val="0"/>
          <w:bCs/>
          <w:color w:val="auto"/>
          <w:kern w:val="2"/>
          <w:sz w:val="21"/>
          <w:szCs w:val="21"/>
          <w:highlight w:val="none"/>
          <w:lang w:val="en-US" w:eastAsia="zh-CN"/>
        </w:rPr>
        <w:t>FDA批准</w:t>
      </w:r>
      <w:r>
        <w:rPr>
          <w:rFonts w:hint="eastAsia" w:ascii="微软雅黑" w:hAnsi="微软雅黑" w:cs="Arial Unicode MS"/>
          <w:b w:val="0"/>
          <w:bCs/>
          <w:color w:val="auto"/>
          <w:kern w:val="2"/>
          <w:sz w:val="21"/>
          <w:szCs w:val="21"/>
          <w:highlight w:val="none"/>
          <w:lang w:eastAsia="zh-CN"/>
        </w:rPr>
        <w:t>曲美替尼</w:t>
      </w:r>
      <w:r>
        <w:rPr>
          <w:rFonts w:hint="eastAsia" w:ascii="微软雅黑" w:hAnsi="微软雅黑" w:cs="Arial Unicode MS"/>
          <w:b w:val="0"/>
          <w:bCs/>
          <w:color w:val="auto"/>
          <w:kern w:val="2"/>
          <w:sz w:val="21"/>
          <w:szCs w:val="21"/>
          <w:highlight w:val="none"/>
          <w:lang w:val="en-US" w:eastAsia="zh-CN"/>
        </w:rPr>
        <w:t>单药用于治疗黑色素瘤，还批准曲美替尼与达拉非尼联合用于治疗黑色素瘤、非小细胞肺癌和</w:t>
      </w:r>
      <w:r>
        <w:rPr>
          <w:rFonts w:hint="eastAsia"/>
          <w:sz w:val="21"/>
          <w:szCs w:val="21"/>
          <w:highlight w:val="none"/>
          <w:shd w:val="clear"/>
          <w:lang w:val="en-US" w:eastAsia="zh-CN"/>
        </w:rPr>
        <w:t>间变性甲状腺癌</w:t>
      </w:r>
      <w:r>
        <w:rPr>
          <w:rFonts w:hint="eastAsia" w:ascii="微软雅黑" w:hAnsi="微软雅黑" w:cs="Arial Unicode MS"/>
          <w:b w:val="0"/>
          <w:bCs/>
          <w:color w:val="auto"/>
          <w:kern w:val="2"/>
          <w:sz w:val="21"/>
          <w:szCs w:val="21"/>
          <w:highlight w:val="none"/>
          <w:lang w:val="en-US" w:eastAsia="zh-CN"/>
        </w:rPr>
        <w:t>；NMPA批准曲美替尼与达拉非尼联合用于治疗黑色素瘤。</w:t>
      </w:r>
      <w:r>
        <w:rPr>
          <w:rFonts w:hint="eastAsia" w:ascii="微软雅黑" w:hAnsi="微软雅黑" w:cstheme="minorBidi"/>
          <w:b w:val="0"/>
          <w:bCs w:val="0"/>
          <w:color w:val="auto"/>
          <w:kern w:val="1"/>
          <w:sz w:val="21"/>
          <w:szCs w:val="21"/>
          <w:highlight w:val="none"/>
          <w:u w:val="none"/>
          <w:lang w:eastAsia="zh-CN"/>
        </w:rPr>
        <w:t>贝美替尼（</w:t>
      </w:r>
      <w:r>
        <w:rPr>
          <w:rFonts w:hint="eastAsia" w:ascii="微软雅黑" w:hAnsi="微软雅黑"/>
          <w:color w:val="auto"/>
          <w:kern w:val="1"/>
          <w:sz w:val="21"/>
          <w:szCs w:val="21"/>
          <w:highlight w:val="none"/>
        </w:rPr>
        <w:t>MEK162</w:t>
      </w:r>
      <w:r>
        <w:rPr>
          <w:rFonts w:hint="eastAsia" w:ascii="微软雅黑" w:hAnsi="微软雅黑" w:cstheme="minorBidi"/>
          <w:b w:val="0"/>
          <w:bCs w:val="0"/>
          <w:color w:val="auto"/>
          <w:kern w:val="1"/>
          <w:sz w:val="21"/>
          <w:szCs w:val="21"/>
          <w:highlight w:val="none"/>
          <w:u w:val="none"/>
          <w:lang w:eastAsia="zh-CN"/>
        </w:rPr>
        <w:t>）</w:t>
      </w:r>
      <w:r>
        <w:rPr>
          <w:rFonts w:hint="eastAsia" w:ascii="微软雅黑" w:hAnsi="微软雅黑"/>
          <w:color w:val="auto"/>
          <w:kern w:val="1"/>
          <w:sz w:val="21"/>
          <w:szCs w:val="21"/>
          <w:highlight w:val="none"/>
        </w:rPr>
        <w:t>是MEK1/2的抑制剂，</w:t>
      </w:r>
      <w:r>
        <w:rPr>
          <w:rFonts w:hint="eastAsia" w:ascii="微软雅黑" w:hAnsi="微软雅黑"/>
          <w:color w:val="auto"/>
          <w:kern w:val="1"/>
          <w:sz w:val="21"/>
          <w:szCs w:val="21"/>
          <w:highlight w:val="none"/>
          <w:lang w:val="en-US" w:eastAsia="zh-CN"/>
        </w:rPr>
        <w:t>FDA批准</w:t>
      </w:r>
      <w:r>
        <w:rPr>
          <w:rFonts w:hint="eastAsia" w:ascii="微软雅黑" w:hAnsi="微软雅黑" w:cs="微软雅黑"/>
          <w:b w:val="0"/>
          <w:bCs w:val="0"/>
          <w:kern w:val="2"/>
          <w:sz w:val="21"/>
          <w:szCs w:val="24"/>
          <w:highlight w:val="none"/>
          <w:lang w:eastAsia="zh-CN"/>
        </w:rPr>
        <w:t>贝美替尼</w:t>
      </w:r>
      <w:r>
        <w:rPr>
          <w:rFonts w:hint="eastAsia" w:ascii="微软雅黑" w:hAnsi="微软雅黑" w:cs="微软雅黑"/>
          <w:kern w:val="2"/>
          <w:sz w:val="21"/>
          <w:szCs w:val="24"/>
          <w:highlight w:val="none"/>
        </w:rPr>
        <w:t>与</w:t>
      </w:r>
      <w:r>
        <w:rPr>
          <w:rFonts w:hint="eastAsia" w:ascii="微软雅黑" w:hAnsi="微软雅黑" w:cs="微软雅黑"/>
          <w:kern w:val="2"/>
          <w:sz w:val="21"/>
          <w:szCs w:val="24"/>
          <w:highlight w:val="none"/>
          <w:lang w:eastAsia="zh-CN"/>
        </w:rPr>
        <w:t>康奈非尼</w:t>
      </w:r>
      <w:r>
        <w:rPr>
          <w:rFonts w:hint="eastAsia" w:ascii="微软雅黑" w:hAnsi="微软雅黑" w:cs="微软雅黑"/>
          <w:kern w:val="2"/>
          <w:sz w:val="21"/>
          <w:szCs w:val="24"/>
          <w:highlight w:val="none"/>
        </w:rPr>
        <w:t>联合用于治疗BRAF V600E或V600K突变的不可切除或转移性黑色素瘤患者</w:t>
      </w:r>
      <w:r>
        <w:rPr>
          <w:rFonts w:hint="eastAsia" w:ascii="微软雅黑" w:hAnsi="微软雅黑"/>
          <w:color w:val="auto"/>
          <w:kern w:val="1"/>
          <w:sz w:val="21"/>
          <w:szCs w:val="21"/>
          <w:highlight w:val="none"/>
        </w:rPr>
        <w:t>。</w:t>
      </w:r>
      <w:r>
        <w:rPr>
          <w:rFonts w:hint="eastAsia" w:ascii="微软雅黑" w:hAnsi="微软雅黑"/>
          <w:color w:val="auto"/>
          <w:kern w:val="1"/>
          <w:sz w:val="21"/>
          <w:szCs w:val="21"/>
          <w:highlight w:val="none"/>
          <w:lang w:eastAsia="zh-CN"/>
        </w:rPr>
        <w:t>哌柏西利是一种</w:t>
      </w:r>
      <w:r>
        <w:rPr>
          <w:rFonts w:hint="eastAsia" w:ascii="微软雅黑" w:hAnsi="微软雅黑"/>
          <w:color w:val="auto"/>
          <w:kern w:val="1"/>
          <w:sz w:val="21"/>
          <w:szCs w:val="21"/>
          <w:highlight w:val="none"/>
          <w:lang w:val="en-US" w:eastAsia="zh-CN"/>
        </w:rPr>
        <w:t>CDK4/6抑制剂，已获FDA和NMPA批准用于治疗乳腺癌。帕尼单抗是一种靶向结合EGFR胞外结构域的单抗药物，已获FDA批准用于治疗结直肠癌。奈拉替尼是一种细胞内激酶抑制剂，已获FDA和NMPA批准用于治疗乳腺癌。Navitoclax是一种BCL-XL/BCL-2抑制剂，目前正在开展临床试验。BI 1701963是一种泛KRAS抑制剂，目前正在开展临床试验。福巴替尼是一种口服的FGFR抑制剂，已获FDA批准用于治疗携带FGFR2基因融合或其他重排的肝内胆管癌成年患者。</w:t>
      </w:r>
    </w:p>
    <w:p w14:paraId="2D88D237">
      <w:pPr>
        <w:spacing w:beforeLines="0" w:after="0" w:afterLines="0"/>
        <w:ind w:firstLine="0" w:firstLineChars="0"/>
        <w:jc w:val="both"/>
        <w:outlineLvl w:val="9"/>
        <w:rPr>
          <w:rFonts w:hint="eastAsia"/>
          <w:b/>
          <w:bCs/>
          <w:kern w:val="2"/>
          <w:highlight w:val="none"/>
          <w:lang w:eastAsia="zh-CN"/>
        </w:rPr>
      </w:pPr>
      <w:r>
        <w:rPr>
          <w:rFonts w:hint="eastAsia"/>
          <w:b/>
          <w:bCs/>
          <w:kern w:val="2"/>
          <w:highlight w:val="none"/>
          <w:lang w:eastAsia="zh-CN"/>
        </w:rPr>
        <w:t>药物疗效临床解析：</w:t>
      </w:r>
    </w:p>
    <w:p w14:paraId="18030D27">
      <w:pPr>
        <w:keepNext w:val="0"/>
        <w:keepLines w:val="0"/>
        <w:pageBreakBefore w:val="0"/>
        <w:widowControl/>
        <w:numPr>
          <w:ilvl w:val="0"/>
          <w:numId w:val="0"/>
        </w:numPr>
        <w:kinsoku/>
        <w:wordWrap/>
        <w:overflowPunct/>
        <w:topLinePunct w:val="0"/>
        <w:autoSpaceDE/>
        <w:autoSpaceDN/>
        <w:bidi w:val="0"/>
        <w:adjustRightInd w:val="0"/>
        <w:snapToGrid w:val="0"/>
        <w:spacing w:after="0" w:line="240" w:lineRule="auto"/>
        <w:ind w:right="0" w:rightChars="0" w:firstLine="420" w:firstLineChars="200"/>
        <w:jc w:val="both"/>
        <w:textAlignment w:val="auto"/>
        <w:outlineLvl w:val="9"/>
        <w:rPr>
          <w:rFonts w:hint="eastAsia" w:ascii="微软雅黑" w:hAnsi="微软雅黑"/>
          <w:color w:val="auto"/>
          <w:kern w:val="1"/>
          <w:sz w:val="21"/>
          <w:szCs w:val="21"/>
          <w:highlight w:val="none"/>
          <w:lang w:val="en-US" w:eastAsia="zh-CN"/>
        </w:rPr>
      </w:pPr>
      <w:r>
        <w:rPr>
          <w:rFonts w:hint="eastAsia" w:ascii="微软雅黑" w:hAnsi="微软雅黑"/>
          <w:b w:val="0"/>
          <w:bCs w:val="0"/>
          <w:color w:val="auto"/>
          <w:kern w:val="2"/>
          <w:sz w:val="21"/>
          <w:szCs w:val="21"/>
          <w:highlight w:val="none"/>
          <w:lang w:val="en-US" w:eastAsia="zh-CN"/>
        </w:rPr>
        <w:t>一项</w:t>
      </w:r>
      <w:r>
        <w:rPr>
          <w:rFonts w:hint="eastAsia" w:ascii="微软雅黑" w:hAnsi="微软雅黑"/>
          <w:b w:val="0"/>
          <w:bCs w:val="0"/>
          <w:color w:val="auto"/>
          <w:kern w:val="2"/>
          <w:sz w:val="21"/>
          <w:szCs w:val="21"/>
          <w:highlight w:val="none"/>
          <w:lang w:eastAsia="zh-CN"/>
        </w:rPr>
        <w:t>由美国国家癌症研究所主办的临床Ⅰ</w:t>
      </w:r>
      <w:r>
        <w:rPr>
          <w:rFonts w:hint="eastAsia" w:ascii="微软雅黑" w:hAnsi="微软雅黑"/>
          <w:b w:val="0"/>
          <w:bCs w:val="0"/>
          <w:color w:val="auto"/>
          <w:kern w:val="2"/>
          <w:sz w:val="21"/>
          <w:szCs w:val="21"/>
          <w:highlight w:val="none"/>
          <w:lang w:val="en-US" w:eastAsia="zh-CN"/>
        </w:rPr>
        <w:t>b/</w:t>
      </w:r>
      <w:r>
        <w:rPr>
          <w:rFonts w:hint="eastAsia" w:ascii="微软雅黑" w:hAnsi="微软雅黑"/>
          <w:b w:val="0"/>
          <w:bCs w:val="0"/>
          <w:color w:val="auto"/>
          <w:kern w:val="2"/>
          <w:sz w:val="21"/>
          <w:szCs w:val="21"/>
          <w:highlight w:val="none"/>
          <w:lang w:eastAsia="zh-CN"/>
        </w:rPr>
        <w:t>Ⅱ期试验，旨在研究曲美替尼和</w:t>
      </w:r>
      <w:r>
        <w:rPr>
          <w:rFonts w:hint="eastAsia" w:ascii="微软雅黑" w:hAnsi="微软雅黑"/>
          <w:b w:val="0"/>
          <w:bCs w:val="0"/>
          <w:color w:val="auto"/>
          <w:kern w:val="2"/>
          <w:sz w:val="21"/>
          <w:szCs w:val="21"/>
          <w:highlight w:val="none"/>
          <w:lang w:val="en-US" w:eastAsia="zh-CN"/>
        </w:rPr>
        <w:t>N</w:t>
      </w:r>
      <w:r>
        <w:rPr>
          <w:rFonts w:hint="eastAsia" w:ascii="微软雅黑" w:hAnsi="微软雅黑"/>
          <w:b w:val="0"/>
          <w:bCs w:val="0"/>
          <w:color w:val="auto"/>
          <w:kern w:val="2"/>
          <w:sz w:val="21"/>
          <w:szCs w:val="21"/>
          <w:highlight w:val="none"/>
          <w:lang w:eastAsia="zh-CN"/>
        </w:rPr>
        <w:t>avitoclax用于治疗具有</w:t>
      </w:r>
      <w:r>
        <w:rPr>
          <w:rFonts w:hint="eastAsia" w:ascii="微软雅黑" w:hAnsi="微软雅黑"/>
          <w:b w:val="0"/>
          <w:bCs w:val="0"/>
          <w:color w:val="auto"/>
          <w:kern w:val="2"/>
          <w:sz w:val="21"/>
          <w:szCs w:val="21"/>
          <w:highlight w:val="none"/>
          <w:lang w:val="en-US" w:eastAsia="zh-CN"/>
        </w:rPr>
        <w:t>KRAS或NRAS突变的</w:t>
      </w:r>
      <w:r>
        <w:rPr>
          <w:rFonts w:hint="eastAsia" w:ascii="微软雅黑" w:hAnsi="微软雅黑"/>
          <w:b w:val="0"/>
          <w:bCs w:val="0"/>
          <w:color w:val="auto"/>
          <w:kern w:val="2"/>
          <w:sz w:val="21"/>
          <w:szCs w:val="21"/>
          <w:highlight w:val="none"/>
          <w:lang w:eastAsia="zh-CN"/>
        </w:rPr>
        <w:t>晚期或转移性实体瘤患者，产生的副作用以及最佳剂量。目前该试验正在招募患者</w:t>
      </w:r>
      <w:r>
        <w:rPr>
          <w:rFonts w:hint="eastAsia" w:ascii="微软雅黑" w:hAnsi="微软雅黑"/>
          <w:b w:val="0"/>
          <w:bCs w:val="0"/>
          <w:color w:val="auto"/>
          <w:kern w:val="2"/>
          <w:sz w:val="21"/>
          <w:szCs w:val="21"/>
          <w:highlight w:val="none"/>
          <w:lang w:val="en-US" w:eastAsia="zh-CN"/>
        </w:rPr>
        <w:t>[NCT02079740]</w:t>
      </w:r>
      <w:r>
        <w:rPr>
          <w:rFonts w:hint="eastAsia" w:ascii="微软雅黑" w:hAnsi="微软雅黑"/>
          <w:b w:val="0"/>
          <w:bCs w:val="0"/>
          <w:color w:val="auto"/>
          <w:kern w:val="2"/>
          <w:sz w:val="21"/>
          <w:szCs w:val="21"/>
          <w:highlight w:val="none"/>
          <w:lang w:eastAsia="zh-CN"/>
        </w:rPr>
        <w:t>。</w:t>
      </w:r>
      <w:r>
        <w:rPr>
          <w:rFonts w:hint="eastAsia" w:ascii="微软雅黑" w:hAnsi="微软雅黑"/>
          <w:b w:val="0"/>
          <w:bCs w:val="0"/>
          <w:color w:val="auto"/>
          <w:kern w:val="2"/>
          <w:sz w:val="21"/>
          <w:szCs w:val="21"/>
          <w:highlight w:val="none"/>
          <w:lang w:val="en-US" w:eastAsia="zh-CN"/>
        </w:rPr>
        <w:t>帕尼单抗联合曲美替尼用于</w:t>
      </w:r>
      <w:r>
        <w:rPr>
          <w:rFonts w:hint="eastAsia" w:ascii="微软雅黑" w:hAnsi="微软雅黑"/>
          <w:b w:val="0"/>
          <w:bCs w:val="0"/>
          <w:color w:val="auto"/>
          <w:kern w:val="2"/>
          <w:sz w:val="21"/>
          <w:szCs w:val="21"/>
          <w:highlight w:val="none"/>
          <w:lang w:eastAsia="zh-CN"/>
        </w:rPr>
        <w:t>治疗</w:t>
      </w:r>
      <w:r>
        <w:rPr>
          <w:rFonts w:hint="eastAsia" w:ascii="微软雅黑" w:hAnsi="微软雅黑"/>
          <w:b w:val="0"/>
          <w:bCs w:val="0"/>
          <w:color w:val="auto"/>
          <w:kern w:val="2"/>
          <w:sz w:val="21"/>
          <w:szCs w:val="21"/>
          <w:highlight w:val="none"/>
          <w:lang w:val="en-US" w:eastAsia="zh-CN"/>
        </w:rPr>
        <w:t>具有KRAS/NRAS/BRAF突变的</w:t>
      </w:r>
      <w:r>
        <w:rPr>
          <w:rFonts w:hint="eastAsia" w:ascii="微软雅黑" w:hAnsi="微软雅黑"/>
          <w:b w:val="0"/>
          <w:bCs w:val="0"/>
          <w:color w:val="auto"/>
          <w:kern w:val="2"/>
          <w:sz w:val="21"/>
          <w:szCs w:val="21"/>
          <w:highlight w:val="none"/>
          <w:lang w:eastAsia="zh-CN"/>
        </w:rPr>
        <w:t>IV期结直肠癌患者</w:t>
      </w:r>
      <w:r>
        <w:rPr>
          <w:rFonts w:hint="eastAsia" w:ascii="微软雅黑" w:hAnsi="微软雅黑"/>
          <w:b w:val="0"/>
          <w:bCs w:val="0"/>
          <w:color w:val="auto"/>
          <w:kern w:val="2"/>
          <w:sz w:val="21"/>
          <w:szCs w:val="21"/>
          <w:highlight w:val="none"/>
          <w:lang w:val="en-US" w:eastAsia="zh-CN"/>
        </w:rPr>
        <w:t>的II期临床试验，目前该临床试验状态未知[NCT03087071]。</w:t>
      </w:r>
      <w:r>
        <w:rPr>
          <w:rFonts w:hint="eastAsia" w:ascii="微软雅黑" w:hAnsi="微软雅黑"/>
          <w:b w:val="0"/>
          <w:bCs w:val="0"/>
          <w:color w:val="auto"/>
          <w:kern w:val="2"/>
          <w:sz w:val="21"/>
          <w:szCs w:val="21"/>
          <w:highlight w:val="none"/>
          <w:lang w:eastAsia="zh-CN"/>
        </w:rPr>
        <w:t>体内和体外研究显示，与</w:t>
      </w:r>
      <w:r>
        <w:rPr>
          <w:rFonts w:hint="eastAsia" w:ascii="微软雅黑" w:hAnsi="微软雅黑"/>
          <w:color w:val="auto"/>
          <w:kern w:val="2"/>
          <w:sz w:val="21"/>
          <w:szCs w:val="21"/>
          <w:highlight w:val="none"/>
          <w:lang w:eastAsia="zh-CN"/>
        </w:rPr>
        <w:t>贝美替尼</w:t>
      </w:r>
      <w:r>
        <w:rPr>
          <w:rFonts w:hint="eastAsia" w:ascii="微软雅黑" w:hAnsi="微软雅黑"/>
          <w:b w:val="0"/>
          <w:bCs w:val="0"/>
          <w:color w:val="auto"/>
          <w:kern w:val="2"/>
          <w:sz w:val="21"/>
          <w:szCs w:val="21"/>
          <w:highlight w:val="none"/>
          <w:lang w:eastAsia="zh-CN"/>
        </w:rPr>
        <w:t>或哌柏西利单一疗法相比，</w:t>
      </w:r>
      <w:r>
        <w:rPr>
          <w:rFonts w:hint="eastAsia" w:ascii="微软雅黑" w:hAnsi="微软雅黑"/>
          <w:color w:val="auto"/>
          <w:kern w:val="2"/>
          <w:sz w:val="21"/>
          <w:szCs w:val="21"/>
          <w:highlight w:val="none"/>
          <w:lang w:eastAsia="zh-CN"/>
        </w:rPr>
        <w:t>贝美替尼</w:t>
      </w:r>
      <w:r>
        <w:rPr>
          <w:rFonts w:hint="eastAsia" w:ascii="微软雅黑" w:hAnsi="微软雅黑"/>
          <w:b w:val="0"/>
          <w:bCs w:val="0"/>
          <w:color w:val="auto"/>
          <w:kern w:val="2"/>
          <w:sz w:val="21"/>
          <w:szCs w:val="21"/>
          <w:highlight w:val="none"/>
          <w:lang w:eastAsia="zh-CN"/>
        </w:rPr>
        <w:t>联合哌柏西利对具有</w:t>
      </w:r>
      <w:r>
        <w:rPr>
          <w:rFonts w:hint="eastAsia" w:ascii="微软雅黑" w:hAnsi="微软雅黑"/>
          <w:b w:val="0"/>
          <w:bCs w:val="0"/>
          <w:color w:val="auto"/>
          <w:kern w:val="2"/>
          <w:sz w:val="21"/>
          <w:szCs w:val="21"/>
          <w:highlight w:val="none"/>
          <w:lang w:val="en-US" w:eastAsia="zh-CN"/>
        </w:rPr>
        <w:t>KRAS突变的结直肠癌细胞系和异种移植模型具有显著的疗效[27167191]。</w:t>
      </w:r>
      <w:r>
        <w:rPr>
          <w:rFonts w:hint="eastAsia" w:ascii="微软雅黑" w:hAnsi="微软雅黑"/>
          <w:color w:val="auto"/>
          <w:kern w:val="1"/>
          <w:sz w:val="21"/>
          <w:szCs w:val="21"/>
          <w:highlight w:val="none"/>
          <w:lang w:eastAsia="zh-CN"/>
        </w:rPr>
        <w:t>一项临床Ⅰ期试验，旨在评估</w:t>
      </w:r>
      <w:r>
        <w:rPr>
          <w:rFonts w:hint="eastAsia" w:ascii="微软雅黑" w:hAnsi="微软雅黑" w:cs="微软雅黑"/>
          <w:b w:val="0"/>
          <w:bCs w:val="0"/>
          <w:kern w:val="2"/>
          <w:sz w:val="21"/>
          <w:szCs w:val="24"/>
          <w:highlight w:val="none"/>
          <w:lang w:eastAsia="zh-CN"/>
        </w:rPr>
        <w:t>贝美替尼联合mFOLFIRI</w:t>
      </w:r>
      <w:r>
        <w:rPr>
          <w:rFonts w:hint="eastAsia" w:ascii="微软雅黑" w:hAnsi="微软雅黑"/>
          <w:color w:val="auto"/>
          <w:kern w:val="1"/>
          <w:sz w:val="21"/>
          <w:szCs w:val="21"/>
          <w:highlight w:val="none"/>
        </w:rPr>
        <w:t>用于</w:t>
      </w:r>
      <w:r>
        <w:rPr>
          <w:rFonts w:hint="eastAsia" w:ascii="微软雅黑" w:hAnsi="微软雅黑"/>
          <w:color w:val="auto"/>
          <w:kern w:val="1"/>
          <w:sz w:val="21"/>
          <w:szCs w:val="21"/>
          <w:highlight w:val="none"/>
          <w:lang w:eastAsia="zh-CN"/>
        </w:rPr>
        <w:t>治疗</w:t>
      </w:r>
      <w:r>
        <w:rPr>
          <w:rFonts w:hint="eastAsia" w:ascii="微软雅黑" w:hAnsi="微软雅黑"/>
          <w:color w:val="auto"/>
          <w:kern w:val="1"/>
          <w:sz w:val="21"/>
          <w:szCs w:val="21"/>
          <w:highlight w:val="none"/>
        </w:rPr>
        <w:t>KRAS突变</w:t>
      </w:r>
      <w:r>
        <w:rPr>
          <w:rFonts w:hint="eastAsia" w:ascii="微软雅黑" w:hAnsi="微软雅黑"/>
          <w:color w:val="auto"/>
          <w:kern w:val="1"/>
          <w:sz w:val="21"/>
          <w:szCs w:val="21"/>
          <w:highlight w:val="none"/>
          <w:lang w:eastAsia="zh-CN"/>
        </w:rPr>
        <w:t>阳性</w:t>
      </w:r>
      <w:r>
        <w:rPr>
          <w:rFonts w:hint="eastAsia" w:ascii="微软雅黑" w:hAnsi="微软雅黑"/>
          <w:color w:val="auto"/>
          <w:kern w:val="1"/>
          <w:sz w:val="21"/>
          <w:szCs w:val="21"/>
          <w:highlight w:val="none"/>
        </w:rPr>
        <w:t>的结直肠癌的</w:t>
      </w:r>
      <w:r>
        <w:rPr>
          <w:rFonts w:hint="eastAsia" w:ascii="微软雅黑" w:hAnsi="微软雅黑"/>
          <w:color w:val="auto"/>
          <w:kern w:val="1"/>
          <w:sz w:val="21"/>
          <w:szCs w:val="21"/>
          <w:highlight w:val="none"/>
          <w:lang w:eastAsia="zh-CN"/>
        </w:rPr>
        <w:t>最大耐受剂量、反应率、临床获益率以及安全性，目前该</w:t>
      </w:r>
      <w:r>
        <w:rPr>
          <w:rFonts w:hint="eastAsia" w:ascii="微软雅黑" w:hAnsi="微软雅黑"/>
          <w:color w:val="auto"/>
          <w:kern w:val="1"/>
          <w:sz w:val="21"/>
          <w:szCs w:val="21"/>
          <w:highlight w:val="none"/>
        </w:rPr>
        <w:t>试验正在</w:t>
      </w:r>
      <w:r>
        <w:rPr>
          <w:rFonts w:hint="eastAsia" w:ascii="微软雅黑" w:hAnsi="微软雅黑"/>
          <w:color w:val="auto"/>
          <w:kern w:val="1"/>
          <w:sz w:val="21"/>
          <w:szCs w:val="21"/>
          <w:highlight w:val="none"/>
          <w:lang w:eastAsia="zh-CN"/>
        </w:rPr>
        <w:t>招募患者</w:t>
      </w:r>
      <w:r>
        <w:rPr>
          <w:rFonts w:hint="eastAsia" w:ascii="微软雅黑" w:hAnsi="微软雅黑"/>
          <w:color w:val="auto"/>
          <w:kern w:val="1"/>
          <w:sz w:val="21"/>
          <w:szCs w:val="21"/>
          <w:highlight w:val="none"/>
          <w:lang w:val="en-US" w:eastAsia="zh-CN"/>
        </w:rPr>
        <w:t>[</w:t>
      </w:r>
      <w:r>
        <w:rPr>
          <w:rFonts w:hint="eastAsia" w:ascii="微软雅黑" w:hAnsi="微软雅黑"/>
          <w:color w:val="auto"/>
          <w:kern w:val="1"/>
          <w:sz w:val="21"/>
          <w:szCs w:val="21"/>
          <w:highlight w:val="none"/>
        </w:rPr>
        <w:t>NCT02613650</w:t>
      </w:r>
      <w:r>
        <w:rPr>
          <w:rFonts w:hint="eastAsia" w:ascii="微软雅黑" w:hAnsi="微软雅黑"/>
          <w:color w:val="auto"/>
          <w:kern w:val="1"/>
          <w:sz w:val="21"/>
          <w:szCs w:val="21"/>
          <w:highlight w:val="none"/>
          <w:lang w:val="en-US" w:eastAsia="zh-CN"/>
        </w:rPr>
        <w:t>]</w:t>
      </w:r>
      <w:r>
        <w:rPr>
          <w:rFonts w:hint="eastAsia" w:ascii="微软雅黑" w:hAnsi="微软雅黑"/>
          <w:color w:val="auto"/>
          <w:kern w:val="1"/>
          <w:sz w:val="21"/>
          <w:szCs w:val="21"/>
          <w:highlight w:val="none"/>
        </w:rPr>
        <w:t>。</w:t>
      </w:r>
      <w:r>
        <w:rPr>
          <w:rFonts w:hint="eastAsia" w:ascii="微软雅黑" w:hAnsi="微软雅黑"/>
          <w:color w:val="auto"/>
          <w:kern w:val="1"/>
          <w:sz w:val="21"/>
          <w:szCs w:val="21"/>
          <w:highlight w:val="none"/>
          <w:lang w:val="en-US" w:eastAsia="zh-CN"/>
        </w:rPr>
        <w:t>一项II期临床试验，旨在评估</w:t>
      </w:r>
      <w:r>
        <w:rPr>
          <w:rFonts w:hint="eastAsia" w:ascii="微软雅黑" w:hAnsi="微软雅黑"/>
          <w:color w:val="auto"/>
          <w:kern w:val="2"/>
          <w:sz w:val="21"/>
          <w:szCs w:val="21"/>
          <w:highlight w:val="none"/>
          <w:lang w:eastAsia="zh-CN"/>
        </w:rPr>
        <w:t>贝美替尼</w:t>
      </w:r>
      <w:r>
        <w:rPr>
          <w:rFonts w:hint="eastAsia" w:ascii="微软雅黑" w:hAnsi="微软雅黑"/>
          <w:b w:val="0"/>
          <w:bCs w:val="0"/>
          <w:color w:val="auto"/>
          <w:kern w:val="2"/>
          <w:sz w:val="21"/>
          <w:szCs w:val="21"/>
          <w:highlight w:val="none"/>
          <w:lang w:eastAsia="zh-CN"/>
        </w:rPr>
        <w:t>联合哌柏西利</w:t>
      </w:r>
      <w:r>
        <w:rPr>
          <w:rFonts w:hint="eastAsia" w:ascii="微软雅黑" w:hAnsi="微软雅黑"/>
          <w:b w:val="0"/>
          <w:bCs w:val="0"/>
          <w:color w:val="auto"/>
          <w:kern w:val="2"/>
          <w:sz w:val="21"/>
          <w:szCs w:val="21"/>
          <w:highlight w:val="none"/>
          <w:lang w:val="en-US" w:eastAsia="zh-CN"/>
        </w:rPr>
        <w:t>用于治疗携带KRAS/NRAS突变的结直肠癌患者有效性，该试验正在开展，不招募患者[NCT03981614]。</w:t>
      </w:r>
      <w:r>
        <w:rPr>
          <w:rFonts w:hint="eastAsia" w:ascii="微软雅黑" w:hAnsi="微软雅黑"/>
          <w:color w:val="auto"/>
          <w:kern w:val="1"/>
          <w:sz w:val="21"/>
          <w:szCs w:val="21"/>
          <w:highlight w:val="none"/>
          <w:lang w:eastAsia="zh-CN"/>
        </w:rPr>
        <w:t>BI 1701963单药以及BI 1701963与曲美替尼联合用于治疗具有</w:t>
      </w:r>
      <w:r>
        <w:rPr>
          <w:rFonts w:hint="eastAsia" w:ascii="微软雅黑" w:hAnsi="微软雅黑"/>
          <w:color w:val="auto"/>
          <w:kern w:val="1"/>
          <w:sz w:val="21"/>
          <w:szCs w:val="21"/>
          <w:highlight w:val="none"/>
          <w:lang w:val="en-US" w:eastAsia="zh-CN"/>
        </w:rPr>
        <w:t>KRAS突变的不同类型的晚期实体瘤的</w:t>
      </w:r>
      <w:r>
        <w:rPr>
          <w:rFonts w:hint="eastAsia" w:ascii="微软雅黑" w:hAnsi="微软雅黑"/>
          <w:color w:val="auto"/>
          <w:kern w:val="1"/>
          <w:sz w:val="21"/>
          <w:szCs w:val="21"/>
          <w:highlight w:val="none"/>
          <w:lang w:eastAsia="zh-CN"/>
        </w:rPr>
        <w:t>临床Ⅰ期试验</w:t>
      </w:r>
      <w:r>
        <w:rPr>
          <w:rFonts w:hint="eastAsia" w:ascii="微软雅黑" w:hAnsi="微软雅黑"/>
          <w:b w:val="0"/>
          <w:bCs w:val="0"/>
          <w:color w:val="auto"/>
          <w:kern w:val="2"/>
          <w:sz w:val="21"/>
          <w:szCs w:val="21"/>
          <w:highlight w:val="none"/>
          <w:lang w:val="en-US" w:eastAsia="zh-CN"/>
        </w:rPr>
        <w:t>正在开展，不招募患者</w:t>
      </w:r>
      <w:r>
        <w:rPr>
          <w:rFonts w:hint="eastAsia" w:ascii="微软雅黑" w:hAnsi="微软雅黑"/>
          <w:color w:val="auto"/>
          <w:kern w:val="1"/>
          <w:sz w:val="21"/>
          <w:szCs w:val="21"/>
          <w:highlight w:val="none"/>
          <w:lang w:val="en-US" w:eastAsia="zh-CN"/>
        </w:rPr>
        <w:t>[NCT04111458]</w:t>
      </w:r>
      <w:r>
        <w:rPr>
          <w:rFonts w:hint="eastAsia" w:ascii="微软雅黑" w:hAnsi="微软雅黑"/>
          <w:color w:val="auto"/>
          <w:kern w:val="1"/>
          <w:sz w:val="21"/>
          <w:szCs w:val="21"/>
          <w:highlight w:val="none"/>
          <w:lang w:eastAsia="zh-CN"/>
        </w:rPr>
        <w:t>。奈拉替尼联合曲美替尼用于治疗携带KRAS突变的晚期或转移性实体瘤患者的疗效、安全性和耐受性的Ⅰ</w:t>
      </w:r>
      <w:r>
        <w:rPr>
          <w:rFonts w:hint="eastAsia" w:ascii="微软雅黑" w:hAnsi="微软雅黑"/>
          <w:b w:val="0"/>
          <w:bCs w:val="0"/>
          <w:color w:val="auto"/>
          <w:kern w:val="2"/>
          <w:sz w:val="21"/>
          <w:szCs w:val="21"/>
          <w:highlight w:val="none"/>
          <w:lang w:eastAsia="zh-CN"/>
        </w:rPr>
        <w:t>期试验</w:t>
      </w:r>
      <w:r>
        <w:rPr>
          <w:rFonts w:hint="eastAsia" w:ascii="微软雅黑" w:hAnsi="微软雅黑"/>
          <w:color w:val="auto"/>
          <w:kern w:val="1"/>
          <w:sz w:val="21"/>
          <w:szCs w:val="21"/>
          <w:highlight w:val="none"/>
          <w:lang w:eastAsia="zh-CN"/>
        </w:rPr>
        <w:t>正在招募中</w:t>
      </w:r>
      <w:r>
        <w:rPr>
          <w:rFonts w:hint="eastAsia" w:ascii="微软雅黑" w:hAnsi="微软雅黑"/>
          <w:color w:val="auto"/>
          <w:kern w:val="1"/>
          <w:sz w:val="21"/>
          <w:szCs w:val="21"/>
          <w:highlight w:val="none"/>
          <w:lang w:val="en-US" w:eastAsia="zh-CN"/>
        </w:rPr>
        <w:t>[NCT03065387]。</w:t>
      </w:r>
      <w:r>
        <w:rPr>
          <w:rFonts w:hint="eastAsia" w:ascii="微软雅黑" w:hAnsi="微软雅黑"/>
          <w:color w:val="auto"/>
          <w:kern w:val="1"/>
          <w:sz w:val="21"/>
          <w:szCs w:val="21"/>
          <w:highlight w:val="none"/>
          <w:lang w:eastAsia="zh-CN"/>
        </w:rPr>
        <w:t>福巴替尼联合贝美替尼用于治疗携带KRAS突变的晚期肿瘤患者疗效的Ⅰb/Ⅱ</w:t>
      </w:r>
      <w:r>
        <w:rPr>
          <w:rFonts w:hint="eastAsia" w:ascii="微软雅黑" w:hAnsi="微软雅黑"/>
          <w:b w:val="0"/>
          <w:bCs w:val="0"/>
          <w:color w:val="auto"/>
          <w:kern w:val="2"/>
          <w:sz w:val="21"/>
          <w:szCs w:val="21"/>
          <w:highlight w:val="none"/>
          <w:lang w:eastAsia="zh-CN"/>
        </w:rPr>
        <w:t>期试验</w:t>
      </w:r>
      <w:r>
        <w:rPr>
          <w:rFonts w:hint="eastAsia" w:ascii="微软雅黑" w:hAnsi="微软雅黑"/>
          <w:color w:val="auto"/>
          <w:kern w:val="1"/>
          <w:sz w:val="21"/>
          <w:szCs w:val="21"/>
          <w:highlight w:val="none"/>
          <w:lang w:eastAsia="zh-CN"/>
        </w:rPr>
        <w:t>正在招募中</w:t>
      </w:r>
      <w:r>
        <w:rPr>
          <w:rFonts w:hint="eastAsia" w:ascii="微软雅黑" w:hAnsi="微软雅黑"/>
          <w:color w:val="auto"/>
          <w:kern w:val="1"/>
          <w:sz w:val="21"/>
          <w:szCs w:val="21"/>
          <w:highlight w:val="none"/>
          <w:lang w:val="en-US" w:eastAsia="zh-CN"/>
        </w:rPr>
        <w:t>[NCT04965818]</w:t>
      </w:r>
      <w:r>
        <w:rPr>
          <w:rFonts w:hint="eastAsia" w:ascii="微软雅黑" w:hAnsi="微软雅黑"/>
          <w:color w:val="auto"/>
          <w:kern w:val="1"/>
          <w:sz w:val="21"/>
          <w:szCs w:val="21"/>
          <w:highlight w:val="none"/>
          <w:lang w:eastAsia="zh-CN"/>
        </w:rPr>
        <w:t>。</w:t>
      </w:r>
    </w:p>
    <w:p w14:paraId="22D875B9">
      <w:pPr>
        <w:numPr>
          <w:ilvl w:val="0"/>
          <w:numId w:val="13"/>
        </w:numPr>
        <w:spacing w:before="200" w:beforeLines="0" w:afterLines="0"/>
        <w:ind w:left="420" w:leftChars="0" w:hanging="420" w:firstLineChars="0"/>
        <w:jc w:val="both"/>
        <w:rPr>
          <w:rFonts w:hint="eastAsia" w:ascii="微软雅黑" w:hAnsi="微软雅黑" w:eastAsia="微软雅黑" w:cs="微软雅黑"/>
          <w:b/>
          <w:bCs/>
          <w:color w:val="auto"/>
          <w:sz w:val="24"/>
          <w:szCs w:val="24"/>
          <w:highlight w:val="none"/>
          <w:u w:val="none"/>
          <w:lang w:val="en-US" w:eastAsia="zh-CN"/>
        </w:rPr>
      </w:pPr>
      <w:r>
        <w:rPr>
          <w:rFonts w:hint="eastAsia" w:ascii="微软雅黑" w:hAnsi="微软雅黑" w:cs="微软雅黑"/>
          <w:b/>
          <w:bCs/>
          <w:color w:val="0000FF"/>
          <w:kern w:val="0"/>
          <w:sz w:val="24"/>
          <w:szCs w:val="24"/>
          <w:highlight w:val="none"/>
          <w:u w:val="single"/>
          <w:lang w:eastAsia="zh-CN"/>
        </w:rPr>
        <w:fldChar w:fldCharType="begin"/>
      </w:r>
      <w:r>
        <w:rPr>
          <w:rFonts w:hint="eastAsia" w:ascii="微软雅黑" w:hAnsi="微软雅黑" w:cs="微软雅黑"/>
          <w:b/>
          <w:bCs/>
          <w:color w:val="0000FF"/>
          <w:kern w:val="0"/>
          <w:sz w:val="24"/>
          <w:szCs w:val="24"/>
          <w:highlight w:val="none"/>
          <w:u w:val="single"/>
          <w:lang w:eastAsia="zh-CN"/>
        </w:rPr>
        <w:instrText xml:space="preserve"> HYPERLINK \l "重要基因变异及潜在靶向药物信息" </w:instrText>
      </w:r>
      <w:r>
        <w:rPr>
          <w:rFonts w:hint="eastAsia" w:ascii="微软雅黑" w:hAnsi="微软雅黑" w:cs="微软雅黑"/>
          <w:b/>
          <w:bCs/>
          <w:color w:val="0000FF"/>
          <w:kern w:val="0"/>
          <w:sz w:val="24"/>
          <w:szCs w:val="24"/>
          <w:highlight w:val="none"/>
          <w:u w:val="single"/>
          <w:lang w:eastAsia="zh-CN"/>
        </w:rPr>
        <w:fldChar w:fldCharType="separate"/>
      </w:r>
      <w:r>
        <w:rPr>
          <w:rStyle w:val="21"/>
          <w:rFonts w:hint="eastAsia" w:ascii="微软雅黑" w:hAnsi="微软雅黑" w:cs="微软雅黑"/>
          <w:b/>
          <w:bCs/>
          <w:color w:val="0000FF"/>
          <w:kern w:val="0"/>
          <w:sz w:val="24"/>
          <w:szCs w:val="24"/>
          <w:highlight w:val="none"/>
          <w:u w:val="single"/>
          <w:lang w:eastAsia="zh-CN"/>
        </w:rPr>
        <w:t>司美替尼（Selumetinib）、PD0325901</w:t>
      </w:r>
      <w:r>
        <w:rPr>
          <w:rFonts w:hint="eastAsia" w:ascii="微软雅黑" w:hAnsi="微软雅黑" w:cs="微软雅黑"/>
          <w:b/>
          <w:bCs/>
          <w:color w:val="0000FF"/>
          <w:kern w:val="0"/>
          <w:sz w:val="24"/>
          <w:szCs w:val="24"/>
          <w:highlight w:val="none"/>
          <w:u w:val="single"/>
          <w:lang w:eastAsia="zh-CN"/>
        </w:rPr>
        <w:fldChar w:fldCharType="end"/>
      </w:r>
      <w:r>
        <w:rPr>
          <w:rFonts w:hint="eastAsia" w:ascii="微软雅黑" w:hAnsi="微软雅黑" w:cs="微软雅黑"/>
          <w:b/>
          <w:bCs/>
          <w:color w:val="0000FF"/>
          <w:kern w:val="0"/>
          <w:sz w:val="24"/>
          <w:szCs w:val="24"/>
          <w:highlight w:val="none"/>
          <w:u w:val="single"/>
          <w:lang w:eastAsia="zh-CN"/>
        </w:rPr>
        <w:t>、</w:t>
      </w:r>
      <w:r>
        <w:rPr>
          <w:rStyle w:val="21"/>
          <w:rFonts w:hint="eastAsia" w:ascii="微软雅黑" w:hAnsi="微软雅黑" w:cs="微软雅黑"/>
          <w:b/>
          <w:bCs/>
          <w:color w:val="0000FF"/>
          <w:kern w:val="0"/>
          <w:sz w:val="24"/>
          <w:szCs w:val="24"/>
          <w:highlight w:val="none"/>
          <w:u w:val="single"/>
          <w:lang w:eastAsia="zh-CN"/>
        </w:rPr>
        <w:t>PD0325901</w:t>
      </w:r>
      <w:r>
        <w:rPr>
          <w:rStyle w:val="21"/>
          <w:rFonts w:hint="eastAsia" w:ascii="微软雅黑" w:hAnsi="微软雅黑" w:cs="微软雅黑"/>
          <w:b/>
          <w:bCs/>
          <w:color w:val="0000FF"/>
          <w:kern w:val="0"/>
          <w:sz w:val="24"/>
          <w:szCs w:val="24"/>
          <w:highlight w:val="none"/>
          <w:u w:val="single"/>
          <w:lang w:val="en-US" w:eastAsia="zh-CN"/>
        </w:rPr>
        <w:t>+哌柏西利</w:t>
      </w:r>
      <w:r>
        <w:rPr>
          <w:rStyle w:val="21"/>
          <w:rFonts w:hint="eastAsia" w:ascii="微软雅黑" w:hAnsi="微软雅黑" w:cs="微软雅黑"/>
          <w:b/>
          <w:bCs/>
          <w:color w:val="0000FF"/>
          <w:kern w:val="0"/>
          <w:sz w:val="24"/>
          <w:szCs w:val="24"/>
          <w:highlight w:val="none"/>
          <w:u w:val="single"/>
          <w:lang w:eastAsia="zh-CN"/>
        </w:rPr>
        <w:t>（</w:t>
      </w:r>
      <w:r>
        <w:rPr>
          <w:rStyle w:val="21"/>
          <w:rFonts w:hint="eastAsia" w:ascii="微软雅黑" w:hAnsi="微软雅黑" w:cs="微软雅黑"/>
          <w:b/>
          <w:bCs/>
          <w:color w:val="0000FF"/>
          <w:kern w:val="0"/>
          <w:sz w:val="24"/>
          <w:szCs w:val="24"/>
          <w:highlight w:val="none"/>
          <w:u w:val="single"/>
          <w:lang w:val="en-US" w:eastAsia="zh-CN"/>
        </w:rPr>
        <w:t>Palbociclib</w:t>
      </w:r>
      <w:r>
        <w:rPr>
          <w:rStyle w:val="21"/>
          <w:rFonts w:hint="eastAsia" w:ascii="微软雅黑" w:hAnsi="微软雅黑" w:cs="微软雅黑"/>
          <w:b/>
          <w:bCs/>
          <w:color w:val="0000FF"/>
          <w:kern w:val="0"/>
          <w:sz w:val="24"/>
          <w:szCs w:val="24"/>
          <w:highlight w:val="none"/>
          <w:u w:val="single"/>
          <w:lang w:eastAsia="zh-CN"/>
        </w:rPr>
        <w:t>）</w:t>
      </w:r>
    </w:p>
    <w:p w14:paraId="5674B73E">
      <w:pPr>
        <w:spacing w:after="0"/>
        <w:jc w:val="both"/>
        <w:rPr>
          <w:rFonts w:hint="eastAsia"/>
          <w:b/>
          <w:bCs/>
          <w:kern w:val="2"/>
          <w:highlight w:val="none"/>
          <w:lang w:eastAsia="zh-CN"/>
        </w:rPr>
      </w:pPr>
      <w:r>
        <w:rPr>
          <w:rFonts w:hint="eastAsia"/>
          <w:b/>
          <w:bCs/>
          <w:kern w:val="2"/>
          <w:highlight w:val="none"/>
          <w:lang w:eastAsia="zh-CN"/>
        </w:rPr>
        <w:t>基因变异与药物关联分析：</w:t>
      </w:r>
    </w:p>
    <w:p w14:paraId="489EA61D">
      <w:pPr>
        <w:spacing w:after="0"/>
        <w:ind w:firstLine="420" w:firstLineChars="200"/>
        <w:jc w:val="both"/>
        <w:outlineLvl w:val="9"/>
        <w:rPr>
          <w:rFonts w:hint="eastAsia" w:ascii="微软雅黑" w:hAnsi="微软雅黑"/>
          <w:color w:val="auto"/>
          <w:kern w:val="1"/>
          <w:sz w:val="21"/>
          <w:szCs w:val="21"/>
          <w:highlight w:val="none"/>
          <w:lang w:eastAsia="zh-CN"/>
        </w:rPr>
      </w:pPr>
      <w:r>
        <w:rPr>
          <w:rFonts w:hint="eastAsia" w:ascii="微软雅黑" w:hAnsi="微软雅黑" w:eastAsia="微软雅黑" w:cs="Arial Unicode MS"/>
          <w:color w:val="auto"/>
          <w:kern w:val="2"/>
          <w:sz w:val="21"/>
          <w:szCs w:val="21"/>
          <w:highlight w:val="none"/>
          <w:lang w:val="en-US" w:eastAsia="zh-CN"/>
        </w:rPr>
        <w:t>该样本检出KRAS基因</w:t>
      </w:r>
      <w:r>
        <w:rPr>
          <w:rFonts w:hint="eastAsia" w:ascii="微软雅黑" w:hAnsi="微软雅黑" w:cs="微软雅黑"/>
          <w:sz w:val="21"/>
          <w:lang w:eastAsia="zh-CN"/>
        </w:rPr>
        <w:t>c.34G&gt;A</w:t>
      </w:r>
      <w:r>
        <w:rPr>
          <w:rFonts w:hint="eastAsia" w:ascii="微软雅黑" w:hAnsi="微软雅黑" w:cs="微软雅黑"/>
          <w:sz w:val="21"/>
        </w:rPr>
        <w:t>，</w:t>
      </w:r>
      <w:r>
        <w:rPr>
          <w:rFonts w:hint="eastAsia" w:ascii="微软雅黑" w:hAnsi="微软雅黑" w:cs="微软雅黑"/>
          <w:sz w:val="21"/>
          <w:lang w:eastAsia="zh-CN"/>
        </w:rPr>
        <w:t>p.G12S</w:t>
      </w:r>
      <w:r>
        <w:rPr>
          <w:rFonts w:hint="eastAsia" w:ascii="微软雅黑" w:hAnsi="微软雅黑" w:eastAsia="微软雅黑" w:cs="Arial Unicode MS"/>
          <w:color w:val="auto"/>
          <w:kern w:val="2"/>
          <w:sz w:val="21"/>
          <w:szCs w:val="21"/>
          <w:highlight w:val="none"/>
          <w:lang w:val="en-US" w:eastAsia="zh-CN"/>
        </w:rPr>
        <w:t>错义突变，为已知激活突变，对蛋白功能有重要影响。</w:t>
      </w:r>
      <w:r>
        <w:rPr>
          <w:rFonts w:hint="eastAsia" w:ascii="微软雅黑" w:hAnsi="微软雅黑" w:cs="Arial Unicode MS"/>
          <w:b w:val="0"/>
          <w:bCs/>
          <w:color w:val="auto"/>
          <w:kern w:val="2"/>
          <w:sz w:val="21"/>
          <w:szCs w:val="21"/>
          <w:highlight w:val="none"/>
          <w:lang w:eastAsia="zh-CN"/>
        </w:rPr>
        <w:t>携带该突变的肿瘤患者可能从RAS/RAF</w:t>
      </w:r>
      <w:r>
        <w:rPr>
          <w:rFonts w:hint="eastAsia" w:ascii="微软雅黑" w:hAnsi="微软雅黑"/>
          <w:color w:val="auto"/>
          <w:kern w:val="1"/>
          <w:sz w:val="21"/>
          <w:szCs w:val="21"/>
          <w:highlight w:val="none"/>
        </w:rPr>
        <w:t>/MEK/ERK信号通路</w:t>
      </w:r>
      <w:r>
        <w:rPr>
          <w:rFonts w:hint="eastAsia" w:ascii="微软雅黑" w:hAnsi="微软雅黑"/>
          <w:color w:val="auto"/>
          <w:kern w:val="1"/>
          <w:sz w:val="21"/>
          <w:szCs w:val="21"/>
          <w:highlight w:val="none"/>
          <w:lang w:eastAsia="zh-CN"/>
        </w:rPr>
        <w:t>的</w:t>
      </w:r>
      <w:r>
        <w:rPr>
          <w:rFonts w:hint="eastAsia" w:ascii="微软雅黑" w:hAnsi="微软雅黑"/>
          <w:color w:val="auto"/>
          <w:kern w:val="1"/>
          <w:sz w:val="21"/>
          <w:szCs w:val="21"/>
          <w:highlight w:val="none"/>
        </w:rPr>
        <w:t>下游MEK1/2激酶</w:t>
      </w:r>
      <w:r>
        <w:rPr>
          <w:rFonts w:hint="eastAsia" w:ascii="微软雅黑" w:hAnsi="微软雅黑"/>
          <w:color w:val="auto"/>
          <w:kern w:val="1"/>
          <w:sz w:val="21"/>
          <w:szCs w:val="21"/>
          <w:highlight w:val="none"/>
          <w:lang w:eastAsia="zh-CN"/>
        </w:rPr>
        <w:t>抑制剂获益。</w:t>
      </w:r>
      <w:r>
        <w:rPr>
          <w:rFonts w:hint="eastAsia" w:ascii="微软雅黑" w:hAnsi="微软雅黑"/>
          <w:color w:val="auto"/>
          <w:kern w:val="1"/>
          <w:sz w:val="21"/>
          <w:szCs w:val="21"/>
          <w:highlight w:val="none"/>
        </w:rPr>
        <w:t>司美替尼是一种小分子抑制剂，可抑制</w:t>
      </w:r>
      <w:r>
        <w:rPr>
          <w:rFonts w:hint="eastAsia" w:ascii="微软雅黑" w:hAnsi="微软雅黑"/>
          <w:color w:val="auto"/>
          <w:kern w:val="1"/>
          <w:sz w:val="21"/>
          <w:szCs w:val="21"/>
          <w:highlight w:val="none"/>
          <w:lang w:val="en-US" w:eastAsia="zh-CN"/>
        </w:rPr>
        <w:t>KRAS/NRAS/BRAF</w:t>
      </w:r>
      <w:r>
        <w:rPr>
          <w:rFonts w:hint="eastAsia" w:ascii="微软雅黑" w:hAnsi="微软雅黑"/>
          <w:color w:val="auto"/>
          <w:kern w:val="1"/>
          <w:sz w:val="21"/>
          <w:szCs w:val="21"/>
          <w:highlight w:val="none"/>
        </w:rPr>
        <w:t>信号通路下游MEK1/2的激酶活性，对携带</w:t>
      </w:r>
      <w:r>
        <w:rPr>
          <w:rFonts w:hint="eastAsia" w:ascii="微软雅黑" w:hAnsi="微软雅黑"/>
          <w:color w:val="auto"/>
          <w:kern w:val="1"/>
          <w:sz w:val="21"/>
          <w:szCs w:val="21"/>
          <w:highlight w:val="none"/>
          <w:lang w:val="en-US" w:eastAsia="zh-CN"/>
        </w:rPr>
        <w:t>KRAS/NRAS/BRAF</w:t>
      </w:r>
      <w:r>
        <w:rPr>
          <w:rFonts w:hint="eastAsia" w:ascii="微软雅黑" w:hAnsi="微软雅黑"/>
          <w:color w:val="auto"/>
          <w:kern w:val="1"/>
          <w:sz w:val="21"/>
          <w:szCs w:val="21"/>
          <w:highlight w:val="none"/>
        </w:rPr>
        <w:t>信号通路异常激活的肿瘤特别有效。</w:t>
      </w:r>
      <w:r>
        <w:rPr>
          <w:rFonts w:hint="eastAsia" w:ascii="微软雅黑" w:hAnsi="微软雅黑"/>
          <w:color w:val="auto"/>
          <w:kern w:val="1"/>
          <w:sz w:val="21"/>
          <w:szCs w:val="21"/>
          <w:highlight w:val="none"/>
          <w:lang w:val="en-US" w:eastAsia="zh-CN"/>
        </w:rPr>
        <w:t>FDA和NMPA批准司美替尼用于治疗1型神经纤维瘤。</w:t>
      </w:r>
      <w:r>
        <w:rPr>
          <w:rFonts w:hint="eastAsia" w:ascii="微软雅黑" w:hAnsi="微软雅黑"/>
          <w:color w:val="auto"/>
          <w:kern w:val="1"/>
          <w:sz w:val="21"/>
          <w:szCs w:val="21"/>
          <w:highlight w:val="none"/>
          <w:lang w:eastAsia="zh-CN"/>
        </w:rPr>
        <w:t>哌柏西利是一种</w:t>
      </w:r>
      <w:r>
        <w:rPr>
          <w:rFonts w:hint="eastAsia" w:ascii="微软雅黑" w:hAnsi="微软雅黑"/>
          <w:color w:val="auto"/>
          <w:kern w:val="1"/>
          <w:sz w:val="21"/>
          <w:szCs w:val="21"/>
          <w:highlight w:val="none"/>
          <w:lang w:val="en-US" w:eastAsia="zh-CN"/>
        </w:rPr>
        <w:t>CDK4/6抑制剂，已获FDA和NMPA批准用于治疗乳腺癌。</w:t>
      </w:r>
      <w:r>
        <w:rPr>
          <w:rFonts w:hint="eastAsia" w:ascii="微软雅黑" w:hAnsi="微软雅黑"/>
          <w:color w:val="auto"/>
          <w:kern w:val="1"/>
          <w:sz w:val="21"/>
          <w:szCs w:val="21"/>
          <w:highlight w:val="none"/>
        </w:rPr>
        <w:t>PD0325901是MEK1/2的抑制剂，正在开展临床试验。</w:t>
      </w:r>
    </w:p>
    <w:p w14:paraId="0643E36C">
      <w:pPr>
        <w:spacing w:after="0"/>
        <w:ind w:firstLine="0" w:firstLineChars="0"/>
        <w:jc w:val="both"/>
        <w:outlineLvl w:val="9"/>
        <w:rPr>
          <w:rFonts w:hint="eastAsia" w:ascii="微软雅黑" w:hAnsi="微软雅黑"/>
          <w:color w:val="auto"/>
          <w:kern w:val="1"/>
          <w:sz w:val="21"/>
          <w:szCs w:val="21"/>
          <w:highlight w:val="none"/>
        </w:rPr>
      </w:pPr>
      <w:r>
        <w:rPr>
          <w:rFonts w:hint="eastAsia"/>
          <w:b/>
          <w:bCs/>
          <w:kern w:val="2"/>
          <w:highlight w:val="none"/>
          <w:lang w:eastAsia="zh-CN"/>
        </w:rPr>
        <w:t>药物疗效临床解析：</w:t>
      </w:r>
    </w:p>
    <w:p w14:paraId="43E636DA">
      <w:pPr>
        <w:keepNext w:val="0"/>
        <w:keepLines w:val="0"/>
        <w:pageBreakBefore w:val="0"/>
        <w:widowControl/>
        <w:numPr>
          <w:ilvl w:val="0"/>
          <w:numId w:val="0"/>
        </w:numPr>
        <w:kinsoku/>
        <w:wordWrap/>
        <w:overflowPunct/>
        <w:topLinePunct w:val="0"/>
        <w:autoSpaceDE/>
        <w:autoSpaceDN/>
        <w:bidi w:val="0"/>
        <w:adjustRightInd w:val="0"/>
        <w:snapToGrid w:val="0"/>
        <w:spacing w:before="0" w:after="0" w:line="240" w:lineRule="auto"/>
        <w:ind w:left="0" w:leftChars="0" w:right="0" w:rightChars="0" w:firstLine="420" w:firstLineChars="200"/>
        <w:jc w:val="both"/>
        <w:textAlignment w:val="auto"/>
        <w:outlineLvl w:val="9"/>
        <w:rPr>
          <w:rFonts w:hint="eastAsia" w:ascii="微软雅黑" w:hAnsi="微软雅黑"/>
          <w:color w:val="auto"/>
          <w:kern w:val="1"/>
          <w:sz w:val="21"/>
          <w:szCs w:val="21"/>
          <w:highlight w:val="none"/>
          <w:lang w:eastAsia="zh-CN"/>
        </w:rPr>
      </w:pPr>
      <w:r>
        <w:rPr>
          <w:rFonts w:hint="eastAsia" w:ascii="微软雅黑" w:hAnsi="微软雅黑"/>
          <w:color w:val="auto"/>
          <w:kern w:val="1"/>
          <w:sz w:val="21"/>
          <w:szCs w:val="21"/>
          <w:highlight w:val="none"/>
          <w:lang w:eastAsia="zh-CN"/>
        </w:rPr>
        <w:t>有实验研究表明，司美替尼对于KRAS突变阳性的直肠癌细胞系生长有明显的抑制作用，而对于KARS野生型的直肠癌细胞系生长无明显的抑制作用</w:t>
      </w:r>
      <w:r>
        <w:rPr>
          <w:rFonts w:hint="eastAsia" w:ascii="微软雅黑" w:hAnsi="微软雅黑"/>
          <w:color w:val="auto"/>
          <w:kern w:val="1"/>
          <w:sz w:val="21"/>
          <w:szCs w:val="21"/>
          <w:highlight w:val="none"/>
          <w:lang w:val="en-US" w:eastAsia="zh-CN"/>
        </w:rPr>
        <w:t>[</w:t>
      </w:r>
      <w:r>
        <w:rPr>
          <w:rFonts w:hint="eastAsia" w:ascii="微软雅黑" w:hAnsi="微软雅黑"/>
          <w:color w:val="auto"/>
          <w:kern w:val="1"/>
          <w:sz w:val="21"/>
          <w:szCs w:val="21"/>
          <w:highlight w:val="none"/>
          <w:lang w:eastAsia="zh-CN"/>
        </w:rPr>
        <w:t>24170544</w:t>
      </w:r>
      <w:r>
        <w:rPr>
          <w:rFonts w:hint="eastAsia" w:ascii="微软雅黑" w:hAnsi="微软雅黑"/>
          <w:color w:val="auto"/>
          <w:kern w:val="1"/>
          <w:sz w:val="21"/>
          <w:szCs w:val="21"/>
          <w:highlight w:val="none"/>
          <w:lang w:val="en-US" w:eastAsia="zh-CN"/>
        </w:rPr>
        <w:t>]</w:t>
      </w:r>
      <w:r>
        <w:rPr>
          <w:rFonts w:hint="eastAsia" w:ascii="微软雅黑" w:hAnsi="微软雅黑"/>
          <w:color w:val="auto"/>
          <w:kern w:val="1"/>
          <w:sz w:val="21"/>
          <w:szCs w:val="21"/>
          <w:highlight w:val="none"/>
          <w:lang w:eastAsia="zh-CN"/>
        </w:rPr>
        <w:t>。在KRAS突变的</w:t>
      </w:r>
      <w:r>
        <w:rPr>
          <w:rFonts w:hint="eastAsia" w:ascii="微软雅黑" w:hAnsi="微软雅黑"/>
          <w:color w:val="auto"/>
          <w:kern w:val="1"/>
          <w:sz w:val="21"/>
          <w:szCs w:val="21"/>
          <w:highlight w:val="none"/>
          <w:lang w:val="en-US" w:eastAsia="zh-CN"/>
        </w:rPr>
        <w:t>结直肠癌</w:t>
      </w:r>
      <w:r>
        <w:rPr>
          <w:rFonts w:hint="eastAsia" w:ascii="微软雅黑" w:hAnsi="微软雅黑"/>
          <w:color w:val="auto"/>
          <w:kern w:val="1"/>
          <w:sz w:val="21"/>
          <w:szCs w:val="21"/>
          <w:highlight w:val="none"/>
          <w:lang w:eastAsia="zh-CN"/>
        </w:rPr>
        <w:t>剂量扩增队列的I期</w:t>
      </w:r>
      <w:r>
        <w:rPr>
          <w:rFonts w:hint="eastAsia" w:ascii="微软雅黑" w:hAnsi="微软雅黑"/>
          <w:color w:val="auto"/>
          <w:kern w:val="1"/>
          <w:sz w:val="21"/>
          <w:szCs w:val="21"/>
          <w:highlight w:val="none"/>
          <w:lang w:val="en-US" w:eastAsia="zh-CN"/>
        </w:rPr>
        <w:t>临床试验</w:t>
      </w:r>
      <w:r>
        <w:rPr>
          <w:rFonts w:hint="eastAsia" w:ascii="微软雅黑" w:hAnsi="微软雅黑"/>
          <w:color w:val="auto"/>
          <w:kern w:val="1"/>
          <w:sz w:val="21"/>
          <w:szCs w:val="21"/>
          <w:highlight w:val="none"/>
          <w:lang w:eastAsia="zh-CN"/>
        </w:rPr>
        <w:t>中，司美替尼最大耐受剂量为75mg p.o.BID联合每周西妥昔单抗250mg/m2，后期400mg/m2 剂量。14 例患者响应，5例患者SD，9例疾病进展[26666244]。一项临床</w:t>
      </w:r>
      <w:r>
        <w:rPr>
          <w:rFonts w:hint="eastAsia" w:ascii="微软雅黑" w:hAnsi="微软雅黑"/>
          <w:color w:val="auto"/>
          <w:kern w:val="1"/>
          <w:sz w:val="21"/>
          <w:szCs w:val="21"/>
          <w:highlight w:val="none"/>
          <w:lang w:val="en-US" w:eastAsia="zh-CN"/>
        </w:rPr>
        <w:t>I/II</w:t>
      </w:r>
      <w:r>
        <w:rPr>
          <w:rFonts w:hint="eastAsia" w:ascii="微软雅黑" w:hAnsi="微软雅黑"/>
          <w:color w:val="auto"/>
          <w:kern w:val="1"/>
          <w:sz w:val="21"/>
          <w:szCs w:val="21"/>
          <w:highlight w:val="none"/>
          <w:lang w:eastAsia="zh-CN"/>
        </w:rPr>
        <w:t>期试验，32位携带KRAS突变的结直肠癌患者接受奥沙利铂和贝伐珠单抗的治疗后接受司美替尼和伊立替康的联合治疗。在临床I期试验中，确定了最佳剂量。有</w:t>
      </w:r>
      <w:r>
        <w:rPr>
          <w:rFonts w:hint="eastAsia" w:ascii="微软雅黑" w:hAnsi="微软雅黑"/>
          <w:color w:val="auto"/>
          <w:kern w:val="1"/>
          <w:sz w:val="21"/>
          <w:szCs w:val="21"/>
          <w:highlight w:val="none"/>
          <w:lang w:val="en-US" w:eastAsia="zh-CN"/>
        </w:rPr>
        <w:t>3</w:t>
      </w:r>
      <w:r>
        <w:rPr>
          <w:rFonts w:hint="eastAsia" w:ascii="微软雅黑" w:hAnsi="微软雅黑"/>
          <w:color w:val="auto"/>
          <w:kern w:val="1"/>
          <w:sz w:val="21"/>
          <w:szCs w:val="21"/>
          <w:highlight w:val="none"/>
          <w:lang w:eastAsia="zh-CN"/>
        </w:rPr>
        <w:t>位患者（9.7%）具有部分应答，16位患者（51.6%）疾病稳定时间≥4周，其中3位超过一年。该临床试验提前终止，即便如此，试验结果中的中位无进展生存期和响应率良好，表明MEK抑制剂与其它靶向药物或细胞毒性药物的联合应用能提高对转移性结直肠癌患者治疗的临床意义</w:t>
      </w:r>
      <w:r>
        <w:rPr>
          <w:rFonts w:hint="eastAsia" w:ascii="微软雅黑" w:hAnsi="微软雅黑"/>
          <w:color w:val="auto"/>
          <w:kern w:val="1"/>
          <w:sz w:val="21"/>
          <w:szCs w:val="21"/>
          <w:highlight w:val="none"/>
          <w:lang w:val="en-US" w:eastAsia="zh-CN"/>
        </w:rPr>
        <w:t>[</w:t>
      </w:r>
      <w:r>
        <w:rPr>
          <w:rFonts w:hint="eastAsia" w:ascii="微软雅黑" w:hAnsi="微软雅黑"/>
          <w:color w:val="auto"/>
          <w:kern w:val="1"/>
          <w:sz w:val="21"/>
          <w:szCs w:val="21"/>
          <w:highlight w:val="none"/>
          <w:lang w:eastAsia="zh-CN"/>
        </w:rPr>
        <w:t>25322874</w:t>
      </w:r>
      <w:r>
        <w:rPr>
          <w:rFonts w:hint="eastAsia" w:ascii="微软雅黑" w:hAnsi="微软雅黑"/>
          <w:color w:val="auto"/>
          <w:kern w:val="1"/>
          <w:sz w:val="21"/>
          <w:szCs w:val="21"/>
          <w:highlight w:val="none"/>
          <w:lang w:val="en-US" w:eastAsia="zh-CN"/>
        </w:rPr>
        <w:t>]</w:t>
      </w:r>
      <w:r>
        <w:rPr>
          <w:rFonts w:hint="eastAsia" w:ascii="微软雅黑" w:hAnsi="微软雅黑"/>
          <w:color w:val="auto"/>
          <w:kern w:val="1"/>
          <w:sz w:val="21"/>
          <w:szCs w:val="21"/>
          <w:highlight w:val="none"/>
          <w:lang w:eastAsia="zh-CN"/>
        </w:rPr>
        <w:t>。</w:t>
      </w:r>
    </w:p>
    <w:p w14:paraId="717DC756">
      <w:pPr>
        <w:keepNext w:val="0"/>
        <w:keepLines w:val="0"/>
        <w:pageBreakBefore w:val="0"/>
        <w:widowControl/>
        <w:kinsoku/>
        <w:wordWrap/>
        <w:overflowPunct/>
        <w:topLinePunct w:val="0"/>
        <w:autoSpaceDE/>
        <w:autoSpaceDN/>
        <w:bidi w:val="0"/>
        <w:adjustRightInd w:val="0"/>
        <w:snapToGrid w:val="0"/>
        <w:spacing w:before="0" w:beforeLines="-2147483648" w:after="0" w:afterLines="-2147483648"/>
        <w:ind w:firstLine="420" w:firstLineChars="200"/>
        <w:jc w:val="both"/>
        <w:textAlignment w:val="auto"/>
        <w:outlineLvl w:val="9"/>
        <w:rPr>
          <w:rFonts w:hint="eastAsia" w:ascii="微软雅黑" w:hAnsi="微软雅黑" w:eastAsia="微软雅黑" w:cs="Arial Unicode MS"/>
          <w:kern w:val="2"/>
          <w:sz w:val="21"/>
          <w:szCs w:val="21"/>
          <w:highlight w:val="none"/>
          <w:lang w:val="en-US" w:eastAsia="zh-CN"/>
        </w:rPr>
      </w:pPr>
      <w:r>
        <w:rPr>
          <w:rFonts w:hint="eastAsia" w:ascii="微软雅黑" w:hAnsi="微软雅黑"/>
          <w:color w:val="auto"/>
          <w:kern w:val="1"/>
          <w:sz w:val="21"/>
          <w:szCs w:val="21"/>
          <w:highlight w:val="none"/>
          <w:lang w:eastAsia="zh-CN"/>
        </w:rPr>
        <w:t>体外研究显示，具有KRAS突变的细胞系对PD0325901敏感</w:t>
      </w:r>
      <w:r>
        <w:rPr>
          <w:rFonts w:hint="eastAsia" w:ascii="微软雅黑" w:hAnsi="微软雅黑"/>
          <w:color w:val="auto"/>
          <w:kern w:val="1"/>
          <w:sz w:val="21"/>
          <w:szCs w:val="21"/>
          <w:highlight w:val="none"/>
          <w:lang w:val="en-US" w:eastAsia="zh-CN"/>
        </w:rPr>
        <w:t>[</w:t>
      </w:r>
      <w:r>
        <w:rPr>
          <w:rFonts w:hint="eastAsia" w:ascii="微软雅黑" w:hAnsi="微软雅黑"/>
          <w:color w:val="auto"/>
          <w:kern w:val="1"/>
          <w:sz w:val="21"/>
          <w:szCs w:val="21"/>
          <w:highlight w:val="none"/>
          <w:lang w:eastAsia="zh-CN"/>
        </w:rPr>
        <w:t>19401449</w:t>
      </w:r>
      <w:r>
        <w:rPr>
          <w:rFonts w:hint="eastAsia" w:ascii="微软雅黑" w:hAnsi="微软雅黑"/>
          <w:color w:val="auto"/>
          <w:kern w:val="1"/>
          <w:sz w:val="21"/>
          <w:szCs w:val="21"/>
          <w:highlight w:val="none"/>
          <w:lang w:val="en-US" w:eastAsia="zh-CN"/>
        </w:rPr>
        <w:t>，</w:t>
      </w:r>
      <w:r>
        <w:rPr>
          <w:rFonts w:hint="eastAsia" w:ascii="微软雅黑" w:hAnsi="微软雅黑"/>
          <w:color w:val="auto"/>
          <w:kern w:val="1"/>
          <w:sz w:val="21"/>
          <w:szCs w:val="21"/>
          <w:highlight w:val="none"/>
          <w:lang w:eastAsia="zh-CN"/>
        </w:rPr>
        <w:t>21451123</w:t>
      </w:r>
      <w:r>
        <w:rPr>
          <w:rFonts w:hint="eastAsia" w:ascii="微软雅黑" w:hAnsi="微软雅黑"/>
          <w:color w:val="auto"/>
          <w:kern w:val="1"/>
          <w:sz w:val="21"/>
          <w:szCs w:val="21"/>
          <w:highlight w:val="none"/>
          <w:lang w:val="en-US" w:eastAsia="zh-CN"/>
        </w:rPr>
        <w:t>]</w:t>
      </w:r>
      <w:r>
        <w:rPr>
          <w:rFonts w:hint="eastAsia" w:ascii="微软雅黑" w:hAnsi="微软雅黑"/>
          <w:color w:val="auto"/>
          <w:kern w:val="1"/>
          <w:sz w:val="21"/>
          <w:szCs w:val="21"/>
          <w:highlight w:val="none"/>
          <w:lang w:eastAsia="zh-CN"/>
        </w:rPr>
        <w:t>。另有结直肠癌小鼠模型研究显示，NVP-BKM120联合PD-0325901可诱导PIK3CA野生型KRAS突变的肿瘤退缩</w:t>
      </w:r>
      <w:r>
        <w:rPr>
          <w:rFonts w:hint="eastAsia" w:ascii="微软雅黑" w:hAnsi="微软雅黑"/>
          <w:color w:val="auto"/>
          <w:kern w:val="1"/>
          <w:sz w:val="21"/>
          <w:szCs w:val="21"/>
          <w:highlight w:val="none"/>
          <w:lang w:val="en-US" w:eastAsia="zh-CN"/>
        </w:rPr>
        <w:t>[</w:t>
      </w:r>
      <w:r>
        <w:rPr>
          <w:rFonts w:hint="eastAsia" w:ascii="微软雅黑" w:hAnsi="微软雅黑"/>
          <w:color w:val="auto"/>
          <w:kern w:val="1"/>
          <w:sz w:val="21"/>
          <w:szCs w:val="21"/>
          <w:highlight w:val="none"/>
          <w:lang w:eastAsia="zh-CN"/>
        </w:rPr>
        <w:t>24576621</w:t>
      </w:r>
      <w:r>
        <w:rPr>
          <w:rFonts w:hint="eastAsia" w:ascii="微软雅黑" w:hAnsi="微软雅黑"/>
          <w:color w:val="auto"/>
          <w:kern w:val="1"/>
          <w:sz w:val="21"/>
          <w:szCs w:val="21"/>
          <w:highlight w:val="none"/>
          <w:lang w:val="en-US" w:eastAsia="zh-CN"/>
        </w:rPr>
        <w:t>]</w:t>
      </w:r>
      <w:r>
        <w:rPr>
          <w:rFonts w:hint="eastAsia" w:ascii="微软雅黑" w:hAnsi="微软雅黑"/>
          <w:color w:val="auto"/>
          <w:kern w:val="1"/>
          <w:sz w:val="21"/>
          <w:szCs w:val="21"/>
          <w:highlight w:val="none"/>
          <w:lang w:eastAsia="zh-CN"/>
        </w:rPr>
        <w:t>。PD0325901用于实体瘤患者临床Ⅰ期研究显示，在58名可评估的患者中，3名黑色素瘤患者局部缓解，23名患者疾病稳定，包括21名黑色素瘤、2名肺癌</w:t>
      </w:r>
      <w:r>
        <w:rPr>
          <w:rFonts w:hint="eastAsia" w:ascii="微软雅黑" w:hAnsi="微软雅黑"/>
          <w:color w:val="auto"/>
          <w:kern w:val="1"/>
          <w:sz w:val="21"/>
          <w:szCs w:val="21"/>
          <w:highlight w:val="none"/>
          <w:lang w:val="en-US" w:eastAsia="zh-CN"/>
        </w:rPr>
        <w:t>[</w:t>
      </w:r>
      <w:r>
        <w:rPr>
          <w:rFonts w:hint="eastAsia" w:ascii="微软雅黑" w:hAnsi="微软雅黑"/>
          <w:color w:val="auto"/>
          <w:kern w:val="1"/>
          <w:sz w:val="21"/>
          <w:szCs w:val="21"/>
          <w:highlight w:val="none"/>
          <w:lang w:eastAsia="zh-CN"/>
        </w:rPr>
        <w:t>20215549</w:t>
      </w:r>
      <w:r>
        <w:rPr>
          <w:rFonts w:hint="eastAsia" w:ascii="微软雅黑" w:hAnsi="微软雅黑"/>
          <w:color w:val="auto"/>
          <w:kern w:val="1"/>
          <w:sz w:val="21"/>
          <w:szCs w:val="21"/>
          <w:highlight w:val="none"/>
          <w:lang w:val="en-US" w:eastAsia="zh-CN"/>
        </w:rPr>
        <w:t>]</w:t>
      </w:r>
      <w:r>
        <w:rPr>
          <w:rFonts w:hint="eastAsia" w:ascii="微软雅黑" w:hAnsi="微软雅黑"/>
          <w:color w:val="auto"/>
          <w:kern w:val="1"/>
          <w:sz w:val="21"/>
          <w:szCs w:val="21"/>
          <w:highlight w:val="none"/>
          <w:lang w:eastAsia="zh-CN"/>
        </w:rPr>
        <w:t>。</w:t>
      </w:r>
      <w:r>
        <w:rPr>
          <w:rFonts w:hint="eastAsia" w:ascii="微软雅黑" w:hAnsi="微软雅黑"/>
          <w:color w:val="auto"/>
          <w:kern w:val="1"/>
          <w:sz w:val="21"/>
          <w:szCs w:val="21"/>
          <w:highlight w:val="none"/>
          <w:lang w:val="en-US" w:eastAsia="zh-CN"/>
        </w:rPr>
        <w:t>一项I/II期临床试验，旨在评估</w:t>
      </w:r>
      <w:r>
        <w:rPr>
          <w:rFonts w:hint="eastAsia" w:ascii="微软雅黑" w:hAnsi="微软雅黑"/>
          <w:color w:val="auto"/>
          <w:kern w:val="1"/>
          <w:sz w:val="21"/>
          <w:szCs w:val="21"/>
          <w:highlight w:val="none"/>
          <w:lang w:eastAsia="zh-CN"/>
        </w:rPr>
        <w:t>PD0325901</w:t>
      </w:r>
      <w:r>
        <w:rPr>
          <w:rFonts w:hint="eastAsia" w:ascii="微软雅黑" w:hAnsi="微软雅黑"/>
          <w:color w:val="auto"/>
          <w:kern w:val="1"/>
          <w:sz w:val="21"/>
          <w:szCs w:val="21"/>
          <w:highlight w:val="none"/>
          <w:lang w:val="en-US" w:eastAsia="zh-CN"/>
        </w:rPr>
        <w:t>联合哌柏西利用于治疗携带KRAS突变的实体瘤的安全性和有效性，该试验正在进行中，不招募患者[</w:t>
      </w:r>
      <w:r>
        <w:rPr>
          <w:rFonts w:hint="eastAsia" w:ascii="微软雅黑" w:hAnsi="微软雅黑"/>
          <w:color w:val="auto"/>
          <w:kern w:val="1"/>
          <w:sz w:val="21"/>
          <w:szCs w:val="21"/>
          <w:highlight w:val="none"/>
          <w:lang w:eastAsia="zh-CN"/>
        </w:rPr>
        <w:t>NCT02022982</w:t>
      </w:r>
      <w:r>
        <w:rPr>
          <w:rFonts w:hint="eastAsia" w:ascii="微软雅黑" w:hAnsi="微软雅黑"/>
          <w:color w:val="auto"/>
          <w:kern w:val="1"/>
          <w:sz w:val="21"/>
          <w:szCs w:val="21"/>
          <w:highlight w:val="none"/>
          <w:lang w:val="en-US" w:eastAsia="zh-CN"/>
        </w:rPr>
        <w:t>]。</w:t>
      </w:r>
    </w:p>
    <w:p w14:paraId="118D290B">
      <w:pPr>
        <w:keepNext w:val="0"/>
        <w:keepLines w:val="0"/>
        <w:pageBreakBefore w:val="0"/>
        <w:widowControl/>
        <w:numPr>
          <w:ilvl w:val="0"/>
          <w:numId w:val="13"/>
        </w:numPr>
        <w:kinsoku/>
        <w:wordWrap/>
        <w:overflowPunct/>
        <w:topLinePunct w:val="0"/>
        <w:autoSpaceDE/>
        <w:autoSpaceDN/>
        <w:bidi w:val="0"/>
        <w:adjustRightInd w:val="0"/>
        <w:snapToGrid w:val="0"/>
        <w:spacing w:before="200" w:after="200" w:line="240" w:lineRule="auto"/>
        <w:ind w:left="420" w:leftChars="0" w:right="0" w:rightChars="0" w:hanging="420" w:firstLineChars="0"/>
        <w:jc w:val="both"/>
        <w:textAlignment w:val="auto"/>
        <w:outlineLvl w:val="9"/>
        <w:rPr>
          <w:rFonts w:hint="eastAsia" w:ascii="微软雅黑" w:hAnsi="微软雅黑" w:eastAsia="微软雅黑" w:cs="微软雅黑"/>
          <w:b/>
          <w:bCs/>
          <w:color w:val="auto"/>
          <w:sz w:val="24"/>
          <w:szCs w:val="24"/>
          <w:highlight w:val="none"/>
          <w:u w:val="none"/>
          <w:lang w:val="en-US" w:eastAsia="zh-CN"/>
        </w:rPr>
      </w:pPr>
      <w:r>
        <w:rPr>
          <w:rFonts w:hint="eastAsia" w:ascii="微软雅黑" w:hAnsi="微软雅黑" w:eastAsia="微软雅黑" w:cs="微软雅黑"/>
          <w:b/>
          <w:bCs/>
          <w:color w:val="0000FF"/>
          <w:kern w:val="0"/>
          <w:sz w:val="24"/>
          <w:szCs w:val="24"/>
          <w:highlight w:val="none"/>
          <w:u w:val="single"/>
        </w:rPr>
        <w:fldChar w:fldCharType="begin"/>
      </w:r>
      <w:r>
        <w:rPr>
          <w:rFonts w:hint="eastAsia" w:ascii="微软雅黑" w:hAnsi="微软雅黑" w:eastAsia="微软雅黑" w:cs="微软雅黑"/>
          <w:b/>
          <w:bCs/>
          <w:color w:val="0000FF"/>
          <w:kern w:val="0"/>
          <w:sz w:val="24"/>
          <w:szCs w:val="24"/>
          <w:highlight w:val="none"/>
          <w:u w:val="single"/>
        </w:rPr>
        <w:instrText xml:space="preserve"> HYPERLINK \l "重要基因变异及潜在靶向药物信息" </w:instrText>
      </w:r>
      <w:r>
        <w:rPr>
          <w:rFonts w:hint="eastAsia" w:ascii="微软雅黑" w:hAnsi="微软雅黑" w:eastAsia="微软雅黑" w:cs="微软雅黑"/>
          <w:b/>
          <w:bCs/>
          <w:color w:val="0000FF"/>
          <w:kern w:val="0"/>
          <w:sz w:val="24"/>
          <w:szCs w:val="24"/>
          <w:highlight w:val="none"/>
          <w:u w:val="single"/>
        </w:rPr>
        <w:fldChar w:fldCharType="separate"/>
      </w:r>
      <w:r>
        <w:rPr>
          <w:rFonts w:hint="eastAsia" w:ascii="微软雅黑" w:hAnsi="微软雅黑" w:cs="微软雅黑"/>
          <w:b/>
          <w:bCs/>
          <w:color w:val="0000FF"/>
          <w:sz w:val="24"/>
          <w:szCs w:val="24"/>
          <w:highlight w:val="none"/>
          <w:u w:val="single"/>
          <w:lang w:eastAsia="zh-CN"/>
        </w:rPr>
        <w:t>Defactinib+Avutometinib、依维莫司（Everolimus）</w:t>
      </w:r>
      <w:r>
        <w:rPr>
          <w:rFonts w:hint="eastAsia" w:ascii="微软雅黑" w:hAnsi="微软雅黑" w:cs="微软雅黑"/>
          <w:b/>
          <w:bCs/>
          <w:color w:val="0000FF"/>
          <w:sz w:val="24"/>
          <w:szCs w:val="24"/>
          <w:highlight w:val="none"/>
          <w:u w:val="single"/>
          <w:lang w:val="en-US" w:eastAsia="zh-CN"/>
        </w:rPr>
        <w:t>+</w:t>
      </w:r>
      <w:r>
        <w:rPr>
          <w:rFonts w:hint="eastAsia" w:ascii="微软雅黑" w:hAnsi="微软雅黑" w:cs="微软雅黑"/>
          <w:b/>
          <w:bCs/>
          <w:color w:val="0000FF"/>
          <w:sz w:val="24"/>
          <w:szCs w:val="24"/>
          <w:highlight w:val="none"/>
          <w:u w:val="single"/>
          <w:lang w:eastAsia="zh-CN"/>
        </w:rPr>
        <w:t>Avutometinib</w:t>
      </w:r>
      <w:r>
        <w:rPr>
          <w:rFonts w:hint="eastAsia" w:ascii="微软雅黑" w:hAnsi="微软雅黑" w:eastAsia="微软雅黑" w:cs="微软雅黑"/>
          <w:b/>
          <w:bCs/>
          <w:color w:val="0000FF"/>
          <w:kern w:val="0"/>
          <w:sz w:val="24"/>
          <w:szCs w:val="24"/>
          <w:highlight w:val="none"/>
          <w:u w:val="single"/>
        </w:rPr>
        <w:fldChar w:fldCharType="end"/>
      </w:r>
      <w:r>
        <w:rPr>
          <w:rFonts w:hint="eastAsia" w:ascii="微软雅黑" w:hAnsi="微软雅黑" w:cs="微软雅黑"/>
          <w:b/>
          <w:bCs/>
          <w:color w:val="0000FF"/>
          <w:kern w:val="0"/>
          <w:sz w:val="24"/>
          <w:szCs w:val="24"/>
          <w:highlight w:val="none"/>
          <w:u w:val="single"/>
          <w:lang w:eastAsia="zh-CN"/>
        </w:rPr>
        <w:t>、RMC-6236</w:t>
      </w:r>
    </w:p>
    <w:p w14:paraId="4DF2F53F">
      <w:pPr>
        <w:spacing w:beforeLines="0" w:after="0" w:afterLines="0"/>
        <w:jc w:val="both"/>
        <w:outlineLvl w:val="9"/>
        <w:rPr>
          <w:rFonts w:hint="eastAsia"/>
          <w:b/>
          <w:bCs/>
          <w:kern w:val="2"/>
          <w:highlight w:val="none"/>
          <w:lang w:eastAsia="zh-CN"/>
        </w:rPr>
      </w:pPr>
      <w:r>
        <w:rPr>
          <w:rFonts w:hint="eastAsia"/>
          <w:b/>
          <w:bCs/>
          <w:kern w:val="2"/>
          <w:highlight w:val="none"/>
          <w:lang w:eastAsia="zh-CN"/>
        </w:rPr>
        <w:t>基因变异与药物关联分析：</w:t>
      </w:r>
    </w:p>
    <w:p w14:paraId="204CA7FE">
      <w:pPr>
        <w:spacing w:beforeLines="0" w:after="0" w:afterLines="0"/>
        <w:ind w:firstLine="420" w:firstLineChars="200"/>
        <w:jc w:val="both"/>
        <w:outlineLvl w:val="9"/>
        <w:rPr>
          <w:rFonts w:hint="default" w:ascii="微软雅黑" w:hAnsi="微软雅黑"/>
          <w:color w:val="auto"/>
          <w:kern w:val="1"/>
          <w:sz w:val="21"/>
          <w:szCs w:val="21"/>
          <w:highlight w:val="none"/>
          <w:lang w:val="en-US"/>
        </w:rPr>
      </w:pPr>
      <w:r>
        <w:rPr>
          <w:rFonts w:hint="eastAsia" w:ascii="微软雅黑" w:hAnsi="微软雅黑" w:eastAsia="微软雅黑" w:cs="Arial Unicode MS"/>
          <w:color w:val="auto"/>
          <w:kern w:val="2"/>
          <w:sz w:val="21"/>
          <w:szCs w:val="21"/>
          <w:highlight w:val="none"/>
          <w:lang w:val="en-US" w:eastAsia="zh-CN"/>
        </w:rPr>
        <w:t>该样本检出KRAS基因</w:t>
      </w:r>
      <w:r>
        <w:rPr>
          <w:rFonts w:hint="eastAsia" w:ascii="微软雅黑" w:hAnsi="微软雅黑" w:cs="微软雅黑"/>
          <w:sz w:val="21"/>
          <w:lang w:eastAsia="zh-CN"/>
        </w:rPr>
        <w:t>c.34G&gt;A</w:t>
      </w:r>
      <w:r>
        <w:rPr>
          <w:rFonts w:hint="eastAsia" w:ascii="微软雅黑" w:hAnsi="微软雅黑" w:cs="微软雅黑"/>
          <w:sz w:val="21"/>
        </w:rPr>
        <w:t>，</w:t>
      </w:r>
      <w:r>
        <w:rPr>
          <w:rFonts w:hint="eastAsia" w:ascii="微软雅黑" w:hAnsi="微软雅黑" w:cs="微软雅黑"/>
          <w:sz w:val="21"/>
          <w:lang w:eastAsia="zh-CN"/>
        </w:rPr>
        <w:t>p.G12S</w:t>
      </w:r>
      <w:r>
        <w:rPr>
          <w:rFonts w:hint="eastAsia" w:ascii="微软雅黑" w:hAnsi="微软雅黑" w:eastAsia="微软雅黑" w:cs="Arial Unicode MS"/>
          <w:color w:val="auto"/>
          <w:kern w:val="2"/>
          <w:sz w:val="21"/>
          <w:szCs w:val="21"/>
          <w:highlight w:val="none"/>
          <w:lang w:val="en-US" w:eastAsia="zh-CN"/>
        </w:rPr>
        <w:t>错义突变，为已知激活突变，对蛋白功能有重要影响。</w:t>
      </w:r>
      <w:r>
        <w:rPr>
          <w:rFonts w:hint="eastAsia" w:ascii="微软雅黑" w:hAnsi="微软雅黑" w:cs="Arial Unicode MS"/>
          <w:b w:val="0"/>
          <w:bCs/>
          <w:color w:val="auto"/>
          <w:kern w:val="2"/>
          <w:sz w:val="21"/>
          <w:szCs w:val="21"/>
          <w:highlight w:val="none"/>
          <w:lang w:eastAsia="zh-CN"/>
        </w:rPr>
        <w:t>携带该突变的肿瘤患者可能从RAS/RAF</w:t>
      </w:r>
      <w:r>
        <w:rPr>
          <w:rFonts w:hint="eastAsia" w:ascii="微软雅黑" w:hAnsi="微软雅黑"/>
          <w:color w:val="auto"/>
          <w:kern w:val="1"/>
          <w:sz w:val="21"/>
          <w:szCs w:val="21"/>
          <w:highlight w:val="none"/>
        </w:rPr>
        <w:t>/MEK/ERK信号通路</w:t>
      </w:r>
      <w:r>
        <w:rPr>
          <w:rFonts w:hint="eastAsia" w:ascii="微软雅黑" w:hAnsi="微软雅黑"/>
          <w:color w:val="auto"/>
          <w:kern w:val="1"/>
          <w:sz w:val="21"/>
          <w:szCs w:val="21"/>
          <w:highlight w:val="none"/>
          <w:lang w:eastAsia="zh-CN"/>
        </w:rPr>
        <w:t>的</w:t>
      </w:r>
      <w:r>
        <w:rPr>
          <w:rFonts w:hint="eastAsia" w:ascii="微软雅黑" w:hAnsi="微软雅黑"/>
          <w:color w:val="auto"/>
          <w:kern w:val="1"/>
          <w:sz w:val="21"/>
          <w:szCs w:val="21"/>
          <w:highlight w:val="none"/>
        </w:rPr>
        <w:t>下游MEK1/2激酶</w:t>
      </w:r>
      <w:r>
        <w:rPr>
          <w:rFonts w:hint="eastAsia" w:ascii="微软雅黑" w:hAnsi="微软雅黑"/>
          <w:color w:val="auto"/>
          <w:kern w:val="1"/>
          <w:sz w:val="21"/>
          <w:szCs w:val="21"/>
          <w:highlight w:val="none"/>
          <w:lang w:eastAsia="zh-CN"/>
        </w:rPr>
        <w:t>抑制剂获益。</w:t>
      </w:r>
      <w:r>
        <w:rPr>
          <w:rFonts w:hint="eastAsia" w:ascii="微软雅黑" w:hAnsi="微软雅黑" w:cs="Arial Unicode MS"/>
          <w:color w:val="000000" w:themeColor="text1"/>
          <w:kern w:val="2"/>
          <w:sz w:val="21"/>
          <w:szCs w:val="21"/>
          <w14:textFill>
            <w14:solidFill>
              <w14:schemeClr w14:val="tx1"/>
            </w14:solidFill>
          </w14:textFill>
        </w:rPr>
        <w:t>Defactinib是一种FAK抑制剂</w:t>
      </w:r>
      <w:r>
        <w:rPr>
          <w:rFonts w:hint="eastAsia" w:ascii="微软雅黑" w:hAnsi="微软雅黑" w:cs="Arial Unicode MS"/>
          <w:color w:val="000000" w:themeColor="text1"/>
          <w:kern w:val="2"/>
          <w:sz w:val="21"/>
          <w:szCs w:val="21"/>
          <w:lang w:eastAsia="zh-CN"/>
          <w14:textFill>
            <w14:solidFill>
              <w14:schemeClr w14:val="tx1"/>
            </w14:solidFill>
          </w14:textFill>
        </w:rPr>
        <w:t>，Avutometinib</w:t>
      </w:r>
      <w:r>
        <w:rPr>
          <w:rFonts w:hint="eastAsia" w:ascii="微软雅黑" w:hAnsi="微软雅黑" w:cs="Arial Unicode MS"/>
          <w:color w:val="000000" w:themeColor="text1"/>
          <w:kern w:val="2"/>
          <w:sz w:val="21"/>
          <w:szCs w:val="21"/>
          <w14:textFill>
            <w14:solidFill>
              <w14:schemeClr w14:val="tx1"/>
            </w14:solidFill>
          </w14:textFill>
        </w:rPr>
        <w:t>又称RO5126766，是一种新型MEK-pan-RAF抑制剂，</w:t>
      </w:r>
      <w:r>
        <w:rPr>
          <w:rFonts w:hint="eastAsia" w:ascii="微软雅黑" w:hAnsi="微软雅黑" w:cs="Times New Roman"/>
          <w:b w:val="0"/>
          <w:bCs w:val="0"/>
          <w:color w:val="auto"/>
          <w:kern w:val="2"/>
          <w:sz w:val="21"/>
          <w:szCs w:val="21"/>
          <w:highlight w:val="none"/>
          <w:lang w:val="en-US" w:eastAsia="zh-CN"/>
        </w:rPr>
        <w:t>FDA加速批准了Avutometinib联合Defactinib用于治疗既往接受过系统治疗的KRAS突变的复发性低级别浆液性卵巢癌（LGSOC）成人患者。</w:t>
      </w:r>
      <w:r>
        <w:rPr>
          <w:rFonts w:hint="eastAsia" w:ascii="微软雅黑" w:hAnsi="微软雅黑" w:cs="微软雅黑"/>
          <w:sz w:val="21"/>
          <w:szCs w:val="21"/>
          <w:highlight w:val="none"/>
          <w:lang w:val="en-US" w:eastAsia="zh-CN"/>
        </w:rPr>
        <w:t>FDA已批准依维莫司用于治疗肾细胞癌、乳腺癌等，同时NMPA批准用于治疗肾细胞癌、室管膜下巨细胞型星形细胞瘤。</w:t>
      </w:r>
      <w:r>
        <w:rPr>
          <w:rFonts w:hint="eastAsia" w:ascii="微软雅黑" w:hAnsi="微软雅黑" w:cs="Times New Roman"/>
          <w:b w:val="0"/>
          <w:bCs w:val="0"/>
          <w:color w:val="auto"/>
          <w:kern w:val="2"/>
          <w:sz w:val="21"/>
          <w:szCs w:val="21"/>
          <w:highlight w:val="none"/>
          <w:lang w:val="en-US" w:eastAsia="zh-CN"/>
        </w:rPr>
        <w:t>RMC-6236是一种泛KRAS抑制剂，目前处于临床期。</w:t>
      </w:r>
    </w:p>
    <w:p w14:paraId="742B958F">
      <w:pPr>
        <w:spacing w:after="0"/>
        <w:jc w:val="both"/>
        <w:outlineLvl w:val="9"/>
        <w:rPr>
          <w:rFonts w:hint="eastAsia"/>
          <w:b/>
          <w:bCs/>
          <w:kern w:val="2"/>
          <w:highlight w:val="none"/>
          <w:lang w:eastAsia="zh-CN"/>
        </w:rPr>
      </w:pPr>
      <w:r>
        <w:rPr>
          <w:rFonts w:hint="eastAsia"/>
          <w:b/>
          <w:bCs/>
          <w:kern w:val="2"/>
          <w:highlight w:val="none"/>
          <w:lang w:eastAsia="zh-CN"/>
        </w:rPr>
        <w:t>药物疗效临床解析：</w:t>
      </w:r>
    </w:p>
    <w:p w14:paraId="41317366">
      <w:pPr>
        <w:numPr>
          <w:ilvl w:val="-1"/>
          <w:numId w:val="0"/>
        </w:numPr>
        <w:pBdr>
          <w:top w:val="none" w:color="auto" w:sz="0" w:space="0"/>
          <w:left w:val="none" w:color="auto" w:sz="0" w:space="0"/>
          <w:bottom w:val="none" w:color="auto" w:sz="0" w:space="0"/>
          <w:right w:val="none" w:color="auto" w:sz="0" w:space="0"/>
        </w:pBdr>
        <w:shd w:val="clear"/>
        <w:adjustRightInd/>
        <w:snapToGrid/>
        <w:spacing w:before="0" w:beforeLines="0" w:after="0" w:afterLines="0" w:line="240" w:lineRule="auto"/>
        <w:ind w:firstLine="420" w:firstLineChars="200"/>
        <w:jc w:val="both"/>
        <w:outlineLvl w:val="9"/>
        <w:rPr>
          <w:rFonts w:ascii="微软雅黑" w:hAnsi="微软雅黑" w:cs="微软雅黑"/>
          <w:color w:val="FF0000"/>
          <w:kern w:val="1"/>
          <w:sz w:val="21"/>
          <w:szCs w:val="21"/>
        </w:rPr>
      </w:pPr>
      <w:r>
        <w:rPr>
          <w:rFonts w:hint="eastAsia" w:ascii="微软雅黑" w:hAnsi="微软雅黑" w:cs="Times New Roman"/>
          <w:bCs/>
          <w:color w:val="auto"/>
          <w:kern w:val="2"/>
          <w:sz w:val="21"/>
          <w:szCs w:val="21"/>
          <w:lang w:val="en-US" w:eastAsia="zh-CN"/>
        </w:rPr>
        <w:t>一项Defactinib联合Avutometinib用于治疗携带KRAS基因突变在晚期实体瘤患者中疗效的I期临床试验正在招募中[NCT03875820]。</w:t>
      </w:r>
      <w:r>
        <w:rPr>
          <w:rFonts w:hint="eastAsia" w:ascii="微软雅黑" w:hAnsi="微软雅黑" w:cs="Times New Roman"/>
          <w:bCs/>
          <w:color w:val="auto"/>
          <w:kern w:val="2"/>
          <w:sz w:val="21"/>
          <w:szCs w:val="21"/>
          <w:highlight w:val="none"/>
          <w:lang w:val="en-US" w:eastAsia="zh-CN"/>
        </w:rPr>
        <w:t>一项Avutometinib（VS-6766）联合Defactinib用于治疗KRAS突变复发性低级别浆液性卵巢癌（LGSOC）成人患者的II期临床试验正在进行中[NCT04625270]。</w:t>
      </w:r>
      <w:r>
        <w:rPr>
          <w:rFonts w:hint="eastAsia" w:ascii="微软雅黑" w:hAnsi="微软雅黑" w:cs="Times New Roman"/>
          <w:bCs/>
          <w:color w:val="auto"/>
          <w:kern w:val="2"/>
          <w:sz w:val="21"/>
          <w:szCs w:val="21"/>
          <w:lang w:val="en-US" w:eastAsia="zh-CN"/>
        </w:rPr>
        <w:t>一项依维莫司联合Avutometinib用于治疗携带KRAS基因突变的在实体瘤或多发性骨髓瘤患者的I期临床试验正在招募患者[NCT02407509]。</w:t>
      </w:r>
      <w:r>
        <w:rPr>
          <w:rFonts w:hint="eastAsia" w:ascii="微软雅黑" w:hAnsi="微软雅黑" w:cs="Times New Roman"/>
          <w:bCs/>
          <w:color w:val="auto"/>
          <w:kern w:val="2"/>
          <w:sz w:val="21"/>
          <w:szCs w:val="21"/>
          <w:highlight w:val="none"/>
          <w:lang w:val="en-US" w:eastAsia="zh-CN"/>
        </w:rPr>
        <w:t>一项RMC-6236用于治疗携带RAS突变（KRAS、NRAS或HRAS在G12、G13或Q61处的任何非同义突变）的晚期实体瘤的多中心、开放标签、I/Ib期临床试验正在招募患者[NCT05379985]。</w:t>
      </w:r>
    </w:p>
    <w:p w14:paraId="3E32152A">
      <w:pPr>
        <w:numPr>
          <w:ilvl w:val="0"/>
          <w:numId w:val="14"/>
        </w:numPr>
        <w:spacing w:before="200"/>
        <w:ind w:left="420" w:hanging="420"/>
        <w:jc w:val="both"/>
        <w:rPr>
          <w:rFonts w:ascii="微软雅黑" w:hAnsi="微软雅黑" w:cs="微软雅黑"/>
          <w:color w:val="FF0000"/>
          <w:kern w:val="1"/>
          <w:sz w:val="21"/>
          <w:szCs w:val="21"/>
        </w:rPr>
      </w:pPr>
      <w:r>
        <w:rPr>
          <w:rStyle w:val="21"/>
          <w:rFonts w:hint="eastAsia" w:ascii="微软雅黑" w:hAnsi="微软雅黑" w:cs="微软雅黑"/>
          <w:b/>
          <w:bCs/>
          <w:color w:val="FF0000"/>
          <w:sz w:val="24"/>
          <w:szCs w:val="24"/>
          <w:u w:val="none"/>
        </w:rPr>
        <w:t>SETD2：c.4930G&gt;T，p.G1644*</w:t>
      </w:r>
      <w:r>
        <w:rPr>
          <w:rStyle w:val="21"/>
          <w:rFonts w:hint="eastAsia" w:ascii="微软雅黑" w:hAnsi="微软雅黑" w:cs="微软雅黑"/>
          <w:b/>
          <w:bCs/>
          <w:color w:val="FF0000"/>
          <w:sz w:val="24"/>
          <w:szCs w:val="24"/>
          <w:u w:val="none"/>
          <w:lang w:val="en-US" w:eastAsia="zh-CN"/>
        </w:rPr>
        <w:t>突变</w:t>
      </w:r>
      <w:r>
        <w:rPr>
          <w:rStyle w:val="21"/>
          <w:rFonts w:hint="eastAsia" w:ascii="微软雅黑" w:hAnsi="微软雅黑" w:cs="微软雅黑"/>
          <w:b/>
          <w:bCs/>
          <w:color w:val="FF0000"/>
          <w:sz w:val="24"/>
          <w:szCs w:val="24"/>
          <w:u w:val="none"/>
        </w:rPr>
        <w:t>相应靶向药物</w:t>
      </w:r>
    </w:p>
    <w:p w14:paraId="7AE381FA">
      <w:pPr>
        <w:numPr>
          <w:ilvl w:val="0"/>
          <w:numId w:val="12"/>
        </w:numPr>
        <w:adjustRightInd/>
        <w:snapToGrid/>
        <w:spacing w:before="200"/>
        <w:rPr>
          <w:rFonts w:ascii="微软雅黑" w:hAnsi="微软雅黑" w:cs="微软雅黑"/>
          <w:b/>
          <w:bCs/>
          <w:color w:val="0000FF"/>
        </w:rPr>
      </w:pPr>
      <w:r>
        <w:fldChar w:fldCharType="begin"/>
      </w:r>
      <w:r>
        <w:instrText xml:space="preserve"> HYPERLINK \l "基因变异检测结果及相关靶向药物信息" </w:instrText>
      </w:r>
      <w:r>
        <w:fldChar w:fldCharType="separate"/>
      </w:r>
      <w:r>
        <w:rPr>
          <w:rStyle w:val="23"/>
          <w:rFonts w:hint="eastAsia" w:ascii="微软雅黑" w:hAnsi="微软雅黑" w:cs="微软雅黑"/>
          <w:b/>
          <w:bCs/>
          <w:color w:val="0000FF"/>
          <w:sz w:val="24"/>
          <w:szCs w:val="24"/>
        </w:rPr>
        <w:t>AZD1775</w:t>
      </w:r>
      <w:r>
        <w:rPr>
          <w:rStyle w:val="23"/>
          <w:rFonts w:hint="eastAsia" w:ascii="微软雅黑" w:hAnsi="微软雅黑" w:cs="微软雅黑"/>
          <w:b/>
          <w:bCs/>
          <w:color w:val="0000FF"/>
          <w:sz w:val="24"/>
          <w:szCs w:val="24"/>
        </w:rPr>
        <w:fldChar w:fldCharType="end"/>
      </w:r>
    </w:p>
    <w:p w14:paraId="1999EA9B">
      <w:pPr>
        <w:spacing w:after="0"/>
        <w:jc w:val="both"/>
        <w:rPr>
          <w:b/>
          <w:bCs/>
          <w:kern w:val="2"/>
        </w:rPr>
      </w:pPr>
      <w:r>
        <w:rPr>
          <w:rFonts w:hint="eastAsia"/>
          <w:b/>
          <w:bCs/>
          <w:kern w:val="2"/>
        </w:rPr>
        <w:t>基因变异与药物关联分析：</w:t>
      </w:r>
    </w:p>
    <w:p w14:paraId="5AAE0313">
      <w:pPr>
        <w:spacing w:after="0"/>
        <w:ind w:firstLine="420" w:firstLineChars="200"/>
        <w:jc w:val="both"/>
        <w:rPr>
          <w:rFonts w:ascii="微软雅黑" w:hAnsi="微软雅黑" w:cs="Arial Unicode MS"/>
          <w:kern w:val="2"/>
          <w:sz w:val="21"/>
          <w:szCs w:val="21"/>
        </w:rPr>
      </w:pPr>
      <w:r>
        <w:rPr>
          <w:rFonts w:hint="eastAsia" w:ascii="微软雅黑" w:hAnsi="微软雅黑" w:cs="Arial Unicode MS"/>
          <w:kern w:val="2"/>
          <w:sz w:val="21"/>
          <w:szCs w:val="21"/>
          <w:lang w:val="en-US" w:eastAsia="zh-CN"/>
        </w:rPr>
        <w:t>该样本检出SETD2基因c.4930G&gt;T，p.G1644*无义突变，该突变导致蛋白翻译提前终止，产生截短的蛋白，可能导致蛋白功能缺失。有研究表明，SETD2缺失与WEE1抑制剂具有“合成致死”作用[29955114]。因此，可能从WEE1抑制剂的治疗中获益。</w:t>
      </w:r>
      <w:r>
        <w:rPr>
          <w:rFonts w:ascii="微软雅黑" w:hAnsi="微软雅黑" w:cs="Arial Unicode MS"/>
          <w:kern w:val="2"/>
          <w:sz w:val="21"/>
          <w:szCs w:val="21"/>
        </w:rPr>
        <w:t>AZD1775是一种WEE1激酶抑制剂，可以控制细胞分裂周期的G2检验点</w:t>
      </w:r>
      <w:r>
        <w:rPr>
          <w:rFonts w:hint="eastAsia" w:ascii="微软雅黑" w:hAnsi="微软雅黑" w:cs="Arial Unicode MS"/>
          <w:kern w:val="2"/>
          <w:sz w:val="21"/>
          <w:szCs w:val="21"/>
          <w:lang w:eastAsia="zh-CN"/>
        </w:rPr>
        <w:t>，</w:t>
      </w:r>
      <w:r>
        <w:rPr>
          <w:rFonts w:ascii="微软雅黑" w:hAnsi="微软雅黑" w:cs="Arial Unicode MS"/>
          <w:kern w:val="2"/>
          <w:sz w:val="21"/>
          <w:szCs w:val="21"/>
        </w:rPr>
        <w:t>目前该药正处于临床期。</w:t>
      </w:r>
    </w:p>
    <w:p w14:paraId="67B4F192">
      <w:pPr>
        <w:spacing w:after="0"/>
        <w:jc w:val="both"/>
        <w:rPr>
          <w:b/>
          <w:bCs/>
          <w:kern w:val="2"/>
        </w:rPr>
      </w:pPr>
      <w:r>
        <w:rPr>
          <w:rFonts w:hint="eastAsia"/>
          <w:b/>
          <w:bCs/>
          <w:kern w:val="2"/>
        </w:rPr>
        <w:t>药物疗效临床解析：</w:t>
      </w:r>
    </w:p>
    <w:p w14:paraId="461A3A82">
      <w:pPr>
        <w:keepNext w:val="0"/>
        <w:keepLines w:val="0"/>
        <w:pageBreakBefore w:val="0"/>
        <w:widowControl/>
        <w:kinsoku/>
        <w:wordWrap/>
        <w:overflowPunct/>
        <w:topLinePunct w:val="0"/>
        <w:autoSpaceDE/>
        <w:autoSpaceDN/>
        <w:bidi w:val="0"/>
        <w:adjustRightInd w:val="0"/>
        <w:snapToGrid w:val="0"/>
        <w:spacing w:after="0"/>
        <w:ind w:firstLine="420" w:firstLineChars="200"/>
        <w:jc w:val="both"/>
        <w:textAlignment w:val="auto"/>
        <w:rPr>
          <w:rFonts w:hint="eastAsia" w:ascii="微软雅黑" w:hAnsi="微软雅黑" w:cs="Times New Roman"/>
          <w:bCs/>
          <w:color w:val="auto"/>
          <w:kern w:val="2"/>
          <w:sz w:val="21"/>
          <w:szCs w:val="21"/>
          <w:lang w:val="en-US" w:eastAsia="zh-CN"/>
        </w:rPr>
      </w:pPr>
      <w:r>
        <w:rPr>
          <w:rFonts w:hint="eastAsia" w:ascii="微软雅黑" w:hAnsi="微软雅黑" w:cs="Arial Unicode MS"/>
          <w:kern w:val="2"/>
          <w:sz w:val="21"/>
          <w:szCs w:val="21"/>
          <w:lang w:val="en-US" w:eastAsia="zh-CN"/>
        </w:rPr>
        <w:t>一项</w:t>
      </w:r>
      <w:r>
        <w:rPr>
          <w:rFonts w:hint="eastAsia" w:ascii="微软雅黑" w:hAnsi="微软雅黑" w:cs="Arial Unicode MS"/>
          <w:kern w:val="2"/>
          <w:sz w:val="21"/>
          <w:szCs w:val="21"/>
        </w:rPr>
        <w:t>II期临床试验</w:t>
      </w:r>
      <w:r>
        <w:rPr>
          <w:rFonts w:hint="eastAsia" w:ascii="微软雅黑" w:hAnsi="微软雅黑" w:cs="Arial Unicode MS"/>
          <w:kern w:val="2"/>
          <w:sz w:val="21"/>
          <w:szCs w:val="21"/>
          <w:lang w:eastAsia="zh-CN"/>
        </w:rPr>
        <w:t>，</w:t>
      </w:r>
      <w:r>
        <w:rPr>
          <w:rFonts w:hint="eastAsia" w:ascii="微软雅黑" w:hAnsi="微软雅黑" w:cs="Arial Unicode MS"/>
          <w:kern w:val="2"/>
          <w:sz w:val="21"/>
          <w:szCs w:val="21"/>
          <w:lang w:val="en-US" w:eastAsia="zh-CN"/>
        </w:rPr>
        <w:t>旨在评估</w:t>
      </w:r>
      <w:r>
        <w:rPr>
          <w:rFonts w:ascii="微软雅黑" w:hAnsi="微软雅黑" w:cs="Arial Unicode MS"/>
          <w:kern w:val="2"/>
          <w:sz w:val="21"/>
          <w:szCs w:val="21"/>
        </w:rPr>
        <w:t>AZD1775</w:t>
      </w:r>
      <w:r>
        <w:rPr>
          <w:rFonts w:hint="eastAsia" w:ascii="微软雅黑" w:hAnsi="微软雅黑" w:cs="Arial Unicode MS"/>
          <w:kern w:val="2"/>
          <w:sz w:val="21"/>
          <w:szCs w:val="21"/>
        </w:rPr>
        <w:t>治疗SETD2缺陷实体瘤（已扩散到身体其</w:t>
      </w:r>
      <w:r>
        <w:rPr>
          <w:rFonts w:hint="eastAsia" w:ascii="微软雅黑" w:hAnsi="微软雅黑" w:cs="Arial Unicode MS"/>
          <w:kern w:val="2"/>
          <w:sz w:val="21"/>
          <w:szCs w:val="21"/>
          <w:lang w:val="en-US" w:eastAsia="zh-CN"/>
        </w:rPr>
        <w:t>它</w:t>
      </w:r>
      <w:r>
        <w:rPr>
          <w:rFonts w:hint="eastAsia" w:ascii="微软雅黑" w:hAnsi="微软雅黑" w:cs="Arial Unicode MS"/>
          <w:kern w:val="2"/>
          <w:sz w:val="21"/>
          <w:szCs w:val="21"/>
        </w:rPr>
        <w:t>部位）患者的</w:t>
      </w:r>
      <w:r>
        <w:rPr>
          <w:rFonts w:hint="eastAsia" w:ascii="微软雅黑" w:hAnsi="微软雅黑" w:cs="Arial Unicode MS"/>
          <w:kern w:val="2"/>
          <w:sz w:val="21"/>
          <w:szCs w:val="21"/>
          <w:lang w:val="en-US" w:eastAsia="zh-CN"/>
        </w:rPr>
        <w:t>有效性</w:t>
      </w:r>
      <w:r>
        <w:rPr>
          <w:rFonts w:hint="eastAsia" w:ascii="微软雅黑" w:hAnsi="微软雅黑" w:cs="Arial Unicode MS"/>
          <w:kern w:val="2"/>
          <w:sz w:val="21"/>
          <w:szCs w:val="21"/>
          <w:lang w:eastAsia="zh-CN"/>
        </w:rPr>
        <w:t>，</w:t>
      </w:r>
      <w:r>
        <w:rPr>
          <w:rFonts w:hint="eastAsia" w:ascii="微软雅黑" w:hAnsi="微软雅黑" w:cs="Arial Unicode MS"/>
          <w:kern w:val="2"/>
          <w:sz w:val="21"/>
          <w:szCs w:val="21"/>
          <w:lang w:val="en-US" w:eastAsia="zh-CN"/>
        </w:rPr>
        <w:t>目前正在开展，不招募患者[</w:t>
      </w:r>
      <w:bookmarkStart w:id="180" w:name="OLE_LINK14"/>
      <w:r>
        <w:rPr>
          <w:rFonts w:hint="eastAsia" w:ascii="微软雅黑" w:hAnsi="微软雅黑" w:cs="Arial Unicode MS"/>
          <w:kern w:val="2"/>
          <w:sz w:val="21"/>
          <w:szCs w:val="21"/>
          <w:lang w:val="en-US" w:eastAsia="zh-CN"/>
        </w:rPr>
        <w:t>NCT03284385</w:t>
      </w:r>
      <w:bookmarkEnd w:id="180"/>
      <w:r>
        <w:rPr>
          <w:rFonts w:hint="eastAsia" w:ascii="微软雅黑" w:hAnsi="微软雅黑" w:cs="Arial Unicode MS"/>
          <w:kern w:val="2"/>
          <w:sz w:val="21"/>
          <w:szCs w:val="21"/>
          <w:lang w:val="en-US" w:eastAsia="zh-CN"/>
        </w:rPr>
        <w:t>]</w:t>
      </w:r>
      <w:r>
        <w:rPr>
          <w:rFonts w:hint="eastAsia" w:ascii="微软雅黑" w:hAnsi="微软雅黑" w:cs="Arial Unicode MS"/>
          <w:kern w:val="2"/>
          <w:sz w:val="21"/>
          <w:szCs w:val="21"/>
        </w:rPr>
        <w:t>。</w:t>
      </w:r>
    </w:p>
    <w:p w14:paraId="0AA811E7">
      <w:pPr>
        <w:numPr>
          <w:ilvl w:val="0"/>
          <w:numId w:val="11"/>
        </w:numPr>
        <w:spacing w:before="200"/>
        <w:jc w:val="both"/>
        <w:rPr>
          <w:rFonts w:ascii="微软雅黑" w:hAnsi="微软雅黑" w:cs="微软雅黑"/>
          <w:color w:val="FF0000"/>
          <w:kern w:val="1"/>
          <w:sz w:val="21"/>
          <w:szCs w:val="21"/>
        </w:rPr>
      </w:pPr>
      <w:r>
        <w:rPr>
          <w:rFonts w:hint="eastAsia" w:ascii="微软雅黑" w:hAnsi="微软雅黑" w:cs="微软雅黑"/>
          <w:b/>
          <w:color w:val="FF0000"/>
          <w:sz w:val="24"/>
        </w:rPr>
        <w:t>ATM</w:t>
      </w:r>
      <w:r>
        <w:rPr>
          <w:rFonts w:ascii="微软雅黑" w:hAnsi="微软雅黑" w:cs="微软雅黑"/>
          <w:b/>
          <w:color w:val="FF0000"/>
          <w:sz w:val="24"/>
        </w:rPr>
        <w:t>：</w:t>
      </w:r>
      <w:r>
        <w:rPr>
          <w:rFonts w:hint="eastAsia" w:ascii="微软雅黑" w:hAnsi="微软雅黑" w:cs="微软雅黑"/>
          <w:b/>
          <w:color w:val="FF0000"/>
          <w:sz w:val="24"/>
        </w:rPr>
        <w:t>c.6874C&gt;T，p.Q2292*</w:t>
      </w:r>
      <w:r>
        <w:rPr>
          <w:rStyle w:val="21"/>
          <w:rFonts w:hint="eastAsia" w:ascii="微软雅黑" w:hAnsi="微软雅黑" w:cs="微软雅黑"/>
          <w:b/>
          <w:bCs/>
          <w:color w:val="FF0000"/>
          <w:sz w:val="24"/>
          <w:szCs w:val="24"/>
          <w:u w:val="none"/>
        </w:rPr>
        <w:t>突变相应靶向</w:t>
      </w:r>
      <w:r>
        <w:rPr>
          <w:rStyle w:val="21"/>
          <w:rFonts w:hint="eastAsia" w:ascii="微软雅黑" w:hAnsi="微软雅黑" w:cs="微软雅黑"/>
          <w:b/>
          <w:bCs/>
          <w:color w:val="FF0000"/>
          <w:sz w:val="24"/>
          <w:szCs w:val="24"/>
          <w:u w:val="none"/>
          <w:lang w:val="en-US" w:eastAsia="zh-CN"/>
        </w:rPr>
        <w:t>/免疫</w:t>
      </w:r>
      <w:r>
        <w:rPr>
          <w:rStyle w:val="21"/>
          <w:rFonts w:hint="eastAsia" w:ascii="微软雅黑" w:hAnsi="微软雅黑" w:cs="微软雅黑"/>
          <w:b/>
          <w:bCs/>
          <w:color w:val="FF0000"/>
          <w:sz w:val="24"/>
          <w:szCs w:val="24"/>
          <w:u w:val="none"/>
        </w:rPr>
        <w:t>药物</w:t>
      </w:r>
    </w:p>
    <w:p w14:paraId="39EC2229">
      <w:pPr>
        <w:numPr>
          <w:ilvl w:val="0"/>
          <w:numId w:val="13"/>
        </w:numPr>
        <w:spacing w:before="240" w:beforeLines="100" w:after="240" w:afterLines="100"/>
        <w:jc w:val="both"/>
        <w:rPr>
          <w:rFonts w:ascii="微软雅黑" w:hAnsi="微软雅黑" w:cs="微软雅黑"/>
          <w:b/>
          <w:bCs/>
          <w:sz w:val="24"/>
          <w:szCs w:val="24"/>
        </w:rPr>
      </w:pPr>
      <w:r>
        <w:rPr>
          <w:rFonts w:hint="eastAsia" w:ascii="微软雅黑" w:hAnsi="微软雅黑" w:cs="微软雅黑"/>
          <w:b/>
          <w:bCs/>
          <w:color w:val="0000FF"/>
          <w:sz w:val="24"/>
          <w:szCs w:val="24"/>
          <w:u w:val="single"/>
        </w:rPr>
        <w:t>奥拉帕利（Olaparib）、芦卡帕利（Rucaparib）、尼拉帕利（Niraparib）、盐酸可泮利塞+奥拉帕利+度伐利尤单抗（Copanlisib+Olaparib+Durvalumab）、帕米帕利+替雷利珠单抗（Pamiparib+Tislelizumab）、芦卡帕利+阿替利珠单抗（Rucaparib+Atezolizumab）、他拉唑帕利+阿替利珠单抗（Talazoparib+Atezolizumab）、他拉唑帕利（Talazoparib）、AZD6738+奥拉帕利（Olaparib）、阿维鲁单抗+他拉唑帕利（Avelumab+Talazoparib）、LY2606368、奥拉帕利+帕博利珠单抗（Olaparib+Pembrolizumab）</w:t>
      </w:r>
    </w:p>
    <w:p w14:paraId="5CBBE8C1">
      <w:pPr>
        <w:spacing w:after="0"/>
        <w:jc w:val="both"/>
        <w:rPr>
          <w:rFonts w:hint="eastAsia"/>
          <w:b/>
          <w:bCs/>
          <w:kern w:val="2"/>
        </w:rPr>
      </w:pPr>
      <w:r>
        <w:rPr>
          <w:rFonts w:hint="eastAsia"/>
          <w:b/>
          <w:bCs/>
          <w:kern w:val="2"/>
        </w:rPr>
        <w:t>基因变异与药物关联分析：</w:t>
      </w:r>
    </w:p>
    <w:p w14:paraId="02A991C6">
      <w:pPr>
        <w:spacing w:after="0"/>
        <w:ind w:firstLine="400"/>
        <w:jc w:val="both"/>
        <w:rPr>
          <w:rFonts w:ascii="微软雅黑" w:hAnsi="微软雅黑" w:cs="Arial Unicode MS"/>
          <w:kern w:val="2"/>
          <w:sz w:val="21"/>
          <w:szCs w:val="21"/>
        </w:rPr>
      </w:pPr>
      <w:r>
        <w:rPr>
          <w:rFonts w:hint="eastAsia" w:ascii="微软雅黑" w:hAnsi="微软雅黑" w:cs="微软雅黑"/>
          <w:sz w:val="21"/>
        </w:rPr>
        <w:t>该样本检出ATM基因c.6874C&gt;T，p.Q2292*无义突变，</w:t>
      </w:r>
      <w:r>
        <w:rPr>
          <w:rFonts w:hint="eastAsia" w:ascii="微软雅黑" w:hAnsi="微软雅黑" w:cs="Arial Unicode MS"/>
          <w:kern w:val="2"/>
          <w:sz w:val="21"/>
          <w:szCs w:val="21"/>
          <w:lang w:val="en-US" w:eastAsia="zh-CN"/>
        </w:rPr>
        <w:t>该突变导致蛋白翻译提前终止，产生截短的蛋白，可能导致蛋白功能缺失。</w:t>
      </w:r>
      <w:r>
        <w:rPr>
          <w:rFonts w:hint="eastAsia" w:ascii="微软雅黑" w:hAnsi="微软雅黑" w:cs="Arial Unicode MS"/>
          <w:color w:val="000000" w:themeColor="text1"/>
          <w:kern w:val="2"/>
          <w:sz w:val="21"/>
          <w:szCs w:val="21"/>
          <w14:textFill>
            <w14:solidFill>
              <w14:schemeClr w14:val="tx1"/>
            </w14:solidFill>
          </w14:textFill>
        </w:rPr>
        <w:t>ATM是一个抑癌基因，编码PI3K/PI4K家族的一个蛋白激酶。ATM缺陷细胞会导致DNA损伤的积累及基因组的不稳定，进而引起肿瘤发生。临床研究发现，ATM缺陷型的前列腺癌或胃癌等肿瘤对PARP抑制剂敏感[26282658，26510020]。因此，该患者可能从PARP抑制剂及相关抑制剂的治疗中获益。</w:t>
      </w:r>
      <w:r>
        <w:rPr>
          <w:rFonts w:hint="eastAsia" w:ascii="微软雅黑" w:hAnsi="微软雅黑" w:cs="Arial Unicode MS"/>
          <w:color w:val="000000" w:themeColor="text1"/>
          <w:kern w:val="2"/>
          <w:sz w:val="21"/>
          <w:szCs w:val="21"/>
          <w14:textFill>
            <w14:solidFill>
              <w14:schemeClr w14:val="tx1"/>
            </w14:solidFill>
          </w14:textFill>
        </w:rPr>
        <w:br w:type="textWrapping"/>
      </w:r>
      <w:r>
        <w:rPr>
          <w:rFonts w:hint="eastAsia" w:ascii="微软雅黑" w:hAnsi="微软雅黑" w:cs="Arial Unicode MS"/>
          <w:color w:val="000000" w:themeColor="text1"/>
          <w:kern w:val="2"/>
          <w:sz w:val="21"/>
          <w:szCs w:val="21"/>
          <w14:textFill>
            <w14:solidFill>
              <w14:schemeClr w14:val="tx1"/>
            </w14:solidFill>
          </w14:textFill>
        </w:rPr>
        <w:t>
目前，FDA和/或NMPA批准的PARP抑制剂有奥拉帕利、芦卡帕利、尼拉帕利、他拉唑帕利、帕米帕利。FDA批准奥拉帕利用于卵巢癌、输卵管癌或原发性腹膜癌、胰腺癌、乳腺癌以及前列腺癌患者的治疗；NMPA批准奥拉帕利用于卵巢癌和前列腺癌的治疗。FDA批准芦卡帕利用于治疗卵巢癌、输卵管癌或原发性腹膜癌以及前列腺癌患者。FDA批准尼拉帕利用于上皮性卵巢癌、输卵管癌或原发性腹膜癌患者的维持治疗；中国（香港）批准尼拉帕利用于治疗高级别浆液性上皮性卵巢癌患者；中国大陆批准尼拉帕利用于复发性卵巢癌的维持治疗。FDA批准他拉唑帕利用于治疗前列腺癌和乳腺癌成年患者。NMPA批准他拉唑帕利用于治疗前列腺癌患者。NMPA批准帕米帕利用于治疗存在已知致病或疑似致病的胚系BRCA突变的既往接受过两线或两线以上化疗的晚期卵巢癌、输卵管癌或原发性腹膜癌患者。</w:t>
      </w:r>
      <w:r>
        <w:rPr>
          <w:rFonts w:hint="eastAsia" w:ascii="微软雅黑" w:hAnsi="微软雅黑" w:cs="Arial Unicode MS"/>
          <w:color w:val="000000" w:themeColor="text1"/>
          <w:kern w:val="2"/>
          <w:sz w:val="21"/>
          <w:szCs w:val="21"/>
          <w14:textFill>
            <w14:solidFill>
              <w14:schemeClr w14:val="tx1"/>
            </w14:solidFill>
          </w14:textFill>
        </w:rPr>
        <w:br w:type="textWrapping"/>
      </w:r>
      <w:r>
        <w:rPr>
          <w:rFonts w:hint="eastAsia" w:ascii="微软雅黑" w:hAnsi="微软雅黑" w:cs="Arial Unicode MS"/>
          <w:color w:val="000000" w:themeColor="text1"/>
          <w:kern w:val="2"/>
          <w:sz w:val="21"/>
          <w:szCs w:val="21"/>
          <w14:textFill>
            <w14:solidFill>
              <w14:schemeClr w14:val="tx1"/>
            </w14:solidFill>
          </w14:textFill>
        </w:rPr>
        <w:t>
相关抑制剂包括阿维鲁单抗、LY2606368、盐酸可泮利塞、度伐利尤单抗、帕博利珠单抗、替雷利珠单抗、阿替利珠单抗、AZD6738。阿维鲁单抗是PD-L1抑制剂，已获FDA批准用于治疗默克细胞癌、尿路上皮癌患者。LY2606368是一种ATP竞争性CHK1抑制剂，目前正处于临床期。盐酸可泮利塞是一种PI3K抑制剂，已获FDA和NMPA批准用于治疗滤泡性淋巴瘤。度伐利尤单抗是一种PD-L1抑制剂，已获FDA和NMPA批准用于治疗非小细胞肺癌和小细胞肺癌患者。帕博利珠单抗已获FDA批准用于治疗黑色素瘤、转移性非小细胞肺癌、头颈部鳞状细胞癌、对卡介苗无反应的非肌层浸润性膀胱癌、微卫星不稳定性高（MSI-H）或错配修复缺陷的实体瘤（包括结直肠癌）等多种癌症，NMPA批准帕博利珠单抗用于治疗黑色素瘤、非小细胞肺癌患者等。替雷利珠单抗已获NMPA批准用于治疗经典型霍奇金淋巴瘤、尿路上皮癌、非小细胞肺癌、肝细胞癌患者。阿替利珠单抗已获FDA批准用于治疗尿路上皮癌、非小细胞癌、小细胞肺癌、肝细胞癌、黑色素瘤患者，已获NMPA批准用于治疗小细胞肺癌、肝细胞癌、非小细胞肺癌患者。AZD6738是一种新型的口服ATR抑制剂，目前正处于临床期。</w:t>
      </w:r>
    </w:p>
    <w:p w14:paraId="1B20A2B3">
      <w:pPr>
        <w:spacing w:after="0"/>
        <w:jc w:val="both"/>
        <w:rPr>
          <w:rFonts w:hint="eastAsia"/>
          <w:b/>
          <w:bCs/>
          <w:kern w:val="2"/>
        </w:rPr>
      </w:pPr>
      <w:r>
        <w:rPr>
          <w:rFonts w:hint="eastAsia"/>
          <w:b/>
          <w:bCs/>
          <w:kern w:val="2"/>
        </w:rPr>
        <w:t>药物疗效临床解析：</w:t>
      </w:r>
    </w:p>
    <w:p w14:paraId="3065661D">
      <w:pPr>
        <w:spacing w:after="0"/>
        <w:ind w:firstLine="400"/>
        <w:jc w:val="both"/>
        <w:rPr>
          <w:rFonts w:ascii="微软雅黑" w:hAnsi="微软雅黑" w:cs="Arial Unicode MS"/>
          <w:color w:val="000000" w:themeColor="text1"/>
          <w:kern w:val="2"/>
          <w:sz w:val="21"/>
          <w:szCs w:val="21"/>
          <w14:textFill>
            <w14:solidFill>
              <w14:schemeClr w14:val="tx1"/>
            </w14:solidFill>
          </w14:textFill>
        </w:rPr>
      </w:pPr>
      <w:r>
        <w:rPr>
          <w:rFonts w:hint="eastAsia" w:ascii="微软雅黑" w:hAnsi="微软雅黑" w:cs="Arial Unicode MS"/>
          <w:color w:val="000000" w:themeColor="text1"/>
          <w:kern w:val="2"/>
          <w:sz w:val="21"/>
          <w:szCs w:val="21"/>
          <w14:textFill>
            <w14:solidFill>
              <w14:schemeClr w14:val="tx1"/>
            </w14:solidFill>
          </w14:textFill>
        </w:rPr>
        <w:t>有研究显示，奥拉帕利用于治疗携带DDR致病性突变（包括BRCA1、BRCA2、PALB2、ATM、CDK12、ATRX、CHEK1、CHEK2、FANCA、FANCF、FANCG、FANCI、FANCM、RAD50、WRN基因突变）的转移性去势抵抗性前列腺癌具有一定的抗肿瘤活性，目前该试验状态未知[2019 JCO Abstract 5005，NCT01682772]。一项II期临床试验，旨在评估奥拉帕利单药或奥拉帕利联合AZD6738用于治疗具有同源DNA修复基因突变（包括ATM、CHK2、MRN（MRE11/NBS1/RAD50）、CDKN2A/B 和 APOBEC）的肿瘤患者的有效性和安全性，目前该试验正在进行，不招募患者[NCT02576444]。</w:t>
      </w:r>
      <w:r>
        <w:rPr>
          <w:rFonts w:hint="eastAsia" w:ascii="微软雅黑" w:hAnsi="微软雅黑" w:cs="Arial Unicode MS"/>
          <w:color w:val="000000" w:themeColor="text1"/>
          <w:kern w:val="2"/>
          <w:sz w:val="21"/>
          <w:szCs w:val="21"/>
          <w14:textFill>
            <w14:solidFill>
              <w14:schemeClr w14:val="tx1"/>
            </w14:solidFill>
          </w14:textFill>
        </w:rPr>
        <w:br w:type="textWrapping"/>
      </w:r>
      <w:r>
        <w:rPr>
          <w:rFonts w:hint="eastAsia" w:ascii="微软雅黑" w:hAnsi="微软雅黑" w:cs="Arial Unicode MS"/>
          <w:color w:val="000000" w:themeColor="text1"/>
          <w:kern w:val="2"/>
          <w:sz w:val="21"/>
          <w:szCs w:val="21"/>
          <w14:textFill>
            <w14:solidFill>
              <w14:schemeClr w14:val="tx1"/>
            </w14:solidFill>
          </w14:textFill>
        </w:rPr>
        <w:t>
一项由美国国家癌症研究所举办的临床I期试验，旨在评估盐酸可泮利塞、奥拉帕利联合度伐利尤单抗用于治疗具有ARID1A、ATM、ATRX、BARD1、BRCA1、BRCA2、BRIP1、CDK12、CHEK1、CHEK2、MSH2等基因突变的转移性或无法手术切术的实体瘤患者的毒副作用和最佳剂量，目前该试验正在招募中[NCT03842228]。一项II期临床试验，旨在评估奥拉帕利联合帕博利珠单抗治疗携带HR突变相关基因（ARID1A/B、ARID2、ATM、ATR、BARD1、BRCA1/2、BAP1、BRIP1、CHEK2、FANCA、FANCD2、MRN11A、PALB2、RAD50、RAD51、RAD54B）的黑色素瘤患者疗效，目前正在招募中[NCT04633902]。</w:t>
      </w:r>
      <w:r>
        <w:rPr>
          <w:rFonts w:hint="eastAsia" w:ascii="微软雅黑" w:hAnsi="微软雅黑" w:cs="Arial Unicode MS"/>
          <w:color w:val="000000" w:themeColor="text1"/>
          <w:kern w:val="2"/>
          <w:sz w:val="21"/>
          <w:szCs w:val="21"/>
          <w14:textFill>
            <w14:solidFill>
              <w14:schemeClr w14:val="tx1"/>
            </w14:solidFill>
          </w14:textFill>
        </w:rPr>
        <w:br w:type="textWrapping"/>
      </w:r>
      <w:r>
        <w:rPr>
          <w:rFonts w:hint="eastAsia" w:ascii="微软雅黑" w:hAnsi="微软雅黑" w:cs="Arial Unicode MS"/>
          <w:color w:val="000000" w:themeColor="text1"/>
          <w:kern w:val="2"/>
          <w:sz w:val="21"/>
          <w:szCs w:val="21"/>
          <w14:textFill>
            <w14:solidFill>
              <w14:schemeClr w14:val="tx1"/>
            </w14:solidFill>
          </w14:textFill>
        </w:rPr>
        <w:t>
芦卡帕利用于治疗携带一个或多个同源重组DNA修复基因突变（包括BRCA1、BRCA2、ATM、CHEK2、NBN、RAD50、RAD51C、RAD51D、PALB2、MRE11、FANCA、FANCB、FANCC、FANCD2、FANCE、FANCF、FANCG、FANCI、FANCM）的前列腺癌患者的II期临床试验，正在招募中[NCT03413995]。芦卡帕利联合阿替利珠单抗用于治疗具有ATM、BARD1、BRCA1、BRCA2、BRIP1、CDK12、CHEK2、PALB2、RAD51C、RAD51D、FANCA、NBN、RAD51、RAD54L突变和/或缺失的实体瘤患者的II期临床试验正在招募患者[NCT04276376]。</w:t>
      </w:r>
      <w:r>
        <w:rPr>
          <w:rFonts w:hint="eastAsia" w:ascii="微软雅黑" w:hAnsi="微软雅黑" w:cs="Arial Unicode MS"/>
          <w:color w:val="000000" w:themeColor="text1"/>
          <w:kern w:val="2"/>
          <w:sz w:val="21"/>
          <w:szCs w:val="21"/>
          <w14:textFill>
            <w14:solidFill>
              <w14:schemeClr w14:val="tx1"/>
            </w14:solidFill>
          </w14:textFill>
        </w:rPr>
        <w:br w:type="textWrapping"/>
      </w:r>
      <w:r>
        <w:rPr>
          <w:rFonts w:hint="eastAsia" w:ascii="微软雅黑" w:hAnsi="微软雅黑" w:cs="Arial Unicode MS"/>
          <w:color w:val="000000" w:themeColor="text1"/>
          <w:kern w:val="2"/>
          <w:sz w:val="21"/>
          <w:szCs w:val="21"/>
          <w14:textFill>
            <w14:solidFill>
              <w14:schemeClr w14:val="tx1"/>
            </w14:solidFill>
          </w14:textFill>
        </w:rPr>
        <w:t>
尼拉帕利用于治疗具有BAP1突变或其他DNA损伤修复缺陷（ARID1A、ATM、ATR、BACH1（BRIP1）、BAP1、BARD1、BLM、CHEK1、CHEK2、CDK2、CDK4、ERCC、FAM175A、FEN1、IDH1、IDH2、MRE11A（MRE11）、NBN（NBS1）、PALB2、POLD1、PRKDC（DNA-PK）、PTEN、RAD50、RAD51、RAD52、RAD54、RPA1、SLX4、WRN、XRCC）肿瘤患者的II期临床试验正在开展，暂不招募患者[NCT03207347]。</w:t>
      </w:r>
      <w:r>
        <w:rPr>
          <w:rFonts w:hint="eastAsia" w:ascii="微软雅黑" w:hAnsi="微软雅黑" w:cs="Arial Unicode MS"/>
          <w:color w:val="000000" w:themeColor="text1"/>
          <w:kern w:val="2"/>
          <w:sz w:val="21"/>
          <w:szCs w:val="21"/>
          <w14:textFill>
            <w14:solidFill>
              <w14:schemeClr w14:val="tx1"/>
            </w14:solidFill>
          </w14:textFill>
        </w:rPr>
        <w:br w:type="textWrapping"/>
      </w:r>
      <w:r>
        <w:rPr>
          <w:rFonts w:hint="eastAsia" w:ascii="微软雅黑" w:hAnsi="微软雅黑" w:cs="Arial Unicode MS"/>
          <w:color w:val="000000" w:themeColor="text1"/>
          <w:kern w:val="2"/>
          <w:sz w:val="21"/>
          <w:szCs w:val="21"/>
          <w14:textFill>
            <w14:solidFill>
              <w14:schemeClr w14:val="tx1"/>
            </w14:solidFill>
          </w14:textFill>
        </w:rPr>
        <w:t>
阿维鲁单抗联合他拉唑帕利 用于治疗具有BRCA或ATM 突变的实体瘤患者的II期临床试验正在进行，暂不招募患者[NCT03565991]。他拉唑帕利用于治疗具有ATM、BRCA1、BRCA2、PALB2、ATR基因突变的晚期恶性肿瘤患者的II期临床试验正在进行，暂不招募患者[NCT02286687]。他拉唑帕利联合阿替利珠单抗用于治疗具有BRCA1/2、PALB2、ATM、ATR、CHEK2、FANCA、RAD51C、NBN、MLH1、MRE11A、CDK12体细胞或胚系突变的实体瘤患者的II期临床试验正在招募患者[NCT02693535]。</w:t>
      </w:r>
      <w:r>
        <w:rPr>
          <w:rFonts w:hint="eastAsia" w:ascii="微软雅黑" w:hAnsi="微软雅黑" w:cs="Arial Unicode MS"/>
          <w:color w:val="000000" w:themeColor="text1"/>
          <w:kern w:val="2"/>
          <w:sz w:val="21"/>
          <w:szCs w:val="21"/>
          <w14:textFill>
            <w14:solidFill>
              <w14:schemeClr w14:val="tx1"/>
            </w14:solidFill>
          </w14:textFill>
        </w:rPr>
        <w:br w:type="textWrapping"/>
      </w:r>
      <w:r>
        <w:rPr>
          <w:rFonts w:hint="eastAsia" w:ascii="微软雅黑" w:hAnsi="微软雅黑" w:cs="Arial Unicode MS"/>
          <w:color w:val="000000" w:themeColor="text1"/>
          <w:kern w:val="2"/>
          <w:sz w:val="21"/>
          <w:szCs w:val="21"/>
          <w14:textFill>
            <w14:solidFill>
              <w14:schemeClr w14:val="tx1"/>
            </w14:solidFill>
          </w14:textFill>
        </w:rPr>
        <w:t>
帕米帕利联合替雷利珠单抗用于治疗具有BRCA1/2突变或其他HR相关基因（ATM、CDK12、PALB2、ARID1A、ATRX、BLM、BARD1、BRIP1、CHEK1、CHEK2、FANCA、FANCF、FANCG、FANCI、FANCL、FANCM、MSH2、NBN、RAD50、RAD51C、RAD51D、WRN）肿瘤患者的II期临床试验正在招募患者[NCT04985721]。</w:t>
      </w:r>
      <w:r>
        <w:rPr>
          <w:rFonts w:hint="eastAsia" w:ascii="微软雅黑" w:hAnsi="微软雅黑" w:cs="Arial Unicode MS"/>
          <w:color w:val="000000" w:themeColor="text1"/>
          <w:kern w:val="2"/>
          <w:sz w:val="21"/>
          <w:szCs w:val="21"/>
          <w14:textFill>
            <w14:solidFill>
              <w14:schemeClr w14:val="tx1"/>
            </w14:solidFill>
          </w14:textFill>
        </w:rPr>
        <w:br w:type="textWrapping"/>
      </w:r>
      <w:r>
        <w:rPr>
          <w:rFonts w:hint="eastAsia" w:ascii="微软雅黑" w:hAnsi="微软雅黑" w:cs="Arial Unicode MS"/>
          <w:color w:val="000000" w:themeColor="text1"/>
          <w:kern w:val="2"/>
          <w:sz w:val="21"/>
          <w:szCs w:val="21"/>
          <w14:textFill>
            <w14:solidFill>
              <w14:schemeClr w14:val="tx1"/>
            </w14:solidFill>
          </w14:textFill>
        </w:rPr>
        <w:t>
LY2606368用于治疗具有同源重组修复缺陷（包括BRCA1、BRCA2、PALB2、RAD51C、RAD51D、ATR、ATM、CHK2或Fanconi贫血途径基因突变）的肿瘤患者的II期临床试验，4个月无进展生存率为25%[NCT02873975]。</w:t>
      </w:r>
    </w:p>
    <w:p w14:paraId="769172EB">
      <w:pPr>
        <w:rPr>
          <w:rFonts w:ascii="微软雅黑" w:hAnsi="微软雅黑"/>
          <w:b/>
          <w:sz w:val="24"/>
          <w:szCs w:val="24"/>
        </w:rPr>
      </w:pPr>
    </w:p>
    <w:p w14:paraId="585386C0">
      <w:pPr>
        <w:numPr>
          <w:ilvl w:val="1"/>
          <w:numId w:val="9"/>
        </w:numPr>
        <w:spacing w:before="200"/>
        <w:jc w:val="both"/>
        <w:rPr>
          <w:rFonts w:ascii="微软雅黑" w:hAnsi="微软雅黑"/>
          <w:b/>
          <w:sz w:val="24"/>
          <w:szCs w:val="24"/>
        </w:rPr>
      </w:pPr>
      <w:r>
        <w:rPr>
          <w:rFonts w:ascii="微软雅黑" w:hAnsi="微软雅黑"/>
          <w:b/>
          <w:sz w:val="24"/>
          <w:szCs w:val="24"/>
        </w:rPr>
        <w:t>潜在</w:t>
      </w:r>
      <w:r>
        <w:rPr>
          <w:rFonts w:hint="eastAsia" w:ascii="微软雅黑" w:hAnsi="微软雅黑"/>
          <w:b/>
          <w:sz w:val="24"/>
          <w:szCs w:val="24"/>
        </w:rPr>
        <w:t>负相关</w:t>
      </w:r>
      <w:r>
        <w:rPr>
          <w:rFonts w:ascii="微软雅黑" w:hAnsi="微软雅黑"/>
          <w:b/>
          <w:sz w:val="24"/>
          <w:szCs w:val="24"/>
        </w:rPr>
        <w:t>靶向</w:t>
      </w:r>
      <w:r>
        <w:rPr>
          <w:rFonts w:hint="eastAsia" w:ascii="微软雅黑" w:hAnsi="微软雅黑"/>
          <w:b/>
          <w:sz w:val="24"/>
          <w:szCs w:val="24"/>
        </w:rPr>
        <w:t>/免疫</w:t>
      </w:r>
      <w:r>
        <w:rPr>
          <w:rFonts w:ascii="微软雅黑" w:hAnsi="微软雅黑"/>
          <w:b/>
          <w:sz w:val="24"/>
          <w:szCs w:val="24"/>
        </w:rPr>
        <w:t>药物解析</w:t>
      </w:r>
    </w:p>
    <w:p w14:paraId="1A383744">
      <w:pPr>
        <w:numPr>
          <w:ilvl w:val="0"/>
          <w:numId w:val="15"/>
        </w:numPr>
        <w:spacing w:before="200"/>
        <w:ind w:left="420" w:leftChars="0" w:hanging="420" w:firstLineChars="0"/>
        <w:outlineLvl w:val="9"/>
        <w:rPr>
          <w:rStyle w:val="21"/>
          <w:rFonts w:hint="eastAsia" w:ascii="微软雅黑" w:hAnsi="微软雅黑" w:cs="微软雅黑"/>
          <w:b/>
          <w:bCs/>
          <w:color w:val="FF0000"/>
          <w:kern w:val="0"/>
          <w:sz w:val="24"/>
          <w:szCs w:val="24"/>
          <w:highlight w:val="none"/>
          <w:lang w:val="en-US" w:eastAsia="zh-CN"/>
        </w:rPr>
      </w:pPr>
      <w:r>
        <w:rPr>
          <w:rStyle w:val="21"/>
          <w:rFonts w:hint="eastAsia" w:ascii="微软雅黑" w:hAnsi="微软雅黑" w:eastAsia="微软雅黑" w:cs="微软雅黑"/>
          <w:b/>
          <w:bCs/>
          <w:color w:val="FF0000"/>
          <w:kern w:val="0"/>
          <w:sz w:val="24"/>
          <w:szCs w:val="24"/>
          <w:highlight w:val="none"/>
          <w:u w:val="none"/>
          <w:lang w:val="en-US" w:eastAsia="zh-CN"/>
        </w:rPr>
        <w:t>KRAS</w:t>
      </w:r>
      <w:r>
        <w:rPr>
          <w:rStyle w:val="21"/>
          <w:rFonts w:hint="eastAsia" w:ascii="微软雅黑" w:hAnsi="微软雅黑" w:cs="微软雅黑"/>
          <w:b/>
          <w:bCs/>
          <w:color w:val="FF0000"/>
          <w:kern w:val="0"/>
          <w:sz w:val="24"/>
          <w:szCs w:val="24"/>
          <w:highlight w:val="none"/>
          <w:u w:val="none"/>
          <w:lang w:val="en-US" w:eastAsia="zh-CN"/>
        </w:rPr>
        <w:t>：c.34G&gt;A，p.G12S</w:t>
      </w:r>
      <w:r>
        <w:rPr>
          <w:rStyle w:val="21"/>
          <w:rFonts w:hint="eastAsia" w:ascii="微软雅黑" w:hAnsi="微软雅黑" w:eastAsia="微软雅黑" w:cs="微软雅黑"/>
          <w:b/>
          <w:bCs/>
          <w:color w:val="FF0000"/>
          <w:kern w:val="0"/>
          <w:sz w:val="24"/>
          <w:szCs w:val="24"/>
          <w:highlight w:val="none"/>
          <w:u w:val="none"/>
          <w:lang w:val="en-US" w:eastAsia="zh-CN"/>
        </w:rPr>
        <w:t>突变</w:t>
      </w:r>
      <w:r>
        <w:rPr>
          <w:rStyle w:val="21"/>
          <w:rFonts w:hint="eastAsia" w:ascii="微软雅黑" w:hAnsi="微软雅黑" w:eastAsia="微软雅黑" w:cs="微软雅黑"/>
          <w:b/>
          <w:bCs/>
          <w:color w:val="FF0000"/>
          <w:kern w:val="0"/>
          <w:sz w:val="24"/>
          <w:szCs w:val="24"/>
          <w:highlight w:val="none"/>
          <w:u w:val="none"/>
          <w:lang w:eastAsia="zh-CN"/>
        </w:rPr>
        <w:t>相</w:t>
      </w:r>
      <w:r>
        <w:rPr>
          <w:rStyle w:val="21"/>
          <w:rFonts w:hint="eastAsia" w:ascii="微软雅黑" w:hAnsi="微软雅黑" w:cs="微软雅黑"/>
          <w:b/>
          <w:bCs/>
          <w:color w:val="FF0000"/>
          <w:kern w:val="0"/>
          <w:sz w:val="24"/>
          <w:szCs w:val="24"/>
          <w:highlight w:val="none"/>
          <w:u w:val="none"/>
          <w:lang w:eastAsia="zh-CN"/>
        </w:rPr>
        <w:t>应负相关</w:t>
      </w:r>
      <w:r>
        <w:rPr>
          <w:rStyle w:val="21"/>
          <w:rFonts w:hint="eastAsia" w:ascii="微软雅黑" w:hAnsi="微软雅黑" w:eastAsia="微软雅黑" w:cs="微软雅黑"/>
          <w:b/>
          <w:bCs/>
          <w:color w:val="FF0000"/>
          <w:kern w:val="0"/>
          <w:sz w:val="24"/>
          <w:szCs w:val="24"/>
          <w:highlight w:val="none"/>
          <w:u w:val="none"/>
          <w:lang w:eastAsia="zh-CN"/>
        </w:rPr>
        <w:t>靶向药物</w:t>
      </w:r>
    </w:p>
    <w:p w14:paraId="77AECB33">
      <w:pPr>
        <w:numPr>
          <w:ilvl w:val="0"/>
          <w:numId w:val="16"/>
        </w:numPr>
        <w:ind w:left="420" w:leftChars="0" w:hanging="420" w:firstLineChars="0"/>
        <w:outlineLvl w:val="9"/>
        <w:rPr>
          <w:rStyle w:val="21"/>
          <w:rFonts w:hint="eastAsia" w:ascii="微软雅黑" w:hAnsi="微软雅黑" w:cs="微软雅黑"/>
          <w:b/>
          <w:bCs/>
          <w:color w:val="0000FF"/>
          <w:kern w:val="0"/>
          <w:sz w:val="24"/>
          <w:szCs w:val="24"/>
          <w:highlight w:val="none"/>
          <w:lang w:val="en-US" w:eastAsia="zh-CN"/>
        </w:rPr>
      </w:pPr>
      <w:r>
        <w:rPr>
          <w:rFonts w:hint="eastAsia" w:ascii="微软雅黑" w:hAnsi="微软雅黑" w:cs="微软雅黑"/>
          <w:b/>
          <w:bCs/>
          <w:color w:val="0000FF"/>
          <w:kern w:val="0"/>
          <w:sz w:val="24"/>
          <w:szCs w:val="24"/>
          <w:highlight w:val="none"/>
          <w:u w:val="single"/>
          <w:lang w:eastAsia="zh-CN"/>
        </w:rPr>
        <w:fldChar w:fldCharType="begin"/>
      </w:r>
      <w:r>
        <w:rPr>
          <w:rFonts w:hint="eastAsia" w:ascii="微软雅黑" w:hAnsi="微软雅黑" w:cs="微软雅黑"/>
          <w:b/>
          <w:bCs/>
          <w:color w:val="0000FF"/>
          <w:kern w:val="0"/>
          <w:sz w:val="24"/>
          <w:szCs w:val="24"/>
          <w:highlight w:val="none"/>
          <w:u w:val="single"/>
          <w:lang w:eastAsia="zh-CN"/>
        </w:rPr>
        <w:instrText xml:space="preserve"> HYPERLINK \l "重要基因变异及潜在靶向药物信息" </w:instrText>
      </w:r>
      <w:r>
        <w:rPr>
          <w:rFonts w:hint="eastAsia" w:ascii="微软雅黑" w:hAnsi="微软雅黑" w:cs="微软雅黑"/>
          <w:b/>
          <w:bCs/>
          <w:color w:val="0000FF"/>
          <w:kern w:val="0"/>
          <w:sz w:val="24"/>
          <w:szCs w:val="24"/>
          <w:highlight w:val="none"/>
          <w:u w:val="single"/>
          <w:lang w:eastAsia="zh-CN"/>
        </w:rPr>
        <w:fldChar w:fldCharType="separate"/>
      </w:r>
      <w:r>
        <w:rPr>
          <w:rStyle w:val="21"/>
          <w:rFonts w:hint="eastAsia" w:ascii="微软雅黑" w:hAnsi="微软雅黑" w:cs="微软雅黑"/>
          <w:b/>
          <w:bCs/>
          <w:color w:val="0000FF"/>
          <w:kern w:val="0"/>
          <w:sz w:val="24"/>
          <w:szCs w:val="24"/>
          <w:highlight w:val="none"/>
          <w:lang w:eastAsia="zh-CN"/>
        </w:rPr>
        <w:t>西妥昔单抗（Cetuximab）、帕尼单抗（Panitumumab）</w:t>
      </w:r>
      <w:r>
        <w:rPr>
          <w:rFonts w:hint="eastAsia" w:ascii="微软雅黑" w:hAnsi="微软雅黑" w:cs="微软雅黑"/>
          <w:b/>
          <w:bCs/>
          <w:color w:val="0000FF"/>
          <w:kern w:val="0"/>
          <w:sz w:val="24"/>
          <w:szCs w:val="24"/>
          <w:highlight w:val="none"/>
          <w:u w:val="single"/>
          <w:lang w:eastAsia="zh-CN"/>
        </w:rPr>
        <w:fldChar w:fldCharType="end"/>
      </w:r>
    </w:p>
    <w:p w14:paraId="440C4DFE">
      <w:pPr>
        <w:spacing w:after="0"/>
        <w:jc w:val="both"/>
        <w:outlineLvl w:val="9"/>
        <w:rPr>
          <w:rFonts w:hint="eastAsia"/>
          <w:b/>
          <w:bCs/>
          <w:kern w:val="2"/>
          <w:highlight w:val="none"/>
          <w:lang w:eastAsia="zh-CN"/>
        </w:rPr>
      </w:pPr>
      <w:r>
        <w:rPr>
          <w:rFonts w:hint="eastAsia"/>
          <w:b/>
          <w:bCs/>
          <w:kern w:val="2"/>
          <w:highlight w:val="none"/>
          <w:lang w:eastAsia="zh-CN"/>
        </w:rPr>
        <w:t>基因变异与药物关联分析：</w:t>
      </w:r>
    </w:p>
    <w:p w14:paraId="02D0E55D">
      <w:pPr>
        <w:spacing w:after="0"/>
        <w:ind w:firstLine="420" w:firstLineChars="200"/>
        <w:jc w:val="both"/>
        <w:outlineLvl w:val="9"/>
        <w:rPr>
          <w:rFonts w:hint="eastAsia" w:ascii="微软雅黑" w:hAnsi="微软雅黑"/>
          <w:color w:val="auto"/>
          <w:kern w:val="2"/>
          <w:sz w:val="21"/>
          <w:szCs w:val="21"/>
          <w:highlight w:val="none"/>
          <w:lang w:val="en-US" w:eastAsia="zh-CN"/>
        </w:rPr>
      </w:pPr>
      <w:r>
        <w:rPr>
          <w:rFonts w:hint="eastAsia" w:ascii="微软雅黑" w:hAnsi="微软雅黑" w:eastAsia="微软雅黑" w:cs="Arial Unicode MS"/>
          <w:color w:val="auto"/>
          <w:kern w:val="2"/>
          <w:sz w:val="21"/>
          <w:szCs w:val="21"/>
          <w:highlight w:val="none"/>
          <w:lang w:val="en-US" w:eastAsia="zh-CN"/>
        </w:rPr>
        <w:t>该样本检出KRAS基因</w:t>
      </w:r>
      <w:r>
        <w:rPr>
          <w:rFonts w:hint="eastAsia" w:ascii="微软雅黑" w:hAnsi="微软雅黑" w:cs="Arial Unicode MS"/>
          <w:color w:val="auto"/>
          <w:kern w:val="2"/>
          <w:sz w:val="21"/>
          <w:szCs w:val="21"/>
          <w:highlight w:val="none"/>
          <w:lang w:val="en-US" w:eastAsia="zh-CN"/>
        </w:rPr>
        <w:t>c.34G&gt;A</w:t>
      </w:r>
      <w:r>
        <w:rPr>
          <w:rFonts w:hint="eastAsia" w:ascii="微软雅黑" w:hAnsi="微软雅黑" w:eastAsia="微软雅黑" w:cs="Arial Unicode MS"/>
          <w:color w:val="auto"/>
          <w:kern w:val="2"/>
          <w:sz w:val="21"/>
          <w:szCs w:val="21"/>
          <w:highlight w:val="none"/>
          <w:lang w:val="en-US" w:eastAsia="zh-CN"/>
        </w:rPr>
        <w:t>，</w:t>
      </w:r>
      <w:r>
        <w:rPr>
          <w:rFonts w:hint="eastAsia" w:ascii="微软雅黑" w:hAnsi="微软雅黑" w:cs="Arial Unicode MS"/>
          <w:color w:val="auto"/>
          <w:kern w:val="2"/>
          <w:sz w:val="21"/>
          <w:szCs w:val="21"/>
          <w:highlight w:val="none"/>
          <w:lang w:val="en-US" w:eastAsia="zh-CN"/>
        </w:rPr>
        <w:t>p.G12S</w:t>
      </w:r>
      <w:r>
        <w:rPr>
          <w:rFonts w:hint="eastAsia" w:ascii="微软雅黑" w:hAnsi="微软雅黑" w:eastAsia="微软雅黑" w:cs="Arial Unicode MS"/>
          <w:color w:val="auto"/>
          <w:kern w:val="2"/>
          <w:sz w:val="21"/>
          <w:szCs w:val="21"/>
          <w:highlight w:val="none"/>
          <w:lang w:val="en-US" w:eastAsia="zh-CN"/>
        </w:rPr>
        <w:t>错义突变，为已知激活突变，对蛋白功能有重要影响。</w:t>
      </w:r>
      <w:r>
        <w:rPr>
          <w:rFonts w:hint="eastAsia" w:ascii="微软雅黑" w:hAnsi="微软雅黑"/>
          <w:color w:val="auto"/>
          <w:kern w:val="2"/>
          <w:sz w:val="21"/>
          <w:szCs w:val="21"/>
          <w:highlight w:val="none"/>
          <w:lang w:val="en-US" w:eastAsia="zh-CN"/>
        </w:rPr>
        <w:t>已被证实</w:t>
      </w:r>
      <w:r>
        <w:rPr>
          <w:rFonts w:hint="eastAsia" w:ascii="微软雅黑" w:hAnsi="微软雅黑" w:eastAsia="微软雅黑" w:cs="Arial Unicode MS"/>
          <w:color w:val="auto"/>
          <w:kern w:val="2"/>
          <w:sz w:val="21"/>
          <w:szCs w:val="21"/>
          <w:highlight w:val="none"/>
          <w:lang w:val="en-US" w:eastAsia="zh-CN"/>
        </w:rPr>
        <w:t>KRAS基因</w:t>
      </w:r>
      <w:r>
        <w:rPr>
          <w:rFonts w:hint="eastAsia" w:ascii="微软雅黑" w:hAnsi="微软雅黑" w:cs="Arial Unicode MS"/>
          <w:color w:val="auto"/>
          <w:kern w:val="2"/>
          <w:sz w:val="21"/>
          <w:szCs w:val="21"/>
          <w:highlight w:val="none"/>
          <w:lang w:val="en-US" w:eastAsia="zh-CN"/>
        </w:rPr>
        <w:t>激活突变</w:t>
      </w:r>
      <w:r>
        <w:rPr>
          <w:rFonts w:hint="eastAsia" w:ascii="微软雅黑" w:hAnsi="微软雅黑"/>
          <w:color w:val="auto"/>
          <w:kern w:val="2"/>
          <w:sz w:val="21"/>
          <w:szCs w:val="21"/>
          <w:highlight w:val="none"/>
          <w:lang w:val="en-US" w:eastAsia="zh-CN"/>
        </w:rPr>
        <w:t>是anti-EGFR抗体药物（如西妥昔单抗、帕尼单抗）耐药的标志[20100961]。因此预测患者可能无法从anti-EGFR抗体药物治疗中获益。</w:t>
      </w:r>
    </w:p>
    <w:p w14:paraId="6E48A892">
      <w:pPr>
        <w:spacing w:after="0"/>
        <w:ind w:firstLine="420" w:firstLineChars="200"/>
        <w:jc w:val="both"/>
        <w:outlineLvl w:val="9"/>
        <w:rPr>
          <w:rFonts w:hint="eastAsia"/>
          <w:color w:val="auto"/>
          <w:kern w:val="2"/>
          <w:highlight w:val="none"/>
        </w:rPr>
      </w:pPr>
      <w:r>
        <w:rPr>
          <w:rFonts w:hint="eastAsia" w:ascii="微软雅黑" w:hAnsi="微软雅黑" w:cs="Arial Unicode MS"/>
          <w:color w:val="auto"/>
          <w:kern w:val="2"/>
          <w:sz w:val="21"/>
          <w:szCs w:val="21"/>
          <w:highlight w:val="none"/>
          <w:lang w:val="en-US" w:eastAsia="zh-CN"/>
        </w:rPr>
        <w:t>2022年</w:t>
      </w:r>
      <w:r>
        <w:rPr>
          <w:rFonts w:hint="eastAsia" w:ascii="微软雅黑" w:hAnsi="微软雅黑" w:cs="微软雅黑"/>
          <w:i w:val="0"/>
          <w:color w:val="auto"/>
          <w:kern w:val="2"/>
          <w:sz w:val="21"/>
          <w:szCs w:val="21"/>
          <w:highlight w:val="none"/>
          <w:lang w:val="en-US" w:eastAsia="zh-CN"/>
        </w:rPr>
        <w:t>结肠癌和直肠癌NCCN指南中指出，转移性结直肠癌如需使用西妥昔单抗或帕尼单抗治疗，需检测肿瘤</w:t>
      </w:r>
      <w:r>
        <w:rPr>
          <w:rFonts w:hint="eastAsia" w:ascii="微软雅黑" w:hAnsi="微软雅黑"/>
          <w:color w:val="auto"/>
          <w:kern w:val="1"/>
          <w:sz w:val="21"/>
          <w:szCs w:val="21"/>
          <w:highlight w:val="none"/>
          <w:lang w:val="en-US" w:eastAsia="zh-CN"/>
        </w:rPr>
        <w:t>KRAS/NRAS/BRAF</w:t>
      </w:r>
      <w:r>
        <w:rPr>
          <w:rFonts w:hint="eastAsia" w:ascii="微软雅黑" w:hAnsi="微软雅黑" w:cs="微软雅黑"/>
          <w:i w:val="0"/>
          <w:color w:val="auto"/>
          <w:kern w:val="2"/>
          <w:sz w:val="21"/>
          <w:szCs w:val="21"/>
          <w:highlight w:val="none"/>
          <w:lang w:val="en-US" w:eastAsia="zh-CN"/>
        </w:rPr>
        <w:t>基因的状态，仅限</w:t>
      </w:r>
      <w:r>
        <w:rPr>
          <w:rFonts w:hint="eastAsia" w:ascii="微软雅黑" w:hAnsi="微软雅黑"/>
          <w:color w:val="auto"/>
          <w:kern w:val="1"/>
          <w:sz w:val="21"/>
          <w:szCs w:val="21"/>
          <w:highlight w:val="none"/>
          <w:lang w:val="en-US" w:eastAsia="zh-CN"/>
        </w:rPr>
        <w:t>KRAS/NRAS/BRAF</w:t>
      </w:r>
      <w:r>
        <w:rPr>
          <w:rFonts w:hint="eastAsia" w:ascii="微软雅黑" w:hAnsi="微软雅黑" w:cs="微软雅黑"/>
          <w:i w:val="0"/>
          <w:color w:val="auto"/>
          <w:kern w:val="2"/>
          <w:sz w:val="21"/>
          <w:szCs w:val="21"/>
          <w:highlight w:val="none"/>
          <w:lang w:val="en-US" w:eastAsia="zh-CN"/>
        </w:rPr>
        <w:t>基因野生型患者使用，突变型患者基本无效。</w:t>
      </w:r>
      <w:r>
        <w:rPr>
          <w:rFonts w:hint="eastAsia" w:ascii="微软雅黑" w:hAnsi="微软雅黑"/>
          <w:color w:val="auto"/>
          <w:kern w:val="2"/>
          <w:sz w:val="21"/>
          <w:szCs w:val="21"/>
          <w:highlight w:val="none"/>
          <w:lang w:val="en-US" w:eastAsia="zh-CN"/>
        </w:rPr>
        <w:t>本次样本检测到KRAS重要突变，可能会对西妥昔单抗或帕尼单抗用药疗效呈负相关性。</w:t>
      </w:r>
      <w:r>
        <w:rPr>
          <w:rFonts w:hint="eastAsia" w:ascii="微软雅黑" w:hAnsi="微软雅黑"/>
          <w:color w:val="auto"/>
          <w:kern w:val="1"/>
          <w:sz w:val="21"/>
          <w:szCs w:val="21"/>
          <w:highlight w:val="none"/>
          <w:lang w:val="en-US" w:eastAsia="zh-CN"/>
        </w:rPr>
        <w:t>FDA和NMPA批准西妥昔单抗用于治疗结直肠癌和头颈部鳞状细胞癌</w:t>
      </w:r>
      <w:r>
        <w:rPr>
          <w:rFonts w:hint="eastAsia" w:ascii="微软雅黑" w:hAnsi="微软雅黑"/>
          <w:color w:val="auto"/>
          <w:kern w:val="1"/>
          <w:sz w:val="21"/>
          <w:szCs w:val="21"/>
          <w:highlight w:val="none"/>
        </w:rPr>
        <w:t>。</w:t>
      </w:r>
      <w:r>
        <w:rPr>
          <w:rFonts w:hint="eastAsia" w:ascii="微软雅黑" w:hAnsi="微软雅黑" w:eastAsia="微软雅黑"/>
          <w:b w:val="0"/>
          <w:bCs w:val="0"/>
          <w:color w:val="auto"/>
          <w:kern w:val="2"/>
          <w:sz w:val="21"/>
          <w:szCs w:val="21"/>
          <w:highlight w:val="none"/>
        </w:rPr>
        <w:t>FDA批准帕尼单抗用于治疗转移性结直肠癌。</w:t>
      </w:r>
    </w:p>
    <w:p w14:paraId="1735227F">
      <w:pPr>
        <w:spacing w:after="0"/>
        <w:jc w:val="both"/>
        <w:outlineLvl w:val="9"/>
        <w:rPr>
          <w:rFonts w:hint="eastAsia"/>
          <w:b/>
          <w:bCs/>
          <w:kern w:val="2"/>
          <w:highlight w:val="none"/>
          <w:lang w:eastAsia="zh-CN"/>
        </w:rPr>
      </w:pPr>
      <w:r>
        <w:rPr>
          <w:rFonts w:hint="eastAsia"/>
          <w:b/>
          <w:bCs/>
          <w:kern w:val="2"/>
          <w:highlight w:val="none"/>
          <w:lang w:eastAsia="zh-CN"/>
        </w:rPr>
        <w:t>药物疗效临床解析：</w:t>
      </w:r>
    </w:p>
    <w:p w14:paraId="220F9744">
      <w:pPr>
        <w:keepNext w:val="0"/>
        <w:keepLines w:val="0"/>
        <w:pageBreakBefore w:val="0"/>
        <w:widowControl/>
        <w:kinsoku/>
        <w:wordWrap/>
        <w:overflowPunct/>
        <w:topLinePunct w:val="0"/>
        <w:autoSpaceDE/>
        <w:autoSpaceDN/>
        <w:bidi w:val="0"/>
        <w:adjustRightInd w:val="0"/>
        <w:snapToGrid w:val="0"/>
        <w:spacing w:after="0" w:line="240" w:lineRule="auto"/>
        <w:ind w:left="0" w:leftChars="0" w:right="0" w:rightChars="0" w:firstLine="420" w:firstLineChars="200"/>
        <w:jc w:val="both"/>
        <w:textAlignment w:val="auto"/>
        <w:outlineLvl w:val="9"/>
        <w:rPr>
          <w:rFonts w:hint="eastAsia" w:ascii="微软雅黑" w:hAnsi="微软雅黑"/>
          <w:color w:val="auto"/>
          <w:kern w:val="2"/>
          <w:sz w:val="21"/>
          <w:szCs w:val="21"/>
          <w:highlight w:val="none"/>
          <w:lang w:val="en-US" w:eastAsia="zh-CN"/>
        </w:rPr>
      </w:pPr>
      <w:r>
        <w:rPr>
          <w:rFonts w:hint="eastAsia" w:ascii="微软雅黑" w:hAnsi="微软雅黑"/>
          <w:color w:val="auto"/>
          <w:kern w:val="2"/>
          <w:sz w:val="21"/>
          <w:szCs w:val="21"/>
          <w:highlight w:val="none"/>
          <w:lang w:val="en-US" w:eastAsia="zh-CN"/>
        </w:rPr>
        <w:t>西妥昔单抗：在包含30名结直肠癌患者的一项临床试验中，19名患者对西妥昔单抗不敏感，其中13名患者携带KRAS基因突变，而在11名对西妥昔单抗敏感的患者中没有检测到KRAS突变。KRAS基因突变与患者缺乏对西妥昔单抗的响应密切相关。即使将3名接受过西妥昔单抗联合FOLFIRI作为一线治疗的患者排除在外，差异依然显著。在余下的27名患者中，KRAS基因野生型患者的总生存期显著高于携带KRAS基因突变的患者。在这项试验中，KRAS基因野生型患者的中位总生存期高于携带KRAS突变的患者（16.3个月vs.6.9个月）。该试验表明KRAS基因野生型的结直肠癌患者更容易对西妥昔单抗敏感并获得更长的生存期。KRAS基因突变是患者对西妥昔单抗耐药的标志，并且与较差的预后相关[16618717]。在另一项试验中，100名患有转移性结直肠癌的患者参与西妥昔单抗单药治疗。试验结果显示，KRAS基因野生型患者的疾病控制率显著高于携带 KRAS基因突变的患者，该试验同样表明KRAS基因野生型的患者更能从西妥昔单抗的治疗中获益[17664471]。</w:t>
      </w:r>
      <w:r>
        <w:rPr>
          <w:rFonts w:hint="eastAsia" w:ascii="微软雅黑" w:hAnsi="微软雅黑"/>
          <w:color w:val="auto"/>
          <w:kern w:val="2"/>
          <w:sz w:val="21"/>
          <w:szCs w:val="21"/>
          <w:highlight w:val="none"/>
          <w:lang w:eastAsia="zh-CN"/>
        </w:rPr>
        <w:t>一项纳入了</w:t>
      </w:r>
      <w:r>
        <w:rPr>
          <w:rFonts w:hint="eastAsia" w:ascii="微软雅黑" w:hAnsi="微软雅黑"/>
          <w:color w:val="auto"/>
          <w:kern w:val="2"/>
          <w:sz w:val="21"/>
          <w:szCs w:val="21"/>
          <w:highlight w:val="none"/>
          <w:lang w:val="en-US" w:eastAsia="zh-CN"/>
        </w:rPr>
        <w:t>59例难治性转移性结直肠癌患者的</w:t>
      </w:r>
      <w:r>
        <w:rPr>
          <w:rFonts w:hint="eastAsia" w:ascii="微软雅黑" w:hAnsi="微软雅黑"/>
          <w:color w:val="auto"/>
          <w:kern w:val="2"/>
          <w:sz w:val="21"/>
          <w:szCs w:val="21"/>
          <w:highlight w:val="none"/>
          <w:lang w:eastAsia="zh-CN"/>
        </w:rPr>
        <w:t>研究</w:t>
      </w:r>
      <w:r>
        <w:rPr>
          <w:rFonts w:hint="eastAsia" w:ascii="微软雅黑" w:hAnsi="微软雅黑"/>
          <w:color w:val="auto"/>
          <w:kern w:val="2"/>
          <w:sz w:val="21"/>
          <w:szCs w:val="21"/>
          <w:highlight w:val="none"/>
          <w:lang w:val="en-US" w:eastAsia="zh-CN"/>
        </w:rPr>
        <w:t>，旨在评估西妥昔单抗加化疗的治疗效果。研究证实具有KRAS突变的患者对治疗无反应[17375050]。</w:t>
      </w:r>
    </w:p>
    <w:p w14:paraId="31CDCF0A">
      <w:pPr>
        <w:adjustRightInd w:val="0"/>
        <w:snapToGrid w:val="0"/>
        <w:spacing w:after="0"/>
        <w:ind w:firstLine="420" w:firstLineChars="200"/>
        <w:jc w:val="both"/>
        <w:outlineLvl w:val="9"/>
        <w:rPr>
          <w:rFonts w:hint="eastAsia" w:ascii="微软雅黑" w:hAnsi="微软雅黑" w:cs="Arial Unicode MS"/>
          <w:kern w:val="2"/>
          <w:sz w:val="21"/>
          <w:szCs w:val="21"/>
          <w:highlight w:val="none"/>
          <w:lang w:eastAsia="zh-CN"/>
        </w:rPr>
      </w:pPr>
      <w:r>
        <w:rPr>
          <w:rFonts w:hint="eastAsia" w:ascii="微软雅黑" w:hAnsi="微软雅黑"/>
          <w:color w:val="auto"/>
          <w:kern w:val="2"/>
          <w:sz w:val="21"/>
          <w:szCs w:val="21"/>
          <w:highlight w:val="none"/>
          <w:lang w:val="en-US" w:eastAsia="zh-CN"/>
        </w:rPr>
        <w:t>帕尼单抗：一项试验旨在评估含KRAS、BRAF或PIK3CA基因突变的患者对帕尼单抗单药治疗的耐受性。从3个评估帕尼单抗治疗转移性结直肠癌疗效的临床Ⅱ期试验中挑选出62名患者进行评估，通过测序确定患者DNA中基因突变情况。结果显示，62名患者中，有24名（38.7%）携带KRAS基因突变。在KRAS野生型患者中，11%的患者对帕尼单抗具有部分响应（PR），53%的患者在治疗后病情稳定（SD），37%的患者疾病进展（PD）。在KRAS基因突变患者中，有21%的患者病情稳定，79%的患者疾病进展，没有患者对帕尼单抗产生响应。由此看出，KRAS基因突变与患者对帕尼单抗治疗后响应的缺失密切相关（PR vs. SD vs. PD; P=0.0028）。野生型KRAS患者与携带KRAS 基因突变患者的无进展生存期风险比为0.4（95% CI, 0.2-0.7），总体生存期的风险比为0.5（95% CI, 0.3-0.9）。这些数据表明，携带KRAS激活突变的转移性结直肠癌患者不太可能对帕尼单抗单药治疗产生响应[18621636]。在另一项结直肠癌患者的Ⅲ期临床试验中，KRAS基因野生型的患者和携带KRAS基因突变的患者对帕尼单抗的响应率分别为17%和0%[23066310]。三项随机Ⅲ期试验研究的回顾性分析，评估了KRAS密码子12和13突变型对转移性结直肠癌患者使用帕尼单抗的影响，结果显示具有KRAS密码子12和13突变型的患者不能受益于帕尼单抗治疗[23182985]。</w:t>
      </w:r>
    </w:p>
    <w:p w14:paraId="72E2E25E">
      <w:pPr>
        <w:keepNext w:val="0"/>
        <w:keepLines w:val="0"/>
        <w:pageBreakBefore w:val="0"/>
        <w:widowControl/>
        <w:numPr>
          <w:ilvl w:val="0"/>
          <w:numId w:val="13"/>
        </w:numPr>
        <w:kinsoku/>
        <w:wordWrap/>
        <w:overflowPunct/>
        <w:topLinePunct w:val="0"/>
        <w:autoSpaceDE/>
        <w:autoSpaceDN/>
        <w:bidi w:val="0"/>
        <w:adjustRightInd w:val="0"/>
        <w:snapToGrid w:val="0"/>
        <w:spacing w:before="200" w:afterLines="0"/>
        <w:ind w:left="420" w:hanging="420"/>
        <w:jc w:val="both"/>
        <w:textAlignment w:val="auto"/>
        <w:rPr>
          <w:rFonts w:ascii="微软雅黑" w:hAnsi="微软雅黑" w:cs="微软雅黑"/>
          <w:b/>
          <w:bCs/>
          <w:sz w:val="24"/>
          <w:szCs w:val="24"/>
          <w:highlight w:val="none"/>
        </w:rPr>
      </w:pPr>
      <w:r>
        <w:rPr>
          <w:rFonts w:hint="eastAsia" w:ascii="微软雅黑" w:hAnsi="微软雅黑" w:cs="微软雅黑"/>
          <w:b/>
          <w:bCs/>
          <w:color w:val="0000FF"/>
          <w:sz w:val="24"/>
          <w:szCs w:val="24"/>
          <w:highlight w:val="none"/>
          <w:u w:val="single"/>
          <w:lang w:eastAsia="zh-CN"/>
        </w:rPr>
        <w:fldChar w:fldCharType="begin"/>
      </w:r>
      <w:r>
        <w:rPr>
          <w:rFonts w:hint="eastAsia" w:ascii="微软雅黑" w:hAnsi="微软雅黑" w:cs="微软雅黑"/>
          <w:b/>
          <w:bCs/>
          <w:color w:val="0000FF"/>
          <w:sz w:val="24"/>
          <w:szCs w:val="24"/>
          <w:highlight w:val="none"/>
          <w:u w:val="single"/>
          <w:lang w:eastAsia="zh-CN"/>
        </w:rPr>
        <w:instrText xml:space="preserve"> HYPERLINK \l "重要基因变异及潜在靶向药物信息" </w:instrText>
      </w:r>
      <w:r>
        <w:rPr>
          <w:rFonts w:hint="eastAsia" w:ascii="微软雅黑" w:hAnsi="微软雅黑" w:cs="微软雅黑"/>
          <w:b/>
          <w:bCs/>
          <w:color w:val="0000FF"/>
          <w:sz w:val="24"/>
          <w:szCs w:val="24"/>
          <w:highlight w:val="none"/>
          <w:u w:val="single"/>
          <w:lang w:eastAsia="zh-CN"/>
        </w:rPr>
        <w:fldChar w:fldCharType="separate"/>
      </w:r>
      <w:r>
        <w:rPr>
          <w:rStyle w:val="21"/>
          <w:rFonts w:hint="eastAsia" w:ascii="微软雅黑" w:hAnsi="微软雅黑" w:cs="微软雅黑"/>
          <w:b/>
          <w:bCs/>
          <w:color w:val="0000FF"/>
          <w:sz w:val="24"/>
          <w:szCs w:val="24"/>
          <w:highlight w:val="none"/>
          <w:lang w:eastAsia="zh-CN"/>
        </w:rPr>
        <w:t>依维莫司（Everolimus）</w:t>
      </w:r>
      <w:r>
        <w:rPr>
          <w:rFonts w:hint="eastAsia" w:ascii="微软雅黑" w:hAnsi="微软雅黑" w:cs="微软雅黑"/>
          <w:b/>
          <w:bCs/>
          <w:color w:val="0000FF"/>
          <w:sz w:val="24"/>
          <w:szCs w:val="24"/>
          <w:highlight w:val="none"/>
          <w:u w:val="single"/>
          <w:lang w:eastAsia="zh-CN"/>
        </w:rPr>
        <w:fldChar w:fldCharType="end"/>
      </w:r>
    </w:p>
    <w:p w14:paraId="0C399CE6">
      <w:pPr>
        <w:spacing w:after="0"/>
        <w:jc w:val="both"/>
        <w:rPr>
          <w:b/>
          <w:bCs/>
          <w:kern w:val="2"/>
          <w:highlight w:val="none"/>
        </w:rPr>
      </w:pPr>
      <w:r>
        <w:rPr>
          <w:rFonts w:hint="eastAsia"/>
          <w:b/>
          <w:bCs/>
          <w:kern w:val="2"/>
          <w:highlight w:val="none"/>
        </w:rPr>
        <w:t>基因变异与药物关联分析：</w:t>
      </w:r>
    </w:p>
    <w:p w14:paraId="3590D854">
      <w:pPr>
        <w:spacing w:after="0"/>
        <w:ind w:firstLine="420" w:firstLineChars="200"/>
        <w:jc w:val="both"/>
        <w:rPr>
          <w:rFonts w:ascii="微软雅黑" w:hAnsi="微软雅黑" w:cs="Arial Unicode MS"/>
          <w:kern w:val="2"/>
          <w:sz w:val="21"/>
          <w:szCs w:val="21"/>
          <w:highlight w:val="none"/>
        </w:rPr>
      </w:pPr>
      <w:r>
        <w:rPr>
          <w:rFonts w:hint="eastAsia" w:ascii="微软雅黑" w:hAnsi="微软雅黑" w:eastAsia="微软雅黑" w:cs="Arial Unicode MS"/>
          <w:color w:val="auto"/>
          <w:kern w:val="2"/>
          <w:sz w:val="21"/>
          <w:szCs w:val="21"/>
          <w:highlight w:val="none"/>
          <w:lang w:val="en-US" w:eastAsia="zh-CN"/>
        </w:rPr>
        <w:t>该样本检出KRAS基因</w:t>
      </w:r>
      <w:r>
        <w:rPr>
          <w:rFonts w:hint="eastAsia" w:ascii="微软雅黑" w:hAnsi="微软雅黑" w:cs="微软雅黑"/>
          <w:sz w:val="21"/>
          <w:lang w:eastAsia="zh-CN"/>
        </w:rPr>
        <w:t>c.34G&gt;A</w:t>
      </w:r>
      <w:r>
        <w:rPr>
          <w:rFonts w:hint="eastAsia" w:ascii="微软雅黑" w:hAnsi="微软雅黑" w:cs="微软雅黑"/>
          <w:sz w:val="21"/>
        </w:rPr>
        <w:t>，</w:t>
      </w:r>
      <w:r>
        <w:rPr>
          <w:rFonts w:hint="eastAsia" w:ascii="微软雅黑" w:hAnsi="微软雅黑" w:cs="微软雅黑"/>
          <w:sz w:val="21"/>
          <w:lang w:eastAsia="zh-CN"/>
        </w:rPr>
        <w:t>p.G12S</w:t>
      </w:r>
      <w:r>
        <w:rPr>
          <w:rFonts w:hint="eastAsia" w:ascii="微软雅黑" w:hAnsi="微软雅黑" w:cs="微软雅黑"/>
          <w:sz w:val="21"/>
        </w:rPr>
        <w:t>错义突变</w:t>
      </w:r>
      <w:r>
        <w:rPr>
          <w:rFonts w:hint="eastAsia" w:ascii="微软雅黑" w:hAnsi="微软雅黑" w:eastAsia="微软雅黑" w:cs="Arial Unicode MS"/>
          <w:color w:val="auto"/>
          <w:kern w:val="2"/>
          <w:sz w:val="21"/>
          <w:szCs w:val="21"/>
          <w:highlight w:val="none"/>
          <w:lang w:val="en-US" w:eastAsia="zh-CN"/>
        </w:rPr>
        <w:t>，为已知激活突变，对蛋白功能有重要影响。</w:t>
      </w:r>
      <w:r>
        <w:rPr>
          <w:rFonts w:hint="eastAsia" w:ascii="微软雅黑" w:hAnsi="微软雅黑" w:cs="Arial Unicode MS"/>
          <w:color w:val="auto"/>
          <w:kern w:val="2"/>
          <w:sz w:val="21"/>
          <w:szCs w:val="21"/>
          <w:highlight w:val="none"/>
          <w:lang w:val="en-US" w:eastAsia="zh-CN"/>
        </w:rPr>
        <w:t>临床前研究表明，含有KRAS突变的结肠癌细胞系对依维莫司不敏感[</w:t>
      </w:r>
      <w:r>
        <w:rPr>
          <w:rFonts w:hint="eastAsia" w:ascii="微软雅黑" w:hAnsi="微软雅黑" w:cs="Arial Unicode MS"/>
          <w:color w:val="auto"/>
          <w:kern w:val="2"/>
          <w:sz w:val="21"/>
          <w:szCs w:val="21"/>
          <w:highlight w:val="none"/>
          <w:lang w:val="en-US" w:eastAsia="zh-CN"/>
        </w:rPr>
        <w:fldChar w:fldCharType="begin"/>
      </w:r>
      <w:r>
        <w:rPr>
          <w:rFonts w:hint="eastAsia" w:ascii="微软雅黑" w:hAnsi="微软雅黑" w:cs="Arial Unicode MS"/>
          <w:color w:val="auto"/>
          <w:kern w:val="2"/>
          <w:sz w:val="21"/>
          <w:szCs w:val="21"/>
          <w:highlight w:val="none"/>
          <w:lang w:val="en-US" w:eastAsia="zh-CN"/>
        </w:rPr>
        <w:instrText xml:space="preserve"> HYPERLINK "https://www.ncbi.nlm.nih.gov/pubmed/29285035" </w:instrText>
      </w:r>
      <w:r>
        <w:rPr>
          <w:rFonts w:hint="eastAsia" w:ascii="微软雅黑" w:hAnsi="微软雅黑" w:cs="Arial Unicode MS"/>
          <w:color w:val="auto"/>
          <w:kern w:val="2"/>
          <w:sz w:val="21"/>
          <w:szCs w:val="21"/>
          <w:highlight w:val="none"/>
          <w:lang w:val="en-US" w:eastAsia="zh-CN"/>
        </w:rPr>
        <w:fldChar w:fldCharType="separate"/>
      </w:r>
      <w:r>
        <w:rPr>
          <w:rFonts w:hint="eastAsia" w:ascii="微软雅黑" w:hAnsi="微软雅黑" w:cs="Arial Unicode MS"/>
          <w:color w:val="auto"/>
          <w:kern w:val="2"/>
          <w:sz w:val="21"/>
          <w:szCs w:val="21"/>
          <w:highlight w:val="none"/>
          <w:lang w:val="en-US" w:eastAsia="zh-CN"/>
        </w:rPr>
        <w:t>29285035</w:t>
      </w:r>
      <w:r>
        <w:rPr>
          <w:rFonts w:hint="eastAsia" w:ascii="微软雅黑" w:hAnsi="微软雅黑" w:cs="Arial Unicode MS"/>
          <w:color w:val="auto"/>
          <w:kern w:val="2"/>
          <w:sz w:val="21"/>
          <w:szCs w:val="21"/>
          <w:highlight w:val="none"/>
          <w:lang w:val="en-US" w:eastAsia="zh-CN"/>
        </w:rPr>
        <w:fldChar w:fldCharType="end"/>
      </w:r>
      <w:r>
        <w:rPr>
          <w:rFonts w:hint="eastAsia" w:ascii="微软雅黑" w:hAnsi="微软雅黑" w:cs="Arial Unicode MS"/>
          <w:color w:val="auto"/>
          <w:kern w:val="2"/>
          <w:sz w:val="21"/>
          <w:szCs w:val="21"/>
          <w:highlight w:val="none"/>
          <w:lang w:val="en-US" w:eastAsia="zh-CN"/>
        </w:rPr>
        <w:t>，28544747]。</w:t>
      </w:r>
      <w:r>
        <w:rPr>
          <w:rFonts w:hint="eastAsia" w:ascii="微软雅黑" w:hAnsi="微软雅黑" w:cs="Arial Unicode MS"/>
          <w:kern w:val="2"/>
          <w:sz w:val="21"/>
          <w:szCs w:val="21"/>
          <w:highlight w:val="none"/>
          <w:lang w:val="en-US" w:eastAsia="zh-CN"/>
        </w:rPr>
        <w:t>因此，该患者</w:t>
      </w:r>
      <w:r>
        <w:rPr>
          <w:rFonts w:hint="eastAsia" w:ascii="微软雅黑" w:hAnsi="微软雅黑" w:cs="Arial Unicode MS"/>
          <w:kern w:val="2"/>
          <w:sz w:val="21"/>
          <w:szCs w:val="21"/>
          <w:highlight w:val="none"/>
        </w:rPr>
        <w:t>可能</w:t>
      </w:r>
      <w:r>
        <w:rPr>
          <w:rFonts w:hint="eastAsia" w:ascii="微软雅黑" w:hAnsi="微软雅黑" w:cs="Arial Unicode MS"/>
          <w:kern w:val="2"/>
          <w:sz w:val="21"/>
          <w:szCs w:val="21"/>
          <w:highlight w:val="none"/>
          <w:lang w:val="en-US" w:eastAsia="zh-CN"/>
        </w:rPr>
        <w:t>对依维莫司</w:t>
      </w:r>
      <w:r>
        <w:rPr>
          <w:rFonts w:hint="eastAsia" w:ascii="微软雅黑" w:hAnsi="微软雅黑" w:cs="Arial Unicode MS"/>
          <w:kern w:val="2"/>
          <w:sz w:val="21"/>
          <w:szCs w:val="21"/>
          <w:highlight w:val="none"/>
        </w:rPr>
        <w:t>的治疗</w:t>
      </w:r>
      <w:r>
        <w:rPr>
          <w:rFonts w:hint="eastAsia" w:ascii="微软雅黑" w:hAnsi="微软雅黑" w:cs="Arial Unicode MS"/>
          <w:kern w:val="2"/>
          <w:sz w:val="21"/>
          <w:szCs w:val="21"/>
          <w:highlight w:val="none"/>
          <w:lang w:eastAsia="zh-CN"/>
        </w:rPr>
        <w:t>负相关</w:t>
      </w:r>
      <w:r>
        <w:rPr>
          <w:rFonts w:hint="eastAsia" w:ascii="微软雅黑" w:hAnsi="微软雅黑" w:cs="Arial Unicode MS"/>
          <w:kern w:val="2"/>
          <w:sz w:val="21"/>
          <w:szCs w:val="21"/>
          <w:highlight w:val="none"/>
        </w:rPr>
        <w:t>。</w:t>
      </w:r>
      <w:r>
        <w:rPr>
          <w:rFonts w:hint="eastAsia" w:ascii="微软雅黑" w:hAnsi="微软雅黑" w:cs="微软雅黑"/>
          <w:color w:val="auto"/>
          <w:sz w:val="21"/>
          <w:szCs w:val="21"/>
          <w:highlight w:val="none"/>
          <w:lang w:val="en-US" w:eastAsia="zh-CN"/>
        </w:rPr>
        <w:t>依维莫司已获FDA批准，用于治疗乳腺癌、神经内分泌瘤、肾癌等疾病，并已获NMPA批准，用于治疗肾癌、室管膜下巨细胞型星形细胞瘤。</w:t>
      </w:r>
    </w:p>
    <w:p w14:paraId="39EE1902">
      <w:pPr>
        <w:spacing w:after="0"/>
        <w:jc w:val="both"/>
        <w:rPr>
          <w:b/>
          <w:bCs/>
          <w:kern w:val="2"/>
          <w:highlight w:val="none"/>
        </w:rPr>
      </w:pPr>
      <w:r>
        <w:rPr>
          <w:rFonts w:hint="eastAsia"/>
          <w:b/>
          <w:bCs/>
          <w:kern w:val="2"/>
          <w:highlight w:val="none"/>
        </w:rPr>
        <w:t>药物疗效临床解析：</w:t>
      </w:r>
    </w:p>
    <w:p w14:paraId="3E3C5B8D">
      <w:pPr>
        <w:keepNext w:val="0"/>
        <w:keepLines w:val="0"/>
        <w:pageBreakBefore w:val="0"/>
        <w:widowControl/>
        <w:numPr>
          <w:ilvl w:val="0"/>
          <w:numId w:val="0"/>
        </w:numPr>
        <w:kinsoku/>
        <w:wordWrap/>
        <w:overflowPunct/>
        <w:topLinePunct w:val="0"/>
        <w:autoSpaceDE/>
        <w:autoSpaceDN/>
        <w:bidi w:val="0"/>
        <w:adjustRightInd/>
        <w:snapToGrid/>
        <w:spacing w:before="0" w:beforeLines="-2147483648" w:after="0" w:afterLines="-2147483648" w:afterAutospacing="0"/>
        <w:ind w:firstLine="420" w:firstLineChars="200"/>
        <w:jc w:val="both"/>
        <w:textAlignment w:val="auto"/>
        <w:outlineLvl w:val="2"/>
        <w:rPr>
          <w:rFonts w:hint="eastAsia" w:ascii="微软雅黑" w:hAnsi="微软雅黑" w:eastAsia="微软雅黑" w:cs="Arial Unicode MS"/>
          <w:color w:val="auto"/>
          <w:kern w:val="2"/>
          <w:sz w:val="21"/>
          <w:szCs w:val="21"/>
          <w:highlight w:val="none"/>
          <w:lang w:val="en-US" w:eastAsia="zh-CN"/>
        </w:rPr>
      </w:pPr>
      <w:r>
        <w:rPr>
          <w:rFonts w:hint="eastAsia" w:ascii="微软雅黑" w:hAnsi="微软雅黑" w:eastAsia="微软雅黑" w:cs="Arial Unicode MS"/>
          <w:color w:val="auto"/>
          <w:kern w:val="2"/>
          <w:sz w:val="21"/>
          <w:szCs w:val="21"/>
          <w:highlight w:val="none"/>
          <w:lang w:val="en-US" w:eastAsia="zh-CN"/>
        </w:rPr>
        <w:t>临床前研究表明，含有KRAS突变的结肠癌细胞系对依维莫司不敏感[</w:t>
      </w:r>
      <w:r>
        <w:rPr>
          <w:rFonts w:hint="eastAsia" w:ascii="微软雅黑" w:hAnsi="微软雅黑" w:eastAsia="微软雅黑" w:cs="Arial Unicode MS"/>
          <w:color w:val="auto"/>
          <w:kern w:val="2"/>
          <w:sz w:val="21"/>
          <w:szCs w:val="21"/>
          <w:highlight w:val="none"/>
          <w:lang w:val="en-US" w:eastAsia="zh-CN"/>
        </w:rPr>
        <w:fldChar w:fldCharType="begin"/>
      </w:r>
      <w:r>
        <w:rPr>
          <w:rFonts w:hint="eastAsia" w:ascii="微软雅黑" w:hAnsi="微软雅黑" w:eastAsia="微软雅黑" w:cs="Arial Unicode MS"/>
          <w:color w:val="auto"/>
          <w:kern w:val="2"/>
          <w:sz w:val="21"/>
          <w:szCs w:val="21"/>
          <w:highlight w:val="none"/>
          <w:lang w:val="en-US" w:eastAsia="zh-CN"/>
        </w:rPr>
        <w:instrText xml:space="preserve"> HYPERLINK "https://www.ncbi.nlm.nih.gov/pubmed/29285035" </w:instrText>
      </w:r>
      <w:r>
        <w:rPr>
          <w:rFonts w:hint="eastAsia" w:ascii="微软雅黑" w:hAnsi="微软雅黑" w:eastAsia="微软雅黑" w:cs="Arial Unicode MS"/>
          <w:color w:val="auto"/>
          <w:kern w:val="2"/>
          <w:sz w:val="21"/>
          <w:szCs w:val="21"/>
          <w:highlight w:val="none"/>
          <w:lang w:val="en-US" w:eastAsia="zh-CN"/>
        </w:rPr>
        <w:fldChar w:fldCharType="separate"/>
      </w:r>
      <w:r>
        <w:rPr>
          <w:rFonts w:hint="eastAsia" w:ascii="微软雅黑" w:hAnsi="微软雅黑" w:eastAsia="微软雅黑" w:cs="Arial Unicode MS"/>
          <w:color w:val="auto"/>
          <w:kern w:val="2"/>
          <w:sz w:val="21"/>
          <w:szCs w:val="21"/>
          <w:highlight w:val="none"/>
          <w:lang w:val="en-US" w:eastAsia="zh-CN"/>
        </w:rPr>
        <w:t>29285035</w:t>
      </w:r>
      <w:r>
        <w:rPr>
          <w:rFonts w:hint="eastAsia" w:ascii="微软雅黑" w:hAnsi="微软雅黑" w:eastAsia="微软雅黑" w:cs="Arial Unicode MS"/>
          <w:color w:val="auto"/>
          <w:kern w:val="2"/>
          <w:sz w:val="21"/>
          <w:szCs w:val="21"/>
          <w:highlight w:val="none"/>
          <w:lang w:val="en-US" w:eastAsia="zh-CN"/>
        </w:rPr>
        <w:fldChar w:fldCharType="end"/>
      </w:r>
      <w:r>
        <w:rPr>
          <w:rFonts w:hint="eastAsia" w:ascii="微软雅黑" w:hAnsi="微软雅黑" w:eastAsia="微软雅黑" w:cs="Arial Unicode MS"/>
          <w:color w:val="auto"/>
          <w:kern w:val="2"/>
          <w:sz w:val="21"/>
          <w:szCs w:val="21"/>
          <w:highlight w:val="none"/>
          <w:lang w:val="en-US" w:eastAsia="zh-CN"/>
        </w:rPr>
        <w:t>，28544747]。在转移性癌症患者中，携带KRAS突变的患者接受依维莫司治疗后对依维莫司缺乏疗效，12例具有KRAS突变的肿瘤患者中11例均出现疾病进展，而31例KRAS野生型患者中仅16例患者未从依维莫司治疗中获益[20664172]。</w:t>
      </w:r>
    </w:p>
    <w:p w14:paraId="72A4F619">
      <w:pPr>
        <w:numPr>
          <w:ilvl w:val="255"/>
          <w:numId w:val="0"/>
        </w:numPr>
        <w:adjustRightInd/>
        <w:snapToGrid/>
        <w:spacing w:after="100" w:afterAutospacing="1"/>
        <w:ind w:firstLine="420" w:firstLineChars="200"/>
        <w:jc w:val="both"/>
        <w:rPr>
          <w:rFonts w:ascii="微软雅黑" w:hAnsi="微软雅黑" w:cs="Arial Unicode MS"/>
          <w:kern w:val="2"/>
          <w:sz w:val="21"/>
          <w:szCs w:val="21"/>
        </w:rPr>
      </w:pPr>
      <w:r>
        <w:rPr>
          <w:rFonts w:hint="eastAsia" w:ascii="微软雅黑" w:hAnsi="微软雅黑" w:cs="Arial Unicode MS"/>
          <w:kern w:val="2"/>
          <w:sz w:val="21"/>
          <w:szCs w:val="21"/>
        </w:rPr>
        <w:br w:type="page"/>
      </w:r>
    </w:p>
    <w:p w14:paraId="062BD906">
      <w:pPr>
        <w:adjustRightInd/>
        <w:snapToGrid/>
        <w:spacing w:line="220" w:lineRule="atLeast"/>
        <w:outlineLvl w:val="0"/>
        <w:rPr>
          <w:rFonts w:ascii="微软雅黑" w:hAnsi="微软雅黑"/>
          <w:b/>
          <w:sz w:val="24"/>
          <w:szCs w:val="24"/>
        </w:rPr>
      </w:pPr>
      <w:bookmarkStart w:id="181" w:name="_Toc3535"/>
      <w:r>
        <w:rPr>
          <w:rFonts w:hint="eastAsia" w:ascii="微软雅黑" w:hAnsi="微软雅黑"/>
          <w:b/>
          <w:sz w:val="24"/>
          <w:szCs w:val="24"/>
        </w:rPr>
        <w:t>3. 阅读说明</w:t>
      </w:r>
      <w:bookmarkEnd w:id="181"/>
      <w:r>
        <w:commentReference w:id="29"/>
      </w:r>
    </w:p>
    <w:p w14:paraId="2871E026">
      <w:pPr>
        <w:jc w:val="both"/>
        <w:rPr>
          <w:rFonts w:ascii="微软雅黑" w:hAnsi="微软雅黑" w:cs="微软雅黑"/>
          <w:b/>
          <w:bCs/>
          <w:sz w:val="21"/>
          <w:szCs w:val="21"/>
        </w:rPr>
      </w:pPr>
      <w:r>
        <w:rPr>
          <w:rFonts w:hint="eastAsia" w:ascii="微软雅黑" w:hAnsi="微软雅黑"/>
          <w:b/>
          <w:sz w:val="24"/>
          <w:szCs w:val="24"/>
        </w:rPr>
        <w:t>3.1 文中参考文献及临床试验编号说明</w:t>
      </w:r>
    </w:p>
    <w:p w14:paraId="1EA78AC6">
      <w:pPr>
        <w:numPr>
          <w:ilvl w:val="0"/>
          <w:numId w:val="17"/>
        </w:numPr>
        <w:spacing w:after="0"/>
        <w:jc w:val="both"/>
        <w:rPr>
          <w:rFonts w:ascii="微软雅黑" w:hAnsi="微软雅黑" w:cs="微软雅黑"/>
          <w:sz w:val="21"/>
          <w:szCs w:val="21"/>
        </w:rPr>
      </w:pPr>
      <w:r>
        <w:rPr>
          <w:rFonts w:hint="eastAsia" w:ascii="微软雅黑" w:hAnsi="微软雅黑" w:cs="微软雅黑"/>
          <w:sz w:val="21"/>
          <w:szCs w:val="21"/>
        </w:rPr>
        <w:t>以上“基因变异及相应靶向药物解析”部分，文中方括号内的数字编号为参考文献的PMID号，可根据此编号对应报告后面的参考文献列表。如编号[17401425]，在文后对应的参考文献为PMID: 17401425 TP53 mutations and hepatocellular carcinoma: insights into the etiology and pathogenesis of liver cancer.。</w:t>
      </w:r>
    </w:p>
    <w:p w14:paraId="68AC0C30">
      <w:pPr>
        <w:numPr>
          <w:ilvl w:val="0"/>
          <w:numId w:val="17"/>
        </w:numPr>
        <w:spacing w:after="0"/>
        <w:jc w:val="both"/>
        <w:rPr>
          <w:rFonts w:ascii="微软雅黑" w:hAnsi="微软雅黑" w:cs="微软雅黑"/>
          <w:sz w:val="21"/>
          <w:szCs w:val="21"/>
        </w:rPr>
      </w:pPr>
      <w:r>
        <w:rPr>
          <w:rFonts w:hint="eastAsia" w:ascii="微软雅黑" w:hAnsi="微软雅黑" w:cs="微软雅黑"/>
          <w:sz w:val="21"/>
          <w:szCs w:val="21"/>
        </w:rPr>
        <w:t>以上“基因变异及相应靶向药物解析”部分，文中的方括号内以NCT、CTR或者ChiCTR开头的编号为国际、国内临床试验编号，如NCT02098343</w:t>
      </w:r>
      <w:bookmarkStart w:id="182" w:name="2"/>
      <w:r>
        <w:rPr>
          <w:rFonts w:hint="eastAsia" w:ascii="微软雅黑" w:hAnsi="微软雅黑" w:cs="微软雅黑"/>
          <w:sz w:val="21"/>
          <w:szCs w:val="21"/>
        </w:rPr>
        <w:t>、</w:t>
      </w:r>
      <w:r>
        <w:fldChar w:fldCharType="begin"/>
      </w:r>
      <w:r>
        <w:instrText xml:space="preserve"> HYPERLINK "http://www.chinadrugtrials.org.cn/eap/javascript:void(0)" </w:instrText>
      </w:r>
      <w:r>
        <w:fldChar w:fldCharType="separate"/>
      </w:r>
      <w:r>
        <w:rPr>
          <w:rFonts w:hint="eastAsia" w:ascii="微软雅黑" w:hAnsi="微软雅黑" w:cs="微软雅黑"/>
          <w:sz w:val="21"/>
          <w:szCs w:val="21"/>
        </w:rPr>
        <w:t>CTR20190768</w:t>
      </w:r>
      <w:bookmarkEnd w:id="182"/>
      <w:r>
        <w:rPr>
          <w:rFonts w:hint="eastAsia" w:ascii="微软雅黑" w:hAnsi="微软雅黑" w:cs="微软雅黑"/>
          <w:sz w:val="21"/>
          <w:szCs w:val="21"/>
        </w:rPr>
        <w:fldChar w:fldCharType="end"/>
      </w:r>
      <w:r>
        <w:rPr>
          <w:rFonts w:hint="eastAsia" w:ascii="微软雅黑" w:hAnsi="微软雅黑" w:cs="微软雅黑"/>
          <w:sz w:val="21"/>
          <w:szCs w:val="21"/>
        </w:rPr>
        <w:t>、</w:t>
      </w:r>
      <w:bookmarkStart w:id="183" w:name="OLE_LINK106"/>
      <w:r>
        <w:rPr>
          <w:rFonts w:hint="eastAsia" w:ascii="微软雅黑" w:hAnsi="微软雅黑" w:cs="微软雅黑"/>
          <w:sz w:val="21"/>
          <w:szCs w:val="21"/>
        </w:rPr>
        <w:t>ChiCTR</w:t>
      </w:r>
      <w:bookmarkEnd w:id="183"/>
      <w:r>
        <w:rPr>
          <w:rFonts w:hint="eastAsia" w:ascii="微软雅黑" w:hAnsi="微软雅黑" w:cs="微软雅黑"/>
          <w:sz w:val="21"/>
          <w:szCs w:val="21"/>
        </w:rPr>
        <w:t xml:space="preserve">1900021450，具体的入组条件和试验设计等临床试验细节，可以通过检索相应的临床试验官网获得。国际临床试验网站：https://www.clinicaltrials.gov </w:t>
      </w:r>
      <w:bookmarkStart w:id="184" w:name="OLE_LINK107"/>
      <w:r>
        <w:rPr>
          <w:rFonts w:hint="eastAsia" w:ascii="微软雅黑" w:hAnsi="微软雅黑" w:cs="微软雅黑"/>
          <w:sz w:val="21"/>
          <w:szCs w:val="21"/>
        </w:rPr>
        <w:t>国内临床试验网站：http://www.chinadrugtrials.org.cn</w:t>
      </w:r>
      <w:bookmarkStart w:id="185" w:name="OLE_LINK104"/>
      <w:r>
        <w:rPr>
          <w:rFonts w:hint="eastAsia" w:ascii="微软雅黑" w:hAnsi="微软雅黑" w:cs="微软雅黑"/>
          <w:sz w:val="21"/>
          <w:szCs w:val="21"/>
        </w:rPr>
        <w:t>、http://www.chictr.org.cn</w:t>
      </w:r>
      <w:bookmarkEnd w:id="184"/>
      <w:bookmarkEnd w:id="185"/>
      <w:r>
        <w:rPr>
          <w:rFonts w:hint="eastAsia" w:ascii="微软雅黑" w:hAnsi="微软雅黑" w:cs="微软雅黑"/>
          <w:sz w:val="21"/>
          <w:szCs w:val="21"/>
        </w:rPr>
        <w:t>。这三个网站的临床试验信息持续更新，患者也可以通过上述网站关注后续更多的参与临床试验机会。</w:t>
      </w:r>
    </w:p>
    <w:p w14:paraId="0631F4CA">
      <w:pPr>
        <w:spacing w:before="200"/>
        <w:jc w:val="both"/>
        <w:rPr>
          <w:rFonts w:ascii="微软雅黑" w:hAnsi="微软雅黑"/>
          <w:b/>
          <w:sz w:val="24"/>
          <w:szCs w:val="24"/>
        </w:rPr>
      </w:pPr>
      <w:r>
        <w:rPr>
          <w:rFonts w:hint="eastAsia" w:ascii="微软雅黑" w:hAnsi="微软雅黑"/>
          <w:b/>
          <w:sz w:val="24"/>
          <w:szCs w:val="24"/>
        </w:rPr>
        <w:t>3.2 文中医学及生物学常见名词说明</w:t>
      </w:r>
    </w:p>
    <w:p w14:paraId="0D933840">
      <w:pPr>
        <w:ind w:firstLine="420" w:firstLineChars="200"/>
        <w:jc w:val="both"/>
        <w:rPr>
          <w:rFonts w:ascii="微软雅黑" w:hAnsi="微软雅黑" w:cs="微软雅黑"/>
          <w:sz w:val="21"/>
          <w:szCs w:val="21"/>
        </w:rPr>
      </w:pPr>
      <w:r>
        <w:rPr>
          <w:rFonts w:hint="eastAsia" w:ascii="微软雅黑" w:hAnsi="微软雅黑" w:cs="微软雅黑"/>
          <w:sz w:val="21"/>
          <w:szCs w:val="21"/>
        </w:rPr>
        <w:t>报告文中涉及很多医学或生物学专有名词，以下是一些常见的名词简介，希望能对给您的阅读带来帮助。</w:t>
      </w:r>
    </w:p>
    <w:p w14:paraId="32063964">
      <w:pPr>
        <w:jc w:val="both"/>
        <w:rPr>
          <w:rFonts w:ascii="微软雅黑" w:hAnsi="微软雅黑" w:cs="微软雅黑"/>
          <w:sz w:val="21"/>
          <w:szCs w:val="21"/>
          <w:u w:val="single"/>
        </w:rPr>
      </w:pPr>
      <w:r>
        <w:rPr>
          <w:rFonts w:hint="eastAsia" w:ascii="微软雅黑" w:hAnsi="微软雅黑" w:cs="微软雅黑"/>
          <w:b/>
          <w:bCs/>
          <w:sz w:val="21"/>
          <w:szCs w:val="21"/>
          <w:u w:val="single"/>
        </w:rPr>
        <w:t>肿瘤临床疗效常用评价指标：</w:t>
      </w:r>
    </w:p>
    <w:p w14:paraId="0E7BE900">
      <w:pPr>
        <w:pStyle w:val="14"/>
        <w:numPr>
          <w:ilvl w:val="0"/>
          <w:numId w:val="18"/>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总生存期 （OS，Overall Survival）：</w:t>
      </w:r>
    </w:p>
    <w:p w14:paraId="2B7D77CE">
      <w:pPr>
        <w:pStyle w:val="14"/>
        <w:shd w:val="clear" w:color="auto" w:fill="FFFFFF"/>
        <w:spacing w:beforeAutospacing="0" w:afterAutospacing="0" w:line="264" w:lineRule="auto"/>
        <w:ind w:firstLine="420" w:firstLineChars="200"/>
        <w:jc w:val="both"/>
        <w:rPr>
          <w:rFonts w:ascii="微软雅黑" w:hAnsi="微软雅黑" w:cs="微软雅黑"/>
          <w:sz w:val="21"/>
          <w:szCs w:val="21"/>
          <w:shd w:val="clear" w:color="auto" w:fill="FFFFFF"/>
        </w:rPr>
      </w:pPr>
      <w:r>
        <w:rPr>
          <w:rFonts w:hint="eastAsia" w:ascii="微软雅黑" w:hAnsi="微软雅黑" w:cs="微软雅黑"/>
          <w:sz w:val="21"/>
          <w:szCs w:val="21"/>
          <w:shd w:val="clear" w:color="auto" w:fill="FFFFFF"/>
        </w:rPr>
        <w:t>OS是指从随机化（random assignment）开始至因任何原因引起死亡（death）的时间（失访患者为最后一次随访时间；研究结束时仍然存活患者，为随访结束日）。</w:t>
      </w:r>
    </w:p>
    <w:p w14:paraId="63DC42EE">
      <w:pPr>
        <w:pStyle w:val="14"/>
        <w:numPr>
          <w:ilvl w:val="0"/>
          <w:numId w:val="18"/>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中位总生存（mOS，median OS）：</w:t>
      </w:r>
    </w:p>
    <w:p w14:paraId="0B303769">
      <w:pPr>
        <w:pStyle w:val="14"/>
        <w:shd w:val="clear" w:color="auto" w:fill="FFFFFF"/>
        <w:spacing w:beforeAutospacing="0" w:afterAutospacing="0" w:line="264" w:lineRule="auto"/>
        <w:ind w:firstLine="420" w:firstLineChars="200"/>
        <w:jc w:val="both"/>
        <w:rPr>
          <w:rFonts w:ascii="微软雅黑" w:hAnsi="微软雅黑" w:cs="微软雅黑"/>
          <w:sz w:val="21"/>
          <w:szCs w:val="21"/>
        </w:rPr>
      </w:pPr>
      <w:r>
        <w:rPr>
          <w:rStyle w:val="20"/>
          <w:rFonts w:hint="eastAsia" w:ascii="微软雅黑" w:hAnsi="微软雅黑" w:cs="微软雅黑"/>
          <w:b w:val="0"/>
          <w:sz w:val="21"/>
          <w:szCs w:val="21"/>
          <w:shd w:val="clear" w:color="auto" w:fill="FFFFFF"/>
        </w:rPr>
        <w:t>mOS</w:t>
      </w:r>
      <w:r>
        <w:rPr>
          <w:rFonts w:hint="eastAsia" w:ascii="微软雅黑" w:hAnsi="微软雅黑" w:cs="微软雅黑"/>
          <w:sz w:val="21"/>
          <w:szCs w:val="21"/>
          <w:shd w:val="clear" w:color="auto" w:fill="FFFFFF"/>
        </w:rPr>
        <w:t>又称半数生存期，表示恰好有50％的个体尚存活的时间。由于截尾数据的存在，计算不同于普通的中位数，利用生存曲线，令生存率为50%时，推算出生存时间。</w:t>
      </w:r>
    </w:p>
    <w:p w14:paraId="01544B3C">
      <w:pPr>
        <w:pStyle w:val="14"/>
        <w:numPr>
          <w:ilvl w:val="0"/>
          <w:numId w:val="18"/>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无病生存期 （DFS，Disease Free Survival）：</w:t>
      </w:r>
    </w:p>
    <w:p w14:paraId="0B32572C">
      <w:pPr>
        <w:pStyle w:val="14"/>
        <w:shd w:val="clear" w:color="auto" w:fill="FFFFFF"/>
        <w:spacing w:beforeAutospacing="0" w:afterAutospacing="0" w:line="264" w:lineRule="auto"/>
        <w:ind w:firstLine="420" w:firstLineChars="200"/>
        <w:jc w:val="both"/>
        <w:rPr>
          <w:rFonts w:ascii="微软雅黑" w:hAnsi="微软雅黑" w:cs="微软雅黑"/>
          <w:sz w:val="21"/>
          <w:szCs w:val="21"/>
        </w:rPr>
      </w:pPr>
      <w:r>
        <w:rPr>
          <w:rFonts w:hint="eastAsia" w:ascii="微软雅黑" w:hAnsi="微软雅黑" w:cs="微软雅黑"/>
          <w:sz w:val="21"/>
          <w:szCs w:val="21"/>
          <w:shd w:val="clear" w:color="auto" w:fill="FFFFFF"/>
        </w:rPr>
        <w:t>DFS是指从随机化开始至第一次肿瘤复发/转移或由于任何原因导致受试者死亡的时间（失访患者为最后一次随访时间；研究结束时仍然存活患者，为随访结束日）。</w:t>
      </w:r>
      <w:r>
        <w:rPr>
          <w:rStyle w:val="20"/>
          <w:rFonts w:hint="eastAsia" w:ascii="微软雅黑" w:hAnsi="微软雅黑" w:cs="微软雅黑"/>
          <w:b w:val="0"/>
          <w:sz w:val="21"/>
          <w:szCs w:val="21"/>
          <w:shd w:val="clear" w:color="auto" w:fill="FFFFFF"/>
        </w:rPr>
        <w:t>通常作为根治术后的主要疗效指标</w:t>
      </w:r>
      <w:r>
        <w:rPr>
          <w:rFonts w:hint="eastAsia" w:ascii="微软雅黑" w:hAnsi="微软雅黑" w:cs="微软雅黑"/>
          <w:sz w:val="21"/>
          <w:szCs w:val="21"/>
          <w:shd w:val="clear" w:color="auto" w:fill="FFFFFF"/>
        </w:rPr>
        <w:t>。目前对DFS存在不同定义和解释，不同研究者之间在判断疾病复发或进展时容易产生偏倚。</w:t>
      </w:r>
    </w:p>
    <w:p w14:paraId="7F62D3AA">
      <w:pPr>
        <w:pStyle w:val="14"/>
        <w:numPr>
          <w:ilvl w:val="0"/>
          <w:numId w:val="18"/>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中位无病生存期（mDFS，median DFS）：</w:t>
      </w:r>
    </w:p>
    <w:p w14:paraId="0D1D6F88">
      <w:pPr>
        <w:pStyle w:val="14"/>
        <w:spacing w:beforeAutospacing="0" w:afterAutospacing="0" w:line="264" w:lineRule="auto"/>
        <w:ind w:firstLine="420" w:firstLineChars="200"/>
        <w:jc w:val="both"/>
        <w:rPr>
          <w:rStyle w:val="20"/>
          <w:rFonts w:ascii="微软雅黑" w:hAnsi="微软雅黑" w:cs="微软雅黑"/>
          <w:bCs/>
          <w:sz w:val="21"/>
          <w:szCs w:val="21"/>
          <w:shd w:val="clear" w:color="auto" w:fill="FFFFFF"/>
        </w:rPr>
      </w:pPr>
      <w:r>
        <w:rPr>
          <w:rFonts w:hint="eastAsia" w:ascii="微软雅黑" w:hAnsi="微软雅黑" w:cs="微软雅黑"/>
          <w:sz w:val="21"/>
          <w:szCs w:val="21"/>
          <w:shd w:val="clear" w:color="auto" w:fill="FFFFFF"/>
        </w:rPr>
        <w:t>mDFS又称半数无病生存期，表示恰好有50％的个体未出现复发/转移的时间。</w:t>
      </w:r>
    </w:p>
    <w:p w14:paraId="49199F8D">
      <w:pPr>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br w:type="page"/>
      </w:r>
    </w:p>
    <w:p w14:paraId="02D688F5">
      <w:pPr>
        <w:pStyle w:val="14"/>
        <w:numPr>
          <w:ilvl w:val="0"/>
          <w:numId w:val="18"/>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无进展生存期 （PFS，Progress Free Survival）：</w:t>
      </w:r>
    </w:p>
    <w:p w14:paraId="55123F75">
      <w:pPr>
        <w:pStyle w:val="14"/>
        <w:shd w:val="clear" w:color="auto" w:fill="FFFFFF"/>
        <w:spacing w:beforeAutospacing="0" w:afterAutospacing="0" w:line="264" w:lineRule="auto"/>
        <w:ind w:firstLine="420" w:firstLineChars="200"/>
        <w:jc w:val="both"/>
        <w:rPr>
          <w:rFonts w:ascii="微软雅黑" w:hAnsi="微软雅黑" w:cs="微软雅黑"/>
          <w:sz w:val="21"/>
          <w:szCs w:val="21"/>
        </w:rPr>
      </w:pPr>
      <w:r>
        <w:rPr>
          <w:rFonts w:hint="eastAsia" w:ascii="微软雅黑" w:hAnsi="微软雅黑" w:cs="微软雅黑"/>
          <w:sz w:val="21"/>
          <w:szCs w:val="21"/>
          <w:shd w:val="clear" w:color="auto" w:fill="FFFFFF"/>
        </w:rPr>
        <w:t>PFS指从随机分组开始到第一次肿瘤进展或死亡时间。</w:t>
      </w:r>
      <w:r>
        <w:rPr>
          <w:rStyle w:val="20"/>
          <w:rFonts w:hint="eastAsia" w:ascii="微软雅黑" w:hAnsi="微软雅黑" w:cs="微软雅黑"/>
          <w:b w:val="0"/>
          <w:sz w:val="21"/>
          <w:szCs w:val="21"/>
          <w:shd w:val="clear" w:color="auto" w:fill="FFFFFF"/>
        </w:rPr>
        <w:t>通常作为晚期肿瘤疗效评价的重要指标</w:t>
      </w:r>
      <w:r>
        <w:rPr>
          <w:rFonts w:hint="eastAsia" w:ascii="微软雅黑" w:hAnsi="微软雅黑" w:cs="微软雅黑"/>
          <w:sz w:val="21"/>
          <w:szCs w:val="21"/>
          <w:shd w:val="clear" w:color="auto" w:fill="FFFFFF"/>
        </w:rPr>
        <w:t>。目前对PFS存在不同定义和解释，不同研究者之间在判断疾病复发或进展时容易产生偏倚。</w:t>
      </w:r>
    </w:p>
    <w:p w14:paraId="78C81DD0">
      <w:pPr>
        <w:pStyle w:val="14"/>
        <w:numPr>
          <w:ilvl w:val="0"/>
          <w:numId w:val="18"/>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疾病进展时间 （TTP，Time To Progress）：</w:t>
      </w:r>
    </w:p>
    <w:p w14:paraId="2765E8F8">
      <w:pPr>
        <w:pStyle w:val="14"/>
        <w:shd w:val="clear" w:color="auto" w:fill="FFFFFF"/>
        <w:spacing w:beforeAutospacing="0" w:afterAutospacing="0" w:line="264" w:lineRule="auto"/>
        <w:ind w:firstLine="420" w:firstLineChars="200"/>
        <w:jc w:val="both"/>
        <w:rPr>
          <w:rStyle w:val="20"/>
          <w:rFonts w:ascii="微软雅黑" w:hAnsi="微软雅黑" w:cs="微软雅黑"/>
          <w:b w:val="0"/>
          <w:sz w:val="21"/>
          <w:szCs w:val="21"/>
          <w:shd w:val="clear" w:color="auto" w:fill="FFFFFF"/>
        </w:rPr>
      </w:pPr>
      <w:r>
        <w:rPr>
          <w:rFonts w:hint="eastAsia" w:ascii="微软雅黑" w:hAnsi="微软雅黑" w:cs="微软雅黑"/>
          <w:sz w:val="21"/>
          <w:szCs w:val="21"/>
          <w:shd w:val="clear" w:color="auto" w:fill="FFFFFF"/>
        </w:rPr>
        <w:t>TTP指从随机分组开始到第一次肿瘤客观进展的时间。</w:t>
      </w:r>
      <w:r>
        <w:rPr>
          <w:rStyle w:val="20"/>
          <w:rFonts w:hint="eastAsia" w:ascii="微软雅黑" w:hAnsi="微软雅黑" w:cs="微软雅黑"/>
          <w:b w:val="0"/>
          <w:sz w:val="21"/>
          <w:szCs w:val="21"/>
          <w:shd w:val="clear" w:color="auto" w:fill="FFFFFF"/>
        </w:rPr>
        <w:t>与PFS唯一的不同在于，PFS包括死亡</w:t>
      </w:r>
      <w:r>
        <w:rPr>
          <w:rFonts w:hint="eastAsia" w:ascii="微软雅黑" w:hAnsi="微软雅黑" w:cs="微软雅黑"/>
          <w:sz w:val="21"/>
          <w:szCs w:val="21"/>
          <w:shd w:val="clear" w:color="auto" w:fill="FFFFFF"/>
        </w:rPr>
        <w:t>，而TTP不包括死亡，</w:t>
      </w:r>
      <w:r>
        <w:rPr>
          <w:rStyle w:val="20"/>
          <w:rFonts w:hint="eastAsia" w:ascii="微软雅黑" w:hAnsi="微软雅黑" w:cs="微软雅黑"/>
          <w:b w:val="0"/>
          <w:sz w:val="21"/>
          <w:szCs w:val="21"/>
          <w:shd w:val="clear" w:color="auto" w:fill="FFFFFF"/>
        </w:rPr>
        <w:t>因此PFS更能预测和反映临床获益，与OS一致性更好。</w:t>
      </w:r>
    </w:p>
    <w:p w14:paraId="417CE66E">
      <w:pPr>
        <w:pStyle w:val="14"/>
        <w:numPr>
          <w:ilvl w:val="0"/>
          <w:numId w:val="18"/>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5年生存率（Five-year survival rate）：</w:t>
      </w:r>
    </w:p>
    <w:p w14:paraId="45564200">
      <w:pPr>
        <w:pStyle w:val="14"/>
        <w:shd w:val="clear" w:color="auto" w:fill="FFFFFF"/>
        <w:spacing w:beforeAutospacing="0" w:afterAutospacing="0" w:line="264" w:lineRule="auto"/>
        <w:ind w:firstLine="420" w:firstLineChars="200"/>
        <w:jc w:val="both"/>
        <w:rPr>
          <w:rFonts w:ascii="微软雅黑" w:hAnsi="微软雅黑" w:cs="微软雅黑"/>
          <w:sz w:val="21"/>
          <w:szCs w:val="21"/>
          <w:shd w:val="clear" w:color="auto" w:fill="FFFFFF"/>
        </w:rPr>
      </w:pPr>
      <w:r>
        <w:rPr>
          <w:rFonts w:hint="eastAsia" w:ascii="微软雅黑" w:hAnsi="微软雅黑" w:cs="微软雅黑"/>
          <w:sz w:val="21"/>
          <w:szCs w:val="21"/>
          <w:shd w:val="clear" w:color="auto" w:fill="FFFFFF"/>
        </w:rPr>
        <w:t>5年生存率是指某种</w:t>
      </w:r>
      <w:r>
        <w:fldChar w:fldCharType="begin"/>
      </w:r>
      <w:r>
        <w:instrText xml:space="preserve"> HYPERLINK "http://www.haodf.com/jibing/zhongliu.htm" \t "http://www.haodf.com/zhuanjiaguandian/_blank" </w:instrText>
      </w:r>
      <w:r>
        <w:fldChar w:fldCharType="separate"/>
      </w:r>
      <w:r>
        <w:rPr>
          <w:rFonts w:hint="eastAsia" w:ascii="微软雅黑" w:hAnsi="微软雅黑" w:cs="微软雅黑"/>
          <w:sz w:val="21"/>
          <w:szCs w:val="21"/>
          <w:shd w:val="clear" w:color="auto" w:fill="FFFFFF"/>
        </w:rPr>
        <w:t>肿瘤</w:t>
      </w:r>
      <w:r>
        <w:rPr>
          <w:rFonts w:hint="eastAsia" w:ascii="微软雅黑" w:hAnsi="微软雅黑" w:cs="微软雅黑"/>
          <w:sz w:val="21"/>
          <w:szCs w:val="21"/>
          <w:shd w:val="clear" w:color="auto" w:fill="FFFFFF"/>
        </w:rPr>
        <w:fldChar w:fldCharType="end"/>
      </w:r>
      <w:r>
        <w:rPr>
          <w:rFonts w:hint="eastAsia" w:ascii="微软雅黑" w:hAnsi="微软雅黑" w:cs="微软雅黑"/>
          <w:sz w:val="21"/>
          <w:szCs w:val="21"/>
          <w:shd w:val="clear" w:color="auto" w:fill="FFFFFF"/>
        </w:rPr>
        <w:t>经过各种综合治疗后，生存五年以上的比例。用五年生存率表达有其一定的科学性。某种</w:t>
      </w:r>
      <w:r>
        <w:fldChar w:fldCharType="begin"/>
      </w:r>
      <w:r>
        <w:instrText xml:space="preserve"> HYPERLINK "http://www.haodf.com/jibing/zhongliu.htm" \t "http://www.haodf.com/zhuanjiaguandian/_blank" </w:instrText>
      </w:r>
      <w:r>
        <w:fldChar w:fldCharType="separate"/>
      </w:r>
      <w:r>
        <w:rPr>
          <w:rFonts w:hint="eastAsia" w:ascii="微软雅黑" w:hAnsi="微软雅黑" w:cs="微软雅黑"/>
          <w:sz w:val="21"/>
          <w:szCs w:val="21"/>
          <w:shd w:val="clear" w:color="auto" w:fill="FFFFFF"/>
        </w:rPr>
        <w:t>肿瘤</w:t>
      </w:r>
      <w:r>
        <w:rPr>
          <w:rFonts w:hint="eastAsia" w:ascii="微软雅黑" w:hAnsi="微软雅黑" w:cs="微软雅黑"/>
          <w:sz w:val="21"/>
          <w:szCs w:val="21"/>
          <w:shd w:val="clear" w:color="auto" w:fill="FFFFFF"/>
        </w:rPr>
        <w:fldChar w:fldCharType="end"/>
      </w:r>
      <w:r>
        <w:rPr>
          <w:rFonts w:hint="eastAsia" w:ascii="微软雅黑" w:hAnsi="微软雅黑" w:cs="微软雅黑"/>
          <w:sz w:val="21"/>
          <w:szCs w:val="21"/>
          <w:shd w:val="clear" w:color="auto" w:fill="FFFFFF"/>
        </w:rPr>
        <w:t>经过治疗后，有一部分可能出现转移和复发，其中的一部分人可能因</w:t>
      </w:r>
      <w:r>
        <w:fldChar w:fldCharType="begin"/>
      </w:r>
      <w:r>
        <w:instrText xml:space="preserve"> HYPERLINK "http://www.haodf.com/jibing/zhongliu.htm" \t "http://www.haodf.com/zhuanjiaguandian/_blank" </w:instrText>
      </w:r>
      <w:r>
        <w:fldChar w:fldCharType="separate"/>
      </w:r>
      <w:r>
        <w:rPr>
          <w:rFonts w:hint="eastAsia" w:ascii="微软雅黑" w:hAnsi="微软雅黑" w:cs="微软雅黑"/>
          <w:sz w:val="21"/>
          <w:szCs w:val="21"/>
          <w:shd w:val="clear" w:color="auto" w:fill="FFFFFF"/>
        </w:rPr>
        <w:t>肿瘤</w:t>
      </w:r>
      <w:r>
        <w:rPr>
          <w:rFonts w:hint="eastAsia" w:ascii="微软雅黑" w:hAnsi="微软雅黑" w:cs="微软雅黑"/>
          <w:sz w:val="21"/>
          <w:szCs w:val="21"/>
          <w:shd w:val="clear" w:color="auto" w:fill="FFFFFF"/>
        </w:rPr>
        <w:fldChar w:fldCharType="end"/>
      </w:r>
      <w:r>
        <w:rPr>
          <w:rFonts w:hint="eastAsia" w:ascii="微软雅黑" w:hAnsi="微软雅黑" w:cs="微软雅黑"/>
          <w:sz w:val="21"/>
          <w:szCs w:val="21"/>
          <w:shd w:val="clear" w:color="auto" w:fill="FFFFFF"/>
        </w:rPr>
        <w:t>进入晚期而去世。转移和复发大多发生在根治术后三年之内，约占80%，少部分发生在根治术后五年之内，约占10%。所以，各种</w:t>
      </w:r>
      <w:r>
        <w:fldChar w:fldCharType="begin"/>
      </w:r>
      <w:r>
        <w:instrText xml:space="preserve"> HYPERLINK "http://www.haodf.com/jibing/zhongliu.htm" \t "http://www.haodf.com/zhuanjiaguandian/_blank" </w:instrText>
      </w:r>
      <w:r>
        <w:fldChar w:fldCharType="separate"/>
      </w:r>
      <w:r>
        <w:rPr>
          <w:rFonts w:hint="eastAsia" w:ascii="微软雅黑" w:hAnsi="微软雅黑" w:cs="微软雅黑"/>
          <w:sz w:val="21"/>
          <w:szCs w:val="21"/>
          <w:shd w:val="clear" w:color="auto" w:fill="FFFFFF"/>
        </w:rPr>
        <w:t>肿瘤</w:t>
      </w:r>
      <w:r>
        <w:rPr>
          <w:rFonts w:hint="eastAsia" w:ascii="微软雅黑" w:hAnsi="微软雅黑" w:cs="微软雅黑"/>
          <w:sz w:val="21"/>
          <w:szCs w:val="21"/>
          <w:shd w:val="clear" w:color="auto" w:fill="FFFFFF"/>
        </w:rPr>
        <w:fldChar w:fldCharType="end"/>
      </w:r>
      <w:r>
        <w:rPr>
          <w:rFonts w:hint="eastAsia" w:ascii="微软雅黑" w:hAnsi="微软雅黑" w:cs="微软雅黑"/>
          <w:sz w:val="21"/>
          <w:szCs w:val="21"/>
          <w:shd w:val="clear" w:color="auto" w:fill="FFFFFF"/>
        </w:rPr>
        <w:t>根治术后五年内不复发，再次复发的机会就很少了，故常用五年生存率表示各种癌症的疗效。</w:t>
      </w:r>
    </w:p>
    <w:p w14:paraId="11903047">
      <w:pPr>
        <w:pStyle w:val="14"/>
        <w:numPr>
          <w:ilvl w:val="0"/>
          <w:numId w:val="18"/>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客观缓解率（ORR，Objective Response Rate）：</w:t>
      </w:r>
    </w:p>
    <w:p w14:paraId="51DA411B">
      <w:pPr>
        <w:pStyle w:val="14"/>
        <w:shd w:val="clear" w:color="auto" w:fill="FFFFFF"/>
        <w:spacing w:beforeAutospacing="0" w:afterAutospacing="0" w:line="264" w:lineRule="auto"/>
        <w:ind w:firstLine="420" w:firstLineChars="200"/>
        <w:jc w:val="both"/>
        <w:rPr>
          <w:rFonts w:ascii="微软雅黑" w:hAnsi="微软雅黑" w:cs="微软雅黑"/>
          <w:sz w:val="21"/>
          <w:szCs w:val="21"/>
        </w:rPr>
      </w:pPr>
      <w:r>
        <w:rPr>
          <w:rFonts w:hint="eastAsia" w:ascii="微软雅黑" w:hAnsi="微软雅黑" w:cs="微软雅黑"/>
          <w:sz w:val="21"/>
          <w:szCs w:val="21"/>
          <w:shd w:val="clear" w:color="auto" w:fill="FFFFFF"/>
        </w:rPr>
        <w:t>ORR是指肿瘤缩小达到一定量并且保持一定时间的病人的比例（主要针对实体瘤），包含</w:t>
      </w:r>
      <w:r>
        <w:rPr>
          <w:rStyle w:val="20"/>
          <w:rFonts w:hint="eastAsia" w:ascii="微软雅黑" w:hAnsi="微软雅黑" w:cs="微软雅黑"/>
          <w:b w:val="0"/>
          <w:sz w:val="21"/>
          <w:szCs w:val="21"/>
          <w:shd w:val="clear" w:color="auto" w:fill="FFFFFF"/>
        </w:rPr>
        <w:t>完全缓解（CR</w:t>
      </w:r>
      <w:r>
        <w:rPr>
          <w:rFonts w:hint="eastAsia" w:ascii="微软雅黑" w:hAnsi="微软雅黑" w:cs="微软雅黑"/>
          <w:sz w:val="21"/>
          <w:szCs w:val="21"/>
          <w:shd w:val="clear" w:color="auto" w:fill="FFFFFF"/>
        </w:rPr>
        <w:t>，Complete Response）和</w:t>
      </w:r>
      <w:r>
        <w:rPr>
          <w:rStyle w:val="20"/>
          <w:rFonts w:hint="eastAsia" w:ascii="微软雅黑" w:hAnsi="微软雅黑" w:cs="微软雅黑"/>
          <w:b w:val="0"/>
          <w:sz w:val="21"/>
          <w:szCs w:val="21"/>
          <w:shd w:val="clear" w:color="auto" w:fill="FFFFFF"/>
        </w:rPr>
        <w:t>部分缓解（PR</w:t>
      </w:r>
      <w:r>
        <w:rPr>
          <w:rFonts w:hint="eastAsia" w:ascii="微软雅黑" w:hAnsi="微软雅黑" w:cs="微软雅黑"/>
          <w:sz w:val="21"/>
          <w:szCs w:val="21"/>
          <w:shd w:val="clear" w:color="auto" w:fill="FFFFFF"/>
        </w:rPr>
        <w:t>，Partial Response）的病例。</w:t>
      </w:r>
    </w:p>
    <w:p w14:paraId="7800FA1D">
      <w:pPr>
        <w:pStyle w:val="14"/>
        <w:shd w:val="clear" w:color="auto" w:fill="FFFFFF"/>
        <w:spacing w:beforeAutospacing="0" w:afterAutospacing="0" w:line="264" w:lineRule="auto"/>
        <w:ind w:firstLine="420" w:firstLineChars="200"/>
        <w:jc w:val="both"/>
        <w:rPr>
          <w:rFonts w:ascii="微软雅黑" w:hAnsi="微软雅黑" w:cs="微软雅黑"/>
          <w:sz w:val="21"/>
          <w:szCs w:val="21"/>
        </w:rPr>
      </w:pPr>
      <w:r>
        <w:rPr>
          <w:rFonts w:hint="eastAsia" w:ascii="微软雅黑" w:hAnsi="微软雅黑" w:cs="微软雅黑"/>
          <w:sz w:val="21"/>
          <w:szCs w:val="21"/>
          <w:shd w:val="clear" w:color="auto" w:fill="FFFFFF"/>
        </w:rPr>
        <w:t>客观缓解率是II期试验的主要疗效评价指标，可提供药物具有生物活性的初步证据。但一般不作为III期临床试验的主要疗效指标。</w:t>
      </w:r>
    </w:p>
    <w:p w14:paraId="550BFE53">
      <w:pPr>
        <w:pStyle w:val="14"/>
        <w:numPr>
          <w:ilvl w:val="0"/>
          <w:numId w:val="18"/>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疾病控制率 （DCR，Disease Control Rate）：</w:t>
      </w:r>
    </w:p>
    <w:p w14:paraId="7BDDA791">
      <w:pPr>
        <w:pStyle w:val="14"/>
        <w:shd w:val="clear" w:color="auto" w:fill="FFFFFF"/>
        <w:spacing w:beforeAutospacing="0" w:afterAutospacing="0" w:line="264" w:lineRule="auto"/>
        <w:ind w:firstLine="420" w:firstLineChars="200"/>
        <w:jc w:val="both"/>
        <w:rPr>
          <w:rFonts w:ascii="微软雅黑" w:hAnsi="微软雅黑" w:cs="微软雅黑"/>
          <w:sz w:val="21"/>
          <w:szCs w:val="21"/>
        </w:rPr>
      </w:pPr>
      <w:r>
        <w:rPr>
          <w:rFonts w:hint="eastAsia" w:ascii="微软雅黑" w:hAnsi="微软雅黑" w:cs="微软雅黑"/>
          <w:sz w:val="21"/>
          <w:szCs w:val="21"/>
          <w:shd w:val="clear" w:color="auto" w:fill="FFFFFF"/>
        </w:rPr>
        <w:t>DCR是指肿瘤缩小或稳定且保持一定时间的病人的比例（主要针对实体瘤），包含完全缓解（</w:t>
      </w:r>
      <w:r>
        <w:rPr>
          <w:rStyle w:val="20"/>
          <w:rFonts w:hint="eastAsia" w:ascii="微软雅黑" w:hAnsi="微软雅黑" w:cs="微软雅黑"/>
          <w:b w:val="0"/>
          <w:sz w:val="21"/>
          <w:szCs w:val="21"/>
          <w:shd w:val="clear" w:color="auto" w:fill="FFFFFF"/>
        </w:rPr>
        <w:t>CR</w:t>
      </w:r>
      <w:r>
        <w:rPr>
          <w:rFonts w:hint="eastAsia" w:ascii="微软雅黑" w:hAnsi="微软雅黑" w:cs="微软雅黑"/>
          <w:sz w:val="21"/>
          <w:szCs w:val="21"/>
          <w:shd w:val="clear" w:color="auto" w:fill="FFFFFF"/>
        </w:rPr>
        <w:t>，Complete Response）、部分缓解（</w:t>
      </w:r>
      <w:r>
        <w:rPr>
          <w:rStyle w:val="20"/>
          <w:rFonts w:hint="eastAsia" w:ascii="微软雅黑" w:hAnsi="微软雅黑" w:cs="微软雅黑"/>
          <w:b w:val="0"/>
          <w:sz w:val="21"/>
          <w:szCs w:val="21"/>
          <w:shd w:val="clear" w:color="auto" w:fill="FFFFFF"/>
        </w:rPr>
        <w:t>PR</w:t>
      </w:r>
      <w:r>
        <w:rPr>
          <w:rFonts w:hint="eastAsia" w:ascii="微软雅黑" w:hAnsi="微软雅黑" w:cs="微软雅黑"/>
          <w:sz w:val="21"/>
          <w:szCs w:val="21"/>
          <w:shd w:val="clear" w:color="auto" w:fill="FFFFFF"/>
        </w:rPr>
        <w:t>，Partial Response）和稳定（</w:t>
      </w:r>
      <w:r>
        <w:rPr>
          <w:rStyle w:val="20"/>
          <w:rFonts w:hint="eastAsia" w:ascii="微软雅黑" w:hAnsi="微软雅黑" w:cs="微软雅黑"/>
          <w:b w:val="0"/>
          <w:sz w:val="21"/>
          <w:szCs w:val="21"/>
          <w:shd w:val="clear" w:color="auto" w:fill="FFFFFF"/>
        </w:rPr>
        <w:t>SD</w:t>
      </w:r>
      <w:r>
        <w:rPr>
          <w:rFonts w:hint="eastAsia" w:ascii="微软雅黑" w:hAnsi="微软雅黑" w:cs="微软雅黑"/>
          <w:sz w:val="21"/>
          <w:szCs w:val="21"/>
          <w:shd w:val="clear" w:color="auto" w:fill="FFFFFF"/>
        </w:rPr>
        <w:t>，Stable Disease）的病例。</w:t>
      </w:r>
    </w:p>
    <w:p w14:paraId="1B35FB93">
      <w:pPr>
        <w:pStyle w:val="14"/>
        <w:numPr>
          <w:ilvl w:val="0"/>
          <w:numId w:val="18"/>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缓解持续时间 （DOR，Duration of Response）：</w:t>
      </w:r>
    </w:p>
    <w:p w14:paraId="5FEE5690">
      <w:pPr>
        <w:pStyle w:val="14"/>
        <w:shd w:val="clear" w:color="auto" w:fill="FFFFFF"/>
        <w:spacing w:beforeAutospacing="0" w:afterAutospacing="0" w:line="264" w:lineRule="auto"/>
        <w:ind w:firstLine="420" w:firstLineChars="200"/>
        <w:jc w:val="both"/>
        <w:rPr>
          <w:rFonts w:ascii="微软雅黑" w:hAnsi="微软雅黑" w:cs="微软雅黑"/>
          <w:sz w:val="21"/>
          <w:szCs w:val="21"/>
        </w:rPr>
      </w:pPr>
      <w:r>
        <w:rPr>
          <w:rFonts w:hint="eastAsia" w:ascii="微软雅黑" w:hAnsi="微软雅黑" w:cs="微软雅黑"/>
          <w:sz w:val="21"/>
          <w:szCs w:val="21"/>
          <w:shd w:val="clear" w:color="auto" w:fill="FFFFFF"/>
        </w:rPr>
        <w:t>DOR是指肿瘤第一次评估为CR或PR开始到第一次评估为PD（Progressive Disease）或任何原因死亡的时间。</w:t>
      </w:r>
    </w:p>
    <w:p w14:paraId="02569C3B">
      <w:pPr>
        <w:pStyle w:val="14"/>
        <w:numPr>
          <w:ilvl w:val="0"/>
          <w:numId w:val="18"/>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治疗失败的时间（TTF，Time To Failure）：</w:t>
      </w:r>
    </w:p>
    <w:p w14:paraId="1D0CE101">
      <w:pPr>
        <w:pStyle w:val="14"/>
        <w:shd w:val="clear" w:color="auto" w:fill="FFFFFF"/>
        <w:spacing w:beforeAutospacing="0" w:afterAutospacing="0" w:line="264" w:lineRule="auto"/>
        <w:ind w:firstLine="420" w:firstLineChars="200"/>
        <w:jc w:val="both"/>
        <w:rPr>
          <w:rFonts w:ascii="微软雅黑" w:hAnsi="微软雅黑" w:cs="微软雅黑"/>
          <w:sz w:val="21"/>
          <w:szCs w:val="21"/>
        </w:rPr>
      </w:pPr>
      <w:r>
        <w:rPr>
          <w:rFonts w:hint="eastAsia" w:ascii="微软雅黑" w:hAnsi="微软雅黑" w:cs="微软雅黑"/>
          <w:sz w:val="21"/>
          <w:szCs w:val="21"/>
          <w:shd w:val="clear" w:color="auto" w:fill="FFFFFF"/>
        </w:rPr>
        <w:t>TTF是指从随机化开始至治疗中止/终止的时间，包括任何中止/终止原因，如疾病进展、死亡、由于不良事件退出、受试者拒绝继续进行研究或者使用了新治疗的时间。</w:t>
      </w:r>
    </w:p>
    <w:p w14:paraId="5AE6762B">
      <w:pPr>
        <w:pStyle w:val="14"/>
        <w:shd w:val="clear" w:color="auto" w:fill="FFFFFF"/>
        <w:spacing w:beforeAutospacing="0" w:afterAutospacing="0" w:line="264" w:lineRule="auto"/>
        <w:ind w:firstLine="420" w:firstLineChars="200"/>
        <w:jc w:val="both"/>
        <w:rPr>
          <w:rFonts w:ascii="微软雅黑" w:hAnsi="微软雅黑" w:cs="微软雅黑"/>
          <w:sz w:val="21"/>
          <w:szCs w:val="21"/>
        </w:rPr>
      </w:pPr>
      <w:r>
        <w:rPr>
          <w:rFonts w:hint="eastAsia" w:ascii="微软雅黑" w:hAnsi="微软雅黑" w:cs="微软雅黑"/>
          <w:sz w:val="21"/>
          <w:szCs w:val="21"/>
          <w:shd w:val="clear" w:color="auto" w:fill="FFFFFF"/>
        </w:rPr>
        <w:t> </w:t>
      </w:r>
      <w:r>
        <w:rPr>
          <w:rStyle w:val="20"/>
          <w:rFonts w:hint="eastAsia" w:ascii="微软雅黑" w:hAnsi="微软雅黑" w:cs="微软雅黑"/>
          <w:b w:val="0"/>
          <w:sz w:val="21"/>
          <w:szCs w:val="21"/>
          <w:shd w:val="clear" w:color="auto" w:fill="FFFFFF"/>
        </w:rPr>
        <w:t>TTF综合了有效性与毒性的评价</w:t>
      </w:r>
      <w:r>
        <w:rPr>
          <w:rFonts w:hint="eastAsia" w:ascii="微软雅黑" w:hAnsi="微软雅黑" w:cs="微软雅黑"/>
          <w:sz w:val="21"/>
          <w:szCs w:val="21"/>
          <w:shd w:val="clear" w:color="auto" w:fill="FFFFFF"/>
        </w:rPr>
        <w:t>，是一个具有综合特性的指标，不推荐作为单独支持药物批准的疗效指标。</w:t>
      </w:r>
    </w:p>
    <w:p w14:paraId="1109B7B7">
      <w:pPr>
        <w:pStyle w:val="14"/>
        <w:numPr>
          <w:ilvl w:val="0"/>
          <w:numId w:val="18"/>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疾病控制时间 （DDC，Duration of Disease Control）：</w:t>
      </w:r>
    </w:p>
    <w:p w14:paraId="5503ED3D">
      <w:pPr>
        <w:spacing w:after="0" w:line="264" w:lineRule="auto"/>
        <w:ind w:firstLine="420" w:firstLineChars="200"/>
        <w:jc w:val="both"/>
        <w:rPr>
          <w:rFonts w:ascii="微软雅黑" w:hAnsi="微软雅黑" w:cs="微软雅黑"/>
          <w:sz w:val="21"/>
          <w:szCs w:val="21"/>
          <w:shd w:val="clear" w:color="auto" w:fill="FFFFFF"/>
        </w:rPr>
      </w:pPr>
      <w:r>
        <w:rPr>
          <w:rFonts w:hint="eastAsia" w:ascii="微软雅黑" w:hAnsi="微软雅黑" w:cs="微软雅黑"/>
          <w:sz w:val="21"/>
          <w:szCs w:val="21"/>
          <w:shd w:val="clear" w:color="auto" w:fill="FFFFFF"/>
        </w:rPr>
        <w:t>DDC是指肿瘤第一次评估为CR、PR或SD开始到第一次评估为PD（Progressive Disease）或任何原因死亡的时间。</w:t>
      </w:r>
    </w:p>
    <w:p w14:paraId="20463039">
      <w:pPr>
        <w:spacing w:line="264" w:lineRule="auto"/>
        <w:jc w:val="both"/>
        <w:rPr>
          <w:rFonts w:ascii="微软雅黑" w:hAnsi="微软雅黑" w:cs="微软雅黑"/>
          <w:sz w:val="21"/>
          <w:szCs w:val="21"/>
          <w:shd w:val="clear" w:color="auto" w:fill="FFFFFF"/>
        </w:rPr>
      </w:pPr>
      <w:r>
        <w:rPr>
          <w:rFonts w:hint="eastAsia" w:ascii="微软雅黑" w:hAnsi="微软雅黑" w:cs="微软雅黑"/>
          <w:sz w:val="21"/>
          <w:szCs w:val="21"/>
          <w:shd w:val="clear" w:color="auto" w:fill="FFFFFF"/>
        </w:rPr>
        <w:br w:type="page"/>
      </w:r>
      <w:r>
        <w:rPr>
          <w:rFonts w:hint="eastAsia" w:ascii="微软雅黑" w:hAnsi="微软雅黑" w:cs="微软雅黑"/>
          <w:b/>
          <w:bCs/>
          <w:sz w:val="21"/>
          <w:szCs w:val="21"/>
          <w:u w:val="single"/>
        </w:rPr>
        <w:t>生物学常用名词：</w:t>
      </w:r>
    </w:p>
    <w:p w14:paraId="46050C58">
      <w:pPr>
        <w:numPr>
          <w:ilvl w:val="0"/>
          <w:numId w:val="19"/>
        </w:numPr>
        <w:adjustRightInd/>
        <w:snapToGrid/>
        <w:spacing w:after="0" w:line="264" w:lineRule="auto"/>
        <w:jc w:val="both"/>
        <w:rPr>
          <w:rFonts w:ascii="微软雅黑" w:hAnsi="微软雅黑" w:cs="Arial Unicode MS"/>
          <w:b/>
          <w:bCs/>
          <w:kern w:val="2"/>
          <w:sz w:val="21"/>
          <w:szCs w:val="21"/>
        </w:rPr>
      </w:pPr>
      <w:r>
        <w:rPr>
          <w:rFonts w:hint="eastAsia" w:ascii="微软雅黑" w:hAnsi="微软雅黑" w:cs="Arial Unicode MS"/>
          <w:b/>
          <w:bCs/>
          <w:kern w:val="2"/>
          <w:sz w:val="21"/>
          <w:szCs w:val="21"/>
        </w:rPr>
        <w:t>点突变（SNV）：</w:t>
      </w:r>
      <w:r>
        <w:rPr>
          <w:rFonts w:hint="eastAsia" w:ascii="微软雅黑" w:hAnsi="微软雅黑" w:cs="Arial Unicode MS"/>
          <w:kern w:val="2"/>
          <w:sz w:val="21"/>
          <w:szCs w:val="21"/>
        </w:rPr>
        <w:t>指只有一个碱基对发生改变，可发生在启动子、内含子、外显子以及内含子与外显子的交界处。一般而言，外显子区域的碱基突变可引起mRNA中密码子改变，编码相同或不同的氨基酸，相应地称为同义突变或有义突变。通常基因检测结果中呈现有义突变，包括错义突变、无义突变或移码突变。内含子与外显子交界处的碱基突变称为剪接突变，可能导致mRNA异常，进而可能影响蛋白功能。</w:t>
      </w:r>
    </w:p>
    <w:p w14:paraId="09545D3A">
      <w:pPr>
        <w:numPr>
          <w:ilvl w:val="0"/>
          <w:numId w:val="19"/>
        </w:numPr>
        <w:adjustRightInd/>
        <w:snapToGrid/>
        <w:spacing w:after="0" w:line="264" w:lineRule="auto"/>
        <w:jc w:val="both"/>
        <w:rPr>
          <w:rFonts w:ascii="微软雅黑" w:hAnsi="微软雅黑" w:cs="Arial Unicode MS"/>
          <w:b/>
          <w:bCs/>
          <w:kern w:val="2"/>
          <w:sz w:val="21"/>
          <w:szCs w:val="21"/>
        </w:rPr>
      </w:pPr>
      <w:r>
        <w:rPr>
          <w:rFonts w:hint="eastAsia" w:ascii="微软雅黑" w:hAnsi="微软雅黑" w:cs="Arial Unicode MS"/>
          <w:b/>
          <w:bCs/>
          <w:kern w:val="2"/>
          <w:sz w:val="21"/>
          <w:szCs w:val="21"/>
        </w:rPr>
        <w:t>插入缺失突变（Indel）：</w:t>
      </w:r>
      <w:r>
        <w:rPr>
          <w:rFonts w:hint="eastAsia" w:ascii="微软雅黑" w:hAnsi="微软雅黑" w:cs="Arial Unicode MS"/>
          <w:kern w:val="2"/>
          <w:sz w:val="21"/>
          <w:szCs w:val="21"/>
        </w:rPr>
        <w:t>指小片段（通常指1-20bp）的碱基插入或缺失，可能导致插入突变、缺失突变或移码突变，进而可能影响蛋白功能。</w:t>
      </w:r>
    </w:p>
    <w:p w14:paraId="12AEC334">
      <w:pPr>
        <w:numPr>
          <w:ilvl w:val="0"/>
          <w:numId w:val="19"/>
        </w:numPr>
        <w:adjustRightInd/>
        <w:snapToGrid/>
        <w:spacing w:after="0" w:line="264" w:lineRule="auto"/>
        <w:jc w:val="both"/>
        <w:rPr>
          <w:rFonts w:ascii="微软雅黑" w:hAnsi="微软雅黑" w:cs="Arial Unicode MS"/>
          <w:b/>
          <w:bCs/>
          <w:kern w:val="2"/>
          <w:sz w:val="21"/>
          <w:szCs w:val="21"/>
        </w:rPr>
      </w:pPr>
      <w:r>
        <w:rPr>
          <w:rFonts w:hint="eastAsia" w:ascii="微软雅黑" w:hAnsi="微软雅黑" w:cs="Arial Unicode MS"/>
          <w:b/>
          <w:bCs/>
          <w:kern w:val="2"/>
          <w:sz w:val="21"/>
          <w:szCs w:val="21"/>
        </w:rPr>
        <w:t>拷贝数变异（CNV）：</w:t>
      </w:r>
      <w:r>
        <w:rPr>
          <w:rFonts w:hint="eastAsia" w:ascii="微软雅黑" w:hAnsi="微软雅黑" w:cs="Arial Unicode MS"/>
          <w:kern w:val="2"/>
          <w:sz w:val="21"/>
          <w:szCs w:val="21"/>
        </w:rPr>
        <w:t>指某个基因的拷贝数增加或者减少，可能会引起蛋白表达水平的升高或降低，进而可能影响疾病的发生发展。</w:t>
      </w:r>
    </w:p>
    <w:p w14:paraId="3DBE60B3">
      <w:pPr>
        <w:numPr>
          <w:ilvl w:val="0"/>
          <w:numId w:val="19"/>
        </w:numPr>
        <w:adjustRightInd/>
        <w:snapToGrid/>
        <w:spacing w:after="0" w:line="264" w:lineRule="auto"/>
        <w:jc w:val="both"/>
        <w:rPr>
          <w:rFonts w:ascii="微软雅黑" w:hAnsi="微软雅黑" w:cs="Arial Unicode MS"/>
          <w:b/>
          <w:bCs/>
          <w:kern w:val="2"/>
          <w:sz w:val="21"/>
          <w:szCs w:val="21"/>
        </w:rPr>
      </w:pPr>
      <w:r>
        <w:rPr>
          <w:rFonts w:hint="eastAsia" w:ascii="微软雅黑" w:hAnsi="微软雅黑" w:cs="Arial Unicode MS"/>
          <w:b/>
          <w:bCs/>
          <w:kern w:val="2"/>
          <w:sz w:val="21"/>
          <w:szCs w:val="21"/>
        </w:rPr>
        <w:t>融合基因（Fusion Gene）：</w:t>
      </w:r>
      <w:r>
        <w:rPr>
          <w:rFonts w:hint="eastAsia" w:ascii="微软雅黑" w:hAnsi="微软雅黑" w:cs="Arial Unicode MS"/>
          <w:kern w:val="2"/>
          <w:sz w:val="21"/>
          <w:szCs w:val="21"/>
        </w:rPr>
        <w:t>指将两个或多个基因的编码区首尾相连，置于同一套调控序列（包括启动子、增强子、核糖体结合序列、终止子等）控制之下，构成的嵌合基因。融合基因的表达产物为融合蛋白。</w:t>
      </w:r>
    </w:p>
    <w:p w14:paraId="2BECCABF">
      <w:pPr>
        <w:numPr>
          <w:ilvl w:val="0"/>
          <w:numId w:val="19"/>
        </w:numPr>
        <w:adjustRightInd/>
        <w:snapToGrid/>
        <w:spacing w:after="0" w:line="264" w:lineRule="auto"/>
        <w:jc w:val="both"/>
        <w:rPr>
          <w:rFonts w:ascii="微软雅黑" w:hAnsi="微软雅黑" w:cs="Arial Unicode MS"/>
          <w:b/>
          <w:bCs/>
          <w:kern w:val="2"/>
          <w:sz w:val="21"/>
          <w:szCs w:val="21"/>
        </w:rPr>
      </w:pPr>
      <w:r>
        <w:rPr>
          <w:rFonts w:hint="eastAsia" w:ascii="微软雅黑" w:hAnsi="微软雅黑" w:cs="Arial Unicode MS"/>
          <w:b/>
          <w:bCs/>
          <w:kern w:val="2"/>
          <w:sz w:val="21"/>
          <w:szCs w:val="21"/>
        </w:rPr>
        <w:t>体细胞突变（Somatic Mutation）：</w:t>
      </w:r>
      <w:r>
        <w:rPr>
          <w:rFonts w:hint="eastAsia" w:ascii="微软雅黑" w:hAnsi="微软雅黑" w:cs="Arial Unicode MS"/>
          <w:kern w:val="2"/>
          <w:sz w:val="21"/>
          <w:szCs w:val="21"/>
        </w:rPr>
        <w:t>指发生在正常机体细胞中的突变，比如发生在皮肤或器官中的突变，不会传给后代。</w:t>
      </w:r>
    </w:p>
    <w:p w14:paraId="1784FDE5">
      <w:pPr>
        <w:numPr>
          <w:ilvl w:val="0"/>
          <w:numId w:val="19"/>
        </w:numPr>
        <w:adjustRightInd/>
        <w:snapToGrid/>
        <w:spacing w:after="0" w:line="264" w:lineRule="auto"/>
        <w:jc w:val="both"/>
        <w:rPr>
          <w:rFonts w:ascii="微软雅黑" w:hAnsi="微软雅黑" w:cs="Arial Unicode MS"/>
          <w:b/>
          <w:bCs/>
          <w:kern w:val="2"/>
          <w:sz w:val="21"/>
          <w:szCs w:val="21"/>
        </w:rPr>
      </w:pPr>
      <w:bookmarkStart w:id="186" w:name="OLE_LINK43"/>
      <w:r>
        <w:rPr>
          <w:rFonts w:hint="eastAsia" w:ascii="微软雅黑" w:hAnsi="微软雅黑" w:cs="Arial Unicode MS"/>
          <w:b/>
          <w:bCs/>
          <w:kern w:val="2"/>
          <w:sz w:val="21"/>
          <w:szCs w:val="21"/>
        </w:rPr>
        <w:t>生殖细胞突变</w:t>
      </w:r>
      <w:bookmarkEnd w:id="186"/>
      <w:r>
        <w:rPr>
          <w:rFonts w:hint="eastAsia" w:ascii="微软雅黑" w:hAnsi="微软雅黑" w:cs="Arial Unicode MS"/>
          <w:b/>
          <w:bCs/>
          <w:kern w:val="2"/>
          <w:sz w:val="21"/>
          <w:szCs w:val="21"/>
        </w:rPr>
        <w:t>（Germline Mutation）：</w:t>
      </w:r>
      <w:r>
        <w:rPr>
          <w:rFonts w:hint="eastAsia" w:ascii="微软雅黑" w:hAnsi="微软雅黑" w:cs="Arial Unicode MS"/>
          <w:kern w:val="2"/>
          <w:sz w:val="21"/>
          <w:szCs w:val="21"/>
        </w:rPr>
        <w:t>又称作</w:t>
      </w:r>
      <w:r>
        <w:rPr>
          <w:rFonts w:hint="eastAsia" w:ascii="微软雅黑" w:hAnsi="微软雅黑" w:cs="Arial Unicode MS"/>
          <w:b/>
          <w:bCs/>
          <w:kern w:val="2"/>
          <w:sz w:val="21"/>
          <w:szCs w:val="21"/>
        </w:rPr>
        <w:t>胚系突变</w:t>
      </w:r>
      <w:r>
        <w:rPr>
          <w:rFonts w:hint="eastAsia" w:ascii="微软雅黑" w:hAnsi="微软雅黑" w:cs="Arial Unicode MS"/>
          <w:kern w:val="2"/>
          <w:sz w:val="21"/>
          <w:szCs w:val="21"/>
        </w:rPr>
        <w:t>，指突变发生于精子或卵子，可传递给后代。</w:t>
      </w:r>
    </w:p>
    <w:p w14:paraId="23345C5B">
      <w:pPr>
        <w:numPr>
          <w:ilvl w:val="0"/>
          <w:numId w:val="19"/>
        </w:numPr>
        <w:adjustRightInd/>
        <w:snapToGrid/>
        <w:spacing w:before="200"/>
        <w:rPr>
          <w:rFonts w:ascii="微软雅黑" w:hAnsi="微软雅黑" w:cs="Arial Unicode MS"/>
          <w:kern w:val="2"/>
          <w:sz w:val="21"/>
          <w:szCs w:val="21"/>
        </w:rPr>
      </w:pPr>
      <w:r>
        <w:rPr>
          <w:rStyle w:val="20"/>
          <w:rFonts w:hint="eastAsia" w:ascii="微软雅黑" w:hAnsi="微软雅黑" w:cs="微软雅黑"/>
          <w:bCs/>
          <w:sz w:val="21"/>
          <w:szCs w:val="21"/>
          <w:shd w:val="clear" w:color="auto" w:fill="FFFFFF"/>
        </w:rPr>
        <w:t>碱基差异阅读参考：</w:t>
      </w:r>
      <w:r>
        <w:rPr>
          <w:rFonts w:hint="eastAsia" w:ascii="微软雅黑" w:hAnsi="微软雅黑" w:cs="Arial Unicode MS"/>
          <w:kern w:val="2"/>
          <w:sz w:val="21"/>
          <w:szCs w:val="21"/>
        </w:rPr>
        <w:t>人体的遗传物质DNA由A、G、T、C四种碱基构成。</w:t>
      </w:r>
    </w:p>
    <w:p w14:paraId="050FC258">
      <w:pPr>
        <w:numPr>
          <w:ilvl w:val="255"/>
          <w:numId w:val="0"/>
        </w:numPr>
        <w:adjustRightInd/>
        <w:snapToGrid/>
        <w:spacing w:after="0"/>
        <w:ind w:firstLine="420" w:firstLineChars="200"/>
        <w:rPr>
          <w:rFonts w:ascii="微软雅黑" w:hAnsi="微软雅黑" w:cs="Arial Unicode MS"/>
          <w:kern w:val="2"/>
          <w:sz w:val="21"/>
          <w:szCs w:val="21"/>
        </w:rPr>
      </w:pPr>
      <w:r>
        <w:rPr>
          <w:rFonts w:hint="eastAsia" w:ascii="微软雅黑" w:hAnsi="微软雅黑" w:cs="Arial Unicode MS"/>
          <w:kern w:val="2"/>
          <w:sz w:val="21"/>
          <w:szCs w:val="21"/>
        </w:rPr>
        <w:t>A：腺嘌呤脱氧核糖核苷酸；   G：鸟嘌呤脱氧核糖核苷酸；</w:t>
      </w:r>
    </w:p>
    <w:p w14:paraId="61C1F3B7">
      <w:pPr>
        <w:numPr>
          <w:ilvl w:val="255"/>
          <w:numId w:val="0"/>
        </w:numPr>
        <w:adjustRightInd/>
        <w:snapToGrid/>
        <w:spacing w:after="0"/>
        <w:ind w:firstLine="420" w:firstLineChars="200"/>
        <w:rPr>
          <w:rFonts w:ascii="微软雅黑" w:hAnsi="微软雅黑" w:cs="Arial Unicode MS"/>
          <w:kern w:val="2"/>
          <w:sz w:val="21"/>
          <w:szCs w:val="21"/>
        </w:rPr>
      </w:pPr>
      <w:r>
        <w:rPr>
          <w:rFonts w:hint="eastAsia" w:ascii="微软雅黑" w:hAnsi="微软雅黑" w:cs="Arial Unicode MS"/>
          <w:kern w:val="2"/>
          <w:sz w:val="21"/>
          <w:szCs w:val="21"/>
        </w:rPr>
        <w:t>T：胸腺嘧啶脱氧核糖核苷酸；C：胞嘧啶脱氧核糖核苷酸。</w:t>
      </w:r>
    </w:p>
    <w:p w14:paraId="027D9962">
      <w:pPr>
        <w:numPr>
          <w:ilvl w:val="0"/>
          <w:numId w:val="19"/>
        </w:numPr>
        <w:adjustRightInd/>
        <w:snapToGrid/>
        <w:spacing w:before="200"/>
        <w:rPr>
          <w:rFonts w:ascii="微软雅黑" w:hAnsi="微软雅黑" w:cs="Arial Unicode MS"/>
          <w:b/>
          <w:bCs/>
          <w:kern w:val="2"/>
          <w:sz w:val="21"/>
          <w:szCs w:val="21"/>
        </w:rPr>
      </w:pPr>
      <w:r>
        <w:rPr>
          <w:rStyle w:val="20"/>
          <w:rFonts w:hint="eastAsia" w:ascii="微软雅黑" w:hAnsi="微软雅黑" w:cs="微软雅黑"/>
          <w:bCs/>
          <w:sz w:val="21"/>
          <w:szCs w:val="21"/>
          <w:shd w:val="clear" w:color="auto" w:fill="FFFFFF"/>
        </w:rPr>
        <w:t>氨基酸差异阅读参考：</w:t>
      </w:r>
      <w:r>
        <w:rPr>
          <w:rFonts w:hint="eastAsia" w:ascii="微软雅黑" w:hAnsi="微软雅黑" w:cs="Arial Unicode MS"/>
          <w:kern w:val="2"/>
          <w:sz w:val="21"/>
          <w:szCs w:val="21"/>
        </w:rPr>
        <w:t>下表为人体的20种氨基酸。</w:t>
      </w:r>
    </w:p>
    <w:tbl>
      <w:tblPr>
        <w:tblStyle w:val="16"/>
        <w:tblW w:w="82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73"/>
        <w:gridCol w:w="1374"/>
        <w:gridCol w:w="1373"/>
        <w:gridCol w:w="1373"/>
        <w:gridCol w:w="1374"/>
        <w:gridCol w:w="1373"/>
      </w:tblGrid>
      <w:tr w14:paraId="3367F0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373" w:type="dxa"/>
            <w:tcBorders>
              <w:top w:val="single" w:color="000000" w:sz="8" w:space="0"/>
              <w:left w:val="dotted" w:color="auto" w:sz="8" w:space="0"/>
              <w:bottom w:val="single" w:color="000000" w:sz="8" w:space="0"/>
              <w:right w:val="dotted" w:color="auto" w:sz="8" w:space="0"/>
            </w:tcBorders>
            <w:shd w:val="clear" w:color="auto" w:fill="FFFFFF"/>
            <w:vAlign w:val="center"/>
          </w:tcPr>
          <w:p w14:paraId="620B1522">
            <w:pPr>
              <w:keepNext w:val="0"/>
              <w:keepLines w:val="0"/>
              <w:widowControl/>
              <w:numPr>
                <w:ilvl w:val="255"/>
                <w:numId w:val="0"/>
              </w:numPr>
              <w:suppressLineNumbers w:val="0"/>
              <w:adjustRightInd/>
              <w:snapToGrid/>
              <w:spacing w:before="0" w:beforeAutospacing="0" w:after="0" w:afterAutospacing="0" w:line="220" w:lineRule="atLeast"/>
              <w:ind w:left="0" w:right="0"/>
              <w:jc w:val="center"/>
              <w:rPr>
                <w:rFonts w:hint="default"/>
                <w:b/>
                <w:bCs/>
                <w:color w:val="000000"/>
                <w:kern w:val="2"/>
                <w:sz w:val="21"/>
                <w:szCs w:val="21"/>
              </w:rPr>
            </w:pPr>
            <w:r>
              <w:rPr>
                <w:rFonts w:hint="eastAsia"/>
                <w:b/>
                <w:bCs/>
                <w:color w:val="000000"/>
                <w:kern w:val="2"/>
                <w:sz w:val="21"/>
                <w:szCs w:val="21"/>
              </w:rPr>
              <w:t>氨基酸缩写</w:t>
            </w:r>
          </w:p>
        </w:tc>
        <w:tc>
          <w:tcPr>
            <w:tcW w:w="1374" w:type="dxa"/>
            <w:tcBorders>
              <w:top w:val="single" w:color="000000" w:sz="8" w:space="0"/>
              <w:left w:val="dotted" w:color="auto" w:sz="8" w:space="0"/>
              <w:bottom w:val="single" w:color="000000" w:sz="8" w:space="0"/>
              <w:right w:val="dotted" w:color="auto" w:sz="8" w:space="0"/>
            </w:tcBorders>
            <w:shd w:val="clear" w:color="auto" w:fill="FFFFFF"/>
            <w:vAlign w:val="center"/>
          </w:tcPr>
          <w:p w14:paraId="5555AF20">
            <w:pPr>
              <w:keepNext w:val="0"/>
              <w:keepLines w:val="0"/>
              <w:widowControl/>
              <w:numPr>
                <w:ilvl w:val="255"/>
                <w:numId w:val="0"/>
              </w:numPr>
              <w:suppressLineNumbers w:val="0"/>
              <w:adjustRightInd/>
              <w:snapToGrid/>
              <w:spacing w:before="0" w:beforeAutospacing="0" w:after="0" w:afterAutospacing="0" w:line="220" w:lineRule="atLeast"/>
              <w:ind w:left="0" w:right="0"/>
              <w:jc w:val="center"/>
              <w:rPr>
                <w:rFonts w:hint="default"/>
                <w:b/>
                <w:bCs/>
                <w:color w:val="000000"/>
                <w:kern w:val="2"/>
                <w:sz w:val="21"/>
                <w:szCs w:val="21"/>
              </w:rPr>
            </w:pPr>
            <w:r>
              <w:rPr>
                <w:rFonts w:hint="eastAsia"/>
                <w:b/>
                <w:bCs/>
                <w:color w:val="000000"/>
                <w:kern w:val="2"/>
                <w:sz w:val="21"/>
                <w:szCs w:val="21"/>
              </w:rPr>
              <w:t>中文名</w:t>
            </w:r>
          </w:p>
        </w:tc>
        <w:tc>
          <w:tcPr>
            <w:tcW w:w="1373" w:type="dxa"/>
            <w:tcBorders>
              <w:top w:val="single" w:color="000000" w:sz="8" w:space="0"/>
              <w:left w:val="dotted" w:color="auto" w:sz="8" w:space="0"/>
              <w:bottom w:val="single" w:color="000000" w:sz="8" w:space="0"/>
              <w:right w:val="dotted" w:color="auto" w:sz="8" w:space="0"/>
            </w:tcBorders>
            <w:shd w:val="clear" w:color="auto" w:fill="FFFFFF"/>
            <w:vAlign w:val="center"/>
          </w:tcPr>
          <w:p w14:paraId="59AA17EE">
            <w:pPr>
              <w:keepNext w:val="0"/>
              <w:keepLines w:val="0"/>
              <w:widowControl/>
              <w:numPr>
                <w:ilvl w:val="255"/>
                <w:numId w:val="0"/>
              </w:numPr>
              <w:suppressLineNumbers w:val="0"/>
              <w:adjustRightInd/>
              <w:snapToGrid/>
              <w:spacing w:before="0" w:beforeAutospacing="0" w:after="0" w:afterAutospacing="0" w:line="220" w:lineRule="atLeast"/>
              <w:ind w:left="0" w:right="0"/>
              <w:jc w:val="center"/>
              <w:rPr>
                <w:rFonts w:hint="default"/>
                <w:b/>
                <w:bCs/>
                <w:color w:val="000000"/>
                <w:kern w:val="2"/>
                <w:sz w:val="21"/>
                <w:szCs w:val="21"/>
              </w:rPr>
            </w:pPr>
            <w:r>
              <w:rPr>
                <w:rFonts w:hint="eastAsia"/>
                <w:b/>
                <w:bCs/>
                <w:color w:val="000000"/>
                <w:kern w:val="2"/>
                <w:sz w:val="21"/>
                <w:szCs w:val="21"/>
              </w:rPr>
              <w:t>氨基酸缩写</w:t>
            </w:r>
          </w:p>
        </w:tc>
        <w:tc>
          <w:tcPr>
            <w:tcW w:w="1373" w:type="dxa"/>
            <w:tcBorders>
              <w:top w:val="single" w:color="000000" w:sz="8" w:space="0"/>
              <w:left w:val="dotted" w:color="auto" w:sz="8" w:space="0"/>
              <w:bottom w:val="single" w:color="000000" w:sz="8" w:space="0"/>
              <w:right w:val="dotted" w:color="auto" w:sz="8" w:space="0"/>
            </w:tcBorders>
            <w:shd w:val="clear" w:color="auto" w:fill="FFFFFF"/>
            <w:vAlign w:val="center"/>
          </w:tcPr>
          <w:p w14:paraId="0EF7EEC4">
            <w:pPr>
              <w:keepNext w:val="0"/>
              <w:keepLines w:val="0"/>
              <w:widowControl/>
              <w:numPr>
                <w:ilvl w:val="255"/>
                <w:numId w:val="0"/>
              </w:numPr>
              <w:suppressLineNumbers w:val="0"/>
              <w:adjustRightInd/>
              <w:snapToGrid/>
              <w:spacing w:before="0" w:beforeAutospacing="0" w:after="0" w:afterAutospacing="0" w:line="220" w:lineRule="atLeast"/>
              <w:ind w:left="0" w:right="0"/>
              <w:jc w:val="center"/>
              <w:rPr>
                <w:rFonts w:hint="default"/>
                <w:b/>
                <w:bCs/>
                <w:color w:val="000000"/>
                <w:kern w:val="2"/>
                <w:sz w:val="21"/>
                <w:szCs w:val="21"/>
              </w:rPr>
            </w:pPr>
            <w:r>
              <w:rPr>
                <w:rFonts w:hint="eastAsia"/>
                <w:b/>
                <w:bCs/>
                <w:color w:val="000000"/>
                <w:kern w:val="2"/>
                <w:sz w:val="21"/>
                <w:szCs w:val="21"/>
              </w:rPr>
              <w:t>中文名</w:t>
            </w:r>
          </w:p>
        </w:tc>
        <w:tc>
          <w:tcPr>
            <w:tcW w:w="1374" w:type="dxa"/>
            <w:tcBorders>
              <w:top w:val="single" w:color="000000" w:sz="8" w:space="0"/>
              <w:left w:val="dotted" w:color="auto" w:sz="8" w:space="0"/>
              <w:bottom w:val="single" w:color="000000" w:sz="8" w:space="0"/>
              <w:right w:val="dotted" w:color="auto" w:sz="8" w:space="0"/>
            </w:tcBorders>
            <w:shd w:val="clear" w:color="auto" w:fill="FFFFFF"/>
            <w:vAlign w:val="center"/>
          </w:tcPr>
          <w:p w14:paraId="3882E653">
            <w:pPr>
              <w:keepNext w:val="0"/>
              <w:keepLines w:val="0"/>
              <w:widowControl/>
              <w:numPr>
                <w:ilvl w:val="255"/>
                <w:numId w:val="0"/>
              </w:numPr>
              <w:suppressLineNumbers w:val="0"/>
              <w:adjustRightInd/>
              <w:snapToGrid/>
              <w:spacing w:before="0" w:beforeAutospacing="0" w:after="0" w:afterAutospacing="0" w:line="220" w:lineRule="atLeast"/>
              <w:ind w:left="0" w:right="0"/>
              <w:jc w:val="center"/>
              <w:rPr>
                <w:rFonts w:hint="default"/>
                <w:b/>
                <w:bCs/>
                <w:color w:val="000000"/>
                <w:kern w:val="2"/>
                <w:sz w:val="21"/>
                <w:szCs w:val="21"/>
              </w:rPr>
            </w:pPr>
            <w:r>
              <w:rPr>
                <w:rFonts w:hint="eastAsia"/>
                <w:b/>
                <w:bCs/>
                <w:color w:val="000000"/>
                <w:kern w:val="2"/>
                <w:sz w:val="21"/>
                <w:szCs w:val="21"/>
              </w:rPr>
              <w:t>氨基酸缩写</w:t>
            </w:r>
          </w:p>
        </w:tc>
        <w:tc>
          <w:tcPr>
            <w:tcW w:w="1373" w:type="dxa"/>
            <w:tcBorders>
              <w:top w:val="single" w:color="000000" w:sz="8" w:space="0"/>
              <w:left w:val="dotted" w:color="auto" w:sz="8" w:space="0"/>
              <w:bottom w:val="single" w:color="000000" w:sz="8" w:space="0"/>
              <w:right w:val="dotted" w:color="auto" w:sz="8" w:space="0"/>
            </w:tcBorders>
            <w:shd w:val="clear" w:color="auto" w:fill="FFFFFF"/>
            <w:vAlign w:val="center"/>
          </w:tcPr>
          <w:p w14:paraId="1D47496A">
            <w:pPr>
              <w:keepNext w:val="0"/>
              <w:keepLines w:val="0"/>
              <w:widowControl/>
              <w:numPr>
                <w:ilvl w:val="255"/>
                <w:numId w:val="0"/>
              </w:numPr>
              <w:suppressLineNumbers w:val="0"/>
              <w:adjustRightInd/>
              <w:snapToGrid/>
              <w:spacing w:before="0" w:beforeAutospacing="0" w:after="0" w:afterAutospacing="0" w:line="220" w:lineRule="atLeast"/>
              <w:ind w:left="0" w:right="0"/>
              <w:jc w:val="center"/>
              <w:rPr>
                <w:rFonts w:hint="default"/>
                <w:b/>
                <w:bCs/>
                <w:color w:val="000000"/>
                <w:kern w:val="2"/>
                <w:sz w:val="21"/>
                <w:szCs w:val="21"/>
              </w:rPr>
            </w:pPr>
            <w:r>
              <w:rPr>
                <w:rFonts w:hint="eastAsia"/>
                <w:b/>
                <w:bCs/>
                <w:color w:val="000000"/>
                <w:kern w:val="2"/>
                <w:sz w:val="21"/>
                <w:szCs w:val="21"/>
              </w:rPr>
              <w:t>中文名</w:t>
            </w:r>
          </w:p>
        </w:tc>
      </w:tr>
      <w:tr w14:paraId="068CEC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373" w:type="dxa"/>
            <w:tcBorders>
              <w:top w:val="single" w:color="000000" w:sz="8" w:space="0"/>
              <w:left w:val="dotted" w:color="auto" w:sz="8" w:space="0"/>
              <w:bottom w:val="dotted" w:color="auto" w:sz="8" w:space="0"/>
              <w:right w:val="dotted" w:color="auto" w:sz="8" w:space="0"/>
            </w:tcBorders>
            <w:shd w:val="clear" w:color="auto" w:fill="FFFFFF"/>
            <w:vAlign w:val="center"/>
          </w:tcPr>
          <w:p w14:paraId="3935C66A">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Ala（A）</w:t>
            </w:r>
          </w:p>
        </w:tc>
        <w:tc>
          <w:tcPr>
            <w:tcW w:w="1374" w:type="dxa"/>
            <w:tcBorders>
              <w:top w:val="single" w:color="000000" w:sz="8" w:space="0"/>
              <w:left w:val="dotted" w:color="auto" w:sz="8" w:space="0"/>
              <w:bottom w:val="dotted" w:color="auto" w:sz="8" w:space="0"/>
              <w:right w:val="dotted" w:color="auto" w:sz="8" w:space="0"/>
            </w:tcBorders>
            <w:shd w:val="clear" w:color="auto" w:fill="FFFFFF"/>
            <w:vAlign w:val="center"/>
          </w:tcPr>
          <w:p w14:paraId="5608EFED">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丙氨酸</w:t>
            </w:r>
          </w:p>
        </w:tc>
        <w:tc>
          <w:tcPr>
            <w:tcW w:w="1373" w:type="dxa"/>
            <w:tcBorders>
              <w:top w:val="single" w:color="000000" w:sz="8" w:space="0"/>
              <w:left w:val="dotted" w:color="auto" w:sz="8" w:space="0"/>
              <w:bottom w:val="dotted" w:color="auto" w:sz="8" w:space="0"/>
              <w:right w:val="dotted" w:color="auto" w:sz="8" w:space="0"/>
            </w:tcBorders>
            <w:shd w:val="clear" w:color="auto" w:fill="FFFFFF"/>
            <w:vAlign w:val="center"/>
          </w:tcPr>
          <w:p w14:paraId="7AEBBD52">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Gly（G）</w:t>
            </w:r>
          </w:p>
        </w:tc>
        <w:tc>
          <w:tcPr>
            <w:tcW w:w="1373" w:type="dxa"/>
            <w:tcBorders>
              <w:top w:val="single" w:color="000000" w:sz="8" w:space="0"/>
              <w:left w:val="dotted" w:color="auto" w:sz="8" w:space="0"/>
              <w:bottom w:val="dotted" w:color="auto" w:sz="8" w:space="0"/>
              <w:right w:val="dotted" w:color="auto" w:sz="8" w:space="0"/>
            </w:tcBorders>
            <w:shd w:val="clear" w:color="auto" w:fill="FFFFFF"/>
            <w:vAlign w:val="center"/>
          </w:tcPr>
          <w:p w14:paraId="79C8F62C">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甘氨酸</w:t>
            </w:r>
          </w:p>
        </w:tc>
        <w:tc>
          <w:tcPr>
            <w:tcW w:w="1374" w:type="dxa"/>
            <w:tcBorders>
              <w:top w:val="single" w:color="000000" w:sz="8" w:space="0"/>
              <w:left w:val="dotted" w:color="auto" w:sz="8" w:space="0"/>
              <w:bottom w:val="dotted" w:color="auto" w:sz="8" w:space="0"/>
              <w:right w:val="dotted" w:color="auto" w:sz="8" w:space="0"/>
            </w:tcBorders>
            <w:shd w:val="clear" w:color="auto" w:fill="FFFFFF"/>
            <w:vAlign w:val="center"/>
          </w:tcPr>
          <w:p w14:paraId="39F99142">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Pro（P）</w:t>
            </w:r>
          </w:p>
        </w:tc>
        <w:tc>
          <w:tcPr>
            <w:tcW w:w="1373" w:type="dxa"/>
            <w:tcBorders>
              <w:top w:val="single" w:color="000000" w:sz="8" w:space="0"/>
              <w:left w:val="dotted" w:color="auto" w:sz="8" w:space="0"/>
              <w:bottom w:val="dotted" w:color="auto" w:sz="8" w:space="0"/>
              <w:right w:val="dotted" w:color="auto" w:sz="8" w:space="0"/>
            </w:tcBorders>
            <w:shd w:val="clear" w:color="auto" w:fill="FFFFFF"/>
            <w:vAlign w:val="center"/>
          </w:tcPr>
          <w:p w14:paraId="4FC53BF6">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脯氨酸</w:t>
            </w:r>
          </w:p>
        </w:tc>
      </w:tr>
      <w:tr w14:paraId="30C8CF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4074D965">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Arg（R）</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14:paraId="58FAEF97">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精氨酸</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6045E550">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His（H）</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27AFBFC8">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组氨酸</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14:paraId="0806E685">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Ser（S）</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2C16D016">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丝氨酸</w:t>
            </w:r>
          </w:p>
        </w:tc>
      </w:tr>
      <w:tr w14:paraId="00FE0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1FA16E68">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Asn（N）</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14:paraId="74962E73">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天冬酰胺</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0476F312">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Ile（I）</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18FE9416">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异亮氨酸</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14:paraId="414E0DC9">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Thr（T）</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1FA2DB47">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苏氨酸</w:t>
            </w:r>
          </w:p>
        </w:tc>
      </w:tr>
      <w:tr w14:paraId="51F20D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1ACB0A7C">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Asp（D）</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14:paraId="77D153CC">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天冬氨酸</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51DCE5EC">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Leu（L）</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50E8DE1D">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亮氨酸</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14:paraId="348A5F4B">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Trp（W）</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7A1DBE66">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色氨酸</w:t>
            </w:r>
          </w:p>
        </w:tc>
      </w:tr>
      <w:tr w14:paraId="04E906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59B07123">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Cys（C）</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14:paraId="1DB7957E">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半胱氨酸</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77D523A4">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Lys（K）</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1F15C693">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赖氨酸</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14:paraId="68099FF0">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Tyr（Y）</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108B46C5">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酪氨酸</w:t>
            </w:r>
          </w:p>
        </w:tc>
      </w:tr>
      <w:tr w14:paraId="7EAFC8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372AACF0">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Gln（Q）</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14:paraId="55EFEE13">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谷氨酰胺</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4ECB978D">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Met（M）</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7E7C5E53">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甲硫氨酸</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14:paraId="7B769C75">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Val（V）</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019A86D0">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缬氨酸</w:t>
            </w:r>
          </w:p>
        </w:tc>
      </w:tr>
      <w:tr w14:paraId="051E22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373" w:type="dxa"/>
            <w:tcBorders>
              <w:top w:val="dotted" w:color="auto" w:sz="8" w:space="0"/>
              <w:left w:val="dotted" w:color="auto" w:sz="8" w:space="0"/>
              <w:bottom w:val="single" w:color="000000" w:sz="8" w:space="0"/>
              <w:right w:val="dotted" w:color="auto" w:sz="8" w:space="0"/>
            </w:tcBorders>
            <w:shd w:val="clear" w:color="auto" w:fill="FFFFFF"/>
            <w:vAlign w:val="center"/>
          </w:tcPr>
          <w:p w14:paraId="076F1243">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Glu（E）</w:t>
            </w:r>
          </w:p>
        </w:tc>
        <w:tc>
          <w:tcPr>
            <w:tcW w:w="1374" w:type="dxa"/>
            <w:tcBorders>
              <w:top w:val="dotted" w:color="auto" w:sz="8" w:space="0"/>
              <w:left w:val="dotted" w:color="auto" w:sz="8" w:space="0"/>
              <w:bottom w:val="single" w:color="000000" w:sz="8" w:space="0"/>
              <w:right w:val="dotted" w:color="auto" w:sz="8" w:space="0"/>
            </w:tcBorders>
            <w:shd w:val="clear" w:color="auto" w:fill="FFFFFF"/>
            <w:vAlign w:val="center"/>
          </w:tcPr>
          <w:p w14:paraId="02AA3F46">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谷氨酸</w:t>
            </w:r>
          </w:p>
        </w:tc>
        <w:tc>
          <w:tcPr>
            <w:tcW w:w="1373" w:type="dxa"/>
            <w:tcBorders>
              <w:top w:val="dotted" w:color="auto" w:sz="8" w:space="0"/>
              <w:left w:val="dotted" w:color="auto" w:sz="8" w:space="0"/>
              <w:bottom w:val="single" w:color="000000" w:sz="8" w:space="0"/>
              <w:right w:val="dotted" w:color="auto" w:sz="8" w:space="0"/>
            </w:tcBorders>
            <w:shd w:val="clear" w:color="auto" w:fill="FFFFFF"/>
            <w:vAlign w:val="center"/>
          </w:tcPr>
          <w:p w14:paraId="27323865">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Phe（F）</w:t>
            </w:r>
          </w:p>
        </w:tc>
        <w:tc>
          <w:tcPr>
            <w:tcW w:w="1373" w:type="dxa"/>
            <w:tcBorders>
              <w:top w:val="dotted" w:color="auto" w:sz="8" w:space="0"/>
              <w:left w:val="dotted" w:color="auto" w:sz="8" w:space="0"/>
              <w:bottom w:val="single" w:color="000000" w:sz="8" w:space="0"/>
              <w:right w:val="dotted" w:color="auto" w:sz="8" w:space="0"/>
            </w:tcBorders>
            <w:shd w:val="clear" w:color="auto" w:fill="FFFFFF"/>
            <w:vAlign w:val="center"/>
          </w:tcPr>
          <w:p w14:paraId="0B79E38D">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苯丙氨酸</w:t>
            </w:r>
          </w:p>
        </w:tc>
        <w:tc>
          <w:tcPr>
            <w:tcW w:w="1374" w:type="dxa"/>
            <w:tcBorders>
              <w:top w:val="dotted" w:color="auto" w:sz="8" w:space="0"/>
              <w:left w:val="dotted" w:color="auto" w:sz="8" w:space="0"/>
              <w:bottom w:val="single" w:color="000000" w:sz="8" w:space="0"/>
              <w:right w:val="dotted" w:color="auto" w:sz="8" w:space="0"/>
            </w:tcBorders>
            <w:shd w:val="clear" w:color="auto" w:fill="FFFFFF"/>
            <w:vAlign w:val="center"/>
          </w:tcPr>
          <w:p w14:paraId="76278534">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p>
        </w:tc>
        <w:tc>
          <w:tcPr>
            <w:tcW w:w="1373" w:type="dxa"/>
            <w:tcBorders>
              <w:top w:val="dotted" w:color="auto" w:sz="8" w:space="0"/>
              <w:left w:val="dotted" w:color="auto" w:sz="8" w:space="0"/>
              <w:bottom w:val="single" w:color="000000" w:sz="8" w:space="0"/>
              <w:right w:val="dotted" w:color="auto" w:sz="8" w:space="0"/>
            </w:tcBorders>
            <w:shd w:val="clear" w:color="auto" w:fill="FFFFFF"/>
            <w:vAlign w:val="center"/>
          </w:tcPr>
          <w:p w14:paraId="441FDB36">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p>
        </w:tc>
      </w:tr>
    </w:tbl>
    <w:p w14:paraId="6575191E">
      <w:pPr>
        <w:pStyle w:val="29"/>
        <w:adjustRightInd/>
        <w:snapToGrid/>
        <w:spacing w:after="300" w:line="220" w:lineRule="atLeast"/>
        <w:ind w:firstLine="0" w:firstLineChars="0"/>
        <w:jc w:val="center"/>
        <w:rPr>
          <w:rFonts w:ascii="微软雅黑" w:hAnsi="微软雅黑"/>
          <w:b/>
          <w:sz w:val="36"/>
          <w:szCs w:val="36"/>
        </w:rPr>
      </w:pPr>
    </w:p>
    <w:p w14:paraId="5502E5D8">
      <w:pPr>
        <w:pStyle w:val="29"/>
        <w:adjustRightInd/>
        <w:snapToGrid/>
        <w:spacing w:after="300" w:line="220" w:lineRule="atLeast"/>
        <w:ind w:firstLine="0" w:firstLineChars="0"/>
        <w:jc w:val="center"/>
        <w:rPr>
          <w:rFonts w:ascii="微软雅黑" w:hAnsi="微软雅黑"/>
          <w:b/>
          <w:sz w:val="36"/>
          <w:szCs w:val="36"/>
        </w:rPr>
      </w:pPr>
    </w:p>
    <w:p w14:paraId="535752B4">
      <w:pPr>
        <w:pStyle w:val="29"/>
        <w:adjustRightInd/>
        <w:snapToGrid/>
        <w:spacing w:after="300" w:line="220" w:lineRule="atLeast"/>
        <w:ind w:firstLine="0" w:firstLineChars="0"/>
        <w:jc w:val="center"/>
        <w:outlineLvl w:val="0"/>
        <w:rPr>
          <w:rFonts w:ascii="微软雅黑" w:hAnsi="微软雅黑"/>
          <w:b/>
          <w:sz w:val="36"/>
          <w:szCs w:val="36"/>
        </w:rPr>
      </w:pPr>
      <w:bookmarkStart w:id="187" w:name="_Toc28254"/>
      <w:r>
        <w:rPr>
          <w:rFonts w:hint="eastAsia" w:ascii="微软雅黑" w:hAnsi="微软雅黑"/>
          <w:b/>
          <w:sz w:val="36"/>
          <w:szCs w:val="36"/>
        </w:rPr>
        <w:t>第四部分：附录</w:t>
      </w:r>
      <w:bookmarkEnd w:id="187"/>
      <w:r>
        <w:commentReference w:id="30"/>
      </w:r>
    </w:p>
    <w:p w14:paraId="569DF217">
      <w:pPr>
        <w:numPr>
          <w:ilvl w:val="0"/>
          <w:numId w:val="20"/>
        </w:numPr>
        <w:spacing w:after="240" w:afterLines="100" w:line="288" w:lineRule="auto"/>
        <w:jc w:val="both"/>
        <w:outlineLvl w:val="0"/>
        <w:rPr>
          <w:rFonts w:ascii="微软雅黑" w:hAnsi="微软雅黑"/>
          <w:b/>
          <w:sz w:val="24"/>
          <w:szCs w:val="24"/>
        </w:rPr>
      </w:pPr>
      <w:bookmarkStart w:id="188" w:name="_Toc6659"/>
      <w:bookmarkStart w:id="189" w:name="_Toc11173"/>
      <w:bookmarkStart w:id="190" w:name="_Toc30037"/>
      <w:bookmarkStart w:id="191" w:name="_Toc28988"/>
      <w:bookmarkStart w:id="192" w:name="_Toc2981"/>
      <w:bookmarkStart w:id="193" w:name="_Toc8652"/>
      <w:bookmarkStart w:id="194" w:name="_Toc6795"/>
      <w:bookmarkStart w:id="195" w:name="_Toc7531"/>
      <w:bookmarkStart w:id="196" w:name="_Toc7887"/>
      <w:bookmarkStart w:id="197" w:name="_Toc4199"/>
      <w:bookmarkStart w:id="198" w:name="_Toc15057"/>
      <w:bookmarkStart w:id="199" w:name="_Toc3318"/>
      <w:r>
        <w:rPr>
          <w:rFonts w:hint="eastAsia" w:ascii="微软雅黑" w:hAnsi="微软雅黑"/>
          <w:b/>
          <w:sz w:val="24"/>
          <w:szCs w:val="24"/>
        </w:rPr>
        <w:t>常见问题解答</w:t>
      </w:r>
      <w:bookmarkEnd w:id="188"/>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6"/>
        <w:gridCol w:w="7486"/>
      </w:tblGrid>
      <w:tr w14:paraId="267F38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trPr>
        <w:tc>
          <w:tcPr>
            <w:tcW w:w="103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42C89FE8">
            <w:pPr>
              <w:keepNext w:val="0"/>
              <w:keepLines w:val="0"/>
              <w:widowControl/>
              <w:suppressLineNumbers w:val="0"/>
              <w:spacing w:before="0" w:beforeAutospacing="0" w:after="0" w:afterAutospacing="0" w:line="220" w:lineRule="atLeast"/>
              <w:ind w:left="0" w:right="0"/>
              <w:jc w:val="both"/>
              <w:rPr>
                <w:rFonts w:hint="default" w:ascii="微软雅黑" w:hAnsi="微软雅黑" w:cs="Times New Roman"/>
                <w:b/>
                <w:color w:val="F9FBFA"/>
                <w:kern w:val="2"/>
              </w:rPr>
            </w:pPr>
            <w:r>
              <w:rPr>
                <w:rFonts w:hint="eastAsia" w:ascii="微软雅黑" w:hAnsi="微软雅黑" w:cs="Times New Roman"/>
                <w:b/>
                <w:color w:val="F9FBFA"/>
                <w:kern w:val="2"/>
              </w:rPr>
              <w:t>问题1</w:t>
            </w:r>
          </w:p>
        </w:tc>
        <w:tc>
          <w:tcPr>
            <w:tcW w:w="748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2393310D">
            <w:pPr>
              <w:keepNext w:val="0"/>
              <w:keepLines w:val="0"/>
              <w:widowControl/>
              <w:suppressLineNumbers w:val="0"/>
              <w:spacing w:before="0" w:beforeAutospacing="0" w:after="0" w:afterAutospacing="0" w:line="220" w:lineRule="atLeast"/>
              <w:ind w:left="0" w:right="0"/>
              <w:jc w:val="both"/>
              <w:rPr>
                <w:rFonts w:hint="default" w:ascii="微软雅黑" w:hAnsi="微软雅黑" w:cs="Times New Roman"/>
                <w:b/>
                <w:color w:val="F9FBFA"/>
                <w:kern w:val="2"/>
              </w:rPr>
            </w:pPr>
            <w:r>
              <w:rPr>
                <w:rFonts w:hint="eastAsia" w:ascii="微软雅黑" w:hAnsi="微软雅黑" w:cs="Times New Roman"/>
                <w:b/>
                <w:color w:val="F9FBFA"/>
                <w:kern w:val="2"/>
              </w:rPr>
              <w:t>肿瘤患者为什么要进行基因检测？</w:t>
            </w:r>
          </w:p>
        </w:tc>
      </w:tr>
      <w:tr w14:paraId="1AB234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3435318D">
            <w:pPr>
              <w:keepNext w:val="0"/>
              <w:keepLines w:val="0"/>
              <w:widowControl/>
              <w:numPr>
                <w:ilvl w:val="0"/>
                <w:numId w:val="21"/>
              </w:numPr>
              <w:suppressLineNumbers w:val="0"/>
              <w:spacing w:before="0" w:beforeAutospacing="0" w:after="40" w:afterAutospacing="0" w:line="460" w:lineRule="exact"/>
              <w:ind w:left="425" w:right="0" w:hanging="142"/>
              <w:rPr>
                <w:rFonts w:hint="default" w:ascii="微软雅黑" w:hAnsi="微软雅黑" w:cs="微软雅黑"/>
                <w:kern w:val="0"/>
                <w:sz w:val="21"/>
                <w:szCs w:val="21"/>
                <w:shd w:val="clear" w:color="auto" w:fill="FFFFFF"/>
              </w:rPr>
            </w:pPr>
            <w:r>
              <w:rPr>
                <w:rFonts w:hint="eastAsia" w:ascii="微软雅黑" w:hAnsi="微软雅黑" w:cs="微软雅黑"/>
                <w:kern w:val="0"/>
                <w:sz w:val="21"/>
                <w:szCs w:val="21"/>
                <w:shd w:val="clear" w:color="auto" w:fill="FFFFFF"/>
              </w:rPr>
              <w:t>决策治疗方案：患者通过基因检测明确是否有突变，明确后续靶药选择；</w:t>
            </w:r>
          </w:p>
          <w:p w14:paraId="655B8FB6">
            <w:pPr>
              <w:keepNext w:val="0"/>
              <w:keepLines w:val="0"/>
              <w:widowControl/>
              <w:numPr>
                <w:ilvl w:val="0"/>
                <w:numId w:val="21"/>
              </w:numPr>
              <w:suppressLineNumbers w:val="0"/>
              <w:spacing w:before="0" w:beforeAutospacing="0" w:after="40" w:afterAutospacing="0" w:line="460" w:lineRule="exact"/>
              <w:ind w:left="425" w:right="0" w:hanging="142"/>
              <w:rPr>
                <w:rFonts w:hint="default" w:ascii="微软雅黑" w:hAnsi="微软雅黑" w:cs="微软雅黑"/>
                <w:kern w:val="0"/>
                <w:sz w:val="21"/>
                <w:szCs w:val="21"/>
                <w:shd w:val="clear" w:color="auto" w:fill="FFFFFF"/>
              </w:rPr>
            </w:pPr>
            <w:r>
              <w:rPr>
                <w:rFonts w:hint="eastAsia" w:ascii="微软雅黑" w:hAnsi="微软雅黑" w:cs="微软雅黑"/>
                <w:kern w:val="0"/>
                <w:sz w:val="21"/>
                <w:szCs w:val="21"/>
                <w:shd w:val="clear" w:color="auto" w:fill="FFFFFF"/>
              </w:rPr>
              <w:t>明确耐药原因：靶药耐药后，通过基因检测明确耐药原因，指导后续方案；</w:t>
            </w:r>
          </w:p>
          <w:p w14:paraId="4261B4E6">
            <w:pPr>
              <w:keepNext w:val="0"/>
              <w:keepLines w:val="0"/>
              <w:widowControl/>
              <w:numPr>
                <w:ilvl w:val="0"/>
                <w:numId w:val="21"/>
              </w:numPr>
              <w:suppressLineNumbers w:val="0"/>
              <w:spacing w:before="0" w:beforeAutospacing="0" w:after="40" w:afterAutospacing="0" w:line="460" w:lineRule="exact"/>
              <w:ind w:left="448" w:right="0" w:hanging="164"/>
              <w:rPr>
                <w:rFonts w:hint="default" w:ascii="微软雅黑" w:hAnsi="微软雅黑" w:cs="微软雅黑"/>
                <w:kern w:val="0"/>
                <w:sz w:val="21"/>
                <w:szCs w:val="21"/>
                <w:shd w:val="clear" w:color="auto" w:fill="FFFFFF"/>
              </w:rPr>
            </w:pPr>
            <w:r>
              <w:rPr>
                <w:rFonts w:hint="default" w:ascii="微软雅黑" w:hAnsi="微软雅黑" w:cs="微软雅黑"/>
                <w:kern w:val="0"/>
                <w:sz w:val="21"/>
                <w:szCs w:val="21"/>
                <w:shd w:val="clear" w:color="auto" w:fill="FFFFFF"/>
              </w:rPr>
              <w:t>指导</w:t>
            </w:r>
            <w:r>
              <w:rPr>
                <w:rFonts w:hint="eastAsia" w:ascii="微软雅黑" w:hAnsi="微软雅黑" w:cs="微软雅黑"/>
                <w:kern w:val="0"/>
                <w:sz w:val="21"/>
                <w:szCs w:val="21"/>
                <w:shd w:val="clear" w:color="auto" w:fill="FFFFFF"/>
              </w:rPr>
              <w:t xml:space="preserve">免疫用药：通过对肿瘤突变负荷TMB及其它相关生物标志物进行检测评估预  </w:t>
            </w:r>
          </w:p>
          <w:p w14:paraId="7B4647CB">
            <w:pPr>
              <w:keepNext w:val="0"/>
              <w:keepLines w:val="0"/>
              <w:widowControl/>
              <w:numPr>
                <w:ilvl w:val="255"/>
                <w:numId w:val="0"/>
              </w:numPr>
              <w:suppressLineNumbers w:val="0"/>
              <w:spacing w:before="0" w:beforeAutospacing="0" w:after="40" w:afterAutospacing="0" w:line="460" w:lineRule="exact"/>
              <w:ind w:left="284" w:right="0" w:firstLine="420" w:firstLineChars="200"/>
              <w:rPr>
                <w:rFonts w:hint="default" w:ascii="微软雅黑" w:hAnsi="微软雅黑" w:cs="微软雅黑"/>
                <w:kern w:val="0"/>
                <w:sz w:val="21"/>
                <w:szCs w:val="21"/>
                <w:shd w:val="clear" w:color="auto" w:fill="FFFFFF"/>
              </w:rPr>
            </w:pPr>
            <w:r>
              <w:rPr>
                <w:rFonts w:hint="eastAsia" w:ascii="微软雅黑" w:hAnsi="微软雅黑" w:cs="微软雅黑"/>
                <w:kern w:val="0"/>
                <w:sz w:val="21"/>
                <w:szCs w:val="21"/>
                <w:shd w:val="clear" w:color="auto" w:fill="FFFFFF"/>
              </w:rPr>
              <w:t>测免疫疗效；</w:t>
            </w:r>
          </w:p>
          <w:p w14:paraId="3297856B">
            <w:pPr>
              <w:keepNext w:val="0"/>
              <w:keepLines w:val="0"/>
              <w:widowControl/>
              <w:numPr>
                <w:ilvl w:val="0"/>
                <w:numId w:val="21"/>
              </w:numPr>
              <w:suppressLineNumbers w:val="0"/>
              <w:spacing w:before="0" w:beforeAutospacing="0" w:after="40" w:afterAutospacing="0" w:line="460" w:lineRule="exact"/>
              <w:ind w:left="425" w:right="0" w:hanging="142"/>
              <w:rPr>
                <w:rFonts w:hint="default" w:ascii="微软雅黑" w:hAnsi="微软雅黑" w:cs="微软雅黑"/>
                <w:kern w:val="2"/>
                <w:sz w:val="18"/>
                <w:szCs w:val="18"/>
              </w:rPr>
            </w:pPr>
            <w:r>
              <w:rPr>
                <w:rFonts w:hint="eastAsia" w:ascii="微软雅黑" w:hAnsi="微软雅黑" w:cs="微软雅黑"/>
                <w:kern w:val="0"/>
                <w:sz w:val="21"/>
                <w:szCs w:val="21"/>
                <w:shd w:val="clear" w:color="auto" w:fill="FFFFFF"/>
              </w:rPr>
              <w:t xml:space="preserve">动态监测病情：治疗过程中配合动态基因检测，观察突变丰度变化，洞悉体内瘤  </w:t>
            </w:r>
          </w:p>
          <w:p w14:paraId="3892AE07">
            <w:pPr>
              <w:keepNext w:val="0"/>
              <w:keepLines w:val="0"/>
              <w:widowControl/>
              <w:suppressLineNumbers w:val="0"/>
              <w:spacing w:before="0" w:beforeAutospacing="0" w:after="40" w:afterAutospacing="0" w:line="460" w:lineRule="exact"/>
              <w:ind w:left="283" w:right="0" w:firstLine="420" w:firstLineChars="200"/>
              <w:rPr>
                <w:rFonts w:hint="default" w:ascii="微软雅黑" w:hAnsi="微软雅黑" w:cs="微软雅黑"/>
                <w:kern w:val="2"/>
                <w:sz w:val="18"/>
                <w:szCs w:val="18"/>
              </w:rPr>
            </w:pPr>
            <w:r>
              <w:rPr>
                <w:rFonts w:hint="eastAsia" w:ascii="微软雅黑" w:hAnsi="微软雅黑" w:cs="微软雅黑"/>
                <w:kern w:val="0"/>
                <w:sz w:val="21"/>
                <w:szCs w:val="21"/>
                <w:shd w:val="clear" w:color="auto" w:fill="FFFFFF"/>
              </w:rPr>
              <w:t>群变动，预测治疗疗效及耐药趋向。</w:t>
            </w:r>
          </w:p>
        </w:tc>
      </w:tr>
    </w:tbl>
    <w:p w14:paraId="424DFD08">
      <w:pPr>
        <w:spacing w:after="0" w:line="288" w:lineRule="auto"/>
        <w:jc w:val="both"/>
        <w:rPr>
          <w:rFonts w:ascii="微软雅黑" w:hAnsi="微软雅黑"/>
          <w:b/>
          <w:sz w:val="24"/>
          <w:szCs w:val="24"/>
        </w:rPr>
      </w:pP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6"/>
        <w:gridCol w:w="7486"/>
      </w:tblGrid>
      <w:tr w14:paraId="235DD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trPr>
        <w:tc>
          <w:tcPr>
            <w:tcW w:w="103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00321F3B">
            <w:pPr>
              <w:keepNext w:val="0"/>
              <w:keepLines w:val="0"/>
              <w:widowControl/>
              <w:suppressLineNumbers w:val="0"/>
              <w:spacing w:before="0" w:beforeAutospacing="0" w:after="0" w:afterAutospacing="0" w:line="220" w:lineRule="atLeast"/>
              <w:ind w:left="0" w:right="0"/>
              <w:jc w:val="both"/>
              <w:rPr>
                <w:rFonts w:hint="default" w:ascii="微软雅黑" w:hAnsi="微软雅黑" w:cs="Times New Roman"/>
                <w:b/>
                <w:color w:val="F9FBFA"/>
                <w:kern w:val="2"/>
              </w:rPr>
            </w:pPr>
            <w:r>
              <w:rPr>
                <w:rFonts w:hint="eastAsia" w:ascii="微软雅黑" w:hAnsi="微软雅黑" w:cs="Times New Roman"/>
                <w:b/>
                <w:color w:val="F9FBFA"/>
                <w:kern w:val="2"/>
              </w:rPr>
              <w:t>问题2</w:t>
            </w:r>
          </w:p>
        </w:tc>
        <w:tc>
          <w:tcPr>
            <w:tcW w:w="748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0A8219A9">
            <w:pPr>
              <w:keepNext w:val="0"/>
              <w:keepLines w:val="0"/>
              <w:widowControl/>
              <w:suppressLineNumbers w:val="0"/>
              <w:spacing w:before="0" w:beforeAutospacing="0" w:after="0" w:afterAutospacing="0" w:line="220" w:lineRule="atLeast"/>
              <w:ind w:left="0" w:right="0"/>
              <w:jc w:val="both"/>
              <w:rPr>
                <w:rFonts w:hint="default" w:ascii="微软雅黑" w:hAnsi="微软雅黑" w:cs="Times New Roman"/>
                <w:b/>
                <w:color w:val="F9FBFA"/>
                <w:kern w:val="2"/>
              </w:rPr>
            </w:pPr>
            <w:r>
              <w:rPr>
                <w:rFonts w:hint="eastAsia" w:ascii="微软雅黑" w:hAnsi="微软雅黑" w:cs="Times New Roman"/>
                <w:b/>
                <w:color w:val="F9FBFA"/>
                <w:kern w:val="2"/>
              </w:rPr>
              <w:t>什么是靶向治疗？</w:t>
            </w:r>
          </w:p>
        </w:tc>
      </w:tr>
      <w:tr w14:paraId="6A4BA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2650137D">
            <w:pPr>
              <w:pStyle w:val="14"/>
              <w:keepNext w:val="0"/>
              <w:keepLines w:val="0"/>
              <w:widowControl/>
              <w:numPr>
                <w:ilvl w:val="255"/>
                <w:numId w:val="0"/>
              </w:numPr>
              <w:suppressLineNumbers w:val="0"/>
              <w:shd w:val="clear" w:color="auto" w:fill="FFFFFF"/>
              <w:spacing w:before="120" w:beforeLines="50" w:beforeAutospacing="0" w:after="120" w:afterLines="50" w:afterAutospacing="0" w:line="264" w:lineRule="auto"/>
              <w:ind w:left="0" w:right="0" w:firstLine="420" w:firstLineChars="200"/>
              <w:jc w:val="both"/>
              <w:rPr>
                <w:rFonts w:hint="default" w:ascii="微软雅黑" w:hAnsi="微软雅黑" w:cs="微软雅黑"/>
                <w:kern w:val="2"/>
                <w:sz w:val="18"/>
                <w:szCs w:val="18"/>
              </w:rPr>
            </w:pPr>
            <w:r>
              <w:rPr>
                <w:rFonts w:hint="eastAsia" w:ascii="微软雅黑" w:hAnsi="微软雅黑" w:cs="微软雅黑"/>
                <w:kern w:val="2"/>
                <w:sz w:val="21"/>
                <w:szCs w:val="21"/>
                <w:shd w:val="clear" w:color="auto" w:fill="FFFFFF"/>
              </w:rPr>
              <w:t>靶向治疗，是指在细胞分子水平上，针对已经明确的致癌位点，也就是我们通常说的靶标，（该位点可以是肿瘤细胞内部的一个蛋白分子，也可以是一个基因片段）设计相应的靶向药物，药物进入体内会特意选择致癌位点相结合，通过干扰参与癌症生长、发展和传播，使肿瘤细胞特异性死亡，而不会波及肿瘤周围的正常组织细胞，最终实现对不同患者和疾病的精准治疗并取得最佳治疗效果。</w:t>
            </w:r>
          </w:p>
        </w:tc>
      </w:tr>
    </w:tbl>
    <w:p w14:paraId="25654089">
      <w:pPr>
        <w:spacing w:after="0" w:line="288" w:lineRule="auto"/>
        <w:jc w:val="both"/>
        <w:rPr>
          <w:rFonts w:ascii="微软雅黑" w:hAnsi="微软雅黑"/>
          <w:b/>
          <w:sz w:val="24"/>
          <w:szCs w:val="24"/>
        </w:rPr>
      </w:pP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6"/>
        <w:gridCol w:w="7486"/>
      </w:tblGrid>
      <w:tr w14:paraId="28C622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trPr>
        <w:tc>
          <w:tcPr>
            <w:tcW w:w="103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77960E6B">
            <w:pPr>
              <w:keepNext w:val="0"/>
              <w:keepLines w:val="0"/>
              <w:widowControl/>
              <w:suppressLineNumbers w:val="0"/>
              <w:spacing w:before="0" w:beforeAutospacing="0" w:after="0" w:afterAutospacing="0" w:line="220" w:lineRule="atLeast"/>
              <w:ind w:left="0" w:right="0"/>
              <w:jc w:val="both"/>
              <w:rPr>
                <w:rFonts w:hint="default" w:ascii="微软雅黑" w:hAnsi="微软雅黑" w:cs="Times New Roman"/>
                <w:b/>
                <w:color w:val="F9FBFA"/>
                <w:kern w:val="2"/>
              </w:rPr>
            </w:pPr>
            <w:r>
              <w:rPr>
                <w:rFonts w:hint="eastAsia" w:ascii="微软雅黑" w:hAnsi="微软雅黑" w:cs="Times New Roman"/>
                <w:b/>
                <w:color w:val="F9FBFA"/>
                <w:kern w:val="2"/>
              </w:rPr>
              <w:t>问题3</w:t>
            </w:r>
          </w:p>
        </w:tc>
        <w:tc>
          <w:tcPr>
            <w:tcW w:w="748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0F8A01BC">
            <w:pPr>
              <w:keepNext w:val="0"/>
              <w:keepLines w:val="0"/>
              <w:widowControl/>
              <w:suppressLineNumbers w:val="0"/>
              <w:spacing w:before="0" w:beforeAutospacing="0" w:after="0" w:afterAutospacing="0" w:line="220" w:lineRule="atLeast"/>
              <w:ind w:left="0" w:right="0"/>
              <w:jc w:val="both"/>
              <w:rPr>
                <w:rFonts w:hint="default" w:ascii="微软雅黑" w:hAnsi="微软雅黑" w:cs="Times New Roman"/>
                <w:b/>
                <w:color w:val="F9FBFA"/>
                <w:kern w:val="2"/>
              </w:rPr>
            </w:pPr>
            <w:r>
              <w:rPr>
                <w:rFonts w:hint="eastAsia" w:ascii="微软雅黑" w:hAnsi="微软雅黑" w:cs="Times New Roman"/>
                <w:b/>
                <w:color w:val="F9FBFA"/>
                <w:kern w:val="2"/>
              </w:rPr>
              <w:t>靶向治疗有副作用吗？</w:t>
            </w:r>
          </w:p>
        </w:tc>
      </w:tr>
      <w:tr w14:paraId="26BB6C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3C6137B9">
            <w:pPr>
              <w:pStyle w:val="14"/>
              <w:keepNext w:val="0"/>
              <w:keepLines w:val="0"/>
              <w:widowControl/>
              <w:numPr>
                <w:ilvl w:val="255"/>
                <w:numId w:val="0"/>
              </w:numPr>
              <w:suppressLineNumbers w:val="0"/>
              <w:shd w:val="clear" w:color="auto" w:fill="FFFFFF"/>
              <w:spacing w:before="120" w:beforeLines="50" w:beforeAutospacing="0" w:after="120" w:afterLines="50" w:afterAutospacing="0" w:line="264" w:lineRule="auto"/>
              <w:ind w:left="0" w:right="0" w:firstLine="420" w:firstLineChars="200"/>
              <w:jc w:val="both"/>
              <w:rPr>
                <w:rFonts w:hint="default" w:ascii="微软雅黑" w:hAnsi="微软雅黑" w:cs="微软雅黑"/>
                <w:kern w:val="2"/>
                <w:sz w:val="18"/>
                <w:szCs w:val="18"/>
              </w:rPr>
            </w:pPr>
            <w:r>
              <w:rPr>
                <w:rFonts w:hint="eastAsia" w:ascii="微软雅黑" w:hAnsi="微软雅黑" w:cs="微软雅黑"/>
                <w:kern w:val="2"/>
                <w:sz w:val="21"/>
                <w:szCs w:val="21"/>
                <w:shd w:val="clear" w:color="auto" w:fill="FFFFFF"/>
              </w:rPr>
              <w:t>靶向治疗的毒性远低于传统化疗药物，因为癌细胞比正常细胞更依赖于靶点。但是，靶向治疗也是具有副作用的</w:t>
            </w:r>
            <w:r>
              <w:rPr>
                <w:rFonts w:hint="eastAsia" w:ascii="微软雅黑" w:hAnsi="微软雅黑" w:cs="微软雅黑"/>
                <w:kern w:val="0"/>
                <w:sz w:val="21"/>
                <w:szCs w:val="21"/>
                <w:shd w:val="clear" w:color="auto" w:fill="FFFFFF"/>
              </w:rPr>
              <w:t>。</w:t>
            </w:r>
          </w:p>
        </w:tc>
      </w:tr>
    </w:tbl>
    <w:p w14:paraId="1F6562D2">
      <w:pPr>
        <w:spacing w:after="0" w:line="288" w:lineRule="auto"/>
        <w:jc w:val="both"/>
        <w:rPr>
          <w:rFonts w:ascii="微软雅黑" w:hAnsi="微软雅黑"/>
          <w:b/>
          <w:sz w:val="24"/>
          <w:szCs w:val="24"/>
        </w:rPr>
      </w:pP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6"/>
        <w:gridCol w:w="7486"/>
      </w:tblGrid>
      <w:tr w14:paraId="5C5D9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trPr>
        <w:tc>
          <w:tcPr>
            <w:tcW w:w="103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6CD4DFB5">
            <w:pPr>
              <w:keepNext w:val="0"/>
              <w:keepLines w:val="0"/>
              <w:widowControl/>
              <w:suppressLineNumbers w:val="0"/>
              <w:spacing w:before="0" w:beforeAutospacing="0" w:after="0" w:afterAutospacing="0" w:line="220" w:lineRule="atLeast"/>
              <w:ind w:left="0" w:right="0"/>
              <w:jc w:val="both"/>
              <w:rPr>
                <w:rFonts w:hint="default" w:ascii="微软雅黑" w:hAnsi="微软雅黑" w:cs="Times New Roman"/>
                <w:b/>
                <w:color w:val="F9FBFA"/>
                <w:kern w:val="2"/>
              </w:rPr>
            </w:pPr>
            <w:r>
              <w:rPr>
                <w:rFonts w:hint="eastAsia" w:ascii="微软雅黑" w:hAnsi="微软雅黑" w:cs="Times New Roman"/>
                <w:b/>
                <w:color w:val="F9FBFA"/>
                <w:kern w:val="2"/>
              </w:rPr>
              <w:t>问题4</w:t>
            </w:r>
          </w:p>
        </w:tc>
        <w:tc>
          <w:tcPr>
            <w:tcW w:w="748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512E5548">
            <w:pPr>
              <w:keepNext w:val="0"/>
              <w:keepLines w:val="0"/>
              <w:widowControl/>
              <w:suppressLineNumbers w:val="0"/>
              <w:spacing w:before="0" w:beforeAutospacing="0" w:after="0" w:afterAutospacing="0" w:line="220" w:lineRule="atLeast"/>
              <w:ind w:left="0" w:right="0"/>
              <w:jc w:val="both"/>
              <w:rPr>
                <w:rFonts w:hint="default" w:ascii="微软雅黑" w:hAnsi="微软雅黑" w:cs="Times New Roman"/>
                <w:b/>
                <w:color w:val="F9FBFA"/>
                <w:kern w:val="2"/>
              </w:rPr>
            </w:pPr>
            <w:r>
              <w:rPr>
                <w:rFonts w:hint="eastAsia" w:ascii="微软雅黑" w:hAnsi="微软雅黑" w:cs="Times New Roman"/>
                <w:b/>
                <w:color w:val="F9FBFA"/>
                <w:kern w:val="2"/>
              </w:rPr>
              <w:t>什么时期接受靶向治疗最好？</w:t>
            </w:r>
          </w:p>
        </w:tc>
      </w:tr>
      <w:tr w14:paraId="08F6BB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5C73329B">
            <w:pPr>
              <w:pStyle w:val="14"/>
              <w:keepNext w:val="0"/>
              <w:keepLines w:val="0"/>
              <w:widowControl/>
              <w:numPr>
                <w:ilvl w:val="255"/>
                <w:numId w:val="0"/>
              </w:numPr>
              <w:suppressLineNumbers w:val="0"/>
              <w:shd w:val="clear" w:color="auto" w:fill="FFFFFF"/>
              <w:spacing w:before="120" w:beforeLines="50" w:beforeAutospacing="0" w:after="120" w:afterLines="50" w:afterAutospacing="0" w:line="264" w:lineRule="auto"/>
              <w:ind w:left="0" w:right="0" w:firstLine="420" w:firstLineChars="200"/>
              <w:jc w:val="both"/>
              <w:rPr>
                <w:rFonts w:hint="default" w:ascii="微软雅黑" w:hAnsi="微软雅黑" w:cs="微软雅黑"/>
                <w:kern w:val="2"/>
                <w:sz w:val="18"/>
                <w:szCs w:val="18"/>
              </w:rPr>
            </w:pPr>
            <w:r>
              <w:rPr>
                <w:rFonts w:hint="eastAsia" w:ascii="微软雅黑" w:hAnsi="微软雅黑" w:cs="微软雅黑"/>
                <w:kern w:val="2"/>
                <w:sz w:val="21"/>
                <w:szCs w:val="21"/>
                <w:shd w:val="clear" w:color="auto" w:fill="FFFFFF"/>
              </w:rPr>
              <w:t>有时，靶向治疗是癌症确诊后的首选治疗方案，而有时，靶向治疗是作为放化疗无效，已经没有更好治疗方法时的最后尝试。最佳的选择时间，需要有经验的临床医生根据基因检测报告和患者自身的情况判断。</w:t>
            </w:r>
          </w:p>
        </w:tc>
      </w:tr>
    </w:tbl>
    <w:p w14:paraId="26210329">
      <w:pPr>
        <w:spacing w:after="0" w:line="288" w:lineRule="auto"/>
        <w:jc w:val="both"/>
        <w:rPr>
          <w:rFonts w:ascii="微软雅黑" w:hAnsi="微软雅黑"/>
          <w:b/>
          <w:sz w:val="24"/>
          <w:szCs w:val="24"/>
        </w:rPr>
      </w:pP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6"/>
        <w:gridCol w:w="7486"/>
      </w:tblGrid>
      <w:tr w14:paraId="2FB1E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trPr>
        <w:tc>
          <w:tcPr>
            <w:tcW w:w="103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6AEFBF1D">
            <w:pPr>
              <w:keepNext w:val="0"/>
              <w:keepLines w:val="0"/>
              <w:widowControl/>
              <w:suppressLineNumbers w:val="0"/>
              <w:spacing w:before="0" w:beforeAutospacing="0" w:after="0" w:afterAutospacing="0" w:line="220" w:lineRule="atLeast"/>
              <w:ind w:left="0" w:right="0"/>
              <w:jc w:val="both"/>
              <w:rPr>
                <w:rFonts w:hint="default" w:ascii="微软雅黑" w:hAnsi="微软雅黑" w:cs="Times New Roman"/>
                <w:b/>
                <w:color w:val="F9FBFA"/>
                <w:kern w:val="2"/>
              </w:rPr>
            </w:pPr>
            <w:r>
              <w:rPr>
                <w:rFonts w:hint="eastAsia" w:ascii="微软雅黑" w:hAnsi="微软雅黑" w:cs="Times New Roman"/>
                <w:b/>
                <w:color w:val="F9FBFA"/>
                <w:kern w:val="2"/>
              </w:rPr>
              <w:t>问题5</w:t>
            </w:r>
          </w:p>
        </w:tc>
        <w:tc>
          <w:tcPr>
            <w:tcW w:w="748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7E718F6F">
            <w:pPr>
              <w:keepNext w:val="0"/>
              <w:keepLines w:val="0"/>
              <w:widowControl/>
              <w:suppressLineNumbers w:val="0"/>
              <w:spacing w:before="0" w:beforeAutospacing="0" w:after="0" w:afterAutospacing="0" w:line="220" w:lineRule="atLeast"/>
              <w:ind w:left="0" w:right="0"/>
              <w:jc w:val="both"/>
              <w:rPr>
                <w:rFonts w:hint="default" w:ascii="微软雅黑" w:hAnsi="微软雅黑" w:cs="Times New Roman"/>
                <w:b/>
                <w:color w:val="F9FBFA"/>
                <w:kern w:val="2"/>
              </w:rPr>
            </w:pPr>
            <w:r>
              <w:rPr>
                <w:rFonts w:hint="eastAsia" w:ascii="微软雅黑" w:hAnsi="微软雅黑" w:cs="Times New Roman"/>
                <w:b/>
                <w:color w:val="F9FBFA"/>
                <w:kern w:val="2"/>
              </w:rPr>
              <w:t>PD-1抑制剂为何能获得医生、患者及其家属的极度关注呢？</w:t>
            </w:r>
          </w:p>
        </w:tc>
      </w:tr>
      <w:tr w14:paraId="04E673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13DA7053">
            <w:pPr>
              <w:pStyle w:val="14"/>
              <w:keepNext w:val="0"/>
              <w:keepLines w:val="0"/>
              <w:widowControl/>
              <w:numPr>
                <w:ilvl w:val="255"/>
                <w:numId w:val="0"/>
              </w:numPr>
              <w:suppressLineNumbers w:val="0"/>
              <w:shd w:val="clear" w:color="auto" w:fill="FFFFFF"/>
              <w:spacing w:before="120" w:beforeLines="50" w:beforeAutospacing="0" w:after="120" w:afterLines="50" w:afterAutospacing="0" w:line="264" w:lineRule="auto"/>
              <w:ind w:left="0" w:right="0" w:firstLine="420" w:firstLineChars="200"/>
              <w:jc w:val="both"/>
              <w:rPr>
                <w:rFonts w:hint="default" w:ascii="微软雅黑" w:hAnsi="微软雅黑" w:cs="微软雅黑"/>
                <w:kern w:val="2"/>
                <w:sz w:val="18"/>
                <w:szCs w:val="18"/>
              </w:rPr>
            </w:pPr>
            <w:r>
              <w:rPr>
                <w:rFonts w:hint="eastAsia" w:ascii="微软雅黑" w:hAnsi="微软雅黑" w:cs="微软雅黑"/>
                <w:kern w:val="0"/>
                <w:sz w:val="21"/>
                <w:szCs w:val="21"/>
                <w:shd w:val="clear" w:color="auto" w:fill="FFFFFF"/>
              </w:rPr>
              <w:t>主要的原因是：PD-1抑制剂疗效的持久性。由于免疫系统具有记忆功能，因此一旦PD-1抑制剂起效，其中部分病友实现临床治愈。尤其是较早的恶性黑色瘤、肾癌以及非小细胞肺癌中，都已经观察到了类似的现象。</w:t>
            </w:r>
          </w:p>
        </w:tc>
      </w:tr>
    </w:tbl>
    <w:tbl>
      <w:tblPr>
        <w:tblStyle w:val="16"/>
        <w:tblpPr w:leftFromText="180" w:rightFromText="180" w:vertAnchor="text" w:horzAnchor="page" w:tblpX="1780" w:tblpY="485"/>
        <w:tblOverlap w:val="never"/>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6"/>
        <w:gridCol w:w="7486"/>
      </w:tblGrid>
      <w:tr w14:paraId="5788EA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trPr>
        <w:tc>
          <w:tcPr>
            <w:tcW w:w="103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058D2C59">
            <w:pPr>
              <w:keepNext w:val="0"/>
              <w:keepLines w:val="0"/>
              <w:widowControl/>
              <w:suppressLineNumbers w:val="0"/>
              <w:spacing w:before="0" w:beforeAutospacing="0" w:after="0" w:afterAutospacing="0" w:line="220" w:lineRule="atLeast"/>
              <w:ind w:left="0" w:right="0"/>
              <w:jc w:val="both"/>
              <w:rPr>
                <w:rFonts w:hint="default" w:ascii="微软雅黑" w:hAnsi="微软雅黑" w:cs="Times New Roman"/>
                <w:b/>
                <w:color w:val="F9FBFA"/>
                <w:kern w:val="2"/>
              </w:rPr>
            </w:pPr>
            <w:r>
              <w:rPr>
                <w:rFonts w:hint="eastAsia" w:ascii="微软雅黑" w:hAnsi="微软雅黑" w:cs="Times New Roman"/>
                <w:b/>
                <w:color w:val="F9FBFA"/>
                <w:kern w:val="2"/>
              </w:rPr>
              <w:t>问题6</w:t>
            </w:r>
          </w:p>
        </w:tc>
        <w:tc>
          <w:tcPr>
            <w:tcW w:w="748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78B48E24">
            <w:pPr>
              <w:keepNext w:val="0"/>
              <w:keepLines w:val="0"/>
              <w:widowControl/>
              <w:suppressLineNumbers w:val="0"/>
              <w:spacing w:before="0" w:beforeAutospacing="0" w:after="0" w:afterAutospacing="0" w:line="220" w:lineRule="atLeast"/>
              <w:ind w:left="0" w:right="0"/>
              <w:jc w:val="both"/>
              <w:rPr>
                <w:rFonts w:hint="default" w:ascii="微软雅黑" w:hAnsi="微软雅黑" w:cs="Times New Roman"/>
                <w:b/>
                <w:color w:val="F9FBFA"/>
                <w:kern w:val="2"/>
              </w:rPr>
            </w:pPr>
            <w:r>
              <w:rPr>
                <w:rFonts w:hint="eastAsia" w:ascii="微软雅黑" w:hAnsi="微软雅黑" w:cs="Times New Roman"/>
                <w:b/>
                <w:color w:val="F9FBFA"/>
                <w:kern w:val="2"/>
              </w:rPr>
              <w:t>什么是临床实验？</w:t>
            </w:r>
          </w:p>
        </w:tc>
      </w:tr>
      <w:tr w14:paraId="7EB2B0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7BF9A1DA">
            <w:pPr>
              <w:pStyle w:val="14"/>
              <w:keepNext w:val="0"/>
              <w:keepLines w:val="0"/>
              <w:widowControl/>
              <w:numPr>
                <w:ilvl w:val="255"/>
                <w:numId w:val="0"/>
              </w:numPr>
              <w:suppressLineNumbers w:val="0"/>
              <w:shd w:val="clear" w:color="auto" w:fill="FFFFFF"/>
              <w:spacing w:before="120" w:beforeLines="50" w:beforeAutospacing="0" w:after="120" w:afterLines="50" w:afterAutospacing="0" w:line="264" w:lineRule="auto"/>
              <w:ind w:left="0" w:right="0" w:firstLine="420" w:firstLineChars="200"/>
              <w:jc w:val="both"/>
              <w:rPr>
                <w:rFonts w:hint="default" w:ascii="微软雅黑" w:hAnsi="微软雅黑" w:cs="微软雅黑"/>
                <w:kern w:val="2"/>
                <w:sz w:val="18"/>
                <w:szCs w:val="18"/>
              </w:rPr>
            </w:pPr>
            <w:r>
              <w:rPr>
                <w:rFonts w:hint="eastAsia" w:ascii="微软雅黑" w:hAnsi="微软雅黑" w:cs="微软雅黑"/>
                <w:kern w:val="0"/>
                <w:sz w:val="21"/>
                <w:szCs w:val="21"/>
                <w:shd w:val="clear" w:color="auto" w:fill="FFFFFF"/>
              </w:rPr>
              <w:t>国内药厂等研发机构研发的抗癌新药以及国外的药物在国内上市前都要进行药物的临床实验，包含Ⅰ期-Ⅲ期。需要适合试验要求背景的患者进行用药试验。患者在知情同意后入组获得免费的用药机会，用药期间的试验药物费用、定期检查费用均为免费。所有的试验项目都在国家NMPA官网可查，并获得伦理审查。</w:t>
            </w:r>
          </w:p>
        </w:tc>
      </w:tr>
    </w:tbl>
    <w:p w14:paraId="12563FAC">
      <w:pPr>
        <w:spacing w:after="0" w:line="240" w:lineRule="atLeast"/>
        <w:jc w:val="both"/>
        <w:rPr>
          <w:rFonts w:ascii="微软雅黑" w:hAnsi="微软雅黑" w:cs="微软雅黑"/>
          <w:sz w:val="21"/>
          <w:szCs w:val="21"/>
          <w:shd w:val="clear" w:color="auto" w:fill="FFFFFF"/>
        </w:rPr>
      </w:pPr>
    </w:p>
    <w:p w14:paraId="7D1C5BAA">
      <w:pPr>
        <w:spacing w:after="0" w:line="240" w:lineRule="atLeast"/>
        <w:jc w:val="both"/>
        <w:rPr>
          <w:rFonts w:ascii="微软雅黑" w:hAnsi="微软雅黑" w:cs="微软雅黑"/>
          <w:sz w:val="21"/>
          <w:szCs w:val="21"/>
          <w:shd w:val="clear" w:color="auto" w:fill="FFFFFF"/>
        </w:rPr>
      </w:pP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6"/>
        <w:gridCol w:w="7486"/>
      </w:tblGrid>
      <w:tr w14:paraId="31D3A2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trPr>
        <w:tc>
          <w:tcPr>
            <w:tcW w:w="103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4B71843B">
            <w:pPr>
              <w:keepNext w:val="0"/>
              <w:keepLines w:val="0"/>
              <w:widowControl/>
              <w:suppressLineNumbers w:val="0"/>
              <w:spacing w:before="0" w:beforeAutospacing="0" w:after="0" w:afterAutospacing="0" w:line="220" w:lineRule="atLeast"/>
              <w:ind w:left="0" w:right="0"/>
              <w:jc w:val="both"/>
              <w:rPr>
                <w:rFonts w:hint="default" w:ascii="微软雅黑" w:hAnsi="微软雅黑" w:cs="Times New Roman"/>
                <w:b/>
                <w:color w:val="F9FBFA"/>
                <w:kern w:val="2"/>
              </w:rPr>
            </w:pPr>
            <w:r>
              <w:rPr>
                <w:rFonts w:hint="eastAsia" w:ascii="微软雅黑" w:hAnsi="微软雅黑" w:cs="Times New Roman"/>
                <w:b/>
                <w:color w:val="F9FBFA"/>
                <w:kern w:val="2"/>
              </w:rPr>
              <w:t>问题7</w:t>
            </w:r>
          </w:p>
        </w:tc>
        <w:tc>
          <w:tcPr>
            <w:tcW w:w="748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089E7A80">
            <w:pPr>
              <w:keepNext w:val="0"/>
              <w:keepLines w:val="0"/>
              <w:widowControl/>
              <w:suppressLineNumbers w:val="0"/>
              <w:spacing w:before="0" w:beforeAutospacing="0" w:after="0" w:afterAutospacing="0" w:line="220" w:lineRule="atLeast"/>
              <w:ind w:left="0" w:right="0"/>
              <w:jc w:val="both"/>
              <w:rPr>
                <w:rFonts w:hint="default" w:ascii="微软雅黑" w:hAnsi="微软雅黑" w:cs="Times New Roman"/>
                <w:b/>
                <w:color w:val="F9FBFA"/>
                <w:kern w:val="2"/>
              </w:rPr>
            </w:pPr>
            <w:r>
              <w:rPr>
                <w:rFonts w:hint="eastAsia" w:ascii="微软雅黑" w:hAnsi="微软雅黑" w:cs="Times New Roman"/>
                <w:b/>
                <w:color w:val="F9FBFA"/>
                <w:kern w:val="2"/>
              </w:rPr>
              <w:t>参加临床实验有什么好处？</w:t>
            </w:r>
          </w:p>
        </w:tc>
      </w:tr>
      <w:tr w14:paraId="481B3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6D6284B0">
            <w:pPr>
              <w:keepNext w:val="0"/>
              <w:keepLines w:val="0"/>
              <w:widowControl/>
              <w:numPr>
                <w:ilvl w:val="0"/>
                <w:numId w:val="21"/>
              </w:numPr>
              <w:suppressLineNumbers w:val="0"/>
              <w:spacing w:before="0" w:beforeAutospacing="0" w:after="40" w:afterAutospacing="0" w:line="460" w:lineRule="exact"/>
              <w:ind w:right="0"/>
              <w:jc w:val="both"/>
              <w:rPr>
                <w:rFonts w:hint="default" w:ascii="微软雅黑" w:hAnsi="微软雅黑" w:cs="微软雅黑"/>
                <w:kern w:val="2"/>
                <w:sz w:val="18"/>
                <w:szCs w:val="18"/>
              </w:rPr>
            </w:pPr>
            <w:r>
              <w:rPr>
                <w:rFonts w:hint="eastAsia" w:ascii="微软雅黑" w:hAnsi="微软雅黑" w:cs="微软雅黑"/>
                <w:kern w:val="0"/>
                <w:sz w:val="21"/>
                <w:szCs w:val="21"/>
                <w:shd w:val="clear" w:color="auto" w:fill="FFFFFF"/>
              </w:rPr>
              <w:t>寻求新的治疗希望：很多新药是针对新兴研究的靶点，部分药物是国外已经上市的。特别是对于后期无药可选的患者参加临床试验是重要的治疗机会。</w:t>
            </w:r>
          </w:p>
          <w:p w14:paraId="1BC1A6C5">
            <w:pPr>
              <w:keepNext w:val="0"/>
              <w:keepLines w:val="0"/>
              <w:widowControl/>
              <w:numPr>
                <w:ilvl w:val="0"/>
                <w:numId w:val="21"/>
              </w:numPr>
              <w:suppressLineNumbers w:val="0"/>
              <w:spacing w:before="0" w:beforeAutospacing="0" w:after="40" w:afterAutospacing="0" w:line="460" w:lineRule="exact"/>
              <w:ind w:right="0"/>
              <w:jc w:val="both"/>
              <w:rPr>
                <w:rFonts w:hint="default" w:ascii="微软雅黑" w:hAnsi="微软雅黑" w:cs="微软雅黑"/>
                <w:kern w:val="2"/>
                <w:sz w:val="18"/>
                <w:szCs w:val="18"/>
              </w:rPr>
            </w:pPr>
            <w:r>
              <w:rPr>
                <w:rFonts w:hint="eastAsia" w:ascii="微软雅黑" w:hAnsi="微软雅黑" w:cs="微软雅黑"/>
                <w:kern w:val="0"/>
                <w:sz w:val="21"/>
                <w:szCs w:val="21"/>
                <w:shd w:val="clear" w:color="auto" w:fill="FFFFFF"/>
              </w:rPr>
              <w:t>减轻家庭经济负担：肿瘤患者病情反复，巨额费用普通家庭很难承受，选择合适的临床实验可以适度减轻家庭经济负担。</w:t>
            </w:r>
          </w:p>
        </w:tc>
      </w:tr>
    </w:tbl>
    <w:p w14:paraId="1051C5E9">
      <w:pPr>
        <w:spacing w:after="0" w:line="140" w:lineRule="atLeast"/>
        <w:jc w:val="both"/>
        <w:rPr>
          <w:rFonts w:ascii="微软雅黑" w:hAnsi="微软雅黑" w:cs="微软雅黑"/>
          <w:sz w:val="21"/>
          <w:szCs w:val="21"/>
          <w:shd w:val="clear" w:color="auto" w:fill="FFFFFF"/>
        </w:rPr>
      </w:pPr>
    </w:p>
    <w:p w14:paraId="061AF2F3">
      <w:pPr>
        <w:pStyle w:val="14"/>
        <w:numPr>
          <w:ilvl w:val="255"/>
          <w:numId w:val="0"/>
        </w:numPr>
        <w:shd w:val="clear" w:color="auto" w:fill="FFFFFF"/>
        <w:spacing w:before="120" w:beforeLines="50" w:beforeAutospacing="0" w:after="120" w:afterLines="50" w:afterAutospacing="0" w:line="264" w:lineRule="auto"/>
        <w:ind w:firstLine="420" w:firstLineChars="200"/>
        <w:jc w:val="both"/>
        <w:rPr>
          <w:rFonts w:ascii="微软雅黑" w:hAnsi="微软雅黑" w:cs="微软雅黑"/>
          <w:sz w:val="21"/>
          <w:szCs w:val="21"/>
          <w:shd w:val="clear" w:color="auto" w:fill="FFFFFF"/>
        </w:rPr>
      </w:pPr>
    </w:p>
    <w:p w14:paraId="391E22CC">
      <w:pPr>
        <w:spacing w:line="460" w:lineRule="exact"/>
        <w:ind w:firstLine="420" w:firstLineChars="200"/>
        <w:jc w:val="both"/>
        <w:rPr>
          <w:rFonts w:ascii="微软雅黑" w:hAnsi="微软雅黑" w:cs="微软雅黑"/>
          <w:sz w:val="21"/>
          <w:szCs w:val="21"/>
          <w:shd w:val="clear" w:color="auto" w:fill="FFFFFF"/>
        </w:rPr>
      </w:pPr>
    </w:p>
    <w:p w14:paraId="071778AE">
      <w:pPr>
        <w:spacing w:line="460" w:lineRule="exact"/>
        <w:ind w:firstLine="420" w:firstLineChars="200"/>
        <w:jc w:val="both"/>
        <w:rPr>
          <w:rFonts w:ascii="微软雅黑" w:hAnsi="微软雅黑" w:cs="微软雅黑"/>
          <w:sz w:val="21"/>
          <w:szCs w:val="21"/>
          <w:shd w:val="clear" w:color="auto" w:fill="FFFFFF"/>
        </w:rPr>
      </w:pPr>
    </w:p>
    <w:p w14:paraId="09975B55">
      <w:pPr>
        <w:rPr>
          <w:rFonts w:ascii="微软雅黑" w:hAnsi="微软雅黑"/>
          <w:b/>
          <w:sz w:val="24"/>
          <w:szCs w:val="24"/>
        </w:rPr>
      </w:pPr>
      <w:r>
        <w:rPr>
          <w:rFonts w:hint="eastAsia" w:ascii="微软雅黑" w:hAnsi="微软雅黑"/>
          <w:b/>
          <w:sz w:val="24"/>
          <w:szCs w:val="24"/>
        </w:rPr>
        <w:br w:type="page"/>
      </w:r>
    </w:p>
    <w:bookmarkEnd w:id="189"/>
    <w:p w14:paraId="39F1532C">
      <w:pPr>
        <w:spacing w:after="0" w:line="288" w:lineRule="auto"/>
        <w:jc w:val="both"/>
        <w:outlineLvl w:val="0"/>
        <w:rPr>
          <w:rFonts w:ascii="微软雅黑" w:hAnsi="微软雅黑"/>
          <w:b/>
          <w:sz w:val="24"/>
          <w:szCs w:val="24"/>
        </w:rPr>
      </w:pPr>
      <w:bookmarkStart w:id="200" w:name="_Toc9100"/>
      <w:bookmarkStart w:id="201" w:name="_Toc21727"/>
      <w:bookmarkStart w:id="202" w:name="OLE_LINK34"/>
      <w:r>
        <w:rPr>
          <w:rFonts w:hint="eastAsia" w:ascii="微软雅黑" w:hAnsi="微软雅黑"/>
          <w:b/>
          <w:sz w:val="24"/>
          <w:szCs w:val="24"/>
        </w:rPr>
        <w:t>2. 结直肠癌诊疗知识</w:t>
      </w:r>
      <w:bookmarkEnd w:id="200"/>
      <w:r>
        <w:commentReference w:id="31"/>
      </w:r>
    </w:p>
    <w:p w14:paraId="57E445E7">
      <w:pPr>
        <w:ind w:firstLine="420" w:firstLineChars="200"/>
        <w:jc w:val="both"/>
        <w:rPr>
          <w:rFonts w:ascii="微软雅黑" w:hAnsi="微软雅黑" w:cs="微软雅黑"/>
          <w:sz w:val="18"/>
        </w:rPr>
      </w:pPr>
      <w:r>
        <w:rPr>
          <w:rFonts w:hint="eastAsia" w:ascii="微软雅黑" w:hAnsi="微软雅黑" w:cs="微软雅黑"/>
          <w:sz w:val="21"/>
          <w:szCs w:val="21"/>
        </w:rPr>
        <w:t>结直肠癌（Colorectal cancer，CRC）是胃肠道中常见的恶性肿瘤，早期症状不明显，随着肿瘤的增大而表现排便习惯改变、便血、腹泻、腹泻与便秘交替、局部腹痛等症状，晚期则表现为贫血、体重减轻等全身症状。结直肠癌约占全世界每年新增诊断癌症和癌症相关死亡的10%，在女性常见癌种中排名第二，男性常见癌种中排名第三</w:t>
      </w:r>
      <w:r>
        <w:rPr>
          <w:rFonts w:hint="eastAsia" w:ascii="微软雅黑" w:hAnsi="微软雅黑" w:cs="微软雅黑"/>
          <w:sz w:val="21"/>
          <w:szCs w:val="21"/>
          <w:vertAlign w:val="superscript"/>
        </w:rPr>
        <w:t>[1]</w:t>
      </w:r>
      <w:r>
        <w:rPr>
          <w:rFonts w:hint="eastAsia" w:ascii="微软雅黑" w:hAnsi="微软雅黑" w:cs="微软雅黑"/>
          <w:sz w:val="21"/>
          <w:szCs w:val="21"/>
        </w:rPr>
        <w:t>。结直肠癌发病率因性别、地区而异，男性的大肠癌的年龄标准化发病率（ASRi）（每十万人中20.6）高于女性（每十万人中14.3），</w:t>
      </w:r>
      <w:r>
        <w:rPr>
          <w:rFonts w:ascii="微软雅黑" w:hAnsi="微软雅黑" w:cs="微软雅黑"/>
          <w:sz w:val="21"/>
          <w:szCs w:val="21"/>
        </w:rPr>
        <w:t>较发达的地区</w:t>
      </w:r>
      <w:r>
        <w:rPr>
          <w:rFonts w:hint="eastAsia" w:ascii="微软雅黑" w:hAnsi="微软雅黑" w:cs="微软雅黑"/>
          <w:sz w:val="21"/>
          <w:szCs w:val="21"/>
        </w:rPr>
        <w:t>高于欠发达地区（图1）。发病率和死亡率在消化系统恶性肿瘤中仅次于胃癌、食管癌和原发性肝癌，2013年全球约77.1万人死于大肠癌，成为继肺癌、肝癌和胃癌之后全球第四大最常见的癌症相关死亡原因</w:t>
      </w:r>
      <w:r>
        <w:rPr>
          <w:rFonts w:hint="eastAsia" w:ascii="微软雅黑" w:hAnsi="微软雅黑" w:cs="微软雅黑"/>
          <w:sz w:val="21"/>
          <w:szCs w:val="21"/>
          <w:vertAlign w:val="superscript"/>
        </w:rPr>
        <w:t>[2]</w:t>
      </w:r>
      <w:r>
        <w:rPr>
          <w:rFonts w:hint="eastAsia" w:ascii="微软雅黑" w:hAnsi="微软雅黑" w:cs="微软雅黑"/>
          <w:sz w:val="21"/>
          <w:szCs w:val="21"/>
        </w:rPr>
        <w:t>。</w:t>
      </w:r>
    </w:p>
    <w:p w14:paraId="48956F8C">
      <w:pPr>
        <w:jc w:val="center"/>
      </w:pPr>
      <w:r>
        <w:drawing>
          <wp:inline distT="0" distB="0" distL="114300" distR="114300">
            <wp:extent cx="5220335" cy="3353435"/>
            <wp:effectExtent l="0" t="0" r="18415" b="18415"/>
            <wp:docPr id="1027"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 name="图片 15"/>
                    <pic:cNvPicPr>
                      <a:picLocks noChangeAspect="1"/>
                    </pic:cNvPicPr>
                  </pic:nvPicPr>
                  <pic:blipFill>
                    <a:blip r:embed="rId28"/>
                    <a:srcRect l="988"/>
                    <a:stretch>
                      <a:fillRect/>
                    </a:stretch>
                  </pic:blipFill>
                  <pic:spPr>
                    <a:xfrm>
                      <a:off x="0" y="0"/>
                      <a:ext cx="5220335" cy="3353435"/>
                    </a:xfrm>
                    <a:prstGeom prst="rect">
                      <a:avLst/>
                    </a:prstGeom>
                    <a:noFill/>
                    <a:ln>
                      <a:noFill/>
                    </a:ln>
                  </pic:spPr>
                </pic:pic>
              </a:graphicData>
            </a:graphic>
          </wp:inline>
        </w:drawing>
      </w:r>
    </w:p>
    <w:p w14:paraId="7FCBB05F">
      <w:pPr>
        <w:jc w:val="center"/>
        <w:rPr>
          <w:sz w:val="20"/>
          <w:szCs w:val="20"/>
        </w:rPr>
      </w:pPr>
      <w:r>
        <w:rPr>
          <w:rFonts w:hint="eastAsia"/>
          <w:sz w:val="20"/>
          <w:szCs w:val="20"/>
        </w:rPr>
        <w:t>图1 各地理区域男女（每10万人）的年龄标准化发病率和死亡率</w:t>
      </w:r>
      <w:r>
        <w:rPr>
          <w:rFonts w:hint="eastAsia" w:ascii="微软雅黑" w:hAnsi="微软雅黑" w:cs="微软雅黑"/>
          <w:sz w:val="20"/>
          <w:szCs w:val="20"/>
          <w:vertAlign w:val="superscript"/>
        </w:rPr>
        <w:t>[3]</w:t>
      </w:r>
    </w:p>
    <w:p w14:paraId="09586B67">
      <w:pPr>
        <w:jc w:val="both"/>
        <w:rPr>
          <w:b/>
          <w:bCs/>
        </w:rPr>
      </w:pPr>
      <w:r>
        <w:rPr>
          <w:rFonts w:hint="eastAsia"/>
          <w:b/>
          <w:bCs/>
        </w:rPr>
        <w:t>1、高危患病因素</w:t>
      </w:r>
    </w:p>
    <w:p w14:paraId="0AF8DB60">
      <w:pPr>
        <w:ind w:firstLine="420" w:firstLineChars="200"/>
        <w:jc w:val="both"/>
        <w:rPr>
          <w:rFonts w:ascii="微软雅黑" w:hAnsi="微软雅黑" w:cs="微软雅黑"/>
          <w:sz w:val="21"/>
          <w:szCs w:val="21"/>
        </w:rPr>
      </w:pPr>
      <w:r>
        <w:rPr>
          <w:rFonts w:hint="eastAsia" w:ascii="微软雅黑" w:hAnsi="微软雅黑" w:cs="微软雅黑"/>
          <w:sz w:val="21"/>
          <w:szCs w:val="21"/>
        </w:rPr>
        <w:t>流行病学研究表明，性别和年龄增长与结直肠癌发病率密切相关。同时，遗传和环境因素对结直肠发病起着重要作用（图2）。大多数西方人群中，结直肠癌的平均终生风险在3％-5％。大多数结直肠癌是散发性的，大约10-20%的结直肠癌患者有家族史</w:t>
      </w:r>
      <w:r>
        <w:rPr>
          <w:rFonts w:hint="eastAsia" w:ascii="微软雅黑" w:hAnsi="微软雅黑" w:cs="微软雅黑"/>
          <w:sz w:val="21"/>
          <w:szCs w:val="21"/>
          <w:vertAlign w:val="superscript"/>
        </w:rPr>
        <w:t>[4]</w:t>
      </w:r>
      <w:r>
        <w:rPr>
          <w:rFonts w:hint="eastAsia" w:ascii="微软雅黑" w:hAnsi="微软雅黑" w:cs="微软雅黑"/>
          <w:sz w:val="21"/>
          <w:szCs w:val="21"/>
        </w:rPr>
        <w:t>，其患病风险取决于患病家属年龄与数量</w:t>
      </w:r>
      <w:r>
        <w:rPr>
          <w:rFonts w:hint="eastAsia" w:ascii="微软雅黑" w:hAnsi="微软雅黑" w:cs="微软雅黑"/>
          <w:sz w:val="21"/>
          <w:szCs w:val="21"/>
          <w:vertAlign w:val="superscript"/>
        </w:rPr>
        <w:t>[5]</w:t>
      </w:r>
      <w:r>
        <w:rPr>
          <w:rFonts w:hint="eastAsia" w:ascii="微软雅黑" w:hAnsi="微软雅黑" w:cs="微软雅黑"/>
          <w:sz w:val="21"/>
          <w:szCs w:val="21"/>
        </w:rPr>
        <w:t>。如直系亲属诊断时年龄小于50岁，则患病风险增加三倍。长期患有炎症性肠病和有结直肠癌或腺瘤病史的患者患结直肠癌的风险较高，需要进行适当的监测</w:t>
      </w:r>
      <w:r>
        <w:rPr>
          <w:rFonts w:hint="eastAsia" w:ascii="微软雅黑" w:hAnsi="微软雅黑" w:cs="微软雅黑"/>
          <w:sz w:val="21"/>
          <w:szCs w:val="21"/>
          <w:vertAlign w:val="superscript"/>
        </w:rPr>
        <w:t>[6，7]</w:t>
      </w:r>
      <w:r>
        <w:rPr>
          <w:rFonts w:hint="eastAsia" w:ascii="微软雅黑" w:hAnsi="微软雅黑" w:cs="微软雅黑"/>
          <w:sz w:val="21"/>
          <w:szCs w:val="21"/>
        </w:rPr>
        <w:t>。</w:t>
      </w:r>
    </w:p>
    <w:p w14:paraId="45809160">
      <w:pPr>
        <w:jc w:val="center"/>
      </w:pPr>
      <w:r>
        <w:drawing>
          <wp:inline distT="0" distB="0" distL="114300" distR="114300">
            <wp:extent cx="5175885" cy="3589020"/>
            <wp:effectExtent l="0" t="0" r="5715" b="11430"/>
            <wp:docPr id="102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图片 11"/>
                    <pic:cNvPicPr>
                      <a:picLocks noChangeAspect="1"/>
                    </pic:cNvPicPr>
                  </pic:nvPicPr>
                  <pic:blipFill>
                    <a:blip r:embed="rId29"/>
                    <a:srcRect b="2092"/>
                    <a:stretch>
                      <a:fillRect/>
                    </a:stretch>
                  </pic:blipFill>
                  <pic:spPr>
                    <a:xfrm>
                      <a:off x="0" y="0"/>
                      <a:ext cx="5175885" cy="3589020"/>
                    </a:xfrm>
                    <a:prstGeom prst="rect">
                      <a:avLst/>
                    </a:prstGeom>
                    <a:noFill/>
                    <a:ln>
                      <a:noFill/>
                    </a:ln>
                  </pic:spPr>
                </pic:pic>
              </a:graphicData>
            </a:graphic>
          </wp:inline>
        </w:drawing>
      </w:r>
    </w:p>
    <w:p w14:paraId="38B92595">
      <w:pPr>
        <w:jc w:val="center"/>
        <w:rPr>
          <w:sz w:val="20"/>
          <w:szCs w:val="20"/>
        </w:rPr>
      </w:pPr>
      <w:r>
        <w:rPr>
          <w:rFonts w:hint="eastAsia"/>
          <w:sz w:val="20"/>
          <w:szCs w:val="20"/>
        </w:rPr>
        <w:t>图2 结直肠癌发病危险因素</w:t>
      </w:r>
      <w:r>
        <w:rPr>
          <w:rFonts w:hint="eastAsia" w:ascii="微软雅黑" w:hAnsi="微软雅黑" w:cs="微软雅黑"/>
          <w:sz w:val="20"/>
          <w:szCs w:val="20"/>
          <w:vertAlign w:val="superscript"/>
        </w:rPr>
        <w:t>[1]</w:t>
      </w:r>
    </w:p>
    <w:p w14:paraId="6EE58CF2">
      <w:pPr>
        <w:ind w:firstLine="420" w:firstLineChars="200"/>
        <w:jc w:val="both"/>
        <w:rPr>
          <w:rFonts w:ascii="微软雅黑" w:hAnsi="微软雅黑" w:cs="微软雅黑"/>
          <w:sz w:val="21"/>
          <w:szCs w:val="21"/>
        </w:rPr>
      </w:pPr>
      <w:r>
        <w:rPr>
          <w:rFonts w:ascii="微软雅黑" w:hAnsi="微软雅黑" w:cs="微软雅黑"/>
          <w:sz w:val="21"/>
          <w:szCs w:val="21"/>
        </w:rPr>
        <w:t>遗传性</w:t>
      </w:r>
      <w:r>
        <w:rPr>
          <w:rFonts w:hint="eastAsia" w:ascii="微软雅黑" w:hAnsi="微软雅黑" w:cs="微软雅黑"/>
          <w:sz w:val="21"/>
          <w:szCs w:val="21"/>
        </w:rPr>
        <w:t>结直肠</w:t>
      </w:r>
      <w:r>
        <w:rPr>
          <w:rFonts w:ascii="微软雅黑" w:hAnsi="微软雅黑" w:cs="微软雅黑"/>
          <w:sz w:val="21"/>
          <w:szCs w:val="21"/>
        </w:rPr>
        <w:t>癌综合</w:t>
      </w:r>
      <w:r>
        <w:rPr>
          <w:rFonts w:hint="eastAsia" w:ascii="微软雅黑" w:hAnsi="微软雅黑" w:cs="微软雅黑"/>
          <w:sz w:val="21"/>
          <w:szCs w:val="21"/>
        </w:rPr>
        <w:t>征主要包括：</w:t>
      </w:r>
      <w:bookmarkStart w:id="203" w:name="OLE_LINK8"/>
      <w:r>
        <w:rPr>
          <w:rFonts w:ascii="微软雅黑" w:hAnsi="微软雅黑" w:cs="微软雅黑"/>
          <w:sz w:val="21"/>
          <w:szCs w:val="21"/>
        </w:rPr>
        <w:t>林奇</w:t>
      </w:r>
      <w:bookmarkEnd w:id="203"/>
      <w:r>
        <w:rPr>
          <w:rFonts w:ascii="微软雅黑" w:hAnsi="微软雅黑" w:cs="微软雅黑"/>
          <w:sz w:val="21"/>
          <w:szCs w:val="21"/>
        </w:rPr>
        <w:t>综合征</w:t>
      </w:r>
      <w:r>
        <w:rPr>
          <w:rFonts w:hint="eastAsia" w:ascii="微软雅黑" w:hAnsi="微软雅黑" w:cs="微软雅黑"/>
          <w:sz w:val="21"/>
          <w:szCs w:val="21"/>
        </w:rPr>
        <w:t>（</w:t>
      </w:r>
      <w:r>
        <w:rPr>
          <w:rFonts w:ascii="微软雅黑" w:hAnsi="微软雅黑" w:cs="微软雅黑"/>
          <w:sz w:val="21"/>
          <w:szCs w:val="21"/>
        </w:rPr>
        <w:t>Lynch</w:t>
      </w:r>
      <w:r>
        <w:rPr>
          <w:rFonts w:hint="eastAsia" w:ascii="微软雅黑" w:hAnsi="微软雅黑" w:cs="微软雅黑"/>
          <w:sz w:val="21"/>
          <w:szCs w:val="21"/>
        </w:rPr>
        <w:t xml:space="preserve"> syndrome）、</w:t>
      </w:r>
      <w:r>
        <w:rPr>
          <w:rFonts w:ascii="微软雅黑" w:hAnsi="微软雅黑" w:cs="微软雅黑"/>
          <w:sz w:val="21"/>
          <w:szCs w:val="21"/>
        </w:rPr>
        <w:t>家族性腺瘤性息肉病</w:t>
      </w:r>
      <w:r>
        <w:rPr>
          <w:rFonts w:hint="eastAsia" w:ascii="微软雅黑" w:hAnsi="微软雅黑" w:cs="微软雅黑"/>
          <w:sz w:val="21"/>
          <w:szCs w:val="21"/>
        </w:rPr>
        <w:t>、</w:t>
      </w:r>
      <w:r>
        <w:rPr>
          <w:rFonts w:ascii="微软雅黑" w:hAnsi="微软雅黑" w:cs="微软雅黑"/>
          <w:sz w:val="21"/>
          <w:szCs w:val="21"/>
        </w:rPr>
        <w:t>mutY DNA糖基化酶（MUTYH）基因突变相关的息肉病</w:t>
      </w:r>
      <w:r>
        <w:rPr>
          <w:rFonts w:hint="eastAsia" w:ascii="微软雅黑" w:hAnsi="微软雅黑" w:cs="微软雅黑"/>
          <w:sz w:val="21"/>
          <w:szCs w:val="21"/>
        </w:rPr>
        <w:t>、</w:t>
      </w:r>
      <w:r>
        <w:rPr>
          <w:rFonts w:ascii="微软雅黑" w:hAnsi="微软雅黑" w:cs="微软雅黑"/>
          <w:sz w:val="21"/>
          <w:szCs w:val="21"/>
        </w:rPr>
        <w:t>Peutz Jeghers综合征</w:t>
      </w:r>
      <w:r>
        <w:rPr>
          <w:rFonts w:hint="eastAsia" w:ascii="微软雅黑" w:hAnsi="微软雅黑" w:cs="微软雅黑"/>
          <w:sz w:val="21"/>
          <w:szCs w:val="21"/>
        </w:rPr>
        <w:t>、</w:t>
      </w:r>
      <w:r>
        <w:rPr>
          <w:rFonts w:ascii="微软雅黑" w:hAnsi="微软雅黑" w:cs="微软雅黑"/>
          <w:sz w:val="21"/>
          <w:szCs w:val="21"/>
        </w:rPr>
        <w:t>锯齿状息肉病和青少年息肉病</w:t>
      </w:r>
      <w:r>
        <w:rPr>
          <w:rFonts w:hint="eastAsia" w:ascii="微软雅黑" w:hAnsi="微软雅黑" w:cs="微软雅黑"/>
          <w:sz w:val="21"/>
          <w:szCs w:val="21"/>
        </w:rPr>
        <w:t>，其中较为常见的是</w:t>
      </w:r>
      <w:r>
        <w:rPr>
          <w:rFonts w:ascii="微软雅黑" w:hAnsi="微软雅黑" w:cs="微软雅黑"/>
          <w:sz w:val="21"/>
          <w:szCs w:val="21"/>
        </w:rPr>
        <w:t>林奇综合征</w:t>
      </w:r>
      <w:r>
        <w:rPr>
          <w:rFonts w:hint="eastAsia" w:ascii="微软雅黑" w:hAnsi="微软雅黑" w:cs="微软雅黑"/>
          <w:sz w:val="21"/>
          <w:szCs w:val="21"/>
        </w:rPr>
        <w:t>与</w:t>
      </w:r>
      <w:r>
        <w:rPr>
          <w:rFonts w:ascii="微软雅黑" w:hAnsi="微软雅黑" w:cs="微软雅黑"/>
          <w:sz w:val="21"/>
          <w:szCs w:val="21"/>
        </w:rPr>
        <w:t>家族性腺瘤性息肉病</w:t>
      </w:r>
      <w:r>
        <w:rPr>
          <w:rFonts w:hint="eastAsia" w:ascii="微软雅黑" w:hAnsi="微软雅黑" w:cs="微软雅黑"/>
          <w:sz w:val="21"/>
          <w:szCs w:val="21"/>
        </w:rPr>
        <w:t>。</w:t>
      </w:r>
    </w:p>
    <w:p w14:paraId="3C7943BD">
      <w:pPr>
        <w:ind w:firstLine="420" w:firstLineChars="200"/>
        <w:jc w:val="both"/>
        <w:rPr>
          <w:rFonts w:ascii="微软雅黑" w:hAnsi="微软雅黑" w:cs="微软雅黑"/>
          <w:sz w:val="21"/>
          <w:szCs w:val="21"/>
        </w:rPr>
      </w:pPr>
      <w:r>
        <w:rPr>
          <w:rFonts w:ascii="微软雅黑" w:hAnsi="微软雅黑" w:cs="微软雅黑"/>
          <w:sz w:val="21"/>
          <w:szCs w:val="21"/>
        </w:rPr>
        <w:t>林奇综合征是由DNA错配修复系统的功能障碍引起的，其特征是肿瘤中与健康组织相比微卫星区域的扩张或收缩，称为微卫星不稳定</w:t>
      </w:r>
      <w:r>
        <w:rPr>
          <w:rFonts w:hint="eastAsia" w:ascii="微软雅黑" w:hAnsi="微软雅黑" w:cs="微软雅黑"/>
          <w:sz w:val="21"/>
          <w:szCs w:val="21"/>
        </w:rPr>
        <w:t>（</w:t>
      </w:r>
      <w:r>
        <w:rPr>
          <w:rFonts w:ascii="微软雅黑" w:hAnsi="微软雅黑" w:cs="微软雅黑"/>
          <w:sz w:val="21"/>
          <w:szCs w:val="21"/>
        </w:rPr>
        <w:t>MSI</w:t>
      </w:r>
      <w:r>
        <w:rPr>
          <w:rFonts w:hint="eastAsia" w:ascii="微软雅黑" w:hAnsi="微软雅黑" w:cs="微软雅黑"/>
          <w:sz w:val="21"/>
          <w:szCs w:val="21"/>
        </w:rPr>
        <w:t>）</w:t>
      </w:r>
      <w:r>
        <w:rPr>
          <w:rFonts w:ascii="微软雅黑" w:hAnsi="微软雅黑" w:cs="微软雅黑"/>
          <w:sz w:val="21"/>
          <w:szCs w:val="21"/>
        </w:rPr>
        <w:t>，在免疫组织化学上显示</w:t>
      </w:r>
      <w:r>
        <w:rPr>
          <w:rFonts w:hint="eastAsia" w:ascii="微软雅黑" w:hAnsi="微软雅黑" w:cs="微软雅黑"/>
          <w:sz w:val="21"/>
          <w:szCs w:val="21"/>
        </w:rPr>
        <w:t>错配</w:t>
      </w:r>
      <w:r>
        <w:rPr>
          <w:rFonts w:ascii="微软雅黑" w:hAnsi="微软雅黑" w:cs="微软雅黑"/>
          <w:sz w:val="21"/>
          <w:szCs w:val="21"/>
        </w:rPr>
        <w:t>修复蛋白的缺</w:t>
      </w:r>
      <w:r>
        <w:rPr>
          <w:rFonts w:hint="eastAsia" w:ascii="微软雅黑" w:hAnsi="微软雅黑" w:cs="微软雅黑"/>
          <w:sz w:val="21"/>
          <w:szCs w:val="21"/>
        </w:rPr>
        <w:t>失。但</w:t>
      </w:r>
      <w:r>
        <w:rPr>
          <w:rFonts w:ascii="微软雅黑" w:hAnsi="微软雅黑" w:cs="微软雅黑"/>
          <w:sz w:val="21"/>
          <w:szCs w:val="21"/>
        </w:rPr>
        <w:t>MSI并不是Lynch综合征的</w:t>
      </w:r>
      <w:r>
        <w:rPr>
          <w:rFonts w:hint="eastAsia" w:ascii="微软雅黑" w:hAnsi="微软雅黑" w:cs="微软雅黑"/>
          <w:sz w:val="21"/>
          <w:szCs w:val="21"/>
        </w:rPr>
        <w:t>特有标志</w:t>
      </w:r>
      <w:r>
        <w:rPr>
          <w:rFonts w:ascii="微软雅黑" w:hAnsi="微软雅黑" w:cs="微软雅黑"/>
          <w:sz w:val="21"/>
          <w:szCs w:val="21"/>
        </w:rPr>
        <w:t>，大约15%的散发性结肠直肠癌</w:t>
      </w:r>
      <w:r>
        <w:rPr>
          <w:rFonts w:hint="eastAsia" w:ascii="微软雅黑" w:hAnsi="微软雅黑" w:cs="微软雅黑"/>
          <w:sz w:val="21"/>
          <w:szCs w:val="21"/>
        </w:rPr>
        <w:t>患者分子表型为</w:t>
      </w:r>
      <w:r>
        <w:rPr>
          <w:rFonts w:ascii="微软雅黑" w:hAnsi="微软雅黑" w:cs="微软雅黑"/>
          <w:sz w:val="21"/>
          <w:szCs w:val="21"/>
        </w:rPr>
        <w:t>MSI</w:t>
      </w:r>
      <w:r>
        <w:rPr>
          <w:rFonts w:hint="eastAsia" w:ascii="微软雅黑" w:hAnsi="微软雅黑" w:cs="微软雅黑"/>
          <w:sz w:val="21"/>
          <w:szCs w:val="21"/>
        </w:rPr>
        <w:t>，其病因与MLH1基因启动子区域CpG岛过度甲基化（CpG island methylator phenotypes，CIMP）导致MLH1基因表达沉默相关</w:t>
      </w:r>
      <w:r>
        <w:rPr>
          <w:rFonts w:hint="eastAsia" w:ascii="微软雅黑" w:hAnsi="微软雅黑" w:cs="微软雅黑"/>
          <w:sz w:val="21"/>
          <w:szCs w:val="21"/>
          <w:vertAlign w:val="superscript"/>
        </w:rPr>
        <w:t>[9]</w:t>
      </w:r>
      <w:r>
        <w:rPr>
          <w:rFonts w:hint="eastAsia" w:ascii="微软雅黑" w:hAnsi="微软雅黑" w:cs="微软雅黑"/>
          <w:sz w:val="21"/>
          <w:szCs w:val="21"/>
        </w:rPr>
        <w:t>。</w:t>
      </w:r>
      <w:r>
        <w:rPr>
          <w:rFonts w:ascii="微软雅黑" w:hAnsi="微软雅黑" w:cs="微软雅黑"/>
          <w:sz w:val="21"/>
          <w:szCs w:val="21"/>
        </w:rPr>
        <w:t>林奇综合征患者从20岁到25岁应经常进行结肠镜检查</w:t>
      </w:r>
      <w:r>
        <w:rPr>
          <w:rFonts w:hint="eastAsia" w:ascii="微软雅黑" w:hAnsi="微软雅黑" w:cs="微软雅黑"/>
          <w:sz w:val="21"/>
          <w:szCs w:val="21"/>
        </w:rPr>
        <w:t>，</w:t>
      </w:r>
      <w:r>
        <w:rPr>
          <w:rFonts w:ascii="微软雅黑" w:hAnsi="微软雅黑" w:cs="微软雅黑"/>
          <w:sz w:val="21"/>
          <w:szCs w:val="21"/>
        </w:rPr>
        <w:t>每年1</w:t>
      </w:r>
      <w:r>
        <w:rPr>
          <w:rFonts w:hint="eastAsia" w:ascii="微软雅黑" w:hAnsi="微软雅黑" w:cs="微软雅黑"/>
          <w:sz w:val="21"/>
          <w:szCs w:val="21"/>
        </w:rPr>
        <w:t>-</w:t>
      </w:r>
      <w:r>
        <w:rPr>
          <w:rFonts w:ascii="微软雅黑" w:hAnsi="微软雅黑" w:cs="微软雅黑"/>
          <w:sz w:val="21"/>
          <w:szCs w:val="21"/>
        </w:rPr>
        <w:t>2次</w:t>
      </w:r>
      <w:r>
        <w:rPr>
          <w:rFonts w:hint="eastAsia" w:ascii="微软雅黑" w:hAnsi="微软雅黑" w:cs="微软雅黑"/>
          <w:sz w:val="21"/>
          <w:szCs w:val="21"/>
          <w:vertAlign w:val="superscript"/>
        </w:rPr>
        <w:t>[10，11]</w:t>
      </w:r>
      <w:r>
        <w:rPr>
          <w:rFonts w:ascii="微软雅黑" w:hAnsi="微软雅黑" w:cs="微软雅黑"/>
          <w:sz w:val="21"/>
          <w:szCs w:val="21"/>
        </w:rPr>
        <w:t>。此外，林奇综合征患者患子宫内膜癌</w:t>
      </w:r>
      <w:r>
        <w:rPr>
          <w:rFonts w:hint="eastAsia" w:ascii="微软雅黑" w:hAnsi="微软雅黑" w:cs="微软雅黑"/>
          <w:sz w:val="21"/>
          <w:szCs w:val="21"/>
        </w:rPr>
        <w:t>及</w:t>
      </w:r>
      <w:r>
        <w:rPr>
          <w:rFonts w:ascii="微软雅黑" w:hAnsi="微软雅黑" w:cs="微软雅黑"/>
          <w:sz w:val="21"/>
          <w:szCs w:val="21"/>
        </w:rPr>
        <w:t>小肠、胃、卵巢、肾盂、输尿管和肝胆系统癌症</w:t>
      </w:r>
      <w:r>
        <w:rPr>
          <w:rFonts w:hint="eastAsia" w:ascii="微软雅黑" w:hAnsi="微软雅黑" w:cs="微软雅黑"/>
          <w:sz w:val="21"/>
          <w:szCs w:val="21"/>
        </w:rPr>
        <w:t>等</w:t>
      </w:r>
      <w:r>
        <w:rPr>
          <w:rFonts w:ascii="微软雅黑" w:hAnsi="微软雅黑" w:cs="微软雅黑"/>
          <w:sz w:val="21"/>
          <w:szCs w:val="21"/>
        </w:rPr>
        <w:t>其</w:t>
      </w:r>
      <w:r>
        <w:rPr>
          <w:rFonts w:hint="eastAsia" w:ascii="微软雅黑" w:hAnsi="微软雅黑" w:cs="微软雅黑"/>
          <w:sz w:val="21"/>
          <w:szCs w:val="21"/>
        </w:rPr>
        <w:t>它</w:t>
      </w:r>
      <w:r>
        <w:rPr>
          <w:rFonts w:ascii="微软雅黑" w:hAnsi="微软雅黑" w:cs="微软雅黑"/>
          <w:sz w:val="21"/>
          <w:szCs w:val="21"/>
        </w:rPr>
        <w:t>恶性肿瘤</w:t>
      </w:r>
      <w:r>
        <w:rPr>
          <w:rFonts w:hint="eastAsia" w:ascii="微软雅黑" w:hAnsi="微软雅黑" w:cs="微软雅黑"/>
          <w:sz w:val="21"/>
          <w:szCs w:val="21"/>
        </w:rPr>
        <w:t>患病</w:t>
      </w:r>
      <w:r>
        <w:rPr>
          <w:rFonts w:ascii="微软雅黑" w:hAnsi="微软雅黑" w:cs="微软雅黑"/>
          <w:sz w:val="21"/>
          <w:szCs w:val="21"/>
        </w:rPr>
        <w:t>风险增加。</w:t>
      </w:r>
    </w:p>
    <w:p w14:paraId="42918098">
      <w:pPr>
        <w:ind w:firstLine="420" w:firstLineChars="200"/>
        <w:jc w:val="both"/>
        <w:rPr>
          <w:rFonts w:ascii="微软雅黑" w:hAnsi="微软雅黑" w:cs="微软雅黑"/>
          <w:sz w:val="21"/>
          <w:szCs w:val="21"/>
        </w:rPr>
      </w:pPr>
      <w:r>
        <w:rPr>
          <w:rFonts w:hint="eastAsia" w:ascii="微软雅黑" w:hAnsi="微软雅黑" w:cs="微软雅黑"/>
          <w:sz w:val="21"/>
          <w:szCs w:val="21"/>
        </w:rPr>
        <w:t>家族性腺瘤性息肉病是由控制Wnt信号通路活性的腺瘤性息肉病大肠杆菌（APC）基因突变引起的</w:t>
      </w:r>
      <w:r>
        <w:rPr>
          <w:rFonts w:hint="eastAsia" w:ascii="微软雅黑" w:hAnsi="微软雅黑" w:cs="微软雅黑"/>
          <w:sz w:val="21"/>
          <w:szCs w:val="21"/>
          <w:vertAlign w:val="superscript"/>
        </w:rPr>
        <w:t>[12]</w:t>
      </w:r>
      <w:r>
        <w:rPr>
          <w:rFonts w:hint="eastAsia" w:ascii="微软雅黑" w:hAnsi="微软雅黑" w:cs="微软雅黑"/>
          <w:sz w:val="21"/>
          <w:szCs w:val="21"/>
        </w:rPr>
        <w:t>。大多数家族性腺瘤性息肉病患者在年轻时会发生大量结直肠腺瘤进而发展为结直肠癌。</w:t>
      </w:r>
    </w:p>
    <w:p w14:paraId="6BBAB921">
      <w:pPr>
        <w:ind w:firstLine="420" w:firstLineChars="200"/>
        <w:jc w:val="both"/>
        <w:rPr>
          <w:rFonts w:ascii="微软雅黑" w:hAnsi="微软雅黑" w:cs="微软雅黑"/>
          <w:sz w:val="21"/>
          <w:szCs w:val="21"/>
        </w:rPr>
      </w:pPr>
      <w:r>
        <w:rPr>
          <w:rFonts w:hint="eastAsia" w:ascii="微软雅黑" w:hAnsi="微软雅黑" w:cs="微软雅黑"/>
          <w:sz w:val="21"/>
          <w:szCs w:val="21"/>
        </w:rPr>
        <w:t>除遗传因素外，</w:t>
      </w:r>
      <w:r>
        <w:rPr>
          <w:rFonts w:ascii="微软雅黑" w:hAnsi="微软雅黑" w:cs="微软雅黑"/>
          <w:sz w:val="21"/>
          <w:szCs w:val="21"/>
        </w:rPr>
        <w:t>吸烟</w:t>
      </w:r>
      <w:r>
        <w:rPr>
          <w:rFonts w:hint="eastAsia" w:ascii="微软雅黑" w:hAnsi="微软雅黑" w:cs="微软雅黑"/>
          <w:sz w:val="21"/>
          <w:szCs w:val="21"/>
          <w:vertAlign w:val="superscript"/>
        </w:rPr>
        <w:t>[13]</w:t>
      </w:r>
      <w:r>
        <w:rPr>
          <w:rFonts w:hint="eastAsia" w:ascii="微软雅黑" w:hAnsi="微软雅黑" w:cs="微软雅黑"/>
          <w:sz w:val="21"/>
          <w:szCs w:val="21"/>
        </w:rPr>
        <w:t>、酗酒</w:t>
      </w:r>
      <w:r>
        <w:rPr>
          <w:rFonts w:hint="eastAsia" w:ascii="微软雅黑" w:hAnsi="微软雅黑" w:cs="微软雅黑"/>
          <w:sz w:val="21"/>
          <w:szCs w:val="21"/>
          <w:vertAlign w:val="superscript"/>
        </w:rPr>
        <w:t>[14]</w:t>
      </w:r>
      <w:r>
        <w:rPr>
          <w:rFonts w:hint="eastAsia" w:ascii="微软雅黑" w:hAnsi="微软雅黑" w:cs="微软雅黑"/>
          <w:sz w:val="21"/>
          <w:szCs w:val="21"/>
        </w:rPr>
        <w:t>、肥胖</w:t>
      </w:r>
      <w:r>
        <w:rPr>
          <w:rFonts w:hint="eastAsia" w:ascii="微软雅黑" w:hAnsi="微软雅黑" w:cs="微软雅黑"/>
          <w:sz w:val="21"/>
          <w:szCs w:val="21"/>
          <w:vertAlign w:val="superscript"/>
        </w:rPr>
        <w:t>[15]</w:t>
      </w:r>
      <w:r>
        <w:rPr>
          <w:rFonts w:hint="eastAsia" w:ascii="微软雅黑" w:hAnsi="微软雅黑" w:cs="微软雅黑"/>
          <w:sz w:val="21"/>
          <w:szCs w:val="21"/>
        </w:rPr>
        <w:t>、红肉和加工肉过量摄入</w:t>
      </w:r>
      <w:r>
        <w:rPr>
          <w:rFonts w:hint="eastAsia" w:ascii="微软雅黑" w:hAnsi="微软雅黑" w:cs="微软雅黑"/>
          <w:sz w:val="21"/>
          <w:szCs w:val="21"/>
          <w:vertAlign w:val="superscript"/>
        </w:rPr>
        <w:t>[16]</w:t>
      </w:r>
      <w:r>
        <w:rPr>
          <w:rFonts w:hint="eastAsia" w:ascii="微软雅黑" w:hAnsi="微软雅黑" w:cs="微软雅黑"/>
          <w:sz w:val="21"/>
          <w:szCs w:val="21"/>
        </w:rPr>
        <w:t>等不良</w:t>
      </w:r>
      <w:r>
        <w:rPr>
          <w:rFonts w:ascii="微软雅黑" w:hAnsi="微软雅黑" w:cs="微软雅黑"/>
          <w:sz w:val="21"/>
          <w:szCs w:val="21"/>
        </w:rPr>
        <w:t>生活方式因素</w:t>
      </w:r>
      <w:r>
        <w:rPr>
          <w:rFonts w:hint="eastAsia" w:ascii="微软雅黑" w:hAnsi="微软雅黑" w:cs="微软雅黑"/>
          <w:sz w:val="21"/>
          <w:szCs w:val="21"/>
        </w:rPr>
        <w:t>可能</w:t>
      </w:r>
      <w:r>
        <w:rPr>
          <w:rFonts w:ascii="微软雅黑" w:hAnsi="微软雅黑" w:cs="微软雅黑"/>
          <w:sz w:val="21"/>
          <w:szCs w:val="21"/>
        </w:rPr>
        <w:t>增加患结肠直肠癌的风险，</w:t>
      </w:r>
      <w:r>
        <w:rPr>
          <w:rFonts w:hint="eastAsia" w:ascii="微软雅黑" w:hAnsi="微软雅黑" w:cs="微软雅黑"/>
          <w:sz w:val="21"/>
          <w:szCs w:val="21"/>
        </w:rPr>
        <w:t>相关研究表明，Ⅱ</w:t>
      </w:r>
      <w:r>
        <w:rPr>
          <w:rFonts w:ascii="微软雅黑" w:hAnsi="微软雅黑" w:cs="微软雅黑"/>
          <w:sz w:val="21"/>
          <w:szCs w:val="21"/>
        </w:rPr>
        <w:t>型糖尿病</w:t>
      </w:r>
      <w:r>
        <w:rPr>
          <w:rFonts w:hint="eastAsia" w:ascii="微软雅黑" w:hAnsi="微软雅黑" w:cs="微软雅黑"/>
          <w:sz w:val="21"/>
          <w:szCs w:val="21"/>
        </w:rPr>
        <w:t>与</w:t>
      </w:r>
      <w:r>
        <w:rPr>
          <w:rFonts w:ascii="微软雅黑" w:hAnsi="微软雅黑" w:cs="微软雅黑"/>
          <w:sz w:val="21"/>
          <w:szCs w:val="21"/>
        </w:rPr>
        <w:t>感染核梭杆菌和脆弱拟杆菌</w:t>
      </w:r>
      <w:r>
        <w:rPr>
          <w:rFonts w:hint="eastAsia" w:ascii="微软雅黑" w:hAnsi="微软雅黑" w:cs="微软雅黑"/>
          <w:sz w:val="21"/>
          <w:szCs w:val="21"/>
        </w:rPr>
        <w:t>等</w:t>
      </w:r>
      <w:r>
        <w:rPr>
          <w:rFonts w:ascii="微软雅黑" w:hAnsi="微软雅黑" w:cs="微软雅黑"/>
          <w:sz w:val="21"/>
          <w:szCs w:val="21"/>
        </w:rPr>
        <w:t>特定细菌</w:t>
      </w:r>
      <w:r>
        <w:rPr>
          <w:rFonts w:hint="eastAsia" w:ascii="微软雅黑" w:hAnsi="微软雅黑" w:cs="微软雅黑"/>
          <w:sz w:val="21"/>
          <w:szCs w:val="21"/>
        </w:rPr>
        <w:t>的</w:t>
      </w:r>
      <w:r>
        <w:rPr>
          <w:rFonts w:ascii="微软雅黑" w:hAnsi="微软雅黑" w:cs="微软雅黑"/>
          <w:sz w:val="21"/>
          <w:szCs w:val="21"/>
        </w:rPr>
        <w:t>患者</w:t>
      </w:r>
      <w:r>
        <w:rPr>
          <w:rFonts w:hint="eastAsia" w:ascii="微软雅黑" w:hAnsi="微软雅黑" w:cs="微软雅黑"/>
          <w:sz w:val="21"/>
          <w:szCs w:val="21"/>
        </w:rPr>
        <w:t>，</w:t>
      </w:r>
      <w:r>
        <w:rPr>
          <w:rFonts w:ascii="微软雅黑" w:hAnsi="微软雅黑" w:cs="微软雅黑"/>
          <w:sz w:val="21"/>
          <w:szCs w:val="21"/>
        </w:rPr>
        <w:t>结直肠癌</w:t>
      </w:r>
      <w:r>
        <w:rPr>
          <w:rFonts w:hint="eastAsia" w:ascii="微软雅黑" w:hAnsi="微软雅黑" w:cs="微软雅黑"/>
          <w:sz w:val="21"/>
          <w:szCs w:val="21"/>
        </w:rPr>
        <w:t>患病</w:t>
      </w:r>
      <w:r>
        <w:rPr>
          <w:rFonts w:ascii="微软雅黑" w:hAnsi="微软雅黑" w:cs="微软雅黑"/>
          <w:sz w:val="21"/>
          <w:szCs w:val="21"/>
        </w:rPr>
        <w:t>风险增加</w:t>
      </w:r>
      <w:r>
        <w:rPr>
          <w:rFonts w:hint="eastAsia" w:ascii="微软雅黑" w:hAnsi="微软雅黑" w:cs="微软雅黑"/>
          <w:sz w:val="21"/>
          <w:szCs w:val="21"/>
          <w:vertAlign w:val="superscript"/>
        </w:rPr>
        <w:t>[17，18]</w:t>
      </w:r>
      <w:r>
        <w:rPr>
          <w:rFonts w:hint="eastAsia" w:ascii="微软雅黑" w:hAnsi="微软雅黑" w:cs="微软雅黑"/>
          <w:sz w:val="21"/>
          <w:szCs w:val="21"/>
        </w:rPr>
        <w:t>。相关环境因素可能导致结直肠癌肿瘤异质性，相关研究即根据环境、遗传因素以及分子之间的相关性，分析肠道微生物群和结直肠癌之间的相关性。</w:t>
      </w:r>
    </w:p>
    <w:p w14:paraId="788BB6C7">
      <w:pPr>
        <w:jc w:val="both"/>
        <w:rPr>
          <w:b/>
          <w:bCs/>
        </w:rPr>
      </w:pPr>
      <w:r>
        <w:rPr>
          <w:rFonts w:hint="eastAsia"/>
          <w:b/>
          <w:bCs/>
        </w:rPr>
        <w:t>2、致病机理</w:t>
      </w:r>
    </w:p>
    <w:p w14:paraId="29C58FD0">
      <w:pPr>
        <w:ind w:firstLine="420" w:firstLineChars="200"/>
        <w:jc w:val="both"/>
        <w:rPr>
          <w:rFonts w:ascii="微软雅黑" w:hAnsi="微软雅黑" w:cs="微软雅黑"/>
          <w:sz w:val="21"/>
          <w:szCs w:val="21"/>
        </w:rPr>
      </w:pPr>
      <w:r>
        <w:rPr>
          <w:rFonts w:ascii="微软雅黑" w:hAnsi="微软雅黑" w:cs="微软雅黑"/>
          <w:sz w:val="21"/>
          <w:szCs w:val="21"/>
        </w:rPr>
        <w:t>绝大多数癌症</w:t>
      </w:r>
      <w:r>
        <w:rPr>
          <w:rFonts w:hint="eastAsia" w:ascii="微软雅黑" w:hAnsi="微软雅黑" w:cs="微软雅黑"/>
          <w:sz w:val="21"/>
          <w:szCs w:val="21"/>
        </w:rPr>
        <w:t>是由</w:t>
      </w:r>
      <w:r>
        <w:rPr>
          <w:rFonts w:ascii="微软雅黑" w:hAnsi="微软雅黑" w:cs="微软雅黑"/>
          <w:sz w:val="21"/>
          <w:szCs w:val="21"/>
        </w:rPr>
        <w:t>息肉</w:t>
      </w:r>
      <w:r>
        <w:rPr>
          <w:rFonts w:hint="eastAsia" w:ascii="微软雅黑" w:hAnsi="微软雅黑" w:cs="微软雅黑"/>
          <w:sz w:val="21"/>
          <w:szCs w:val="21"/>
        </w:rPr>
        <w:t>引起的，在典型</w:t>
      </w:r>
      <w:r>
        <w:rPr>
          <w:rFonts w:ascii="微软雅黑" w:hAnsi="微软雅黑" w:cs="微软雅黑"/>
          <w:sz w:val="21"/>
          <w:szCs w:val="21"/>
        </w:rPr>
        <w:t>结直肠癌形成模型中，</w:t>
      </w:r>
      <w:r>
        <w:rPr>
          <w:rFonts w:hint="eastAsia" w:ascii="微软雅黑" w:hAnsi="微软雅黑" w:cs="微软雅黑"/>
          <w:sz w:val="21"/>
          <w:szCs w:val="21"/>
        </w:rPr>
        <w:t>肿瘤始于</w:t>
      </w:r>
      <w:r>
        <w:rPr>
          <w:rFonts w:ascii="微软雅黑" w:hAnsi="微软雅黑" w:cs="微软雅黑"/>
          <w:sz w:val="21"/>
          <w:szCs w:val="21"/>
        </w:rPr>
        <w:t>异常隐窝，</w:t>
      </w:r>
      <w:r>
        <w:rPr>
          <w:rFonts w:hint="eastAsia" w:ascii="微软雅黑" w:hAnsi="微软雅黑" w:cs="微软雅黑"/>
          <w:sz w:val="21"/>
          <w:szCs w:val="21"/>
        </w:rPr>
        <w:t>随后</w:t>
      </w:r>
      <w:r>
        <w:rPr>
          <w:rFonts w:ascii="微软雅黑" w:hAnsi="微软雅黑" w:cs="微软雅黑"/>
          <w:sz w:val="21"/>
          <w:szCs w:val="21"/>
        </w:rPr>
        <w:t>演变为早期腺瘤（大小&lt;1 cm，具有肾小管或微管组织学），腺瘤发展为晚期腺瘤（大小&gt; 1cm，和/或有绒毛组织学），最终</w:t>
      </w:r>
      <w:r>
        <w:rPr>
          <w:rFonts w:hint="eastAsia" w:ascii="微软雅黑" w:hAnsi="微软雅黑" w:cs="微软雅黑"/>
          <w:sz w:val="21"/>
          <w:szCs w:val="21"/>
        </w:rPr>
        <w:t>发展</w:t>
      </w:r>
      <w:r>
        <w:rPr>
          <w:rFonts w:ascii="微软雅黑" w:hAnsi="微软雅黑" w:cs="微软雅黑"/>
          <w:sz w:val="21"/>
          <w:szCs w:val="21"/>
        </w:rPr>
        <w:t>为结直肠癌。目前认为大多数结直肠癌细胞来源</w:t>
      </w:r>
      <w:r>
        <w:rPr>
          <w:rFonts w:hint="eastAsia" w:ascii="微软雅黑" w:hAnsi="微软雅黑" w:cs="微软雅黑"/>
          <w:sz w:val="21"/>
          <w:szCs w:val="21"/>
        </w:rPr>
        <w:t>于</w:t>
      </w:r>
      <w:r>
        <w:rPr>
          <w:rFonts w:ascii="微软雅黑" w:hAnsi="微软雅黑" w:cs="微软雅黑"/>
          <w:sz w:val="21"/>
          <w:szCs w:val="21"/>
        </w:rPr>
        <w:t>干细胞或类干细胞</w:t>
      </w:r>
      <w:r>
        <w:rPr>
          <w:rFonts w:hint="eastAsia" w:ascii="微软雅黑" w:hAnsi="微软雅黑" w:cs="微软雅黑"/>
          <w:sz w:val="21"/>
          <w:szCs w:val="21"/>
          <w:vertAlign w:val="superscript"/>
        </w:rPr>
        <w:t>[19，20]</w:t>
      </w:r>
      <w:r>
        <w:rPr>
          <w:rFonts w:hint="eastAsia" w:ascii="微软雅黑" w:hAnsi="微软雅黑" w:cs="微软雅黑"/>
          <w:sz w:val="21"/>
          <w:szCs w:val="21"/>
        </w:rPr>
        <w:t>，该</w:t>
      </w:r>
      <w:r>
        <w:rPr>
          <w:rFonts w:ascii="微软雅黑" w:hAnsi="微软雅黑" w:cs="微软雅黑"/>
          <w:sz w:val="21"/>
          <w:szCs w:val="21"/>
        </w:rPr>
        <w:t>过程由突变和表观遗传改变积累驱动，肿瘤</w:t>
      </w:r>
      <w:r>
        <w:rPr>
          <w:rFonts w:hint="eastAsia" w:ascii="微软雅黑" w:hAnsi="微软雅黑" w:cs="微软雅黑"/>
          <w:sz w:val="21"/>
          <w:szCs w:val="21"/>
        </w:rPr>
        <w:t>抑癌</w:t>
      </w:r>
      <w:r>
        <w:rPr>
          <w:rFonts w:ascii="微软雅黑" w:hAnsi="微软雅黑" w:cs="微软雅黑"/>
          <w:sz w:val="21"/>
          <w:szCs w:val="21"/>
        </w:rPr>
        <w:t>基因失活</w:t>
      </w:r>
      <w:r>
        <w:rPr>
          <w:rFonts w:hint="eastAsia" w:ascii="微软雅黑" w:hAnsi="微软雅黑" w:cs="微软雅黑"/>
          <w:sz w:val="21"/>
          <w:szCs w:val="21"/>
        </w:rPr>
        <w:t>、原癌基因</w:t>
      </w:r>
      <w:r>
        <w:rPr>
          <w:rFonts w:ascii="微软雅黑" w:hAnsi="微软雅黑" w:cs="微软雅黑"/>
          <w:sz w:val="21"/>
          <w:szCs w:val="21"/>
        </w:rPr>
        <w:t>激活</w:t>
      </w:r>
      <w:r>
        <w:rPr>
          <w:rFonts w:hint="eastAsia" w:ascii="微软雅黑" w:hAnsi="微软雅黑" w:cs="微软雅黑"/>
          <w:sz w:val="21"/>
          <w:szCs w:val="21"/>
        </w:rPr>
        <w:t>，历时</w:t>
      </w:r>
      <w:r>
        <w:rPr>
          <w:rFonts w:ascii="微软雅黑" w:hAnsi="微软雅黑" w:cs="微软雅黑"/>
          <w:sz w:val="21"/>
          <w:szCs w:val="21"/>
        </w:rPr>
        <w:t>10到15年</w:t>
      </w:r>
      <w:r>
        <w:rPr>
          <w:rFonts w:hint="eastAsia" w:ascii="微软雅黑" w:hAnsi="微软雅黑" w:cs="微软雅黑"/>
          <w:sz w:val="21"/>
          <w:szCs w:val="21"/>
        </w:rPr>
        <w:t>发展为恶性肿瘤。</w:t>
      </w:r>
      <w:r>
        <w:rPr>
          <w:rFonts w:ascii="微软雅黑" w:hAnsi="微软雅黑" w:cs="微软雅黑"/>
          <w:sz w:val="21"/>
          <w:szCs w:val="21"/>
        </w:rPr>
        <w:t>但是在某些情况下（如林奇综合征患者）</w:t>
      </w:r>
      <w:r>
        <w:rPr>
          <w:rFonts w:hint="eastAsia" w:ascii="微软雅黑" w:hAnsi="微软雅黑" w:cs="微软雅黑"/>
          <w:sz w:val="21"/>
          <w:szCs w:val="21"/>
        </w:rPr>
        <w:t>肿瘤发展更快</w:t>
      </w:r>
      <w:r>
        <w:rPr>
          <w:rFonts w:hint="eastAsia" w:ascii="微软雅黑" w:hAnsi="微软雅黑" w:cs="微软雅黑"/>
          <w:sz w:val="21"/>
          <w:szCs w:val="21"/>
          <w:vertAlign w:val="superscript"/>
        </w:rPr>
        <w:t>[21]</w:t>
      </w:r>
      <w:r>
        <w:rPr>
          <w:rFonts w:ascii="微软雅黑" w:hAnsi="微软雅黑" w:cs="微软雅黑"/>
          <w:sz w:val="21"/>
          <w:szCs w:val="21"/>
        </w:rPr>
        <w:t>。值得注意的是，常规管状腺瘤组织</w:t>
      </w:r>
      <w:r>
        <w:rPr>
          <w:rFonts w:hint="eastAsia" w:ascii="微软雅黑" w:hAnsi="微软雅黑" w:cs="微软雅黑"/>
          <w:sz w:val="21"/>
          <w:szCs w:val="21"/>
        </w:rPr>
        <w:t>较为</w:t>
      </w:r>
      <w:r>
        <w:rPr>
          <w:rFonts w:ascii="微软雅黑" w:hAnsi="微软雅黑" w:cs="微软雅黑"/>
          <w:sz w:val="21"/>
          <w:szCs w:val="21"/>
        </w:rPr>
        <w:t>均匀，</w:t>
      </w:r>
      <w:r>
        <w:rPr>
          <w:rFonts w:hint="eastAsia" w:ascii="微软雅黑" w:hAnsi="微软雅黑" w:cs="微软雅黑"/>
          <w:sz w:val="21"/>
          <w:szCs w:val="21"/>
        </w:rPr>
        <w:t>但</w:t>
      </w:r>
      <w:r>
        <w:rPr>
          <w:rFonts w:ascii="微软雅黑" w:hAnsi="微软雅黑" w:cs="微软雅黑"/>
          <w:sz w:val="21"/>
          <w:szCs w:val="21"/>
        </w:rPr>
        <w:t>息肉</w:t>
      </w:r>
      <w:r>
        <w:rPr>
          <w:rFonts w:hint="eastAsia" w:ascii="微软雅黑" w:hAnsi="微软雅黑" w:cs="微软雅黑"/>
          <w:sz w:val="21"/>
          <w:szCs w:val="21"/>
        </w:rPr>
        <w:t>存在</w:t>
      </w:r>
      <w:r>
        <w:rPr>
          <w:rFonts w:ascii="微软雅黑" w:hAnsi="微软雅黑" w:cs="微软雅黑"/>
          <w:sz w:val="21"/>
          <w:szCs w:val="21"/>
        </w:rPr>
        <w:t>异质</w:t>
      </w:r>
      <w:r>
        <w:rPr>
          <w:rFonts w:hint="eastAsia" w:ascii="微软雅黑" w:hAnsi="微软雅黑" w:cs="微软雅黑"/>
          <w:sz w:val="21"/>
          <w:szCs w:val="21"/>
        </w:rPr>
        <w:t>性</w:t>
      </w:r>
      <w:r>
        <w:rPr>
          <w:rFonts w:ascii="微软雅黑" w:hAnsi="微软雅黑" w:cs="微软雅黑"/>
          <w:sz w:val="21"/>
          <w:szCs w:val="21"/>
        </w:rPr>
        <w:t>，</w:t>
      </w:r>
      <w:r>
        <w:rPr>
          <w:rFonts w:hint="eastAsia" w:ascii="微软雅黑" w:hAnsi="微软雅黑" w:cs="微软雅黑"/>
          <w:sz w:val="21"/>
          <w:szCs w:val="21"/>
        </w:rPr>
        <w:t>由此</w:t>
      </w:r>
      <w:r>
        <w:rPr>
          <w:rFonts w:ascii="微软雅黑" w:hAnsi="微软雅黑" w:cs="微软雅黑"/>
          <w:sz w:val="21"/>
          <w:szCs w:val="21"/>
        </w:rPr>
        <w:t>解释</w:t>
      </w:r>
      <w:r>
        <w:rPr>
          <w:rFonts w:hint="eastAsia" w:ascii="微软雅黑" w:hAnsi="微软雅黑" w:cs="微软雅黑"/>
          <w:sz w:val="21"/>
          <w:szCs w:val="21"/>
        </w:rPr>
        <w:t>部分</w:t>
      </w:r>
      <w:r>
        <w:rPr>
          <w:rFonts w:ascii="微软雅黑" w:hAnsi="微软雅黑" w:cs="微软雅黑"/>
          <w:sz w:val="21"/>
          <w:szCs w:val="21"/>
        </w:rPr>
        <w:t>腺瘤进展为结肠直肠癌</w:t>
      </w:r>
      <w:r>
        <w:rPr>
          <w:rFonts w:hint="eastAsia" w:ascii="微软雅黑" w:hAnsi="微软雅黑" w:cs="微软雅黑"/>
          <w:sz w:val="21"/>
          <w:szCs w:val="21"/>
          <w:vertAlign w:val="superscript"/>
        </w:rPr>
        <w:t>[22，23]</w:t>
      </w:r>
      <w:r>
        <w:rPr>
          <w:rFonts w:hint="eastAsia" w:ascii="微软雅黑" w:hAnsi="微软雅黑" w:cs="微软雅黑"/>
          <w:sz w:val="21"/>
          <w:szCs w:val="21"/>
        </w:rPr>
        <w:t>。</w:t>
      </w:r>
    </w:p>
    <w:p w14:paraId="120AEF04">
      <w:pPr>
        <w:ind w:firstLine="420" w:firstLineChars="200"/>
        <w:jc w:val="both"/>
        <w:rPr>
          <w:rFonts w:ascii="微软雅黑" w:hAnsi="微软雅黑" w:cs="微软雅黑"/>
          <w:sz w:val="21"/>
          <w:szCs w:val="21"/>
        </w:rPr>
      </w:pPr>
      <w:r>
        <w:rPr>
          <w:rFonts w:hint="eastAsia" w:ascii="微软雅黑" w:hAnsi="微软雅黑" w:cs="微软雅黑"/>
          <w:sz w:val="21"/>
          <w:szCs w:val="21"/>
        </w:rPr>
        <w:t>目前，主要有2种结直肠癌前体病变途径，</w:t>
      </w:r>
      <w:r>
        <w:rPr>
          <w:rFonts w:ascii="微软雅黑" w:hAnsi="微软雅黑" w:cs="微软雅黑"/>
          <w:sz w:val="21"/>
          <w:szCs w:val="21"/>
        </w:rPr>
        <w:t>70%</w:t>
      </w:r>
      <w:r>
        <w:rPr>
          <w:rFonts w:hint="eastAsia" w:ascii="微软雅黑" w:hAnsi="微软雅黑" w:cs="微软雅黑"/>
          <w:sz w:val="21"/>
          <w:szCs w:val="21"/>
        </w:rPr>
        <w:t>-</w:t>
      </w:r>
      <w:r>
        <w:rPr>
          <w:rFonts w:ascii="微软雅黑" w:hAnsi="微软雅黑" w:cs="微软雅黑"/>
          <w:sz w:val="21"/>
          <w:szCs w:val="21"/>
        </w:rPr>
        <w:t>90%结直肠癌</w:t>
      </w:r>
      <w:r>
        <w:rPr>
          <w:rFonts w:hint="eastAsia" w:ascii="微软雅黑" w:hAnsi="微软雅黑" w:cs="微软雅黑"/>
          <w:sz w:val="21"/>
          <w:szCs w:val="21"/>
        </w:rPr>
        <w:t>由</w:t>
      </w:r>
      <w:r>
        <w:rPr>
          <w:rFonts w:ascii="微软雅黑" w:hAnsi="微软雅黑" w:cs="微软雅黑"/>
          <w:sz w:val="21"/>
          <w:szCs w:val="21"/>
        </w:rPr>
        <w:t>传统的腺瘤癌途径(也称染色体不稳定序列)</w:t>
      </w:r>
      <w:r>
        <w:rPr>
          <w:rFonts w:hint="eastAsia" w:ascii="微软雅黑" w:hAnsi="微软雅黑" w:cs="微软雅黑"/>
          <w:sz w:val="21"/>
          <w:szCs w:val="21"/>
        </w:rPr>
        <w:t>引起</w:t>
      </w:r>
      <w:r>
        <w:rPr>
          <w:rFonts w:ascii="微软雅黑" w:hAnsi="微软雅黑" w:cs="微软雅黑"/>
          <w:sz w:val="21"/>
          <w:szCs w:val="21"/>
        </w:rPr>
        <w:t>，10</w:t>
      </w:r>
      <w:r>
        <w:rPr>
          <w:rFonts w:hint="eastAsia" w:ascii="微软雅黑" w:hAnsi="微软雅黑" w:cs="微软雅黑"/>
          <w:sz w:val="21"/>
          <w:szCs w:val="21"/>
        </w:rPr>
        <w:t>-</w:t>
      </w:r>
      <w:r>
        <w:rPr>
          <w:rFonts w:ascii="微软雅黑" w:hAnsi="微软雅黑" w:cs="微软雅黑"/>
          <w:sz w:val="21"/>
          <w:szCs w:val="21"/>
        </w:rPr>
        <w:t>20%结直肠癌</w:t>
      </w:r>
      <w:r>
        <w:rPr>
          <w:rFonts w:hint="eastAsia" w:ascii="微软雅黑" w:hAnsi="微软雅黑" w:cs="微软雅黑"/>
          <w:sz w:val="21"/>
          <w:szCs w:val="21"/>
        </w:rPr>
        <w:t>由</w:t>
      </w:r>
      <w:r>
        <w:rPr>
          <w:rFonts w:ascii="微软雅黑" w:hAnsi="微软雅黑" w:cs="微软雅黑"/>
          <w:sz w:val="21"/>
          <w:szCs w:val="21"/>
        </w:rPr>
        <w:t>锯齿状瘤变途径</w:t>
      </w:r>
      <w:r>
        <w:rPr>
          <w:rFonts w:hint="eastAsia" w:ascii="微软雅黑" w:hAnsi="微软雅黑" w:cs="微软雅黑"/>
          <w:sz w:val="21"/>
          <w:szCs w:val="21"/>
        </w:rPr>
        <w:t>引起（</w:t>
      </w:r>
      <w:r>
        <w:rPr>
          <w:rFonts w:ascii="微软雅黑" w:hAnsi="微软雅黑" w:cs="微软雅黑"/>
          <w:sz w:val="21"/>
          <w:szCs w:val="21"/>
        </w:rPr>
        <w:t>图3</w:t>
      </w:r>
      <w:r>
        <w:rPr>
          <w:rFonts w:hint="eastAsia" w:ascii="微软雅黑" w:hAnsi="微软雅黑" w:cs="微软雅黑"/>
          <w:sz w:val="21"/>
          <w:szCs w:val="21"/>
        </w:rPr>
        <w:t>）</w:t>
      </w:r>
      <w:r>
        <w:rPr>
          <w:rFonts w:ascii="微软雅黑" w:hAnsi="微软雅黑" w:cs="微软雅黑"/>
          <w:sz w:val="21"/>
          <w:szCs w:val="21"/>
        </w:rPr>
        <w:t>。染色体不稳定表型通常发生在APC突变之后，随后是RAS</w:t>
      </w:r>
      <w:r>
        <w:rPr>
          <w:rFonts w:hint="eastAsia" w:ascii="微软雅黑" w:hAnsi="微软雅黑" w:cs="微软雅黑"/>
          <w:sz w:val="21"/>
          <w:szCs w:val="21"/>
        </w:rPr>
        <w:t>通路</w:t>
      </w:r>
      <w:r>
        <w:rPr>
          <w:rFonts w:ascii="微软雅黑" w:hAnsi="微软雅黑" w:cs="微软雅黑"/>
          <w:sz w:val="21"/>
          <w:szCs w:val="21"/>
        </w:rPr>
        <w:t>激活或TP53功能缺失。锯齿状瘤变</w:t>
      </w:r>
      <w:r>
        <w:rPr>
          <w:rFonts w:hint="eastAsia" w:ascii="微软雅黑" w:hAnsi="微软雅黑" w:cs="微软雅黑"/>
          <w:sz w:val="21"/>
          <w:szCs w:val="21"/>
        </w:rPr>
        <w:t>途径</w:t>
      </w:r>
      <w:r>
        <w:rPr>
          <w:rFonts w:ascii="微软雅黑" w:hAnsi="微软雅黑" w:cs="微软雅黑"/>
          <w:sz w:val="21"/>
          <w:szCs w:val="21"/>
        </w:rPr>
        <w:t>与RAS</w:t>
      </w:r>
      <w:r>
        <w:rPr>
          <w:rFonts w:hint="eastAsia" w:ascii="微软雅黑" w:hAnsi="微软雅黑" w:cs="微软雅黑"/>
          <w:sz w:val="21"/>
          <w:szCs w:val="21"/>
        </w:rPr>
        <w:t>、</w:t>
      </w:r>
      <w:r>
        <w:rPr>
          <w:rFonts w:ascii="微软雅黑" w:hAnsi="微软雅黑" w:cs="微软雅黑"/>
          <w:sz w:val="21"/>
          <w:szCs w:val="21"/>
        </w:rPr>
        <w:t>RAF突变以及以CpG岛甲基化表型为特征的表观遗传不稳定相关</w:t>
      </w:r>
      <w:r>
        <w:rPr>
          <w:rFonts w:hint="eastAsia" w:ascii="微软雅黑" w:hAnsi="微软雅黑" w:cs="微软雅黑"/>
          <w:sz w:val="21"/>
          <w:szCs w:val="21"/>
        </w:rPr>
        <w:t>。</w:t>
      </w:r>
      <w:r>
        <w:rPr>
          <w:rFonts w:ascii="微软雅黑" w:hAnsi="微软雅黑" w:cs="微软雅黑"/>
          <w:sz w:val="21"/>
          <w:szCs w:val="21"/>
        </w:rPr>
        <w:t>全基因组研究发现</w:t>
      </w:r>
      <w:r>
        <w:rPr>
          <w:rFonts w:hint="eastAsia" w:ascii="微软雅黑" w:hAnsi="微软雅黑" w:cs="微软雅黑"/>
          <w:sz w:val="21"/>
          <w:szCs w:val="21"/>
        </w:rPr>
        <w:t>，一些新的分子</w:t>
      </w:r>
      <w:r>
        <w:rPr>
          <w:rFonts w:ascii="微软雅黑" w:hAnsi="微软雅黑" w:cs="微软雅黑"/>
          <w:sz w:val="21"/>
          <w:szCs w:val="21"/>
        </w:rPr>
        <w:t>标记和亚型</w:t>
      </w:r>
      <w:r>
        <w:rPr>
          <w:rFonts w:hint="eastAsia" w:ascii="微软雅黑" w:hAnsi="微软雅黑" w:cs="微软雅黑"/>
          <w:sz w:val="21"/>
          <w:szCs w:val="21"/>
        </w:rPr>
        <w:t>（</w:t>
      </w:r>
      <w:r>
        <w:rPr>
          <w:rFonts w:ascii="微软雅黑" w:hAnsi="微软雅黑" w:cs="微软雅黑"/>
          <w:sz w:val="21"/>
          <w:szCs w:val="21"/>
        </w:rPr>
        <w:t>如</w:t>
      </w:r>
      <w:r>
        <w:rPr>
          <w:rFonts w:hint="eastAsia" w:ascii="微软雅黑" w:hAnsi="微软雅黑" w:cs="微软雅黑"/>
          <w:sz w:val="21"/>
          <w:szCs w:val="21"/>
        </w:rPr>
        <w:t>：</w:t>
      </w:r>
      <w:r>
        <w:rPr>
          <w:rFonts w:ascii="微软雅黑" w:hAnsi="微软雅黑" w:cs="微软雅黑"/>
          <w:sz w:val="21"/>
          <w:szCs w:val="21"/>
        </w:rPr>
        <w:t>聚合酶ε</w:t>
      </w:r>
      <w:r>
        <w:rPr>
          <w:rFonts w:hint="eastAsia" w:ascii="微软雅黑" w:hAnsi="微软雅黑" w:cs="微软雅黑"/>
          <w:sz w:val="21"/>
          <w:szCs w:val="21"/>
        </w:rPr>
        <w:t>、</w:t>
      </w:r>
      <w:r>
        <w:rPr>
          <w:rFonts w:ascii="微软雅黑" w:hAnsi="微软雅黑" w:cs="微软雅黑"/>
          <w:sz w:val="21"/>
          <w:szCs w:val="21"/>
        </w:rPr>
        <w:t>POLE突变</w:t>
      </w:r>
      <w:r>
        <w:rPr>
          <w:rFonts w:hint="eastAsia" w:ascii="微软雅黑" w:hAnsi="微软雅黑" w:cs="微软雅黑"/>
          <w:sz w:val="21"/>
          <w:szCs w:val="21"/>
        </w:rPr>
        <w:t>、错配</w:t>
      </w:r>
      <w:r>
        <w:rPr>
          <w:rFonts w:ascii="微软雅黑" w:hAnsi="微软雅黑" w:cs="微软雅黑"/>
          <w:sz w:val="21"/>
          <w:szCs w:val="21"/>
        </w:rPr>
        <w:t>修复缺陷[dMMR]</w:t>
      </w:r>
      <w:r>
        <w:rPr>
          <w:rFonts w:hint="eastAsia" w:ascii="微软雅黑" w:hAnsi="微软雅黑" w:cs="微软雅黑"/>
          <w:sz w:val="21"/>
          <w:szCs w:val="21"/>
        </w:rPr>
        <w:t>）可</w:t>
      </w:r>
      <w:r>
        <w:rPr>
          <w:rFonts w:ascii="微软雅黑" w:hAnsi="微软雅黑" w:cs="微软雅黑"/>
          <w:sz w:val="21"/>
          <w:szCs w:val="21"/>
        </w:rPr>
        <w:t>导致高突变表型。</w:t>
      </w:r>
    </w:p>
    <w:p w14:paraId="697A7711">
      <w:pPr>
        <w:jc w:val="center"/>
        <w:rPr>
          <w:rFonts w:ascii="微软雅黑" w:hAnsi="微软雅黑" w:cs="微软雅黑"/>
          <w:sz w:val="21"/>
          <w:szCs w:val="21"/>
        </w:rPr>
      </w:pPr>
      <w:r>
        <w:drawing>
          <wp:inline distT="0" distB="0" distL="114300" distR="114300">
            <wp:extent cx="5189855" cy="2466340"/>
            <wp:effectExtent l="0" t="0" r="10795" b="10160"/>
            <wp:docPr id="10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 name="图片 1"/>
                    <pic:cNvPicPr>
                      <a:picLocks noChangeAspect="1"/>
                    </pic:cNvPicPr>
                  </pic:nvPicPr>
                  <pic:blipFill>
                    <a:blip r:embed="rId30"/>
                    <a:stretch>
                      <a:fillRect/>
                    </a:stretch>
                  </pic:blipFill>
                  <pic:spPr>
                    <a:xfrm>
                      <a:off x="0" y="0"/>
                      <a:ext cx="5189855" cy="2466340"/>
                    </a:xfrm>
                    <a:prstGeom prst="rect">
                      <a:avLst/>
                    </a:prstGeom>
                    <a:noFill/>
                    <a:ln>
                      <a:noFill/>
                    </a:ln>
                  </pic:spPr>
                </pic:pic>
              </a:graphicData>
            </a:graphic>
          </wp:inline>
        </w:drawing>
      </w:r>
    </w:p>
    <w:p w14:paraId="4CCF8E07">
      <w:pPr>
        <w:jc w:val="center"/>
        <w:rPr>
          <w:sz w:val="20"/>
          <w:szCs w:val="20"/>
        </w:rPr>
      </w:pPr>
      <w:r>
        <w:rPr>
          <w:rFonts w:hint="eastAsia"/>
          <w:sz w:val="20"/>
          <w:szCs w:val="20"/>
        </w:rPr>
        <w:t>图3 息肉到结直肠癌形成过程</w:t>
      </w:r>
      <w:r>
        <w:rPr>
          <w:rFonts w:hint="eastAsia" w:ascii="微软雅黑" w:hAnsi="微软雅黑" w:cs="微软雅黑"/>
          <w:sz w:val="20"/>
          <w:szCs w:val="20"/>
          <w:vertAlign w:val="superscript"/>
        </w:rPr>
        <w:t>[3]</w:t>
      </w:r>
    </w:p>
    <w:p w14:paraId="60FF3AC2">
      <w:pPr>
        <w:ind w:firstLine="420" w:firstLineChars="200"/>
        <w:jc w:val="both"/>
      </w:pPr>
      <w:r>
        <w:rPr>
          <w:rFonts w:ascii="微软雅黑" w:hAnsi="微软雅黑" w:cs="微软雅黑"/>
          <w:sz w:val="21"/>
          <w:szCs w:val="21"/>
        </w:rPr>
        <w:t>侧边性在转移灶起着关键作用，并且被认为是抗表皮生长因子受体药物反应的预测指标</w:t>
      </w:r>
      <w:r>
        <w:rPr>
          <w:rFonts w:hint="eastAsia" w:ascii="微软雅黑" w:hAnsi="微软雅黑" w:cs="微软雅黑"/>
          <w:sz w:val="21"/>
          <w:szCs w:val="21"/>
          <w:vertAlign w:val="superscript"/>
        </w:rPr>
        <w:t>[24，25]</w:t>
      </w:r>
      <w:r>
        <w:rPr>
          <w:rFonts w:hint="eastAsia" w:ascii="微软雅黑" w:hAnsi="微软雅黑" w:cs="微软雅黑"/>
          <w:sz w:val="21"/>
          <w:szCs w:val="21"/>
        </w:rPr>
        <w:t>。从病灶位置看，</w:t>
      </w:r>
      <w:r>
        <w:rPr>
          <w:rFonts w:ascii="微软雅黑" w:hAnsi="微软雅黑" w:cs="微软雅黑"/>
          <w:sz w:val="21"/>
          <w:szCs w:val="21"/>
        </w:rPr>
        <w:t>右</w:t>
      </w:r>
      <w:r>
        <w:rPr>
          <w:rFonts w:hint="eastAsia" w:ascii="微软雅黑" w:hAnsi="微软雅黑" w:cs="微软雅黑"/>
          <w:sz w:val="21"/>
          <w:szCs w:val="21"/>
        </w:rPr>
        <w:t>半（</w:t>
      </w:r>
      <w:r>
        <w:rPr>
          <w:rFonts w:ascii="微软雅黑" w:hAnsi="微软雅黑" w:cs="微软雅黑"/>
          <w:sz w:val="21"/>
          <w:szCs w:val="21"/>
        </w:rPr>
        <w:t>近端</w:t>
      </w:r>
      <w:r>
        <w:rPr>
          <w:rFonts w:hint="eastAsia" w:ascii="微软雅黑" w:hAnsi="微软雅黑" w:cs="微软雅黑"/>
          <w:sz w:val="21"/>
          <w:szCs w:val="21"/>
        </w:rPr>
        <w:t>）</w:t>
      </w:r>
      <w:r>
        <w:rPr>
          <w:rFonts w:ascii="微软雅黑" w:hAnsi="微软雅黑" w:cs="微软雅黑"/>
          <w:sz w:val="21"/>
          <w:szCs w:val="21"/>
        </w:rPr>
        <w:t>结肠癌与左</w:t>
      </w:r>
      <w:r>
        <w:rPr>
          <w:rFonts w:hint="eastAsia" w:ascii="微软雅黑" w:hAnsi="微软雅黑" w:cs="微软雅黑"/>
          <w:sz w:val="21"/>
          <w:szCs w:val="21"/>
        </w:rPr>
        <w:t>半（</w:t>
      </w:r>
      <w:r>
        <w:rPr>
          <w:rFonts w:ascii="微软雅黑" w:hAnsi="微软雅黑" w:cs="微软雅黑"/>
          <w:sz w:val="21"/>
          <w:szCs w:val="21"/>
        </w:rPr>
        <w:t>远端</w:t>
      </w:r>
      <w:r>
        <w:rPr>
          <w:rFonts w:hint="eastAsia" w:ascii="微软雅黑" w:hAnsi="微软雅黑" w:cs="微软雅黑"/>
          <w:sz w:val="21"/>
          <w:szCs w:val="21"/>
        </w:rPr>
        <w:t>）</w:t>
      </w:r>
      <w:r>
        <w:rPr>
          <w:rFonts w:ascii="微软雅黑" w:hAnsi="微软雅黑" w:cs="微软雅黑"/>
          <w:sz w:val="21"/>
          <w:szCs w:val="21"/>
        </w:rPr>
        <w:t>结肠癌和直肠癌的分子特征不同。除分子</w:t>
      </w:r>
      <w:r>
        <w:rPr>
          <w:rFonts w:hint="eastAsia" w:ascii="微软雅黑" w:hAnsi="微软雅黑" w:cs="微软雅黑"/>
          <w:sz w:val="21"/>
          <w:szCs w:val="21"/>
        </w:rPr>
        <w:t>特征</w:t>
      </w:r>
      <w:r>
        <w:rPr>
          <w:rFonts w:ascii="微软雅黑" w:hAnsi="微软雅黑" w:cs="微软雅黑"/>
          <w:sz w:val="21"/>
          <w:szCs w:val="21"/>
        </w:rPr>
        <w:t>差异外，左</w:t>
      </w:r>
      <w:r>
        <w:rPr>
          <w:rFonts w:hint="eastAsia" w:ascii="微软雅黑" w:hAnsi="微软雅黑" w:cs="微软雅黑"/>
          <w:sz w:val="21"/>
          <w:szCs w:val="21"/>
        </w:rPr>
        <w:t>半</w:t>
      </w:r>
      <w:r>
        <w:rPr>
          <w:rFonts w:ascii="微软雅黑" w:hAnsi="微软雅黑" w:cs="微软雅黑"/>
          <w:sz w:val="21"/>
          <w:szCs w:val="21"/>
        </w:rPr>
        <w:t>结肠和右</w:t>
      </w:r>
      <w:r>
        <w:rPr>
          <w:rFonts w:hint="eastAsia" w:ascii="微软雅黑" w:hAnsi="微软雅黑" w:cs="微软雅黑"/>
          <w:sz w:val="21"/>
          <w:szCs w:val="21"/>
        </w:rPr>
        <w:t>半</w:t>
      </w:r>
      <w:r>
        <w:rPr>
          <w:rFonts w:ascii="微软雅黑" w:hAnsi="微软雅黑" w:cs="微软雅黑"/>
          <w:sz w:val="21"/>
          <w:szCs w:val="21"/>
        </w:rPr>
        <w:t>结肠还在胚胎学、生物学和解剖学上</w:t>
      </w:r>
      <w:r>
        <w:rPr>
          <w:rFonts w:hint="eastAsia" w:ascii="微软雅黑" w:hAnsi="微软雅黑" w:cs="微软雅黑"/>
          <w:sz w:val="21"/>
          <w:szCs w:val="21"/>
        </w:rPr>
        <w:t>存在</w:t>
      </w:r>
      <w:r>
        <w:rPr>
          <w:rFonts w:ascii="微软雅黑" w:hAnsi="微软雅黑" w:cs="微软雅黑"/>
          <w:sz w:val="21"/>
          <w:szCs w:val="21"/>
        </w:rPr>
        <w:t>差异。</w:t>
      </w:r>
      <w:r>
        <w:rPr>
          <w:rFonts w:hint="eastAsia" w:ascii="微软雅黑" w:hAnsi="微软雅黑" w:cs="微软雅黑"/>
          <w:sz w:val="21"/>
          <w:szCs w:val="21"/>
        </w:rPr>
        <w:t>如图4所示，右半结肠（盲肠、升结肠、肝曲）与左半结肠（脾曲、降结肠、乙状结肠、直肠乙状结肠）和直肠肿瘤病因不尽相同。值得注意的是，右半结肠癌预后较差主要在于抗EGFR和抗VEGF药物对于转移灶的治疗，但右半结肠肿瘤MSI水平普遍较高，化疗耐药可能性较高且预后较差，但免疫治疗疗效较好</w:t>
      </w:r>
      <w:r>
        <w:rPr>
          <w:rFonts w:hint="eastAsia"/>
        </w:rPr>
        <w:t>。</w:t>
      </w:r>
    </w:p>
    <w:p w14:paraId="6A7B839D">
      <w:pPr>
        <w:jc w:val="center"/>
      </w:pPr>
      <w:r>
        <w:drawing>
          <wp:inline distT="0" distB="0" distL="114300" distR="114300">
            <wp:extent cx="5024755" cy="2521585"/>
            <wp:effectExtent l="0" t="0" r="4445" b="12065"/>
            <wp:docPr id="103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 name="图片 2"/>
                    <pic:cNvPicPr>
                      <a:picLocks noChangeAspect="1"/>
                    </pic:cNvPicPr>
                  </pic:nvPicPr>
                  <pic:blipFill>
                    <a:blip r:embed="rId31"/>
                    <a:stretch>
                      <a:fillRect/>
                    </a:stretch>
                  </pic:blipFill>
                  <pic:spPr>
                    <a:xfrm>
                      <a:off x="0" y="0"/>
                      <a:ext cx="5024755" cy="2521585"/>
                    </a:xfrm>
                    <a:prstGeom prst="rect">
                      <a:avLst/>
                    </a:prstGeom>
                    <a:noFill/>
                    <a:ln>
                      <a:noFill/>
                    </a:ln>
                  </pic:spPr>
                </pic:pic>
              </a:graphicData>
            </a:graphic>
          </wp:inline>
        </w:drawing>
      </w:r>
    </w:p>
    <w:p w14:paraId="76B2F54D">
      <w:pPr>
        <w:jc w:val="center"/>
        <w:rPr>
          <w:sz w:val="20"/>
          <w:szCs w:val="20"/>
        </w:rPr>
      </w:pPr>
      <w:r>
        <w:rPr>
          <w:rFonts w:hint="eastAsia"/>
          <w:sz w:val="20"/>
          <w:szCs w:val="20"/>
        </w:rPr>
        <w:t>图4 右半结肠癌与左半结肠癌和直肠癌的区别</w:t>
      </w:r>
      <w:r>
        <w:rPr>
          <w:rFonts w:hint="eastAsia" w:ascii="微软雅黑" w:hAnsi="微软雅黑" w:cs="微软雅黑"/>
          <w:sz w:val="20"/>
          <w:szCs w:val="20"/>
          <w:vertAlign w:val="superscript"/>
        </w:rPr>
        <w:t>[1]</w:t>
      </w:r>
    </w:p>
    <w:p w14:paraId="57DA0D30">
      <w:pPr>
        <w:ind w:firstLine="420" w:firstLineChars="200"/>
        <w:jc w:val="both"/>
        <w:rPr>
          <w:rFonts w:ascii="微软雅黑" w:hAnsi="微软雅黑" w:cs="微软雅黑"/>
          <w:sz w:val="21"/>
          <w:szCs w:val="21"/>
        </w:rPr>
      </w:pPr>
      <w:r>
        <w:rPr>
          <w:rFonts w:hint="eastAsia" w:ascii="微软雅黑" w:hAnsi="微软雅黑" w:cs="微软雅黑"/>
          <w:sz w:val="21"/>
          <w:szCs w:val="21"/>
        </w:rPr>
        <w:t>结直肠癌常见突变基因有：APC、CTNNB1、KRAS、BRAF、SMAD4、TGFBR2、TP53、PIK3CA、ARID1A、SOX9、FAM123B（也称AMER1）、ERBB2等，通过对相关信号通路的扰动从而促进肿瘤的发生发展。目前认为，CRC发病机制主要与DNA错配修复途径及5条细胞信号通路异常有关，分别是表皮生长因子受体（EGFR）信号通路、Wnt/β-连环蛋白（β-catenin）信号通路、P53信号通路和转化生长因子-β（TGF-β）信号通路。其中EGFR 信号通路包含丝裂原活化蛋白激酶（MAPK）信号通路及磷脂酰肌醇3激酶（PI3K）信号通路</w:t>
      </w:r>
      <w:r>
        <w:rPr>
          <w:rFonts w:hint="eastAsia" w:ascii="微软雅黑" w:hAnsi="微软雅黑" w:cs="微软雅黑"/>
          <w:sz w:val="21"/>
          <w:szCs w:val="21"/>
          <w:vertAlign w:val="superscript"/>
        </w:rPr>
        <w:t>[26]</w:t>
      </w:r>
      <w:r>
        <w:rPr>
          <w:rFonts w:hint="eastAsia" w:ascii="微软雅黑" w:hAnsi="微软雅黑" w:cs="微软雅黑"/>
          <w:sz w:val="21"/>
          <w:szCs w:val="21"/>
        </w:rPr>
        <w:t>，如图5。</w:t>
      </w:r>
    </w:p>
    <w:p w14:paraId="41D0C9E9">
      <w:pPr>
        <w:jc w:val="center"/>
        <w:rPr>
          <w:rFonts w:ascii="微软雅黑" w:hAnsi="微软雅黑" w:cs="微软雅黑"/>
          <w:sz w:val="21"/>
          <w:szCs w:val="21"/>
        </w:rPr>
      </w:pPr>
      <w:r>
        <w:rPr>
          <w:rFonts w:hint="eastAsia" w:ascii="微软雅黑" w:hAnsi="微软雅黑" w:cs="微软雅黑"/>
          <w:sz w:val="21"/>
          <w:szCs w:val="21"/>
        </w:rPr>
        <w:drawing>
          <wp:inline distT="0" distB="0" distL="114300" distR="114300">
            <wp:extent cx="5131435" cy="3287395"/>
            <wp:effectExtent l="0" t="0" r="12065" b="8255"/>
            <wp:docPr id="103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 name="图片 8"/>
                    <pic:cNvPicPr>
                      <a:picLocks noChangeAspect="1"/>
                    </pic:cNvPicPr>
                  </pic:nvPicPr>
                  <pic:blipFill>
                    <a:blip r:embed="rId32" cstate="print"/>
                    <a:stretch>
                      <a:fillRect/>
                    </a:stretch>
                  </pic:blipFill>
                  <pic:spPr>
                    <a:xfrm>
                      <a:off x="0" y="0"/>
                      <a:ext cx="5131435" cy="3287395"/>
                    </a:xfrm>
                    <a:prstGeom prst="rect">
                      <a:avLst/>
                    </a:prstGeom>
                    <a:noFill/>
                    <a:ln w="9525">
                      <a:noFill/>
                    </a:ln>
                  </pic:spPr>
                </pic:pic>
              </a:graphicData>
            </a:graphic>
          </wp:inline>
        </w:drawing>
      </w:r>
    </w:p>
    <w:p w14:paraId="60D64EC8">
      <w:pPr>
        <w:ind w:firstLine="400" w:firstLineChars="200"/>
        <w:jc w:val="center"/>
        <w:rPr>
          <w:rFonts w:ascii="微软雅黑" w:hAnsi="微软雅黑" w:cs="微软雅黑"/>
          <w:sz w:val="21"/>
          <w:szCs w:val="21"/>
        </w:rPr>
      </w:pPr>
      <w:bookmarkStart w:id="204" w:name="OLE_LINK10"/>
      <w:r>
        <w:rPr>
          <w:rFonts w:hint="eastAsia" w:ascii="微软雅黑" w:hAnsi="微软雅黑" w:cs="微软雅黑"/>
          <w:sz w:val="20"/>
          <w:szCs w:val="20"/>
        </w:rPr>
        <w:t>图5 结肠直肠癌发病机制相关信号通路</w:t>
      </w:r>
    </w:p>
    <w:bookmarkEnd w:id="204"/>
    <w:p w14:paraId="3ADCE051">
      <w:pPr>
        <w:ind w:firstLine="400" w:firstLineChars="200"/>
        <w:jc w:val="center"/>
        <w:rPr>
          <w:rFonts w:ascii="微软雅黑" w:hAnsi="微软雅黑" w:cs="微软雅黑"/>
          <w:sz w:val="20"/>
          <w:szCs w:val="20"/>
        </w:rPr>
      </w:pPr>
      <w:r>
        <w:rPr>
          <w:rFonts w:hint="eastAsia" w:ascii="微软雅黑" w:hAnsi="微软雅黑" w:cs="微软雅黑"/>
          <w:sz w:val="20"/>
          <w:szCs w:val="20"/>
        </w:rPr>
        <w:t>（*165位非超重和30位超重结直肠癌患者完整数据结果，基因改变包括体细胞突变、纯合子缺失、局部扩增及基因表达显著上调或下调。）</w:t>
      </w:r>
    </w:p>
    <w:p w14:paraId="124D34B1">
      <w:pPr>
        <w:ind w:firstLine="420" w:firstLineChars="200"/>
        <w:jc w:val="both"/>
        <w:rPr>
          <w:rFonts w:ascii="微软雅黑" w:hAnsi="微软雅黑" w:cs="微软雅黑"/>
          <w:sz w:val="21"/>
          <w:szCs w:val="21"/>
        </w:rPr>
      </w:pPr>
      <w:r>
        <w:rPr>
          <w:rFonts w:hint="eastAsia" w:ascii="微软雅黑" w:hAnsi="微软雅黑" w:cs="微软雅黑"/>
          <w:sz w:val="21"/>
          <w:szCs w:val="21"/>
        </w:rPr>
        <w:t>除基因突变外，表观遗传学改变也与息肉、肿瘤的形成相关，并与基因突变共同促进肿瘤的发生发展</w:t>
      </w:r>
      <w:r>
        <w:rPr>
          <w:rFonts w:hint="eastAsia" w:ascii="微软雅黑" w:hAnsi="微软雅黑" w:cs="微软雅黑"/>
          <w:sz w:val="21"/>
          <w:szCs w:val="21"/>
          <w:vertAlign w:val="superscript"/>
        </w:rPr>
        <w:t>[27,28]</w:t>
      </w:r>
      <w:r>
        <w:rPr>
          <w:rFonts w:hint="eastAsia" w:ascii="微软雅黑" w:hAnsi="微软雅黑" w:cs="微软雅黑"/>
          <w:sz w:val="21"/>
          <w:szCs w:val="21"/>
        </w:rPr>
        <w:t>。DNA甲基化影响CpG区域（CpG岛），这些区域通常位于基因的5'区域，并通过影响转录因子结合和染色质结构变化导致转录沉默</w:t>
      </w:r>
      <w:r>
        <w:rPr>
          <w:rFonts w:hint="eastAsia" w:ascii="微软雅黑" w:hAnsi="微软雅黑" w:cs="微软雅黑"/>
          <w:sz w:val="21"/>
          <w:szCs w:val="21"/>
          <w:vertAlign w:val="superscript"/>
        </w:rPr>
        <w:t>[29]</w:t>
      </w:r>
      <w:r>
        <w:rPr>
          <w:rFonts w:hint="eastAsia" w:ascii="微软雅黑" w:hAnsi="微软雅黑" w:cs="微软雅黑"/>
          <w:sz w:val="21"/>
          <w:szCs w:val="21"/>
        </w:rPr>
        <w:t>。与癌症发展相关的DNA甲基化修饰（通常）包括两类：基因启动子中CpG岛的甲基化过高导致抑癌基因沉默和重复性遗传元件甲基化过低，导致基因组不稳定或原癌基因激活</w:t>
      </w:r>
      <w:r>
        <w:rPr>
          <w:rFonts w:hint="eastAsia" w:ascii="微软雅黑" w:hAnsi="微软雅黑" w:cs="微软雅黑"/>
          <w:sz w:val="21"/>
          <w:szCs w:val="21"/>
          <w:vertAlign w:val="superscript"/>
        </w:rPr>
        <w:t>[30]</w:t>
      </w:r>
      <w:r>
        <w:rPr>
          <w:rFonts w:hint="eastAsia" w:ascii="微软雅黑" w:hAnsi="微软雅黑" w:cs="微软雅黑"/>
          <w:sz w:val="21"/>
          <w:szCs w:val="21"/>
        </w:rPr>
        <w:t>。</w:t>
      </w:r>
    </w:p>
    <w:p w14:paraId="5FA0FDEF">
      <w:pPr>
        <w:ind w:firstLine="420" w:firstLineChars="200"/>
        <w:jc w:val="both"/>
        <w:rPr>
          <w:rFonts w:ascii="微软雅黑" w:hAnsi="微软雅黑" w:cs="微软雅黑"/>
          <w:sz w:val="21"/>
          <w:szCs w:val="21"/>
        </w:rPr>
      </w:pPr>
      <w:r>
        <w:rPr>
          <w:rFonts w:hint="eastAsia" w:ascii="微软雅黑" w:hAnsi="微软雅黑" w:cs="微软雅黑"/>
          <w:sz w:val="21"/>
          <w:szCs w:val="21"/>
        </w:rPr>
        <w:t>根据息肉和肿瘤演变相关分子差异，将结直肠癌分为四个不同亚组：超突变/微卫星不稳定（Hyp-MSI）、超突变-微卫星稳定（Hyp-MSS）、微卫星稳定（MSS）或染色体不稳定（CIN）以及CIMP癌症。每个亚组驱动基因不尽相同，且各亚组间驱动突变的频率差异较大。因此，各亚组驱动突变和表观遗传变化仍有待明确。APC和SMAD家族成员4 （SMAD4）基因等突变在所有分子亚组中都较为常见，提示其在结直肠癌中起核心作用，而有些分子突变仅限于某一个亚组</w:t>
      </w:r>
      <w:r>
        <w:rPr>
          <w:rFonts w:hint="eastAsia" w:ascii="微软雅黑" w:hAnsi="微软雅黑" w:cs="微软雅黑"/>
          <w:sz w:val="21"/>
          <w:szCs w:val="21"/>
          <w:vertAlign w:val="superscript"/>
        </w:rPr>
        <w:t>[31]</w:t>
      </w:r>
      <w:r>
        <w:rPr>
          <w:rFonts w:hint="eastAsia" w:ascii="微软雅黑" w:hAnsi="微软雅黑" w:cs="微软雅黑"/>
          <w:sz w:val="21"/>
          <w:szCs w:val="21"/>
        </w:rPr>
        <w:t>。</w:t>
      </w:r>
    </w:p>
    <w:p w14:paraId="02AC1372">
      <w:pPr>
        <w:jc w:val="both"/>
        <w:rPr>
          <w:b/>
          <w:bCs/>
        </w:rPr>
      </w:pPr>
      <w:r>
        <w:rPr>
          <w:rFonts w:hint="eastAsia"/>
          <w:b/>
          <w:bCs/>
        </w:rPr>
        <w:t>3、诊断、筛查与预防</w:t>
      </w:r>
    </w:p>
    <w:p w14:paraId="207DF6E3">
      <w:pPr>
        <w:ind w:firstLine="420" w:firstLineChars="200"/>
        <w:jc w:val="both"/>
        <w:rPr>
          <w:rFonts w:ascii="微软雅黑" w:hAnsi="微软雅黑" w:cs="微软雅黑"/>
          <w:sz w:val="21"/>
          <w:szCs w:val="21"/>
        </w:rPr>
      </w:pPr>
      <w:r>
        <w:rPr>
          <w:rFonts w:hint="eastAsia" w:ascii="微软雅黑" w:hAnsi="微软雅黑" w:cs="微软雅黑"/>
          <w:sz w:val="21"/>
          <w:szCs w:val="21"/>
        </w:rPr>
        <w:t>结直肠癌患者可表现出隐蔽性或显性直肠出血、排便习惯改变、贫血或腹痛等体征和症状。对于年龄在45岁或45岁以上的新发直肠出血患者，一般应提示进行结肠镜检查。对于年轻患者，结直肠癌家族史、排便习惯改变、原因不明体重减轻，以及与粪便混合的血液，均属于考察因素。</w:t>
      </w:r>
    </w:p>
    <w:p w14:paraId="68C6B63E">
      <w:pPr>
        <w:ind w:firstLine="420" w:firstLineChars="200"/>
        <w:jc w:val="both"/>
        <w:rPr>
          <w:rFonts w:ascii="微软雅黑" w:hAnsi="微软雅黑" w:cs="微软雅黑"/>
          <w:sz w:val="21"/>
          <w:szCs w:val="21"/>
        </w:rPr>
      </w:pPr>
      <w:r>
        <w:rPr>
          <w:rFonts w:hint="eastAsia" w:ascii="微软雅黑" w:hAnsi="微软雅黑" w:cs="微软雅黑"/>
          <w:sz w:val="21"/>
          <w:szCs w:val="21"/>
        </w:rPr>
        <w:t>影像学方面，结肠镜检查是诊断大肠癌的金标准。它具有很高的诊断准确性，可以评估肿瘤的位置。重要的是，该技术可以同时进行活组织检查采样，从而可以对诊断和分子谱分析的材料进行组织学确认。胶囊内窥镜检查也可用于诊断腺瘤和大肠癌。第一代胶囊内窥镜检查能够检测大小</w:t>
      </w:r>
      <w:r>
        <w:rPr>
          <w:rFonts w:hint="eastAsia" w:ascii="宋体" w:hAnsi="宋体" w:eastAsia="宋体" w:cs="宋体"/>
          <w:sz w:val="21"/>
          <w:szCs w:val="21"/>
        </w:rPr>
        <w:t>≥</w:t>
      </w:r>
      <w:r>
        <w:rPr>
          <w:rFonts w:hint="eastAsia" w:ascii="微软雅黑" w:hAnsi="微软雅黑" w:cs="微软雅黑"/>
          <w:sz w:val="21"/>
          <w:szCs w:val="21"/>
        </w:rPr>
        <w:t>6mm的息肉，灵敏度约为60％，特异性&gt; 80％</w:t>
      </w:r>
      <w:r>
        <w:rPr>
          <w:rFonts w:hint="eastAsia" w:ascii="微软雅黑" w:hAnsi="微软雅黑" w:cs="微软雅黑"/>
          <w:sz w:val="21"/>
          <w:szCs w:val="21"/>
          <w:vertAlign w:val="superscript"/>
        </w:rPr>
        <w:t>[32]</w:t>
      </w:r>
      <w:r>
        <w:rPr>
          <w:rFonts w:hint="eastAsia" w:ascii="微软雅黑" w:hAnsi="微软雅黑" w:cs="微软雅黑"/>
          <w:sz w:val="21"/>
          <w:szCs w:val="21"/>
        </w:rPr>
        <w:t>。CT结肠造影使用低剂量CT扫描来获得结肠的内部视图，目前该技术已被广泛确立为大肠癌的诊断手段</w:t>
      </w:r>
      <w:r>
        <w:rPr>
          <w:rFonts w:hint="eastAsia" w:ascii="微软雅黑" w:hAnsi="微软雅黑" w:cs="微软雅黑"/>
          <w:sz w:val="21"/>
          <w:szCs w:val="21"/>
          <w:vertAlign w:val="superscript"/>
        </w:rPr>
        <w:t>[33]</w:t>
      </w:r>
      <w:r>
        <w:rPr>
          <w:rFonts w:hint="eastAsia" w:ascii="微软雅黑" w:hAnsi="微软雅黑" w:cs="微软雅黑"/>
          <w:sz w:val="21"/>
          <w:szCs w:val="21"/>
        </w:rPr>
        <w:t>。</w:t>
      </w:r>
    </w:p>
    <w:p w14:paraId="7EC564B2">
      <w:pPr>
        <w:ind w:firstLine="420" w:firstLineChars="200"/>
        <w:jc w:val="both"/>
        <w:rPr>
          <w:rFonts w:ascii="微软雅黑" w:hAnsi="微软雅黑" w:cs="微软雅黑"/>
          <w:sz w:val="21"/>
          <w:szCs w:val="21"/>
        </w:rPr>
      </w:pPr>
      <w:r>
        <w:rPr>
          <w:rFonts w:hint="eastAsia" w:ascii="微软雅黑" w:hAnsi="微软雅黑" w:cs="微软雅黑"/>
          <w:sz w:val="21"/>
          <w:szCs w:val="21"/>
        </w:rPr>
        <w:t>检验方面，指南建议在诊断时检测血球计数与癌胚抗原的浓度</w:t>
      </w:r>
      <w:r>
        <w:rPr>
          <w:rFonts w:hint="eastAsia" w:ascii="微软雅黑" w:hAnsi="微软雅黑" w:cs="微软雅黑"/>
          <w:sz w:val="21"/>
          <w:szCs w:val="21"/>
          <w:vertAlign w:val="superscript"/>
        </w:rPr>
        <w:t>[34]</w:t>
      </w:r>
      <w:r>
        <w:rPr>
          <w:rFonts w:hint="eastAsia" w:ascii="微软雅黑" w:hAnsi="微软雅黑" w:cs="微软雅黑"/>
          <w:sz w:val="21"/>
          <w:szCs w:val="21"/>
        </w:rPr>
        <w:t>。癌胚抗原浓度基线升高与预后较差相关，而术后阶段未恢复正常浓度表明可能残留疾病。此外，SEPT9基因启动子区域高度甲基化与大肠癌相关。SEPT9在组织水平上的甲基化异常可将大肠肿瘤与正常粘膜进行区分。研究表明，SEPT9甲基化检测对结直肠癌的敏感性为50-70％，特异性为85-90％</w:t>
      </w:r>
      <w:r>
        <w:rPr>
          <w:rFonts w:hint="eastAsia" w:ascii="微软雅黑" w:hAnsi="微软雅黑" w:cs="微软雅黑"/>
          <w:sz w:val="21"/>
          <w:szCs w:val="21"/>
          <w:vertAlign w:val="superscript"/>
        </w:rPr>
        <w:t>[35]</w:t>
      </w:r>
      <w:r>
        <w:rPr>
          <w:rFonts w:hint="eastAsia" w:ascii="微软雅黑" w:hAnsi="微软雅黑" w:cs="微软雅黑"/>
          <w:sz w:val="21"/>
          <w:szCs w:val="21"/>
        </w:rPr>
        <w:t>。</w:t>
      </w:r>
    </w:p>
    <w:p w14:paraId="675CB191">
      <w:pPr>
        <w:ind w:firstLine="420" w:firstLineChars="200"/>
        <w:jc w:val="both"/>
        <w:rPr>
          <w:rFonts w:ascii="微软雅黑" w:hAnsi="微软雅黑" w:cs="微软雅黑"/>
          <w:sz w:val="21"/>
          <w:szCs w:val="21"/>
        </w:rPr>
      </w:pPr>
      <w:r>
        <w:rPr>
          <w:rFonts w:hint="eastAsia" w:ascii="微软雅黑" w:hAnsi="微软雅黑" w:cs="微软雅黑"/>
          <w:sz w:val="21"/>
          <w:szCs w:val="21"/>
        </w:rPr>
        <w:t>病理学方面，组织学仍然是病理分期和后续治疗的基础。除了经典的TNM分期、组织学分型、分级和对淋巴、神经和静脉侵犯的组织学评估外，多种肿瘤标志物（包括错配修复检测和免疫评分）已得到认可</w:t>
      </w:r>
      <w:r>
        <w:rPr>
          <w:rFonts w:hint="eastAsia" w:ascii="微软雅黑" w:hAnsi="微软雅黑" w:cs="微软雅黑"/>
          <w:sz w:val="21"/>
          <w:szCs w:val="21"/>
          <w:vertAlign w:val="superscript"/>
        </w:rPr>
        <w:t>[36，37]</w:t>
      </w:r>
      <w:r>
        <w:rPr>
          <w:rFonts w:hint="eastAsia" w:ascii="微软雅黑" w:hAnsi="微软雅黑" w:cs="微软雅黑"/>
          <w:sz w:val="21"/>
          <w:szCs w:val="21"/>
        </w:rPr>
        <w:t>。错配修复检测不仅用于识别对林奇综合征,也可作为转移性结直肠癌患者使用氟嘧啶为基础的化疗或免疫治疗疗效的判断标准</w:t>
      </w:r>
      <w:r>
        <w:rPr>
          <w:rFonts w:hint="eastAsia" w:ascii="微软雅黑" w:hAnsi="微软雅黑" w:cs="微软雅黑"/>
          <w:sz w:val="21"/>
          <w:szCs w:val="21"/>
          <w:vertAlign w:val="superscript"/>
        </w:rPr>
        <w:t>[37]</w:t>
      </w:r>
      <w:r>
        <w:rPr>
          <w:rFonts w:hint="eastAsia" w:ascii="微软雅黑" w:hAnsi="微软雅黑" w:cs="微软雅黑"/>
          <w:sz w:val="21"/>
          <w:szCs w:val="21"/>
        </w:rPr>
        <w:t>。此外，RAS和RAF突变能够调节增殖、凋亡和血管生成，并在结直肠癌治疗中作为预后和预测标记发挥着不断发展的作用。</w:t>
      </w:r>
    </w:p>
    <w:p w14:paraId="0189C1B0">
      <w:pPr>
        <w:jc w:val="both"/>
        <w:rPr>
          <w:b/>
          <w:bCs/>
        </w:rPr>
      </w:pPr>
      <w:r>
        <w:rPr>
          <w:rFonts w:hint="eastAsia"/>
          <w:b/>
          <w:bCs/>
        </w:rPr>
        <w:t>4、治疗方法</w:t>
      </w:r>
    </w:p>
    <w:p w14:paraId="3A3EFA42">
      <w:pPr>
        <w:jc w:val="both"/>
        <w:rPr>
          <w:rFonts w:ascii="微软雅黑" w:hAnsi="微软雅黑" w:cs="微软雅黑"/>
          <w:b/>
          <w:bCs/>
          <w:sz w:val="21"/>
          <w:szCs w:val="21"/>
        </w:rPr>
      </w:pPr>
      <w:r>
        <w:rPr>
          <w:rFonts w:hint="eastAsia" w:ascii="微软雅黑" w:hAnsi="微软雅黑" w:cs="微软雅黑"/>
          <w:b/>
          <w:bCs/>
          <w:sz w:val="21"/>
          <w:szCs w:val="21"/>
        </w:rPr>
        <w:t>4.1 手术</w:t>
      </w:r>
    </w:p>
    <w:p w14:paraId="6739B7A0">
      <w:pPr>
        <w:ind w:firstLine="420" w:firstLineChars="200"/>
        <w:jc w:val="both"/>
        <w:rPr>
          <w:rFonts w:ascii="微软雅黑" w:hAnsi="微软雅黑" w:cs="微软雅黑"/>
          <w:sz w:val="21"/>
          <w:szCs w:val="21"/>
        </w:rPr>
      </w:pPr>
      <w:r>
        <w:rPr>
          <w:rFonts w:ascii="微软雅黑" w:hAnsi="微软雅黑" w:cs="微软雅黑"/>
          <w:sz w:val="21"/>
          <w:szCs w:val="21"/>
        </w:rPr>
        <w:t>在考虑对患者进行手术时，年龄</w:t>
      </w:r>
      <w:r>
        <w:rPr>
          <w:rFonts w:hint="eastAsia" w:ascii="微软雅黑" w:hAnsi="微软雅黑" w:cs="微软雅黑"/>
          <w:sz w:val="21"/>
          <w:szCs w:val="21"/>
        </w:rPr>
        <w:t>、</w:t>
      </w:r>
      <w:r>
        <w:rPr>
          <w:rFonts w:ascii="微软雅黑" w:hAnsi="微软雅黑" w:cs="微软雅黑"/>
          <w:sz w:val="21"/>
          <w:szCs w:val="21"/>
        </w:rPr>
        <w:t>健康状况</w:t>
      </w:r>
      <w:r>
        <w:rPr>
          <w:rFonts w:hint="eastAsia" w:ascii="微软雅黑" w:hAnsi="微软雅黑" w:cs="微软雅黑"/>
          <w:sz w:val="21"/>
          <w:szCs w:val="21"/>
        </w:rPr>
        <w:t>、</w:t>
      </w:r>
      <w:r>
        <w:rPr>
          <w:rFonts w:ascii="微软雅黑" w:hAnsi="微软雅黑" w:cs="微软雅黑"/>
          <w:sz w:val="21"/>
          <w:szCs w:val="21"/>
        </w:rPr>
        <w:t>围手术期管理计划</w:t>
      </w:r>
      <w:r>
        <w:rPr>
          <w:rFonts w:hint="eastAsia" w:ascii="微软雅黑" w:hAnsi="微软雅黑" w:cs="微软雅黑"/>
          <w:sz w:val="21"/>
          <w:szCs w:val="21"/>
        </w:rPr>
        <w:t>、</w:t>
      </w:r>
      <w:r>
        <w:rPr>
          <w:rFonts w:ascii="微软雅黑" w:hAnsi="微软雅黑" w:cs="微软雅黑"/>
          <w:sz w:val="21"/>
          <w:szCs w:val="21"/>
        </w:rPr>
        <w:t>肿瘤分期</w:t>
      </w:r>
      <w:r>
        <w:rPr>
          <w:rFonts w:hint="eastAsia" w:ascii="微软雅黑" w:hAnsi="微软雅黑" w:cs="微软雅黑"/>
          <w:sz w:val="21"/>
          <w:szCs w:val="21"/>
        </w:rPr>
        <w:t>、</w:t>
      </w:r>
      <w:r>
        <w:rPr>
          <w:rFonts w:ascii="微软雅黑" w:hAnsi="微软雅黑" w:cs="微软雅黑"/>
          <w:sz w:val="21"/>
          <w:szCs w:val="21"/>
        </w:rPr>
        <w:t>手术类型（包括切除平面和重建）</w:t>
      </w:r>
      <w:r>
        <w:rPr>
          <w:rFonts w:hint="eastAsia" w:ascii="微软雅黑" w:hAnsi="微软雅黑" w:cs="微软雅黑"/>
          <w:sz w:val="21"/>
          <w:szCs w:val="21"/>
        </w:rPr>
        <w:t>以及</w:t>
      </w:r>
      <w:r>
        <w:rPr>
          <w:rFonts w:ascii="微软雅黑" w:hAnsi="微软雅黑" w:cs="微软雅黑"/>
          <w:sz w:val="21"/>
          <w:szCs w:val="21"/>
        </w:rPr>
        <w:t>质量保证</w:t>
      </w:r>
      <w:r>
        <w:rPr>
          <w:rFonts w:hint="eastAsia" w:ascii="微软雅黑" w:hAnsi="微软雅黑" w:cs="微软雅黑"/>
          <w:sz w:val="21"/>
          <w:szCs w:val="21"/>
        </w:rPr>
        <w:t>十分</w:t>
      </w:r>
      <w:r>
        <w:rPr>
          <w:rFonts w:ascii="微软雅黑" w:hAnsi="微软雅黑" w:cs="微软雅黑"/>
          <w:sz w:val="21"/>
          <w:szCs w:val="21"/>
        </w:rPr>
        <w:t>重要。就年龄而言，老年结直肠癌患者的总生存率低于年轻患者</w:t>
      </w:r>
      <w:r>
        <w:rPr>
          <w:rFonts w:hint="eastAsia" w:ascii="微软雅黑" w:hAnsi="微软雅黑" w:cs="微软雅黑"/>
          <w:sz w:val="21"/>
          <w:szCs w:val="21"/>
          <w:vertAlign w:val="superscript"/>
        </w:rPr>
        <w:t>[38]</w:t>
      </w:r>
      <w:r>
        <w:rPr>
          <w:rFonts w:ascii="微软雅黑" w:hAnsi="微软雅黑" w:cs="微软雅黑"/>
          <w:sz w:val="21"/>
          <w:szCs w:val="21"/>
        </w:rPr>
        <w:t>。</w:t>
      </w:r>
      <w:r>
        <w:rPr>
          <w:rFonts w:hint="eastAsia" w:ascii="微软雅黑" w:hAnsi="微软雅黑" w:cs="微软雅黑"/>
          <w:sz w:val="21"/>
          <w:szCs w:val="21"/>
        </w:rPr>
        <w:t>目前，</w:t>
      </w:r>
      <w:r>
        <w:rPr>
          <w:rFonts w:ascii="微软雅黑" w:hAnsi="微软雅黑" w:cs="微软雅黑"/>
          <w:sz w:val="21"/>
          <w:szCs w:val="21"/>
        </w:rPr>
        <w:t>腹腔镜切除</w:t>
      </w:r>
      <w:r>
        <w:rPr>
          <w:rFonts w:hint="eastAsia" w:ascii="微软雅黑" w:hAnsi="微软雅黑" w:cs="微软雅黑"/>
          <w:sz w:val="21"/>
          <w:szCs w:val="21"/>
        </w:rPr>
        <w:t>术安全性</w:t>
      </w:r>
      <w:r>
        <w:rPr>
          <w:rFonts w:ascii="微软雅黑" w:hAnsi="微软雅黑" w:cs="微软雅黑"/>
          <w:sz w:val="21"/>
          <w:szCs w:val="21"/>
        </w:rPr>
        <w:t>已被证明与开腹手术</w:t>
      </w:r>
      <w:r>
        <w:rPr>
          <w:rFonts w:hint="eastAsia" w:ascii="微软雅黑" w:hAnsi="微软雅黑" w:cs="微软雅黑"/>
          <w:sz w:val="21"/>
          <w:szCs w:val="21"/>
        </w:rPr>
        <w:t>相同</w:t>
      </w:r>
      <w:r>
        <w:rPr>
          <w:rFonts w:hint="eastAsia" w:ascii="微软雅黑" w:hAnsi="微软雅黑" w:cs="微软雅黑"/>
          <w:sz w:val="21"/>
          <w:szCs w:val="21"/>
          <w:vertAlign w:val="superscript"/>
        </w:rPr>
        <w:t>[39，40]</w:t>
      </w:r>
      <w:r>
        <w:rPr>
          <w:rFonts w:hint="eastAsia" w:ascii="微软雅黑" w:hAnsi="微软雅黑" w:cs="微软雅黑"/>
          <w:sz w:val="21"/>
          <w:szCs w:val="21"/>
        </w:rPr>
        <w:t>。此外，</w:t>
      </w:r>
      <w:r>
        <w:rPr>
          <w:rFonts w:ascii="微软雅黑" w:hAnsi="微软雅黑" w:cs="微软雅黑"/>
          <w:sz w:val="21"/>
          <w:szCs w:val="21"/>
        </w:rPr>
        <w:t>结肠癌也可以表现为结肠癌梗阻或穿孔</w:t>
      </w:r>
      <w:r>
        <w:rPr>
          <w:rFonts w:hint="eastAsia" w:ascii="微软雅黑" w:hAnsi="微软雅黑" w:cs="微软雅黑"/>
          <w:sz w:val="21"/>
          <w:szCs w:val="21"/>
        </w:rPr>
        <w:t>，</w:t>
      </w:r>
      <w:r>
        <w:rPr>
          <w:rFonts w:ascii="微软雅黑" w:hAnsi="微软雅黑" w:cs="微软雅黑"/>
          <w:sz w:val="21"/>
          <w:szCs w:val="21"/>
        </w:rPr>
        <w:t>结肠梗阻可通过减压结肠造口或内镜下支架植入术来缓解</w:t>
      </w:r>
      <w:r>
        <w:rPr>
          <w:rFonts w:hint="eastAsia" w:ascii="微软雅黑" w:hAnsi="微软雅黑" w:cs="微软雅黑"/>
          <w:sz w:val="21"/>
          <w:szCs w:val="21"/>
        </w:rPr>
        <w:t>。</w:t>
      </w:r>
    </w:p>
    <w:p w14:paraId="7CDCC95E">
      <w:pPr>
        <w:ind w:firstLine="420" w:firstLineChars="200"/>
        <w:jc w:val="both"/>
        <w:rPr>
          <w:rFonts w:ascii="微软雅黑" w:hAnsi="微软雅黑" w:cs="微软雅黑"/>
          <w:sz w:val="21"/>
          <w:szCs w:val="21"/>
        </w:rPr>
      </w:pPr>
      <w:r>
        <w:rPr>
          <w:rFonts w:hint="eastAsia" w:ascii="微软雅黑" w:hAnsi="微软雅黑" w:cs="微软雅黑"/>
          <w:sz w:val="21"/>
          <w:szCs w:val="21"/>
        </w:rPr>
        <w:t>直肠癌的手术相对较复杂，与骨盆的可及性和解剖结构复杂相关。全直肠系膜切除（TME）是T1，T2和良性T3（淋巴结状态阴性（T3N0M0）T3，不包括低位直肠癌、T3c和T3d）直肠癌手术金标准，切除的范围取决于括约肌复合体和其它周围结构的受累，对于恶性T3期（T3c的中上部、T3d和T3b下部）的直肠肿瘤的患者，建议进行新辅助放疗（或放化疗）。对于早期直肠癌患者，可利用肛门内窥镜显微外科手术（TEM）进行微创治疗，切除高分化T1N0期局部肿瘤</w:t>
      </w:r>
      <w:r>
        <w:rPr>
          <w:rFonts w:hint="eastAsia" w:ascii="微软雅黑" w:hAnsi="微软雅黑" w:cs="微软雅黑"/>
          <w:sz w:val="21"/>
          <w:szCs w:val="21"/>
          <w:vertAlign w:val="superscript"/>
        </w:rPr>
        <w:t>[41，42]</w:t>
      </w:r>
      <w:r>
        <w:rPr>
          <w:rFonts w:hint="eastAsia" w:ascii="微软雅黑" w:hAnsi="微软雅黑" w:cs="微软雅黑"/>
          <w:sz w:val="21"/>
          <w:szCs w:val="21"/>
        </w:rPr>
        <w:t>，但不建议将TEM用于无法被完全切除的肿瘤，以及分化程度低、局部复发风险高的肿瘤。</w:t>
      </w:r>
    </w:p>
    <w:p w14:paraId="396DBD37">
      <w:pPr>
        <w:jc w:val="both"/>
        <w:rPr>
          <w:rFonts w:ascii="微软雅黑" w:hAnsi="微软雅黑" w:cs="微软雅黑"/>
          <w:b/>
          <w:bCs/>
          <w:sz w:val="21"/>
          <w:szCs w:val="21"/>
        </w:rPr>
      </w:pPr>
      <w:r>
        <w:rPr>
          <w:rFonts w:hint="eastAsia" w:ascii="微软雅黑" w:hAnsi="微软雅黑" w:cs="微软雅黑"/>
          <w:b/>
          <w:bCs/>
          <w:sz w:val="21"/>
          <w:szCs w:val="21"/>
        </w:rPr>
        <w:t>4.2 辅助治疗</w:t>
      </w:r>
    </w:p>
    <w:p w14:paraId="09D4266E">
      <w:pPr>
        <w:ind w:firstLine="420" w:firstLineChars="200"/>
        <w:jc w:val="both"/>
        <w:rPr>
          <w:rFonts w:ascii="微软雅黑" w:hAnsi="微软雅黑" w:cs="微软雅黑"/>
          <w:sz w:val="21"/>
          <w:szCs w:val="21"/>
        </w:rPr>
      </w:pPr>
      <w:r>
        <w:rPr>
          <w:rFonts w:hint="eastAsia" w:ascii="微软雅黑" w:hAnsi="微软雅黑" w:cs="微软雅黑"/>
          <w:sz w:val="21"/>
          <w:szCs w:val="21"/>
        </w:rPr>
        <w:t>新辅助治疗方面，结肠癌目前尚无公认的新辅助治疗方法，但对于中晚期直肠癌，建议使用新辅助放疗或放化疗降低局部复发率。新辅助治疗可以采用短程放疗配合手术，也可以采用5-氟尿嘧啶或卡培他滨（口服氟嘧啶）的放化疗结合手段。术前放疗在减少局部复发方面比术后更有效，但无法提高总生存率</w:t>
      </w:r>
      <w:r>
        <w:rPr>
          <w:rFonts w:hint="eastAsia" w:ascii="微软雅黑" w:hAnsi="微软雅黑" w:cs="微软雅黑"/>
          <w:sz w:val="21"/>
          <w:szCs w:val="21"/>
          <w:vertAlign w:val="superscript"/>
        </w:rPr>
        <w:t>[43，44]</w:t>
      </w:r>
      <w:r>
        <w:rPr>
          <w:rFonts w:hint="eastAsia" w:ascii="微软雅黑" w:hAnsi="微软雅黑" w:cs="微软雅黑"/>
          <w:sz w:val="21"/>
          <w:szCs w:val="21"/>
        </w:rPr>
        <w:t>。</w:t>
      </w:r>
    </w:p>
    <w:p w14:paraId="11BD1C25">
      <w:pPr>
        <w:ind w:firstLine="420" w:firstLineChars="200"/>
        <w:jc w:val="both"/>
        <w:rPr>
          <w:rFonts w:ascii="微软雅黑" w:hAnsi="微软雅黑" w:cs="微软雅黑"/>
          <w:sz w:val="21"/>
          <w:szCs w:val="21"/>
        </w:rPr>
      </w:pPr>
      <w:r>
        <w:rPr>
          <w:rFonts w:hint="eastAsia" w:ascii="微软雅黑" w:hAnsi="微软雅黑" w:cs="微软雅黑"/>
          <w:sz w:val="21"/>
          <w:szCs w:val="21"/>
        </w:rPr>
        <w:t>辅助治疗方面，由于T3、T4a、T4b和N0M0结肠癌（国际癌症控制联盟（UICC）II期）患者手术治愈率较高，只有大约5％的患者受益于辅助化疗。但对于UICC III期肿瘤（任何T，N1-2[3个或更多阳性淋巴结]，M0）辅助治疗是标准治疗方案，主要采用5-氟尿嘧啶（如XELOX口服方案，或FOLFOX4静脉注射方案）和奥沙利铂联合用药。值得注意的是，70岁以上的患者可能无法从以奥沙利铂为基础的化疗组合中受益，但可以从氟嘧啶为基础的化疗中受益，效果与年轻患者类似</w:t>
      </w:r>
      <w:r>
        <w:rPr>
          <w:rFonts w:hint="eastAsia" w:ascii="微软雅黑" w:hAnsi="微软雅黑" w:cs="微软雅黑"/>
          <w:sz w:val="21"/>
          <w:szCs w:val="21"/>
          <w:vertAlign w:val="superscript"/>
        </w:rPr>
        <w:t>[45]</w:t>
      </w:r>
      <w:r>
        <w:rPr>
          <w:rFonts w:hint="eastAsia" w:ascii="微软雅黑" w:hAnsi="微软雅黑" w:cs="微软雅黑"/>
          <w:sz w:val="21"/>
          <w:szCs w:val="21"/>
        </w:rPr>
        <w:t>。对于直肠癌，如果未进行术前治疗且存在某些危险因素，可采取术后放化疗的手段，辅助化疗通常使用氟嘧啶为基础的药物组合。</w:t>
      </w:r>
    </w:p>
    <w:p w14:paraId="6B3D598A">
      <w:pPr>
        <w:jc w:val="both"/>
        <w:rPr>
          <w:rFonts w:ascii="微软雅黑" w:hAnsi="微软雅黑" w:cs="微软雅黑"/>
          <w:b/>
          <w:bCs/>
          <w:sz w:val="21"/>
          <w:szCs w:val="21"/>
        </w:rPr>
      </w:pPr>
      <w:r>
        <w:rPr>
          <w:rFonts w:hint="eastAsia" w:ascii="微软雅黑" w:hAnsi="微软雅黑" w:cs="微软雅黑"/>
          <w:b/>
          <w:bCs/>
          <w:sz w:val="21"/>
          <w:szCs w:val="21"/>
        </w:rPr>
        <w:t>4.3 化疗</w:t>
      </w:r>
    </w:p>
    <w:p w14:paraId="2973424E">
      <w:pPr>
        <w:ind w:firstLine="420" w:firstLineChars="200"/>
        <w:jc w:val="both"/>
        <w:rPr>
          <w:rFonts w:ascii="微软雅黑" w:hAnsi="微软雅黑" w:cs="微软雅黑"/>
          <w:sz w:val="21"/>
          <w:szCs w:val="21"/>
        </w:rPr>
      </w:pPr>
      <w:r>
        <w:rPr>
          <w:rFonts w:ascii="微软雅黑" w:hAnsi="微软雅黑" w:cs="微软雅黑"/>
          <w:sz w:val="21"/>
          <w:szCs w:val="21"/>
        </w:rPr>
        <w:t>在过去的二十年中，转移性</w:t>
      </w:r>
      <w:r>
        <w:rPr>
          <w:rFonts w:hint="eastAsia" w:ascii="微软雅黑" w:hAnsi="微软雅黑" w:cs="微软雅黑"/>
          <w:sz w:val="21"/>
          <w:szCs w:val="21"/>
        </w:rPr>
        <w:t>结直肠</w:t>
      </w:r>
      <w:r>
        <w:rPr>
          <w:rFonts w:ascii="微软雅黑" w:hAnsi="微软雅黑" w:cs="微软雅黑"/>
          <w:sz w:val="21"/>
          <w:szCs w:val="21"/>
        </w:rPr>
        <w:t>患者的生存率已大大提高，临床试验平均总生存期为30个月。生存率的提高可归因于奥沙利铂和伊立替康</w:t>
      </w:r>
      <w:r>
        <w:rPr>
          <w:rFonts w:hint="eastAsia" w:ascii="微软雅黑" w:hAnsi="微软雅黑" w:cs="微软雅黑"/>
          <w:sz w:val="21"/>
          <w:szCs w:val="21"/>
        </w:rPr>
        <w:t>等化疗手段</w:t>
      </w:r>
      <w:r>
        <w:rPr>
          <w:rFonts w:ascii="微软雅黑" w:hAnsi="微软雅黑" w:cs="微软雅黑"/>
          <w:sz w:val="21"/>
          <w:szCs w:val="21"/>
        </w:rPr>
        <w:t>，</w:t>
      </w:r>
      <w:r>
        <w:rPr>
          <w:rFonts w:hint="eastAsia" w:ascii="微软雅黑" w:hAnsi="微软雅黑" w:cs="微软雅黑"/>
          <w:sz w:val="21"/>
          <w:szCs w:val="21"/>
        </w:rPr>
        <w:t>以及</w:t>
      </w:r>
      <w:r>
        <w:rPr>
          <w:rFonts w:ascii="微软雅黑" w:hAnsi="微软雅黑" w:cs="微软雅黑"/>
          <w:sz w:val="21"/>
          <w:szCs w:val="21"/>
        </w:rPr>
        <w:t>针对肿瘤微环境特定特性的靶向疗法</w:t>
      </w:r>
      <w:r>
        <w:rPr>
          <w:rFonts w:hint="eastAsia" w:ascii="微软雅黑" w:hAnsi="微软雅黑" w:cs="微软雅黑"/>
          <w:sz w:val="21"/>
          <w:szCs w:val="21"/>
        </w:rPr>
        <w:t>和</w:t>
      </w:r>
      <w:r>
        <w:rPr>
          <w:rFonts w:ascii="微软雅黑" w:hAnsi="微软雅黑" w:cs="微软雅黑"/>
          <w:sz w:val="21"/>
          <w:szCs w:val="21"/>
        </w:rPr>
        <w:t>包括外科手术切除肝转移在内的多学科方法的结合。</w:t>
      </w:r>
    </w:p>
    <w:p w14:paraId="5E5BF55D">
      <w:pPr>
        <w:ind w:firstLine="420" w:firstLineChars="200"/>
        <w:jc w:val="both"/>
        <w:rPr>
          <w:rFonts w:ascii="微软雅黑" w:hAnsi="微软雅黑" w:cs="微软雅黑"/>
          <w:sz w:val="21"/>
          <w:szCs w:val="21"/>
        </w:rPr>
      </w:pPr>
      <w:r>
        <w:rPr>
          <w:rFonts w:ascii="微软雅黑" w:hAnsi="微软雅黑" w:cs="微软雅黑"/>
          <w:sz w:val="21"/>
          <w:szCs w:val="21"/>
        </w:rPr>
        <w:t>与氟嘧啶单药</w:t>
      </w:r>
      <w:r>
        <w:rPr>
          <w:rFonts w:hint="eastAsia" w:ascii="微软雅黑" w:hAnsi="微软雅黑" w:cs="微软雅黑"/>
          <w:sz w:val="21"/>
          <w:szCs w:val="21"/>
        </w:rPr>
        <w:t>治疗</w:t>
      </w:r>
      <w:r>
        <w:rPr>
          <w:rFonts w:ascii="微软雅黑" w:hAnsi="微软雅黑" w:cs="微软雅黑"/>
          <w:sz w:val="21"/>
          <w:szCs w:val="21"/>
        </w:rPr>
        <w:t>相比，联合化疗可更好地控制肿瘤生长。转移性</w:t>
      </w:r>
      <w:r>
        <w:rPr>
          <w:rFonts w:hint="eastAsia" w:ascii="微软雅黑" w:hAnsi="微软雅黑" w:cs="微软雅黑"/>
          <w:sz w:val="21"/>
          <w:szCs w:val="21"/>
        </w:rPr>
        <w:t>结直肠癌一线化疗方案是</w:t>
      </w:r>
      <w:r>
        <w:rPr>
          <w:rFonts w:ascii="微软雅黑" w:hAnsi="微软雅黑" w:cs="微软雅黑"/>
          <w:sz w:val="21"/>
          <w:szCs w:val="21"/>
        </w:rPr>
        <w:t>5-氟尿嘧啶，亚叶酸和奥沙利铂（FOLFOX方案）或伊立替康（FOLFIRI方案）的组合</w:t>
      </w:r>
      <w:r>
        <w:rPr>
          <w:rFonts w:hint="eastAsia" w:ascii="微软雅黑" w:hAnsi="微软雅黑" w:cs="微软雅黑"/>
          <w:sz w:val="21"/>
          <w:szCs w:val="21"/>
        </w:rPr>
        <w:t>用药。</w:t>
      </w:r>
      <w:r>
        <w:rPr>
          <w:rFonts w:ascii="微软雅黑" w:hAnsi="微软雅黑" w:cs="微软雅黑"/>
          <w:sz w:val="21"/>
          <w:szCs w:val="21"/>
        </w:rPr>
        <w:t>卡培他滨</w:t>
      </w:r>
      <w:r>
        <w:rPr>
          <w:rFonts w:hint="eastAsia" w:ascii="微软雅黑" w:hAnsi="微软雅黑" w:cs="微软雅黑"/>
          <w:sz w:val="21"/>
          <w:szCs w:val="21"/>
        </w:rPr>
        <w:t>可</w:t>
      </w:r>
      <w:r>
        <w:rPr>
          <w:rFonts w:ascii="微软雅黑" w:hAnsi="微软雅黑" w:cs="微软雅黑"/>
          <w:sz w:val="21"/>
          <w:szCs w:val="21"/>
        </w:rPr>
        <w:t>代替FOLFOX方案中的5-氟尿嘧啶，但是卡培他滨与伊立替康</w:t>
      </w:r>
      <w:r>
        <w:rPr>
          <w:rFonts w:hint="eastAsia" w:ascii="微软雅黑" w:hAnsi="微软雅黑" w:cs="微软雅黑"/>
          <w:sz w:val="21"/>
          <w:szCs w:val="21"/>
        </w:rPr>
        <w:t>联合用药与</w:t>
      </w:r>
      <w:r>
        <w:rPr>
          <w:rFonts w:ascii="微软雅黑" w:hAnsi="微软雅黑" w:cs="微软雅黑"/>
          <w:sz w:val="21"/>
          <w:szCs w:val="21"/>
        </w:rPr>
        <w:t>FOLFIRI</w:t>
      </w:r>
      <w:r>
        <w:rPr>
          <w:rFonts w:hint="eastAsia" w:ascii="微软雅黑" w:hAnsi="微软雅黑" w:cs="微软雅黑"/>
          <w:sz w:val="21"/>
          <w:szCs w:val="21"/>
        </w:rPr>
        <w:t>相</w:t>
      </w:r>
      <w:r>
        <w:rPr>
          <w:rFonts w:ascii="微软雅黑" w:hAnsi="微软雅黑" w:cs="微软雅黑"/>
          <w:sz w:val="21"/>
          <w:szCs w:val="21"/>
        </w:rPr>
        <w:t>比毒性</w:t>
      </w:r>
      <w:r>
        <w:rPr>
          <w:rFonts w:hint="eastAsia" w:ascii="微软雅黑" w:hAnsi="微软雅黑" w:cs="微软雅黑"/>
          <w:sz w:val="21"/>
          <w:szCs w:val="21"/>
        </w:rPr>
        <w:t>更高</w:t>
      </w:r>
      <w:r>
        <w:rPr>
          <w:rFonts w:ascii="微软雅黑" w:hAnsi="微软雅黑" w:cs="微软雅黑"/>
          <w:sz w:val="21"/>
          <w:szCs w:val="21"/>
        </w:rPr>
        <w:t>。</w:t>
      </w:r>
      <w:r>
        <w:rPr>
          <w:rFonts w:hint="eastAsia" w:ascii="微软雅黑" w:hAnsi="微软雅黑" w:cs="微软雅黑"/>
          <w:sz w:val="21"/>
          <w:szCs w:val="21"/>
        </w:rPr>
        <w:t>目前，相应药物疗效及毒性评估标志基因及位点已经被发现，如DPD基因与氟尿嘧啶和UTG1A1基因与伊立替康</w:t>
      </w:r>
      <w:r>
        <w:rPr>
          <w:rFonts w:hint="eastAsia" w:ascii="微软雅黑" w:hAnsi="微软雅黑" w:cs="微软雅黑"/>
          <w:sz w:val="21"/>
          <w:szCs w:val="21"/>
          <w:vertAlign w:val="superscript"/>
        </w:rPr>
        <w:t>[46]</w:t>
      </w:r>
      <w:r>
        <w:rPr>
          <w:rFonts w:hint="eastAsia" w:ascii="微软雅黑" w:hAnsi="微软雅黑" w:cs="微软雅黑"/>
          <w:sz w:val="21"/>
          <w:szCs w:val="21"/>
        </w:rPr>
        <w:t>。同时，</w:t>
      </w:r>
      <w:r>
        <w:rPr>
          <w:rFonts w:ascii="微软雅黑" w:hAnsi="微软雅黑" w:cs="微软雅黑"/>
          <w:sz w:val="21"/>
          <w:szCs w:val="21"/>
        </w:rPr>
        <w:t>dMMR是II期</w:t>
      </w:r>
      <w:r>
        <w:rPr>
          <w:rFonts w:hint="eastAsia" w:ascii="微软雅黑" w:hAnsi="微软雅黑" w:cs="微软雅黑"/>
          <w:sz w:val="21"/>
          <w:szCs w:val="21"/>
        </w:rPr>
        <w:t>结直肠癌患者</w:t>
      </w:r>
      <w:r>
        <w:rPr>
          <w:rFonts w:ascii="微软雅黑" w:hAnsi="微软雅黑" w:cs="微软雅黑"/>
          <w:sz w:val="21"/>
          <w:szCs w:val="21"/>
        </w:rPr>
        <w:t>的</w:t>
      </w:r>
      <w:r>
        <w:rPr>
          <w:rFonts w:hint="eastAsia" w:ascii="微软雅黑" w:hAnsi="微软雅黑" w:cs="微软雅黑"/>
          <w:sz w:val="21"/>
          <w:szCs w:val="21"/>
        </w:rPr>
        <w:t>良好</w:t>
      </w:r>
      <w:r>
        <w:rPr>
          <w:rFonts w:ascii="微软雅黑" w:hAnsi="微软雅黑" w:cs="微软雅黑"/>
          <w:sz w:val="21"/>
          <w:szCs w:val="21"/>
        </w:rPr>
        <w:t>预后标志，dMMR患者</w:t>
      </w:r>
      <w:r>
        <w:rPr>
          <w:rFonts w:hint="eastAsia" w:ascii="微软雅黑" w:hAnsi="微软雅黑" w:cs="微软雅黑"/>
          <w:sz w:val="21"/>
          <w:szCs w:val="21"/>
        </w:rPr>
        <w:t>无法</w:t>
      </w:r>
      <w:r>
        <w:rPr>
          <w:rFonts w:ascii="微软雅黑" w:hAnsi="微软雅黑" w:cs="微软雅黑"/>
          <w:sz w:val="21"/>
          <w:szCs w:val="21"/>
        </w:rPr>
        <w:t>从辅助治疗中获益</w:t>
      </w:r>
      <w:r>
        <w:rPr>
          <w:rFonts w:hint="eastAsia" w:ascii="微软雅黑" w:hAnsi="微软雅黑" w:cs="微软雅黑"/>
          <w:sz w:val="21"/>
          <w:szCs w:val="21"/>
          <w:vertAlign w:val="superscript"/>
        </w:rPr>
        <w:t>[47，48]</w:t>
      </w:r>
      <w:r>
        <w:rPr>
          <w:rFonts w:ascii="微软雅黑" w:hAnsi="微软雅黑" w:cs="微软雅黑"/>
          <w:sz w:val="21"/>
          <w:szCs w:val="21"/>
        </w:rPr>
        <w:t>。</w:t>
      </w:r>
    </w:p>
    <w:p w14:paraId="543D5CE5">
      <w:pPr>
        <w:ind w:firstLine="420" w:firstLineChars="200"/>
        <w:rPr>
          <w:rFonts w:ascii="微软雅黑" w:hAnsi="微软雅黑" w:cs="微软雅黑"/>
          <w:sz w:val="21"/>
          <w:szCs w:val="21"/>
        </w:rPr>
      </w:pPr>
      <w:r>
        <w:rPr>
          <w:rFonts w:hint="eastAsia" w:ascii="微软雅黑" w:hAnsi="微软雅黑" w:cs="微软雅黑"/>
          <w:sz w:val="21"/>
          <w:szCs w:val="21"/>
        </w:rPr>
        <w:t>研究表明</w:t>
      </w:r>
      <w:r>
        <w:rPr>
          <w:rFonts w:ascii="微软雅黑" w:hAnsi="微软雅黑" w:cs="微软雅黑"/>
          <w:sz w:val="21"/>
          <w:szCs w:val="21"/>
        </w:rPr>
        <w:t>，5-氟尿嘧啶</w:t>
      </w:r>
      <w:r>
        <w:rPr>
          <w:rFonts w:hint="eastAsia" w:ascii="微软雅黑" w:hAnsi="微软雅黑" w:cs="微软雅黑"/>
          <w:sz w:val="21"/>
          <w:szCs w:val="21"/>
        </w:rPr>
        <w:t>、</w:t>
      </w:r>
      <w:r>
        <w:rPr>
          <w:rFonts w:ascii="微软雅黑" w:hAnsi="微软雅黑" w:cs="微软雅黑"/>
          <w:sz w:val="21"/>
          <w:szCs w:val="21"/>
        </w:rPr>
        <w:t>亚叶酸</w:t>
      </w:r>
      <w:r>
        <w:rPr>
          <w:rFonts w:hint="eastAsia" w:ascii="微软雅黑" w:hAnsi="微软雅黑" w:cs="微软雅黑"/>
          <w:sz w:val="21"/>
          <w:szCs w:val="21"/>
        </w:rPr>
        <w:t>、</w:t>
      </w:r>
      <w:r>
        <w:rPr>
          <w:rFonts w:ascii="微软雅黑" w:hAnsi="微软雅黑" w:cs="微软雅黑"/>
          <w:sz w:val="21"/>
          <w:szCs w:val="21"/>
        </w:rPr>
        <w:t>奥沙利铂</w:t>
      </w:r>
      <w:r>
        <w:rPr>
          <w:rFonts w:hint="eastAsia" w:ascii="微软雅黑" w:hAnsi="微软雅黑" w:cs="微软雅黑"/>
          <w:sz w:val="21"/>
          <w:szCs w:val="21"/>
        </w:rPr>
        <w:t>、</w:t>
      </w:r>
      <w:r>
        <w:rPr>
          <w:rFonts w:ascii="微软雅黑" w:hAnsi="微软雅黑" w:cs="微软雅黑"/>
          <w:sz w:val="21"/>
          <w:szCs w:val="21"/>
        </w:rPr>
        <w:t>伊立替康（FOLFOXIRI方案）组成的双联体（两种化学治疗剂）和三联体（三种化学治疗剂）</w:t>
      </w:r>
      <w:r>
        <w:rPr>
          <w:rFonts w:hint="eastAsia" w:ascii="微软雅黑" w:hAnsi="微软雅黑" w:cs="微软雅黑"/>
          <w:sz w:val="21"/>
          <w:szCs w:val="21"/>
        </w:rPr>
        <w:t>疗效较好</w:t>
      </w:r>
      <w:r>
        <w:rPr>
          <w:rFonts w:hint="eastAsia" w:ascii="微软雅黑" w:hAnsi="微软雅黑" w:cs="微软雅黑"/>
          <w:sz w:val="21"/>
          <w:szCs w:val="21"/>
          <w:vertAlign w:val="superscript"/>
        </w:rPr>
        <w:t>[49]</w:t>
      </w:r>
      <w:r>
        <w:rPr>
          <w:rFonts w:hint="eastAsia" w:ascii="微软雅黑" w:hAnsi="微软雅黑" w:cs="微软雅黑"/>
          <w:sz w:val="21"/>
          <w:szCs w:val="21"/>
        </w:rPr>
        <w:t>，</w:t>
      </w:r>
      <w:r>
        <w:rPr>
          <w:rFonts w:ascii="微软雅黑" w:hAnsi="微软雅黑" w:cs="微软雅黑"/>
          <w:sz w:val="21"/>
          <w:szCs w:val="21"/>
        </w:rPr>
        <w:t>与氟嘧啶单药相比，化疗</w:t>
      </w:r>
      <w:r>
        <w:rPr>
          <w:rFonts w:hint="eastAsia" w:ascii="微软雅黑" w:hAnsi="微软雅黑" w:cs="微软雅黑"/>
          <w:sz w:val="21"/>
          <w:szCs w:val="21"/>
        </w:rPr>
        <w:t>联合方案</w:t>
      </w:r>
      <w:r>
        <w:rPr>
          <w:rFonts w:ascii="微软雅黑" w:hAnsi="微软雅黑" w:cs="微软雅黑"/>
          <w:sz w:val="21"/>
          <w:szCs w:val="21"/>
        </w:rPr>
        <w:t>控制肿瘤生长</w:t>
      </w:r>
      <w:r>
        <w:rPr>
          <w:rFonts w:hint="eastAsia" w:ascii="微软雅黑" w:hAnsi="微软雅黑" w:cs="微软雅黑"/>
          <w:sz w:val="21"/>
          <w:szCs w:val="21"/>
        </w:rPr>
        <w:t>效果更好</w:t>
      </w:r>
      <w:r>
        <w:rPr>
          <w:rFonts w:ascii="微软雅黑" w:hAnsi="微软雅黑" w:cs="微软雅黑"/>
          <w:sz w:val="21"/>
          <w:szCs w:val="21"/>
        </w:rPr>
        <w:t>。但是，老年和体弱</w:t>
      </w:r>
      <w:r>
        <w:rPr>
          <w:rFonts w:hint="eastAsia" w:ascii="微软雅黑" w:hAnsi="微软雅黑" w:cs="微软雅黑"/>
          <w:sz w:val="21"/>
          <w:szCs w:val="21"/>
        </w:rPr>
        <w:t>的</w:t>
      </w:r>
      <w:r>
        <w:rPr>
          <w:rFonts w:ascii="微软雅黑" w:hAnsi="微软雅黑" w:cs="微软雅黑"/>
          <w:sz w:val="21"/>
          <w:szCs w:val="21"/>
        </w:rPr>
        <w:t>患者可能会受益于先后采用单药氟嘧啶单药化疗或氟嘧啶与VEGF-A靶向疗法联合治疗</w:t>
      </w:r>
      <w:r>
        <w:rPr>
          <w:rFonts w:hint="eastAsia" w:ascii="微软雅黑" w:hAnsi="微软雅黑" w:cs="微软雅黑"/>
          <w:sz w:val="21"/>
          <w:szCs w:val="21"/>
        </w:rPr>
        <w:t>手段（图6）。</w:t>
      </w:r>
    </w:p>
    <w:p w14:paraId="176B5001">
      <w:pPr>
        <w:ind w:firstLine="420" w:firstLineChars="200"/>
        <w:jc w:val="both"/>
        <w:rPr>
          <w:rFonts w:ascii="微软雅黑" w:hAnsi="微软雅黑" w:cs="微软雅黑"/>
          <w:sz w:val="21"/>
          <w:szCs w:val="21"/>
        </w:rPr>
      </w:pPr>
      <w:r>
        <w:rPr>
          <w:rFonts w:hint="eastAsia" w:ascii="微软雅黑" w:hAnsi="微软雅黑" w:cs="微软雅黑"/>
          <w:sz w:val="21"/>
          <w:szCs w:val="21"/>
        </w:rPr>
        <w:t>关于化疗时间，目前标准方案是辅助化疗6个月。但IDEA研究中6个随机的III期临床试验数据表明，III期低风险期结肠癌(不包括T4期或N2期)患者，辅助化疗控制在3个月可以降低毒性（例如，减少累积性神经病变），而不影响治疗效果</w:t>
      </w:r>
      <w:r>
        <w:rPr>
          <w:rFonts w:hint="eastAsia" w:ascii="微软雅黑" w:hAnsi="微软雅黑" w:cs="微软雅黑"/>
          <w:sz w:val="21"/>
          <w:szCs w:val="21"/>
          <w:vertAlign w:val="superscript"/>
        </w:rPr>
        <w:t>[50]</w:t>
      </w:r>
      <w:r>
        <w:rPr>
          <w:rFonts w:hint="eastAsia" w:ascii="微软雅黑" w:hAnsi="微软雅黑" w:cs="微软雅黑"/>
          <w:sz w:val="21"/>
          <w:szCs w:val="21"/>
        </w:rPr>
        <w:t>。</w:t>
      </w:r>
    </w:p>
    <w:p w14:paraId="04D796CE">
      <w:pPr>
        <w:jc w:val="center"/>
        <w:rPr>
          <w:rFonts w:ascii="微软雅黑" w:hAnsi="微软雅黑" w:cs="微软雅黑"/>
          <w:sz w:val="21"/>
          <w:szCs w:val="21"/>
        </w:rPr>
      </w:pPr>
      <w:r>
        <w:rPr>
          <w:rFonts w:hint="eastAsia" w:ascii="微软雅黑" w:hAnsi="微软雅黑" w:cs="微软雅黑"/>
          <w:sz w:val="21"/>
          <w:szCs w:val="21"/>
        </w:rPr>
        <w:drawing>
          <wp:inline distT="0" distB="0" distL="114300" distR="114300">
            <wp:extent cx="4368165" cy="3756025"/>
            <wp:effectExtent l="0" t="0" r="13335" b="15875"/>
            <wp:docPr id="103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 name="图片 2"/>
                    <pic:cNvPicPr>
                      <a:picLocks noChangeAspect="1"/>
                    </pic:cNvPicPr>
                  </pic:nvPicPr>
                  <pic:blipFill>
                    <a:blip r:embed="rId33"/>
                    <a:stretch>
                      <a:fillRect/>
                    </a:stretch>
                  </pic:blipFill>
                  <pic:spPr>
                    <a:xfrm>
                      <a:off x="0" y="0"/>
                      <a:ext cx="4368165" cy="3756025"/>
                    </a:xfrm>
                    <a:prstGeom prst="rect">
                      <a:avLst/>
                    </a:prstGeom>
                    <a:noFill/>
                    <a:ln>
                      <a:noFill/>
                    </a:ln>
                  </pic:spPr>
                </pic:pic>
              </a:graphicData>
            </a:graphic>
          </wp:inline>
        </w:drawing>
      </w:r>
    </w:p>
    <w:p w14:paraId="422FEB89">
      <w:pPr>
        <w:ind w:firstLine="400" w:firstLineChars="200"/>
        <w:jc w:val="center"/>
        <w:rPr>
          <w:rFonts w:ascii="微软雅黑" w:hAnsi="微软雅黑" w:cs="微软雅黑"/>
          <w:sz w:val="20"/>
          <w:szCs w:val="20"/>
        </w:rPr>
      </w:pPr>
      <w:r>
        <w:rPr>
          <w:rFonts w:hint="eastAsia" w:ascii="微软雅黑" w:hAnsi="微软雅黑" w:cs="微软雅黑"/>
          <w:sz w:val="20"/>
          <w:szCs w:val="20"/>
        </w:rPr>
        <w:t>图6 结直肠癌系统治疗药物组合</w:t>
      </w:r>
      <w:r>
        <w:rPr>
          <w:rFonts w:hint="eastAsia" w:ascii="微软雅黑" w:hAnsi="微软雅黑" w:cs="微软雅黑"/>
          <w:sz w:val="20"/>
          <w:szCs w:val="20"/>
          <w:vertAlign w:val="superscript"/>
        </w:rPr>
        <w:t>[1]</w:t>
      </w:r>
    </w:p>
    <w:p w14:paraId="1F473F55">
      <w:pPr>
        <w:jc w:val="both"/>
        <w:rPr>
          <w:rFonts w:ascii="微软雅黑" w:hAnsi="微软雅黑" w:cs="微软雅黑"/>
          <w:b/>
          <w:bCs/>
          <w:sz w:val="21"/>
          <w:szCs w:val="21"/>
        </w:rPr>
      </w:pPr>
      <w:r>
        <w:rPr>
          <w:rFonts w:hint="eastAsia" w:ascii="微软雅黑" w:hAnsi="微软雅黑" w:cs="微软雅黑"/>
          <w:b/>
          <w:bCs/>
          <w:sz w:val="21"/>
          <w:szCs w:val="21"/>
        </w:rPr>
        <w:t>4.4 靶向与免疫治疗</w:t>
      </w:r>
    </w:p>
    <w:p w14:paraId="3DAAB7D2">
      <w:pPr>
        <w:ind w:firstLine="420" w:firstLineChars="200"/>
        <w:jc w:val="both"/>
        <w:rPr>
          <w:rFonts w:ascii="微软雅黑" w:hAnsi="微软雅黑" w:cs="微软雅黑"/>
          <w:sz w:val="21"/>
          <w:szCs w:val="21"/>
        </w:rPr>
      </w:pPr>
      <w:r>
        <w:rPr>
          <w:rFonts w:hint="eastAsia" w:ascii="微软雅黑" w:hAnsi="微软雅黑" w:cs="微软雅黑"/>
          <w:sz w:val="21"/>
          <w:szCs w:val="21"/>
        </w:rPr>
        <w:t>目前结直肠癌靶向及免疫治疗主要包括四大类药物：单克隆抗体、抗血管生成抑制剂、特异性位点靶向药以及免疫检查点抑制剂。根据肿瘤突变状态的不同，治疗决策有所不同。</w:t>
      </w:r>
    </w:p>
    <w:p w14:paraId="4BA36163">
      <w:pPr>
        <w:jc w:val="both"/>
        <w:rPr>
          <w:rFonts w:ascii="微软雅黑" w:hAnsi="微软雅黑" w:cs="微软雅黑"/>
          <w:sz w:val="21"/>
          <w:szCs w:val="21"/>
        </w:rPr>
      </w:pPr>
      <w:r>
        <w:rPr>
          <w:rFonts w:hint="eastAsia" w:ascii="微软雅黑" w:hAnsi="微软雅黑" w:cs="微软雅黑"/>
          <w:sz w:val="21"/>
          <w:szCs w:val="21"/>
        </w:rPr>
        <w:t>4.4.1 EGFR单克隆抗体</w:t>
      </w:r>
    </w:p>
    <w:p w14:paraId="506C1BFC">
      <w:pPr>
        <w:ind w:firstLine="420" w:firstLineChars="200"/>
        <w:jc w:val="both"/>
        <w:rPr>
          <w:rFonts w:ascii="微软雅黑" w:hAnsi="微软雅黑" w:cs="微软雅黑"/>
          <w:sz w:val="21"/>
          <w:szCs w:val="21"/>
        </w:rPr>
      </w:pPr>
      <w:r>
        <w:rPr>
          <w:rFonts w:hint="eastAsia" w:ascii="微软雅黑" w:hAnsi="微软雅黑" w:cs="微软雅黑"/>
          <w:sz w:val="21"/>
          <w:szCs w:val="21"/>
        </w:rPr>
        <w:t>大约</w:t>
      </w:r>
      <w:r>
        <w:rPr>
          <w:rFonts w:ascii="微软雅黑" w:hAnsi="微软雅黑" w:cs="微软雅黑"/>
          <w:sz w:val="21"/>
          <w:szCs w:val="21"/>
        </w:rPr>
        <w:t>80％</w:t>
      </w:r>
      <w:r>
        <w:rPr>
          <w:rFonts w:hint="eastAsia" w:ascii="微软雅黑" w:hAnsi="微软雅黑" w:cs="微软雅黑"/>
          <w:sz w:val="21"/>
          <w:szCs w:val="21"/>
        </w:rPr>
        <w:t>左右的结直</w:t>
      </w:r>
      <w:r>
        <w:rPr>
          <w:rFonts w:ascii="微软雅黑" w:hAnsi="微软雅黑" w:cs="微软雅黑"/>
          <w:sz w:val="21"/>
          <w:szCs w:val="21"/>
        </w:rPr>
        <w:t>肠癌表达或过表达EGFR</w:t>
      </w:r>
      <w:r>
        <w:rPr>
          <w:rFonts w:hint="eastAsia" w:ascii="微软雅黑" w:hAnsi="微软雅黑" w:cs="微软雅黑"/>
          <w:sz w:val="21"/>
          <w:szCs w:val="21"/>
        </w:rPr>
        <w:t>，且</w:t>
      </w:r>
      <w:r>
        <w:rPr>
          <w:rFonts w:ascii="微软雅黑" w:hAnsi="微软雅黑" w:cs="微软雅黑"/>
          <w:sz w:val="21"/>
          <w:szCs w:val="21"/>
        </w:rPr>
        <w:t>EGFR过表达</w:t>
      </w:r>
      <w:r>
        <w:rPr>
          <w:rFonts w:hint="eastAsia" w:ascii="微软雅黑" w:hAnsi="微软雅黑" w:cs="微软雅黑"/>
          <w:sz w:val="21"/>
          <w:szCs w:val="21"/>
        </w:rPr>
        <w:t>的结直肠癌患者</w:t>
      </w:r>
      <w:r>
        <w:rPr>
          <w:rFonts w:ascii="微软雅黑" w:hAnsi="微软雅黑" w:cs="微软雅黑"/>
          <w:sz w:val="21"/>
          <w:szCs w:val="21"/>
        </w:rPr>
        <w:t>生存率降低</w:t>
      </w:r>
      <w:r>
        <w:rPr>
          <w:rFonts w:hint="eastAsia" w:ascii="微软雅黑" w:hAnsi="微软雅黑" w:cs="微软雅黑"/>
          <w:sz w:val="21"/>
          <w:szCs w:val="21"/>
        </w:rPr>
        <w:t>、</w:t>
      </w:r>
      <w:r>
        <w:rPr>
          <w:rFonts w:ascii="微软雅黑" w:hAnsi="微软雅黑" w:cs="微软雅黑"/>
          <w:sz w:val="21"/>
          <w:szCs w:val="21"/>
        </w:rPr>
        <w:t>转移</w:t>
      </w:r>
      <w:r>
        <w:rPr>
          <w:rFonts w:hint="eastAsia" w:ascii="微软雅黑" w:hAnsi="微软雅黑" w:cs="微软雅黑"/>
          <w:sz w:val="21"/>
          <w:szCs w:val="21"/>
        </w:rPr>
        <w:t>风</w:t>
      </w:r>
      <w:r>
        <w:rPr>
          <w:rFonts w:ascii="微软雅黑" w:hAnsi="微软雅黑" w:cs="微软雅黑"/>
          <w:sz w:val="21"/>
          <w:szCs w:val="21"/>
        </w:rPr>
        <w:t>险增加。</w:t>
      </w:r>
      <w:r>
        <w:rPr>
          <w:rFonts w:hint="eastAsia" w:ascii="微软雅黑" w:hAnsi="微软雅黑" w:cs="微软雅黑"/>
          <w:sz w:val="21"/>
          <w:szCs w:val="21"/>
        </w:rPr>
        <w:t>EGFR单克隆抗体通过</w:t>
      </w:r>
      <w:r>
        <w:rPr>
          <w:rFonts w:ascii="微软雅黑" w:hAnsi="微软雅黑" w:cs="微软雅黑"/>
          <w:sz w:val="21"/>
          <w:szCs w:val="21"/>
        </w:rPr>
        <w:t>诱饵受体</w:t>
      </w:r>
      <w:r>
        <w:rPr>
          <w:rFonts w:hint="eastAsia" w:ascii="微软雅黑" w:hAnsi="微软雅黑" w:cs="微软雅黑"/>
          <w:sz w:val="21"/>
          <w:szCs w:val="21"/>
        </w:rPr>
        <w:t>与</w:t>
      </w:r>
      <w:r>
        <w:rPr>
          <w:rFonts w:ascii="微软雅黑" w:hAnsi="微软雅黑" w:cs="微软雅黑"/>
          <w:sz w:val="21"/>
          <w:szCs w:val="21"/>
        </w:rPr>
        <w:t>可溶性配体结合阻断</w:t>
      </w:r>
      <w:r>
        <w:rPr>
          <w:rFonts w:hint="eastAsia" w:ascii="微软雅黑" w:hAnsi="微软雅黑" w:cs="微软雅黑"/>
          <w:sz w:val="21"/>
          <w:szCs w:val="21"/>
        </w:rPr>
        <w:t>、</w:t>
      </w:r>
      <w:r>
        <w:rPr>
          <w:rFonts w:ascii="微软雅黑" w:hAnsi="微软雅黑" w:cs="微软雅黑"/>
          <w:sz w:val="21"/>
          <w:szCs w:val="21"/>
        </w:rPr>
        <w:t>抑制受体二聚化</w:t>
      </w:r>
      <w:r>
        <w:rPr>
          <w:rFonts w:hint="eastAsia" w:ascii="微软雅黑" w:hAnsi="微软雅黑" w:cs="微软雅黑"/>
          <w:sz w:val="21"/>
          <w:szCs w:val="21"/>
        </w:rPr>
        <w:t>，或通过与酪氨酸激酶结构域ATP受体口袋结合的方式，使</w:t>
      </w:r>
      <w:r>
        <w:rPr>
          <w:rFonts w:ascii="微软雅黑" w:hAnsi="微软雅黑" w:cs="微软雅黑"/>
          <w:sz w:val="21"/>
          <w:szCs w:val="21"/>
        </w:rPr>
        <w:t>EGFR酪氨酸激酶受体胞外区域被单克隆抗体特异性阻断。</w:t>
      </w:r>
      <w:r>
        <w:rPr>
          <w:rFonts w:hint="eastAsia" w:ascii="微软雅黑" w:hAnsi="微软雅黑" w:cs="微软雅黑"/>
          <w:sz w:val="21"/>
          <w:szCs w:val="21"/>
        </w:rPr>
        <w:t>多项临床数据表明，</w:t>
      </w:r>
      <w:r>
        <w:rPr>
          <w:rFonts w:ascii="微软雅黑" w:hAnsi="微软雅黑" w:cs="微软雅黑"/>
          <w:sz w:val="21"/>
          <w:szCs w:val="21"/>
        </w:rPr>
        <w:t>西妥昔单抗（重组嵌合</w:t>
      </w:r>
      <w:r>
        <w:rPr>
          <w:rFonts w:hint="eastAsia" w:ascii="微软雅黑" w:hAnsi="微软雅黑" w:cs="微软雅黑"/>
          <w:sz w:val="21"/>
          <w:szCs w:val="21"/>
        </w:rPr>
        <w:t>型</w:t>
      </w:r>
      <w:r>
        <w:rPr>
          <w:rFonts w:ascii="微软雅黑" w:hAnsi="微软雅黑" w:cs="微软雅黑"/>
          <w:sz w:val="21"/>
          <w:szCs w:val="21"/>
        </w:rPr>
        <w:t>IgG1单克隆抗体）和帕尼单抗（</w:t>
      </w:r>
      <w:r>
        <w:rPr>
          <w:rFonts w:hint="eastAsia" w:ascii="微软雅黑" w:hAnsi="微软雅黑" w:cs="微软雅黑"/>
          <w:sz w:val="21"/>
          <w:szCs w:val="21"/>
        </w:rPr>
        <w:t>人</w:t>
      </w:r>
      <w:r>
        <w:rPr>
          <w:rFonts w:ascii="微软雅黑" w:hAnsi="微软雅黑" w:cs="微软雅黑"/>
          <w:sz w:val="21"/>
          <w:szCs w:val="21"/>
        </w:rPr>
        <w:t>EGFR特异性抗体）</w:t>
      </w:r>
      <w:r>
        <w:rPr>
          <w:rFonts w:hint="eastAsia" w:ascii="微软雅黑" w:hAnsi="微软雅黑" w:cs="微软雅黑"/>
          <w:sz w:val="21"/>
          <w:szCs w:val="21"/>
        </w:rPr>
        <w:t>能够</w:t>
      </w:r>
      <w:r>
        <w:rPr>
          <w:rFonts w:ascii="微软雅黑" w:hAnsi="微软雅黑" w:cs="微软雅黑"/>
          <w:sz w:val="21"/>
          <w:szCs w:val="21"/>
        </w:rPr>
        <w:t>提高肿瘤的总体缓解率，</w:t>
      </w:r>
      <w:r>
        <w:rPr>
          <w:rFonts w:hint="eastAsia" w:ascii="微软雅黑" w:hAnsi="微软雅黑" w:cs="微软雅黑"/>
          <w:sz w:val="21"/>
          <w:szCs w:val="21"/>
        </w:rPr>
        <w:t>对</w:t>
      </w:r>
      <w:r>
        <w:rPr>
          <w:rFonts w:ascii="微软雅黑" w:hAnsi="微软雅黑" w:cs="微软雅黑"/>
          <w:sz w:val="21"/>
          <w:szCs w:val="21"/>
        </w:rPr>
        <w:t>未接受过化疗及</w:t>
      </w:r>
      <w:r>
        <w:rPr>
          <w:rFonts w:hint="eastAsia" w:ascii="微软雅黑" w:hAnsi="微软雅黑" w:cs="微软雅黑"/>
          <w:sz w:val="21"/>
          <w:szCs w:val="21"/>
        </w:rPr>
        <w:t>化疗难治型</w:t>
      </w:r>
      <w:r>
        <w:rPr>
          <w:rFonts w:ascii="微软雅黑" w:hAnsi="微软雅黑" w:cs="微软雅黑"/>
          <w:sz w:val="21"/>
          <w:szCs w:val="21"/>
        </w:rPr>
        <w:t>患者</w:t>
      </w:r>
      <w:r>
        <w:rPr>
          <w:rFonts w:hint="eastAsia" w:ascii="微软雅黑" w:hAnsi="微软雅黑" w:cs="微软雅黑"/>
          <w:sz w:val="21"/>
          <w:szCs w:val="21"/>
        </w:rPr>
        <w:t>有效，从而</w:t>
      </w:r>
      <w:r>
        <w:rPr>
          <w:rFonts w:ascii="微软雅黑" w:hAnsi="微软雅黑" w:cs="微软雅黑"/>
          <w:sz w:val="21"/>
          <w:szCs w:val="21"/>
        </w:rPr>
        <w:t>改善转移性结直肠癌患者的无进展生存期</w:t>
      </w:r>
      <w:r>
        <w:rPr>
          <w:rFonts w:hint="eastAsia" w:ascii="微软雅黑" w:hAnsi="微软雅黑" w:cs="微软雅黑"/>
          <w:sz w:val="21"/>
          <w:szCs w:val="21"/>
        </w:rPr>
        <w:t>（PFS）</w:t>
      </w:r>
      <w:r>
        <w:rPr>
          <w:rFonts w:ascii="微软雅黑" w:hAnsi="微软雅黑" w:cs="微软雅黑"/>
          <w:sz w:val="21"/>
          <w:szCs w:val="21"/>
        </w:rPr>
        <w:t>甚至总体生存期</w:t>
      </w:r>
      <w:r>
        <w:rPr>
          <w:rFonts w:hint="eastAsia" w:ascii="微软雅黑" w:hAnsi="微软雅黑" w:cs="微软雅黑"/>
          <w:sz w:val="21"/>
          <w:szCs w:val="21"/>
        </w:rPr>
        <w:t>（OS）</w:t>
      </w:r>
      <w:r>
        <w:rPr>
          <w:rFonts w:ascii="微软雅黑" w:hAnsi="微软雅黑" w:cs="微软雅黑"/>
          <w:sz w:val="21"/>
          <w:szCs w:val="21"/>
        </w:rPr>
        <w:t>。</w:t>
      </w:r>
      <w:r>
        <w:rPr>
          <w:rFonts w:hint="eastAsia" w:ascii="微软雅黑" w:hAnsi="微软雅黑" w:cs="微软雅黑"/>
          <w:sz w:val="21"/>
          <w:szCs w:val="21"/>
        </w:rPr>
        <w:t>值得注意的是，可能由于右半结直肠癌与左半结肠肿瘤的胚胎起源不同（图4），在一线转移瘤治疗中，右半结直肠癌使用EGFR单抗治疗获益较左半结肠癌差异显著</w:t>
      </w:r>
      <w:r>
        <w:rPr>
          <w:rFonts w:hint="eastAsia" w:ascii="微软雅黑" w:hAnsi="微软雅黑" w:cs="微软雅黑"/>
          <w:sz w:val="21"/>
          <w:szCs w:val="21"/>
          <w:vertAlign w:val="superscript"/>
        </w:rPr>
        <w:t>[51]</w:t>
      </w:r>
      <w:r>
        <w:rPr>
          <w:rFonts w:hint="eastAsia" w:ascii="微软雅黑" w:hAnsi="微软雅黑" w:cs="微软雅黑"/>
          <w:sz w:val="21"/>
          <w:szCs w:val="21"/>
        </w:rPr>
        <w:t>，并在多项随机研究合并分析中得到证实</w:t>
      </w:r>
      <w:r>
        <w:rPr>
          <w:rFonts w:hint="eastAsia" w:ascii="微软雅黑" w:hAnsi="微软雅黑" w:cs="微软雅黑"/>
          <w:sz w:val="21"/>
          <w:szCs w:val="21"/>
          <w:vertAlign w:val="superscript"/>
        </w:rPr>
        <w:t>[52]</w:t>
      </w:r>
      <w:r>
        <w:rPr>
          <w:rFonts w:hint="eastAsia" w:ascii="微软雅黑" w:hAnsi="微软雅黑" w:cs="微软雅黑"/>
          <w:sz w:val="21"/>
          <w:szCs w:val="21"/>
        </w:rPr>
        <w:t>。除了侧边性，结直肠癌接受EGFR单抗治疗前，还应该进行RAS和RAF (KRAS、NRAS和BRAF)突变检测</w:t>
      </w:r>
      <w:r>
        <w:rPr>
          <w:rFonts w:hint="eastAsia" w:ascii="微软雅黑" w:hAnsi="微软雅黑" w:cs="微软雅黑"/>
          <w:sz w:val="21"/>
          <w:szCs w:val="21"/>
          <w:vertAlign w:val="superscript"/>
        </w:rPr>
        <w:t>[53,54]</w:t>
      </w:r>
      <w:r>
        <w:rPr>
          <w:rFonts w:hint="eastAsia" w:ascii="微软雅黑" w:hAnsi="微软雅黑" w:cs="微软雅黑"/>
          <w:sz w:val="21"/>
          <w:szCs w:val="21"/>
        </w:rPr>
        <w:t>，携带KRAS、NRAS、BRAF</w:t>
      </w:r>
      <w:r>
        <w:rPr>
          <w:rFonts w:ascii="微软雅黑" w:hAnsi="微软雅黑" w:cs="微软雅黑"/>
          <w:sz w:val="21"/>
          <w:szCs w:val="21"/>
        </w:rPr>
        <w:t>激活突变</w:t>
      </w:r>
      <w:r>
        <w:rPr>
          <w:rFonts w:hint="eastAsia" w:ascii="微软雅黑" w:hAnsi="微软雅黑" w:cs="微软雅黑"/>
          <w:sz w:val="21"/>
          <w:szCs w:val="21"/>
        </w:rPr>
        <w:t>的肿瘤对西妥昔单抗、帕尼单抗无效</w:t>
      </w:r>
      <w:r>
        <w:rPr>
          <w:rFonts w:hint="eastAsia" w:ascii="微软雅黑" w:hAnsi="微软雅黑" w:cs="微软雅黑"/>
          <w:sz w:val="21"/>
          <w:szCs w:val="21"/>
          <w:vertAlign w:val="superscript"/>
        </w:rPr>
        <w:t>[55,56]</w:t>
      </w:r>
      <w:r>
        <w:rPr>
          <w:rFonts w:hint="eastAsia" w:ascii="微软雅黑" w:hAnsi="微软雅黑" w:cs="微软雅黑"/>
          <w:sz w:val="21"/>
          <w:szCs w:val="21"/>
        </w:rPr>
        <w:t>。</w:t>
      </w:r>
    </w:p>
    <w:p w14:paraId="4D9A884F">
      <w:pPr>
        <w:jc w:val="both"/>
        <w:rPr>
          <w:rFonts w:ascii="微软雅黑" w:hAnsi="微软雅黑" w:cs="微软雅黑"/>
          <w:sz w:val="21"/>
          <w:szCs w:val="21"/>
        </w:rPr>
      </w:pPr>
      <w:r>
        <w:rPr>
          <w:rFonts w:hint="eastAsia" w:ascii="微软雅黑" w:hAnsi="微软雅黑" w:cs="微软雅黑"/>
          <w:sz w:val="21"/>
          <w:szCs w:val="21"/>
        </w:rPr>
        <w:t>4.4.2抗血管生成抑制剂</w:t>
      </w:r>
    </w:p>
    <w:p w14:paraId="52A242BE">
      <w:pPr>
        <w:ind w:firstLine="420" w:firstLineChars="200"/>
        <w:jc w:val="both"/>
        <w:rPr>
          <w:rFonts w:ascii="微软雅黑" w:hAnsi="微软雅黑" w:cs="微软雅黑"/>
          <w:sz w:val="21"/>
          <w:szCs w:val="21"/>
        </w:rPr>
      </w:pPr>
      <w:r>
        <w:rPr>
          <w:rFonts w:hint="eastAsia" w:ascii="微软雅黑" w:hAnsi="微软雅黑" w:cs="微软雅黑"/>
          <w:sz w:val="21"/>
          <w:szCs w:val="21"/>
        </w:rPr>
        <w:t>肿瘤达到临界尺寸</w:t>
      </w:r>
      <w:r>
        <w:rPr>
          <w:rFonts w:hint="eastAsia" w:ascii="微软雅黑" w:hAnsi="微软雅黑" w:cs="微软雅黑"/>
          <w:sz w:val="21"/>
          <w:szCs w:val="21"/>
          <w:vertAlign w:val="superscript"/>
        </w:rPr>
        <w:t>[57]</w:t>
      </w:r>
      <w:r>
        <w:rPr>
          <w:rFonts w:hint="eastAsia" w:ascii="微软雅黑" w:hAnsi="微软雅黑" w:cs="微软雅黑"/>
          <w:sz w:val="21"/>
          <w:szCs w:val="21"/>
        </w:rPr>
        <w:t>就会建立自身血管网络，肿瘤血管生成的主要有效分泌糖蛋白VEGF-A能够与VEGFR-1和VEGFR-2结合。VEGF-A由许多肿瘤和基质细胞产生，可促进内皮细胞增殖、迁移并增加血管通透性。此外，VEGF是多种肿瘤细胞的生长因子，能够特异性作用于转移性结直肠癌，但作用机制尚未完全明确。目前尚无预测抗血管生成药物的生物标志物。</w:t>
      </w:r>
    </w:p>
    <w:p w14:paraId="3E0B2363">
      <w:pPr>
        <w:ind w:firstLine="420" w:firstLineChars="200"/>
        <w:jc w:val="both"/>
        <w:rPr>
          <w:rFonts w:ascii="微软雅黑" w:hAnsi="微软雅黑" w:cs="微软雅黑"/>
          <w:sz w:val="21"/>
          <w:szCs w:val="21"/>
        </w:rPr>
      </w:pPr>
      <w:r>
        <w:rPr>
          <w:rFonts w:hint="eastAsia" w:ascii="微软雅黑" w:hAnsi="微软雅黑" w:cs="微软雅黑"/>
          <w:sz w:val="21"/>
          <w:szCs w:val="21"/>
        </w:rPr>
        <w:t>贝伐珠单抗是一种针对血管生成的VEGF单克隆抗体，首个被批准用于转移性结直肠癌的生物制剂，也是少数在疾病进展后继续治疗仍可使患者获益的药物之一。贝伐珠单抗联合5-氟尿嘧啶与伊立替康联合贝伐珠单抗在III期临床试验中，与单纯化疗相比患者的中位生存期和总生存期（OS）显著改善。接受氟嘧啶和奥沙利铂联合治疗的患者中，加入贝伐珠单抗能够显著改善PFS。同时，与单纯化疗相比，贝伐珠单抗和5-氟尿嘧啶/奥沙利铂的组合也能够使难治性转移性结直肠癌患者中位PFS和OS明显延长</w:t>
      </w:r>
      <w:r>
        <w:rPr>
          <w:rFonts w:hint="eastAsia" w:ascii="微软雅黑" w:hAnsi="微软雅黑" w:cs="微软雅黑"/>
          <w:sz w:val="21"/>
          <w:szCs w:val="21"/>
          <w:vertAlign w:val="superscript"/>
        </w:rPr>
        <w:t>[58]</w:t>
      </w:r>
      <w:r>
        <w:rPr>
          <w:rFonts w:hint="eastAsia" w:ascii="微软雅黑" w:hAnsi="微软雅黑" w:cs="微软雅黑"/>
          <w:sz w:val="21"/>
          <w:szCs w:val="21"/>
        </w:rPr>
        <w:t>。</w:t>
      </w:r>
    </w:p>
    <w:p w14:paraId="456D57F8">
      <w:pPr>
        <w:ind w:firstLine="420" w:firstLineChars="200"/>
        <w:jc w:val="both"/>
        <w:rPr>
          <w:rFonts w:ascii="微软雅黑" w:hAnsi="微软雅黑" w:cs="微软雅黑"/>
          <w:sz w:val="21"/>
          <w:szCs w:val="21"/>
        </w:rPr>
      </w:pPr>
      <w:r>
        <w:rPr>
          <w:rFonts w:hint="eastAsia" w:ascii="微软雅黑" w:hAnsi="微软雅黑" w:cs="微软雅黑"/>
          <w:sz w:val="21"/>
          <w:szCs w:val="21"/>
        </w:rPr>
        <w:t>其它批准用于转移性结直肠癌患者的抗VEGF药物包括阿柏西普、雷莫西尤单抗和瑞戈非尼，以及呋喹替尼等国产药物。阿柏西普是一种重组融合蛋白，作为血管内皮生长因子（VEGF）的可溶性诱饵受体，作用于靶点VEGF-A、VEGF-B和胎盘生长因子（PIGF），比贝伐珠单抗具有更广泛的抗血管生成活性。当与FOLFIRI组合用于转移性疾病治疗的二线治疗时，阿柏西普可改善患者PFS和OS</w:t>
      </w:r>
      <w:r>
        <w:rPr>
          <w:rFonts w:hint="eastAsia" w:ascii="微软雅黑" w:hAnsi="微软雅黑" w:cs="微软雅黑"/>
          <w:sz w:val="21"/>
          <w:szCs w:val="21"/>
          <w:vertAlign w:val="superscript"/>
        </w:rPr>
        <w:t>[59]</w:t>
      </w:r>
      <w:r>
        <w:rPr>
          <w:rFonts w:hint="eastAsia" w:ascii="微软雅黑" w:hAnsi="微软雅黑" w:cs="微软雅黑"/>
          <w:sz w:val="21"/>
          <w:szCs w:val="21"/>
        </w:rPr>
        <w:t>。</w:t>
      </w:r>
    </w:p>
    <w:p w14:paraId="0FB0CDB5">
      <w:pPr>
        <w:jc w:val="both"/>
        <w:rPr>
          <w:rFonts w:ascii="微软雅黑" w:hAnsi="微软雅黑" w:cs="微软雅黑"/>
          <w:sz w:val="21"/>
          <w:szCs w:val="21"/>
        </w:rPr>
      </w:pPr>
      <w:r>
        <w:rPr>
          <w:rFonts w:hint="eastAsia" w:ascii="微软雅黑" w:hAnsi="微软雅黑" w:cs="微软雅黑"/>
          <w:sz w:val="21"/>
          <w:szCs w:val="21"/>
        </w:rPr>
        <w:t>4.4.3 染色体不稳定（CIN）及RAS基因突变</w:t>
      </w:r>
    </w:p>
    <w:p w14:paraId="19EC1CF3">
      <w:pPr>
        <w:jc w:val="both"/>
        <w:rPr>
          <w:rFonts w:ascii="微软雅黑" w:hAnsi="微软雅黑" w:cs="微软雅黑"/>
          <w:sz w:val="21"/>
          <w:szCs w:val="21"/>
        </w:rPr>
      </w:pPr>
      <w:r>
        <w:rPr>
          <w:rFonts w:hint="eastAsia" w:ascii="微软雅黑" w:hAnsi="微软雅黑" w:cs="微软雅黑"/>
          <w:sz w:val="21"/>
          <w:szCs w:val="21"/>
        </w:rPr>
        <w:t>4.4.3.1 染色体不稳定（CIN）</w:t>
      </w:r>
    </w:p>
    <w:p w14:paraId="3D3602EC">
      <w:pPr>
        <w:ind w:firstLine="420" w:firstLineChars="200"/>
        <w:jc w:val="both"/>
        <w:rPr>
          <w:rFonts w:ascii="微软雅黑" w:hAnsi="微软雅黑" w:cs="微软雅黑"/>
          <w:sz w:val="21"/>
          <w:szCs w:val="21"/>
        </w:rPr>
      </w:pPr>
      <w:r>
        <w:rPr>
          <w:rFonts w:hint="eastAsia" w:ascii="微软雅黑" w:hAnsi="微软雅黑" w:cs="微软雅黑"/>
          <w:sz w:val="21"/>
          <w:szCs w:val="21"/>
        </w:rPr>
        <w:t>CIN 指染色体的全部或大部分不断获得的增加或丢失，包括染色体非整倍体改变，部分染色体缺失、插入、倒置和扩增，导致细胞核型变异，是结直肠癌从正常黏膜上皮-腺瘤-腺癌的组织发生过程中癌基因突变激活和抑癌基因失活渐次改变的经典分子模型</w:t>
      </w:r>
      <w:r>
        <w:rPr>
          <w:rFonts w:hint="eastAsia" w:ascii="微软雅黑" w:hAnsi="微软雅黑" w:cs="微软雅黑"/>
          <w:sz w:val="21"/>
          <w:szCs w:val="21"/>
          <w:vertAlign w:val="superscript"/>
        </w:rPr>
        <w:t>[60]</w:t>
      </w:r>
      <w:r>
        <w:rPr>
          <w:rFonts w:hint="eastAsia" w:ascii="微软雅黑" w:hAnsi="微软雅黑" w:cs="微软雅黑"/>
          <w:sz w:val="21"/>
          <w:szCs w:val="21"/>
        </w:rPr>
        <w:t>，如图 7。涉及的基因变化有原癌基因KRAS、C-SRC、C-MYC的激活，以及至少3个抑癌基因的失活：结肠腺瘤性息肉病（adenomatous polyposis coli，APC）基因、TP53、18号染色质长臂的杂合性缺失（18qLOH）</w:t>
      </w:r>
      <w:r>
        <w:rPr>
          <w:rFonts w:hint="eastAsia" w:ascii="微软雅黑" w:hAnsi="微软雅黑" w:cs="微软雅黑"/>
          <w:sz w:val="21"/>
          <w:szCs w:val="21"/>
          <w:vertAlign w:val="superscript"/>
        </w:rPr>
        <w:t>[61]</w:t>
      </w:r>
      <w:r>
        <w:rPr>
          <w:rFonts w:hint="eastAsia" w:ascii="微软雅黑" w:hAnsi="微软雅黑" w:cs="微软雅黑"/>
          <w:sz w:val="21"/>
          <w:szCs w:val="21"/>
        </w:rPr>
        <w:t>。CIN是导致染色体数量（异倍体）的失衡、亚染色体基因的扩增以及杂合性缺失的高频出现的原因之一。</w:t>
      </w:r>
    </w:p>
    <w:p w14:paraId="51A6C323">
      <w:pPr>
        <w:jc w:val="center"/>
        <w:rPr>
          <w:rFonts w:ascii="微软雅黑" w:hAnsi="微软雅黑" w:cs="微软雅黑"/>
          <w:sz w:val="21"/>
          <w:szCs w:val="21"/>
        </w:rPr>
      </w:pPr>
      <w:r>
        <w:rPr>
          <w:rFonts w:hint="eastAsia" w:ascii="微软雅黑" w:hAnsi="微软雅黑" w:cs="微软雅黑"/>
          <w:sz w:val="21"/>
          <w:szCs w:val="21"/>
        </w:rPr>
        <w:drawing>
          <wp:inline distT="0" distB="0" distL="0" distR="0">
            <wp:extent cx="5164455" cy="2489835"/>
            <wp:effectExtent l="0" t="0" r="17145" b="5715"/>
            <wp:docPr id="1033" name="图片 48" descr="../Library/Containers/com.tencent.qq/Data/Library/Application%20Support/QQ/Users/823908067/QQ/Temp.db/05C1A0B5-D29D-44D7-8AE5-B12732649BF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 name="图片 48" descr="../Library/Containers/com.tencent.qq/Data/Library/Application%20Support/QQ/Users/823908067/QQ/Temp.db/05C1A0B5-D29D-44D7-8AE5-B12732649BFB.png"/>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a:xfrm>
                      <a:off x="0" y="0"/>
                      <a:ext cx="5164455" cy="2489835"/>
                    </a:xfrm>
                    <a:prstGeom prst="rect">
                      <a:avLst/>
                    </a:prstGeom>
                    <a:noFill/>
                    <a:ln>
                      <a:noFill/>
                    </a:ln>
                  </pic:spPr>
                </pic:pic>
              </a:graphicData>
            </a:graphic>
          </wp:inline>
        </w:drawing>
      </w:r>
    </w:p>
    <w:p w14:paraId="2E084CD8">
      <w:pPr>
        <w:ind w:firstLine="400" w:firstLineChars="200"/>
        <w:jc w:val="center"/>
        <w:rPr>
          <w:rFonts w:ascii="微软雅黑" w:hAnsi="微软雅黑" w:cs="微软雅黑"/>
          <w:sz w:val="21"/>
          <w:szCs w:val="21"/>
        </w:rPr>
      </w:pPr>
      <w:r>
        <w:rPr>
          <w:rFonts w:hint="eastAsia" w:ascii="微软雅黑" w:hAnsi="微软雅黑" w:cs="微软雅黑"/>
          <w:sz w:val="20"/>
          <w:szCs w:val="20"/>
        </w:rPr>
        <w:t>图7 正常黏膜上皮-腺瘤-腺癌途径</w:t>
      </w:r>
    </w:p>
    <w:p w14:paraId="65B4B601">
      <w:pPr>
        <w:ind w:firstLine="420" w:firstLineChars="200"/>
        <w:jc w:val="both"/>
        <w:rPr>
          <w:rFonts w:ascii="微软雅黑" w:hAnsi="微软雅黑" w:cs="微软雅黑"/>
          <w:sz w:val="21"/>
          <w:szCs w:val="21"/>
        </w:rPr>
      </w:pPr>
      <w:r>
        <w:rPr>
          <w:rFonts w:hint="eastAsia" w:ascii="微软雅黑" w:hAnsi="微软雅黑" w:cs="微软雅黑"/>
          <w:sz w:val="21"/>
          <w:szCs w:val="21"/>
        </w:rPr>
        <w:t>散发性结直肠癌变过程最早期的事件是APC基因的缺失。早于KRAS和TP53基因突变。APC基因被称为结直肠癌发生的“门卫基因”。可通过诱导凋亡发挥其“看门”作用，也参与细胞迁移、黏附、转录激活等进程。它的失活与家族性腺瘤性息肉病密切关联。APC通过负性调控转录因子β-连环蛋白参与Wnt信号通路，而Wnt信号通路是调控细胞增殖、分化的关键通路之一，在胚胎发育及肿瘤发生发展过程中起着重要作用。研究证实，APC基因上的多个突变，包括错义突变、移码突变和无义突变等，都会使其蛋白的表达量下降、不表达或截短，产生突变表型，使其无法与β-连环蛋白结合组成三聚体复合物“GSK-3β、APC、AXIN”。磷酸化降解时，β-连环蛋白被持续激活并大量蓄积在细胞核和细胞质中，导致Wnt信号通路功能紊乱、下游的靶基因如C-Myc、细胞周期蛋白D1（cyclinD1）和Wnt通路反馈调节因子等转录持续增加，引发细胞增殖失控</w:t>
      </w:r>
      <w:r>
        <w:rPr>
          <w:rFonts w:hint="eastAsia" w:ascii="微软雅黑" w:hAnsi="微软雅黑" w:cs="微软雅黑"/>
          <w:sz w:val="21"/>
          <w:szCs w:val="21"/>
          <w:vertAlign w:val="superscript"/>
        </w:rPr>
        <w:t>[87]</w:t>
      </w:r>
      <w:r>
        <w:rPr>
          <w:rFonts w:hint="eastAsia" w:ascii="微软雅黑" w:hAnsi="微软雅黑" w:cs="微软雅黑"/>
          <w:sz w:val="21"/>
          <w:szCs w:val="21"/>
        </w:rPr>
        <w:t>，进而参与了家族性及散发性结直肠癌的发生发展。约有80%的结直肠腺瘤和腺癌中存在APC基因失活突变。</w:t>
      </w:r>
    </w:p>
    <w:p w14:paraId="360B3328">
      <w:pPr>
        <w:jc w:val="both"/>
        <w:rPr>
          <w:rFonts w:ascii="微软雅黑" w:hAnsi="微软雅黑" w:cs="微软雅黑"/>
          <w:sz w:val="21"/>
          <w:szCs w:val="21"/>
        </w:rPr>
      </w:pPr>
      <w:r>
        <w:rPr>
          <w:rFonts w:hint="eastAsia" w:ascii="微软雅黑" w:hAnsi="微软雅黑" w:cs="微软雅黑"/>
          <w:sz w:val="21"/>
          <w:szCs w:val="21"/>
        </w:rPr>
        <w:t>4.4.3.2 RAS基因突变及相关治疗策略</w:t>
      </w:r>
    </w:p>
    <w:p w14:paraId="69766F58">
      <w:pPr>
        <w:ind w:firstLine="420" w:firstLineChars="200"/>
        <w:jc w:val="both"/>
        <w:rPr>
          <w:rFonts w:ascii="微软雅黑" w:hAnsi="微软雅黑" w:cs="微软雅黑"/>
          <w:sz w:val="21"/>
          <w:szCs w:val="21"/>
        </w:rPr>
      </w:pPr>
      <w:r>
        <w:rPr>
          <w:rFonts w:hint="eastAsia" w:ascii="微软雅黑" w:hAnsi="微软雅黑" w:cs="微软雅黑"/>
          <w:sz w:val="21"/>
          <w:szCs w:val="21"/>
        </w:rPr>
        <w:t>CIN的另一重要遗传路径就是KRAS基因突变。KRAS基因属于RAS家族3个亚群（KRAS、HRAS和 NRAS）之一，是这个家族中突变率最高的基因，肠癌突变频率为30%~50%</w:t>
      </w:r>
      <w:r>
        <w:rPr>
          <w:rFonts w:hint="eastAsia" w:ascii="微软雅黑" w:hAnsi="微软雅黑" w:cs="微软雅黑"/>
          <w:sz w:val="21"/>
          <w:szCs w:val="21"/>
          <w:vertAlign w:val="superscript"/>
        </w:rPr>
        <w:t>[62]</w:t>
      </w:r>
      <w:r>
        <w:rPr>
          <w:rFonts w:hint="eastAsia" w:ascii="微软雅黑" w:hAnsi="微软雅黑" w:cs="微软雅黑"/>
          <w:sz w:val="21"/>
          <w:szCs w:val="21"/>
        </w:rPr>
        <w:t>。 RAS蛋白是酪氨酸激酶受体下游效应器，通过不同途径调控细胞众多功能，在细胞分裂、分化、凋亡中起重要作用，突变使Ras GTPase组成型激活，活跃的Ras诱导胞内致癌信号通路增加。其中最有代表性的途径就是丝裂原激活蛋白激酶（MAPK）信号转导途径（Ras-Raf-MEK-ERK）。一旦KRAS基因突变激活，与GDP结合能力降低，GTP取代GDP与Ras结合后，通过Raf激酶磷酸化MAPK激酶（MAP2K），MAP2K再激活MAPK，进而转至细胞核内直接激活转录因子（如C-Myc）促进细胞无限制分裂、增殖。因此，KRAS突变激活是人类多种肿瘤细胞恶性转化的主要原因之一。</w:t>
      </w:r>
    </w:p>
    <w:p w14:paraId="5E68042A">
      <w:pPr>
        <w:ind w:firstLine="420" w:firstLineChars="200"/>
        <w:jc w:val="both"/>
        <w:rPr>
          <w:rFonts w:ascii="微软雅黑" w:hAnsi="微软雅黑" w:cs="微软雅黑"/>
          <w:sz w:val="21"/>
          <w:szCs w:val="21"/>
        </w:rPr>
      </w:pPr>
      <w:r>
        <w:rPr>
          <w:rFonts w:hint="eastAsia" w:ascii="微软雅黑" w:hAnsi="微软雅黑" w:cs="微软雅黑"/>
          <w:sz w:val="21"/>
          <w:szCs w:val="21"/>
        </w:rPr>
        <w:t>对于非MSI型mCRC患者，目前治疗以标准化疗联合或不联合靶向治疗为主。大约50%的CRC患者携带RAS突变，以12和13号密码子突变较为常见。其中，KRAS基因61和146号密码子突变以及NRAS基因12、13和61号密码子突变影响较小</w:t>
      </w:r>
      <w:r>
        <w:rPr>
          <w:rFonts w:hint="eastAsia" w:ascii="微软雅黑" w:hAnsi="微软雅黑" w:cs="微软雅黑"/>
          <w:sz w:val="21"/>
          <w:szCs w:val="21"/>
          <w:vertAlign w:val="superscript"/>
        </w:rPr>
        <w:t>[3]</w:t>
      </w:r>
      <w:r>
        <w:rPr>
          <w:rFonts w:hint="eastAsia" w:ascii="微软雅黑" w:hAnsi="微软雅黑" w:cs="微软雅黑"/>
          <w:sz w:val="21"/>
          <w:szCs w:val="21"/>
        </w:rPr>
        <w:t>。</w:t>
      </w:r>
    </w:p>
    <w:p w14:paraId="70C6C81A">
      <w:pPr>
        <w:ind w:firstLine="420" w:firstLineChars="200"/>
        <w:jc w:val="both"/>
        <w:rPr>
          <w:rFonts w:ascii="微软雅黑" w:hAnsi="微软雅黑" w:cs="微软雅黑"/>
          <w:sz w:val="21"/>
          <w:szCs w:val="21"/>
        </w:rPr>
      </w:pPr>
      <w:r>
        <w:rPr>
          <w:rFonts w:hint="eastAsia" w:ascii="微软雅黑" w:hAnsi="微软雅黑" w:cs="微软雅黑"/>
          <w:sz w:val="21"/>
          <w:szCs w:val="21"/>
        </w:rPr>
        <w:t>结直肠癌NCCN指南指出，每一位患者都需进行RAS基因检测，包括KRAS外显子2、3、4及NRAS外显子2、3、4。临床试验表明，RAS野生型患者在标准化疗基础上联合西妥昔单抗或帕尼单抗可延长生存期</w:t>
      </w:r>
      <w:r>
        <w:rPr>
          <w:rFonts w:hint="eastAsia" w:ascii="微软雅黑" w:hAnsi="微软雅黑" w:cs="微软雅黑"/>
          <w:sz w:val="21"/>
          <w:szCs w:val="21"/>
          <w:vertAlign w:val="superscript"/>
        </w:rPr>
        <w:t>[63]</w:t>
      </w:r>
      <w:r>
        <w:rPr>
          <w:rFonts w:hint="eastAsia" w:ascii="微软雅黑" w:hAnsi="微软雅黑" w:cs="微软雅黑"/>
          <w:sz w:val="21"/>
          <w:szCs w:val="21"/>
        </w:rPr>
        <w:t>。因此，RAS野生型患者可采用化疗联合西妥昔单抗或帕尼单抗进行治疗。而RAS基因突变是EGFR单抗的负性疗效预测指标</w:t>
      </w:r>
      <w:r>
        <w:rPr>
          <w:rFonts w:hint="eastAsia" w:ascii="微软雅黑" w:hAnsi="微软雅黑" w:cs="微软雅黑"/>
          <w:sz w:val="21"/>
          <w:szCs w:val="21"/>
          <w:vertAlign w:val="superscript"/>
        </w:rPr>
        <w:t>[63]</w:t>
      </w:r>
      <w:r>
        <w:rPr>
          <w:rFonts w:hint="eastAsia" w:ascii="微软雅黑" w:hAnsi="微软雅黑" w:cs="微软雅黑"/>
          <w:sz w:val="21"/>
          <w:szCs w:val="21"/>
        </w:rPr>
        <w:t>，即存在RAS突变的肠癌患者不能从EGFR靶点的靶向治疗中受益，不论是EGFR的单抗西妥昔单抗、帕尼单抗，还是厄洛替尼、吉非替尼等小分子酪氨酸酶抑制剂。针对RAS基因突变，目前FDA尚未批准相应靶向治疗药物，但有临床试验新药在研，临床试验疗效较好的主要是KRAS G12C小分子抑制剂索托拉西布（AMG510）、Adagrasib（MRTX849）和VS-6766。</w:t>
      </w:r>
    </w:p>
    <w:p w14:paraId="2D8E3E51">
      <w:pPr>
        <w:ind w:firstLine="420" w:firstLineChars="200"/>
        <w:jc w:val="both"/>
        <w:rPr>
          <w:rFonts w:ascii="微软雅黑" w:hAnsi="微软雅黑" w:cs="微软雅黑"/>
          <w:sz w:val="21"/>
          <w:szCs w:val="21"/>
        </w:rPr>
      </w:pPr>
      <w:r>
        <w:rPr>
          <w:rFonts w:hint="eastAsia" w:ascii="微软雅黑" w:hAnsi="微软雅黑" w:cs="微软雅黑"/>
          <w:sz w:val="21"/>
          <w:szCs w:val="21"/>
        </w:rPr>
        <w:t>索托拉西布能够激发肿瘤微环境中的促炎症反应、提高T细胞活化程度并对肿瘤抗原进行识别，从而产生长期促进抗肿瘤T细胞反应，同时，PD-1免疫检查点抑制剂与索托拉西布抗癌机制互补。I期研究的结果显示，索托拉西布治疗KRAS突变的非小细胞肺癌（NSCLC）患者的总客观缓解率（ORR）为48%，疾病控制率（DCR）为96%，在13名接受剂量为960 mg 索托拉西布的NSCLC患者中，ORR为54%，DCR为100%，同时，AMG510在KRAS突变结直肠癌患者的DCR达到79%</w:t>
      </w:r>
      <w:r>
        <w:rPr>
          <w:rFonts w:hint="eastAsia" w:ascii="微软雅黑" w:hAnsi="微软雅黑" w:cs="微软雅黑"/>
          <w:sz w:val="21"/>
          <w:szCs w:val="21"/>
          <w:vertAlign w:val="superscript"/>
        </w:rPr>
        <w:t>[88]</w:t>
      </w:r>
      <w:r>
        <w:rPr>
          <w:rFonts w:hint="eastAsia" w:ascii="微软雅黑" w:hAnsi="微软雅黑" w:cs="微软雅黑"/>
          <w:sz w:val="21"/>
          <w:szCs w:val="21"/>
        </w:rPr>
        <w:t>。索托拉西布分别获得FDA批准治疗非小细胞肺癌（NSCLC）和结直肠癌（CRC）的孤儿药资格。今年3月9日，CDE（国家药监局）官网更新索托拉西布将在不久后开始招募国内晚期肿瘤患者（JXHL2000044）。</w:t>
      </w:r>
    </w:p>
    <w:p w14:paraId="5FDD9D4E">
      <w:pPr>
        <w:ind w:firstLine="420" w:firstLineChars="200"/>
        <w:jc w:val="both"/>
        <w:rPr>
          <w:rFonts w:ascii="微软雅黑" w:hAnsi="微软雅黑" w:cs="微软雅黑"/>
          <w:sz w:val="21"/>
          <w:szCs w:val="21"/>
        </w:rPr>
      </w:pPr>
      <w:r>
        <w:rPr>
          <w:rFonts w:hint="eastAsia" w:ascii="微软雅黑" w:hAnsi="微软雅黑" w:cs="微软雅黑"/>
          <w:sz w:val="21"/>
          <w:szCs w:val="21"/>
        </w:rPr>
        <w:t>临床前研究中，Adagrasib在阻断 KRAS 依赖性信号转导和癌细胞活力方面具有很高的效力。Adagrasib研发公司Mirati官网数据中，Ⅰ/Ⅰb期临床试验和Ⅱ期临床试验数据显示，Adagrasib单药治疗确认客观缓解率达到45%（23/51），且96%（49/51）的患者能够从Adagrasib单药治疗中获益，在确认获得缓解的患者中，70%（16/23）患者的肿瘤与基线相比缩小40%以上。</w:t>
      </w:r>
    </w:p>
    <w:p w14:paraId="73523253">
      <w:pPr>
        <w:ind w:firstLine="420" w:firstLineChars="200"/>
        <w:jc w:val="both"/>
        <w:rPr>
          <w:rFonts w:ascii="微软雅黑" w:hAnsi="微软雅黑" w:cs="微软雅黑"/>
          <w:sz w:val="21"/>
          <w:szCs w:val="21"/>
        </w:rPr>
      </w:pPr>
      <w:r>
        <w:rPr>
          <w:rFonts w:hint="eastAsia" w:ascii="微软雅黑" w:hAnsi="微软雅黑" w:cs="微软雅黑"/>
          <w:sz w:val="21"/>
          <w:szCs w:val="21"/>
        </w:rPr>
        <w:t>在临床前试验中，VS-6766和Defactinib联用可更全面地抑制RAS和RAF突变肿瘤细胞，在AACR 2020年会上公布了VS-6766和FAK抑制剂Defactinib联用治疗RAS突变的实体瘤患者的I期临床试验结果，研究中10例KRAS突变非小细胞肺癌患者中有7例患者肿瘤缩小，其中1例G12V突变患者肿瘤缩小超过30%。</w:t>
      </w:r>
    </w:p>
    <w:p w14:paraId="2AA6E1AE">
      <w:pPr>
        <w:ind w:firstLine="420" w:firstLineChars="200"/>
        <w:jc w:val="both"/>
        <w:rPr>
          <w:rFonts w:ascii="微软雅黑" w:hAnsi="微软雅黑" w:cs="微软雅黑"/>
          <w:sz w:val="21"/>
          <w:szCs w:val="21"/>
        </w:rPr>
      </w:pPr>
      <w:r>
        <w:rPr>
          <w:rFonts w:hint="eastAsia" w:ascii="微软雅黑" w:hAnsi="微软雅黑" w:cs="微软雅黑"/>
          <w:sz w:val="21"/>
          <w:szCs w:val="21"/>
        </w:rPr>
        <w:t>此外，也有相关研究发现K药单药或联合化疗、FAK抑制剂Defactinib单药、MEK抑制剂曲美替尼单药或联合化疗治疗KRAS突变有一定疗效。越来越多的KRAS抑制剂浮出水面，RAS基因突变患者病情得以缓解，期待后续报道为患者带来福音。</w:t>
      </w:r>
    </w:p>
    <w:p w14:paraId="69B28A9C">
      <w:pPr>
        <w:jc w:val="both"/>
        <w:rPr>
          <w:rFonts w:ascii="微软雅黑" w:hAnsi="微软雅黑" w:cs="微软雅黑"/>
          <w:sz w:val="21"/>
          <w:szCs w:val="21"/>
        </w:rPr>
      </w:pPr>
      <w:r>
        <w:rPr>
          <w:rFonts w:hint="eastAsia" w:ascii="微软雅黑" w:hAnsi="微软雅黑" w:cs="微软雅黑"/>
          <w:sz w:val="21"/>
          <w:szCs w:val="21"/>
        </w:rPr>
        <w:t>4.4.4 靶向药及相关基因</w:t>
      </w:r>
    </w:p>
    <w:p w14:paraId="59F89A05">
      <w:pPr>
        <w:jc w:val="both"/>
        <w:rPr>
          <w:rFonts w:ascii="微软雅黑" w:hAnsi="微软雅黑" w:cs="微软雅黑"/>
          <w:sz w:val="21"/>
          <w:szCs w:val="21"/>
        </w:rPr>
      </w:pPr>
      <w:bookmarkStart w:id="205" w:name="OLE_LINK6"/>
      <w:r>
        <w:rPr>
          <w:rFonts w:hint="eastAsia" w:ascii="微软雅黑" w:hAnsi="微软雅黑" w:cs="微软雅黑"/>
          <w:sz w:val="21"/>
          <w:szCs w:val="21"/>
        </w:rPr>
        <w:t>4.4.4</w:t>
      </w:r>
      <w:bookmarkEnd w:id="205"/>
      <w:r>
        <w:rPr>
          <w:rFonts w:hint="eastAsia" w:ascii="微软雅黑" w:hAnsi="微软雅黑" w:cs="微软雅黑"/>
          <w:sz w:val="21"/>
          <w:szCs w:val="21"/>
        </w:rPr>
        <w:t>.1 BRAF V600E突变型及相关治疗</w:t>
      </w:r>
    </w:p>
    <w:p w14:paraId="55233E82">
      <w:pPr>
        <w:ind w:firstLine="420" w:firstLineChars="200"/>
        <w:jc w:val="both"/>
        <w:rPr>
          <w:rFonts w:ascii="微软雅黑" w:hAnsi="微软雅黑" w:cs="微软雅黑"/>
          <w:sz w:val="21"/>
          <w:szCs w:val="21"/>
        </w:rPr>
      </w:pPr>
      <w:r>
        <w:rPr>
          <w:rFonts w:hint="eastAsia" w:ascii="微软雅黑" w:hAnsi="微软雅黑" w:cs="微软雅黑"/>
          <w:sz w:val="21"/>
          <w:szCs w:val="21"/>
        </w:rPr>
        <w:t>在mCRC中，BRAF突变率为5%~10%</w:t>
      </w:r>
      <w:r>
        <w:rPr>
          <w:rFonts w:hint="eastAsia" w:ascii="微软雅黑" w:hAnsi="微软雅黑" w:cs="微软雅黑"/>
          <w:sz w:val="21"/>
          <w:szCs w:val="21"/>
          <w:vertAlign w:val="superscript"/>
        </w:rPr>
        <w:t>[64]</w:t>
      </w:r>
      <w:r>
        <w:rPr>
          <w:rFonts w:hint="eastAsia" w:ascii="微软雅黑" w:hAnsi="微软雅黑" w:cs="微软雅黑"/>
          <w:sz w:val="21"/>
          <w:szCs w:val="21"/>
        </w:rPr>
        <w:t>。最常见突变位点是位于第15号外显子第1799位核苷酸上（T突变为A），导致其编码的缬氨酸被谷氨酸替代（V600E），该突变可致MAPK信号通路持续激活</w:t>
      </w:r>
      <w:r>
        <w:rPr>
          <w:rFonts w:hint="eastAsia" w:ascii="微软雅黑" w:hAnsi="微软雅黑" w:cs="微软雅黑"/>
          <w:sz w:val="21"/>
          <w:szCs w:val="21"/>
          <w:vertAlign w:val="superscript"/>
        </w:rPr>
        <w:t>[65]</w:t>
      </w:r>
      <w:r>
        <w:rPr>
          <w:rFonts w:hint="eastAsia" w:ascii="微软雅黑" w:hAnsi="微软雅黑" w:cs="微软雅黑"/>
          <w:sz w:val="21"/>
          <w:szCs w:val="21"/>
        </w:rPr>
        <w:t>。具有BRAF V600E突变的肿瘤患者往往预示着较差的预后。目前针对BRAF V600E的黑色素瘤药物已经获批，但在BRAF V600E突变型黑色素瘤患者显著获益的单药达拉非尼（Dabrafenib）或维莫非尼（Vemurafenib）却未在mCRC治疗中取得成功。《专家共识》推荐，对于BRAF V600E突变患者，如果一般状况较好，可考虑FOLFOXIRI±贝伐珠单抗的一线治疗。同时，目前很多临床试验将目光着眼于BRAF V600E抑制剂三联法，如BRAF、MEK和EGFR抑制剂的三联疗法以及BRAF、EGFR抑制剂和伊立替康的三联疗法，用以寻找治疗的新方案。目前，康奈非尼与西妥昔单抗或帕尼单抗联合方案治疗BRAF V600E突变阳性患者已写入结直肠癌NCCN指南。</w:t>
      </w:r>
    </w:p>
    <w:p w14:paraId="1626571E">
      <w:pPr>
        <w:jc w:val="both"/>
        <w:rPr>
          <w:rFonts w:ascii="微软雅黑" w:hAnsi="微软雅黑" w:cs="微软雅黑"/>
          <w:sz w:val="21"/>
          <w:szCs w:val="21"/>
        </w:rPr>
      </w:pPr>
      <w:r>
        <w:rPr>
          <w:rFonts w:hint="eastAsia" w:ascii="微软雅黑" w:hAnsi="微软雅黑" w:cs="微软雅黑"/>
          <w:sz w:val="21"/>
          <w:szCs w:val="21"/>
        </w:rPr>
        <w:t>4.4.4.2 HER2突变型及相关治疗</w:t>
      </w:r>
    </w:p>
    <w:p w14:paraId="4D0F413E">
      <w:pPr>
        <w:ind w:firstLine="420" w:firstLineChars="200"/>
        <w:jc w:val="both"/>
        <w:rPr>
          <w:rFonts w:ascii="微软雅黑" w:hAnsi="微软雅黑" w:cs="微软雅黑"/>
          <w:sz w:val="21"/>
          <w:szCs w:val="21"/>
        </w:rPr>
      </w:pPr>
      <w:r>
        <w:rPr>
          <w:rFonts w:hint="eastAsia" w:ascii="微软雅黑" w:hAnsi="微软雅黑" w:cs="微软雅黑"/>
          <w:sz w:val="21"/>
          <w:szCs w:val="21"/>
        </w:rPr>
        <w:t>约2%-11%的mCRC中存在HER2扩增，且在左半结肠癌和直肠癌中较为常见，也是EGFR单克隆抗体耐药的原因之一</w:t>
      </w:r>
      <w:r>
        <w:rPr>
          <w:rFonts w:hint="eastAsia" w:ascii="微软雅黑" w:hAnsi="微软雅黑" w:cs="微软雅黑"/>
          <w:sz w:val="21"/>
          <w:szCs w:val="21"/>
          <w:vertAlign w:val="superscript"/>
        </w:rPr>
        <w:t>[66]</w:t>
      </w:r>
      <w:r>
        <w:rPr>
          <w:rFonts w:hint="eastAsia" w:ascii="微软雅黑" w:hAnsi="微软雅黑" w:cs="微软雅黑"/>
          <w:sz w:val="21"/>
          <w:szCs w:val="21"/>
        </w:rPr>
        <w:t>。HERACLES Ⅱ期研究评估了曲妥珠单抗和拉帕替尼在27例HER2阳性/KRAS基因2号外显子野生型mCRC患者中的疗效，这些患者在包括西妥昔单抗在内的其它治疗中都取得了进展，其ORR为30%</w:t>
      </w:r>
      <w:r>
        <w:rPr>
          <w:rFonts w:hint="eastAsia" w:ascii="微软雅黑" w:hAnsi="微软雅黑" w:cs="微软雅黑"/>
          <w:sz w:val="21"/>
          <w:szCs w:val="21"/>
          <w:vertAlign w:val="superscript"/>
        </w:rPr>
        <w:t>[67]</w:t>
      </w:r>
      <w:r>
        <w:rPr>
          <w:rFonts w:hint="eastAsia" w:ascii="微软雅黑" w:hAnsi="微软雅黑" w:cs="微软雅黑"/>
          <w:sz w:val="21"/>
          <w:szCs w:val="21"/>
        </w:rPr>
        <w:t>。MyPathway Ⅱ期篮子试验结果显示，57名可评估患者中，1名患者具有完全的客观缓解，17名患者部分缓解，ORR为32％（95％CI 20-45）</w:t>
      </w:r>
      <w:r>
        <w:rPr>
          <w:rFonts w:hint="eastAsia" w:ascii="微软雅黑" w:hAnsi="微软雅黑" w:cs="微软雅黑"/>
          <w:sz w:val="21"/>
          <w:szCs w:val="21"/>
          <w:vertAlign w:val="superscript"/>
        </w:rPr>
        <w:t>[68]</w:t>
      </w:r>
      <w:r>
        <w:rPr>
          <w:rFonts w:hint="eastAsia" w:ascii="微软雅黑" w:hAnsi="微软雅黑" w:cs="微软雅黑"/>
          <w:sz w:val="21"/>
          <w:szCs w:val="21"/>
        </w:rPr>
        <w:t>。结直肠癌NCCN指南推荐HER2扩增阳性且RAS、BRAF野生型患者使用曲妥珠单抗联合帕妥珠单抗或拉帕替尼进行治疗。</w:t>
      </w:r>
    </w:p>
    <w:p w14:paraId="5BAA16BE">
      <w:pPr>
        <w:jc w:val="both"/>
        <w:rPr>
          <w:rFonts w:ascii="微软雅黑" w:hAnsi="微软雅黑" w:cs="微软雅黑"/>
          <w:sz w:val="21"/>
          <w:szCs w:val="21"/>
        </w:rPr>
      </w:pPr>
      <w:r>
        <w:rPr>
          <w:rFonts w:hint="eastAsia" w:ascii="微软雅黑" w:hAnsi="微软雅黑" w:cs="微软雅黑"/>
          <w:sz w:val="21"/>
          <w:szCs w:val="21"/>
        </w:rPr>
        <w:t>4.4.4.3 其它信号通路及相应创新药物</w:t>
      </w:r>
    </w:p>
    <w:p w14:paraId="29579E8F">
      <w:pPr>
        <w:ind w:firstLine="420" w:firstLineChars="200"/>
        <w:jc w:val="both"/>
        <w:rPr>
          <w:rFonts w:ascii="微软雅黑" w:hAnsi="微软雅黑" w:cs="微软雅黑"/>
          <w:sz w:val="21"/>
          <w:szCs w:val="21"/>
        </w:rPr>
      </w:pPr>
      <w:r>
        <w:rPr>
          <w:rFonts w:hint="eastAsia" w:ascii="微软雅黑" w:hAnsi="微软雅黑" w:cs="微软雅黑"/>
          <w:sz w:val="21"/>
          <w:szCs w:val="21"/>
        </w:rPr>
        <w:t>随着二代测序及肿瘤精准医学研究的不断深入，癌症基因组图谱和其它基因组计划在结直肠癌中发现了新的潜在分子靶标和标志物（图8），包括Wnt信号通路、转化生长因子（TGF）-β信号通路以及表皮生长因子（EGF）受体信号通路等。希望可以在未来用于指导针对不同亚组患者进行治疗。</w:t>
      </w:r>
    </w:p>
    <w:p w14:paraId="5F051743">
      <w:pPr>
        <w:jc w:val="center"/>
        <w:rPr>
          <w:rFonts w:ascii="微软雅黑" w:hAnsi="微软雅黑" w:cs="微软雅黑"/>
          <w:sz w:val="21"/>
          <w:szCs w:val="21"/>
        </w:rPr>
      </w:pPr>
      <w:r>
        <w:rPr>
          <w:rFonts w:hint="eastAsia" w:ascii="微软雅黑" w:hAnsi="微软雅黑" w:cs="微软雅黑"/>
          <w:sz w:val="21"/>
          <w:szCs w:val="21"/>
        </w:rPr>
        <w:drawing>
          <wp:inline distT="0" distB="0" distL="114300" distR="114300">
            <wp:extent cx="5153660" cy="4201795"/>
            <wp:effectExtent l="0" t="0" r="8890" b="8255"/>
            <wp:docPr id="103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 name="图片 2"/>
                    <pic:cNvPicPr>
                      <a:picLocks noChangeAspect="1"/>
                    </pic:cNvPicPr>
                  </pic:nvPicPr>
                  <pic:blipFill>
                    <a:blip r:embed="rId35"/>
                    <a:stretch>
                      <a:fillRect/>
                    </a:stretch>
                  </pic:blipFill>
                  <pic:spPr>
                    <a:xfrm>
                      <a:off x="0" y="0"/>
                      <a:ext cx="5153660" cy="4201795"/>
                    </a:xfrm>
                    <a:prstGeom prst="rect">
                      <a:avLst/>
                    </a:prstGeom>
                    <a:noFill/>
                    <a:ln>
                      <a:noFill/>
                    </a:ln>
                  </pic:spPr>
                </pic:pic>
              </a:graphicData>
            </a:graphic>
          </wp:inline>
        </w:drawing>
      </w:r>
    </w:p>
    <w:p w14:paraId="56FF8537">
      <w:pPr>
        <w:ind w:firstLine="400" w:firstLineChars="200"/>
        <w:jc w:val="center"/>
        <w:rPr>
          <w:rFonts w:ascii="微软雅黑" w:hAnsi="微软雅黑" w:cs="微软雅黑"/>
          <w:sz w:val="20"/>
          <w:szCs w:val="20"/>
        </w:rPr>
      </w:pPr>
      <w:r>
        <w:rPr>
          <w:rFonts w:hint="eastAsia" w:ascii="微软雅黑" w:hAnsi="微软雅黑" w:cs="微软雅黑"/>
          <w:sz w:val="20"/>
          <w:szCs w:val="20"/>
        </w:rPr>
        <w:t>图8 结肠直肠癌的新药靶点和候选药物</w:t>
      </w:r>
      <w:r>
        <w:rPr>
          <w:rFonts w:hint="eastAsia" w:ascii="微软雅黑" w:hAnsi="微软雅黑" w:cs="微软雅黑"/>
          <w:sz w:val="20"/>
          <w:szCs w:val="20"/>
          <w:vertAlign w:val="superscript"/>
        </w:rPr>
        <w:t>[3]</w:t>
      </w:r>
    </w:p>
    <w:p w14:paraId="02F0DEB4">
      <w:pPr>
        <w:jc w:val="both"/>
        <w:rPr>
          <w:rFonts w:ascii="微软雅黑" w:hAnsi="微软雅黑" w:cs="微软雅黑"/>
          <w:sz w:val="21"/>
          <w:szCs w:val="21"/>
        </w:rPr>
      </w:pPr>
      <w:r>
        <w:rPr>
          <w:rFonts w:hint="eastAsia" w:ascii="微软雅黑" w:hAnsi="微软雅黑" w:cs="微软雅黑"/>
          <w:sz w:val="21"/>
          <w:szCs w:val="21"/>
        </w:rPr>
        <w:t>4.4.5  免疫检查点抑制剂</w:t>
      </w:r>
    </w:p>
    <w:p w14:paraId="3512A4D5">
      <w:pPr>
        <w:jc w:val="both"/>
        <w:rPr>
          <w:rFonts w:ascii="微软雅黑" w:hAnsi="微软雅黑" w:cs="微软雅黑"/>
          <w:sz w:val="21"/>
          <w:szCs w:val="21"/>
        </w:rPr>
      </w:pPr>
      <w:r>
        <w:rPr>
          <w:rFonts w:hint="eastAsia" w:ascii="微软雅黑" w:hAnsi="微软雅黑" w:cs="微软雅黑"/>
          <w:sz w:val="21"/>
          <w:szCs w:val="21"/>
        </w:rPr>
        <w:t>4.4.5.1 DNA错配修复缺陷（dMMR）与微卫星不稳定（MSI）</w:t>
      </w:r>
    </w:p>
    <w:p w14:paraId="31AFB470">
      <w:pPr>
        <w:ind w:firstLine="420" w:firstLineChars="200"/>
        <w:jc w:val="both"/>
        <w:rPr>
          <w:rFonts w:ascii="微软雅黑" w:hAnsi="微软雅黑" w:cs="微软雅黑"/>
          <w:sz w:val="21"/>
          <w:szCs w:val="21"/>
        </w:rPr>
      </w:pPr>
      <w:r>
        <w:rPr>
          <w:rFonts w:hint="eastAsia" w:ascii="微软雅黑" w:hAnsi="微软雅黑" w:cs="微软雅黑"/>
          <w:sz w:val="21"/>
          <w:szCs w:val="21"/>
        </w:rPr>
        <w:t>错配修复基因表达缺失可以引起微卫星不稳定，dMMR或MSI约占全部肿瘤的4%。微卫星是指DNA中核苷酸的短重复序列，广泛分布于整个DNA序列中，在DNA复制过程中易发生错误。在正常细胞中，这类复制错误可由错配修复（mismatch repair，MMR）基因（MLH1、MSH2、MSH6、PMS2）编码的MMR蛋白来修复。肿瘤细胞由于MMR系统功能缺失，导致MSI的出现</w:t>
      </w:r>
      <w:r>
        <w:rPr>
          <w:rFonts w:hint="eastAsia" w:ascii="微软雅黑" w:hAnsi="微软雅黑" w:cs="微软雅黑"/>
          <w:sz w:val="21"/>
          <w:szCs w:val="21"/>
          <w:vertAlign w:val="superscript"/>
        </w:rPr>
        <w:t>[69]</w:t>
      </w:r>
      <w:r>
        <w:rPr>
          <w:rFonts w:hint="eastAsia" w:ascii="微软雅黑" w:hAnsi="微软雅黑" w:cs="微软雅黑"/>
          <w:sz w:val="21"/>
          <w:szCs w:val="21"/>
        </w:rPr>
        <w:t>。此外，微卫星不稳定可导致多种抑癌基因如转化因子β受体2（TGFBR2）和BAX的失活以及BRAF等重要原癌基因活化，从而促进结直肠癌的发生</w:t>
      </w:r>
      <w:r>
        <w:rPr>
          <w:rFonts w:hint="eastAsia" w:ascii="微软雅黑" w:hAnsi="微软雅黑" w:cs="微软雅黑"/>
          <w:sz w:val="21"/>
          <w:szCs w:val="21"/>
          <w:vertAlign w:val="superscript"/>
        </w:rPr>
        <w:t>[70]</w:t>
      </w:r>
      <w:r>
        <w:rPr>
          <w:rFonts w:hint="eastAsia" w:ascii="微软雅黑" w:hAnsi="微软雅黑" w:cs="微软雅黑"/>
          <w:sz w:val="21"/>
          <w:szCs w:val="21"/>
        </w:rPr>
        <w:t>，如图9 。</w:t>
      </w:r>
    </w:p>
    <w:p w14:paraId="57BD1449">
      <w:pPr>
        <w:jc w:val="both"/>
        <w:rPr>
          <w:rFonts w:ascii="微软雅黑" w:hAnsi="微软雅黑" w:cs="微软雅黑"/>
          <w:sz w:val="21"/>
          <w:szCs w:val="21"/>
        </w:rPr>
      </w:pPr>
      <w:r>
        <w:rPr>
          <w:rFonts w:hint="eastAsia" w:ascii="微软雅黑" w:hAnsi="微软雅黑" w:cs="微软雅黑"/>
          <w:sz w:val="21"/>
          <w:szCs w:val="21"/>
        </w:rPr>
        <w:drawing>
          <wp:inline distT="0" distB="0" distL="0" distR="0">
            <wp:extent cx="5221605" cy="2280285"/>
            <wp:effectExtent l="0" t="0" r="17145" b="5715"/>
            <wp:docPr id="103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 name="图片 10"/>
                    <pic:cNvPicPr>
                      <a:picLocks noChangeAspect="1"/>
                    </pic:cNvPicPr>
                  </pic:nvPicPr>
                  <pic:blipFill>
                    <a:blip r:embed="rId36" cstate="print"/>
                    <a:stretch>
                      <a:fillRect/>
                    </a:stretch>
                  </pic:blipFill>
                  <pic:spPr>
                    <a:xfrm>
                      <a:off x="0" y="0"/>
                      <a:ext cx="5221605" cy="2280285"/>
                    </a:xfrm>
                    <a:prstGeom prst="rect">
                      <a:avLst/>
                    </a:prstGeom>
                  </pic:spPr>
                </pic:pic>
              </a:graphicData>
            </a:graphic>
          </wp:inline>
        </w:drawing>
      </w:r>
    </w:p>
    <w:p w14:paraId="6F9CD058">
      <w:pPr>
        <w:ind w:firstLine="400" w:firstLineChars="200"/>
        <w:jc w:val="center"/>
        <w:rPr>
          <w:rFonts w:ascii="微软雅黑" w:hAnsi="微软雅黑" w:cs="微软雅黑"/>
          <w:sz w:val="20"/>
          <w:szCs w:val="20"/>
        </w:rPr>
      </w:pPr>
      <w:r>
        <w:rPr>
          <w:rFonts w:hint="eastAsia" w:ascii="微软雅黑" w:hAnsi="微软雅黑" w:cs="微软雅黑"/>
          <w:sz w:val="20"/>
          <w:szCs w:val="20"/>
        </w:rPr>
        <w:t>图9 锯齿状息肉癌变途径</w:t>
      </w:r>
    </w:p>
    <w:p w14:paraId="2DD81B37">
      <w:pPr>
        <w:ind w:firstLine="420" w:firstLineChars="200"/>
        <w:jc w:val="both"/>
        <w:rPr>
          <w:rFonts w:ascii="微软雅黑" w:hAnsi="微软雅黑" w:cs="微软雅黑"/>
          <w:sz w:val="21"/>
          <w:szCs w:val="21"/>
        </w:rPr>
      </w:pPr>
      <w:r>
        <w:rPr>
          <w:rFonts w:hint="eastAsia" w:ascii="微软雅黑" w:hAnsi="微软雅黑" w:cs="微软雅黑"/>
          <w:sz w:val="21"/>
          <w:szCs w:val="21"/>
        </w:rPr>
        <w:t>大约90%的Lynch综合征分子表型为MSI，主要由MMR基因种系突变引起，其中 MSH1和MLH2基因突变占所有MMR基因突变的90%</w:t>
      </w:r>
      <w:r>
        <w:rPr>
          <w:rFonts w:hint="eastAsia" w:ascii="微软雅黑" w:hAnsi="微软雅黑" w:cs="微软雅黑"/>
          <w:sz w:val="21"/>
          <w:szCs w:val="21"/>
          <w:vertAlign w:val="superscript"/>
        </w:rPr>
        <w:t>[71]</w:t>
      </w:r>
      <w:r>
        <w:rPr>
          <w:rFonts w:hint="eastAsia" w:ascii="微软雅黑" w:hAnsi="微软雅黑" w:cs="微软雅黑"/>
          <w:sz w:val="21"/>
          <w:szCs w:val="21"/>
        </w:rPr>
        <w:t>，携带有MMR基因突变的个体一生中罹患结直肠癌的风险达到30%-70%。据此，《遗传性结直肠癌临床诊治和家系管理中国专家共识》推荐对于有条件的医疗单位，可对所有结直肠癌患者肿瘤组织的4个MMR蛋白进行免疫组织化学或微卫星不稳定（MSI）检测来进行初筛。且对于经免疫组织化学检测确定的dMMR患者，建议进一步检测蛋白表达缺失基因的胚系突变；对于经MSI方法确定的dMMR患者，建议行 MLH1、MSH2、MSH6、PMS2 和 EPCAM 5个基因的胚系突变检测。通过对家系先证者的基因诊断，继而找到突变携带者，并对这些高危人群进行风险管理，从而实现预防、早诊和早治。</w:t>
      </w:r>
    </w:p>
    <w:p w14:paraId="713034B5">
      <w:pPr>
        <w:ind w:firstLine="420" w:firstLineChars="200"/>
        <w:jc w:val="both"/>
        <w:rPr>
          <w:rFonts w:ascii="微软雅黑" w:hAnsi="微软雅黑" w:cs="微软雅黑"/>
          <w:sz w:val="21"/>
          <w:szCs w:val="21"/>
        </w:rPr>
      </w:pPr>
      <w:r>
        <w:rPr>
          <w:rFonts w:hint="eastAsia" w:ascii="微软雅黑" w:hAnsi="微软雅黑" w:cs="微软雅黑"/>
          <w:sz w:val="21"/>
          <w:szCs w:val="21"/>
        </w:rPr>
        <w:t>帕博利珠单抗、纳武利尤单抗等免疫检查点抑制剂可通过与T细胞PD-1/PD-L1结合，并破坏与T细胞PD-1的相互作用来促进肿瘤细胞凋亡（图10）</w:t>
      </w:r>
      <w:r>
        <w:rPr>
          <w:rFonts w:hint="eastAsia" w:ascii="微软雅黑" w:hAnsi="微软雅黑" w:cs="微软雅黑"/>
          <w:sz w:val="21"/>
          <w:szCs w:val="21"/>
          <w:vertAlign w:val="superscript"/>
        </w:rPr>
        <w:t>[72]</w:t>
      </w:r>
      <w:r>
        <w:rPr>
          <w:rFonts w:hint="eastAsia" w:ascii="微软雅黑" w:hAnsi="微软雅黑" w:cs="微软雅黑"/>
          <w:sz w:val="21"/>
          <w:szCs w:val="21"/>
        </w:rPr>
        <w:t>。早在2015年，新英格兰杂志发表的KEYNOTE-016研究，首次报道抗PD-1单抗帕博利珠单抗（Pembrolizumab）用于治疗既往失败的晚期肠癌患者的疗效，11例dMMR患者客观有效率（objective response rate，ORR）为40％，疾病控制率为90％，而pMMR患者无 1例有效</w:t>
      </w:r>
      <w:r>
        <w:rPr>
          <w:rFonts w:hint="eastAsia" w:ascii="微软雅黑" w:hAnsi="微软雅黑" w:cs="微软雅黑"/>
          <w:sz w:val="21"/>
          <w:szCs w:val="21"/>
          <w:vertAlign w:val="superscript"/>
        </w:rPr>
        <w:t>[73]</w:t>
      </w:r>
      <w:r>
        <w:rPr>
          <w:rFonts w:hint="eastAsia" w:ascii="微软雅黑" w:hAnsi="微软雅黑" w:cs="微软雅黑"/>
          <w:sz w:val="21"/>
          <w:szCs w:val="21"/>
        </w:rPr>
        <w:t>。另一项研究中，40例MSI-H或免疫组织化学dMMR的结直肠癌患者，抗PD-1单抗的ORR达52％，而在与Lynch综合征相关和无关的肿瘤中，ORR差异无统计学意义（46％vs59％，Ｐ=0.27）</w:t>
      </w:r>
      <w:r>
        <w:rPr>
          <w:rFonts w:hint="eastAsia" w:ascii="微软雅黑" w:hAnsi="微软雅黑" w:cs="微软雅黑"/>
          <w:sz w:val="21"/>
          <w:szCs w:val="21"/>
          <w:vertAlign w:val="superscript"/>
        </w:rPr>
        <w:t>[74]</w:t>
      </w:r>
      <w:r>
        <w:rPr>
          <w:rFonts w:hint="eastAsia" w:ascii="微软雅黑" w:hAnsi="微软雅黑" w:cs="微软雅黑"/>
          <w:sz w:val="21"/>
          <w:szCs w:val="21"/>
        </w:rPr>
        <w:t>。这些结果初步证实，抗PD-1单抗对dMMR 的晚期肿瘤患者有效。随后的CheckMate 142研究证实，另一个抗PD-1单抗纳武利尤单抗（Nivolumab）治疗dＭＭR/MSI-H转移性肠癌同样有效（有效率为31％，中位无进展生存时间为14.3个月）</w:t>
      </w:r>
      <w:r>
        <w:rPr>
          <w:rFonts w:hint="eastAsia" w:ascii="微软雅黑" w:hAnsi="微软雅黑" w:cs="微软雅黑"/>
          <w:sz w:val="21"/>
          <w:szCs w:val="21"/>
          <w:vertAlign w:val="superscript"/>
        </w:rPr>
        <w:t>[75]</w:t>
      </w:r>
      <w:r>
        <w:rPr>
          <w:rFonts w:hint="eastAsia" w:ascii="微软雅黑" w:hAnsi="微软雅黑" w:cs="微软雅黑"/>
          <w:sz w:val="21"/>
          <w:szCs w:val="21"/>
        </w:rPr>
        <w:t>。目前，FDA已批准帕博利珠单抗及纳武利尤单抗应用于dＭＭR/MSI-H结直肠癌患者的治疗。因此，通过免疫组化或基因检测确定为dＭＭR/MSI-H 型结直肠癌患者，可考虑免疫抑制剂帕博利珠单抗及纳武利尤单抗治疗。</w:t>
      </w:r>
    </w:p>
    <w:p w14:paraId="46B68E09">
      <w:pPr>
        <w:jc w:val="center"/>
        <w:rPr>
          <w:rFonts w:ascii="微软雅黑" w:hAnsi="微软雅黑" w:cs="微软雅黑"/>
          <w:sz w:val="21"/>
          <w:szCs w:val="21"/>
        </w:rPr>
      </w:pPr>
      <w:r>
        <w:rPr>
          <w:rFonts w:hint="eastAsia" w:ascii="微软雅黑" w:hAnsi="微软雅黑" w:cs="微软雅黑"/>
          <w:sz w:val="21"/>
          <w:szCs w:val="21"/>
        </w:rPr>
        <w:drawing>
          <wp:inline distT="0" distB="0" distL="114300" distR="114300">
            <wp:extent cx="4853305" cy="3787140"/>
            <wp:effectExtent l="0" t="0" r="4445" b="3810"/>
            <wp:docPr id="10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 name="图片 1"/>
                    <pic:cNvPicPr>
                      <a:picLocks noChangeAspect="1"/>
                    </pic:cNvPicPr>
                  </pic:nvPicPr>
                  <pic:blipFill>
                    <a:blip r:embed="rId37"/>
                    <a:stretch>
                      <a:fillRect/>
                    </a:stretch>
                  </pic:blipFill>
                  <pic:spPr>
                    <a:xfrm>
                      <a:off x="0" y="0"/>
                      <a:ext cx="4853305" cy="3787140"/>
                    </a:xfrm>
                    <a:prstGeom prst="rect">
                      <a:avLst/>
                    </a:prstGeom>
                    <a:noFill/>
                    <a:ln>
                      <a:noFill/>
                    </a:ln>
                  </pic:spPr>
                </pic:pic>
              </a:graphicData>
            </a:graphic>
          </wp:inline>
        </w:drawing>
      </w:r>
    </w:p>
    <w:p w14:paraId="21B9C429">
      <w:pPr>
        <w:ind w:firstLine="400" w:firstLineChars="200"/>
        <w:jc w:val="center"/>
        <w:rPr>
          <w:rFonts w:ascii="微软雅黑" w:hAnsi="微软雅黑" w:cs="微软雅黑"/>
          <w:sz w:val="20"/>
          <w:szCs w:val="20"/>
        </w:rPr>
      </w:pPr>
      <w:r>
        <w:rPr>
          <w:rFonts w:hint="eastAsia" w:ascii="微软雅黑" w:hAnsi="微软雅黑" w:cs="微软雅黑"/>
          <w:sz w:val="20"/>
          <w:szCs w:val="20"/>
        </w:rPr>
        <w:t>图10 dMMR或MSI-H阳性肿瘤患者中免疫检查点抑制剂作用机制</w:t>
      </w:r>
      <w:r>
        <w:rPr>
          <w:rFonts w:hint="eastAsia" w:ascii="微软雅黑" w:hAnsi="微软雅黑" w:cs="微软雅黑"/>
          <w:sz w:val="20"/>
          <w:szCs w:val="20"/>
          <w:vertAlign w:val="superscript"/>
        </w:rPr>
        <w:t>[72]</w:t>
      </w:r>
    </w:p>
    <w:p w14:paraId="1B80F1F8">
      <w:pPr>
        <w:jc w:val="both"/>
        <w:rPr>
          <w:rFonts w:ascii="微软雅黑" w:hAnsi="微软雅黑" w:cs="微软雅黑"/>
          <w:sz w:val="21"/>
          <w:szCs w:val="21"/>
        </w:rPr>
      </w:pPr>
      <w:r>
        <w:rPr>
          <w:rFonts w:hint="eastAsia" w:ascii="微软雅黑" w:hAnsi="微软雅黑" w:cs="微软雅黑"/>
          <w:sz w:val="21"/>
          <w:szCs w:val="21"/>
        </w:rPr>
        <w:t>4.4.5.2  POLE基因突变</w:t>
      </w:r>
    </w:p>
    <w:p w14:paraId="44435D2C">
      <w:pPr>
        <w:ind w:firstLine="420" w:firstLineChars="200"/>
        <w:jc w:val="both"/>
        <w:rPr>
          <w:rFonts w:ascii="微软雅黑" w:hAnsi="微软雅黑" w:cs="微软雅黑"/>
          <w:sz w:val="21"/>
          <w:szCs w:val="21"/>
        </w:rPr>
      </w:pPr>
      <w:r>
        <w:rPr>
          <w:rFonts w:hint="eastAsia" w:ascii="微软雅黑" w:hAnsi="微软雅黑" w:cs="微软雅黑"/>
          <w:sz w:val="21"/>
          <w:szCs w:val="21"/>
        </w:rPr>
        <w:t>研究表明，在高突变型转移性结直肠癌（mCRC）中，75%的患者为高度微卫星不稳定</w:t>
      </w:r>
      <w:bookmarkStart w:id="206" w:name="OLE_LINK22"/>
      <w:bookmarkStart w:id="207" w:name="OLE_LINK21"/>
      <w:r>
        <w:rPr>
          <w:rFonts w:hint="eastAsia" w:ascii="微软雅黑" w:hAnsi="微软雅黑" w:cs="微软雅黑"/>
          <w:sz w:val="21"/>
          <w:szCs w:val="21"/>
        </w:rPr>
        <w:t>（microsatellite instability-high，MSI-H）</w:t>
      </w:r>
      <w:bookmarkEnd w:id="206"/>
      <w:bookmarkEnd w:id="207"/>
      <w:r>
        <w:rPr>
          <w:rFonts w:hint="eastAsia" w:ascii="微软雅黑" w:hAnsi="微软雅黑" w:cs="微软雅黑"/>
          <w:sz w:val="21"/>
          <w:szCs w:val="21"/>
        </w:rPr>
        <w:t>，其余患者的高突变负荷主要与POLE基因突变相关</w:t>
      </w:r>
      <w:r>
        <w:rPr>
          <w:rFonts w:hint="eastAsia" w:ascii="微软雅黑" w:hAnsi="微软雅黑" w:cs="微软雅黑"/>
          <w:sz w:val="21"/>
          <w:szCs w:val="21"/>
          <w:vertAlign w:val="superscript"/>
        </w:rPr>
        <w:t>[76]</w:t>
      </w:r>
      <w:r>
        <w:rPr>
          <w:rFonts w:hint="eastAsia" w:ascii="微软雅黑" w:hAnsi="微软雅黑" w:cs="微软雅黑"/>
          <w:sz w:val="21"/>
          <w:szCs w:val="21"/>
        </w:rPr>
        <w:t>。</w:t>
      </w:r>
    </w:p>
    <w:p w14:paraId="3E2F2D26">
      <w:pPr>
        <w:ind w:firstLine="420" w:firstLineChars="200"/>
        <w:jc w:val="both"/>
        <w:rPr>
          <w:rFonts w:ascii="微软雅黑" w:hAnsi="微软雅黑" w:cs="微软雅黑"/>
          <w:sz w:val="21"/>
          <w:szCs w:val="21"/>
        </w:rPr>
      </w:pPr>
      <w:r>
        <w:rPr>
          <w:rFonts w:hint="eastAsia" w:ascii="微软雅黑" w:hAnsi="微软雅黑" w:cs="微软雅黑"/>
          <w:sz w:val="21"/>
          <w:szCs w:val="21"/>
        </w:rPr>
        <w:t>POLE基因编码DNA聚合酶ε催化亚基，具有两种催化活性，一是以DNA为模板的聚合酶活性,负责DNA新链的复制延长；二是核酸外切酶区的校正活性，负责对错配碱基进行识别和修复。在mCRC中，POLE基因突变率为1%~2%。POLE基因的突变直接影响DNA 聚合酶ε的纠错功能。有研究表明，携带这类突变的肿瘤细胞会因为纠错功能的下降而导致基因突变在细胞中大量累积</w:t>
      </w:r>
      <w:r>
        <w:rPr>
          <w:rFonts w:hint="eastAsia" w:ascii="微软雅黑" w:hAnsi="微软雅黑" w:cs="微软雅黑"/>
          <w:sz w:val="21"/>
          <w:szCs w:val="21"/>
          <w:vertAlign w:val="superscript"/>
        </w:rPr>
        <w:t>[77]</w:t>
      </w:r>
      <w:r>
        <w:rPr>
          <w:rFonts w:hint="eastAsia" w:ascii="微软雅黑" w:hAnsi="微软雅黑" w:cs="微软雅黑"/>
          <w:sz w:val="21"/>
          <w:szCs w:val="21"/>
        </w:rPr>
        <w:t>。</w:t>
      </w:r>
    </w:p>
    <w:p w14:paraId="5A8AC585">
      <w:pPr>
        <w:ind w:firstLine="420" w:firstLineChars="200"/>
        <w:jc w:val="both"/>
        <w:rPr>
          <w:rFonts w:ascii="微软雅黑" w:hAnsi="微软雅黑" w:cs="微软雅黑"/>
          <w:sz w:val="21"/>
          <w:szCs w:val="21"/>
        </w:rPr>
      </w:pPr>
      <w:r>
        <w:rPr>
          <w:rFonts w:hint="eastAsia" w:ascii="微软雅黑" w:hAnsi="微软雅黑" w:cs="微软雅黑"/>
          <w:sz w:val="21"/>
          <w:szCs w:val="21"/>
        </w:rPr>
        <w:t>POLE突变的mCRC与MSI-H相比，POLE基因突变型mCRC可产生更多的新生抗原。初步的临床证据表明，在子宫内膜癌、非小细胞肺癌、结直肠癌患者中，POLE基因突变的肿瘤患者，使用PD-1抗体治疗可能更容易获益</w:t>
      </w:r>
      <w:r>
        <w:rPr>
          <w:rFonts w:hint="eastAsia" w:ascii="微软雅黑" w:hAnsi="微软雅黑" w:cs="微软雅黑"/>
          <w:sz w:val="21"/>
          <w:szCs w:val="21"/>
          <w:vertAlign w:val="superscript"/>
        </w:rPr>
        <w:t>[78-80]</w:t>
      </w:r>
      <w:r>
        <w:rPr>
          <w:rFonts w:hint="eastAsia" w:ascii="微软雅黑" w:hAnsi="微软雅黑" w:cs="微软雅黑"/>
          <w:sz w:val="21"/>
          <w:szCs w:val="21"/>
        </w:rPr>
        <w:t>（图10）。有研究报道CRC患者中对帕博利珠单抗的临床反应，其中一名患者属于MSS表型并携带POLE突变。肿瘤免疫组化结果显示，PD-1 、CD8阳性 T细胞占比较大，PD-L1表达的CD68+肿瘤相关巨噬细胞浸润明显</w:t>
      </w:r>
      <w:r>
        <w:rPr>
          <w:rFonts w:hint="eastAsia" w:ascii="微软雅黑" w:hAnsi="微软雅黑" w:cs="微软雅黑"/>
          <w:sz w:val="21"/>
          <w:szCs w:val="21"/>
          <w:vertAlign w:val="superscript"/>
        </w:rPr>
        <w:t>[81，82]</w:t>
      </w:r>
      <w:r>
        <w:rPr>
          <w:rFonts w:hint="eastAsia" w:ascii="微软雅黑" w:hAnsi="微软雅黑" w:cs="微软雅黑"/>
          <w:sz w:val="21"/>
          <w:szCs w:val="21"/>
        </w:rPr>
        <w:t>。子宫内膜癌病理研究表明，POLE突变也是免疫检查点抑制剂的预测标志物</w:t>
      </w:r>
      <w:r>
        <w:rPr>
          <w:rFonts w:hint="eastAsia" w:ascii="微软雅黑" w:hAnsi="微软雅黑" w:cs="微软雅黑"/>
          <w:sz w:val="21"/>
          <w:szCs w:val="21"/>
          <w:vertAlign w:val="superscript"/>
        </w:rPr>
        <w:t>[83-85]</w:t>
      </w:r>
      <w:r>
        <w:rPr>
          <w:rFonts w:hint="eastAsia" w:ascii="微软雅黑" w:hAnsi="微软雅黑" w:cs="微软雅黑"/>
          <w:sz w:val="21"/>
          <w:szCs w:val="21"/>
        </w:rPr>
        <w:t>。目前，三项抗PD-L1免疫检查点抑制剂在POLE突变的CRC中的临床获益相关临床试验在研（NCT03435107、NCT03150706、NCT03827044）。</w:t>
      </w:r>
    </w:p>
    <w:p w14:paraId="1CA6D3E7">
      <w:pPr>
        <w:jc w:val="center"/>
        <w:rPr>
          <w:rFonts w:ascii="微软雅黑" w:hAnsi="微软雅黑" w:cs="微软雅黑"/>
          <w:sz w:val="21"/>
          <w:szCs w:val="21"/>
        </w:rPr>
      </w:pPr>
      <w:r>
        <w:rPr>
          <w:rFonts w:hint="eastAsia" w:ascii="微软雅黑" w:hAnsi="微软雅黑" w:cs="微软雅黑"/>
          <w:sz w:val="21"/>
          <w:szCs w:val="21"/>
        </w:rPr>
        <w:drawing>
          <wp:inline distT="0" distB="0" distL="114300" distR="114300">
            <wp:extent cx="4732655" cy="4027170"/>
            <wp:effectExtent l="0" t="0" r="10795" b="11430"/>
            <wp:docPr id="10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 name="图片 1"/>
                    <pic:cNvPicPr>
                      <a:picLocks noChangeAspect="1"/>
                    </pic:cNvPicPr>
                  </pic:nvPicPr>
                  <pic:blipFill>
                    <a:blip r:embed="rId38"/>
                    <a:stretch>
                      <a:fillRect/>
                    </a:stretch>
                  </pic:blipFill>
                  <pic:spPr>
                    <a:xfrm>
                      <a:off x="0" y="0"/>
                      <a:ext cx="4732655" cy="4027170"/>
                    </a:xfrm>
                    <a:prstGeom prst="rect">
                      <a:avLst/>
                    </a:prstGeom>
                    <a:noFill/>
                    <a:ln>
                      <a:noFill/>
                    </a:ln>
                  </pic:spPr>
                </pic:pic>
              </a:graphicData>
            </a:graphic>
          </wp:inline>
        </w:drawing>
      </w:r>
    </w:p>
    <w:p w14:paraId="3CB40E48">
      <w:pPr>
        <w:ind w:firstLine="400" w:firstLineChars="200"/>
        <w:jc w:val="center"/>
        <w:rPr>
          <w:rFonts w:ascii="微软雅黑" w:hAnsi="微软雅黑" w:cs="微软雅黑"/>
          <w:sz w:val="20"/>
          <w:szCs w:val="20"/>
        </w:rPr>
      </w:pPr>
      <w:r>
        <w:rPr>
          <w:rFonts w:hint="eastAsia" w:ascii="微软雅黑" w:hAnsi="微软雅黑" w:cs="微软雅黑"/>
          <w:sz w:val="20"/>
          <w:szCs w:val="20"/>
        </w:rPr>
        <w:t>图11 免疫检查点抑制剂在不同类型结直肠癌中疗效预估</w:t>
      </w:r>
      <w:r>
        <w:rPr>
          <w:rFonts w:hint="eastAsia" w:ascii="微软雅黑" w:hAnsi="微软雅黑" w:cs="微软雅黑"/>
          <w:sz w:val="20"/>
          <w:szCs w:val="20"/>
          <w:vertAlign w:val="superscript"/>
        </w:rPr>
        <w:t>[86]</w:t>
      </w:r>
    </w:p>
    <w:p w14:paraId="396F200B">
      <w:pPr>
        <w:jc w:val="both"/>
        <w:rPr>
          <w:b/>
          <w:bCs/>
        </w:rPr>
      </w:pPr>
      <w:r>
        <w:rPr>
          <w:rFonts w:hint="eastAsia"/>
          <w:b/>
          <w:bCs/>
        </w:rPr>
        <w:t>5、结论</w:t>
      </w:r>
    </w:p>
    <w:p w14:paraId="174BB4D0">
      <w:pPr>
        <w:ind w:firstLine="420" w:firstLineChars="200"/>
        <w:jc w:val="both"/>
        <w:rPr>
          <w:rFonts w:ascii="微软雅黑" w:hAnsi="微软雅黑" w:cs="微软雅黑"/>
          <w:sz w:val="21"/>
          <w:szCs w:val="21"/>
        </w:rPr>
      </w:pPr>
      <w:r>
        <w:rPr>
          <w:rFonts w:hint="eastAsia" w:ascii="微软雅黑" w:hAnsi="微软雅黑" w:cs="微软雅黑"/>
          <w:sz w:val="21"/>
          <w:szCs w:val="21"/>
        </w:rPr>
        <w:t>结直肠癌的病因和发病分子机制非常复杂，可能没有任何两个患者背后的分子机制、基因表型是完全相同的。在临床实践中，需要对每一位患者进行个体分子分型，也就是进行治疗靶点的分型，通过检测PD-1、PD-L1蛋白、MMR、KRAS、NRAS、BRAF、PI3K、HER2等基因选择治疗策略。患者存在MSI-H/dMMR、PD-1、PD-L1蛋白上调者，可使用免疫治疗；若存在RAS基因突变，可使用标准化疗方案联合贝伐珠单抗；若患者属RAS、BRAF、PI3K基因全野生型，使用标准化疗联合EGFR单抗获益最大。故分子特征对于患者的人群划分至关重要，我们要根据分子分型予以不同的干预措施，最终实现个体化、精准化的治疗。</w:t>
      </w:r>
    </w:p>
    <w:p w14:paraId="62F2685B">
      <w:pPr>
        <w:autoSpaceDE w:val="0"/>
        <w:autoSpaceDN w:val="0"/>
        <w:spacing w:after="0" w:line="312" w:lineRule="auto"/>
        <w:jc w:val="both"/>
        <w:rPr>
          <w:rFonts w:ascii="微软雅黑" w:hAnsi="微软雅黑" w:cs="微软雅黑"/>
          <w:sz w:val="21"/>
          <w:szCs w:val="21"/>
        </w:rPr>
      </w:pPr>
    </w:p>
    <w:p w14:paraId="3EB251CF">
      <w:pPr>
        <w:ind w:firstLine="440" w:firstLineChars="200"/>
        <w:jc w:val="center"/>
      </w:pPr>
    </w:p>
    <w:p w14:paraId="69149281">
      <w:pPr>
        <w:ind w:firstLine="440" w:firstLineChars="200"/>
        <w:jc w:val="both"/>
      </w:pPr>
    </w:p>
    <w:p w14:paraId="4C589D99">
      <w:pPr>
        <w:jc w:val="both"/>
        <w:rPr>
          <w:rFonts w:ascii="微软雅黑" w:hAnsi="微软雅黑" w:cs="微软雅黑"/>
          <w:b/>
          <w:bCs/>
          <w:sz w:val="21"/>
          <w:szCs w:val="21"/>
        </w:rPr>
      </w:pPr>
      <w:r>
        <w:rPr>
          <w:rFonts w:hint="eastAsia" w:ascii="微软雅黑" w:hAnsi="微软雅黑" w:cs="微软雅黑"/>
          <w:b/>
          <w:bCs/>
          <w:sz w:val="21"/>
          <w:szCs w:val="21"/>
        </w:rPr>
        <w:br w:type="page"/>
      </w:r>
    </w:p>
    <w:p w14:paraId="77C0AB6A">
      <w:pPr>
        <w:jc w:val="both"/>
        <w:rPr>
          <w:rFonts w:hint="eastAsia"/>
          <w:b/>
          <w:bCs/>
        </w:rPr>
      </w:pPr>
      <w:r>
        <w:rPr>
          <w:rFonts w:hint="eastAsia"/>
          <w:b/>
          <w:bCs/>
        </w:rPr>
        <w:t>参考文献：</w:t>
      </w:r>
    </w:p>
    <w:p w14:paraId="4DFBF410">
      <w:pPr>
        <w:numPr>
          <w:ilvl w:val="0"/>
          <w:numId w:val="22"/>
        </w:numPr>
        <w:spacing w:after="0" w:line="360" w:lineRule="auto"/>
        <w:jc w:val="both"/>
        <w:rPr>
          <w:rFonts w:hAnsi="Calibri" w:cs="Calibri" w:asciiTheme="minorHAnsi"/>
          <w:sz w:val="20"/>
          <w:szCs w:val="20"/>
        </w:rPr>
      </w:pPr>
      <w:r>
        <w:rPr>
          <w:rFonts w:hint="eastAsia" w:hAnsi="Calibri" w:cs="Calibri" w:asciiTheme="minorHAnsi"/>
          <w:sz w:val="20"/>
          <w:szCs w:val="20"/>
        </w:rPr>
        <w:t>PMID: 10959075 Wnt/beta-catenin signaling.</w:t>
      </w:r>
    </w:p>
    <w:p w14:paraId="10BB99B6">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int="eastAsia" w:hAnsi="Calibri" w:cs="Calibri" w:asciiTheme="minorAscii"/>
          <w:sz w:val="20"/>
          <w:szCs w:val="20"/>
          <w:highlight w:val="none"/>
        </w:rPr>
        <w:t>GBD 2013 Mortality and Causes of Death Collaborators</w:t>
      </w:r>
      <w:r>
        <w:rPr>
          <w:rFonts w:hint="eastAsia" w:hAnsi="Calibri" w:cs="Calibri" w:asciiTheme="minorAscii"/>
          <w:sz w:val="20"/>
          <w:szCs w:val="20"/>
          <w:highlight w:val="none"/>
          <w:lang w:val="en-US" w:eastAsia="zh-CN"/>
        </w:rPr>
        <w:t>.Global, regional, and national age-sex specific all-cause and cause-specific mortality for 240 causes of death, 1990-2013: a systematic analysis for the Global Burden of Disease Study 2013.Lancet,2015 Jan 10,385(9963):117-71.</w:t>
      </w:r>
    </w:p>
    <w:p w14:paraId="1FE4984E">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Kuipers E J , Grady W M , Lieberman D , et al. Colorectal cancer.[J]. Nature Reviews Disease Primers, 2015, 1:15065.</w:t>
      </w:r>
    </w:p>
    <w:p w14:paraId="2C765060">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Walker D P , Rogier D J . European guidelines for quality assurance in colorectal cancer screening and diagnosis: Overview and introduction to the full Supplement publication[J]. Endoscopy, 2012, 44 Suppl 3(S 03):SE131.</w:t>
      </w:r>
    </w:p>
    <w:p w14:paraId="6E4244CF">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Ervik, M，Soerjomataram, I，Ferlay, J</w:t>
      </w:r>
      <w:r>
        <w:rPr>
          <w:rFonts w:hint="eastAsia" w:hAnsi="Calibri" w:cs="Calibri" w:asciiTheme="minorAscii"/>
          <w:sz w:val="20"/>
          <w:szCs w:val="20"/>
          <w:highlight w:val="none"/>
          <w:lang w:val="en-US" w:eastAsia="zh-CN"/>
        </w:rPr>
        <w:t>.</w:t>
      </w:r>
      <w:r>
        <w:rPr>
          <w:rFonts w:hint="eastAsia" w:hAnsi="Calibri" w:cs="Calibri" w:asciiTheme="minorAscii"/>
          <w:sz w:val="20"/>
          <w:szCs w:val="20"/>
          <w:highlight w:val="none"/>
        </w:rPr>
        <w:t>,</w:t>
      </w:r>
      <w:r>
        <w:rPr>
          <w:rFonts w:hint="eastAsia" w:hAnsi="Calibri" w:cs="Calibri" w:asciiTheme="minorAscii"/>
          <w:sz w:val="20"/>
          <w:szCs w:val="20"/>
          <w:highlight w:val="none"/>
          <w:lang w:val="en-US" w:eastAsia="zh-CN"/>
        </w:rPr>
        <w:t xml:space="preserve"> et al</w:t>
      </w:r>
      <w:r>
        <w:rPr>
          <w:rFonts w:hint="eastAsia" w:hAnsi="Calibri" w:cs="Calibri" w:asciiTheme="minorAscii"/>
          <w:sz w:val="20"/>
          <w:szCs w:val="20"/>
          <w:highlight w:val="none"/>
        </w:rPr>
        <w:t>.GLOBOCAN 2012 Estimated Cancer Incidence, Mortality and Prevalence Worldwide in 2012</w:t>
      </w:r>
      <w:r>
        <w:rPr>
          <w:rFonts w:hint="eastAsia" w:hAnsi="Calibri" w:cs="Calibri" w:asciiTheme="minorAscii"/>
          <w:sz w:val="20"/>
          <w:szCs w:val="20"/>
          <w:highlight w:val="none"/>
          <w:lang w:val="en-US" w:eastAsia="zh-CN"/>
        </w:rPr>
        <w:t>.[online], http://globocan.iarc.fr/Default.aspx (2015).</w:t>
      </w:r>
    </w:p>
    <w:p w14:paraId="6439697B">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Lier M G F V , Leenen C H M , Wagner A , et al. Yield of routine molecular analyses in colorectal cancer patients ≤70 years to detect underlying Lynch syndrome[J]. Journal of Pathology, 2012, 226(5):764-774.</w:t>
      </w:r>
    </w:p>
    <w:p w14:paraId="511265A7">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Jess T , Rungoe C , Peyrin–Biroulet, Laurent. Risk of Colorectal Cancer in Patients With Ulcerative Colitis: A Meta-analysis of Population-Based Cohort Studies[J]. Clinical Gastroenterology &amp; Hepatology, 2012, 10(6):639-645.</w:t>
      </w:r>
    </w:p>
    <w:p w14:paraId="64CEDB12">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Jess T , Simonsen J , J?Rgensen K T , et al. Decreasing risk of colorectal cancer in patients with inflammatory bowel disease over 30 years.[J]. Gastroenterology, 2012, 143(2):375-381.e1.</w:t>
      </w:r>
    </w:p>
    <w:p w14:paraId="2E09188F">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Ansi="Calibri" w:cs="Calibri" w:asciiTheme="minorAscii"/>
          <w:sz w:val="20"/>
          <w:szCs w:val="20"/>
          <w:highlight w:val="none"/>
        </w:rPr>
        <w:t>Haraldsdottir S, Hampel H, Tomsic J, et al. Colon and endometrial cancers with mismatch repair deficiency can arise from somatic, rather than germline, mutations[J]. Gastroenterology, 2014, 147(6):1308-1316.e1.</w:t>
      </w:r>
    </w:p>
    <w:p w14:paraId="10EB5F55">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Perez-Carbonell L , Ruiz-Ponte C , Guarinos C , et al. Comparison between universal molecular screening for Lynch syndrome and revised Bethesda guidelines in a large population-based cohort of patients with colorectal cancer[J]. Gut, 2012, 61(6):865.</w:t>
      </w:r>
    </w:p>
    <w:p w14:paraId="7802D05F">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Casta?O-Milla C , Chaparro M , Gisbert J P . Systematic review with meta-analysis: the declining risk of colorectal cancer in ulcerative colitis.[J]. Aliment Pharmacol Ther, 2014, 39(7):645-659.</w:t>
      </w:r>
    </w:p>
    <w:p w14:paraId="44730922">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Half EE, Bresalier RS. Clinical management of hereditary colorectal cancer syndromes.[J]. Current Opinion in Gastroenterology, 2015, 20(2):88.</w:t>
      </w:r>
    </w:p>
    <w:p w14:paraId="63556555">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Ansi="微软雅黑" w:eastAsia="微软雅黑" w:cs="微软雅黑" w:asciiTheme="minorAscii"/>
          <w:i w:val="0"/>
          <w:caps w:val="0"/>
          <w:color w:val="000000"/>
          <w:spacing w:val="0"/>
          <w:sz w:val="20"/>
          <w:szCs w:val="20"/>
          <w:highlight w:val="none"/>
          <w:shd w:val="clear" w:fill="FFFFFF"/>
        </w:rPr>
        <w:t>Herrinton L J , Liu L , Levin T R , et al. Incidence and Mortality of Colorectal Adenocarcinoma in Persons With Inflammatory Bowel Disease From 1998 to 2010[J]. Gastroenterology, 2012, 143(2):382-389.</w:t>
      </w:r>
    </w:p>
    <w:p w14:paraId="41494EDF">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World Cancer Research Fund/American Institute for Cancer Research. Continuous update project report. Food, nutrition, physical activity, and the prevention of colorectal cancer. Diet and Cancer Report [online]</w:t>
      </w:r>
    </w:p>
    <w:p w14:paraId="29A6589F">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Ansi="微软雅黑" w:eastAsia="微软雅黑" w:cs="微软雅黑" w:asciiTheme="minorAscii"/>
          <w:i w:val="0"/>
          <w:caps w:val="0"/>
          <w:color w:val="000000"/>
          <w:spacing w:val="0"/>
          <w:sz w:val="20"/>
          <w:szCs w:val="20"/>
          <w:highlight w:val="none"/>
          <w:shd w:val="clear" w:fill="FFFFFF"/>
        </w:rPr>
        <w:t>Guraya S Y . Association of type 2 diabetes mellitus and the risk ofcolorectal cancer: A meta-analysis and systematic review[J]. 世界胃肠病学杂志:英文版(电子版), 2015(19):6026-6031.</w:t>
      </w:r>
    </w:p>
    <w:p w14:paraId="4CE46331">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V Fedirko, I Tramacere, V Bagnardi , et al.Alcohol drinking and colorectal cancer risk: an overall and dose-response meta-analysis of published studies</w:t>
      </w:r>
      <w:r>
        <w:rPr>
          <w:rFonts w:hint="eastAsia" w:hAnsi="Calibri" w:cs="Calibri" w:asciiTheme="minorAscii"/>
          <w:sz w:val="20"/>
          <w:szCs w:val="20"/>
          <w:highlight w:val="none"/>
          <w:lang w:val="en-US" w:eastAsia="zh-CN"/>
        </w:rPr>
        <w:t>.Ann Oncol. 2011 Sep;22(9):1958-1972.</w:t>
      </w:r>
    </w:p>
    <w:p w14:paraId="111EE7A5">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Heike U Krämer</w:t>
      </w:r>
      <w:r>
        <w:rPr>
          <w:rFonts w:hint="eastAsia" w:hAnsi="Calibri" w:cs="Calibri" w:asciiTheme="minorAscii"/>
          <w:sz w:val="20"/>
          <w:szCs w:val="20"/>
          <w:highlight w:val="none"/>
          <w:lang w:val="en-US" w:eastAsia="zh-CN"/>
        </w:rPr>
        <w:t>,</w:t>
      </w:r>
      <w:r>
        <w:rPr>
          <w:rFonts w:hint="eastAsia" w:hAnsi="Calibri" w:cs="Calibri" w:asciiTheme="minorAscii"/>
          <w:sz w:val="20"/>
          <w:szCs w:val="20"/>
          <w:highlight w:val="none"/>
        </w:rPr>
        <w:t>, Ben Schöttker, Elke Raum,</w:t>
      </w:r>
      <w:r>
        <w:rPr>
          <w:rFonts w:hint="eastAsia" w:hAnsi="Calibri" w:cs="Calibri" w:asciiTheme="minorAscii"/>
          <w:sz w:val="20"/>
          <w:szCs w:val="20"/>
          <w:highlight w:val="none"/>
          <w:lang w:val="en-US" w:eastAsia="zh-CN"/>
        </w:rPr>
        <w:t xml:space="preserve"> </w:t>
      </w:r>
      <w:r>
        <w:rPr>
          <w:rFonts w:hint="eastAsia" w:hAnsi="Calibri" w:cs="Calibri" w:asciiTheme="minorAscii"/>
          <w:sz w:val="20"/>
          <w:szCs w:val="20"/>
          <w:highlight w:val="none"/>
        </w:rPr>
        <w:t>et al.Type 2 diabetes mellitus and colorectal cancer: meta-analysis on sex-specific differences</w:t>
      </w:r>
      <w:r>
        <w:rPr>
          <w:rFonts w:hint="eastAsia" w:hAnsi="Calibri" w:cs="Calibri" w:asciiTheme="minorAscii"/>
          <w:sz w:val="20"/>
          <w:szCs w:val="20"/>
          <w:highlight w:val="none"/>
          <w:lang w:val="en-US" w:eastAsia="zh-CN"/>
        </w:rPr>
        <w:t xml:space="preserve">.Eur J Cancer. 2012 Jun;48(9):1269-82. </w:t>
      </w:r>
    </w:p>
    <w:p w14:paraId="49B84443">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Nakatsu G , Li X , Zhou H , et al. Gut mucosal microbiome across stages of colorectal carcinogenesis[J]. Nature Communications, 2015, 6:8727.</w:t>
      </w:r>
    </w:p>
    <w:p w14:paraId="6C91FC84">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Ansi="Helvetica" w:eastAsia="Helvetica" w:cs="Helvetica" w:asciiTheme="minorAscii"/>
          <w:i w:val="0"/>
          <w:caps w:val="0"/>
          <w:color w:val="000000"/>
          <w:spacing w:val="0"/>
          <w:sz w:val="20"/>
          <w:szCs w:val="20"/>
          <w:highlight w:val="none"/>
          <w:shd w:val="clear" w:fill="FFFFFF"/>
        </w:rPr>
        <w:t>Arem H , Moore S C , Park Y , et al. Physical activity and cancer-specific mortality in the N</w:t>
      </w:r>
      <w:r>
        <w:rPr>
          <w:rFonts w:hint="eastAsia" w:hAnsi="Calibri" w:cs="Calibri" w:asciiTheme="minorAscii"/>
          <w:sz w:val="20"/>
          <w:szCs w:val="20"/>
          <w:highlight w:val="none"/>
        </w:rPr>
        <w:t>IH-AARP Diet and Health Study cohort[J]. International Journal of Cancer, 2014, 135(2):423-431.</w:t>
      </w:r>
    </w:p>
    <w:p w14:paraId="1744ABC2">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fldChar w:fldCharType="begin"/>
      </w:r>
      <w:r>
        <w:rPr>
          <w:rFonts w:hint="eastAsia" w:hAnsi="Calibri" w:cs="Calibri" w:asciiTheme="minorAscii"/>
          <w:sz w:val="20"/>
          <w:szCs w:val="20"/>
          <w:highlight w:val="none"/>
        </w:rPr>
        <w:instrText xml:space="preserve"> HYPERLINK "https://pubmed.ncbi.nlm.nih.gov/?term=Algra+AM&amp;cauthor_id=22440112" </w:instrText>
      </w:r>
      <w:r>
        <w:rPr>
          <w:rFonts w:hint="eastAsia" w:hAnsi="Calibri" w:cs="Calibri" w:asciiTheme="minorAscii"/>
          <w:sz w:val="20"/>
          <w:szCs w:val="20"/>
          <w:highlight w:val="none"/>
        </w:rPr>
        <w:fldChar w:fldCharType="separate"/>
      </w:r>
      <w:r>
        <w:rPr>
          <w:rFonts w:hint="default" w:hAnsi="Calibri" w:cs="Calibri" w:asciiTheme="minorAscii"/>
          <w:sz w:val="20"/>
          <w:szCs w:val="20"/>
          <w:highlight w:val="none"/>
        </w:rPr>
        <w:t>Annemijn M Algra</w:t>
      </w:r>
      <w:r>
        <w:rPr>
          <w:rFonts w:hint="default" w:hAnsi="Calibri" w:cs="Calibri" w:asciiTheme="minorAscii"/>
          <w:sz w:val="20"/>
          <w:szCs w:val="20"/>
          <w:highlight w:val="none"/>
        </w:rPr>
        <w:fldChar w:fldCharType="end"/>
      </w:r>
      <w:r>
        <w:rPr>
          <w:rFonts w:hint="default" w:hAnsi="Calibri" w:cs="Calibri" w:asciiTheme="minorAscii"/>
          <w:sz w:val="20"/>
          <w:szCs w:val="20"/>
          <w:highlight w:val="none"/>
        </w:rPr>
        <w:t> , </w:t>
      </w:r>
      <w:r>
        <w:rPr>
          <w:rFonts w:hint="default" w:hAnsi="Calibri" w:cs="Calibri" w:asciiTheme="minorAscii"/>
          <w:sz w:val="20"/>
          <w:szCs w:val="20"/>
          <w:highlight w:val="none"/>
        </w:rPr>
        <w:fldChar w:fldCharType="begin"/>
      </w:r>
      <w:r>
        <w:rPr>
          <w:rFonts w:hint="default" w:hAnsi="Calibri" w:cs="Calibri" w:asciiTheme="minorAscii"/>
          <w:sz w:val="20"/>
          <w:szCs w:val="20"/>
          <w:highlight w:val="none"/>
        </w:rPr>
        <w:instrText xml:space="preserve"> HYPERLINK "https://pubmed.ncbi.nlm.nih.gov/?term=Rothwell+PM&amp;cauthor_id=22440112" </w:instrText>
      </w:r>
      <w:r>
        <w:rPr>
          <w:rFonts w:hint="default" w:hAnsi="Calibri" w:cs="Calibri" w:asciiTheme="minorAscii"/>
          <w:sz w:val="20"/>
          <w:szCs w:val="20"/>
          <w:highlight w:val="none"/>
        </w:rPr>
        <w:fldChar w:fldCharType="separate"/>
      </w:r>
      <w:r>
        <w:rPr>
          <w:rFonts w:hint="default" w:hAnsi="Calibri" w:cs="Calibri" w:asciiTheme="minorAscii"/>
          <w:sz w:val="20"/>
          <w:szCs w:val="20"/>
          <w:highlight w:val="none"/>
        </w:rPr>
        <w:t>Peter M Rothwell</w:t>
      </w:r>
      <w:r>
        <w:rPr>
          <w:rFonts w:hint="default" w:hAnsi="Calibri" w:cs="Calibri" w:asciiTheme="minorAscii"/>
          <w:sz w:val="20"/>
          <w:szCs w:val="20"/>
          <w:highlight w:val="none"/>
        </w:rPr>
        <w:fldChar w:fldCharType="end"/>
      </w:r>
      <w:r>
        <w:rPr>
          <w:rFonts w:hint="eastAsia" w:hAnsi="Calibri" w:cs="Calibri" w:asciiTheme="minorAscii"/>
          <w:sz w:val="20"/>
          <w:szCs w:val="20"/>
          <w:highlight w:val="none"/>
          <w:lang w:val="en-US" w:eastAsia="zh-CN"/>
        </w:rPr>
        <w:t xml:space="preserve">.Effects of regular aspirin on long-term cancer incidence and metastasis: a systematic comparison of evidence from observational studies versus randomised trials.Lancet Oncol.2012 May;13(5):518-27. </w:t>
      </w:r>
    </w:p>
    <w:p w14:paraId="72D0E7CB">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Mismatch repair deficiency predicts response of solid tumors to PD-1 blockade[J]. ence, 2017, 357(6349):409.</w:t>
      </w:r>
    </w:p>
    <w:p w14:paraId="1F51607E">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Engeland M V , Derks S , Smits K M , et al. Colorectal Cancer Epigenetics: Complex Simplicity[J]. Journal of Clinical Oncology, 2011, 29(10):1382-1391.</w:t>
      </w:r>
    </w:p>
    <w:p w14:paraId="1BCA689F">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Goldstein N S . Serrated Pathway and APC (Conventional)-Type Colorectal PolypsMolecular-Morphologic Correlations, Genetic Pathways, and Implications for Classification[J]. American Journal of Clinical Pathology(1):146-153.</w:t>
      </w:r>
    </w:p>
    <w:p w14:paraId="4232076E">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Loree J M , Pereira A A , Lam M , et al. Classifying colorectal cancer by tumor location rather than sidedness highlights a continuum in mutation profiles and Consensus Molecular Subtypes.[J]. Clinical Cancer Research, 2017:clincanres.2484.2017.</w:t>
      </w:r>
    </w:p>
    <w:p w14:paraId="41D5B138">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Venook A P , Niedzwiecki D , Innocenti F , et al. Impact of primary (1) tumor location on overall survival (OS) and progression-free survival (PFS) in patients (pts) with metastatic colorectal cancer (mCRC): Analysis of CALGB/SWOG 80405 (Alliance).[J]. Journal of Clinical Oncology, 2016, 34(15_suppl):3504-3504.</w:t>
      </w:r>
    </w:p>
    <w:p w14:paraId="7FE20D7B">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Cancer Genome Atlas Network. Comprehensive molecular characterization of human colon and rectal cancer[J]. Nature, 2012,487(7407): 330-337.</w:t>
      </w:r>
    </w:p>
    <w:p w14:paraId="62A59301">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Starr, T. K</w:t>
      </w:r>
      <w:r>
        <w:rPr>
          <w:rFonts w:hint="eastAsia" w:hAnsi="Calibri" w:cs="Calibri" w:asciiTheme="minorAscii"/>
          <w:sz w:val="20"/>
          <w:szCs w:val="20"/>
          <w:highlight w:val="none"/>
          <w:lang w:val="en-US" w:eastAsia="zh-CN"/>
        </w:rPr>
        <w:t xml:space="preserve">, Raha A, Kevin A T S, </w:t>
      </w:r>
      <w:r>
        <w:rPr>
          <w:rFonts w:hint="eastAsia" w:hAnsi="Calibri" w:cs="Calibri" w:asciiTheme="minorAscii"/>
          <w:sz w:val="20"/>
          <w:szCs w:val="20"/>
          <w:highlight w:val="none"/>
        </w:rPr>
        <w:t>et al. A transposon-based genetic screen in mice identifies genes altered in colorectal cancer. Science 323, 1747–1750 (2009).</w:t>
      </w:r>
    </w:p>
    <w:p w14:paraId="3ECBD2D2">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Kim, Y.-H</w:t>
      </w:r>
      <w:r>
        <w:rPr>
          <w:rFonts w:hint="eastAsia" w:hAnsi="Calibri" w:cs="Calibri" w:asciiTheme="minorAscii"/>
          <w:sz w:val="20"/>
          <w:szCs w:val="20"/>
          <w:highlight w:val="none"/>
          <w:lang w:val="en-US" w:eastAsia="zh-CN"/>
        </w:rPr>
        <w:t>, Petko Z, Dzieciatkowski S</w:t>
      </w:r>
      <w:r>
        <w:rPr>
          <w:rFonts w:hint="eastAsia" w:hAnsi="Calibri" w:cs="Calibri" w:asciiTheme="minorAscii"/>
          <w:sz w:val="20"/>
          <w:szCs w:val="20"/>
          <w:highlight w:val="none"/>
        </w:rPr>
        <w:t xml:space="preserve">. et al. CpG island methylation of genes accumulates during the adenoma progression step of the multistep pathogenesis of colorectal cancer.2006 Aug;45(8):781-9. </w:t>
      </w:r>
    </w:p>
    <w:p w14:paraId="513C3D6F">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Worthley D L , Whitehall V L J , Buttenshaw R L , et al. DNA methylation within the normal colorectal mucosa is associated with pathway-specific predisposition to cancer[J]. Oncogene, 2010.</w:t>
      </w:r>
    </w:p>
    <w:p w14:paraId="41E48760">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Yamauchi</w:t>
      </w:r>
      <w:r>
        <w:rPr>
          <w:rFonts w:hint="eastAsia" w:hAnsi="Calibri" w:cs="Calibri" w:asciiTheme="minorAscii"/>
          <w:sz w:val="20"/>
          <w:szCs w:val="20"/>
          <w:highlight w:val="none"/>
          <w:lang w:val="en-US" w:eastAsia="zh-CN"/>
        </w:rPr>
        <w:t xml:space="preserve"> </w:t>
      </w:r>
      <w:r>
        <w:rPr>
          <w:rFonts w:hint="eastAsia" w:hAnsi="Calibri" w:cs="Calibri" w:asciiTheme="minorAscii"/>
          <w:sz w:val="20"/>
          <w:szCs w:val="20"/>
          <w:highlight w:val="none"/>
        </w:rPr>
        <w:t>M</w:t>
      </w:r>
      <w:r>
        <w:rPr>
          <w:rFonts w:hint="eastAsia" w:hAnsi="Calibri" w:cs="Calibri" w:asciiTheme="minorAscii"/>
          <w:sz w:val="20"/>
          <w:szCs w:val="20"/>
          <w:highlight w:val="none"/>
          <w:lang w:val="en-US" w:eastAsia="zh-CN"/>
        </w:rPr>
        <w:t>,</w:t>
      </w:r>
      <w:r>
        <w:rPr>
          <w:rFonts w:hint="eastAsia" w:hAnsi="Calibri" w:cs="Calibri" w:asciiTheme="minorAscii"/>
          <w:sz w:val="20"/>
          <w:szCs w:val="20"/>
          <w:highlight w:val="none"/>
        </w:rPr>
        <w:t>Morikawa</w:t>
      </w:r>
      <w:r>
        <w:rPr>
          <w:rFonts w:hint="eastAsia" w:hAnsi="Calibri" w:cs="Calibri" w:asciiTheme="minorAscii"/>
          <w:sz w:val="20"/>
          <w:szCs w:val="20"/>
          <w:highlight w:val="none"/>
          <w:lang w:val="en-US" w:eastAsia="zh-CN"/>
        </w:rPr>
        <w:t xml:space="preserve"> T</w:t>
      </w:r>
      <w:r>
        <w:rPr>
          <w:rFonts w:hint="eastAsia" w:hAnsi="Calibri" w:cs="Calibri" w:asciiTheme="minorAscii"/>
          <w:sz w:val="20"/>
          <w:szCs w:val="20"/>
          <w:highlight w:val="none"/>
        </w:rPr>
        <w:t>, Kuchiba</w:t>
      </w:r>
      <w:r>
        <w:rPr>
          <w:rFonts w:hint="eastAsia" w:hAnsi="Calibri" w:cs="Calibri" w:asciiTheme="minorAscii"/>
          <w:sz w:val="20"/>
          <w:szCs w:val="20"/>
          <w:highlight w:val="none"/>
          <w:lang w:val="en-US" w:eastAsia="zh-CN"/>
        </w:rPr>
        <w:t xml:space="preserve"> A, </w:t>
      </w:r>
      <w:r>
        <w:rPr>
          <w:rFonts w:hint="eastAsia" w:hAnsi="Calibri" w:cs="Calibri" w:asciiTheme="minorAscii"/>
          <w:sz w:val="20"/>
          <w:szCs w:val="20"/>
          <w:highlight w:val="none"/>
        </w:rPr>
        <w:t>et al. Assessment of colorectal cancer molecular features along bowel subsites challenges the conception of distinct dichotomy of proximal versus distal colorectum. Gut 61, 847–854 (2012).</w:t>
      </w:r>
    </w:p>
    <w:p w14:paraId="00796056">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Chittenden T W , Howe E A , Culhane A C , et al. Functional classification analysis of somatically mutated genes in human breast and colorectal cancers[J]. Genomics, 2008, 91(6):508-511.</w:t>
      </w:r>
    </w:p>
    <w:p w14:paraId="3B4078B7">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Spada C , Hassan C , Marmo R , et al. Meta-analysis Shows Colon Capsule Endoscopy Is Effective in Detecting Colorectal Polyps[J]. Clin Gastroenterol Hepatol, 2010, 8(6):516-522.e8.</w:t>
      </w:r>
    </w:p>
    <w:p w14:paraId="67A84B22">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Spada C , Hassan C , Barbaro B , et al. Colon capsule versus CT colonography in patients with incomplete colonoscopy: a prospective, comparative trial[J]. Gut, 2015, 64(2):272-81.</w:t>
      </w:r>
    </w:p>
    <w:p w14:paraId="75CBB52A">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Kenneth, W, Kinzler,</w:t>
      </w:r>
      <w:r>
        <w:rPr>
          <w:rFonts w:hint="eastAsia" w:hAnsi="Calibri" w:cs="Calibri" w:asciiTheme="minorAscii"/>
          <w:sz w:val="20"/>
          <w:szCs w:val="20"/>
          <w:highlight w:val="none"/>
          <w:lang w:val="en-US" w:eastAsia="zh-CN"/>
        </w:rPr>
        <w:t xml:space="preserve"> </w:t>
      </w:r>
      <w:r>
        <w:rPr>
          <w:rFonts w:hint="eastAsia" w:hAnsi="Calibri" w:cs="Calibri" w:asciiTheme="minorAscii"/>
          <w:sz w:val="20"/>
          <w:szCs w:val="20"/>
          <w:highlight w:val="none"/>
        </w:rPr>
        <w:t>et al. Lessons from Hereditary Colorectal Cancer[J]. Cell, 1996.</w:t>
      </w:r>
    </w:p>
    <w:p w14:paraId="343D2680">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Ahlquist, D. A</w:t>
      </w:r>
      <w:r>
        <w:rPr>
          <w:rFonts w:hint="eastAsia" w:hAnsi="Calibri" w:cs="Calibri" w:asciiTheme="minorAscii"/>
          <w:sz w:val="20"/>
          <w:szCs w:val="20"/>
          <w:highlight w:val="none"/>
          <w:lang w:val="en-US" w:eastAsia="zh-CN"/>
        </w:rPr>
        <w:t>, Sargent D J , Loprinzi C L,</w:t>
      </w:r>
      <w:r>
        <w:rPr>
          <w:rFonts w:hint="eastAsia" w:hAnsi="Calibri" w:cs="Calibri" w:asciiTheme="minorAscii"/>
          <w:sz w:val="20"/>
          <w:szCs w:val="20"/>
          <w:highlight w:val="none"/>
        </w:rPr>
        <w:t xml:space="preserve"> et al. Stool DNA and occult blood testing for screen detection of colorectal neoplasia. Ann. Intern. Med. 149, 441–450 (2008).</w:t>
      </w:r>
    </w:p>
    <w:p w14:paraId="0CB95F45">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Pages F , Mlecnik B , Marliot F , et al. International validation of the consensus Immunoscore for the classification of colon cancer: a prognostic and accuracy study[J]. Lancet (London, England).</w:t>
      </w:r>
    </w:p>
    <w:p w14:paraId="4BA0A8FC">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Mismatch repair deficiency predicts response of solid tumors to PD-1 blockade[J]. ence, 2017, 357(6349):409.</w:t>
      </w:r>
    </w:p>
    <w:p w14:paraId="62FD7418">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Quirke P , West N P , Nagtegaal I D . EURECCA consensus conference highlights about colorectal cancer clinical management: the pathologists expert review[J]. Virchows Archiv, 2014, 464(2):129-134.</w:t>
      </w:r>
    </w:p>
    <w:p w14:paraId="0081FCB5">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Fiori E , Lamazza A , Schillaci A , et al. Palliative management for patients with subacute obstruction and stage IV unresectable rectosigmoid cancer: colostomy versus endoscopic stenting: final results of a prospective randomized trial[J]. American Journal of Surgery, 2012, 204(3):321-326.</w:t>
      </w:r>
    </w:p>
    <w:p w14:paraId="5F613DC7">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Graaf E J R D , Doornebosch P G , Tollenaar R A E M , et al. Transanal endoscopic microsurgery versus total mesorectal excision of T1 rectal adenocarcinomas with curative intention[J]. European Journal of Surgical Oncology, 2009, 35(12):1280-1285.</w:t>
      </w:r>
    </w:p>
    <w:p w14:paraId="07F35BF0">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Phil Quirke and Robert Steele and John Monson and Robert Grieve and Subhash Khanna and Jean Couture and Chris O'Callaghan and Arthur Sun Myint and Eric Bessell and Lindsay C Thompson and Mahesh Parmar and Richard J Stephens and David Sebag-Montefiore. Effect of the plane of surgery achieved on local recurrence in patients with operable rectal cancer: a prospective study using data from the MRC CR07 and NCIC-CTG CO16 randomised clinical trial[J]. The Lancet, 2009.</w:t>
      </w:r>
    </w:p>
    <w:p w14:paraId="5059E5C5">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Karim, M, Ramji, et al. Comparison of clinical and economic outcomes between robotic, laparoscopic, and open rectal cancer surgery: early experience at a tertiary care center[J]. Surgical Endoscopy, 2016.</w:t>
      </w:r>
    </w:p>
    <w:p w14:paraId="7740F48D">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Habr-Gama A , Perez R O , Juli?O G P S , et al. Nonoperative Approaches to Rectal Cancer: A Critical Evaluation[J]. Seminars in Radiation Oncology, 2011, 21(3):234-239.</w:t>
      </w:r>
    </w:p>
    <w:p w14:paraId="5BD5E389">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Amado R G , Wolf M , Peeters M , et al. Wild-Type KRAS Is Required for Panitumumab Efficacy in Patients With Metastatic Colorectal Cancer[J]. Journal of Clinical Oncology, 2008, 26(10):1626-1634.</w:t>
      </w:r>
    </w:p>
    <w:p w14:paraId="63DC605A">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Willett, C. G</w:t>
      </w:r>
      <w:r>
        <w:rPr>
          <w:rFonts w:hint="eastAsia" w:hAnsi="Calibri" w:cs="Calibri" w:asciiTheme="minorAscii"/>
          <w:sz w:val="20"/>
          <w:szCs w:val="20"/>
          <w:highlight w:val="none"/>
          <w:lang w:eastAsia="zh-CN"/>
        </w:rPr>
        <w:t>，</w:t>
      </w:r>
      <w:r>
        <w:rPr>
          <w:rFonts w:hint="eastAsia" w:hAnsi="Calibri" w:cs="Calibri" w:asciiTheme="minorAscii"/>
          <w:sz w:val="20"/>
          <w:szCs w:val="20"/>
          <w:highlight w:val="none"/>
        </w:rPr>
        <w:t>Boucher</w:t>
      </w:r>
      <w:r>
        <w:rPr>
          <w:rFonts w:hint="eastAsia" w:hAnsi="Calibri" w:cs="Calibri" w:asciiTheme="minorAscii"/>
          <w:sz w:val="20"/>
          <w:szCs w:val="20"/>
          <w:highlight w:val="none"/>
          <w:lang w:val="en-US" w:eastAsia="zh-CN"/>
        </w:rPr>
        <w:t xml:space="preserve"> </w:t>
      </w:r>
      <w:r>
        <w:rPr>
          <w:rFonts w:hint="eastAsia" w:hAnsi="Calibri" w:cs="Calibri" w:asciiTheme="minorAscii"/>
          <w:sz w:val="20"/>
          <w:szCs w:val="20"/>
          <w:highlight w:val="none"/>
        </w:rPr>
        <w:t>Y, Tomaso E</w:t>
      </w:r>
      <w:r>
        <w:rPr>
          <w:rFonts w:hint="eastAsia" w:hAnsi="Calibri" w:cs="Calibri" w:asciiTheme="minorAscii"/>
          <w:sz w:val="20"/>
          <w:szCs w:val="20"/>
          <w:highlight w:val="none"/>
          <w:lang w:val="en-US" w:eastAsia="zh-CN"/>
        </w:rPr>
        <w:t xml:space="preserve"> </w:t>
      </w:r>
      <w:r>
        <w:rPr>
          <w:rFonts w:hint="eastAsia" w:hAnsi="Calibri" w:cs="Calibri" w:asciiTheme="minorAscii"/>
          <w:sz w:val="20"/>
          <w:szCs w:val="20"/>
          <w:highlight w:val="none"/>
        </w:rPr>
        <w:t>d,</w:t>
      </w:r>
      <w:r>
        <w:rPr>
          <w:rFonts w:hint="eastAsia" w:hAnsi="Calibri" w:cs="Calibri" w:asciiTheme="minorAscii"/>
          <w:sz w:val="20"/>
          <w:szCs w:val="20"/>
          <w:highlight w:val="none"/>
          <w:lang w:val="en-US" w:eastAsia="zh-CN"/>
        </w:rPr>
        <w:t xml:space="preserve"> </w:t>
      </w:r>
      <w:r>
        <w:rPr>
          <w:rFonts w:hint="eastAsia" w:hAnsi="Calibri" w:cs="Calibri" w:asciiTheme="minorAscii"/>
          <w:sz w:val="20"/>
          <w:szCs w:val="20"/>
          <w:highlight w:val="none"/>
        </w:rPr>
        <w:t>et al. Direct evidence that the VEGF</w:t>
      </w:r>
      <w:r>
        <w:rPr>
          <w:rFonts w:hint="eastAsia" w:hAnsi="Calibri" w:cs="Calibri" w:asciiTheme="minorAscii"/>
          <w:sz w:val="20"/>
          <w:szCs w:val="20"/>
          <w:highlight w:val="none"/>
          <w:lang w:val="en-US" w:eastAsia="zh-CN"/>
        </w:rPr>
        <w:t xml:space="preserve"> </w:t>
      </w:r>
      <w:r>
        <w:rPr>
          <w:rFonts w:hint="eastAsia" w:hAnsi="Calibri" w:cs="Calibri" w:asciiTheme="minorAscii"/>
          <w:sz w:val="20"/>
          <w:szCs w:val="20"/>
          <w:highlight w:val="none"/>
        </w:rPr>
        <w:t>specific antibody bevacizumab has antivascular effects in human rectal cancer. Nat. Med. 10, 145–147 (2004).</w:t>
      </w:r>
    </w:p>
    <w:p w14:paraId="65F88869">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Henricks LM, Lunenburg CATC, de Man FM, et al. DPYD</w:t>
      </w:r>
      <w:r>
        <w:rPr>
          <w:rFonts w:hint="eastAsia" w:hAnsi="Calibri" w:cs="Calibri" w:asciiTheme="minorAscii"/>
          <w:sz w:val="20"/>
          <w:szCs w:val="20"/>
          <w:highlight w:val="none"/>
          <w:lang w:val="en-US" w:eastAsia="zh-CN"/>
        </w:rPr>
        <w:t xml:space="preserve"> </w:t>
      </w:r>
      <w:r>
        <w:rPr>
          <w:rFonts w:hint="eastAsia" w:hAnsi="Calibri" w:cs="Calibri" w:asciiTheme="minorAscii"/>
          <w:sz w:val="20"/>
          <w:szCs w:val="20"/>
          <w:highlight w:val="none"/>
        </w:rPr>
        <w:t>genotype-guided dose individualisation of fluoropyrimidine therapy in patients with cancer: a prospective safety analysis. Lancet Oncol</w:t>
      </w:r>
      <w:r>
        <w:rPr>
          <w:rFonts w:hint="eastAsia" w:hAnsi="Calibri" w:cs="Calibri" w:asciiTheme="minorAscii"/>
          <w:sz w:val="20"/>
          <w:szCs w:val="20"/>
          <w:highlight w:val="none"/>
          <w:lang w:val="en-US" w:eastAsia="zh-CN"/>
        </w:rPr>
        <w:t xml:space="preserve"> </w:t>
      </w:r>
      <w:r>
        <w:rPr>
          <w:rFonts w:hint="eastAsia" w:hAnsi="Calibri" w:cs="Calibri" w:asciiTheme="minorAscii"/>
          <w:sz w:val="20"/>
          <w:szCs w:val="20"/>
          <w:highlight w:val="none"/>
        </w:rPr>
        <w:t>2018; 19: 1459–67</w:t>
      </w:r>
    </w:p>
    <w:p w14:paraId="24E6357A">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Roth A D , Tejpar S , Delorenzi M , et al. Prognostic Role of KRAS and BRAF in Stage II and III Resected Colon Cancer: Results of the Translational Study on the PETACC-3, EORTC 40993, SAKK 60-00 Trial[J]. Journal of Clinical Oncology Official Journal of the American Society of Clinical Oncology, 2010, 28(3):466-74.</w:t>
      </w:r>
    </w:p>
    <w:p w14:paraId="6DC2B2AF">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Pages F , Mlecnik B , Marliot F , et al. International validation of the consensus Immunoscore for the classification of colon cancer: a prognostic and accuracy study[J]. Lancet. 2018 May 26;391(10135):2128-2139.</w:t>
      </w:r>
    </w:p>
    <w:p w14:paraId="0909BE55">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Giantonio B J , Catalano P J , Meropol N J , et al. Bevacizumab in Combination With Oxaliplatin, Fluorouracil, and Leucovorin (FOLFOX4) for Previously Treated Metastatic Colorectal Cancer: Results From the Eastern Cooperative Oncology Group Study E3200[J]. Journal of Clinical Oncology, 2007, 20(12):1539-1544.</w:t>
      </w:r>
    </w:p>
    <w:p w14:paraId="6BA9CA35">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Grothey A , Sobrero A F , Shields A F , et al. Duration of adjuvant chemotherapy for stage III colon cancer[J]. N Engl J Med, 2018, PP(13):1177-1188.</w:t>
      </w:r>
    </w:p>
    <w:p w14:paraId="19674EE4">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Venook AP, Niedzwiecki D, Innocenti F, at al. Impact of primary (1º) tumor location on overall survival (OS) and progression-free survival (PFS) in patients (pts) with metastatic colorectal cancer (mCRC): analysis of CALGB/SWOG 80405 (Alliance). J Clin Oncol 2016; 34 (suppl 15): 3504 (abstr)</w:t>
      </w:r>
    </w:p>
    <w:p w14:paraId="206DC419">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Arnold D, Lueza B, Douillard JY, et al. Prognostic and predictive value</w:t>
      </w:r>
      <w:r>
        <w:rPr>
          <w:rFonts w:hint="eastAsia" w:hAnsi="Calibri" w:cs="Calibri" w:asciiTheme="minorAscii"/>
          <w:sz w:val="20"/>
          <w:szCs w:val="20"/>
          <w:highlight w:val="none"/>
          <w:lang w:val="en-US" w:eastAsia="zh-CN"/>
        </w:rPr>
        <w:t xml:space="preserve"> </w:t>
      </w:r>
      <w:r>
        <w:rPr>
          <w:rFonts w:hint="eastAsia" w:hAnsi="Calibri" w:cs="Calibri" w:asciiTheme="minorAscii"/>
          <w:sz w:val="20"/>
          <w:szCs w:val="20"/>
          <w:highlight w:val="none"/>
        </w:rPr>
        <w:t>of primary tumour side in patients with RAS wild-type metastatic colorectal cancer treated with chemotherapy and EGFR directed antibodies in six randomized trials. Ann Oncol 2017; 28: 1713–29.</w:t>
      </w:r>
    </w:p>
    <w:p w14:paraId="7871C8DB">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Bokemeyer C, Bondarenko I, Makhson A, et al. Fluorouracil,leucovorin, and oxaliplatin with and without cetuximab in the first-line treatment of metastatic colorectal cancer. J Clin Oncol 2009; 27: 663–71.</w:t>
      </w:r>
    </w:p>
    <w:p w14:paraId="0B8C5678">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Pietrantonio F, Petrelli F, Coinu A, et al. Predictive role of BRAF</w:t>
      </w:r>
      <w:r>
        <w:rPr>
          <w:rFonts w:hint="eastAsia" w:hAnsi="Calibri" w:cs="Calibri" w:asciiTheme="minorAscii"/>
          <w:sz w:val="20"/>
          <w:szCs w:val="20"/>
          <w:highlight w:val="none"/>
          <w:lang w:val="en-US" w:eastAsia="zh-CN"/>
        </w:rPr>
        <w:t xml:space="preserve"> </w:t>
      </w:r>
      <w:r>
        <w:rPr>
          <w:rFonts w:hint="eastAsia" w:hAnsi="Calibri" w:cs="Calibri" w:asciiTheme="minorAscii"/>
          <w:sz w:val="20"/>
          <w:szCs w:val="20"/>
          <w:highlight w:val="none"/>
        </w:rPr>
        <w:t>mutations in patients with advanced colorectal cancer receiving cetuximab and panitumumab: a meta-analysis. Eur J Cancer 2015; 51: 587–94</w:t>
      </w:r>
    </w:p>
    <w:p w14:paraId="471BDAB3">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Bevacizumab plus chemotherapy continued beyond first progression in patients with metastatic colorectal cancer previously treated with bevacizumab plus chemotherapy: ML18147 study KRAS subgroup findings[J]. Annals of Oncology Official Journal of the European Society for Medical Oncology, 2013, 24(9):2342-2349.</w:t>
      </w:r>
    </w:p>
    <w:p w14:paraId="3D0A7220">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Van Cutsem, E</w:t>
      </w:r>
      <w:r>
        <w:rPr>
          <w:rFonts w:hint="eastAsia" w:hAnsi="Calibri" w:cs="Calibri" w:asciiTheme="minorAscii"/>
          <w:sz w:val="20"/>
          <w:szCs w:val="20"/>
          <w:highlight w:val="none"/>
          <w:lang w:val="en-US" w:eastAsia="zh-CN"/>
        </w:rPr>
        <w:t xml:space="preserve">, </w:t>
      </w:r>
      <w:r>
        <w:rPr>
          <w:rFonts w:hint="eastAsia" w:hAnsi="Calibri" w:cs="Calibri" w:asciiTheme="minorAscii"/>
          <w:sz w:val="20"/>
          <w:szCs w:val="20"/>
          <w:highlight w:val="none"/>
        </w:rPr>
        <w:fldChar w:fldCharType="begin"/>
      </w:r>
      <w:r>
        <w:rPr>
          <w:rFonts w:hint="eastAsia" w:hAnsi="Calibri" w:cs="Calibri" w:asciiTheme="minorAscii"/>
          <w:sz w:val="20"/>
          <w:szCs w:val="20"/>
          <w:highlight w:val="none"/>
        </w:rPr>
        <w:instrText xml:space="preserve"> HYPERLINK "https://xueshu.baidu.com/s?wd=author:(Tabernero, J.) &amp;tn=SE_baiduxueshu_c1gjeupa&amp;ie=utf-8&amp;sc_f_para=sc_hilight=person" \t "https://xueshu.baidu.com/usercenter/paper/_blank" </w:instrText>
      </w:r>
      <w:r>
        <w:rPr>
          <w:rFonts w:hint="eastAsia" w:hAnsi="Calibri" w:cs="Calibri" w:asciiTheme="minorAscii"/>
          <w:sz w:val="20"/>
          <w:szCs w:val="20"/>
          <w:highlight w:val="none"/>
        </w:rPr>
        <w:fldChar w:fldCharType="separate"/>
      </w:r>
      <w:r>
        <w:rPr>
          <w:rFonts w:hint="eastAsia" w:hAnsi="Calibri" w:cs="Calibri" w:asciiTheme="minorAscii"/>
          <w:sz w:val="20"/>
          <w:szCs w:val="20"/>
          <w:highlight w:val="none"/>
        </w:rPr>
        <w:t>Tabernero, J.</w:t>
      </w:r>
      <w:r>
        <w:rPr>
          <w:rFonts w:hint="eastAsia" w:hAnsi="Calibri" w:cs="Calibri" w:asciiTheme="minorAscii"/>
          <w:sz w:val="20"/>
          <w:szCs w:val="20"/>
          <w:highlight w:val="none"/>
        </w:rPr>
        <w:fldChar w:fldCharType="end"/>
      </w:r>
      <w:r>
        <w:rPr>
          <w:rFonts w:hint="eastAsia" w:hAnsi="Calibri" w:cs="Calibri" w:asciiTheme="minorAscii"/>
          <w:sz w:val="20"/>
          <w:szCs w:val="20"/>
          <w:highlight w:val="none"/>
          <w:lang w:val="en-US" w:eastAsia="zh-CN"/>
        </w:rPr>
        <w:t xml:space="preserve">, </w:t>
      </w:r>
      <w:r>
        <w:rPr>
          <w:rFonts w:hint="eastAsia" w:hAnsi="Calibri" w:cs="Calibri" w:asciiTheme="minorAscii"/>
          <w:sz w:val="20"/>
          <w:szCs w:val="20"/>
          <w:highlight w:val="none"/>
        </w:rPr>
        <w:fldChar w:fldCharType="begin"/>
      </w:r>
      <w:r>
        <w:rPr>
          <w:rFonts w:hint="eastAsia" w:hAnsi="Calibri" w:cs="Calibri" w:asciiTheme="minorAscii"/>
          <w:sz w:val="20"/>
          <w:szCs w:val="20"/>
          <w:highlight w:val="none"/>
        </w:rPr>
        <w:instrText xml:space="preserve"> HYPERLINK "https://xueshu.baidu.com/s?wd=author:(Lakomy, R.) &amp;tn=SE_baiduxueshu_c1gjeupa&amp;ie=utf-8&amp;sc_f_para=sc_hilight=person" \t "https://xueshu.baidu.com/usercenter/paper/_blank" </w:instrText>
      </w:r>
      <w:r>
        <w:rPr>
          <w:rFonts w:hint="eastAsia" w:hAnsi="Calibri" w:cs="Calibri" w:asciiTheme="minorAscii"/>
          <w:sz w:val="20"/>
          <w:szCs w:val="20"/>
          <w:highlight w:val="none"/>
        </w:rPr>
        <w:fldChar w:fldCharType="separate"/>
      </w:r>
      <w:r>
        <w:rPr>
          <w:rFonts w:hint="eastAsia" w:hAnsi="Calibri" w:cs="Calibri" w:asciiTheme="minorAscii"/>
          <w:sz w:val="20"/>
          <w:szCs w:val="20"/>
          <w:highlight w:val="none"/>
        </w:rPr>
        <w:t>Lakomy, R.</w:t>
      </w:r>
      <w:r>
        <w:rPr>
          <w:rFonts w:hint="eastAsia" w:hAnsi="Calibri" w:cs="Calibri" w:asciiTheme="minorAscii"/>
          <w:sz w:val="20"/>
          <w:szCs w:val="20"/>
          <w:highlight w:val="none"/>
        </w:rPr>
        <w:fldChar w:fldCharType="end"/>
      </w:r>
      <w:r>
        <w:rPr>
          <w:rFonts w:hint="eastAsia" w:hAnsi="Calibri" w:cs="Calibri" w:asciiTheme="minorAscii"/>
          <w:sz w:val="20"/>
          <w:szCs w:val="20"/>
          <w:highlight w:val="none"/>
          <w:lang w:val="en-US" w:eastAsia="zh-CN"/>
        </w:rPr>
        <w:t xml:space="preserve">, </w:t>
      </w:r>
      <w:r>
        <w:rPr>
          <w:rFonts w:hint="eastAsia" w:hAnsi="Calibri" w:cs="Calibri" w:asciiTheme="minorAscii"/>
          <w:sz w:val="20"/>
          <w:szCs w:val="20"/>
          <w:highlight w:val="none"/>
        </w:rPr>
        <w:t>et al. Addition of aflibercept to fluorouracil, leucovorin, and irinotecan improves survival in a Phase III randomized trial in patients with metastatic colorectal cancer previously treated with an oxaliplatin-based regimen. J. Clin. Oncol. 30, 3499–3506 (2012).</w:t>
      </w:r>
    </w:p>
    <w:p w14:paraId="0CE2E791">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Ansi="Helvetica" w:eastAsia="Helvetica" w:cs="Helvetica" w:asciiTheme="minorAscii"/>
          <w:i w:val="0"/>
          <w:caps w:val="0"/>
          <w:color w:val="000000"/>
          <w:spacing w:val="0"/>
          <w:sz w:val="20"/>
          <w:szCs w:val="20"/>
          <w:highlight w:val="none"/>
          <w:shd w:val="clear" w:fill="FFFFFF"/>
        </w:rPr>
        <w:t>Tomlinson J S , Jarnagin W R , Dematteo R P , et al. Actual 10-year survival after resection of colorectal liver metastases defines cure.[J]. Journal of Clinical Oncology, 2007, 25(29):4575-4580.</w:t>
      </w:r>
    </w:p>
    <w:p w14:paraId="4A9C6F49">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lang w:val="en-US" w:eastAsia="zh-CN"/>
        </w:rPr>
        <w:t>A</w:t>
      </w:r>
      <w:r>
        <w:rPr>
          <w:rFonts w:hint="eastAsia" w:hAnsi="Calibri" w:cs="Calibri" w:asciiTheme="minorAscii"/>
          <w:sz w:val="20"/>
          <w:szCs w:val="20"/>
          <w:highlight w:val="none"/>
        </w:rPr>
        <w:t>yez</w:t>
      </w:r>
      <w:r>
        <w:rPr>
          <w:rFonts w:hint="eastAsia" w:hAnsi="Calibri" w:cs="Calibri" w:asciiTheme="minorAscii"/>
          <w:sz w:val="20"/>
          <w:szCs w:val="20"/>
          <w:highlight w:val="none"/>
          <w:lang w:val="en-US" w:eastAsia="zh-CN"/>
        </w:rPr>
        <w:t xml:space="preserve"> </w:t>
      </w:r>
      <w:r>
        <w:rPr>
          <w:rFonts w:hint="eastAsia" w:hAnsi="Calibri" w:cs="Calibri" w:asciiTheme="minorAscii"/>
          <w:sz w:val="20"/>
          <w:szCs w:val="20"/>
          <w:highlight w:val="none"/>
        </w:rPr>
        <w:t>N</w:t>
      </w:r>
      <w:r>
        <w:rPr>
          <w:rFonts w:hint="eastAsia" w:hAnsi="Calibri" w:cs="Calibri" w:asciiTheme="minorAscii"/>
          <w:sz w:val="20"/>
          <w:szCs w:val="20"/>
          <w:highlight w:val="none"/>
          <w:lang w:val="en-US" w:eastAsia="zh-CN"/>
        </w:rPr>
        <w:t xml:space="preserve">,Lalmahomed Z S，Eggermont A M M , </w:t>
      </w:r>
      <w:r>
        <w:rPr>
          <w:rFonts w:hint="eastAsia" w:hAnsi="Calibri" w:cs="Calibri" w:asciiTheme="minorAscii"/>
          <w:sz w:val="20"/>
          <w:szCs w:val="20"/>
          <w:highlight w:val="none"/>
        </w:rPr>
        <w:t>et al. Outcome of microscopic incomplete resection (R1) of colorectal liver metastases in the era of neoadjuvant chemotherapy. Ann. Surg. Oncol. 19, 1618–1627 (2012).</w:t>
      </w:r>
    </w:p>
    <w:p w14:paraId="0243C67E">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Heinemann, V</w:t>
      </w:r>
      <w:r>
        <w:rPr>
          <w:rFonts w:hint="eastAsia" w:hAnsi="Calibri" w:cs="Calibri" w:asciiTheme="minorAscii"/>
          <w:sz w:val="20"/>
          <w:szCs w:val="20"/>
          <w:highlight w:val="none"/>
          <w:lang w:val="en-US" w:eastAsia="zh-CN"/>
        </w:rPr>
        <w:t>,von Weikersthal LF, Decker T,</w:t>
      </w:r>
      <w:r>
        <w:rPr>
          <w:rFonts w:hint="eastAsia" w:hAnsi="Calibri" w:cs="Calibri" w:asciiTheme="minorAscii"/>
          <w:sz w:val="20"/>
          <w:szCs w:val="20"/>
          <w:highlight w:val="none"/>
        </w:rPr>
        <w:t xml:space="preserve"> et al. FOLFIRI plus cetuximab versus FOLFIRI plus bevacizumab as first-line treatment for patients with metastatic colorectal cancer (FIRE-3): a randomised, open-label, phase 3 trial. Lancet Oncol. 15, 1065–1075 (2014).</w:t>
      </w:r>
    </w:p>
    <w:p w14:paraId="5A3FF421">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Calibri" w:cs="Calibri" w:asciiTheme="minorAscii"/>
          <w:sz w:val="20"/>
          <w:szCs w:val="20"/>
          <w:highlight w:val="none"/>
        </w:rPr>
        <w:t>Amarpreet Bhalla, Muhammad Zulfiqar, Martin H. Bluth. Molecular Diagnostics in Colorectal Carcinoma : Advances and Applications for 2018[J]. Clinics in Laboratory Medicine, 2018, 38(2):311-342.</w:t>
      </w:r>
    </w:p>
    <w:p w14:paraId="40A26922">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Calibri" w:cs="Calibri" w:asciiTheme="minorAscii"/>
          <w:sz w:val="20"/>
          <w:szCs w:val="20"/>
          <w:highlight w:val="none"/>
        </w:rPr>
        <w:t>Kanthan R, Senger J L, Kanthan S C. Molecular Events in Primary and Metastatic Colorectal Carcinoma: A Review[J]. Pathology Research International,2012,(2012-5-9), 2012, 2012:597497.</w:t>
      </w:r>
    </w:p>
    <w:p w14:paraId="578CAF06">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Calibri" w:cs="Calibri" w:asciiTheme="minorAscii"/>
          <w:sz w:val="20"/>
          <w:szCs w:val="20"/>
          <w:highlight w:val="none"/>
        </w:rPr>
        <w:t>Tan C, Du X. KRAS mutation testing in metastatic colorectal cancer[J]. World Journal of Gastroenterology, 2012, 18(37):5171-5180.</w:t>
      </w:r>
    </w:p>
    <w:p w14:paraId="5734D334">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Calibri" w:cs="Calibri" w:asciiTheme="minorAscii"/>
          <w:sz w:val="20"/>
          <w:szCs w:val="20"/>
          <w:highlight w:val="none"/>
        </w:rPr>
        <w:t>Heinemann V, von Weikersthal L F, Decker T, et al. FOLFIRI plus cetuximab versus FOLFIRI plus bevacizumab as first-line treatment for patients with metastatic colorectal cancer (FIRE-3): a randomised, open-label, phase 3 trial[J]. Lancet Oncology, 2014, 15(10):1065-1075.</w:t>
      </w:r>
    </w:p>
    <w:p w14:paraId="46A5FD0F">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Calibri" w:cs="Calibri" w:asciiTheme="minorAscii"/>
          <w:sz w:val="20"/>
          <w:szCs w:val="20"/>
          <w:highlight w:val="none"/>
        </w:rPr>
        <w:t>Ma B B, Mo F, Tong J H, et al. Elucidating the prognostic significance of KRAS, NRAS, BRAF and PIK3CA mutations in Chinese patients with metastatic colorectal cancer[J]. Asia Pac J Clin Oncol, 2015, 11(2):160-169.</w:t>
      </w:r>
    </w:p>
    <w:p w14:paraId="67CB80F1">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Tsuneo I, Yohko H, Fumihiko K,</w:t>
      </w:r>
      <w:r>
        <w:rPr>
          <w:rFonts w:hAnsi="Calibri" w:cs="Calibri" w:asciiTheme="minorAscii"/>
          <w:sz w:val="20"/>
          <w:szCs w:val="20"/>
          <w:highlight w:val="none"/>
        </w:rPr>
        <w:t xml:space="preserve"> et al.</w:t>
      </w:r>
      <w:r>
        <w:rPr>
          <w:rFonts w:hint="eastAsia" w:hAnsi="Calibri" w:cs="Calibri" w:asciiTheme="minorAscii"/>
          <w:sz w:val="20"/>
          <w:szCs w:val="20"/>
          <w:highlight w:val="none"/>
        </w:rPr>
        <w:t>Different effects of point mutations within the B-Raf glycine-rich loop in colorectal tumors on mitogen-activated protein/extracellular signal-regulated kinase kinase/extracellular signal-regulated kinase and nuclear factor kappaB pathway and cellular transformation</w:t>
      </w:r>
      <w:r>
        <w:rPr>
          <w:rFonts w:hint="eastAsia" w:hAnsi="Calibri" w:cs="Calibri" w:asciiTheme="minorAscii"/>
          <w:sz w:val="20"/>
          <w:szCs w:val="20"/>
          <w:highlight w:val="none"/>
          <w:lang w:val="en-US" w:eastAsia="zh-CN"/>
        </w:rPr>
        <w:t>.Cancer Res. 2004 May 15;64(10):3428-35.</w:t>
      </w:r>
    </w:p>
    <w:p w14:paraId="3F6BC90E">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Siena S, Sartore-Bianchi A, Marsoni S, et al. Targeting the human epidermal growth factor receptor 2 in colorectal cancer. Ann Oncol. 2018;29:1108-1119.</w:t>
      </w:r>
    </w:p>
    <w:p w14:paraId="14B91893">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Sartore-Bianchi A, Trusolino L, Martino C, et al. Dual-targeted therapy with trastuzumab and lapatinib in treatment-refractory, KRAS codon 12/13 wild-type, HER2-positive metastatic colorectal cancer (HERACLES): a proof-of-concept, multicentre, open-label, phase 2 trial. Lancet Oncol. 2016;17:738-746.</w:t>
      </w:r>
    </w:p>
    <w:p w14:paraId="5C8AD937">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Pertuzumab plus trastuzumab for HER2-amplified metastatic colorectal cancer (MyPathway): an updated report from a multicentre, open-label, phase 2a, multiple basket study.[J]. The Lancet. Oncology, 2019.</w:t>
      </w:r>
    </w:p>
    <w:p w14:paraId="0AC850DE">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Calibri" w:cs="Calibri" w:asciiTheme="minorAscii"/>
          <w:sz w:val="20"/>
          <w:szCs w:val="20"/>
          <w:highlight w:val="none"/>
        </w:rPr>
        <w:t>Peltomäki P. Deficient DNA mismatch repair: a common etiologic factor for colon cancer.[J]. Human Molecular Genetics, 2001, 10(7):735-740.</w:t>
      </w:r>
    </w:p>
    <w:p w14:paraId="3FF10E0C">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Ansi="Calibri" w:cs="Calibri" w:asciiTheme="minorAscii"/>
          <w:sz w:val="20"/>
          <w:szCs w:val="20"/>
          <w:highlight w:val="none"/>
        </w:rPr>
        <w:t>Amarpreet Bhalla, Muhammad Zulfiqar, Martin H. Bluth. Molecular Diagnostics in Colorectal Carcinoma : Advances and Applications for 2018[J]. Clinics in Laboratory Medicine, 2018, 38(2):311-342.</w:t>
      </w:r>
    </w:p>
    <w:p w14:paraId="07F58890">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Calibri" w:cs="Calibri" w:asciiTheme="minorAscii"/>
          <w:sz w:val="20"/>
          <w:szCs w:val="20"/>
          <w:highlight w:val="none"/>
        </w:rPr>
        <w:t>Palomaki G E, Mcclain M R, Melillo S, et al. EGAPP supplementary evidence review: DNA testing strategies aimed at reducing morbidity and mortality from Lynch syndrome[J]. Genetics in Medicine, 2009, 11(1):42-65.</w:t>
      </w:r>
    </w:p>
    <w:p w14:paraId="0FB7630B">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微软雅黑" w:eastAsia="微软雅黑" w:cs="微软雅黑" w:asciiTheme="minorAscii"/>
          <w:i w:val="0"/>
          <w:caps w:val="0"/>
          <w:color w:val="000000"/>
          <w:spacing w:val="0"/>
          <w:sz w:val="20"/>
          <w:szCs w:val="20"/>
          <w:highlight w:val="none"/>
          <w:shd w:val="clear" w:fill="FFFFFF"/>
        </w:rPr>
        <w:t>Boyiadzis M M , Kirkwood J M , Marshall J L , et al. Significance and implications of FDA approval of pembrolizumab for biomarker-defined disease[J]. Journal for ImmunoTherapy of Cancer, 2018, 6(1):35.</w:t>
      </w:r>
    </w:p>
    <w:p w14:paraId="122246E9">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Calibri" w:cs="Calibri" w:asciiTheme="minorAscii"/>
          <w:sz w:val="20"/>
          <w:szCs w:val="20"/>
          <w:highlight w:val="none"/>
        </w:rPr>
        <w:t>Aparicio T. PD-1 blockade in tumors with mismatch-repair deficiency[J]. New England Journal of Medicine, 2015, 373(20):2509-2520.</w:t>
      </w:r>
    </w:p>
    <w:p w14:paraId="3ED0D452">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Calibri" w:cs="Calibri" w:asciiTheme="minorAscii"/>
          <w:sz w:val="20"/>
          <w:szCs w:val="20"/>
          <w:highlight w:val="none"/>
        </w:rPr>
        <w:t>Le D T, Durham J N, Smith K N, et al. Mismatch-repair deficiency predicts response of solid tumors to PD-1 blockade.[J]. Science, 2017, 357(6349):409.</w:t>
      </w:r>
    </w:p>
    <w:p w14:paraId="654737A4">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Calibri" w:cs="Calibri" w:asciiTheme="minorAscii"/>
          <w:sz w:val="20"/>
          <w:szCs w:val="20"/>
          <w:highlight w:val="none"/>
        </w:rPr>
        <w:t>Overman M J, Mcdermott R, Leach J L, et al. Nivolumab in patients with metastatic DNA mismatch repair-deficient or microsatellite instability-high colorectal cancer (CheckMate 142): an open-label, multicentre, phase 2 study.[J]. Lancet Oncology, 2017, 18(9):1182.</w:t>
      </w:r>
    </w:p>
    <w:p w14:paraId="502A11A8">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Calibri" w:cs="Calibri" w:asciiTheme="minorAscii"/>
          <w:sz w:val="20"/>
          <w:szCs w:val="20"/>
          <w:highlight w:val="none"/>
        </w:rPr>
        <w:t>Link J T, Overman M J. Immunotherapy Progress in Mismatch Repair-Deficient Colorectal Cancer and Future Therapeutic Challenges[J]. Cancer Journal, 2016, 22(3):190.</w:t>
      </w:r>
    </w:p>
    <w:p w14:paraId="2CBC730C">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Calibri" w:cs="Calibri" w:asciiTheme="minorAscii"/>
          <w:sz w:val="20"/>
          <w:szCs w:val="20"/>
          <w:highlight w:val="none"/>
        </w:rPr>
        <w:t>Giannakis M, Shukla S, Mu JX, et al. Comprehensive molecular characterization of colorectal cancer reveals genomic predictors of immune cell infiltrates[J]. Bioorgan Med Chem, 2015, 17(2): 569-575.</w:t>
      </w:r>
    </w:p>
    <w:p w14:paraId="1D4E2088">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Calibri" w:cs="Calibri" w:asciiTheme="minorAscii"/>
          <w:sz w:val="20"/>
          <w:szCs w:val="20"/>
          <w:highlight w:val="none"/>
        </w:rPr>
        <w:t>Mehnert J M, Panda A, Hua Z, et al. Immune activation and response to pembrolizumab in POLE-mutant endometrial cancer[J]. Journal of Clinical Investigation, 2016, 126(6):2334.</w:t>
      </w:r>
    </w:p>
    <w:p w14:paraId="263B79D5">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Calibri" w:cs="Calibri" w:asciiTheme="minorAscii"/>
          <w:sz w:val="20"/>
          <w:szCs w:val="20"/>
          <w:highlight w:val="none"/>
        </w:rPr>
        <w:t>NA Rizvi, MD Hellmann, A Snyder, et al. Cancer immunology. Mutational landscape determines sensitivity to PD-1 blockade in non-small cell lung cancer.[J]. Science, 2015, 348(6230):124-128.</w:t>
      </w:r>
    </w:p>
    <w:p w14:paraId="12CDE453">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Calibri" w:cs="Calibri" w:asciiTheme="minorAscii"/>
          <w:sz w:val="20"/>
          <w:szCs w:val="20"/>
          <w:highlight w:val="none"/>
        </w:rPr>
        <w:t>Domingo E, Freeman-Mills L, Rayner E, et al. Somatic POLE, proofreading domain mutation, immune response, and prognosis in colorectal cancer: a retrospective, pooled biomarker study[J]. Lancet Gastroenterology &amp; Hepatology, 2016, 1(3):207-216.</w:t>
      </w:r>
    </w:p>
    <w:p w14:paraId="7D70A910">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int="default" w:hAnsi="Calibri" w:cs="Calibri" w:asciiTheme="minorAscii"/>
          <w:sz w:val="20"/>
          <w:szCs w:val="20"/>
          <w:highlight w:val="none"/>
          <w:lang w:val="en-US" w:eastAsia="zh-CN"/>
        </w:rPr>
        <w:t xml:space="preserve">Jun G, Chongkai W, Peter PL, </w:t>
      </w:r>
      <w:r>
        <w:rPr>
          <w:rFonts w:hAnsi="Calibri" w:cs="Calibri" w:asciiTheme="minorAscii"/>
          <w:sz w:val="20"/>
          <w:szCs w:val="20"/>
          <w:highlight w:val="none"/>
        </w:rPr>
        <w:t>et al.</w:t>
      </w:r>
      <w:r>
        <w:rPr>
          <w:rFonts w:hint="default" w:hAnsi="Calibri" w:cs="Calibri" w:asciiTheme="minorAscii"/>
          <w:sz w:val="20"/>
          <w:szCs w:val="20"/>
          <w:highlight w:val="none"/>
          <w:lang w:val="en-US" w:eastAsia="zh-CN"/>
        </w:rPr>
        <w:t> Response to PD-1 blockade in microsatellite stable metastatic colorectal cancer harboring a POLE mutation.</w:t>
      </w:r>
    </w:p>
    <w:p w14:paraId="6CABFCF3">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int="default" w:hAnsi="Calibri" w:cs="Calibri" w:asciiTheme="minorAscii"/>
          <w:sz w:val="20"/>
          <w:szCs w:val="20"/>
          <w:highlight w:val="none"/>
          <w:lang w:val="en-US" w:eastAsia="zh-CN"/>
        </w:rPr>
        <w:t xml:space="preserve">Wang C, Gong J, Tu TY, </w:t>
      </w:r>
      <w:r>
        <w:rPr>
          <w:rFonts w:hAnsi="Calibri" w:cs="Calibri" w:asciiTheme="minorAscii"/>
          <w:sz w:val="20"/>
          <w:szCs w:val="20"/>
          <w:highlight w:val="none"/>
        </w:rPr>
        <w:t>et al.</w:t>
      </w:r>
      <w:r>
        <w:rPr>
          <w:rFonts w:hint="default" w:hAnsi="Calibri" w:cs="Calibri" w:asciiTheme="minorAscii"/>
          <w:sz w:val="20"/>
          <w:szCs w:val="20"/>
          <w:highlight w:val="none"/>
          <w:lang w:val="en-US" w:eastAsia="zh-CN"/>
        </w:rPr>
        <w:t> Immune profiling of microsatellite instability-high and polymerase ε (POLE)-mutated metastatic colorectal tumors identifies predictors of response to anti-PD-1 therapy. J Gastrointest Oncol. (2018) 9:404–15. 10.21037/jgo.2018.01.09</w:t>
      </w:r>
      <w:r>
        <w:rPr>
          <w:rFonts w:hint="eastAsia" w:hAnsi="Calibri" w:cs="Calibri" w:asciiTheme="minorAscii"/>
          <w:sz w:val="20"/>
          <w:szCs w:val="20"/>
          <w:highlight w:val="none"/>
          <w:lang w:val="en-US" w:eastAsia="zh-CN"/>
        </w:rPr>
        <w:t>.</w:t>
      </w:r>
    </w:p>
    <w:p w14:paraId="3A876EA4">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int="default" w:hAnsi="微软雅黑" w:cs="微软雅黑" w:asciiTheme="minorAscii"/>
          <w:sz w:val="20"/>
          <w:szCs w:val="20"/>
          <w:highlight w:val="none"/>
          <w:lang w:val="en-US" w:eastAsia="zh-CN"/>
        </w:rPr>
        <w:t>M</w:t>
      </w:r>
      <w:r>
        <w:rPr>
          <w:rFonts w:hint="default" w:hAnsi="Calibri" w:cs="Calibri" w:asciiTheme="minorAscii"/>
          <w:sz w:val="20"/>
          <w:szCs w:val="20"/>
          <w:highlight w:val="none"/>
          <w:lang w:val="en-US" w:eastAsia="zh-CN"/>
        </w:rPr>
        <w:t>ehnert JM, Panda A, Zhong H, Hirshfield K, Damare S, Lane K, et al. Immune activation and response to pembrolizumab in POLE-mutant endometrial cancer. J Clin Invest. (2016) 126:2334–40.</w:t>
      </w:r>
      <w:r>
        <w:rPr>
          <w:rFonts w:hint="eastAsia" w:hAnsi="Calibri" w:cs="Calibri" w:asciiTheme="minorAscii"/>
          <w:sz w:val="20"/>
          <w:szCs w:val="20"/>
          <w:highlight w:val="none"/>
          <w:lang w:val="en-US" w:eastAsia="zh-CN"/>
        </w:rPr>
        <w:t xml:space="preserve"> </w:t>
      </w:r>
    </w:p>
    <w:p w14:paraId="3A1029AB">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int="default" w:hAnsi="Calibri" w:cs="Calibri" w:asciiTheme="minorAscii"/>
          <w:sz w:val="20"/>
          <w:szCs w:val="20"/>
          <w:highlight w:val="none"/>
          <w:lang w:val="en-US" w:eastAsia="zh-CN"/>
        </w:rPr>
        <w:t>Santin AD, Bellone S, Buza N, Choi J, Schwartz PE, Schlessinger J, et al. Regression of chemotherapy-resistant polymerase ε (POLE) ultra-mutated and MSH6 hyper-mutated endometrial tumors with nivolumab. Clin Cancer Res. (2016) 22:5682–7. 10.1158/1078-0432.CCR-16-1031</w:t>
      </w:r>
      <w:r>
        <w:rPr>
          <w:rFonts w:hint="eastAsia" w:hAnsi="Calibri" w:cs="Calibri" w:asciiTheme="minorAscii"/>
          <w:sz w:val="20"/>
          <w:szCs w:val="20"/>
          <w:highlight w:val="none"/>
          <w:lang w:val="en-US" w:eastAsia="zh-CN"/>
        </w:rPr>
        <w:t xml:space="preserve"> 100</w:t>
      </w:r>
      <w:r>
        <w:rPr>
          <w:rFonts w:hint="default" w:hAnsi="Calibri" w:cs="Calibri" w:asciiTheme="minorAscii"/>
          <w:sz w:val="20"/>
          <w:szCs w:val="20"/>
          <w:highlight w:val="none"/>
          <w:lang w:val="en-US" w:eastAsia="zh-CN"/>
        </w:rPr>
        <w:t>.</w:t>
      </w:r>
    </w:p>
    <w:p w14:paraId="4DC5DC30">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default" w:hAnsi="Calibri" w:cs="Calibri" w:asciiTheme="minorAscii"/>
          <w:sz w:val="20"/>
          <w:szCs w:val="20"/>
          <w:highlight w:val="none"/>
          <w:lang w:val="en-US" w:eastAsia="zh-CN"/>
        </w:rPr>
      </w:pPr>
      <w:r>
        <w:rPr>
          <w:rFonts w:hint="default" w:hAnsi="Calibri" w:cs="Calibri" w:asciiTheme="minorAscii"/>
          <w:sz w:val="20"/>
          <w:szCs w:val="20"/>
          <w:highlight w:val="none"/>
          <w:lang w:val="en-US" w:eastAsia="zh-CN"/>
        </w:rPr>
        <w:t>Howitt BE, Shukla SA, Sholl LM, Ritterhouse LL, Watkins JC, Rodig S, et al. Association of polymerase e–mutated and microsatellite-instable endometrial cancers with neoantigen load, number of tumor-infiltrating lymphocytes, and expression of PD-1 and PD-L1polymerase e–mutated and microsatellite-instable endometrial cancerpolymerase e–mutated and microsatellite-instable endometrial cancer. JAMA Oncology. (2015) 1:1319–23. 10.1001/jamaoncol.2015.2151</w:t>
      </w:r>
    </w:p>
    <w:p w14:paraId="665A4836">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default" w:hAnsi="Calibri" w:cs="Calibri" w:asciiTheme="minorAscii"/>
          <w:sz w:val="20"/>
          <w:szCs w:val="20"/>
          <w:highlight w:val="none"/>
          <w:lang w:val="en-US" w:eastAsia="zh-CN"/>
        </w:rPr>
      </w:pPr>
      <w:r>
        <w:rPr>
          <w:rFonts w:hint="default" w:hAnsi="Calibri" w:cs="Calibri" w:asciiTheme="minorAscii"/>
          <w:sz w:val="20"/>
          <w:szCs w:val="20"/>
          <w:highlight w:val="none"/>
          <w:lang w:val="en-US" w:eastAsia="zh-CN"/>
        </w:rPr>
        <w:t xml:space="preserve">Picard E , Verschoor C P , Ma G W , et al. Relationships Between Immune Landscapes, Genetic Subtypes and Responses to Immunotherapy in Colorectal Cancer[J]. Frontiers in Immunology, 2020, </w:t>
      </w:r>
    </w:p>
    <w:p w14:paraId="7D9177B3">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lang w:val="en-US" w:eastAsia="zh-CN"/>
        </w:rPr>
      </w:pPr>
      <w:r>
        <w:rPr>
          <w:rFonts w:hint="default" w:hAnsi="Calibri" w:cs="Calibri" w:asciiTheme="minorAscii"/>
          <w:sz w:val="20"/>
          <w:szCs w:val="20"/>
          <w:highlight w:val="none"/>
          <w:lang w:val="en-US" w:eastAsia="zh-CN"/>
        </w:rPr>
        <w:t>Booth R A. Minimally invasive biomarkers for detection and staging of colorectal cancer[J]. Cancer Letters, 2007, 249(1):87-96.</w:t>
      </w:r>
    </w:p>
    <w:p w14:paraId="1543A847">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lang w:val="en-US" w:eastAsia="zh-CN"/>
        </w:rPr>
      </w:pPr>
      <w:r>
        <w:rPr>
          <w:rFonts w:hint="eastAsia" w:hAnsi="Calibri" w:cs="Calibri" w:asciiTheme="minorAscii"/>
          <w:sz w:val="20"/>
          <w:szCs w:val="20"/>
          <w:highlight w:val="none"/>
          <w:lang w:val="en-US" w:eastAsia="zh-CN"/>
        </w:rPr>
        <w:t>Hong D S , Fakih M G , Strickler J H , et al. KRASG12C Inhibition with Sotorasib in Advanced Solid Tumors[J]. New England Journal of Medicine, 2020.</w:t>
      </w:r>
    </w:p>
    <w:p w14:paraId="456CB8BB">
      <w:pPr>
        <w:adjustRightInd/>
        <w:snapToGrid/>
        <w:jc w:val="both"/>
        <w:rPr>
          <w:rFonts w:hAnsi="微软雅黑" w:cs="微软雅黑" w:asciiTheme="minorHAnsi"/>
          <w:color w:val="222222"/>
          <w:sz w:val="18"/>
          <w:szCs w:val="18"/>
          <w:shd w:val="clear" w:color="auto" w:fill="FFFFFF"/>
        </w:rPr>
      </w:pPr>
    </w:p>
    <w:p w14:paraId="0EE948EE">
      <w:pPr>
        <w:spacing w:line="312" w:lineRule="auto"/>
        <w:jc w:val="both"/>
        <w:rPr>
          <w:rFonts w:ascii="微软雅黑" w:hAnsi="微软雅黑"/>
          <w:b/>
          <w:sz w:val="28"/>
          <w:szCs w:val="28"/>
        </w:rPr>
      </w:pPr>
      <w:r>
        <w:rPr>
          <w:rFonts w:hint="eastAsia" w:ascii="微软雅黑" w:hAnsi="微软雅黑"/>
          <w:b/>
          <w:sz w:val="28"/>
          <w:szCs w:val="28"/>
        </w:rPr>
        <w:br w:type="page"/>
      </w:r>
    </w:p>
    <w:p w14:paraId="6D992E7F">
      <w:pPr>
        <w:spacing w:line="312" w:lineRule="auto"/>
        <w:jc w:val="both"/>
        <w:outlineLvl w:val="0"/>
        <w:rPr>
          <w:rFonts w:ascii="微软雅黑" w:hAnsi="微软雅黑"/>
          <w:b/>
          <w:sz w:val="24"/>
          <w:szCs w:val="24"/>
        </w:rPr>
      </w:pPr>
      <w:bookmarkStart w:id="208" w:name="_Toc17460"/>
      <w:bookmarkStart w:id="209" w:name="_Toc12428"/>
      <w:r>
        <w:rPr>
          <w:rFonts w:hint="eastAsia" w:ascii="微软雅黑" w:hAnsi="微软雅黑"/>
          <w:b/>
          <w:sz w:val="24"/>
          <w:szCs w:val="24"/>
        </w:rPr>
        <w:t>3. 癌症相关信号通路</w:t>
      </w:r>
      <w:bookmarkEnd w:id="190"/>
      <w:bookmarkEnd w:id="191"/>
      <w:bookmarkEnd w:id="192"/>
      <w:bookmarkEnd w:id="193"/>
      <w:bookmarkEnd w:id="194"/>
      <w:bookmarkEnd w:id="195"/>
      <w:bookmarkEnd w:id="196"/>
      <w:bookmarkEnd w:id="197"/>
      <w:bookmarkEnd w:id="198"/>
      <w:bookmarkEnd w:id="199"/>
      <w:bookmarkEnd w:id="201"/>
      <w:bookmarkEnd w:id="208"/>
      <w:bookmarkEnd w:id="209"/>
      <w:r>
        <w:commentReference w:id="32"/>
      </w:r>
    </w:p>
    <w:bookmarkEnd w:id="202"/>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08"/>
        <w:gridCol w:w="7214"/>
      </w:tblGrid>
      <w:tr w14:paraId="1226F4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8"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4FD16434">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9FBFA"/>
                <w:kern w:val="2"/>
                <w:sz w:val="20"/>
                <w:szCs w:val="20"/>
              </w:rPr>
            </w:pPr>
            <w:r>
              <w:rPr>
                <w:rFonts w:hint="default" w:ascii="微软雅黑" w:hAnsi="微软雅黑" w:cs="Times New Roman"/>
                <w:b/>
                <w:color w:val="F9FBFA"/>
                <w:kern w:val="2"/>
                <w:sz w:val="20"/>
                <w:szCs w:val="20"/>
              </w:rPr>
              <w:t>通路名称</w:t>
            </w:r>
          </w:p>
        </w:tc>
        <w:tc>
          <w:tcPr>
            <w:tcW w:w="7214"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tcPr>
          <w:p w14:paraId="368CDD0D">
            <w:pPr>
              <w:keepNext w:val="0"/>
              <w:keepLines w:val="0"/>
              <w:widowControl/>
              <w:suppressLineNumbers w:val="0"/>
              <w:spacing w:before="0" w:beforeAutospacing="0" w:after="0" w:afterAutospacing="0" w:line="220" w:lineRule="atLeast"/>
              <w:ind w:left="0" w:right="0"/>
              <w:rPr>
                <w:rFonts w:hint="default" w:ascii="微软雅黑" w:hAnsi="微软雅黑" w:cs="Times New Roman"/>
                <w:b/>
                <w:color w:val="F9FBFA"/>
                <w:kern w:val="2"/>
                <w:sz w:val="20"/>
                <w:szCs w:val="20"/>
              </w:rPr>
            </w:pPr>
            <w:r>
              <w:rPr>
                <w:rFonts w:hint="default" w:ascii="微软雅黑" w:hAnsi="微软雅黑" w:cs="Times New Roman"/>
                <w:b/>
                <w:color w:val="F9FBFA"/>
                <w:kern w:val="2"/>
                <w:sz w:val="20"/>
                <w:szCs w:val="20"/>
              </w:rPr>
              <w:t>PI3K-Akt-mTOR signaling pathway</w:t>
            </w:r>
          </w:p>
        </w:tc>
      </w:tr>
      <w:tr w14:paraId="4DE0F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8"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1CF14505">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FFFFF" w:themeColor="background1"/>
                <w:kern w:val="2"/>
                <w:sz w:val="20"/>
                <w:szCs w:val="20"/>
                <w14:textFill>
                  <w14:solidFill>
                    <w14:schemeClr w14:val="bg1"/>
                  </w14:solidFill>
                </w14:textFill>
              </w:rPr>
            </w:pPr>
            <w:r>
              <w:rPr>
                <w:rFonts w:hint="default" w:ascii="微软雅黑" w:hAnsi="微软雅黑" w:cs="Times New Roman"/>
                <w:b/>
                <w:color w:val="FFFFFF" w:themeColor="background1"/>
                <w:kern w:val="2"/>
                <w:sz w:val="20"/>
                <w:szCs w:val="20"/>
                <w14:textFill>
                  <w14:solidFill>
                    <w14:schemeClr w14:val="bg1"/>
                  </w14:solidFill>
                </w14:textFill>
              </w:rPr>
              <w:t>通路解析</w:t>
            </w:r>
          </w:p>
        </w:tc>
        <w:tc>
          <w:tcPr>
            <w:tcW w:w="7214"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14:paraId="1D0B5683">
            <w:pPr>
              <w:keepNext w:val="0"/>
              <w:keepLines w:val="0"/>
              <w:widowControl/>
              <w:suppressLineNumbers w:val="0"/>
              <w:spacing w:before="40" w:beforeAutospacing="0" w:after="40" w:afterAutospacing="0"/>
              <w:ind w:left="0" w:right="0" w:firstLine="360" w:firstLineChars="200"/>
              <w:jc w:val="both"/>
              <w:rPr>
                <w:rFonts w:hint="default" w:ascii="微软雅黑" w:hAnsi="微软雅黑" w:cs="微软雅黑"/>
                <w:kern w:val="2"/>
                <w:sz w:val="18"/>
                <w:szCs w:val="18"/>
              </w:rPr>
            </w:pPr>
            <w:r>
              <w:rPr>
                <w:rFonts w:hint="eastAsia" w:ascii="微软雅黑" w:hAnsi="微软雅黑" w:cs="微软雅黑"/>
                <w:kern w:val="2"/>
                <w:sz w:val="18"/>
                <w:szCs w:val="18"/>
              </w:rPr>
              <w:t>磷脂酰肌醇3-激酶（PI3K）信号通路调节细胞的增殖和存活</w:t>
            </w:r>
            <w:r>
              <w:rPr>
                <w:rFonts w:hint="default" w:ascii="微软雅黑" w:hAnsi="微软雅黑" w:cs="微软雅黑"/>
                <w:kern w:val="2"/>
                <w:sz w:val="18"/>
                <w:szCs w:val="18"/>
              </w:rPr>
              <w:t>，</w:t>
            </w:r>
            <w:r>
              <w:rPr>
                <w:rFonts w:hint="eastAsia" w:ascii="微软雅黑" w:hAnsi="微软雅黑" w:cs="微软雅黑"/>
                <w:kern w:val="2"/>
                <w:sz w:val="18"/>
                <w:szCs w:val="18"/>
              </w:rPr>
              <w:t>其活性异常不仅能导致细胞恶性转化</w:t>
            </w:r>
            <w:r>
              <w:rPr>
                <w:rFonts w:hint="default" w:ascii="微软雅黑" w:hAnsi="微软雅黑" w:cs="微软雅黑"/>
                <w:kern w:val="2"/>
                <w:sz w:val="18"/>
                <w:szCs w:val="18"/>
              </w:rPr>
              <w:t>，</w:t>
            </w:r>
            <w:r>
              <w:rPr>
                <w:rFonts w:hint="eastAsia" w:ascii="微软雅黑" w:hAnsi="微软雅黑" w:cs="微软雅黑"/>
                <w:kern w:val="2"/>
                <w:sz w:val="18"/>
                <w:szCs w:val="18"/>
              </w:rPr>
              <w:t>而且与肿瘤细胞的迁移、黏附、肿瘤血管生成以及细胞外基质的降解等相关。</w:t>
            </w:r>
          </w:p>
          <w:p w14:paraId="7B528F39">
            <w:pPr>
              <w:keepNext w:val="0"/>
              <w:keepLines w:val="0"/>
              <w:widowControl/>
              <w:suppressLineNumbers w:val="0"/>
              <w:spacing w:before="40" w:beforeAutospacing="0" w:after="40" w:afterAutospacing="0"/>
              <w:ind w:left="0" w:right="0" w:firstLine="360" w:firstLineChars="200"/>
              <w:jc w:val="both"/>
              <w:rPr>
                <w:rFonts w:hint="default" w:ascii="微软雅黑" w:hAnsi="微软雅黑" w:cs="Times New Roman"/>
                <w:b/>
                <w:color w:val="F9FBFA"/>
                <w:kern w:val="2"/>
                <w:sz w:val="20"/>
                <w:szCs w:val="20"/>
              </w:rPr>
            </w:pPr>
            <w:r>
              <w:rPr>
                <w:rFonts w:hint="eastAsia" w:ascii="微软雅黑" w:hAnsi="微软雅黑" w:cs="微软雅黑"/>
                <w:kern w:val="2"/>
                <w:sz w:val="18"/>
                <w:szCs w:val="18"/>
              </w:rPr>
              <w:t>生长因子</w:t>
            </w:r>
            <w:r>
              <w:rPr>
                <w:rFonts w:hint="default" w:ascii="微软雅黑" w:hAnsi="微软雅黑" w:cs="微软雅黑"/>
                <w:kern w:val="2"/>
                <w:sz w:val="18"/>
                <w:szCs w:val="18"/>
              </w:rPr>
              <w:t>（</w:t>
            </w:r>
            <w:r>
              <w:rPr>
                <w:rFonts w:hint="eastAsia" w:ascii="微软雅黑" w:hAnsi="微软雅黑" w:cs="微软雅黑"/>
                <w:kern w:val="2"/>
                <w:sz w:val="18"/>
                <w:szCs w:val="18"/>
              </w:rPr>
              <w:t>如EGF、HGF</w:t>
            </w:r>
            <w:r>
              <w:rPr>
                <w:rFonts w:hint="default" w:ascii="微软雅黑" w:hAnsi="微软雅黑" w:cs="微软雅黑"/>
                <w:kern w:val="2"/>
                <w:sz w:val="18"/>
                <w:szCs w:val="18"/>
              </w:rPr>
              <w:t>）</w:t>
            </w:r>
            <w:r>
              <w:rPr>
                <w:rFonts w:hint="eastAsia" w:ascii="微软雅黑" w:hAnsi="微软雅黑" w:cs="微软雅黑"/>
                <w:kern w:val="2"/>
                <w:sz w:val="18"/>
                <w:szCs w:val="18"/>
              </w:rPr>
              <w:t>与受体酪氨酸激酶</w:t>
            </w:r>
            <w:r>
              <w:rPr>
                <w:rFonts w:hint="default" w:ascii="微软雅黑" w:hAnsi="微软雅黑" w:cs="微软雅黑"/>
                <w:kern w:val="2"/>
                <w:sz w:val="18"/>
                <w:szCs w:val="18"/>
              </w:rPr>
              <w:t>（</w:t>
            </w:r>
            <w:r>
              <w:rPr>
                <w:rFonts w:hint="eastAsia" w:ascii="微软雅黑" w:hAnsi="微软雅黑" w:cs="微软雅黑"/>
                <w:kern w:val="2"/>
                <w:sz w:val="18"/>
                <w:szCs w:val="18"/>
              </w:rPr>
              <w:t>RTK</w:t>
            </w:r>
            <w:r>
              <w:rPr>
                <w:rFonts w:hint="default" w:ascii="微软雅黑" w:hAnsi="微软雅黑" w:cs="微软雅黑"/>
                <w:kern w:val="2"/>
                <w:sz w:val="18"/>
                <w:szCs w:val="18"/>
              </w:rPr>
              <w:t>）</w:t>
            </w:r>
            <w:r>
              <w:rPr>
                <w:rFonts w:hint="eastAsia" w:ascii="微软雅黑" w:hAnsi="微软雅黑" w:cs="微软雅黑"/>
                <w:kern w:val="2"/>
                <w:sz w:val="18"/>
                <w:szCs w:val="18"/>
              </w:rPr>
              <w:t>的结合激活受体。胰岛素受体底物-1</w:t>
            </w:r>
            <w:r>
              <w:rPr>
                <w:rFonts w:hint="default" w:ascii="微软雅黑" w:hAnsi="微软雅黑" w:cs="微软雅黑"/>
                <w:kern w:val="2"/>
                <w:sz w:val="18"/>
                <w:szCs w:val="18"/>
              </w:rPr>
              <w:t>（</w:t>
            </w:r>
            <w:r>
              <w:rPr>
                <w:rFonts w:hint="eastAsia" w:ascii="微软雅黑" w:hAnsi="微软雅黑" w:cs="微软雅黑"/>
                <w:kern w:val="2"/>
                <w:sz w:val="18"/>
                <w:szCs w:val="18"/>
              </w:rPr>
              <w:t>IRS-1</w:t>
            </w:r>
            <w:r>
              <w:rPr>
                <w:rFonts w:hint="default" w:ascii="微软雅黑" w:hAnsi="微软雅黑" w:cs="微软雅黑"/>
                <w:kern w:val="2"/>
                <w:sz w:val="18"/>
                <w:szCs w:val="18"/>
              </w:rPr>
              <w:t>）</w:t>
            </w:r>
            <w:r>
              <w:rPr>
                <w:rFonts w:hint="eastAsia" w:ascii="微软雅黑" w:hAnsi="微软雅黑" w:cs="微软雅黑"/>
                <w:kern w:val="2"/>
                <w:sz w:val="18"/>
                <w:szCs w:val="18"/>
              </w:rPr>
              <w:t>或类似的适配器蛋白与受体酪氨酸激酶结合。磷酸肌醇3</w:t>
            </w:r>
            <w:r>
              <w:rPr>
                <w:rFonts w:hint="default" w:ascii="微软雅黑" w:hAnsi="微软雅黑" w:cs="微软雅黑"/>
                <w:kern w:val="2"/>
                <w:sz w:val="18"/>
                <w:szCs w:val="18"/>
              </w:rPr>
              <w:t>-</w:t>
            </w:r>
            <w:r>
              <w:rPr>
                <w:rFonts w:hint="eastAsia" w:ascii="微软雅黑" w:hAnsi="微软雅黑" w:cs="微软雅黑"/>
                <w:kern w:val="2"/>
                <w:sz w:val="18"/>
                <w:szCs w:val="18"/>
              </w:rPr>
              <w:t>激酶</w:t>
            </w:r>
            <w:r>
              <w:rPr>
                <w:rFonts w:hint="default" w:ascii="微软雅黑" w:hAnsi="微软雅黑" w:cs="微软雅黑"/>
                <w:kern w:val="2"/>
                <w:sz w:val="18"/>
                <w:szCs w:val="18"/>
              </w:rPr>
              <w:t>（</w:t>
            </w:r>
            <w:r>
              <w:rPr>
                <w:rFonts w:hint="eastAsia" w:ascii="微软雅黑" w:hAnsi="微软雅黑" w:cs="微软雅黑"/>
                <w:kern w:val="2"/>
                <w:sz w:val="18"/>
                <w:szCs w:val="18"/>
              </w:rPr>
              <w:t>PI3K</w:t>
            </w:r>
            <w:r>
              <w:rPr>
                <w:rFonts w:hint="default" w:ascii="微软雅黑" w:hAnsi="微软雅黑" w:cs="微软雅黑"/>
                <w:kern w:val="2"/>
                <w:sz w:val="18"/>
                <w:szCs w:val="18"/>
              </w:rPr>
              <w:t>）</w:t>
            </w:r>
            <w:r>
              <w:rPr>
                <w:rFonts w:hint="eastAsia" w:ascii="微软雅黑" w:hAnsi="微软雅黑" w:cs="微软雅黑"/>
                <w:kern w:val="2"/>
                <w:sz w:val="18"/>
                <w:szCs w:val="18"/>
              </w:rPr>
              <w:t>由p85和p110两个亚基组成。PI3K与IRS-1结合，激活p110亚基的酶活性。活性PI3K与细胞膜上的磷脂酰肌醇4,5-二磷酸</w:t>
            </w:r>
            <w:r>
              <w:rPr>
                <w:rFonts w:hint="default" w:ascii="微软雅黑" w:hAnsi="微软雅黑" w:cs="微软雅黑"/>
                <w:kern w:val="2"/>
                <w:sz w:val="18"/>
                <w:szCs w:val="18"/>
              </w:rPr>
              <w:t>（</w:t>
            </w:r>
            <w:r>
              <w:rPr>
                <w:rFonts w:hint="eastAsia" w:ascii="微软雅黑" w:hAnsi="微软雅黑" w:cs="微软雅黑"/>
                <w:kern w:val="2"/>
                <w:sz w:val="18"/>
                <w:szCs w:val="18"/>
              </w:rPr>
              <w:t>PIP2</w:t>
            </w:r>
            <w:r>
              <w:rPr>
                <w:rFonts w:hint="default" w:ascii="微软雅黑" w:hAnsi="微软雅黑" w:cs="微软雅黑"/>
                <w:kern w:val="2"/>
                <w:sz w:val="18"/>
                <w:szCs w:val="18"/>
              </w:rPr>
              <w:t>）</w:t>
            </w:r>
            <w:r>
              <w:rPr>
                <w:rFonts w:hint="eastAsia" w:ascii="微软雅黑" w:hAnsi="微软雅黑" w:cs="微软雅黑"/>
                <w:kern w:val="2"/>
                <w:sz w:val="18"/>
                <w:szCs w:val="18"/>
              </w:rPr>
              <w:t>结合。PI3K从PIP2启动转磷酸基化生成PIP3。磷酸化的PIP3或PDK1激活AKT1。AKT1的激活触发下游蛋白复合物mTORC1和mTORC2复合物的激活，激活基因转录，促进细胞生长和存活。</w:t>
            </w:r>
          </w:p>
        </w:tc>
      </w:tr>
      <w:tr w14:paraId="3B174F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0B7DE70C">
            <w:pPr>
              <w:keepNext w:val="0"/>
              <w:keepLines w:val="0"/>
              <w:widowControl/>
              <w:suppressLineNumbers w:val="0"/>
              <w:spacing w:before="0" w:beforeAutospacing="0" w:after="0" w:afterAutospacing="0" w:line="220" w:lineRule="atLeast"/>
              <w:ind w:left="0" w:right="0" w:firstLine="200" w:firstLineChars="100"/>
              <w:jc w:val="both"/>
              <w:rPr>
                <w:rFonts w:hint="default" w:ascii="微软雅黑" w:hAnsi="微软雅黑" w:cs="Times New Roman"/>
                <w:b/>
                <w:color w:val="F9FBFA"/>
                <w:kern w:val="2"/>
                <w:sz w:val="20"/>
                <w:szCs w:val="20"/>
              </w:rPr>
            </w:pPr>
            <w:r>
              <w:rPr>
                <w:rFonts w:hint="default" w:ascii="微软雅黑" w:hAnsi="微软雅黑" w:cs="Times New Roman"/>
                <w:b/>
                <w:color w:val="FFFFFF" w:themeColor="background1"/>
                <w:kern w:val="2"/>
                <w:sz w:val="20"/>
                <w:szCs w:val="20"/>
                <w14:textFill>
                  <w14:solidFill>
                    <w14:schemeClr w14:val="bg1"/>
                  </w14:solidFill>
                </w14:textFill>
              </w:rPr>
              <w:t>基因列表</w:t>
            </w:r>
          </w:p>
        </w:tc>
      </w:tr>
      <w:tr w14:paraId="379E49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676CADB5">
            <w:pPr>
              <w:keepNext w:val="0"/>
              <w:keepLines w:val="0"/>
              <w:widowControl/>
              <w:suppressLineNumbers w:val="0"/>
              <w:spacing w:before="0" w:beforeAutospacing="0" w:after="0" w:afterAutospacing="0" w:line="220" w:lineRule="atLeast"/>
              <w:ind w:left="0" w:right="0"/>
              <w:jc w:val="both"/>
              <w:rPr>
                <w:rFonts w:hint="default" w:ascii="微软雅黑" w:hAnsi="微软雅黑" w:cs="微软雅黑"/>
                <w:kern w:val="2"/>
                <w:sz w:val="18"/>
                <w:szCs w:val="18"/>
              </w:rPr>
            </w:pPr>
            <w:r>
              <w:rPr>
                <w:rFonts w:hint="eastAsia" w:ascii="微软雅黑" w:hAnsi="微软雅黑" w:cs="微软雅黑"/>
                <w:kern w:val="2"/>
                <w:sz w:val="18"/>
                <w:szCs w:val="18"/>
              </w:rPr>
              <w:t>TP53 FG</w:t>
            </w:r>
            <w:r>
              <w:rPr>
                <w:rFonts w:hint="eastAsia" w:ascii="微软雅黑" w:hAnsi="微软雅黑" w:cs="微软雅黑"/>
                <w:color w:val="000000" w:themeColor="text1"/>
                <w:kern w:val="2"/>
                <w:sz w:val="18"/>
                <w:szCs w:val="18"/>
                <w14:textFill>
                  <w14:solidFill>
                    <w14:schemeClr w14:val="tx1"/>
                  </w14:solidFill>
                </w14:textFill>
              </w:rPr>
              <w:t>FR4 KRAS RET TEK A</w:t>
            </w:r>
            <w:r>
              <w:rPr>
                <w:rFonts w:hint="eastAsia" w:ascii="微软雅黑" w:hAnsi="微软雅黑" w:cs="微软雅黑"/>
                <w:kern w:val="2"/>
                <w:sz w:val="18"/>
                <w:szCs w:val="18"/>
              </w:rPr>
              <w:t>KT1 AKT2 AKT3 ALK BCL2 BCL2L1 BCL2L11 BRAF BRCA1 CCND1 CCND2 CCND3 CCNE1 CDK4 CDK6 CDKN1A CDKN1B CSF1R CSF3R EGFR EIF4E FGF10 FGF14 FGF19 FGF23 FGF3 FGF4 FGF6 FGFR1 FGFR2 FGFR3 FLCN FLT1 FLT4 GSK3B HGF HRAS HSP90AA1 IGF1 IGF1R IL7R INSR IRS1 JAK1 JAK2 JAK3 KDR KIT MAP2K1 MAP2K2 MAPK1 MAPKAP1 MAPK3 MDM2 MET MTOR MYB MYC PDGFRA PDGFRB PDPK1 PIK3CA PIK3CB PIK3CD PIK3CG PIK3R1 PIK3R2 PIK3R3 PPP2R1A PTEN RAC1 RAF1 RHEB RHOA RICTOR ROS1 RPS6KB2 RPTOR RRAGC RXRA SESN2 SOS1 STK11 SYK TSC1 TSC2 VEGFA</w:t>
            </w:r>
          </w:p>
        </w:tc>
      </w:tr>
    </w:tbl>
    <w:p w14:paraId="45C76B37">
      <w:pPr>
        <w:adjustRightInd/>
        <w:snapToGrid/>
        <w:spacing w:after="0" w:line="240" w:lineRule="atLeast"/>
        <w:rPr>
          <w:rFonts w:ascii="微软雅黑" w:hAnsi="微软雅黑"/>
          <w:bCs/>
          <w:sz w:val="21"/>
          <w:szCs w:val="21"/>
        </w:rPr>
      </w:pPr>
    </w:p>
    <w:p w14:paraId="5C988CE8">
      <w:pPr>
        <w:adjustRightInd/>
        <w:snapToGrid/>
        <w:spacing w:line="220" w:lineRule="atLeast"/>
        <w:jc w:val="center"/>
        <w:rPr>
          <w:rFonts w:ascii="微软雅黑" w:hAnsi="微软雅黑"/>
          <w:b/>
          <w:sz w:val="24"/>
          <w:szCs w:val="24"/>
        </w:rPr>
      </w:pPr>
      <w:r>
        <w:rPr>
          <w:rFonts w:ascii="微软雅黑" w:hAnsi="微软雅黑"/>
          <w:b/>
          <w:sz w:val="24"/>
          <w:szCs w:val="24"/>
        </w:rPr>
        <w:drawing>
          <wp:inline distT="0" distB="0" distL="114300" distR="114300">
            <wp:extent cx="2753360" cy="2493645"/>
            <wp:effectExtent l="0" t="0" r="8890" b="1905"/>
            <wp:docPr id="1038" name="图片 32" descr="p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 name="图片 32" descr="pik"/>
                    <pic:cNvPicPr>
                      <a:picLocks noChangeAspect="1"/>
                    </pic:cNvPicPr>
                  </pic:nvPicPr>
                  <pic:blipFill>
                    <a:blip r:embed="rId39" cstate="print"/>
                    <a:stretch>
                      <a:fillRect/>
                    </a:stretch>
                  </pic:blipFill>
                  <pic:spPr>
                    <a:xfrm>
                      <a:off x="0" y="0"/>
                      <a:ext cx="2753360" cy="2493645"/>
                    </a:xfrm>
                    <a:prstGeom prst="rect">
                      <a:avLst/>
                    </a:prstGeom>
                  </pic:spPr>
                </pic:pic>
              </a:graphicData>
            </a:graphic>
          </wp:inline>
        </w:drawing>
      </w:r>
    </w:p>
    <w:p w14:paraId="74334A20">
      <w:pPr>
        <w:adjustRightInd/>
        <w:snapToGrid/>
        <w:spacing w:after="0"/>
        <w:jc w:val="center"/>
        <w:rPr>
          <w:rFonts w:ascii="微软雅黑" w:hAnsi="微软雅黑" w:cs="微软雅黑"/>
          <w:b/>
          <w:bCs/>
          <w:sz w:val="18"/>
          <w:szCs w:val="18"/>
        </w:rPr>
      </w:pPr>
      <w:r>
        <w:rPr>
          <w:rFonts w:hint="eastAsia" w:ascii="微软雅黑" w:hAnsi="微软雅黑" w:cs="微软雅黑"/>
          <w:sz w:val="18"/>
          <w:szCs w:val="18"/>
        </w:rPr>
        <w:t>PI3K/AKT Signaling Pathway</w:t>
      </w:r>
    </w:p>
    <w:p w14:paraId="65478851">
      <w:pPr>
        <w:adjustRightInd/>
        <w:snapToGrid/>
        <w:spacing w:after="0"/>
        <w:jc w:val="both"/>
        <w:rPr>
          <w:rFonts w:ascii="微软雅黑" w:hAnsi="微软雅黑" w:cs="微软雅黑"/>
          <w:b/>
          <w:bCs/>
          <w:sz w:val="18"/>
          <w:szCs w:val="18"/>
        </w:rPr>
      </w:pPr>
      <w:r>
        <w:rPr>
          <w:rFonts w:hint="eastAsia" w:ascii="微软雅黑" w:hAnsi="微软雅黑" w:cs="微软雅黑"/>
          <w:b/>
          <w:bCs/>
          <w:sz w:val="18"/>
          <w:szCs w:val="18"/>
        </w:rPr>
        <w:t>参考文献：</w:t>
      </w:r>
    </w:p>
    <w:p w14:paraId="02E9ABE4">
      <w:pPr>
        <w:adjustRightInd/>
        <w:snapToGrid/>
        <w:spacing w:after="0"/>
        <w:jc w:val="both"/>
        <w:rPr>
          <w:rFonts w:ascii="微软雅黑" w:hAnsi="微软雅黑" w:cs="微软雅黑"/>
          <w:sz w:val="18"/>
          <w:szCs w:val="18"/>
        </w:rPr>
      </w:pPr>
      <w:r>
        <w:rPr>
          <w:rFonts w:ascii="微软雅黑" w:hAnsi="微软雅黑" w:cs="微软雅黑"/>
          <w:sz w:val="18"/>
          <w:szCs w:val="18"/>
        </w:rPr>
        <w:t>Cancer Cell. 2007 Aug;12（2）:104-107.</w:t>
      </w:r>
    </w:p>
    <w:p w14:paraId="050B1547">
      <w:pPr>
        <w:adjustRightInd/>
        <w:snapToGrid/>
        <w:spacing w:after="0"/>
        <w:jc w:val="both"/>
        <w:rPr>
          <w:rFonts w:ascii="微软雅黑" w:hAnsi="微软雅黑" w:cs="微软雅黑"/>
          <w:sz w:val="18"/>
          <w:szCs w:val="18"/>
        </w:rPr>
      </w:pPr>
      <w:r>
        <w:fldChar w:fldCharType="begin"/>
      </w:r>
      <w:r>
        <w:instrText xml:space="preserve"> HYPERLINK "https://www.ncbi.nlm.nih.gov/pubmed/?term=+Targeted+Therapy+for+Advanced+Prostate+Cancer:+Inhibition+of+the+PI3K/Akt/mTOR+Pathway." \o "Current cancer drug targets." </w:instrText>
      </w:r>
      <w:r>
        <w:fldChar w:fldCharType="separate"/>
      </w:r>
      <w:r>
        <w:rPr>
          <w:rFonts w:ascii="微软雅黑" w:hAnsi="微软雅黑" w:cs="微软雅黑"/>
          <w:sz w:val="18"/>
          <w:szCs w:val="18"/>
        </w:rPr>
        <w:t>Curr Cancer Drug Targets.</w:t>
      </w:r>
      <w:r>
        <w:rPr>
          <w:rFonts w:ascii="微软雅黑" w:hAnsi="微软雅黑" w:cs="微软雅黑"/>
          <w:sz w:val="18"/>
          <w:szCs w:val="18"/>
        </w:rPr>
        <w:fldChar w:fldCharType="end"/>
      </w:r>
      <w:r>
        <w:rPr>
          <w:rFonts w:ascii="微软雅黑" w:hAnsi="微软雅黑" w:cs="微软雅黑"/>
          <w:sz w:val="18"/>
          <w:szCs w:val="18"/>
        </w:rPr>
        <w:t xml:space="preserve"> 2009 Mar;9（2）:237-249.</w:t>
      </w:r>
    </w:p>
    <w:p w14:paraId="42EC9651">
      <w:pPr>
        <w:adjustRightInd/>
        <w:snapToGrid/>
        <w:spacing w:after="0"/>
        <w:jc w:val="both"/>
        <w:rPr>
          <w:rFonts w:ascii="微软雅黑" w:hAnsi="微软雅黑" w:cs="微软雅黑"/>
          <w:sz w:val="18"/>
          <w:szCs w:val="18"/>
        </w:rPr>
      </w:pPr>
      <w:r>
        <w:rPr>
          <w:rFonts w:ascii="微软雅黑" w:hAnsi="微软雅黑" w:cs="微软雅黑"/>
          <w:sz w:val="18"/>
          <w:szCs w:val="18"/>
        </w:rPr>
        <w:t xml:space="preserve">Front Oncol. 2014 Sep 23;4:252. </w:t>
      </w:r>
    </w:p>
    <w:p w14:paraId="269723D2">
      <w:pPr>
        <w:adjustRightInd/>
        <w:snapToGrid/>
        <w:spacing w:after="0"/>
        <w:jc w:val="both"/>
        <w:rPr>
          <w:rFonts w:ascii="微软雅黑" w:hAnsi="微软雅黑" w:cs="微软雅黑"/>
          <w:sz w:val="18"/>
          <w:szCs w:val="18"/>
        </w:rPr>
      </w:pPr>
      <w:r>
        <w:rPr>
          <w:rFonts w:ascii="微软雅黑" w:hAnsi="微软雅黑" w:cs="微软雅黑"/>
          <w:sz w:val="18"/>
          <w:szCs w:val="18"/>
        </w:rPr>
        <w:t>Int J Oncol. 2014 Nov;45（5）:1793-801.</w:t>
      </w:r>
    </w:p>
    <w:p w14:paraId="5240F99E">
      <w:pPr>
        <w:adjustRightInd/>
        <w:snapToGrid/>
        <w:spacing w:line="220" w:lineRule="atLeast"/>
        <w:rPr>
          <w:rFonts w:ascii="微软雅黑" w:hAnsi="微软雅黑"/>
          <w:b/>
          <w:sz w:val="24"/>
          <w:szCs w:val="24"/>
        </w:rPr>
      </w:pPr>
      <w:r>
        <w:rPr>
          <w:rFonts w:ascii="微软雅黑" w:hAnsi="微软雅黑"/>
          <w:b/>
          <w:sz w:val="24"/>
          <w:szCs w:val="24"/>
        </w:rPr>
        <w:br w:type="page"/>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5"/>
        <w:gridCol w:w="6997"/>
      </w:tblGrid>
      <w:tr w14:paraId="1331B0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495AA8FE">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9FBFA"/>
                <w:kern w:val="2"/>
                <w:sz w:val="20"/>
                <w:szCs w:val="20"/>
              </w:rPr>
            </w:pPr>
            <w:r>
              <w:rPr>
                <w:rFonts w:hint="default" w:ascii="微软雅黑" w:hAnsi="微软雅黑" w:cs="Times New Roman"/>
                <w:b/>
                <w:color w:val="F9FBFA"/>
                <w:kern w:val="2"/>
                <w:sz w:val="20"/>
                <w:szCs w:val="20"/>
              </w:rPr>
              <w:t>通路名称</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tcPr>
          <w:p w14:paraId="38BD15AD">
            <w:pPr>
              <w:keepNext w:val="0"/>
              <w:keepLines w:val="0"/>
              <w:widowControl/>
              <w:suppressLineNumbers w:val="0"/>
              <w:spacing w:before="0" w:beforeAutospacing="0" w:after="0" w:afterAutospacing="0" w:line="220" w:lineRule="atLeast"/>
              <w:ind w:left="0" w:right="0"/>
              <w:rPr>
                <w:rFonts w:hint="default" w:ascii="微软雅黑" w:hAnsi="微软雅黑" w:cs="Times New Roman"/>
                <w:b/>
                <w:color w:val="F9FBFA"/>
                <w:kern w:val="2"/>
                <w:sz w:val="20"/>
                <w:szCs w:val="20"/>
              </w:rPr>
            </w:pPr>
            <w:r>
              <w:rPr>
                <w:rFonts w:hint="default" w:ascii="微软雅黑" w:hAnsi="微软雅黑" w:cs="Times New Roman"/>
                <w:b/>
                <w:color w:val="F9FBFA"/>
                <w:kern w:val="2"/>
                <w:sz w:val="20"/>
                <w:szCs w:val="20"/>
              </w:rPr>
              <w:t>MAPK/ERK Signaling Pathway</w:t>
            </w:r>
          </w:p>
        </w:tc>
      </w:tr>
      <w:tr w14:paraId="1638BA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12A4C7C9">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FFFFF" w:themeColor="background1"/>
                <w:kern w:val="2"/>
                <w:sz w:val="20"/>
                <w:szCs w:val="20"/>
                <w14:textFill>
                  <w14:solidFill>
                    <w14:schemeClr w14:val="bg1"/>
                  </w14:solidFill>
                </w14:textFill>
              </w:rPr>
            </w:pPr>
            <w:r>
              <w:rPr>
                <w:rFonts w:hint="default" w:ascii="微软雅黑" w:hAnsi="微软雅黑" w:cs="Times New Roman"/>
                <w:b/>
                <w:color w:val="FFFFFF" w:themeColor="background1"/>
                <w:kern w:val="2"/>
                <w:sz w:val="20"/>
                <w:szCs w:val="20"/>
                <w14:textFill>
                  <w14:solidFill>
                    <w14:schemeClr w14:val="bg1"/>
                  </w14:solidFill>
                </w14:textFill>
              </w:rPr>
              <w:t>通路解析</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14:paraId="61488FD5">
            <w:pPr>
              <w:keepNext w:val="0"/>
              <w:keepLines w:val="0"/>
              <w:widowControl/>
              <w:suppressLineNumbers w:val="0"/>
              <w:spacing w:before="40" w:beforeAutospacing="0" w:after="40" w:afterAutospacing="0"/>
              <w:ind w:left="0" w:right="0" w:firstLine="360" w:firstLineChars="200"/>
              <w:jc w:val="both"/>
              <w:rPr>
                <w:rFonts w:hint="default" w:ascii="微软雅黑" w:hAnsi="微软雅黑" w:cs="微软雅黑"/>
                <w:kern w:val="2"/>
                <w:sz w:val="18"/>
                <w:szCs w:val="18"/>
              </w:rPr>
            </w:pPr>
            <w:r>
              <w:rPr>
                <w:rFonts w:hint="eastAsia" w:ascii="微软雅黑" w:hAnsi="微软雅黑" w:cs="微软雅黑"/>
                <w:kern w:val="2"/>
                <w:sz w:val="18"/>
                <w:szCs w:val="18"/>
              </w:rPr>
              <w:t>MAPK级联激活是多种信号通路的中心，在细胞的生长、增殖、分化、转化及凋亡等过程中具有重要的作用。在哺乳动物机体中，已经发现五种不同的MAPK信号转导通路</w:t>
            </w:r>
            <w:r>
              <w:rPr>
                <w:rFonts w:hint="default" w:ascii="微软雅黑" w:hAnsi="微软雅黑" w:cs="微软雅黑"/>
                <w:kern w:val="2"/>
                <w:sz w:val="18"/>
                <w:szCs w:val="18"/>
              </w:rPr>
              <w:t>，其</w:t>
            </w:r>
            <w:r>
              <w:rPr>
                <w:rFonts w:hint="eastAsia" w:ascii="微软雅黑" w:hAnsi="微软雅黑" w:cs="微软雅黑"/>
                <w:kern w:val="2"/>
                <w:sz w:val="18"/>
                <w:szCs w:val="18"/>
              </w:rPr>
              <w:t>与ERK相关的信号通路被认为是经典MAPK信号转导途径。</w:t>
            </w:r>
          </w:p>
          <w:p w14:paraId="3CD5CA32">
            <w:pPr>
              <w:keepNext w:val="0"/>
              <w:keepLines w:val="0"/>
              <w:widowControl/>
              <w:suppressLineNumbers w:val="0"/>
              <w:spacing w:before="40" w:beforeAutospacing="0" w:after="40" w:afterAutospacing="0"/>
              <w:ind w:left="0" w:right="0" w:firstLine="360" w:firstLineChars="200"/>
              <w:jc w:val="both"/>
              <w:rPr>
                <w:rFonts w:hint="default" w:ascii="微软雅黑" w:hAnsi="微软雅黑" w:cs="Times New Roman"/>
                <w:b/>
                <w:color w:val="F9FBFA"/>
                <w:kern w:val="2"/>
                <w:sz w:val="20"/>
                <w:szCs w:val="20"/>
              </w:rPr>
            </w:pPr>
            <w:r>
              <w:rPr>
                <w:rFonts w:hint="eastAsia" w:ascii="微软雅黑" w:hAnsi="微软雅黑" w:cs="微软雅黑"/>
                <w:kern w:val="2"/>
                <w:sz w:val="18"/>
                <w:szCs w:val="18"/>
              </w:rPr>
              <w:t>生长因子（如EGF、HGF）与受体酪氨酸激酶（RTK）的结合激活受体的活性。SRC在受体的SH2区域与受体结合。受体酪氨酸激酶的激活触发下游磷酸化和激活（H-/K-/N-）RAS、（A-/B-/C-）RAF、MEK1/2（MAP2K1）、ERK1/2 （MAPK1）。最终，ERK（MAPK1）激活激活调节细胞生长和存活的基因转录</w:t>
            </w:r>
            <w:r>
              <w:rPr>
                <w:rFonts w:hint="default" w:ascii="微软雅黑" w:hAnsi="微软雅黑" w:cs="微软雅黑"/>
                <w:kern w:val="2"/>
                <w:sz w:val="18"/>
                <w:szCs w:val="18"/>
              </w:rPr>
              <w:t>。</w:t>
            </w:r>
          </w:p>
        </w:tc>
      </w:tr>
      <w:tr w14:paraId="7BE392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6FB1E716">
            <w:pPr>
              <w:keepNext w:val="0"/>
              <w:keepLines w:val="0"/>
              <w:widowControl/>
              <w:suppressLineNumbers w:val="0"/>
              <w:spacing w:before="0" w:beforeAutospacing="0" w:after="0" w:afterAutospacing="0" w:line="220" w:lineRule="atLeast"/>
              <w:ind w:left="0" w:right="0" w:firstLine="200" w:firstLineChars="100"/>
              <w:jc w:val="both"/>
              <w:rPr>
                <w:rFonts w:hint="default" w:ascii="微软雅黑" w:hAnsi="微软雅黑" w:cs="Times New Roman"/>
                <w:b/>
                <w:color w:val="F9FBFA"/>
                <w:kern w:val="2"/>
                <w:sz w:val="20"/>
                <w:szCs w:val="20"/>
              </w:rPr>
            </w:pPr>
            <w:r>
              <w:rPr>
                <w:rFonts w:hint="default" w:ascii="微软雅黑" w:hAnsi="微软雅黑" w:cs="Times New Roman"/>
                <w:b/>
                <w:color w:val="FFFFFF" w:themeColor="background1"/>
                <w:kern w:val="2"/>
                <w:sz w:val="20"/>
                <w:szCs w:val="20"/>
                <w14:textFill>
                  <w14:solidFill>
                    <w14:schemeClr w14:val="bg1"/>
                  </w14:solidFill>
                </w14:textFill>
              </w:rPr>
              <w:t>基因列表</w:t>
            </w:r>
          </w:p>
        </w:tc>
      </w:tr>
      <w:tr w14:paraId="2D292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691F78FB">
            <w:pPr>
              <w:keepNext w:val="0"/>
              <w:keepLines w:val="0"/>
              <w:widowControl w:val="0"/>
              <w:suppressLineNumbers w:val="0"/>
              <w:spacing w:before="0" w:beforeAutospacing="0" w:after="0" w:afterAutospacing="0"/>
              <w:ind w:left="0" w:right="0"/>
              <w:jc w:val="both"/>
              <w:rPr>
                <w:rFonts w:hint="default" w:ascii="微软雅黑" w:hAnsi="微软雅黑" w:cs="微软雅黑"/>
                <w:kern w:val="2"/>
                <w:sz w:val="18"/>
                <w:szCs w:val="18"/>
              </w:rPr>
            </w:pPr>
            <w:r>
              <w:rPr>
                <w:rFonts w:hint="default" w:ascii="微软雅黑" w:hAnsi="微软雅黑" w:cs="微软雅黑"/>
                <w:kern w:val="2"/>
                <w:sz w:val="18"/>
                <w:szCs w:val="18"/>
              </w:rPr>
              <w:t>TP53</w:t>
            </w:r>
            <w:r>
              <w:rPr>
                <w:rFonts w:hint="eastAsia" w:ascii="微软雅黑" w:hAnsi="微软雅黑" w:cs="微软雅黑"/>
                <w:kern w:val="2"/>
                <w:sz w:val="18"/>
                <w:szCs w:val="18"/>
              </w:rPr>
              <w:t xml:space="preserve"> </w:t>
            </w:r>
            <w:r>
              <w:rPr>
                <w:rFonts w:hint="default" w:ascii="微软雅黑" w:hAnsi="微软雅黑" w:cs="微软雅黑"/>
                <w:kern w:val="2"/>
                <w:sz w:val="18"/>
                <w:szCs w:val="18"/>
              </w:rPr>
              <w:t>FG</w:t>
            </w:r>
            <w:r>
              <w:rPr>
                <w:rFonts w:hint="default" w:ascii="微软雅黑" w:hAnsi="微软雅黑" w:cs="微软雅黑"/>
                <w:color w:val="000000" w:themeColor="text1"/>
                <w:kern w:val="2"/>
                <w:sz w:val="18"/>
                <w:szCs w:val="18"/>
                <w14:textFill>
                  <w14:solidFill>
                    <w14:schemeClr w14:val="tx1"/>
                  </w14:solidFill>
                </w14:textFill>
              </w:rPr>
              <w:t>FR4 KRAS RET A</w:t>
            </w:r>
            <w:r>
              <w:rPr>
                <w:rFonts w:hint="default" w:ascii="微软雅黑" w:hAnsi="微软雅黑" w:cs="微软雅黑"/>
                <w:kern w:val="2"/>
                <w:sz w:val="18"/>
                <w:szCs w:val="18"/>
              </w:rPr>
              <w:t>KT1 AKT2 AKT3 ALK BRAF CDC42 CRKL DUSP4 EGFR FAS FGF10 FGF14 FGF19 FGF23 FGF3 FGF4 FGF6 FGFR1 FGFR2 FGFR3 HRAS JUN MAP2K1 MAP2K2 MAP2K4 MAP3K1 MAP3K13 MAP3K14 MAPK1 MAPK3 MAX MYC NF1 NRAS NTRK1 NTRK2 NTRK3 PAK1 PDGFRA PDGFRB RAC1 RAC2 RAF1 RASA1 ROS1 RPS6KA4 RRAS RRAS2 SOS1 TGFBR1 TGFBR2 TRAF2</w:t>
            </w:r>
          </w:p>
        </w:tc>
      </w:tr>
    </w:tbl>
    <w:p w14:paraId="6DD6B7E3">
      <w:pPr>
        <w:adjustRightInd/>
        <w:snapToGrid/>
        <w:spacing w:after="0"/>
        <w:rPr>
          <w:rFonts w:ascii="微软雅黑" w:hAnsi="微软雅黑"/>
          <w:b/>
          <w:sz w:val="24"/>
          <w:szCs w:val="24"/>
        </w:rPr>
      </w:pPr>
    </w:p>
    <w:p w14:paraId="3906F106">
      <w:pPr>
        <w:adjustRightInd/>
        <w:snapToGrid/>
        <w:spacing w:line="220" w:lineRule="atLeast"/>
        <w:jc w:val="center"/>
        <w:rPr>
          <w:rFonts w:ascii="微软雅黑" w:hAnsi="微软雅黑"/>
          <w:b/>
          <w:sz w:val="24"/>
          <w:szCs w:val="24"/>
        </w:rPr>
      </w:pPr>
      <w:r>
        <w:rPr>
          <w:rFonts w:hint="eastAsia" w:ascii="微软雅黑" w:hAnsi="微软雅黑"/>
          <w:b/>
          <w:sz w:val="24"/>
          <w:szCs w:val="24"/>
        </w:rPr>
        <w:drawing>
          <wp:inline distT="0" distB="0" distL="114300" distR="114300">
            <wp:extent cx="3298825" cy="3857625"/>
            <wp:effectExtent l="0" t="0" r="15875" b="9525"/>
            <wp:docPr id="1039" name="图片 33" descr="map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 name="图片 33" descr="mapk"/>
                    <pic:cNvPicPr>
                      <a:picLocks noChangeAspect="1"/>
                    </pic:cNvPicPr>
                  </pic:nvPicPr>
                  <pic:blipFill>
                    <a:blip r:embed="rId40" cstate="print"/>
                    <a:stretch>
                      <a:fillRect/>
                    </a:stretch>
                  </pic:blipFill>
                  <pic:spPr>
                    <a:xfrm>
                      <a:off x="0" y="0"/>
                      <a:ext cx="3298825" cy="3857625"/>
                    </a:xfrm>
                    <a:prstGeom prst="rect">
                      <a:avLst/>
                    </a:prstGeom>
                  </pic:spPr>
                </pic:pic>
              </a:graphicData>
            </a:graphic>
          </wp:inline>
        </w:drawing>
      </w:r>
    </w:p>
    <w:p w14:paraId="77F245A7">
      <w:pPr>
        <w:adjustRightInd/>
        <w:snapToGrid/>
        <w:spacing w:line="220" w:lineRule="atLeast"/>
        <w:jc w:val="center"/>
        <w:rPr>
          <w:rFonts w:ascii="微软雅黑" w:hAnsi="微软雅黑"/>
          <w:b/>
          <w:sz w:val="24"/>
          <w:szCs w:val="24"/>
        </w:rPr>
      </w:pPr>
      <w:r>
        <w:rPr>
          <w:rFonts w:hint="eastAsia" w:ascii="微软雅黑" w:hAnsi="微软雅黑" w:cs="微软雅黑"/>
          <w:sz w:val="18"/>
          <w:szCs w:val="18"/>
        </w:rPr>
        <w:t>MAPK/ERK Signaling Pathway</w:t>
      </w:r>
    </w:p>
    <w:p w14:paraId="3848758F">
      <w:pPr>
        <w:adjustRightInd/>
        <w:snapToGrid/>
        <w:spacing w:after="40"/>
        <w:jc w:val="both"/>
        <w:rPr>
          <w:rFonts w:ascii="微软雅黑" w:hAnsi="微软雅黑" w:cs="微软雅黑"/>
          <w:b/>
          <w:bCs/>
          <w:sz w:val="18"/>
          <w:szCs w:val="18"/>
        </w:rPr>
      </w:pPr>
      <w:r>
        <w:rPr>
          <w:rFonts w:hint="eastAsia" w:ascii="微软雅黑" w:hAnsi="微软雅黑" w:cs="微软雅黑"/>
          <w:b/>
          <w:bCs/>
          <w:sz w:val="18"/>
          <w:szCs w:val="18"/>
        </w:rPr>
        <w:t>参考文献：</w:t>
      </w:r>
    </w:p>
    <w:p w14:paraId="131E6005">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Expert Opin Pharmacother. 2002 Jun;3</w:t>
      </w:r>
      <w:r>
        <w:rPr>
          <w:rFonts w:ascii="微软雅黑" w:hAnsi="微软雅黑" w:cs="微软雅黑"/>
          <w:sz w:val="18"/>
          <w:szCs w:val="18"/>
        </w:rPr>
        <w:t>（</w:t>
      </w:r>
      <w:r>
        <w:rPr>
          <w:rFonts w:hint="eastAsia" w:ascii="微软雅黑" w:hAnsi="微软雅黑" w:cs="微软雅黑"/>
          <w:sz w:val="18"/>
          <w:szCs w:val="18"/>
        </w:rPr>
        <w:t>6</w:t>
      </w:r>
      <w:r>
        <w:rPr>
          <w:rFonts w:ascii="微软雅黑" w:hAnsi="微软雅黑" w:cs="微软雅黑"/>
          <w:sz w:val="18"/>
          <w:szCs w:val="18"/>
        </w:rPr>
        <w:t>）</w:t>
      </w:r>
      <w:r>
        <w:rPr>
          <w:rFonts w:hint="eastAsia" w:ascii="微软雅黑" w:hAnsi="微软雅黑" w:cs="微软雅黑"/>
          <w:sz w:val="18"/>
          <w:szCs w:val="18"/>
        </w:rPr>
        <w:t>:709-718.</w:t>
      </w:r>
    </w:p>
    <w:p w14:paraId="3AB6515C">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 xml:space="preserve">Nat Rev Cancer 2003 Sep;3 </w:t>
      </w:r>
      <w:r>
        <w:rPr>
          <w:rFonts w:ascii="微软雅黑" w:hAnsi="微软雅黑" w:cs="微软雅黑"/>
          <w:sz w:val="18"/>
          <w:szCs w:val="18"/>
        </w:rPr>
        <w:t>（</w:t>
      </w:r>
      <w:r>
        <w:rPr>
          <w:rFonts w:hint="eastAsia" w:ascii="微软雅黑" w:hAnsi="微软雅黑" w:cs="微软雅黑"/>
          <w:sz w:val="18"/>
          <w:szCs w:val="18"/>
        </w:rPr>
        <w:t>9</w:t>
      </w:r>
      <w:r>
        <w:rPr>
          <w:rFonts w:ascii="微软雅黑" w:hAnsi="微软雅黑" w:cs="微软雅黑"/>
          <w:sz w:val="18"/>
          <w:szCs w:val="18"/>
        </w:rPr>
        <w:t>）</w:t>
      </w:r>
      <w:r>
        <w:rPr>
          <w:rFonts w:hint="eastAsia" w:ascii="微软雅黑" w:hAnsi="微软雅黑" w:cs="微软雅黑"/>
          <w:sz w:val="18"/>
          <w:szCs w:val="18"/>
        </w:rPr>
        <w:t>:650-665</w:t>
      </w:r>
    </w:p>
    <w:p w14:paraId="5DA2D36A">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Clin Cancer Res. 2006 Apr 1;12</w:t>
      </w:r>
      <w:r>
        <w:rPr>
          <w:rFonts w:ascii="微软雅黑" w:hAnsi="微软雅黑" w:cs="微软雅黑"/>
          <w:sz w:val="18"/>
          <w:szCs w:val="18"/>
        </w:rPr>
        <w:t>（</w:t>
      </w:r>
      <w:r>
        <w:rPr>
          <w:rFonts w:hint="eastAsia" w:ascii="微软雅黑" w:hAnsi="微软雅黑" w:cs="微软雅黑"/>
          <w:sz w:val="18"/>
          <w:szCs w:val="18"/>
        </w:rPr>
        <w:t>7 Pt 2</w:t>
      </w:r>
      <w:r>
        <w:rPr>
          <w:rFonts w:ascii="微软雅黑" w:hAnsi="微软雅黑" w:cs="微软雅黑"/>
          <w:sz w:val="18"/>
          <w:szCs w:val="18"/>
        </w:rPr>
        <w:t>）</w:t>
      </w:r>
      <w:r>
        <w:rPr>
          <w:rFonts w:hint="eastAsia" w:ascii="微软雅黑" w:hAnsi="微软雅黑" w:cs="微软雅黑"/>
          <w:sz w:val="18"/>
          <w:szCs w:val="18"/>
        </w:rPr>
        <w:t>:2371s-2375s.</w:t>
      </w:r>
    </w:p>
    <w:p w14:paraId="0E27ABDB">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Nat Rev Mol Cell Biol. 2008 Oct;9</w:t>
      </w:r>
      <w:r>
        <w:rPr>
          <w:rFonts w:ascii="微软雅黑" w:hAnsi="微软雅黑" w:cs="微软雅黑"/>
          <w:sz w:val="18"/>
          <w:szCs w:val="18"/>
        </w:rPr>
        <w:t>（</w:t>
      </w:r>
      <w:r>
        <w:rPr>
          <w:rFonts w:hint="eastAsia" w:ascii="微软雅黑" w:hAnsi="微软雅黑" w:cs="微软雅黑"/>
          <w:sz w:val="18"/>
          <w:szCs w:val="18"/>
        </w:rPr>
        <w:t>10</w:t>
      </w:r>
      <w:r>
        <w:rPr>
          <w:rFonts w:ascii="微软雅黑" w:hAnsi="微软雅黑" w:cs="微软雅黑"/>
          <w:sz w:val="18"/>
          <w:szCs w:val="18"/>
        </w:rPr>
        <w:t>）</w:t>
      </w:r>
      <w:r>
        <w:rPr>
          <w:rFonts w:hint="eastAsia" w:ascii="微软雅黑" w:hAnsi="微软雅黑" w:cs="微软雅黑"/>
          <w:sz w:val="18"/>
          <w:szCs w:val="18"/>
        </w:rPr>
        <w:t>:747-58.</w:t>
      </w:r>
      <w:r>
        <w:rPr>
          <w:rFonts w:hint="eastAsia" w:ascii="微软雅黑" w:hAnsi="微软雅黑" w:cs="微软雅黑"/>
          <w:sz w:val="18"/>
          <w:szCs w:val="18"/>
        </w:rPr>
        <w:br w:type="page"/>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5"/>
        <w:gridCol w:w="6997"/>
      </w:tblGrid>
      <w:tr w14:paraId="2C92E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129DCB6F">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9FBFA"/>
                <w:kern w:val="2"/>
                <w:sz w:val="20"/>
                <w:szCs w:val="20"/>
              </w:rPr>
            </w:pPr>
            <w:r>
              <w:rPr>
                <w:rFonts w:hint="default" w:ascii="微软雅黑" w:hAnsi="微软雅黑" w:cs="Times New Roman"/>
                <w:b/>
                <w:color w:val="F9FBFA"/>
                <w:kern w:val="2"/>
                <w:sz w:val="20"/>
                <w:szCs w:val="20"/>
              </w:rPr>
              <w:t>通路名称</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tcPr>
          <w:p w14:paraId="13D1663E">
            <w:pPr>
              <w:keepNext w:val="0"/>
              <w:keepLines w:val="0"/>
              <w:widowControl/>
              <w:suppressLineNumbers w:val="0"/>
              <w:spacing w:before="0" w:beforeAutospacing="0" w:after="0" w:afterAutospacing="0" w:line="220" w:lineRule="atLeast"/>
              <w:ind w:left="0" w:right="0"/>
              <w:rPr>
                <w:rFonts w:hint="default" w:ascii="微软雅黑" w:hAnsi="微软雅黑" w:cs="Times New Roman"/>
                <w:b/>
                <w:color w:val="F9FBFA"/>
                <w:kern w:val="2"/>
                <w:sz w:val="20"/>
                <w:szCs w:val="20"/>
              </w:rPr>
            </w:pPr>
            <w:r>
              <w:rPr>
                <w:rFonts w:hint="default" w:ascii="微软雅黑" w:hAnsi="微软雅黑" w:cs="Times New Roman"/>
                <w:b/>
                <w:color w:val="F9FBFA"/>
                <w:kern w:val="2"/>
                <w:sz w:val="20"/>
                <w:szCs w:val="20"/>
              </w:rPr>
              <w:t>Wnt Signaling Pathway</w:t>
            </w:r>
          </w:p>
        </w:tc>
      </w:tr>
      <w:tr w14:paraId="19E5F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4DFA08BD">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FFFFF" w:themeColor="background1"/>
                <w:kern w:val="2"/>
                <w:sz w:val="20"/>
                <w:szCs w:val="20"/>
                <w14:textFill>
                  <w14:solidFill>
                    <w14:schemeClr w14:val="bg1"/>
                  </w14:solidFill>
                </w14:textFill>
              </w:rPr>
            </w:pPr>
            <w:r>
              <w:rPr>
                <w:rFonts w:hint="default" w:ascii="微软雅黑" w:hAnsi="微软雅黑" w:cs="Times New Roman"/>
                <w:b/>
                <w:color w:val="FFFFFF" w:themeColor="background1"/>
                <w:kern w:val="2"/>
                <w:sz w:val="20"/>
                <w:szCs w:val="20"/>
                <w14:textFill>
                  <w14:solidFill>
                    <w14:schemeClr w14:val="bg1"/>
                  </w14:solidFill>
                </w14:textFill>
              </w:rPr>
              <w:t>通路解析</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14:paraId="10D76642">
            <w:pPr>
              <w:keepNext w:val="0"/>
              <w:keepLines w:val="0"/>
              <w:widowControl/>
              <w:suppressLineNumbers w:val="0"/>
              <w:spacing w:before="40" w:beforeAutospacing="0" w:after="40" w:afterAutospacing="0"/>
              <w:ind w:left="0" w:right="0" w:firstLine="360" w:firstLineChars="200"/>
              <w:jc w:val="both"/>
              <w:rPr>
                <w:rFonts w:hint="default" w:ascii="微软雅黑" w:hAnsi="微软雅黑" w:cs="微软雅黑"/>
                <w:kern w:val="2"/>
                <w:sz w:val="18"/>
                <w:szCs w:val="18"/>
              </w:rPr>
            </w:pPr>
            <w:r>
              <w:rPr>
                <w:rFonts w:hint="eastAsia" w:ascii="微软雅黑" w:hAnsi="微软雅黑" w:cs="微软雅黑"/>
                <w:kern w:val="2"/>
                <w:sz w:val="18"/>
                <w:szCs w:val="18"/>
              </w:rPr>
              <w:t>Wnt信号通路是一个复杂的调控网络，在生长、发育、代谢和干细胞维持等多种生物学过程中发挥重要作用。一般提到Wnt信号通路主要指的是由β-Catenin介导的经典Wnt信号通路。</w:t>
            </w:r>
          </w:p>
          <w:p w14:paraId="5122E888">
            <w:pPr>
              <w:keepNext w:val="0"/>
              <w:keepLines w:val="0"/>
              <w:widowControl/>
              <w:suppressLineNumbers w:val="0"/>
              <w:spacing w:before="40" w:beforeAutospacing="0" w:after="40" w:afterAutospacing="0"/>
              <w:ind w:left="0" w:right="0" w:firstLine="360" w:firstLineChars="200"/>
              <w:jc w:val="both"/>
              <w:rPr>
                <w:rFonts w:hint="default" w:ascii="微软雅黑" w:hAnsi="微软雅黑" w:cs="Times New Roman"/>
                <w:b/>
                <w:color w:val="F9FBFA"/>
                <w:kern w:val="2"/>
                <w:sz w:val="20"/>
                <w:szCs w:val="20"/>
              </w:rPr>
            </w:pPr>
            <w:r>
              <w:rPr>
                <w:rFonts w:hint="eastAsia" w:ascii="微软雅黑" w:hAnsi="微软雅黑" w:cs="微软雅黑"/>
                <w:kern w:val="2"/>
                <w:sz w:val="18"/>
                <w:szCs w:val="18"/>
              </w:rPr>
              <w:t>Wnt信号通路的主要成分包括分泌蛋白Wnt家族、跨膜受体Frizzled（FZD）家族、CK1、Deshevelled、GSK3、APC、Axin、β-Catenin、以及转录因子TCF/LEF家族。当细胞没有接受Wnt信号刺激时，细胞质内大部分的β-Catenin与细胞膜上Cadherin蛋白结合使之附着于细胞骨架蛋白肌动蛋白上，参与细胞的黏附作用。而少部分的β-Catenin被磷酸化后，与GSK3β等形成降解复合物，最终通过泛素化修饰而降解。Wnt信号的激活是指分泌型的配体蛋白Wnt与膜表面受体蛋白FZD结合后，激活胞内蛋白DVL。DVL通过抑制GSK3β等蛋白，使β-Catenin从其结合蛋白Axin中释放，在胞浆中积累并转入细胞核，结合TCF/LEF转录因子家族，启动下游靶基因（如细胞增殖调控基因c-myc、Cyclin D1等）的转录。</w:t>
            </w:r>
          </w:p>
        </w:tc>
      </w:tr>
      <w:tr w14:paraId="088DC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0836F78C">
            <w:pPr>
              <w:keepNext w:val="0"/>
              <w:keepLines w:val="0"/>
              <w:widowControl/>
              <w:suppressLineNumbers w:val="0"/>
              <w:spacing w:before="0" w:beforeAutospacing="0" w:after="0" w:afterAutospacing="0" w:line="220" w:lineRule="atLeast"/>
              <w:ind w:left="0" w:right="0" w:firstLine="200" w:firstLineChars="100"/>
              <w:jc w:val="both"/>
              <w:rPr>
                <w:rFonts w:hint="default" w:ascii="微软雅黑" w:hAnsi="微软雅黑" w:cs="Times New Roman"/>
                <w:b/>
                <w:color w:val="F9FBFA"/>
                <w:kern w:val="2"/>
                <w:sz w:val="20"/>
                <w:szCs w:val="20"/>
              </w:rPr>
            </w:pPr>
            <w:r>
              <w:rPr>
                <w:rFonts w:hint="default" w:ascii="微软雅黑" w:hAnsi="微软雅黑" w:cs="Times New Roman"/>
                <w:b/>
                <w:color w:val="FFFFFF" w:themeColor="background1"/>
                <w:kern w:val="2"/>
                <w:sz w:val="20"/>
                <w:szCs w:val="20"/>
                <w14:textFill>
                  <w14:solidFill>
                    <w14:schemeClr w14:val="bg1"/>
                  </w14:solidFill>
                </w14:textFill>
              </w:rPr>
              <w:t>基因列表</w:t>
            </w:r>
          </w:p>
        </w:tc>
      </w:tr>
      <w:tr w14:paraId="09B8D3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1D159D5B">
            <w:pPr>
              <w:keepNext w:val="0"/>
              <w:keepLines w:val="0"/>
              <w:widowControl/>
              <w:suppressLineNumbers w:val="0"/>
              <w:spacing w:before="0" w:beforeAutospacing="0" w:after="0" w:afterAutospacing="0"/>
              <w:ind w:left="0" w:right="0"/>
              <w:jc w:val="both"/>
              <w:rPr>
                <w:rFonts w:hint="default" w:ascii="微软雅黑" w:hAnsi="微软雅黑" w:cs="微软雅黑"/>
                <w:kern w:val="2"/>
                <w:sz w:val="18"/>
                <w:szCs w:val="18"/>
              </w:rPr>
            </w:pPr>
            <w:r>
              <w:rPr>
                <w:rFonts w:hint="default" w:ascii="微软雅黑" w:hAnsi="微软雅黑" w:cs="微软雅黑"/>
                <w:kern w:val="2"/>
                <w:sz w:val="18"/>
                <w:szCs w:val="18"/>
              </w:rPr>
              <w:t>TP53</w:t>
            </w:r>
            <w:r>
              <w:rPr>
                <w:rFonts w:hint="eastAsia" w:ascii="微软雅黑" w:hAnsi="微软雅黑" w:cs="微软雅黑"/>
                <w:kern w:val="2"/>
                <w:sz w:val="18"/>
                <w:szCs w:val="18"/>
              </w:rPr>
              <w:t xml:space="preserve"> </w:t>
            </w:r>
            <w:r>
              <w:rPr>
                <w:rFonts w:hint="default" w:ascii="微软雅黑" w:hAnsi="微软雅黑" w:cs="微软雅黑"/>
                <w:kern w:val="2"/>
                <w:sz w:val="18"/>
                <w:szCs w:val="18"/>
              </w:rPr>
              <w:t xml:space="preserve">AR AMER1 APC AXIN1 AXIN2 CAMK2G CCND1 CCND2 CCND3 CDC73 CDK8 CREBBP CTNNA1 CTNNB1 CUL3 CYLD EP300 FOXP1 GATA6 GNA11 GNA13 GNAS GSK3B HNF1A JUN KMT2D MED12 MITF MYC PPP2R1A PTCH1 RAC1 RAC2 ROCK1 </w:t>
            </w:r>
            <w:r>
              <w:rPr>
                <w:rFonts w:hint="default" w:ascii="微软雅黑" w:hAnsi="微软雅黑" w:cs="微软雅黑"/>
                <w:color w:val="000000" w:themeColor="text1"/>
                <w:kern w:val="2"/>
                <w:sz w:val="18"/>
                <w:szCs w:val="18"/>
                <w14:textFill>
                  <w14:solidFill>
                    <w14:schemeClr w14:val="tx1"/>
                  </w14:solidFill>
                </w14:textFill>
              </w:rPr>
              <w:t xml:space="preserve">RUNX2 </w:t>
            </w:r>
            <w:r>
              <w:rPr>
                <w:rFonts w:hint="default" w:ascii="微软雅黑" w:hAnsi="微软雅黑" w:cs="微软雅黑"/>
                <w:kern w:val="2"/>
                <w:sz w:val="18"/>
                <w:szCs w:val="18"/>
              </w:rPr>
              <w:t xml:space="preserve">SMAD2 SMAD3 SMAD4 SMARCA4 SOX17 SOX9 SRC TCF7L2 TERT WT1 XPO1 YES1 PHOX2B </w:t>
            </w:r>
          </w:p>
        </w:tc>
      </w:tr>
    </w:tbl>
    <w:p w14:paraId="3BED5E11">
      <w:pPr>
        <w:adjustRightInd/>
        <w:snapToGrid/>
        <w:spacing w:line="220" w:lineRule="atLeast"/>
        <w:jc w:val="center"/>
      </w:pPr>
    </w:p>
    <w:p w14:paraId="00608879">
      <w:pPr>
        <w:adjustRightInd/>
        <w:snapToGrid/>
        <w:spacing w:line="220" w:lineRule="atLeast"/>
        <w:jc w:val="center"/>
        <w:rPr>
          <w:rFonts w:ascii="微软雅黑" w:hAnsi="微软雅黑"/>
          <w:b/>
          <w:sz w:val="24"/>
          <w:szCs w:val="24"/>
        </w:rPr>
      </w:pPr>
      <w:r>
        <w:drawing>
          <wp:inline distT="0" distB="0" distL="114300" distR="114300">
            <wp:extent cx="4990465" cy="2981325"/>
            <wp:effectExtent l="0" t="0" r="635" b="9525"/>
            <wp:docPr id="104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 name="图片 2"/>
                    <pic:cNvPicPr>
                      <a:picLocks noChangeAspect="1"/>
                    </pic:cNvPicPr>
                  </pic:nvPicPr>
                  <pic:blipFill>
                    <a:blip r:embed="rId41" cstate="print"/>
                    <a:stretch>
                      <a:fillRect/>
                    </a:stretch>
                  </pic:blipFill>
                  <pic:spPr>
                    <a:xfrm>
                      <a:off x="0" y="0"/>
                      <a:ext cx="4990465" cy="2981325"/>
                    </a:xfrm>
                    <a:prstGeom prst="rect">
                      <a:avLst/>
                    </a:prstGeom>
                    <a:noFill/>
                    <a:ln>
                      <a:noFill/>
                    </a:ln>
                  </pic:spPr>
                </pic:pic>
              </a:graphicData>
            </a:graphic>
          </wp:inline>
        </w:drawing>
      </w:r>
    </w:p>
    <w:p w14:paraId="05B7313F">
      <w:pPr>
        <w:adjustRightInd/>
        <w:snapToGrid/>
        <w:spacing w:after="0"/>
        <w:jc w:val="center"/>
        <w:rPr>
          <w:rFonts w:ascii="微软雅黑" w:hAnsi="微软雅黑" w:cs="微软雅黑"/>
          <w:b/>
          <w:bCs/>
          <w:sz w:val="18"/>
          <w:szCs w:val="18"/>
        </w:rPr>
      </w:pPr>
      <w:r>
        <w:rPr>
          <w:rFonts w:hint="eastAsia" w:ascii="微软雅黑" w:hAnsi="微软雅黑" w:cs="微软雅黑"/>
          <w:sz w:val="18"/>
          <w:szCs w:val="18"/>
        </w:rPr>
        <w:t>Wnt/β-Catenin Signaling Pathway</w:t>
      </w:r>
    </w:p>
    <w:p w14:paraId="2E23BC32">
      <w:pPr>
        <w:adjustRightInd/>
        <w:snapToGrid/>
        <w:spacing w:after="40"/>
        <w:jc w:val="both"/>
        <w:rPr>
          <w:rFonts w:ascii="微软雅黑" w:hAnsi="微软雅黑" w:cs="微软雅黑"/>
          <w:b/>
          <w:bCs/>
          <w:sz w:val="18"/>
          <w:szCs w:val="18"/>
        </w:rPr>
      </w:pPr>
    </w:p>
    <w:p w14:paraId="4C4A78D2">
      <w:pPr>
        <w:adjustRightInd/>
        <w:snapToGrid/>
        <w:spacing w:after="40"/>
        <w:jc w:val="both"/>
        <w:rPr>
          <w:rFonts w:ascii="微软雅黑" w:hAnsi="微软雅黑" w:cs="微软雅黑"/>
          <w:sz w:val="18"/>
          <w:szCs w:val="18"/>
        </w:rPr>
      </w:pPr>
      <w:r>
        <w:rPr>
          <w:rFonts w:hint="eastAsia" w:ascii="微软雅黑" w:hAnsi="微软雅黑" w:cs="微软雅黑"/>
          <w:b/>
          <w:bCs/>
          <w:sz w:val="18"/>
          <w:szCs w:val="18"/>
        </w:rPr>
        <w:t>参考文献：</w:t>
      </w:r>
    </w:p>
    <w:p w14:paraId="65F8A947">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Nature. 1980 Oct 30;287</w:t>
      </w:r>
      <w:r>
        <w:rPr>
          <w:rFonts w:ascii="微软雅黑" w:hAnsi="微软雅黑" w:cs="微软雅黑"/>
          <w:sz w:val="18"/>
          <w:szCs w:val="18"/>
        </w:rPr>
        <w:t>（</w:t>
      </w:r>
      <w:r>
        <w:rPr>
          <w:rFonts w:hint="eastAsia" w:ascii="微软雅黑" w:hAnsi="微软雅黑" w:cs="微软雅黑"/>
          <w:sz w:val="18"/>
          <w:szCs w:val="18"/>
        </w:rPr>
        <w:t>5785</w:t>
      </w:r>
      <w:r>
        <w:rPr>
          <w:rFonts w:ascii="微软雅黑" w:hAnsi="微软雅黑" w:cs="微软雅黑"/>
          <w:sz w:val="18"/>
          <w:szCs w:val="18"/>
        </w:rPr>
        <w:t>）</w:t>
      </w:r>
      <w:r>
        <w:rPr>
          <w:rFonts w:hint="eastAsia" w:ascii="微软雅黑" w:hAnsi="微软雅黑" w:cs="微软雅黑"/>
          <w:sz w:val="18"/>
          <w:szCs w:val="18"/>
        </w:rPr>
        <w:t>:795-801.</w:t>
      </w:r>
    </w:p>
    <w:p w14:paraId="7AD6E841">
      <w:pPr>
        <w:adjustRightInd/>
        <w:snapToGrid/>
        <w:spacing w:after="40"/>
        <w:jc w:val="both"/>
        <w:rPr>
          <w:rFonts w:ascii="微软雅黑" w:hAnsi="微软雅黑" w:cs="微软雅黑"/>
          <w:sz w:val="18"/>
          <w:szCs w:val="18"/>
        </w:rPr>
      </w:pPr>
      <w:r>
        <w:fldChar w:fldCharType="begin"/>
      </w:r>
      <w:r>
        <w:instrText xml:space="preserve"> HYPERLINK "https://www.ncbi.nlm.nih.gov/pubmed/?term=Wnt+signalling+regulates+adult+hippocampal+neurogenesis" \o "Nature." </w:instrText>
      </w:r>
      <w:r>
        <w:fldChar w:fldCharType="separate"/>
      </w:r>
      <w:r>
        <w:rPr>
          <w:rFonts w:hint="eastAsia" w:ascii="微软雅黑" w:hAnsi="微软雅黑" w:cs="微软雅黑"/>
          <w:sz w:val="18"/>
          <w:szCs w:val="18"/>
        </w:rPr>
        <w:t>Nature.</w:t>
      </w:r>
      <w:r>
        <w:rPr>
          <w:rFonts w:hint="eastAsia" w:ascii="微软雅黑" w:hAnsi="微软雅黑" w:cs="微软雅黑"/>
          <w:sz w:val="18"/>
          <w:szCs w:val="18"/>
        </w:rPr>
        <w:fldChar w:fldCharType="end"/>
      </w:r>
      <w:r>
        <w:rPr>
          <w:rFonts w:hint="eastAsia" w:ascii="微软雅黑" w:hAnsi="微软雅黑" w:cs="微软雅黑"/>
          <w:sz w:val="18"/>
          <w:szCs w:val="18"/>
        </w:rPr>
        <w:t> 2005 Oct 27;437</w:t>
      </w:r>
      <w:r>
        <w:rPr>
          <w:rFonts w:ascii="微软雅黑" w:hAnsi="微软雅黑" w:cs="微软雅黑"/>
          <w:sz w:val="18"/>
          <w:szCs w:val="18"/>
        </w:rPr>
        <w:t>（</w:t>
      </w:r>
      <w:r>
        <w:rPr>
          <w:rFonts w:hint="eastAsia" w:ascii="微软雅黑" w:hAnsi="微软雅黑" w:cs="微软雅黑"/>
          <w:sz w:val="18"/>
          <w:szCs w:val="18"/>
        </w:rPr>
        <w:t>7063</w:t>
      </w:r>
      <w:r>
        <w:rPr>
          <w:rFonts w:ascii="微软雅黑" w:hAnsi="微软雅黑" w:cs="微软雅黑"/>
          <w:sz w:val="18"/>
          <w:szCs w:val="18"/>
        </w:rPr>
        <w:t>）</w:t>
      </w:r>
      <w:r>
        <w:rPr>
          <w:rFonts w:hint="eastAsia" w:ascii="微软雅黑" w:hAnsi="微软雅黑" w:cs="微软雅黑"/>
          <w:sz w:val="18"/>
          <w:szCs w:val="18"/>
        </w:rPr>
        <w:t>:1370-1375.</w:t>
      </w:r>
    </w:p>
    <w:p w14:paraId="6D75BF09">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Nat Rev Cancer. 2008 May;8</w:t>
      </w:r>
      <w:r>
        <w:rPr>
          <w:rFonts w:ascii="微软雅黑" w:hAnsi="微软雅黑" w:cs="微软雅黑"/>
          <w:sz w:val="18"/>
          <w:szCs w:val="18"/>
        </w:rPr>
        <w:t>（</w:t>
      </w:r>
      <w:r>
        <w:rPr>
          <w:rFonts w:hint="eastAsia" w:ascii="微软雅黑" w:hAnsi="微软雅黑" w:cs="微软雅黑"/>
          <w:sz w:val="18"/>
          <w:szCs w:val="18"/>
        </w:rPr>
        <w:t>5</w:t>
      </w:r>
      <w:r>
        <w:rPr>
          <w:rFonts w:ascii="微软雅黑" w:hAnsi="微软雅黑" w:cs="微软雅黑"/>
          <w:sz w:val="18"/>
          <w:szCs w:val="18"/>
        </w:rPr>
        <w:t>）</w:t>
      </w:r>
      <w:r>
        <w:rPr>
          <w:rFonts w:hint="eastAsia" w:ascii="微软雅黑" w:hAnsi="微软雅黑" w:cs="微软雅黑"/>
          <w:sz w:val="18"/>
          <w:szCs w:val="18"/>
        </w:rPr>
        <w:t>:387-398.</w:t>
      </w:r>
    </w:p>
    <w:p w14:paraId="2BC669F7">
      <w:pPr>
        <w:adjustRightInd/>
        <w:snapToGrid/>
        <w:spacing w:after="40"/>
        <w:jc w:val="both"/>
        <w:rPr>
          <w:rFonts w:ascii="微软雅黑" w:hAnsi="微软雅黑"/>
          <w:b/>
          <w:sz w:val="24"/>
          <w:szCs w:val="24"/>
        </w:rPr>
      </w:pPr>
      <w:r>
        <w:rPr>
          <w:rFonts w:hint="eastAsia" w:ascii="微软雅黑" w:hAnsi="微软雅黑" w:cs="微软雅黑"/>
          <w:sz w:val="18"/>
          <w:szCs w:val="18"/>
        </w:rPr>
        <w:t xml:space="preserve">Cancer Treat Rev.2018 January ; 62: 50–60. </w:t>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5"/>
        <w:gridCol w:w="6997"/>
      </w:tblGrid>
      <w:tr w14:paraId="34F63B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25D271C0">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9FBFA"/>
                <w:kern w:val="2"/>
                <w:sz w:val="20"/>
                <w:szCs w:val="20"/>
              </w:rPr>
            </w:pPr>
            <w:r>
              <w:rPr>
                <w:rFonts w:hint="default" w:ascii="微软雅黑" w:hAnsi="微软雅黑" w:cs="Times New Roman"/>
                <w:b/>
                <w:color w:val="F9FBFA"/>
                <w:kern w:val="2"/>
                <w:sz w:val="20"/>
                <w:szCs w:val="20"/>
              </w:rPr>
              <w:t>通路名称</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tcPr>
          <w:p w14:paraId="2085A88E">
            <w:pPr>
              <w:keepNext w:val="0"/>
              <w:keepLines w:val="0"/>
              <w:widowControl/>
              <w:suppressLineNumbers w:val="0"/>
              <w:spacing w:before="0" w:beforeAutospacing="0" w:after="0" w:afterAutospacing="0" w:line="220" w:lineRule="atLeast"/>
              <w:ind w:left="0" w:right="0"/>
              <w:rPr>
                <w:rFonts w:hint="default" w:ascii="微软雅黑" w:hAnsi="微软雅黑" w:cs="Times New Roman"/>
                <w:b/>
                <w:color w:val="F9FBFA"/>
                <w:kern w:val="2"/>
                <w:sz w:val="20"/>
                <w:szCs w:val="20"/>
              </w:rPr>
            </w:pPr>
            <w:r>
              <w:rPr>
                <w:rFonts w:hint="default" w:ascii="微软雅黑" w:hAnsi="微软雅黑" w:cs="Times New Roman"/>
                <w:b/>
                <w:color w:val="F9FBFA"/>
                <w:kern w:val="2"/>
                <w:sz w:val="20"/>
                <w:szCs w:val="20"/>
              </w:rPr>
              <w:t>JAK/STAT Signaling Pathway</w:t>
            </w:r>
          </w:p>
        </w:tc>
      </w:tr>
      <w:tr w14:paraId="6BDD5C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2A216613">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FFFFF" w:themeColor="background1"/>
                <w:kern w:val="2"/>
                <w:sz w:val="20"/>
                <w:szCs w:val="20"/>
                <w14:textFill>
                  <w14:solidFill>
                    <w14:schemeClr w14:val="bg1"/>
                  </w14:solidFill>
                </w14:textFill>
              </w:rPr>
            </w:pPr>
            <w:r>
              <w:rPr>
                <w:rFonts w:hint="default" w:ascii="微软雅黑" w:hAnsi="微软雅黑" w:cs="Times New Roman"/>
                <w:b/>
                <w:color w:val="FFFFFF" w:themeColor="background1"/>
                <w:kern w:val="2"/>
                <w:sz w:val="20"/>
                <w:szCs w:val="20"/>
                <w14:textFill>
                  <w14:solidFill>
                    <w14:schemeClr w14:val="bg1"/>
                  </w14:solidFill>
                </w14:textFill>
              </w:rPr>
              <w:t>通路解析</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14:paraId="4CE097EA">
            <w:pPr>
              <w:keepNext w:val="0"/>
              <w:keepLines w:val="0"/>
              <w:widowControl/>
              <w:suppressLineNumbers w:val="0"/>
              <w:spacing w:before="40" w:beforeAutospacing="0" w:after="40" w:afterAutospacing="0"/>
              <w:ind w:left="0" w:right="0" w:firstLine="360" w:firstLineChars="200"/>
              <w:jc w:val="both"/>
              <w:rPr>
                <w:rFonts w:hint="default" w:ascii="微软雅黑" w:hAnsi="微软雅黑" w:cs="微软雅黑"/>
                <w:kern w:val="2"/>
                <w:sz w:val="18"/>
                <w:szCs w:val="18"/>
              </w:rPr>
            </w:pPr>
            <w:r>
              <w:rPr>
                <w:rFonts w:hint="eastAsia" w:ascii="微软雅黑" w:hAnsi="微软雅黑" w:cs="微软雅黑"/>
                <w:kern w:val="2"/>
                <w:sz w:val="18"/>
                <w:szCs w:val="18"/>
              </w:rPr>
              <w:t>JAK/STAT信号通路是一条由细胞因子刺激的信号转导通路，参与细胞的增殖、分化、凋亡以及免疫调节等许多重要的生物学过程。在许多人类肿瘤中都发现STAT信号通路的持续激活。</w:t>
            </w:r>
          </w:p>
          <w:p w14:paraId="157CAF2E">
            <w:pPr>
              <w:keepNext w:val="0"/>
              <w:keepLines w:val="0"/>
              <w:widowControl/>
              <w:suppressLineNumbers w:val="0"/>
              <w:spacing w:before="40" w:beforeAutospacing="0" w:after="40" w:afterAutospacing="0"/>
              <w:ind w:left="0" w:right="0" w:firstLine="360" w:firstLineChars="200"/>
              <w:jc w:val="both"/>
              <w:rPr>
                <w:rFonts w:hint="default" w:ascii="微软雅黑" w:hAnsi="微软雅黑" w:cs="Times New Roman"/>
                <w:b/>
                <w:color w:val="F9FBFA"/>
                <w:kern w:val="2"/>
                <w:sz w:val="20"/>
                <w:szCs w:val="20"/>
              </w:rPr>
            </w:pPr>
            <w:r>
              <w:rPr>
                <w:rFonts w:hint="eastAsia" w:ascii="微软雅黑" w:hAnsi="微软雅黑" w:cs="微软雅黑"/>
                <w:kern w:val="2"/>
                <w:sz w:val="18"/>
                <w:szCs w:val="18"/>
              </w:rPr>
              <w:t>JAK属于非受体酪氨酸激酶家族，由JAK1、JAK2、JAK3和Tyk2组成。许多细胞因子和生长因子通过JAK-STAT通路传导信号，包括白介素2-7（IL-2-7）、生长激素（GH）、表皮生长因子（EGF）以及血小板衍生因子（PDGF）等。激活后JAK催化结合在受体上的STAT蛋白发生磷酸化修饰，活化的STAT蛋白以二聚体的形式进入细胞核内与靶基因结合，调控基因的转录。酪氨酸磷酸酶（PTPs）、SOCS蛋白、PIAS蛋白可对JAK-STAT信号通路进行负调控。大量证据显示该信号通路的持续激活与疾病之间有着密切的关系。目前，已经有许多JAK抑制剂和STAT抑制剂被研发用于癌症的治疗。</w:t>
            </w:r>
          </w:p>
        </w:tc>
      </w:tr>
      <w:tr w14:paraId="73ECAD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5EC2F079">
            <w:pPr>
              <w:keepNext w:val="0"/>
              <w:keepLines w:val="0"/>
              <w:widowControl/>
              <w:suppressLineNumbers w:val="0"/>
              <w:spacing w:before="0" w:beforeAutospacing="0" w:after="0" w:afterAutospacing="0" w:line="220" w:lineRule="atLeast"/>
              <w:ind w:left="0" w:right="0" w:firstLine="200" w:firstLineChars="100"/>
              <w:jc w:val="both"/>
              <w:rPr>
                <w:rFonts w:hint="default" w:ascii="微软雅黑" w:hAnsi="微软雅黑" w:cs="Times New Roman"/>
                <w:b/>
                <w:color w:val="F9FBFA"/>
                <w:kern w:val="2"/>
                <w:sz w:val="20"/>
                <w:szCs w:val="20"/>
              </w:rPr>
            </w:pPr>
            <w:r>
              <w:rPr>
                <w:rFonts w:hint="default" w:ascii="微软雅黑" w:hAnsi="微软雅黑" w:cs="Times New Roman"/>
                <w:b/>
                <w:color w:val="FFFFFF" w:themeColor="background1"/>
                <w:kern w:val="2"/>
                <w:sz w:val="20"/>
                <w:szCs w:val="20"/>
                <w14:textFill>
                  <w14:solidFill>
                    <w14:schemeClr w14:val="bg1"/>
                  </w14:solidFill>
                </w14:textFill>
              </w:rPr>
              <w:t>基因列表</w:t>
            </w:r>
          </w:p>
        </w:tc>
      </w:tr>
      <w:tr w14:paraId="3BA813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1EE5224C">
            <w:pPr>
              <w:keepNext w:val="0"/>
              <w:keepLines w:val="0"/>
              <w:widowControl/>
              <w:suppressLineNumbers w:val="0"/>
              <w:spacing w:before="0" w:beforeAutospacing="0" w:after="0" w:afterAutospacing="0"/>
              <w:ind w:left="0" w:right="0"/>
              <w:jc w:val="both"/>
              <w:rPr>
                <w:rFonts w:hint="default" w:ascii="微软雅黑" w:hAnsi="微软雅黑" w:cs="微软雅黑"/>
                <w:kern w:val="2"/>
                <w:sz w:val="18"/>
                <w:szCs w:val="18"/>
              </w:rPr>
            </w:pPr>
            <w:r>
              <w:rPr>
                <w:rFonts w:hint="default" w:ascii="微软雅黑" w:hAnsi="微软雅黑" w:cs="微软雅黑"/>
                <w:kern w:val="2"/>
                <w:sz w:val="18"/>
                <w:szCs w:val="18"/>
              </w:rPr>
              <w:t>AKT1 AKT2 AKT3 AXL BCL2 BCL2L1 CBL CCND1 CCND2 CCND3 CREBBP CRLF2 CXCR4 EGFR EP300 EPHA7 ETV5 HOXB13</w:t>
            </w:r>
            <w:r>
              <w:rPr>
                <w:rFonts w:hint="eastAsia" w:ascii="微软雅黑" w:hAnsi="微软雅黑" w:cs="微软雅黑"/>
                <w:kern w:val="2"/>
                <w:sz w:val="18"/>
                <w:szCs w:val="18"/>
              </w:rPr>
              <w:t xml:space="preserve"> </w:t>
            </w:r>
            <w:r>
              <w:rPr>
                <w:rFonts w:hint="default" w:ascii="微软雅黑" w:hAnsi="微软雅黑" w:cs="微软雅黑"/>
                <w:kern w:val="2"/>
                <w:sz w:val="18"/>
                <w:szCs w:val="18"/>
              </w:rPr>
              <w:t xml:space="preserve">IL7R JAK1 JAK2 JAK3 MPL MTOR MYC PIK3CA PIK3CB PIK3CG PIK3R1 PIK3R2 PTPN11 SOCS1 SRC STAT3 STAT4 </w:t>
            </w:r>
          </w:p>
        </w:tc>
      </w:tr>
    </w:tbl>
    <w:p w14:paraId="33789CCF">
      <w:pPr>
        <w:adjustRightInd/>
        <w:snapToGrid/>
        <w:spacing w:line="220" w:lineRule="atLeast"/>
        <w:rPr>
          <w:rFonts w:ascii="微软雅黑" w:hAnsi="微软雅黑"/>
          <w:b/>
          <w:sz w:val="24"/>
          <w:szCs w:val="24"/>
        </w:rPr>
      </w:pPr>
    </w:p>
    <w:p w14:paraId="0F956405">
      <w:pPr>
        <w:jc w:val="center"/>
      </w:pPr>
      <w:r>
        <w:rPr>
          <w:rFonts w:ascii="宋体" w:hAnsi="宋体" w:eastAsia="宋体" w:cs="宋体"/>
          <w:sz w:val="24"/>
          <w:szCs w:val="24"/>
        </w:rPr>
        <w:drawing>
          <wp:inline distT="0" distB="0" distL="114300" distR="114300">
            <wp:extent cx="3504565" cy="3209925"/>
            <wp:effectExtent l="0" t="0" r="635" b="9525"/>
            <wp:docPr id="104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 name="图片 1" descr="IMG_256"/>
                    <pic:cNvPicPr>
                      <a:picLocks noChangeAspect="1"/>
                    </pic:cNvPicPr>
                  </pic:nvPicPr>
                  <pic:blipFill>
                    <a:blip r:embed="rId42" cstate="print"/>
                    <a:stretch>
                      <a:fillRect/>
                    </a:stretch>
                  </pic:blipFill>
                  <pic:spPr>
                    <a:xfrm>
                      <a:off x="0" y="0"/>
                      <a:ext cx="3504565" cy="3209925"/>
                    </a:xfrm>
                    <a:prstGeom prst="rect">
                      <a:avLst/>
                    </a:prstGeom>
                    <a:noFill/>
                    <a:ln w="9525">
                      <a:noFill/>
                    </a:ln>
                  </pic:spPr>
                </pic:pic>
              </a:graphicData>
            </a:graphic>
          </wp:inline>
        </w:drawing>
      </w:r>
    </w:p>
    <w:p w14:paraId="7288B829">
      <w:pPr>
        <w:adjustRightInd/>
        <w:snapToGrid/>
        <w:spacing w:line="220" w:lineRule="atLeast"/>
        <w:jc w:val="center"/>
        <w:rPr>
          <w:rFonts w:ascii="微软雅黑" w:hAnsi="微软雅黑"/>
          <w:b/>
          <w:sz w:val="24"/>
          <w:szCs w:val="24"/>
        </w:rPr>
      </w:pPr>
      <w:r>
        <w:rPr>
          <w:rFonts w:hint="eastAsia" w:ascii="微软雅黑" w:hAnsi="微软雅黑" w:cs="微软雅黑"/>
          <w:kern w:val="2"/>
          <w:sz w:val="18"/>
          <w:szCs w:val="18"/>
        </w:rPr>
        <w:t>JAK/STAT Signaling Pathway</w:t>
      </w:r>
    </w:p>
    <w:p w14:paraId="32E4627F">
      <w:pPr>
        <w:adjustRightInd/>
        <w:snapToGrid/>
        <w:spacing w:after="40"/>
        <w:jc w:val="both"/>
        <w:rPr>
          <w:rFonts w:ascii="微软雅黑" w:hAnsi="微软雅黑" w:cs="微软雅黑"/>
          <w:b/>
          <w:bCs/>
          <w:sz w:val="18"/>
          <w:szCs w:val="18"/>
        </w:rPr>
      </w:pPr>
    </w:p>
    <w:p w14:paraId="07F55CDE">
      <w:pPr>
        <w:adjustRightInd/>
        <w:snapToGrid/>
        <w:spacing w:after="40"/>
        <w:jc w:val="both"/>
        <w:rPr>
          <w:rFonts w:ascii="微软雅黑" w:hAnsi="微软雅黑" w:cs="微软雅黑"/>
          <w:b/>
          <w:bCs/>
          <w:sz w:val="18"/>
          <w:szCs w:val="18"/>
        </w:rPr>
      </w:pPr>
      <w:r>
        <w:rPr>
          <w:rFonts w:hint="eastAsia" w:ascii="微软雅黑" w:hAnsi="微软雅黑" w:cs="微软雅黑"/>
          <w:b/>
          <w:bCs/>
          <w:sz w:val="18"/>
          <w:szCs w:val="18"/>
        </w:rPr>
        <w:t>参考文献：</w:t>
      </w:r>
    </w:p>
    <w:p w14:paraId="4C5BC6BC">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Nat Rev Immunol 2003; 3: 900-911.</w:t>
      </w:r>
    </w:p>
    <w:p w14:paraId="21DC0A86">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J Cell Sci. 2004 Mar 15;117</w:t>
      </w:r>
      <w:r>
        <w:rPr>
          <w:rFonts w:ascii="微软雅黑" w:hAnsi="微软雅黑" w:cs="微软雅黑"/>
          <w:sz w:val="18"/>
          <w:szCs w:val="18"/>
        </w:rPr>
        <w:t>（</w:t>
      </w:r>
      <w:r>
        <w:rPr>
          <w:rFonts w:hint="eastAsia" w:ascii="微软雅黑" w:hAnsi="微软雅黑" w:cs="微软雅黑"/>
          <w:sz w:val="18"/>
          <w:szCs w:val="18"/>
        </w:rPr>
        <w:t>Pt 8</w:t>
      </w:r>
      <w:r>
        <w:rPr>
          <w:rFonts w:ascii="微软雅黑" w:hAnsi="微软雅黑" w:cs="微软雅黑"/>
          <w:sz w:val="18"/>
          <w:szCs w:val="18"/>
        </w:rPr>
        <w:t>）</w:t>
      </w:r>
      <w:r>
        <w:rPr>
          <w:rFonts w:hint="eastAsia" w:ascii="微软雅黑" w:hAnsi="微软雅黑" w:cs="微软雅黑"/>
          <w:sz w:val="18"/>
          <w:szCs w:val="18"/>
        </w:rPr>
        <w:t>:1281-1283.</w:t>
      </w:r>
    </w:p>
    <w:p w14:paraId="0A45CAFA">
      <w:pPr>
        <w:adjustRightInd/>
        <w:snapToGrid/>
        <w:spacing w:after="40"/>
        <w:jc w:val="both"/>
        <w:rPr>
          <w:rFonts w:ascii="微软雅黑" w:hAnsi="微软雅黑" w:cs="微软雅黑"/>
          <w:sz w:val="18"/>
          <w:szCs w:val="18"/>
        </w:rPr>
      </w:pPr>
      <w:r>
        <w:fldChar w:fldCharType="begin"/>
      </w:r>
      <w:r>
        <w:instrText xml:space="preserve"> HYPERLINK "https://www.ncbi.nlm.nih.gov/pubmed/?term=Ananthakrishnan+R,Hallam+K,et+al.(2005)JAK-STAT+pathway+in+cardiac+ischemic+stress.Vascul+Pharmacol." \o "Vascular pharmacology." </w:instrText>
      </w:r>
      <w:r>
        <w:fldChar w:fldCharType="separate"/>
      </w:r>
      <w:r>
        <w:rPr>
          <w:rFonts w:hint="eastAsia" w:ascii="微软雅黑" w:hAnsi="微软雅黑" w:cs="微软雅黑"/>
          <w:sz w:val="18"/>
          <w:szCs w:val="18"/>
        </w:rPr>
        <w:t>Vascul Pharmacol.</w:t>
      </w:r>
      <w:r>
        <w:rPr>
          <w:rFonts w:hint="eastAsia" w:ascii="微软雅黑" w:hAnsi="微软雅黑" w:cs="微软雅黑"/>
          <w:sz w:val="18"/>
          <w:szCs w:val="18"/>
        </w:rPr>
        <w:fldChar w:fldCharType="end"/>
      </w:r>
      <w:r>
        <w:rPr>
          <w:rFonts w:hint="eastAsia" w:ascii="微软雅黑" w:hAnsi="微软雅黑" w:cs="微软雅黑"/>
          <w:sz w:val="18"/>
          <w:szCs w:val="18"/>
        </w:rPr>
        <w:t> 2005 Nov;43</w:t>
      </w:r>
      <w:r>
        <w:rPr>
          <w:rFonts w:ascii="微软雅黑" w:hAnsi="微软雅黑" w:cs="微软雅黑"/>
          <w:sz w:val="18"/>
          <w:szCs w:val="18"/>
        </w:rPr>
        <w:t>（</w:t>
      </w:r>
      <w:r>
        <w:rPr>
          <w:rFonts w:hint="eastAsia" w:ascii="微软雅黑" w:hAnsi="微软雅黑" w:cs="微软雅黑"/>
          <w:sz w:val="18"/>
          <w:szCs w:val="18"/>
        </w:rPr>
        <w:t>5</w:t>
      </w:r>
      <w:r>
        <w:rPr>
          <w:rFonts w:ascii="微软雅黑" w:hAnsi="微软雅黑" w:cs="微软雅黑"/>
          <w:sz w:val="18"/>
          <w:szCs w:val="18"/>
        </w:rPr>
        <w:t>）</w:t>
      </w:r>
      <w:r>
        <w:rPr>
          <w:rFonts w:hint="eastAsia" w:ascii="微软雅黑" w:hAnsi="微软雅黑" w:cs="微软雅黑"/>
          <w:sz w:val="18"/>
          <w:szCs w:val="18"/>
        </w:rPr>
        <w:t>:353-356. </w:t>
      </w:r>
    </w:p>
    <w:p w14:paraId="6A925151">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J Rheumatol. 2005 Sep;32</w:t>
      </w:r>
      <w:r>
        <w:rPr>
          <w:rFonts w:ascii="微软雅黑" w:hAnsi="微软雅黑" w:cs="微软雅黑"/>
          <w:sz w:val="18"/>
          <w:szCs w:val="18"/>
        </w:rPr>
        <w:t>（</w:t>
      </w:r>
      <w:r>
        <w:rPr>
          <w:rFonts w:hint="eastAsia" w:ascii="微软雅黑" w:hAnsi="微软雅黑" w:cs="微软雅黑"/>
          <w:sz w:val="18"/>
          <w:szCs w:val="18"/>
        </w:rPr>
        <w:t>9</w:t>
      </w:r>
      <w:r>
        <w:rPr>
          <w:rFonts w:ascii="微软雅黑" w:hAnsi="微软雅黑" w:cs="微软雅黑"/>
          <w:sz w:val="18"/>
          <w:szCs w:val="18"/>
        </w:rPr>
        <w:t>）</w:t>
      </w:r>
      <w:r>
        <w:rPr>
          <w:rFonts w:hint="eastAsia" w:ascii="微软雅黑" w:hAnsi="微软雅黑" w:cs="微软雅黑"/>
          <w:sz w:val="18"/>
          <w:szCs w:val="18"/>
        </w:rPr>
        <w:t>:1650-1653.</w:t>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5"/>
        <w:gridCol w:w="6997"/>
      </w:tblGrid>
      <w:tr w14:paraId="0DE900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68492304">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9FBFA"/>
                <w:kern w:val="2"/>
                <w:sz w:val="20"/>
                <w:szCs w:val="20"/>
              </w:rPr>
            </w:pPr>
            <w:r>
              <w:rPr>
                <w:rFonts w:hint="eastAsia" w:ascii="微软雅黑" w:hAnsi="微软雅黑"/>
                <w:b/>
                <w:kern w:val="2"/>
                <w:sz w:val="24"/>
                <w:szCs w:val="24"/>
              </w:rPr>
              <w:br w:type="page"/>
            </w:r>
            <w:r>
              <w:rPr>
                <w:rFonts w:hint="default" w:ascii="微软雅黑" w:hAnsi="微软雅黑" w:cs="Times New Roman"/>
                <w:b/>
                <w:color w:val="F9FBFA"/>
                <w:kern w:val="2"/>
                <w:sz w:val="20"/>
                <w:szCs w:val="20"/>
              </w:rPr>
              <w:t>通路名称</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tcPr>
          <w:p w14:paraId="5C35AC13">
            <w:pPr>
              <w:keepNext w:val="0"/>
              <w:keepLines w:val="0"/>
              <w:widowControl/>
              <w:suppressLineNumbers w:val="0"/>
              <w:spacing w:before="0" w:beforeAutospacing="0" w:after="0" w:afterAutospacing="0" w:line="220" w:lineRule="atLeast"/>
              <w:ind w:left="0" w:right="0"/>
              <w:rPr>
                <w:rFonts w:hint="default" w:ascii="微软雅黑" w:hAnsi="微软雅黑" w:cs="Times New Roman"/>
                <w:b/>
                <w:color w:val="F9FBFA"/>
                <w:kern w:val="2"/>
                <w:sz w:val="20"/>
                <w:szCs w:val="20"/>
              </w:rPr>
            </w:pPr>
            <w:r>
              <w:rPr>
                <w:rFonts w:hint="default" w:ascii="微软雅黑" w:hAnsi="微软雅黑" w:cs="Times New Roman"/>
                <w:b/>
                <w:color w:val="F9FBFA"/>
                <w:kern w:val="2"/>
                <w:sz w:val="20"/>
                <w:szCs w:val="20"/>
              </w:rPr>
              <w:t>Notch Signaling Pathway</w:t>
            </w:r>
          </w:p>
        </w:tc>
      </w:tr>
      <w:tr w14:paraId="04FEA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571CC7CF">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FFFFF" w:themeColor="background1"/>
                <w:kern w:val="2"/>
                <w:sz w:val="20"/>
                <w:szCs w:val="20"/>
                <w14:textFill>
                  <w14:solidFill>
                    <w14:schemeClr w14:val="bg1"/>
                  </w14:solidFill>
                </w14:textFill>
              </w:rPr>
            </w:pPr>
            <w:r>
              <w:rPr>
                <w:rFonts w:hint="default" w:ascii="微软雅黑" w:hAnsi="微软雅黑" w:cs="Times New Roman"/>
                <w:b/>
                <w:color w:val="FFFFFF" w:themeColor="background1"/>
                <w:kern w:val="2"/>
                <w:sz w:val="20"/>
                <w:szCs w:val="20"/>
                <w14:textFill>
                  <w14:solidFill>
                    <w14:schemeClr w14:val="bg1"/>
                  </w14:solidFill>
                </w14:textFill>
              </w:rPr>
              <w:t>通路解析</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14:paraId="5A15F977">
            <w:pPr>
              <w:keepNext w:val="0"/>
              <w:keepLines w:val="0"/>
              <w:widowControl/>
              <w:suppressLineNumbers w:val="0"/>
              <w:spacing w:before="40" w:beforeAutospacing="0" w:after="40" w:afterAutospacing="0"/>
              <w:ind w:left="0" w:right="0" w:firstLine="360" w:firstLineChars="200"/>
              <w:jc w:val="both"/>
              <w:rPr>
                <w:rFonts w:hint="default" w:ascii="微软雅黑" w:hAnsi="微软雅黑" w:cs="微软雅黑"/>
                <w:kern w:val="2"/>
                <w:sz w:val="18"/>
                <w:szCs w:val="18"/>
              </w:rPr>
            </w:pPr>
            <w:r>
              <w:rPr>
                <w:rFonts w:hint="eastAsia" w:ascii="微软雅黑" w:hAnsi="微软雅黑" w:cs="微软雅黑"/>
                <w:kern w:val="2"/>
                <w:sz w:val="18"/>
                <w:szCs w:val="18"/>
              </w:rPr>
              <w:t>Notch信号通路是一条影响细胞命运的、保守而重要的细胞间接触依赖的通讯方式，几乎涉及所有细胞的增殖和分化活动，对调节细胞分化、增殖和凋亡具有重要作用，并与肿瘤形成以及某些神经系统疾病有密切关系。</w:t>
            </w:r>
          </w:p>
          <w:p w14:paraId="0FE4E3BF">
            <w:pPr>
              <w:keepNext w:val="0"/>
              <w:keepLines w:val="0"/>
              <w:widowControl/>
              <w:suppressLineNumbers w:val="0"/>
              <w:spacing w:before="40" w:beforeAutospacing="0" w:after="40" w:afterAutospacing="0"/>
              <w:ind w:left="0" w:right="0" w:firstLine="360" w:firstLineChars="200"/>
              <w:jc w:val="both"/>
              <w:rPr>
                <w:rFonts w:hint="default" w:ascii="微软雅黑" w:hAnsi="微软雅黑" w:cs="Times New Roman"/>
                <w:b/>
                <w:color w:val="F9FBFA"/>
                <w:kern w:val="2"/>
                <w:sz w:val="20"/>
                <w:szCs w:val="20"/>
              </w:rPr>
            </w:pPr>
            <w:r>
              <w:rPr>
                <w:rFonts w:hint="eastAsia" w:ascii="微软雅黑" w:hAnsi="微软雅黑" w:cs="微软雅黑"/>
                <w:kern w:val="2"/>
                <w:sz w:val="18"/>
                <w:szCs w:val="18"/>
              </w:rPr>
              <w:t>完整的Notch信号通路由Notch受体（Notch1-4）、Notch配体、细胞内效应分子CSL DNA结合蛋白以及Notch的调节分子等组成。Notch配体包括Jagged家族（JAG1、JAG2）和Deltal-like（DLL1、DLL3、DLL4）蛋白。Notch信号的产生是通过Notch配体与相邻细胞上的Notch受体相互作用，Notch蛋白经过三步酶切过程，第三步经由γ-分泌酶复合体（γ-Secretase）酶切释放出Notch受体的活化形式NICD。NICD进入细胞核，与转录因子CSL以及MAML结合从而激活HES、HEY、HERP等碱性-螺旋-环-螺旋（bHLH）转录抑制因子家族的靶基因，发挥生物学作用。Notch信号传导除了通过与CSL结合发挥作用外，还可通过非CSL依赖途径，调节相关基因的表达。近年的研究发现，Notch信号改变与肿瘤、遗传性疾病、自身免疫性疾病等多种疾病的发生发展密切相关。目前已有多种Notch信号通路抑制剂用于包括癌症在内的许多疾病的研究。</w:t>
            </w:r>
          </w:p>
        </w:tc>
      </w:tr>
      <w:tr w14:paraId="3A542C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6E37C482">
            <w:pPr>
              <w:keepNext w:val="0"/>
              <w:keepLines w:val="0"/>
              <w:widowControl/>
              <w:suppressLineNumbers w:val="0"/>
              <w:spacing w:before="0" w:beforeAutospacing="0" w:after="0" w:afterAutospacing="0" w:line="220" w:lineRule="atLeast"/>
              <w:ind w:left="0" w:right="0" w:firstLine="200" w:firstLineChars="100"/>
              <w:jc w:val="both"/>
              <w:rPr>
                <w:rFonts w:hint="default" w:ascii="微软雅黑" w:hAnsi="微软雅黑" w:cs="Times New Roman"/>
                <w:b/>
                <w:color w:val="F9FBFA"/>
                <w:kern w:val="2"/>
                <w:sz w:val="20"/>
                <w:szCs w:val="20"/>
              </w:rPr>
            </w:pPr>
            <w:r>
              <w:rPr>
                <w:rFonts w:hint="default" w:ascii="微软雅黑" w:hAnsi="微软雅黑" w:cs="Times New Roman"/>
                <w:b/>
                <w:color w:val="FFFFFF" w:themeColor="background1"/>
                <w:kern w:val="2"/>
                <w:sz w:val="20"/>
                <w:szCs w:val="20"/>
                <w14:textFill>
                  <w14:solidFill>
                    <w14:schemeClr w14:val="bg1"/>
                  </w14:solidFill>
                </w14:textFill>
              </w:rPr>
              <w:t>基因列表</w:t>
            </w:r>
          </w:p>
        </w:tc>
      </w:tr>
      <w:tr w14:paraId="17D9B9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73EFEB21">
            <w:pPr>
              <w:keepNext w:val="0"/>
              <w:keepLines w:val="0"/>
              <w:widowControl/>
              <w:suppressLineNumbers w:val="0"/>
              <w:spacing w:before="0" w:beforeAutospacing="0" w:after="0" w:afterAutospacing="0"/>
              <w:ind w:left="0" w:right="0"/>
              <w:jc w:val="both"/>
              <w:rPr>
                <w:rFonts w:hint="default" w:ascii="微软雅黑" w:hAnsi="微软雅黑" w:cs="微软雅黑"/>
                <w:kern w:val="2"/>
                <w:sz w:val="18"/>
                <w:szCs w:val="18"/>
              </w:rPr>
            </w:pPr>
            <w:r>
              <w:rPr>
                <w:rFonts w:hint="default" w:ascii="微软雅黑" w:hAnsi="微软雅黑" w:cs="微软雅黑"/>
                <w:kern w:val="2"/>
                <w:sz w:val="18"/>
                <w:szCs w:val="18"/>
              </w:rPr>
              <w:t>AR AMER1 BCL6 CBL CDC73 CDK8 CREBBP  EP300 FBXW7 FOXP1 GATA1 GATA3</w:t>
            </w:r>
            <w:r>
              <w:rPr>
                <w:rFonts w:hint="eastAsia" w:ascii="微软雅黑" w:hAnsi="微软雅黑" w:cs="微软雅黑"/>
                <w:kern w:val="2"/>
                <w:sz w:val="18"/>
                <w:szCs w:val="18"/>
              </w:rPr>
              <w:t xml:space="preserve"> </w:t>
            </w:r>
            <w:r>
              <w:rPr>
                <w:rFonts w:hint="default" w:ascii="微软雅黑" w:hAnsi="微软雅黑" w:cs="微软雅黑"/>
                <w:kern w:val="2"/>
                <w:sz w:val="18"/>
                <w:szCs w:val="18"/>
              </w:rPr>
              <w:t>GATA4 GATA6 H3F3A HDAC1 HDAC2 HDAC3 HDAC6</w:t>
            </w:r>
            <w:r>
              <w:rPr>
                <w:rFonts w:hint="eastAsia" w:ascii="微软雅黑" w:hAnsi="微软雅黑" w:cs="微软雅黑"/>
                <w:kern w:val="2"/>
                <w:sz w:val="18"/>
                <w:szCs w:val="18"/>
              </w:rPr>
              <w:t xml:space="preserve"> </w:t>
            </w:r>
            <w:r>
              <w:rPr>
                <w:rFonts w:hint="default" w:ascii="微软雅黑" w:hAnsi="微软雅黑" w:cs="微软雅黑"/>
                <w:kern w:val="2"/>
                <w:sz w:val="18"/>
                <w:szCs w:val="18"/>
              </w:rPr>
              <w:t>HDAC8 HNF1A MYCN NOTCH1 NOTCH2 NOTCH3 NOTCH4 PARP1 PHOX2B</w:t>
            </w:r>
            <w:r>
              <w:rPr>
                <w:rFonts w:hint="eastAsia" w:ascii="微软雅黑" w:hAnsi="微软雅黑" w:cs="微软雅黑"/>
                <w:kern w:val="2"/>
                <w:sz w:val="18"/>
                <w:szCs w:val="18"/>
              </w:rPr>
              <w:t xml:space="preserve"> </w:t>
            </w:r>
            <w:r>
              <w:rPr>
                <w:rFonts w:hint="default" w:ascii="微软雅黑" w:hAnsi="微软雅黑" w:cs="微软雅黑"/>
                <w:kern w:val="2"/>
                <w:sz w:val="18"/>
                <w:szCs w:val="18"/>
              </w:rPr>
              <w:t xml:space="preserve">PTCH1 REL </w:t>
            </w:r>
            <w:r>
              <w:rPr>
                <w:rFonts w:hint="default" w:ascii="微软雅黑" w:hAnsi="微软雅黑" w:cs="微软雅黑"/>
                <w:color w:val="000000" w:themeColor="text1"/>
                <w:kern w:val="2"/>
                <w:sz w:val="18"/>
                <w:szCs w:val="18"/>
                <w14:textFill>
                  <w14:solidFill>
                    <w14:schemeClr w14:val="tx1"/>
                  </w14:solidFill>
                </w14:textFill>
              </w:rPr>
              <w:t xml:space="preserve">RUNX21 </w:t>
            </w:r>
            <w:r>
              <w:rPr>
                <w:rFonts w:hint="default" w:ascii="微软雅黑" w:hAnsi="微软雅黑" w:cs="微软雅黑"/>
                <w:kern w:val="2"/>
                <w:sz w:val="18"/>
                <w:szCs w:val="18"/>
              </w:rPr>
              <w:t xml:space="preserve">SPEN </w:t>
            </w:r>
          </w:p>
        </w:tc>
      </w:tr>
    </w:tbl>
    <w:p w14:paraId="213CAD96">
      <w:pPr>
        <w:adjustRightInd/>
        <w:snapToGrid/>
        <w:spacing w:after="0" w:line="220" w:lineRule="atLeast"/>
        <w:jc w:val="center"/>
      </w:pPr>
    </w:p>
    <w:p w14:paraId="17CF55AF">
      <w:pPr>
        <w:adjustRightInd/>
        <w:snapToGrid/>
        <w:spacing w:line="220" w:lineRule="atLeast"/>
        <w:jc w:val="center"/>
        <w:rPr>
          <w:rFonts w:ascii="微软雅黑" w:hAnsi="微软雅黑"/>
          <w:b/>
          <w:sz w:val="24"/>
          <w:szCs w:val="24"/>
        </w:rPr>
      </w:pPr>
      <w:r>
        <w:drawing>
          <wp:inline distT="0" distB="0" distL="114300" distR="114300">
            <wp:extent cx="2727325" cy="3348355"/>
            <wp:effectExtent l="0" t="0" r="15875" b="4445"/>
            <wp:docPr id="1042"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 name="图片 37"/>
                    <pic:cNvPicPr>
                      <a:picLocks noChangeAspect="1"/>
                    </pic:cNvPicPr>
                  </pic:nvPicPr>
                  <pic:blipFill>
                    <a:blip r:embed="rId43" cstate="print"/>
                    <a:stretch>
                      <a:fillRect/>
                    </a:stretch>
                  </pic:blipFill>
                  <pic:spPr>
                    <a:xfrm>
                      <a:off x="0" y="0"/>
                      <a:ext cx="2727325" cy="3348355"/>
                    </a:xfrm>
                    <a:prstGeom prst="rect">
                      <a:avLst/>
                    </a:prstGeom>
                    <a:noFill/>
                    <a:ln>
                      <a:noFill/>
                    </a:ln>
                  </pic:spPr>
                </pic:pic>
              </a:graphicData>
            </a:graphic>
          </wp:inline>
        </w:drawing>
      </w:r>
    </w:p>
    <w:p w14:paraId="1AE23C62">
      <w:pPr>
        <w:adjustRightInd/>
        <w:snapToGrid/>
        <w:spacing w:after="40"/>
        <w:jc w:val="center"/>
        <w:rPr>
          <w:rFonts w:ascii="微软雅黑" w:hAnsi="微软雅黑" w:cs="微软雅黑"/>
          <w:b/>
          <w:bCs/>
          <w:sz w:val="18"/>
          <w:szCs w:val="18"/>
        </w:rPr>
      </w:pPr>
      <w:r>
        <w:rPr>
          <w:rFonts w:hint="eastAsia" w:ascii="微软雅黑" w:hAnsi="微软雅黑" w:cs="微软雅黑"/>
          <w:sz w:val="18"/>
          <w:szCs w:val="18"/>
        </w:rPr>
        <w:t>Notch Signaling Pathway</w:t>
      </w:r>
    </w:p>
    <w:p w14:paraId="71438260">
      <w:pPr>
        <w:adjustRightInd/>
        <w:snapToGrid/>
        <w:spacing w:after="40"/>
        <w:jc w:val="both"/>
        <w:rPr>
          <w:rFonts w:ascii="微软雅黑" w:hAnsi="微软雅黑" w:cs="微软雅黑"/>
          <w:b/>
          <w:bCs/>
          <w:sz w:val="18"/>
          <w:szCs w:val="18"/>
        </w:rPr>
      </w:pPr>
      <w:r>
        <w:rPr>
          <w:rFonts w:hint="eastAsia" w:ascii="微软雅黑" w:hAnsi="微软雅黑" w:cs="微软雅黑"/>
          <w:b/>
          <w:bCs/>
          <w:sz w:val="18"/>
          <w:szCs w:val="18"/>
        </w:rPr>
        <w:t>参考文献：</w:t>
      </w:r>
    </w:p>
    <w:p w14:paraId="3B35B836">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Nature. 2003 Mar 27;422</w:t>
      </w:r>
      <w:r>
        <w:rPr>
          <w:rFonts w:ascii="微软雅黑" w:hAnsi="微软雅黑" w:cs="微软雅黑"/>
          <w:sz w:val="18"/>
          <w:szCs w:val="18"/>
        </w:rPr>
        <w:t>（</w:t>
      </w:r>
      <w:r>
        <w:rPr>
          <w:rFonts w:hint="eastAsia" w:ascii="微软雅黑" w:hAnsi="微软雅黑" w:cs="微软雅黑"/>
          <w:sz w:val="18"/>
          <w:szCs w:val="18"/>
        </w:rPr>
        <w:t>6930</w:t>
      </w:r>
      <w:r>
        <w:rPr>
          <w:rFonts w:ascii="微软雅黑" w:hAnsi="微软雅黑" w:cs="微软雅黑"/>
          <w:sz w:val="18"/>
          <w:szCs w:val="18"/>
        </w:rPr>
        <w:t>）</w:t>
      </w:r>
      <w:r>
        <w:rPr>
          <w:rFonts w:hint="eastAsia" w:ascii="微软雅黑" w:hAnsi="微软雅黑" w:cs="微软雅黑"/>
          <w:sz w:val="18"/>
          <w:szCs w:val="18"/>
        </w:rPr>
        <w:t xml:space="preserve">:438-41. </w:t>
      </w:r>
    </w:p>
    <w:p w14:paraId="7BA4BB1D">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Development. 2007 Aug;134</w:t>
      </w:r>
      <w:r>
        <w:rPr>
          <w:rFonts w:ascii="微软雅黑" w:hAnsi="微软雅黑" w:cs="微软雅黑"/>
          <w:sz w:val="18"/>
          <w:szCs w:val="18"/>
        </w:rPr>
        <w:t>（</w:t>
      </w:r>
      <w:r>
        <w:rPr>
          <w:rFonts w:hint="eastAsia" w:ascii="微软雅黑" w:hAnsi="微软雅黑" w:cs="微软雅黑"/>
          <w:sz w:val="18"/>
          <w:szCs w:val="18"/>
        </w:rPr>
        <w:t>15</w:t>
      </w:r>
      <w:r>
        <w:rPr>
          <w:rFonts w:ascii="微软雅黑" w:hAnsi="微软雅黑" w:cs="微软雅黑"/>
          <w:sz w:val="18"/>
          <w:szCs w:val="18"/>
        </w:rPr>
        <w:t>）</w:t>
      </w:r>
      <w:r>
        <w:rPr>
          <w:rFonts w:hint="eastAsia" w:ascii="微软雅黑" w:hAnsi="微软雅黑" w:cs="微软雅黑"/>
          <w:sz w:val="18"/>
          <w:szCs w:val="18"/>
        </w:rPr>
        <w:t xml:space="preserve">:2709-2718. </w:t>
      </w:r>
    </w:p>
    <w:p w14:paraId="13BA5253">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Nat Rev Drug Discov. 2014 May;13</w:t>
      </w:r>
      <w:r>
        <w:rPr>
          <w:rFonts w:ascii="微软雅黑" w:hAnsi="微软雅黑" w:cs="微软雅黑"/>
          <w:sz w:val="18"/>
          <w:szCs w:val="18"/>
        </w:rPr>
        <w:t>（</w:t>
      </w:r>
      <w:r>
        <w:rPr>
          <w:rFonts w:hint="eastAsia" w:ascii="微软雅黑" w:hAnsi="微软雅黑" w:cs="微软雅黑"/>
          <w:sz w:val="18"/>
          <w:szCs w:val="18"/>
        </w:rPr>
        <w:t>5</w:t>
      </w:r>
      <w:r>
        <w:rPr>
          <w:rFonts w:ascii="微软雅黑" w:hAnsi="微软雅黑" w:cs="微软雅黑"/>
          <w:sz w:val="18"/>
          <w:szCs w:val="18"/>
        </w:rPr>
        <w:t>）</w:t>
      </w:r>
      <w:r>
        <w:rPr>
          <w:rFonts w:hint="eastAsia" w:ascii="微软雅黑" w:hAnsi="微软雅黑" w:cs="微软雅黑"/>
          <w:sz w:val="18"/>
          <w:szCs w:val="18"/>
        </w:rPr>
        <w:t xml:space="preserve">:357-378. </w:t>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5"/>
        <w:gridCol w:w="6997"/>
      </w:tblGrid>
      <w:tr w14:paraId="21DA2F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5F212F49">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9FBFA"/>
                <w:kern w:val="2"/>
                <w:sz w:val="20"/>
                <w:szCs w:val="20"/>
              </w:rPr>
            </w:pPr>
            <w:r>
              <w:rPr>
                <w:rFonts w:hint="eastAsia" w:ascii="微软雅黑" w:hAnsi="微软雅黑"/>
                <w:b/>
                <w:kern w:val="2"/>
                <w:sz w:val="24"/>
                <w:szCs w:val="24"/>
              </w:rPr>
              <w:br w:type="page"/>
            </w:r>
            <w:r>
              <w:rPr>
                <w:rFonts w:hint="default" w:ascii="微软雅黑" w:hAnsi="微软雅黑" w:cs="Times New Roman"/>
                <w:b/>
                <w:color w:val="F9FBFA"/>
                <w:kern w:val="2"/>
                <w:sz w:val="20"/>
                <w:szCs w:val="20"/>
              </w:rPr>
              <w:t>通路名称</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tcPr>
          <w:p w14:paraId="22BBBE43">
            <w:pPr>
              <w:keepNext w:val="0"/>
              <w:keepLines w:val="0"/>
              <w:widowControl/>
              <w:suppressLineNumbers w:val="0"/>
              <w:spacing w:before="0" w:beforeAutospacing="0" w:after="0" w:afterAutospacing="0" w:line="220" w:lineRule="atLeast"/>
              <w:ind w:left="0" w:right="0"/>
              <w:rPr>
                <w:rFonts w:hint="default" w:ascii="微软雅黑" w:hAnsi="微软雅黑" w:cs="Times New Roman"/>
                <w:b/>
                <w:color w:val="F9FBFA"/>
                <w:kern w:val="2"/>
                <w:sz w:val="20"/>
                <w:szCs w:val="20"/>
              </w:rPr>
            </w:pPr>
            <w:r>
              <w:rPr>
                <w:rFonts w:hint="default" w:ascii="微软雅黑" w:hAnsi="微软雅黑" w:cs="Times New Roman"/>
                <w:b/>
                <w:color w:val="F9FBFA"/>
                <w:kern w:val="2"/>
                <w:sz w:val="20"/>
                <w:szCs w:val="20"/>
              </w:rPr>
              <w:t>Hedgehog Signaling Pathway</w:t>
            </w:r>
          </w:p>
        </w:tc>
      </w:tr>
      <w:tr w14:paraId="5842CF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0B8B462C">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FFFFF" w:themeColor="background1"/>
                <w:kern w:val="2"/>
                <w:sz w:val="20"/>
                <w:szCs w:val="20"/>
                <w14:textFill>
                  <w14:solidFill>
                    <w14:schemeClr w14:val="bg1"/>
                  </w14:solidFill>
                </w14:textFill>
              </w:rPr>
            </w:pPr>
            <w:r>
              <w:rPr>
                <w:rFonts w:hint="default" w:ascii="微软雅黑" w:hAnsi="微软雅黑" w:cs="Times New Roman"/>
                <w:b/>
                <w:color w:val="FFFFFF" w:themeColor="background1"/>
                <w:kern w:val="2"/>
                <w:sz w:val="20"/>
                <w:szCs w:val="20"/>
                <w14:textFill>
                  <w14:solidFill>
                    <w14:schemeClr w14:val="bg1"/>
                  </w14:solidFill>
                </w14:textFill>
              </w:rPr>
              <w:t>通路解析</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14:paraId="69DFD2A9">
            <w:pPr>
              <w:keepNext w:val="0"/>
              <w:keepLines w:val="0"/>
              <w:widowControl/>
              <w:suppressLineNumbers w:val="0"/>
              <w:spacing w:before="40" w:beforeAutospacing="0" w:after="40" w:afterAutospacing="0"/>
              <w:ind w:left="0" w:right="0" w:firstLine="360" w:firstLineChars="200"/>
              <w:jc w:val="both"/>
              <w:rPr>
                <w:rFonts w:hint="default" w:ascii="微软雅黑" w:hAnsi="微软雅黑" w:cs="微软雅黑"/>
                <w:kern w:val="2"/>
                <w:sz w:val="18"/>
                <w:szCs w:val="18"/>
              </w:rPr>
            </w:pPr>
            <w:r>
              <w:rPr>
                <w:rFonts w:hint="eastAsia" w:ascii="微软雅黑" w:hAnsi="微软雅黑" w:cs="微软雅黑"/>
                <w:kern w:val="2"/>
                <w:sz w:val="18"/>
                <w:szCs w:val="18"/>
              </w:rPr>
              <w:t>Hedgehog（HH）信号通路调控着胚胎发育期组织细胞的生长分化。当胚胎发育成熟后，该通路就进入失活状态。HH信号通路失调与出生缺陷和多种肿瘤发生密切相关，在成髓细胞瘤、基底细胞癌、小细胞肺癌、乳腺癌和膀胱癌等多种癌症中都存在HH信号的活化。</w:t>
            </w:r>
          </w:p>
          <w:p w14:paraId="2BF3E5CD">
            <w:pPr>
              <w:keepNext w:val="0"/>
              <w:keepLines w:val="0"/>
              <w:widowControl/>
              <w:suppressLineNumbers w:val="0"/>
              <w:spacing w:before="40" w:beforeAutospacing="0" w:after="40" w:afterAutospacing="0"/>
              <w:ind w:left="0" w:right="0" w:firstLine="360" w:firstLineChars="200"/>
              <w:jc w:val="both"/>
              <w:rPr>
                <w:rFonts w:hint="default" w:ascii="微软雅黑" w:hAnsi="微软雅黑" w:cs="Times New Roman"/>
                <w:b/>
                <w:color w:val="F9FBFA"/>
                <w:kern w:val="2"/>
                <w:sz w:val="20"/>
                <w:szCs w:val="20"/>
              </w:rPr>
            </w:pPr>
            <w:r>
              <w:rPr>
                <w:rFonts w:hint="eastAsia" w:ascii="微软雅黑" w:hAnsi="微软雅黑" w:cs="微软雅黑"/>
                <w:kern w:val="2"/>
                <w:sz w:val="18"/>
                <w:szCs w:val="18"/>
              </w:rPr>
              <w:t>HH信号通路由分泌型蛋白配体Hedgehog（Shh、Ihh、Dhh）、跨膜蛋白受体Patched1/2（Ptch1/2）和跨膜蛋白Smothened（Smo）、核转录因子以及下游靶基因组成。目前，发现的核内因子有Gli1/2/3蛋白、丝氨酸/苏氨酸蛋白激酶Fused（Fu）、Fu抑制剂（SuFu）、蛋白激酶A（PKA）等。在受体细胞没有被HH配体刺激时（关闭状态），Ptch与G蛋白偶联跨膜蛋白Smo结合，从而抑制下游通路，这时下游的Gli蛋白在蛋白酶体（Proteasome）内被截断，并以羧基端被截断的形式进入细胞核内，抑制下游靶基因的转录。当HH与Ptch结合后，会解除对Smo的抑制作用，激活STK36丝氨酸-苏氨酸激酶，促使Gli蛋白与PKA、微管蛋白等形成大分子复合物，使得全长Gli（1-3）蛋白进入细胞核内发挥转录激活作用，将HH信号转入核内，激活下游靶基因（如Wnt、Ptc、BMP、c-myc、VEGF等）。Ptch的激活型突变与Gorlin综合征相关并增加患者患基底细胞癌、髓母细胞瘤和横纹肌肉瘤的风险。因此，将这条信号通路作为靶点用于治疗已引发广泛的关注。</w:t>
            </w:r>
          </w:p>
        </w:tc>
      </w:tr>
      <w:tr w14:paraId="2FD410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032BCA25">
            <w:pPr>
              <w:keepNext w:val="0"/>
              <w:keepLines w:val="0"/>
              <w:widowControl/>
              <w:suppressLineNumbers w:val="0"/>
              <w:spacing w:before="0" w:beforeAutospacing="0" w:after="0" w:afterAutospacing="0" w:line="220" w:lineRule="atLeast"/>
              <w:ind w:left="0" w:right="0" w:firstLine="200" w:firstLineChars="100"/>
              <w:jc w:val="both"/>
              <w:rPr>
                <w:rFonts w:hint="default" w:ascii="微软雅黑" w:hAnsi="微软雅黑" w:cs="Times New Roman"/>
                <w:b/>
                <w:color w:val="F9FBFA"/>
                <w:kern w:val="2"/>
                <w:sz w:val="20"/>
                <w:szCs w:val="20"/>
              </w:rPr>
            </w:pPr>
            <w:r>
              <w:rPr>
                <w:rFonts w:hint="default" w:ascii="微软雅黑" w:hAnsi="微软雅黑" w:cs="Times New Roman"/>
                <w:b/>
                <w:color w:val="FFFFFF" w:themeColor="background1"/>
                <w:kern w:val="2"/>
                <w:sz w:val="20"/>
                <w:szCs w:val="20"/>
                <w14:textFill>
                  <w14:solidFill>
                    <w14:schemeClr w14:val="bg1"/>
                  </w14:solidFill>
                </w14:textFill>
              </w:rPr>
              <w:t>基因列表</w:t>
            </w:r>
          </w:p>
        </w:tc>
      </w:tr>
      <w:tr w14:paraId="400AFF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21C61A4D">
            <w:pPr>
              <w:keepNext w:val="0"/>
              <w:keepLines w:val="0"/>
              <w:widowControl/>
              <w:suppressLineNumbers w:val="0"/>
              <w:spacing w:before="0" w:beforeAutospacing="0" w:after="0" w:afterAutospacing="0"/>
              <w:ind w:left="0" w:right="0"/>
              <w:jc w:val="both"/>
              <w:rPr>
                <w:rFonts w:hint="default" w:ascii="微软雅黑" w:hAnsi="微软雅黑" w:cs="微软雅黑"/>
                <w:kern w:val="2"/>
                <w:sz w:val="18"/>
                <w:szCs w:val="18"/>
              </w:rPr>
            </w:pPr>
            <w:r>
              <w:rPr>
                <w:rFonts w:hint="default" w:ascii="微软雅黑" w:hAnsi="微软雅黑" w:cs="微软雅黑"/>
                <w:kern w:val="2"/>
                <w:sz w:val="18"/>
                <w:szCs w:val="18"/>
              </w:rPr>
              <w:t>AMER1 CDC73 FOXP1 GATA6 GLI1</w:t>
            </w:r>
            <w:r>
              <w:rPr>
                <w:rFonts w:hint="eastAsia" w:ascii="微软雅黑" w:hAnsi="微软雅黑" w:cs="微软雅黑"/>
                <w:kern w:val="2"/>
                <w:sz w:val="18"/>
                <w:szCs w:val="18"/>
              </w:rPr>
              <w:t xml:space="preserve"> </w:t>
            </w:r>
            <w:r>
              <w:rPr>
                <w:rFonts w:hint="default" w:ascii="微软雅黑" w:hAnsi="微软雅黑" w:cs="微软雅黑"/>
                <w:kern w:val="2"/>
                <w:sz w:val="18"/>
                <w:szCs w:val="18"/>
              </w:rPr>
              <w:t xml:space="preserve">GNA11 GNA13 GNAQ GNAS GSK3B PTCH1 PTCH2 </w:t>
            </w:r>
            <w:r>
              <w:rPr>
                <w:rFonts w:hint="default" w:ascii="微软雅黑" w:hAnsi="微软雅黑" w:cs="微软雅黑"/>
                <w:color w:val="000000" w:themeColor="text1"/>
                <w:kern w:val="2"/>
                <w:sz w:val="18"/>
                <w:szCs w:val="18"/>
                <w14:textFill>
                  <w14:solidFill>
                    <w14:schemeClr w14:val="tx1"/>
                  </w14:solidFill>
                </w14:textFill>
              </w:rPr>
              <w:t>RUNX2</w:t>
            </w:r>
            <w:r>
              <w:rPr>
                <w:rFonts w:hint="default" w:ascii="微软雅黑" w:hAnsi="微软雅黑" w:cs="微软雅黑"/>
                <w:kern w:val="2"/>
                <w:sz w:val="18"/>
                <w:szCs w:val="18"/>
              </w:rPr>
              <w:t xml:space="preserve"> SHH SMO SPOP SUFU XPO1</w:t>
            </w:r>
          </w:p>
        </w:tc>
      </w:tr>
    </w:tbl>
    <w:p w14:paraId="023EA5AA">
      <w:pPr>
        <w:adjustRightInd/>
        <w:snapToGrid/>
        <w:spacing w:line="220" w:lineRule="atLeast"/>
        <w:jc w:val="center"/>
      </w:pPr>
    </w:p>
    <w:p w14:paraId="15A8497D">
      <w:pPr>
        <w:adjustRightInd/>
        <w:snapToGrid/>
        <w:spacing w:line="220" w:lineRule="atLeast"/>
        <w:jc w:val="center"/>
        <w:rPr>
          <w:rFonts w:ascii="微软雅黑" w:hAnsi="微软雅黑"/>
          <w:b/>
          <w:sz w:val="24"/>
          <w:szCs w:val="24"/>
        </w:rPr>
      </w:pPr>
      <w:r>
        <w:drawing>
          <wp:inline distT="0" distB="0" distL="114300" distR="114300">
            <wp:extent cx="5267325" cy="2696845"/>
            <wp:effectExtent l="0" t="0" r="9525" b="8255"/>
            <wp:docPr id="10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 name="图片 1"/>
                    <pic:cNvPicPr>
                      <a:picLocks noChangeAspect="1"/>
                    </pic:cNvPicPr>
                  </pic:nvPicPr>
                  <pic:blipFill>
                    <a:blip r:embed="rId44" cstate="print"/>
                    <a:stretch>
                      <a:fillRect/>
                    </a:stretch>
                  </pic:blipFill>
                  <pic:spPr>
                    <a:xfrm>
                      <a:off x="0" y="0"/>
                      <a:ext cx="5267325" cy="2696845"/>
                    </a:xfrm>
                    <a:prstGeom prst="rect">
                      <a:avLst/>
                    </a:prstGeom>
                    <a:noFill/>
                    <a:ln>
                      <a:noFill/>
                    </a:ln>
                  </pic:spPr>
                </pic:pic>
              </a:graphicData>
            </a:graphic>
          </wp:inline>
        </w:drawing>
      </w:r>
    </w:p>
    <w:p w14:paraId="3AC07856">
      <w:pPr>
        <w:adjustRightInd/>
        <w:snapToGrid/>
        <w:spacing w:line="220" w:lineRule="atLeast"/>
        <w:jc w:val="center"/>
        <w:rPr>
          <w:rFonts w:ascii="微软雅黑" w:hAnsi="微软雅黑" w:cs="微软雅黑"/>
          <w:sz w:val="18"/>
          <w:szCs w:val="18"/>
        </w:rPr>
      </w:pPr>
      <w:r>
        <w:rPr>
          <w:rFonts w:hint="eastAsia" w:ascii="微软雅黑" w:hAnsi="微软雅黑" w:cs="微软雅黑"/>
          <w:sz w:val="18"/>
          <w:szCs w:val="18"/>
        </w:rPr>
        <w:t>Hedgehog Signaling Pathway</w:t>
      </w:r>
    </w:p>
    <w:p w14:paraId="5F474F62">
      <w:pPr>
        <w:adjustRightInd/>
        <w:snapToGrid/>
        <w:spacing w:before="40" w:after="40"/>
        <w:jc w:val="both"/>
        <w:rPr>
          <w:rFonts w:ascii="微软雅黑" w:hAnsi="微软雅黑" w:cs="微软雅黑"/>
          <w:b/>
          <w:bCs/>
          <w:sz w:val="18"/>
          <w:szCs w:val="18"/>
        </w:rPr>
      </w:pPr>
      <w:r>
        <w:rPr>
          <w:rFonts w:hint="eastAsia" w:ascii="微软雅黑" w:hAnsi="微软雅黑" w:cs="微软雅黑"/>
          <w:b/>
          <w:bCs/>
          <w:sz w:val="18"/>
          <w:szCs w:val="18"/>
        </w:rPr>
        <w:t>参考文献：</w:t>
      </w:r>
    </w:p>
    <w:p w14:paraId="35D49D55">
      <w:pPr>
        <w:adjustRightInd/>
        <w:snapToGrid/>
        <w:spacing w:before="40" w:after="40"/>
        <w:rPr>
          <w:rFonts w:ascii="微软雅黑" w:hAnsi="微软雅黑" w:cs="微软雅黑"/>
          <w:sz w:val="18"/>
          <w:szCs w:val="18"/>
        </w:rPr>
      </w:pPr>
      <w:r>
        <w:rPr>
          <w:rFonts w:hint="eastAsia" w:ascii="微软雅黑" w:hAnsi="微软雅黑" w:cs="微软雅黑"/>
          <w:sz w:val="18"/>
          <w:szCs w:val="18"/>
        </w:rPr>
        <w:t>Cell. 2000 Jan 21;100</w:t>
      </w:r>
      <w:r>
        <w:rPr>
          <w:rFonts w:ascii="微软雅黑" w:hAnsi="微软雅黑" w:cs="微软雅黑"/>
          <w:sz w:val="18"/>
          <w:szCs w:val="18"/>
        </w:rPr>
        <w:t>（</w:t>
      </w:r>
      <w:r>
        <w:rPr>
          <w:rFonts w:hint="eastAsia" w:ascii="微软雅黑" w:hAnsi="微软雅黑" w:cs="微软雅黑"/>
          <w:sz w:val="18"/>
          <w:szCs w:val="18"/>
        </w:rPr>
        <w:t>2</w:t>
      </w:r>
      <w:r>
        <w:rPr>
          <w:rFonts w:ascii="微软雅黑" w:hAnsi="微软雅黑" w:cs="微软雅黑"/>
          <w:sz w:val="18"/>
          <w:szCs w:val="18"/>
        </w:rPr>
        <w:t>）</w:t>
      </w:r>
      <w:r>
        <w:rPr>
          <w:rFonts w:hint="eastAsia" w:ascii="微软雅黑" w:hAnsi="微软雅黑" w:cs="微软雅黑"/>
          <w:sz w:val="18"/>
          <w:szCs w:val="18"/>
        </w:rPr>
        <w:t>:185-188.</w:t>
      </w:r>
    </w:p>
    <w:p w14:paraId="37CDE1EE">
      <w:pPr>
        <w:adjustRightInd/>
        <w:snapToGrid/>
        <w:spacing w:before="40" w:after="40"/>
        <w:rPr>
          <w:rFonts w:ascii="微软雅黑" w:hAnsi="微软雅黑" w:cs="微软雅黑"/>
          <w:sz w:val="18"/>
          <w:szCs w:val="18"/>
        </w:rPr>
      </w:pPr>
      <w:r>
        <w:rPr>
          <w:rFonts w:hint="eastAsia" w:ascii="微软雅黑" w:hAnsi="微软雅黑" w:cs="微软雅黑"/>
          <w:sz w:val="18"/>
          <w:szCs w:val="18"/>
        </w:rPr>
        <w:t>BMC Dev Biol. 2002 Mar 19;2:4.</w:t>
      </w:r>
    </w:p>
    <w:p w14:paraId="2DA6926C">
      <w:pPr>
        <w:adjustRightInd/>
        <w:snapToGrid/>
        <w:spacing w:before="40" w:after="40"/>
        <w:rPr>
          <w:rFonts w:ascii="微软雅黑" w:hAnsi="微软雅黑" w:cs="微软雅黑"/>
          <w:sz w:val="18"/>
          <w:szCs w:val="18"/>
        </w:rPr>
      </w:pPr>
      <w:r>
        <w:rPr>
          <w:rFonts w:hint="eastAsia" w:ascii="微软雅黑" w:hAnsi="微软雅黑" w:cs="微软雅黑"/>
          <w:sz w:val="18"/>
          <w:szCs w:val="18"/>
        </w:rPr>
        <w:t>Nat Rev Genet. 2011 Jun;12</w:t>
      </w:r>
      <w:r>
        <w:rPr>
          <w:rFonts w:ascii="微软雅黑" w:hAnsi="微软雅黑" w:cs="微软雅黑"/>
          <w:sz w:val="18"/>
          <w:szCs w:val="18"/>
        </w:rPr>
        <w:t>（</w:t>
      </w:r>
      <w:r>
        <w:rPr>
          <w:rFonts w:hint="eastAsia" w:ascii="微软雅黑" w:hAnsi="微软雅黑" w:cs="微软雅黑"/>
          <w:sz w:val="18"/>
          <w:szCs w:val="18"/>
        </w:rPr>
        <w:t>6</w:t>
      </w:r>
      <w:r>
        <w:rPr>
          <w:rFonts w:ascii="微软雅黑" w:hAnsi="微软雅黑" w:cs="微软雅黑"/>
          <w:sz w:val="18"/>
          <w:szCs w:val="18"/>
        </w:rPr>
        <w:t>）</w:t>
      </w:r>
      <w:r>
        <w:rPr>
          <w:rFonts w:hint="eastAsia" w:ascii="微软雅黑" w:hAnsi="微软雅黑" w:cs="微软雅黑"/>
          <w:sz w:val="18"/>
          <w:szCs w:val="18"/>
        </w:rPr>
        <w:t>:393-406.</w:t>
      </w:r>
    </w:p>
    <w:p w14:paraId="4D2D0DB1">
      <w:pPr>
        <w:adjustRightInd/>
        <w:snapToGrid/>
        <w:spacing w:before="40" w:after="40"/>
        <w:rPr>
          <w:rFonts w:ascii="微软雅黑" w:hAnsi="微软雅黑" w:cs="微软雅黑"/>
          <w:sz w:val="18"/>
          <w:szCs w:val="18"/>
        </w:rPr>
      </w:pPr>
      <w:r>
        <w:rPr>
          <w:rFonts w:hint="eastAsia" w:ascii="微软雅黑" w:hAnsi="微软雅黑" w:cs="微软雅黑"/>
          <w:sz w:val="18"/>
          <w:szCs w:val="18"/>
        </w:rPr>
        <w:t>Pharmacological Research. 2019 Mar 141:466–480.</w:t>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5"/>
        <w:gridCol w:w="6997"/>
      </w:tblGrid>
      <w:tr w14:paraId="3C21A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3042898E">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9FBFA"/>
                <w:kern w:val="2"/>
                <w:sz w:val="20"/>
                <w:szCs w:val="20"/>
              </w:rPr>
            </w:pPr>
            <w:r>
              <w:rPr>
                <w:rFonts w:hint="default" w:ascii="微软雅黑" w:hAnsi="微软雅黑" w:cs="Times New Roman"/>
                <w:b/>
                <w:color w:val="F9FBFA"/>
                <w:kern w:val="2"/>
                <w:sz w:val="20"/>
                <w:szCs w:val="20"/>
              </w:rPr>
              <w:t>通路名称</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tcPr>
          <w:p w14:paraId="223ED6A8">
            <w:pPr>
              <w:keepNext w:val="0"/>
              <w:keepLines w:val="0"/>
              <w:widowControl/>
              <w:suppressLineNumbers w:val="0"/>
              <w:spacing w:before="0" w:beforeAutospacing="0" w:after="0" w:afterAutospacing="0" w:line="220" w:lineRule="atLeast"/>
              <w:ind w:left="0" w:right="0"/>
              <w:rPr>
                <w:rFonts w:hint="default" w:ascii="微软雅黑" w:hAnsi="微软雅黑" w:cs="Times New Roman"/>
                <w:b/>
                <w:color w:val="F9FBFA"/>
                <w:kern w:val="2"/>
                <w:sz w:val="20"/>
                <w:szCs w:val="20"/>
              </w:rPr>
            </w:pPr>
            <w:bookmarkStart w:id="210" w:name="OLE_LINK33"/>
            <w:r>
              <w:rPr>
                <w:rFonts w:hint="default" w:ascii="微软雅黑" w:hAnsi="微软雅黑" w:cs="Times New Roman"/>
                <w:b/>
                <w:color w:val="F9FBFA"/>
                <w:kern w:val="2"/>
                <w:sz w:val="20"/>
                <w:szCs w:val="20"/>
              </w:rPr>
              <w:t>Cell cycle signaling pathway</w:t>
            </w:r>
            <w:bookmarkEnd w:id="210"/>
          </w:p>
        </w:tc>
      </w:tr>
      <w:tr w14:paraId="27E6D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58711F19">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FFFFF" w:themeColor="background1"/>
                <w:kern w:val="2"/>
                <w:sz w:val="20"/>
                <w:szCs w:val="20"/>
                <w14:textFill>
                  <w14:solidFill>
                    <w14:schemeClr w14:val="bg1"/>
                  </w14:solidFill>
                </w14:textFill>
              </w:rPr>
            </w:pPr>
            <w:r>
              <w:rPr>
                <w:rFonts w:hint="default" w:ascii="微软雅黑" w:hAnsi="微软雅黑" w:cs="Times New Roman"/>
                <w:b/>
                <w:color w:val="FFFFFF" w:themeColor="background1"/>
                <w:kern w:val="2"/>
                <w:sz w:val="20"/>
                <w:szCs w:val="20"/>
                <w14:textFill>
                  <w14:solidFill>
                    <w14:schemeClr w14:val="bg1"/>
                  </w14:solidFill>
                </w14:textFill>
              </w:rPr>
              <w:t>通路解析</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14:paraId="0BCCB25F">
            <w:pPr>
              <w:keepNext w:val="0"/>
              <w:keepLines w:val="0"/>
              <w:widowControl/>
              <w:suppressLineNumbers w:val="0"/>
              <w:spacing w:before="40" w:beforeAutospacing="0" w:after="40" w:afterAutospacing="0"/>
              <w:ind w:left="0" w:right="0" w:firstLine="360" w:firstLineChars="200"/>
              <w:jc w:val="both"/>
              <w:rPr>
                <w:rFonts w:hint="default" w:ascii="微软雅黑" w:hAnsi="微软雅黑" w:cs="Times New Roman"/>
                <w:b/>
                <w:color w:val="F9FBFA"/>
                <w:kern w:val="2"/>
                <w:sz w:val="20"/>
                <w:szCs w:val="20"/>
              </w:rPr>
            </w:pPr>
            <w:r>
              <w:rPr>
                <w:rFonts w:hint="default" w:ascii="微软雅黑" w:hAnsi="微软雅黑" w:cs="微软雅黑"/>
                <w:kern w:val="2"/>
                <w:sz w:val="18"/>
                <w:szCs w:val="18"/>
              </w:rPr>
              <w:t>细胞周期包括调控细胞</w:t>
            </w:r>
            <w:r>
              <w:rPr>
                <w:rFonts w:hint="eastAsia" w:ascii="微软雅黑" w:hAnsi="微软雅黑" w:cs="微软雅黑"/>
                <w:kern w:val="2"/>
                <w:sz w:val="18"/>
                <w:szCs w:val="18"/>
              </w:rPr>
              <w:t>的</w:t>
            </w:r>
            <w:r>
              <w:rPr>
                <w:rFonts w:hint="default" w:ascii="微软雅黑" w:hAnsi="微软雅黑" w:cs="微软雅黑"/>
                <w:kern w:val="2"/>
                <w:sz w:val="18"/>
                <w:szCs w:val="18"/>
              </w:rPr>
              <w:t>生长、复制和分裂。细胞周期包括四个不同的阶段:G1期、S期、G2期和M期。细胞周期调控(激活和抑制)依赖于特定的细胞周期检查点，防止异常的细胞周期激活和持续。例如，G2/M检查点确保含有受损DNA的细胞不会进入有丝分裂。这些细胞周期检查点由CDK+cyclin结合对协同作用控制，包括CDK4/6+cyclin D</w:t>
            </w:r>
            <w:r>
              <w:rPr>
                <w:rFonts w:hint="eastAsia" w:ascii="微软雅黑" w:hAnsi="微软雅黑" w:cs="微软雅黑"/>
                <w:kern w:val="2"/>
                <w:sz w:val="18"/>
                <w:szCs w:val="18"/>
              </w:rPr>
              <w:t>、</w:t>
            </w:r>
            <w:r>
              <w:rPr>
                <w:rFonts w:hint="default" w:ascii="微软雅黑" w:hAnsi="微软雅黑" w:cs="微软雅黑"/>
                <w:kern w:val="2"/>
                <w:sz w:val="18"/>
                <w:szCs w:val="18"/>
              </w:rPr>
              <w:t xml:space="preserve"> RB1/E2F</w:t>
            </w:r>
            <w:r>
              <w:rPr>
                <w:rFonts w:hint="eastAsia" w:ascii="微软雅黑" w:hAnsi="微软雅黑" w:cs="微软雅黑"/>
                <w:kern w:val="2"/>
                <w:sz w:val="18"/>
                <w:szCs w:val="18"/>
              </w:rPr>
              <w:t>、</w:t>
            </w:r>
            <w:r>
              <w:rPr>
                <w:rFonts w:hint="default" w:ascii="微软雅黑" w:hAnsi="微软雅黑" w:cs="微软雅黑"/>
                <w:kern w:val="2"/>
                <w:sz w:val="18"/>
                <w:szCs w:val="18"/>
              </w:rPr>
              <w:t>CDK2+cyclin E</w:t>
            </w:r>
            <w:r>
              <w:rPr>
                <w:rFonts w:hint="eastAsia" w:ascii="微软雅黑" w:hAnsi="微软雅黑" w:cs="微软雅黑"/>
                <w:kern w:val="2"/>
                <w:sz w:val="18"/>
                <w:szCs w:val="18"/>
              </w:rPr>
              <w:t>、</w:t>
            </w:r>
            <w:r>
              <w:rPr>
                <w:rFonts w:hint="default" w:ascii="微软雅黑" w:hAnsi="微软雅黑" w:cs="微软雅黑"/>
                <w:kern w:val="2"/>
                <w:sz w:val="18"/>
                <w:szCs w:val="18"/>
              </w:rPr>
              <w:t xml:space="preserve"> CDK2+cyclin A</w:t>
            </w:r>
            <w:r>
              <w:rPr>
                <w:rFonts w:hint="eastAsia" w:ascii="微软雅黑" w:hAnsi="微软雅黑" w:cs="微软雅黑"/>
                <w:kern w:val="2"/>
                <w:sz w:val="18"/>
                <w:szCs w:val="18"/>
              </w:rPr>
              <w:t>、</w:t>
            </w:r>
            <w:r>
              <w:rPr>
                <w:rFonts w:hint="default" w:ascii="微软雅黑" w:hAnsi="微软雅黑" w:cs="微软雅黑"/>
                <w:kern w:val="2"/>
                <w:sz w:val="18"/>
                <w:szCs w:val="18"/>
              </w:rPr>
              <w:t>CDK1+cyclin A</w:t>
            </w:r>
            <w:r>
              <w:rPr>
                <w:rFonts w:hint="eastAsia" w:ascii="微软雅黑" w:hAnsi="微软雅黑" w:cs="微软雅黑"/>
                <w:kern w:val="2"/>
                <w:sz w:val="18"/>
                <w:szCs w:val="18"/>
              </w:rPr>
              <w:t xml:space="preserve">、  </w:t>
            </w:r>
            <w:r>
              <w:rPr>
                <w:rFonts w:hint="default" w:ascii="微软雅黑" w:hAnsi="微软雅黑" w:cs="微软雅黑"/>
                <w:kern w:val="2"/>
                <w:sz w:val="18"/>
                <w:szCs w:val="18"/>
              </w:rPr>
              <w:t>CDK1+cyclin B</w:t>
            </w:r>
            <w:r>
              <w:rPr>
                <w:rFonts w:hint="eastAsia" w:ascii="微软雅黑" w:hAnsi="微软雅黑" w:cs="微软雅黑"/>
                <w:kern w:val="2"/>
                <w:sz w:val="18"/>
                <w:szCs w:val="18"/>
              </w:rPr>
              <w:t>。</w:t>
            </w:r>
          </w:p>
        </w:tc>
      </w:tr>
      <w:tr w14:paraId="1A7799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00E59A27">
            <w:pPr>
              <w:keepNext w:val="0"/>
              <w:keepLines w:val="0"/>
              <w:widowControl/>
              <w:suppressLineNumbers w:val="0"/>
              <w:spacing w:before="0" w:beforeAutospacing="0" w:after="0" w:afterAutospacing="0" w:line="220" w:lineRule="atLeast"/>
              <w:ind w:left="0" w:right="0" w:firstLine="200" w:firstLineChars="100"/>
              <w:jc w:val="both"/>
              <w:rPr>
                <w:rFonts w:hint="default" w:ascii="微软雅黑" w:hAnsi="微软雅黑" w:cs="Times New Roman"/>
                <w:b/>
                <w:color w:val="F9FBFA"/>
                <w:kern w:val="2"/>
                <w:sz w:val="20"/>
                <w:szCs w:val="20"/>
              </w:rPr>
            </w:pPr>
            <w:r>
              <w:rPr>
                <w:rFonts w:hint="default" w:ascii="微软雅黑" w:hAnsi="微软雅黑" w:cs="Times New Roman"/>
                <w:b/>
                <w:color w:val="FFFFFF" w:themeColor="background1"/>
                <w:kern w:val="2"/>
                <w:sz w:val="20"/>
                <w:szCs w:val="20"/>
                <w14:textFill>
                  <w14:solidFill>
                    <w14:schemeClr w14:val="bg1"/>
                  </w14:solidFill>
                </w14:textFill>
              </w:rPr>
              <w:t>基因列表</w:t>
            </w:r>
          </w:p>
        </w:tc>
      </w:tr>
      <w:tr w14:paraId="450C1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59DEA443">
            <w:pPr>
              <w:keepNext w:val="0"/>
              <w:keepLines w:val="0"/>
              <w:widowControl/>
              <w:suppressLineNumbers w:val="0"/>
              <w:spacing w:before="0" w:beforeAutospacing="0" w:after="0" w:afterAutospacing="0"/>
              <w:ind w:left="0" w:right="0"/>
              <w:jc w:val="both"/>
              <w:rPr>
                <w:rFonts w:hint="default" w:ascii="微软雅黑" w:hAnsi="微软雅黑" w:cs="微软雅黑"/>
                <w:kern w:val="2"/>
                <w:sz w:val="18"/>
                <w:szCs w:val="18"/>
              </w:rPr>
            </w:pPr>
            <w:r>
              <w:rPr>
                <w:rFonts w:hint="eastAsia" w:ascii="微软雅黑" w:hAnsi="微软雅黑" w:cs="微软雅黑"/>
                <w:kern w:val="2"/>
                <w:sz w:val="18"/>
                <w:szCs w:val="18"/>
              </w:rPr>
              <w:t>TP53 A</w:t>
            </w:r>
            <w:r>
              <w:rPr>
                <w:rFonts w:hint="eastAsia" w:ascii="微软雅黑" w:hAnsi="微软雅黑" w:cs="微软雅黑"/>
                <w:color w:val="000000" w:themeColor="text1"/>
                <w:kern w:val="2"/>
                <w:sz w:val="18"/>
                <w:szCs w:val="18"/>
                <w14:textFill>
                  <w14:solidFill>
                    <w14:schemeClr w14:val="tx1"/>
                  </w14:solidFill>
                </w14:textFill>
              </w:rPr>
              <w:t>TM A</w:t>
            </w:r>
            <w:r>
              <w:rPr>
                <w:rFonts w:hint="eastAsia" w:ascii="微软雅黑" w:hAnsi="微软雅黑" w:cs="微软雅黑"/>
                <w:kern w:val="2"/>
                <w:sz w:val="18"/>
                <w:szCs w:val="18"/>
              </w:rPr>
              <w:t xml:space="preserve">BL1 ATR CCND1 CCND2 CCND3 CCNE1 CDK4 CDK6 CDKN1A CDKN1B CDKN2A CDKN2B CDKN2C CHEK1 CHEK2 CREBBP E2F3 EP300 GSK3B MDM2 MYC PRKDC RAD21 RB1 SMAD2 SMAD3 SMAD4 STAG2 </w:t>
            </w:r>
          </w:p>
        </w:tc>
      </w:tr>
    </w:tbl>
    <w:p w14:paraId="1E44E220">
      <w:pPr>
        <w:adjustRightInd/>
        <w:snapToGrid/>
        <w:spacing w:after="0"/>
        <w:rPr>
          <w:rFonts w:ascii="微软雅黑" w:hAnsi="微软雅黑"/>
          <w:b/>
          <w:sz w:val="24"/>
          <w:szCs w:val="24"/>
        </w:rPr>
      </w:pPr>
    </w:p>
    <w:p w14:paraId="40ED48F1">
      <w:pPr>
        <w:adjustRightInd/>
        <w:snapToGrid/>
        <w:spacing w:after="0"/>
        <w:jc w:val="center"/>
        <w:rPr>
          <w:rFonts w:ascii="微软雅黑" w:hAnsi="微软雅黑"/>
          <w:b/>
          <w:sz w:val="24"/>
          <w:szCs w:val="24"/>
        </w:rPr>
      </w:pPr>
      <w:r>
        <w:rPr>
          <w:rFonts w:ascii="微软雅黑" w:hAnsi="微软雅黑"/>
          <w:b/>
          <w:sz w:val="24"/>
          <w:szCs w:val="24"/>
        </w:rPr>
        <w:drawing>
          <wp:inline distT="0" distB="0" distL="114300" distR="114300">
            <wp:extent cx="4167505" cy="3260725"/>
            <wp:effectExtent l="0" t="0" r="4445" b="15875"/>
            <wp:docPr id="1044" name="图片 39"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 name="图片 39" descr="图片2"/>
                    <pic:cNvPicPr>
                      <a:picLocks noChangeAspect="1"/>
                    </pic:cNvPicPr>
                  </pic:nvPicPr>
                  <pic:blipFill>
                    <a:blip r:embed="rId45" cstate="print"/>
                    <a:stretch>
                      <a:fillRect/>
                    </a:stretch>
                  </pic:blipFill>
                  <pic:spPr>
                    <a:xfrm>
                      <a:off x="0" y="0"/>
                      <a:ext cx="4167505" cy="3260725"/>
                    </a:xfrm>
                    <a:prstGeom prst="rect">
                      <a:avLst/>
                    </a:prstGeom>
                  </pic:spPr>
                </pic:pic>
              </a:graphicData>
            </a:graphic>
          </wp:inline>
        </w:drawing>
      </w:r>
    </w:p>
    <w:p w14:paraId="3AE7C45A">
      <w:pPr>
        <w:adjustRightInd/>
        <w:snapToGrid/>
        <w:spacing w:line="220" w:lineRule="atLeast"/>
        <w:jc w:val="center"/>
        <w:rPr>
          <w:rFonts w:ascii="微软雅黑" w:hAnsi="微软雅黑"/>
          <w:b/>
          <w:sz w:val="24"/>
          <w:szCs w:val="24"/>
        </w:rPr>
      </w:pPr>
    </w:p>
    <w:p w14:paraId="1A079BAD">
      <w:pPr>
        <w:adjustRightInd/>
        <w:snapToGrid/>
        <w:spacing w:after="40"/>
        <w:ind w:firstLine="2880" w:firstLineChars="1600"/>
        <w:jc w:val="both"/>
        <w:rPr>
          <w:rFonts w:ascii="微软雅黑" w:hAnsi="微软雅黑" w:cs="微软雅黑"/>
          <w:b/>
          <w:bCs/>
          <w:sz w:val="18"/>
          <w:szCs w:val="18"/>
        </w:rPr>
      </w:pPr>
      <w:r>
        <w:rPr>
          <w:rFonts w:ascii="微软雅黑" w:hAnsi="微软雅黑" w:cs="微软雅黑"/>
          <w:sz w:val="18"/>
          <w:szCs w:val="18"/>
        </w:rPr>
        <w:t>Cell cycle</w:t>
      </w:r>
      <w:r>
        <w:rPr>
          <w:rFonts w:hint="eastAsia" w:ascii="微软雅黑" w:hAnsi="微软雅黑" w:cs="微软雅黑"/>
          <w:sz w:val="18"/>
          <w:szCs w:val="18"/>
        </w:rPr>
        <w:t xml:space="preserve"> signaling pathway</w:t>
      </w:r>
    </w:p>
    <w:p w14:paraId="1D0AF934">
      <w:pPr>
        <w:adjustRightInd/>
        <w:snapToGrid/>
        <w:spacing w:after="40"/>
        <w:jc w:val="both"/>
        <w:rPr>
          <w:rFonts w:ascii="微软雅黑" w:hAnsi="微软雅黑" w:cs="微软雅黑"/>
          <w:b/>
          <w:bCs/>
          <w:sz w:val="18"/>
          <w:szCs w:val="18"/>
        </w:rPr>
      </w:pPr>
    </w:p>
    <w:p w14:paraId="3F452A14">
      <w:pPr>
        <w:adjustRightInd/>
        <w:snapToGrid/>
        <w:spacing w:after="40"/>
        <w:jc w:val="both"/>
        <w:rPr>
          <w:rFonts w:ascii="微软雅黑" w:hAnsi="微软雅黑" w:cs="微软雅黑"/>
          <w:b/>
          <w:bCs/>
          <w:sz w:val="18"/>
          <w:szCs w:val="18"/>
        </w:rPr>
      </w:pPr>
    </w:p>
    <w:p w14:paraId="6E6743EB">
      <w:pPr>
        <w:adjustRightInd/>
        <w:snapToGrid/>
        <w:spacing w:after="40"/>
        <w:jc w:val="both"/>
        <w:rPr>
          <w:rFonts w:ascii="微软雅黑" w:hAnsi="微软雅黑" w:cs="微软雅黑"/>
          <w:b/>
          <w:bCs/>
          <w:sz w:val="18"/>
          <w:szCs w:val="18"/>
        </w:rPr>
      </w:pPr>
    </w:p>
    <w:p w14:paraId="41051307">
      <w:pPr>
        <w:adjustRightInd/>
        <w:snapToGrid/>
        <w:spacing w:after="40"/>
        <w:jc w:val="both"/>
        <w:rPr>
          <w:rFonts w:ascii="微软雅黑" w:hAnsi="微软雅黑" w:cs="微软雅黑"/>
          <w:b/>
          <w:bCs/>
          <w:sz w:val="18"/>
          <w:szCs w:val="18"/>
        </w:rPr>
      </w:pPr>
      <w:r>
        <w:rPr>
          <w:rFonts w:hint="eastAsia" w:ascii="微软雅黑" w:hAnsi="微软雅黑" w:cs="微软雅黑"/>
          <w:b/>
          <w:bCs/>
          <w:sz w:val="18"/>
          <w:szCs w:val="18"/>
        </w:rPr>
        <w:t>参考文献：</w:t>
      </w:r>
    </w:p>
    <w:p w14:paraId="71A725FC">
      <w:pPr>
        <w:adjustRightInd/>
        <w:snapToGrid/>
        <w:spacing w:after="40" w:line="220" w:lineRule="atLeast"/>
        <w:rPr>
          <w:rFonts w:ascii="微软雅黑" w:hAnsi="微软雅黑" w:cs="微软雅黑"/>
          <w:sz w:val="18"/>
          <w:szCs w:val="18"/>
        </w:rPr>
      </w:pPr>
      <w:r>
        <w:fldChar w:fldCharType="begin"/>
      </w:r>
      <w:r>
        <w:instrText xml:space="preserve"> HYPERLINK "https://www.mycancergenome.org/" </w:instrText>
      </w:r>
      <w:r>
        <w:fldChar w:fldCharType="separate"/>
      </w:r>
      <w:r>
        <w:rPr>
          <w:rStyle w:val="23"/>
          <w:rFonts w:hint="eastAsia" w:ascii="微软雅黑" w:hAnsi="微软雅黑" w:cs="微软雅黑"/>
          <w:color w:val="auto"/>
          <w:sz w:val="18"/>
          <w:szCs w:val="18"/>
          <w:u w:val="none"/>
        </w:rPr>
        <w:t>https://www.mycancergenome.org/</w:t>
      </w:r>
      <w:r>
        <w:rPr>
          <w:rStyle w:val="23"/>
          <w:rFonts w:hint="eastAsia" w:ascii="微软雅黑" w:hAnsi="微软雅黑" w:cs="微软雅黑"/>
          <w:color w:val="auto"/>
          <w:sz w:val="18"/>
          <w:szCs w:val="18"/>
          <w:u w:val="none"/>
        </w:rPr>
        <w:fldChar w:fldCharType="end"/>
      </w:r>
    </w:p>
    <w:p w14:paraId="5DE33F59">
      <w:pPr>
        <w:adjustRightInd/>
        <w:snapToGrid/>
        <w:spacing w:after="40" w:line="220" w:lineRule="atLeast"/>
        <w:rPr>
          <w:rFonts w:ascii="微软雅黑" w:hAnsi="微软雅黑" w:cs="微软雅黑"/>
          <w:sz w:val="18"/>
          <w:szCs w:val="18"/>
        </w:rPr>
      </w:pPr>
    </w:p>
    <w:p w14:paraId="686C8F6C">
      <w:pPr>
        <w:adjustRightInd/>
        <w:snapToGrid/>
        <w:spacing w:after="40" w:line="220" w:lineRule="atLeast"/>
        <w:rPr>
          <w:rFonts w:ascii="微软雅黑" w:hAnsi="微软雅黑" w:cs="微软雅黑"/>
          <w:sz w:val="18"/>
          <w:szCs w:val="18"/>
        </w:rPr>
      </w:pPr>
    </w:p>
    <w:p w14:paraId="6353D28B">
      <w:pPr>
        <w:adjustRightInd/>
        <w:snapToGrid/>
        <w:spacing w:after="40" w:line="220" w:lineRule="atLeast"/>
        <w:rPr>
          <w:rFonts w:ascii="微软雅黑" w:hAnsi="微软雅黑" w:cs="微软雅黑"/>
          <w:sz w:val="18"/>
          <w:szCs w:val="18"/>
        </w:rPr>
      </w:pPr>
    </w:p>
    <w:p w14:paraId="62D33B3D">
      <w:pPr>
        <w:adjustRightInd/>
        <w:snapToGrid/>
        <w:spacing w:after="40" w:line="220" w:lineRule="atLeast"/>
        <w:rPr>
          <w:rFonts w:ascii="微软雅黑" w:hAnsi="微软雅黑" w:cs="微软雅黑"/>
          <w:sz w:val="18"/>
          <w:szCs w:val="18"/>
        </w:rPr>
      </w:pPr>
    </w:p>
    <w:p w14:paraId="6F103729">
      <w:pPr>
        <w:adjustRightInd/>
        <w:snapToGrid/>
        <w:spacing w:after="40" w:line="220" w:lineRule="atLeast"/>
        <w:rPr>
          <w:rFonts w:ascii="微软雅黑" w:hAnsi="微软雅黑" w:cs="微软雅黑"/>
          <w:sz w:val="18"/>
          <w:szCs w:val="18"/>
        </w:rPr>
      </w:pP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5"/>
        <w:gridCol w:w="6997"/>
      </w:tblGrid>
      <w:tr w14:paraId="2606CE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52ADE7B4">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9FBFA"/>
                <w:kern w:val="2"/>
                <w:sz w:val="20"/>
                <w:szCs w:val="20"/>
              </w:rPr>
            </w:pPr>
            <w:r>
              <w:rPr>
                <w:rFonts w:hint="default" w:ascii="微软雅黑" w:hAnsi="微软雅黑" w:cs="Times New Roman"/>
                <w:b/>
                <w:color w:val="F9FBFA"/>
                <w:kern w:val="2"/>
                <w:sz w:val="20"/>
                <w:szCs w:val="20"/>
              </w:rPr>
              <w:t>通路名称</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tcPr>
          <w:p w14:paraId="4B55E23B">
            <w:pPr>
              <w:keepNext w:val="0"/>
              <w:keepLines w:val="0"/>
              <w:widowControl/>
              <w:suppressLineNumbers w:val="0"/>
              <w:spacing w:before="0" w:beforeAutospacing="0" w:after="0" w:afterAutospacing="0" w:line="220" w:lineRule="atLeast"/>
              <w:ind w:left="0" w:right="0"/>
              <w:rPr>
                <w:rFonts w:hint="default" w:ascii="微软雅黑" w:hAnsi="微软雅黑" w:cs="Times New Roman"/>
                <w:b/>
                <w:color w:val="F9FBFA"/>
                <w:kern w:val="2"/>
                <w:sz w:val="20"/>
                <w:szCs w:val="20"/>
              </w:rPr>
            </w:pPr>
            <w:r>
              <w:rPr>
                <w:rFonts w:hint="default" w:ascii="微软雅黑" w:hAnsi="微软雅黑" w:cs="Times New Roman"/>
                <w:b/>
                <w:color w:val="F9FBFA"/>
                <w:kern w:val="2"/>
                <w:sz w:val="20"/>
                <w:szCs w:val="20"/>
              </w:rPr>
              <w:t>Apoptosis signaling pathway</w:t>
            </w:r>
          </w:p>
        </w:tc>
      </w:tr>
      <w:tr w14:paraId="3C84DF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090B923C">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FFFFF" w:themeColor="background1"/>
                <w:kern w:val="2"/>
                <w:sz w:val="20"/>
                <w:szCs w:val="20"/>
                <w14:textFill>
                  <w14:solidFill>
                    <w14:schemeClr w14:val="bg1"/>
                  </w14:solidFill>
                </w14:textFill>
              </w:rPr>
            </w:pPr>
            <w:r>
              <w:rPr>
                <w:rFonts w:hint="default" w:ascii="微软雅黑" w:hAnsi="微软雅黑" w:cs="Times New Roman"/>
                <w:b/>
                <w:color w:val="FFFFFF" w:themeColor="background1"/>
                <w:kern w:val="2"/>
                <w:sz w:val="20"/>
                <w:szCs w:val="20"/>
                <w14:textFill>
                  <w14:solidFill>
                    <w14:schemeClr w14:val="bg1"/>
                  </w14:solidFill>
                </w14:textFill>
              </w:rPr>
              <w:t>通路解析</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14:paraId="70695391">
            <w:pPr>
              <w:keepNext w:val="0"/>
              <w:keepLines w:val="0"/>
              <w:widowControl/>
              <w:suppressLineNumbers w:val="0"/>
              <w:spacing w:before="40" w:beforeAutospacing="0" w:after="40" w:afterAutospacing="0"/>
              <w:ind w:left="0" w:right="0" w:firstLine="360" w:firstLineChars="200"/>
              <w:jc w:val="both"/>
              <w:rPr>
                <w:rFonts w:hint="default" w:ascii="微软雅黑" w:hAnsi="微软雅黑" w:cs="Times New Roman"/>
                <w:b/>
                <w:color w:val="F9FBFA"/>
                <w:kern w:val="2"/>
                <w:sz w:val="20"/>
                <w:szCs w:val="20"/>
              </w:rPr>
            </w:pPr>
            <w:r>
              <w:rPr>
                <w:rFonts w:hint="default" w:ascii="微软雅黑" w:hAnsi="微软雅黑" w:cs="微软雅黑"/>
                <w:kern w:val="2"/>
                <w:sz w:val="18"/>
                <w:szCs w:val="18"/>
              </w:rPr>
              <w:t>细胞凋亡是细胞程序性死亡。细胞凋亡包括促进细胞死亡的</w:t>
            </w:r>
            <w:r>
              <w:rPr>
                <w:rFonts w:hint="eastAsia" w:ascii="微软雅黑" w:hAnsi="微软雅黑" w:cs="微软雅黑"/>
                <w:kern w:val="2"/>
                <w:sz w:val="18"/>
                <w:szCs w:val="18"/>
              </w:rPr>
              <w:t>外源性</w:t>
            </w:r>
            <w:r>
              <w:rPr>
                <w:rFonts w:hint="default" w:ascii="微软雅黑" w:hAnsi="微软雅黑" w:cs="微软雅黑"/>
                <w:kern w:val="2"/>
                <w:sz w:val="18"/>
                <w:szCs w:val="18"/>
              </w:rPr>
              <w:t>和</w:t>
            </w:r>
            <w:r>
              <w:rPr>
                <w:rFonts w:hint="eastAsia" w:ascii="微软雅黑" w:hAnsi="微软雅黑" w:cs="微软雅黑"/>
                <w:kern w:val="2"/>
                <w:sz w:val="18"/>
                <w:szCs w:val="18"/>
              </w:rPr>
              <w:t>内源性通路</w:t>
            </w:r>
            <w:r>
              <w:rPr>
                <w:rFonts w:hint="default" w:ascii="微软雅黑" w:hAnsi="微软雅黑" w:cs="微软雅黑"/>
                <w:kern w:val="2"/>
                <w:sz w:val="18"/>
                <w:szCs w:val="18"/>
              </w:rPr>
              <w:t>。</w:t>
            </w:r>
            <w:r>
              <w:rPr>
                <w:rFonts w:hint="eastAsia" w:ascii="微软雅黑" w:hAnsi="微软雅黑" w:cs="微软雅黑"/>
                <w:kern w:val="2"/>
                <w:sz w:val="18"/>
                <w:szCs w:val="18"/>
              </w:rPr>
              <w:t>外源性</w:t>
            </w:r>
            <w:r>
              <w:rPr>
                <w:rFonts w:hint="default" w:ascii="微软雅黑" w:hAnsi="微软雅黑" w:cs="微软雅黑"/>
                <w:kern w:val="2"/>
                <w:sz w:val="18"/>
                <w:szCs w:val="18"/>
              </w:rPr>
              <w:t>通路是由细胞外发生的事件触发的FAS配体/FAS受体介导的通路</w:t>
            </w:r>
            <w:r>
              <w:rPr>
                <w:rFonts w:hint="eastAsia" w:ascii="微软雅黑" w:hAnsi="微软雅黑" w:cs="微软雅黑"/>
                <w:kern w:val="2"/>
                <w:sz w:val="18"/>
                <w:szCs w:val="18"/>
              </w:rPr>
              <w:t>，</w:t>
            </w:r>
            <w:r>
              <w:rPr>
                <w:rFonts w:hint="default" w:ascii="微软雅黑" w:hAnsi="微软雅黑" w:cs="微软雅黑"/>
                <w:kern w:val="2"/>
                <w:sz w:val="18"/>
                <w:szCs w:val="18"/>
              </w:rPr>
              <w:t>这种结合通过caspase级联诱导细胞凋亡。。</w:t>
            </w:r>
            <w:r>
              <w:rPr>
                <w:rFonts w:hint="eastAsia" w:ascii="微软雅黑" w:hAnsi="微软雅黑" w:cs="微软雅黑"/>
                <w:kern w:val="2"/>
                <w:sz w:val="18"/>
                <w:szCs w:val="18"/>
              </w:rPr>
              <w:t>内源性</w:t>
            </w:r>
            <w:r>
              <w:rPr>
                <w:rFonts w:hint="default" w:ascii="微软雅黑" w:hAnsi="微软雅黑" w:cs="微软雅黑"/>
                <w:kern w:val="2"/>
                <w:sz w:val="18"/>
                <w:szCs w:val="18"/>
              </w:rPr>
              <w:t>通路由细胞内事件触发，该通路的激活是由线粒体中的BCL-2家族蛋白启动的。线粒体活化将促凋亡蛋白释放到细胞醇中，导致caspase级联诱导细胞</w:t>
            </w:r>
            <w:r>
              <w:rPr>
                <w:rFonts w:hint="eastAsia" w:ascii="微软雅黑" w:hAnsi="微软雅黑" w:cs="微软雅黑"/>
                <w:kern w:val="2"/>
                <w:sz w:val="18"/>
                <w:szCs w:val="18"/>
              </w:rPr>
              <w:t>死亡</w:t>
            </w:r>
            <w:r>
              <w:rPr>
                <w:rFonts w:hint="default" w:ascii="微软雅黑" w:hAnsi="微软雅黑" w:cs="微软雅黑"/>
                <w:kern w:val="2"/>
                <w:sz w:val="18"/>
                <w:szCs w:val="18"/>
              </w:rPr>
              <w:t>。</w:t>
            </w:r>
            <w:r>
              <w:rPr>
                <w:rFonts w:hint="eastAsia" w:ascii="微软雅黑" w:hAnsi="微软雅黑" w:cs="微软雅黑"/>
                <w:kern w:val="2"/>
                <w:sz w:val="18"/>
                <w:szCs w:val="18"/>
              </w:rPr>
              <w:t>细胞内事件包括</w:t>
            </w:r>
            <w:r>
              <w:rPr>
                <w:rFonts w:hint="default" w:ascii="微软雅黑" w:hAnsi="微软雅黑" w:cs="微软雅黑"/>
                <w:kern w:val="2"/>
                <w:sz w:val="18"/>
                <w:szCs w:val="18"/>
              </w:rPr>
              <w:t>细胞内毒素、病毒感染、自由基、辐射或DNA损伤引起的细胞内应激。</w:t>
            </w:r>
          </w:p>
        </w:tc>
      </w:tr>
      <w:tr w14:paraId="16BB4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5FC0EB9B">
            <w:pPr>
              <w:keepNext w:val="0"/>
              <w:keepLines w:val="0"/>
              <w:widowControl/>
              <w:suppressLineNumbers w:val="0"/>
              <w:spacing w:before="0" w:beforeAutospacing="0" w:after="0" w:afterAutospacing="0" w:line="220" w:lineRule="atLeast"/>
              <w:ind w:left="0" w:right="0" w:firstLine="200" w:firstLineChars="100"/>
              <w:jc w:val="both"/>
              <w:rPr>
                <w:rFonts w:hint="default" w:ascii="微软雅黑" w:hAnsi="微软雅黑" w:cs="Times New Roman"/>
                <w:b/>
                <w:color w:val="F9FBFA"/>
                <w:kern w:val="2"/>
                <w:sz w:val="20"/>
                <w:szCs w:val="20"/>
              </w:rPr>
            </w:pPr>
            <w:r>
              <w:rPr>
                <w:rFonts w:hint="default" w:ascii="微软雅黑" w:hAnsi="微软雅黑" w:cs="Times New Roman"/>
                <w:b/>
                <w:color w:val="FFFFFF" w:themeColor="background1"/>
                <w:kern w:val="2"/>
                <w:sz w:val="20"/>
                <w:szCs w:val="20"/>
                <w14:textFill>
                  <w14:solidFill>
                    <w14:schemeClr w14:val="bg1"/>
                  </w14:solidFill>
                </w14:textFill>
              </w:rPr>
              <w:t>基因列表</w:t>
            </w:r>
          </w:p>
        </w:tc>
      </w:tr>
      <w:tr w14:paraId="56DC2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14C345F5">
            <w:pPr>
              <w:keepNext w:val="0"/>
              <w:keepLines w:val="0"/>
              <w:widowControl/>
              <w:suppressLineNumbers w:val="0"/>
              <w:spacing w:before="0" w:beforeAutospacing="0" w:after="0" w:afterAutospacing="0"/>
              <w:ind w:left="0" w:right="0"/>
              <w:rPr>
                <w:rFonts w:hint="default" w:ascii="微软雅黑" w:hAnsi="微软雅黑" w:cs="微软雅黑"/>
                <w:color w:val="000000" w:themeColor="text1"/>
                <w:kern w:val="2"/>
                <w:sz w:val="18"/>
                <w:szCs w:val="18"/>
                <w14:textFill>
                  <w14:solidFill>
                    <w14:schemeClr w14:val="tx1"/>
                  </w14:solidFill>
                </w14:textFill>
              </w:rPr>
            </w:pPr>
            <w:r>
              <w:rPr>
                <w:rFonts w:hint="eastAsia" w:ascii="微软雅黑" w:hAnsi="微软雅黑" w:cs="微软雅黑"/>
                <w:color w:val="000000" w:themeColor="text1"/>
                <w:kern w:val="2"/>
                <w:sz w:val="18"/>
                <w:szCs w:val="18"/>
                <w14:textFill>
                  <w14:solidFill>
                    <w14:schemeClr w14:val="tx1"/>
                  </w14:solidFill>
                </w14:textFill>
              </w:rPr>
              <w:t>TP53</w:t>
            </w:r>
            <w:r>
              <w:rPr>
                <w:rFonts w:hint="default" w:ascii="微软雅黑" w:hAnsi="微软雅黑" w:cs="微软雅黑"/>
                <w:color w:val="000000" w:themeColor="text1"/>
                <w:kern w:val="2"/>
                <w:sz w:val="18"/>
                <w:szCs w:val="18"/>
                <w14:textFill>
                  <w14:solidFill>
                    <w14:schemeClr w14:val="tx1"/>
                  </w14:solidFill>
                </w14:textFill>
              </w:rPr>
              <w:t xml:space="preserve"> </w:t>
            </w:r>
            <w:r>
              <w:rPr>
                <w:rFonts w:hint="eastAsia" w:ascii="微软雅黑" w:hAnsi="微软雅黑" w:cs="微软雅黑"/>
                <w:color w:val="000000" w:themeColor="text1"/>
                <w:kern w:val="2"/>
                <w:sz w:val="18"/>
                <w:szCs w:val="18"/>
                <w14:textFill>
                  <w14:solidFill>
                    <w14:schemeClr w14:val="tx1"/>
                  </w14:solidFill>
                </w14:textFill>
              </w:rPr>
              <w:t>ATM KRAS AKT1 AKT2 AKT3 BBC3 BCL2 BCL2L1 BCL2L11 BIRC3 CASP8 FAS HRAS JUN</w:t>
            </w:r>
            <w:r>
              <w:rPr>
                <w:rFonts w:hint="default" w:ascii="微软雅黑" w:hAnsi="微软雅黑" w:cs="微软雅黑"/>
                <w:color w:val="000000" w:themeColor="text1"/>
                <w:kern w:val="2"/>
                <w:sz w:val="18"/>
                <w:szCs w:val="18"/>
                <w14:textFill>
                  <w14:solidFill>
                    <w14:schemeClr w14:val="tx1"/>
                  </w14:solidFill>
                </w14:textFill>
              </w:rPr>
              <w:t xml:space="preserve"> </w:t>
            </w:r>
            <w:r>
              <w:rPr>
                <w:rFonts w:hint="eastAsia" w:ascii="微软雅黑" w:hAnsi="微软雅黑" w:cs="微软雅黑"/>
                <w:color w:val="000000" w:themeColor="text1"/>
                <w:kern w:val="2"/>
                <w:sz w:val="18"/>
                <w:szCs w:val="18"/>
                <w14:textFill>
                  <w14:solidFill>
                    <w14:schemeClr w14:val="tx1"/>
                  </w14:solidFill>
                </w14:textFill>
              </w:rPr>
              <w:t>MAP2K1 MAP2K2 MAP3K14 MAPK1 MAPK3 NRAS NTRK1 PARP1</w:t>
            </w:r>
            <w:r>
              <w:rPr>
                <w:rFonts w:hint="default" w:ascii="微软雅黑" w:hAnsi="微软雅黑" w:cs="微软雅黑"/>
                <w:color w:val="000000" w:themeColor="text1"/>
                <w:kern w:val="2"/>
                <w:sz w:val="18"/>
                <w:szCs w:val="18"/>
                <w14:textFill>
                  <w14:solidFill>
                    <w14:schemeClr w14:val="tx1"/>
                  </w14:solidFill>
                </w14:textFill>
              </w:rPr>
              <w:t xml:space="preserve"> </w:t>
            </w:r>
            <w:r>
              <w:rPr>
                <w:rFonts w:hint="eastAsia" w:ascii="微软雅黑" w:hAnsi="微软雅黑" w:cs="微软雅黑"/>
                <w:color w:val="000000" w:themeColor="text1"/>
                <w:kern w:val="2"/>
                <w:sz w:val="18"/>
                <w:szCs w:val="18"/>
                <w14:textFill>
                  <w14:solidFill>
                    <w14:schemeClr w14:val="tx1"/>
                  </w14:solidFill>
                </w14:textFill>
              </w:rPr>
              <w:t>PDPK1 PIK3CA PIK3CB PIK3CD PIK3CG PIK3R1 PIK3R2 PIK3R3 PMAIP1 RAF1 SPTA1 TRAF2 XIAP</w:t>
            </w:r>
          </w:p>
        </w:tc>
      </w:tr>
    </w:tbl>
    <w:p w14:paraId="513B7A87">
      <w:pPr>
        <w:adjustRightInd/>
        <w:snapToGrid/>
        <w:spacing w:after="0"/>
        <w:rPr>
          <w:rFonts w:ascii="微软雅黑" w:hAnsi="微软雅黑"/>
          <w:b/>
          <w:sz w:val="24"/>
          <w:szCs w:val="24"/>
        </w:rPr>
      </w:pPr>
    </w:p>
    <w:p w14:paraId="282A55EE">
      <w:pPr>
        <w:adjustRightInd/>
        <w:snapToGrid/>
        <w:spacing w:after="0"/>
        <w:jc w:val="center"/>
        <w:rPr>
          <w:rFonts w:ascii="微软雅黑" w:hAnsi="微软雅黑"/>
          <w:b/>
          <w:sz w:val="24"/>
          <w:szCs w:val="24"/>
        </w:rPr>
      </w:pPr>
      <w:r>
        <w:rPr>
          <w:rFonts w:ascii="微软雅黑" w:hAnsi="微软雅黑"/>
          <w:b/>
          <w:sz w:val="24"/>
          <w:szCs w:val="24"/>
        </w:rPr>
        <w:drawing>
          <wp:inline distT="0" distB="0" distL="114300" distR="114300">
            <wp:extent cx="4766310" cy="3221355"/>
            <wp:effectExtent l="0" t="0" r="15240" b="17145"/>
            <wp:docPr id="1045" name="图片 40"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 name="图片 40" descr="图片1"/>
                    <pic:cNvPicPr>
                      <a:picLocks noChangeAspect="1"/>
                    </pic:cNvPicPr>
                  </pic:nvPicPr>
                  <pic:blipFill>
                    <a:blip r:embed="rId46" cstate="print"/>
                    <a:stretch>
                      <a:fillRect/>
                    </a:stretch>
                  </pic:blipFill>
                  <pic:spPr>
                    <a:xfrm>
                      <a:off x="0" y="0"/>
                      <a:ext cx="4766310" cy="3221355"/>
                    </a:xfrm>
                    <a:prstGeom prst="rect">
                      <a:avLst/>
                    </a:prstGeom>
                  </pic:spPr>
                </pic:pic>
              </a:graphicData>
            </a:graphic>
          </wp:inline>
        </w:drawing>
      </w:r>
    </w:p>
    <w:p w14:paraId="5532A1BE">
      <w:pPr>
        <w:adjustRightInd/>
        <w:snapToGrid/>
        <w:spacing w:after="40"/>
        <w:jc w:val="center"/>
        <w:rPr>
          <w:rFonts w:ascii="微软雅黑" w:hAnsi="微软雅黑" w:cs="微软雅黑"/>
          <w:b/>
          <w:bCs/>
          <w:sz w:val="18"/>
          <w:szCs w:val="18"/>
        </w:rPr>
      </w:pPr>
      <w:r>
        <w:rPr>
          <w:rFonts w:hint="eastAsia" w:ascii="微软雅黑" w:hAnsi="微软雅黑" w:cs="微软雅黑"/>
          <w:sz w:val="18"/>
          <w:szCs w:val="18"/>
        </w:rPr>
        <w:t>Apoptosis signaling pathway</w:t>
      </w:r>
    </w:p>
    <w:p w14:paraId="694BFA3D">
      <w:pPr>
        <w:adjustRightInd/>
        <w:snapToGrid/>
        <w:spacing w:after="40"/>
        <w:jc w:val="both"/>
        <w:rPr>
          <w:rFonts w:ascii="微软雅黑" w:hAnsi="微软雅黑" w:cs="微软雅黑"/>
          <w:b/>
          <w:bCs/>
          <w:sz w:val="18"/>
          <w:szCs w:val="18"/>
        </w:rPr>
      </w:pPr>
    </w:p>
    <w:p w14:paraId="0675EFDF">
      <w:pPr>
        <w:adjustRightInd/>
        <w:snapToGrid/>
        <w:spacing w:after="40"/>
        <w:jc w:val="both"/>
        <w:rPr>
          <w:rFonts w:ascii="微软雅黑" w:hAnsi="微软雅黑" w:cs="微软雅黑"/>
          <w:b/>
          <w:bCs/>
          <w:sz w:val="18"/>
          <w:szCs w:val="18"/>
        </w:rPr>
      </w:pPr>
    </w:p>
    <w:p w14:paraId="3C09A6A2">
      <w:pPr>
        <w:adjustRightInd/>
        <w:snapToGrid/>
        <w:spacing w:after="40"/>
        <w:jc w:val="both"/>
        <w:rPr>
          <w:rFonts w:ascii="微软雅黑" w:hAnsi="微软雅黑" w:cs="微软雅黑"/>
          <w:b/>
          <w:bCs/>
          <w:sz w:val="18"/>
          <w:szCs w:val="18"/>
        </w:rPr>
      </w:pPr>
    </w:p>
    <w:p w14:paraId="1A170EA8">
      <w:pPr>
        <w:adjustRightInd/>
        <w:snapToGrid/>
        <w:spacing w:after="40"/>
        <w:jc w:val="both"/>
        <w:rPr>
          <w:rFonts w:ascii="微软雅黑" w:hAnsi="微软雅黑" w:cs="微软雅黑"/>
          <w:b/>
          <w:bCs/>
          <w:sz w:val="18"/>
          <w:szCs w:val="18"/>
        </w:rPr>
      </w:pPr>
    </w:p>
    <w:p w14:paraId="0E7D17C6">
      <w:pPr>
        <w:adjustRightInd/>
        <w:snapToGrid/>
        <w:spacing w:after="40"/>
        <w:jc w:val="both"/>
        <w:rPr>
          <w:rFonts w:ascii="微软雅黑" w:hAnsi="微软雅黑" w:cs="微软雅黑"/>
          <w:b/>
          <w:bCs/>
          <w:sz w:val="18"/>
          <w:szCs w:val="18"/>
        </w:rPr>
      </w:pPr>
    </w:p>
    <w:p w14:paraId="3960C7C3">
      <w:pPr>
        <w:adjustRightInd/>
        <w:snapToGrid/>
        <w:spacing w:after="40"/>
        <w:jc w:val="both"/>
        <w:rPr>
          <w:rFonts w:ascii="微软雅黑" w:hAnsi="微软雅黑" w:cs="微软雅黑"/>
          <w:b/>
          <w:bCs/>
          <w:sz w:val="18"/>
          <w:szCs w:val="18"/>
        </w:rPr>
      </w:pPr>
    </w:p>
    <w:p w14:paraId="24FEEBDB">
      <w:pPr>
        <w:adjustRightInd/>
        <w:snapToGrid/>
        <w:spacing w:after="40"/>
        <w:jc w:val="both"/>
        <w:rPr>
          <w:rFonts w:ascii="微软雅黑" w:hAnsi="微软雅黑" w:cs="微软雅黑"/>
          <w:b/>
          <w:bCs/>
          <w:sz w:val="18"/>
          <w:szCs w:val="18"/>
        </w:rPr>
      </w:pPr>
      <w:r>
        <w:rPr>
          <w:rFonts w:hint="eastAsia" w:ascii="微软雅黑" w:hAnsi="微软雅黑" w:cs="微软雅黑"/>
          <w:b/>
          <w:bCs/>
          <w:sz w:val="18"/>
          <w:szCs w:val="18"/>
        </w:rPr>
        <w:t>参考文献：</w:t>
      </w:r>
    </w:p>
    <w:p w14:paraId="1F242241">
      <w:pPr>
        <w:spacing w:line="200" w:lineRule="exact"/>
        <w:rPr>
          <w:rFonts w:ascii="微软雅黑" w:hAnsi="微软雅黑" w:cs="微软雅黑"/>
          <w:sz w:val="18"/>
          <w:szCs w:val="18"/>
        </w:rPr>
      </w:pPr>
      <w:r>
        <w:rPr>
          <w:rFonts w:hint="eastAsia" w:ascii="微软雅黑" w:hAnsi="微软雅黑" w:cs="微软雅黑"/>
          <w:sz w:val="18"/>
          <w:szCs w:val="18"/>
        </w:rPr>
        <w:t>Frontiers in Pharmacology.2019 July 12;10:758.</w:t>
      </w:r>
    </w:p>
    <w:p w14:paraId="79DACB08">
      <w:pPr>
        <w:spacing w:line="200" w:lineRule="exact"/>
        <w:rPr>
          <w:rFonts w:ascii="微软雅黑" w:hAnsi="微软雅黑" w:cs="微软雅黑"/>
          <w:sz w:val="18"/>
          <w:szCs w:val="18"/>
        </w:rPr>
      </w:pPr>
      <w:r>
        <w:fldChar w:fldCharType="begin"/>
      </w:r>
      <w:r>
        <w:instrText xml:space="preserve"> HYPERLINK "https://www.mycancergenome.org/" </w:instrText>
      </w:r>
      <w:r>
        <w:fldChar w:fldCharType="separate"/>
      </w:r>
      <w:r>
        <w:rPr>
          <w:rStyle w:val="23"/>
          <w:rFonts w:hint="eastAsia" w:ascii="微软雅黑" w:hAnsi="微软雅黑" w:cs="微软雅黑"/>
          <w:color w:val="auto"/>
          <w:sz w:val="18"/>
          <w:szCs w:val="18"/>
          <w:u w:val="none"/>
        </w:rPr>
        <w:t>https://www.mycancergenome.org/</w:t>
      </w:r>
      <w:r>
        <w:rPr>
          <w:rStyle w:val="23"/>
          <w:rFonts w:hint="eastAsia" w:ascii="微软雅黑" w:hAnsi="微软雅黑" w:cs="微软雅黑"/>
          <w:color w:val="auto"/>
          <w:sz w:val="18"/>
          <w:szCs w:val="18"/>
          <w:u w:val="none"/>
        </w:rPr>
        <w:fldChar w:fldCharType="end"/>
      </w:r>
    </w:p>
    <w:p w14:paraId="7EEE8683">
      <w:pPr>
        <w:adjustRightInd/>
        <w:snapToGrid/>
        <w:rPr>
          <w:rFonts w:ascii="微软雅黑" w:hAnsi="微软雅黑"/>
          <w:b/>
          <w:sz w:val="24"/>
          <w:szCs w:val="24"/>
        </w:rPr>
      </w:pPr>
      <w:r>
        <w:rPr>
          <w:rFonts w:ascii="微软雅黑" w:hAnsi="微软雅黑"/>
          <w:b/>
          <w:sz w:val="24"/>
          <w:szCs w:val="24"/>
        </w:rPr>
        <w:br w:type="page"/>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5"/>
        <w:gridCol w:w="6997"/>
      </w:tblGrid>
      <w:tr w14:paraId="491AB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246DD37A">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9FBFA"/>
                <w:kern w:val="2"/>
                <w:sz w:val="20"/>
                <w:szCs w:val="20"/>
              </w:rPr>
            </w:pPr>
            <w:bookmarkStart w:id="211" w:name="OLE_LINK49" w:colFirst="0" w:colLast="0"/>
            <w:r>
              <w:rPr>
                <w:rFonts w:hint="default" w:ascii="微软雅黑" w:hAnsi="微软雅黑" w:cs="Times New Roman"/>
                <w:b/>
                <w:color w:val="F9FBFA"/>
                <w:kern w:val="2"/>
                <w:sz w:val="20"/>
                <w:szCs w:val="20"/>
              </w:rPr>
              <w:t>通路名称</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tcPr>
          <w:p w14:paraId="18CAA736">
            <w:pPr>
              <w:keepNext w:val="0"/>
              <w:keepLines w:val="0"/>
              <w:widowControl/>
              <w:suppressLineNumbers w:val="0"/>
              <w:spacing w:before="0" w:beforeAutospacing="0" w:after="0" w:afterAutospacing="0" w:line="220" w:lineRule="atLeast"/>
              <w:ind w:left="0" w:right="0"/>
              <w:rPr>
                <w:rFonts w:hint="default" w:ascii="微软雅黑" w:hAnsi="微软雅黑" w:cs="Times New Roman"/>
                <w:b/>
                <w:color w:val="F9FBFA"/>
                <w:kern w:val="2"/>
                <w:sz w:val="20"/>
                <w:szCs w:val="20"/>
              </w:rPr>
            </w:pPr>
            <w:bookmarkStart w:id="212" w:name="OLE_LINK48"/>
            <w:r>
              <w:rPr>
                <w:rFonts w:hint="default" w:ascii="微软雅黑" w:hAnsi="微软雅黑" w:cs="Times New Roman"/>
                <w:b/>
                <w:color w:val="F9FBFA"/>
                <w:kern w:val="2"/>
                <w:sz w:val="20"/>
                <w:szCs w:val="20"/>
              </w:rPr>
              <w:t>DNA damage/repair signaling pathway</w:t>
            </w:r>
            <w:bookmarkEnd w:id="212"/>
          </w:p>
        </w:tc>
      </w:tr>
      <w:tr w14:paraId="7444C5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08296337">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FFFFF" w:themeColor="background1"/>
                <w:kern w:val="2"/>
                <w:sz w:val="20"/>
                <w:szCs w:val="20"/>
                <w14:textFill>
                  <w14:solidFill>
                    <w14:schemeClr w14:val="bg1"/>
                  </w14:solidFill>
                </w14:textFill>
              </w:rPr>
            </w:pPr>
            <w:r>
              <w:rPr>
                <w:rFonts w:hint="default" w:ascii="微软雅黑" w:hAnsi="微软雅黑" w:cs="Times New Roman"/>
                <w:b/>
                <w:color w:val="FFFFFF" w:themeColor="background1"/>
                <w:kern w:val="2"/>
                <w:sz w:val="20"/>
                <w:szCs w:val="20"/>
                <w14:textFill>
                  <w14:solidFill>
                    <w14:schemeClr w14:val="bg1"/>
                  </w14:solidFill>
                </w14:textFill>
              </w:rPr>
              <w:t>通路解析</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14:paraId="587BB5C7">
            <w:pPr>
              <w:keepNext w:val="0"/>
              <w:keepLines w:val="0"/>
              <w:widowControl/>
              <w:suppressLineNumbers w:val="0"/>
              <w:spacing w:before="40" w:beforeAutospacing="0" w:after="40" w:afterAutospacing="0"/>
              <w:ind w:left="0" w:right="0" w:firstLine="400" w:firstLineChars="200"/>
              <w:jc w:val="both"/>
              <w:rPr>
                <w:rFonts w:hint="default" w:ascii="微软雅黑" w:hAnsi="微软雅黑" w:cs="Times New Roman"/>
                <w:b/>
                <w:color w:val="F9FBFA"/>
                <w:kern w:val="2"/>
                <w:sz w:val="20"/>
                <w:szCs w:val="20"/>
              </w:rPr>
            </w:pPr>
            <w:r>
              <w:rPr>
                <w:rFonts w:hint="default" w:ascii="微软雅黑" w:hAnsi="微软雅黑" w:cs="Times New Roman"/>
                <w:bCs/>
                <w:kern w:val="2"/>
                <w:sz w:val="20"/>
                <w:szCs w:val="20"/>
              </w:rPr>
              <w:t>DNA损伤可能由内源因素</w:t>
            </w:r>
            <w:r>
              <w:rPr>
                <w:rFonts w:hint="eastAsia" w:ascii="微软雅黑" w:hAnsi="微软雅黑" w:cs="Times New Roman"/>
                <w:bCs/>
                <w:kern w:val="2"/>
                <w:sz w:val="20"/>
                <w:szCs w:val="20"/>
              </w:rPr>
              <w:t>（</w:t>
            </w:r>
            <w:r>
              <w:rPr>
                <w:rFonts w:hint="default" w:ascii="微软雅黑" w:hAnsi="微软雅黑" w:cs="Times New Roman"/>
                <w:bCs/>
                <w:kern w:val="2"/>
                <w:sz w:val="20"/>
                <w:szCs w:val="20"/>
              </w:rPr>
              <w:t>如复制错误、氧化脱氨和活性氧种类</w:t>
            </w:r>
            <w:r>
              <w:rPr>
                <w:rFonts w:hint="eastAsia" w:ascii="微软雅黑" w:hAnsi="微软雅黑" w:cs="Times New Roman"/>
                <w:bCs/>
                <w:kern w:val="2"/>
                <w:sz w:val="20"/>
                <w:szCs w:val="20"/>
              </w:rPr>
              <w:t>）</w:t>
            </w:r>
            <w:r>
              <w:rPr>
                <w:rFonts w:hint="default" w:ascii="微软雅黑" w:hAnsi="微软雅黑" w:cs="Times New Roman"/>
                <w:bCs/>
                <w:kern w:val="2"/>
                <w:sz w:val="20"/>
                <w:szCs w:val="20"/>
              </w:rPr>
              <w:t>和外源因素</w:t>
            </w:r>
            <w:r>
              <w:rPr>
                <w:rFonts w:hint="eastAsia" w:ascii="微软雅黑" w:hAnsi="微软雅黑" w:cs="Times New Roman"/>
                <w:bCs/>
                <w:kern w:val="2"/>
                <w:sz w:val="20"/>
                <w:szCs w:val="20"/>
              </w:rPr>
              <w:t>（</w:t>
            </w:r>
            <w:r>
              <w:rPr>
                <w:rFonts w:hint="default" w:ascii="微软雅黑" w:hAnsi="微软雅黑" w:cs="Times New Roman"/>
                <w:bCs/>
                <w:kern w:val="2"/>
                <w:sz w:val="20"/>
                <w:szCs w:val="20"/>
              </w:rPr>
              <w:t>如紫外线和辐射</w:t>
            </w:r>
            <w:r>
              <w:rPr>
                <w:rFonts w:hint="eastAsia" w:ascii="微软雅黑" w:hAnsi="微软雅黑" w:cs="Times New Roman"/>
                <w:bCs/>
                <w:kern w:val="2"/>
                <w:sz w:val="20"/>
                <w:szCs w:val="20"/>
              </w:rPr>
              <w:t>）</w:t>
            </w:r>
            <w:r>
              <w:rPr>
                <w:rFonts w:hint="default" w:ascii="微软雅黑" w:hAnsi="微软雅黑" w:cs="Times New Roman"/>
                <w:bCs/>
                <w:kern w:val="2"/>
                <w:sz w:val="20"/>
                <w:szCs w:val="20"/>
              </w:rPr>
              <w:t>共同造成。DNA修复过程包括DNA损伤的识别和随后的修复过程，包括核苷酸切除修复、碱基切除修复、非同源末端连接以及根据DNA损伤类型的同源重组</w:t>
            </w:r>
            <w:r>
              <w:rPr>
                <w:rFonts w:hint="eastAsia" w:ascii="微软雅黑" w:hAnsi="微软雅黑" w:cs="Times New Roman"/>
                <w:bCs/>
                <w:kern w:val="2"/>
                <w:sz w:val="20"/>
                <w:szCs w:val="20"/>
              </w:rPr>
              <w:t>（</w:t>
            </w:r>
            <w:r>
              <w:rPr>
                <w:rFonts w:hint="default" w:ascii="微软雅黑" w:hAnsi="微软雅黑" w:cs="Times New Roman"/>
                <w:bCs/>
                <w:kern w:val="2"/>
                <w:sz w:val="20"/>
                <w:szCs w:val="20"/>
              </w:rPr>
              <w:t>单链DNA断裂vs.双链DNA断裂</w:t>
            </w:r>
            <w:r>
              <w:rPr>
                <w:rFonts w:hint="eastAsia" w:ascii="微软雅黑" w:hAnsi="微软雅黑" w:cs="Times New Roman"/>
                <w:bCs/>
                <w:kern w:val="2"/>
                <w:sz w:val="20"/>
                <w:szCs w:val="20"/>
              </w:rPr>
              <w:t>）</w:t>
            </w:r>
            <w:r>
              <w:rPr>
                <w:rFonts w:hint="default" w:ascii="微软雅黑" w:hAnsi="微软雅黑" w:cs="Times New Roman"/>
                <w:bCs/>
                <w:kern w:val="2"/>
                <w:sz w:val="20"/>
                <w:szCs w:val="20"/>
              </w:rPr>
              <w:t xml:space="preserve">。如果DNA损伤无法修复，细胞将经历细胞周期停滞、衰老或程序性细胞死亡。   </w:t>
            </w:r>
          </w:p>
        </w:tc>
      </w:tr>
      <w:tr w14:paraId="44A1D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3A196C0E">
            <w:pPr>
              <w:keepNext w:val="0"/>
              <w:keepLines w:val="0"/>
              <w:widowControl/>
              <w:suppressLineNumbers w:val="0"/>
              <w:spacing w:before="0" w:beforeAutospacing="0" w:after="0" w:afterAutospacing="0" w:line="220" w:lineRule="atLeast"/>
              <w:ind w:left="0" w:right="0" w:firstLine="200" w:firstLineChars="100"/>
              <w:jc w:val="both"/>
              <w:rPr>
                <w:rFonts w:hint="default" w:ascii="微软雅黑" w:hAnsi="微软雅黑" w:cs="Times New Roman"/>
                <w:b/>
                <w:color w:val="F9FBFA"/>
                <w:kern w:val="2"/>
                <w:sz w:val="20"/>
                <w:szCs w:val="20"/>
              </w:rPr>
            </w:pPr>
            <w:r>
              <w:rPr>
                <w:rFonts w:hint="default" w:ascii="微软雅黑" w:hAnsi="微软雅黑" w:cs="Times New Roman"/>
                <w:b/>
                <w:color w:val="FFFFFF" w:themeColor="background1"/>
                <w:kern w:val="2"/>
                <w:sz w:val="20"/>
                <w:szCs w:val="20"/>
                <w14:textFill>
                  <w14:solidFill>
                    <w14:schemeClr w14:val="bg1"/>
                  </w14:solidFill>
                </w14:textFill>
              </w:rPr>
              <w:t>基因列表</w:t>
            </w:r>
          </w:p>
        </w:tc>
      </w:tr>
      <w:tr w14:paraId="0A8880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74266608">
            <w:pPr>
              <w:keepNext w:val="0"/>
              <w:keepLines w:val="0"/>
              <w:widowControl/>
              <w:suppressLineNumbers w:val="0"/>
              <w:spacing w:before="0" w:beforeAutospacing="0" w:after="0" w:afterAutospacing="0"/>
              <w:ind w:left="0" w:right="0"/>
              <w:jc w:val="both"/>
              <w:rPr>
                <w:rFonts w:hint="default" w:ascii="微软雅黑" w:hAnsi="微软雅黑" w:cs="微软雅黑"/>
                <w:kern w:val="2"/>
                <w:sz w:val="18"/>
                <w:szCs w:val="18"/>
              </w:rPr>
            </w:pPr>
            <w:r>
              <w:rPr>
                <w:rFonts w:hint="eastAsia" w:ascii="微软雅黑" w:hAnsi="微软雅黑" w:cs="微软雅黑"/>
                <w:kern w:val="2"/>
                <w:sz w:val="18"/>
                <w:szCs w:val="18"/>
              </w:rPr>
              <w:t>TP53</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A</w:t>
            </w:r>
            <w:r>
              <w:rPr>
                <w:rFonts w:hint="eastAsia" w:ascii="微软雅黑" w:hAnsi="微软雅黑" w:cs="微软雅黑"/>
                <w:color w:val="000000" w:themeColor="text1"/>
                <w:kern w:val="2"/>
                <w:sz w:val="18"/>
                <w:szCs w:val="18"/>
                <w14:textFill>
                  <w14:solidFill>
                    <w14:schemeClr w14:val="tx1"/>
                  </w14:solidFill>
                </w14:textFill>
              </w:rPr>
              <w:t>TM</w:t>
            </w:r>
            <w:r>
              <w:rPr>
                <w:rFonts w:hint="default" w:ascii="微软雅黑" w:hAnsi="微软雅黑" w:cs="微软雅黑"/>
                <w:color w:val="000000" w:themeColor="text1"/>
                <w:kern w:val="2"/>
                <w:sz w:val="18"/>
                <w:szCs w:val="18"/>
                <w14:textFill>
                  <w14:solidFill>
                    <w14:schemeClr w14:val="tx1"/>
                  </w14:solidFill>
                </w14:textFill>
              </w:rPr>
              <w:t xml:space="preserve"> </w:t>
            </w:r>
            <w:r>
              <w:rPr>
                <w:rFonts w:hint="eastAsia" w:ascii="微软雅黑" w:hAnsi="微软雅黑" w:cs="微软雅黑"/>
                <w:color w:val="000000" w:themeColor="text1"/>
                <w:kern w:val="2"/>
                <w:sz w:val="18"/>
                <w:szCs w:val="18"/>
                <w14:textFill>
                  <w14:solidFill>
                    <w14:schemeClr w14:val="tx1"/>
                  </w14:solidFill>
                </w14:textFill>
              </w:rPr>
              <w:t>A</w:t>
            </w:r>
            <w:r>
              <w:rPr>
                <w:rFonts w:hint="eastAsia" w:ascii="微软雅黑" w:hAnsi="微软雅黑" w:cs="微软雅黑"/>
                <w:kern w:val="2"/>
                <w:sz w:val="18"/>
                <w:szCs w:val="18"/>
              </w:rPr>
              <w:t>TRX</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ATR</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BARD1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BAX</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BCL6</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BLM</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BRCA2</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BRCA1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BRIP1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C11orf30 CCND1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CCND2 CCND3</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 xml:space="preserve"> CCNE1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CDK1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CDK12</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CDK2</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CDK4</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CDK5</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CDK6</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CDKN1A</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CDKN2A</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CHD2</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CHD4</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CHEK1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CHEK2</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 xml:space="preserve"> DPYD</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DOT1 ETV6</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EZH2</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FANCA</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FANCC FANCD2 FANCE FANCF</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FANCG</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FANCL</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FANCM</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FAS</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 xml:space="preserve"> FOXO1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KDM5C</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KDM6A</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KMT2C</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MDM2</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MDM4</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MLH1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MRE11A</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MSH2</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MSH3</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MSH6</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MUTYH</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 xml:space="preserve"> NBN</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NPM1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NSD1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PALB2</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PARP1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PMS1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PMS2</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POLD1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PRDM1 PRKDC PTEN</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RAD50</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RAD51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 xml:space="preserve"> RAD51C</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RAD51D</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RANBP2</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REL</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RRM1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RUNX1T1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SMARCA4</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SOD2</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STAG2</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SF3B1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TMPRSS2</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TSC2 U2AF1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XRCC1 ZNF703</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WRN</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XPA</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XPC</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RECQL4</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BUB1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DDB2</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FANCB</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FANCI</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SLX4</w:t>
            </w:r>
          </w:p>
        </w:tc>
      </w:tr>
      <w:bookmarkEnd w:id="211"/>
    </w:tbl>
    <w:p w14:paraId="46D58D8E">
      <w:pPr>
        <w:adjustRightInd/>
        <w:snapToGrid/>
        <w:spacing w:after="40" w:line="220" w:lineRule="atLeast"/>
        <w:rPr>
          <w:rFonts w:ascii="微软雅黑" w:hAnsi="微软雅黑"/>
          <w:b/>
          <w:sz w:val="24"/>
          <w:szCs w:val="24"/>
        </w:rPr>
      </w:pPr>
    </w:p>
    <w:p w14:paraId="45D135D9">
      <w:pPr>
        <w:adjustRightInd/>
        <w:snapToGrid/>
        <w:spacing w:after="40" w:line="220" w:lineRule="atLeast"/>
        <w:rPr>
          <w:rFonts w:ascii="微软雅黑" w:hAnsi="微软雅黑"/>
          <w:b/>
          <w:sz w:val="24"/>
          <w:szCs w:val="24"/>
        </w:rPr>
      </w:pPr>
      <w:r>
        <w:t xml:space="preserve">       </w:t>
      </w:r>
      <w:r>
        <w:drawing>
          <wp:inline distT="0" distB="0" distL="114300" distR="114300">
            <wp:extent cx="4323080" cy="3528060"/>
            <wp:effectExtent l="0" t="0" r="1270" b="15240"/>
            <wp:docPr id="10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 name="图片 1"/>
                    <pic:cNvPicPr>
                      <a:picLocks noChangeAspect="1"/>
                    </pic:cNvPicPr>
                  </pic:nvPicPr>
                  <pic:blipFill>
                    <a:blip r:embed="rId47" cstate="print"/>
                    <a:stretch>
                      <a:fillRect/>
                    </a:stretch>
                  </pic:blipFill>
                  <pic:spPr>
                    <a:xfrm>
                      <a:off x="0" y="0"/>
                      <a:ext cx="4323080" cy="3528060"/>
                    </a:xfrm>
                    <a:prstGeom prst="rect">
                      <a:avLst/>
                    </a:prstGeom>
                    <a:noFill/>
                    <a:ln>
                      <a:noFill/>
                    </a:ln>
                  </pic:spPr>
                </pic:pic>
              </a:graphicData>
            </a:graphic>
          </wp:inline>
        </w:drawing>
      </w:r>
    </w:p>
    <w:p w14:paraId="0ADEEFF5">
      <w:pPr>
        <w:adjustRightInd/>
        <w:snapToGrid/>
        <w:spacing w:after="40"/>
        <w:jc w:val="center"/>
        <w:rPr>
          <w:rFonts w:ascii="微软雅黑" w:hAnsi="微软雅黑" w:cs="微软雅黑"/>
          <w:bCs/>
          <w:sz w:val="18"/>
          <w:szCs w:val="18"/>
        </w:rPr>
      </w:pPr>
      <w:r>
        <w:rPr>
          <w:rFonts w:ascii="微软雅黑" w:hAnsi="微软雅黑" w:cs="Times New Roman"/>
          <w:bCs/>
          <w:kern w:val="2"/>
          <w:sz w:val="20"/>
          <w:szCs w:val="20"/>
        </w:rPr>
        <w:t>DNA damage/repair signaling pathway</w:t>
      </w:r>
    </w:p>
    <w:p w14:paraId="7982596F">
      <w:pPr>
        <w:adjustRightInd/>
        <w:snapToGrid/>
        <w:spacing w:after="40"/>
        <w:jc w:val="both"/>
        <w:rPr>
          <w:rFonts w:ascii="微软雅黑" w:hAnsi="微软雅黑" w:cs="微软雅黑"/>
          <w:b/>
          <w:bCs/>
          <w:sz w:val="18"/>
          <w:szCs w:val="18"/>
        </w:rPr>
      </w:pPr>
    </w:p>
    <w:p w14:paraId="1508F7B0">
      <w:pPr>
        <w:adjustRightInd/>
        <w:snapToGrid/>
        <w:spacing w:after="40"/>
        <w:jc w:val="both"/>
        <w:rPr>
          <w:rFonts w:ascii="微软雅黑" w:hAnsi="微软雅黑" w:cs="微软雅黑"/>
          <w:b/>
          <w:bCs/>
          <w:sz w:val="18"/>
          <w:szCs w:val="18"/>
        </w:rPr>
      </w:pPr>
    </w:p>
    <w:p w14:paraId="0B96A529">
      <w:pPr>
        <w:adjustRightInd/>
        <w:snapToGrid/>
        <w:spacing w:after="40"/>
        <w:jc w:val="both"/>
        <w:rPr>
          <w:rFonts w:ascii="微软雅黑" w:hAnsi="微软雅黑" w:cs="微软雅黑"/>
          <w:b/>
          <w:bCs/>
          <w:sz w:val="18"/>
          <w:szCs w:val="18"/>
        </w:rPr>
      </w:pPr>
    </w:p>
    <w:p w14:paraId="5D9FA62C">
      <w:pPr>
        <w:adjustRightInd/>
        <w:snapToGrid/>
        <w:spacing w:after="40"/>
        <w:jc w:val="both"/>
        <w:rPr>
          <w:rFonts w:ascii="微软雅黑" w:hAnsi="微软雅黑" w:cs="微软雅黑"/>
          <w:b/>
          <w:bCs/>
          <w:sz w:val="18"/>
          <w:szCs w:val="18"/>
        </w:rPr>
      </w:pPr>
      <w:bookmarkStart w:id="213" w:name="OLE_LINK52"/>
      <w:r>
        <w:rPr>
          <w:rFonts w:hint="eastAsia" w:ascii="微软雅黑" w:hAnsi="微软雅黑" w:cs="微软雅黑"/>
          <w:b/>
          <w:bCs/>
          <w:sz w:val="18"/>
          <w:szCs w:val="18"/>
        </w:rPr>
        <w:t>参考文献：</w:t>
      </w:r>
    </w:p>
    <w:p w14:paraId="11DE5483">
      <w:pPr>
        <w:spacing w:line="200" w:lineRule="exact"/>
        <w:rPr>
          <w:rFonts w:ascii="微软雅黑" w:hAnsi="微软雅黑"/>
          <w:b/>
          <w:sz w:val="24"/>
          <w:szCs w:val="24"/>
        </w:rPr>
      </w:pPr>
      <w:r>
        <w:fldChar w:fldCharType="begin"/>
      </w:r>
      <w:r>
        <w:instrText xml:space="preserve"> HYPERLINK "https://www.mycancergenome.org/" </w:instrText>
      </w:r>
      <w:r>
        <w:fldChar w:fldCharType="separate"/>
      </w:r>
      <w:r>
        <w:rPr>
          <w:rStyle w:val="23"/>
          <w:rFonts w:hint="eastAsia" w:ascii="微软雅黑" w:hAnsi="微软雅黑" w:cs="微软雅黑"/>
          <w:color w:val="auto"/>
          <w:sz w:val="18"/>
          <w:szCs w:val="18"/>
          <w:u w:val="none"/>
        </w:rPr>
        <w:t>https://www.mycancergenome.org/</w:t>
      </w:r>
      <w:r>
        <w:rPr>
          <w:rStyle w:val="23"/>
          <w:rFonts w:hint="eastAsia" w:ascii="微软雅黑" w:hAnsi="微软雅黑" w:cs="微软雅黑"/>
          <w:color w:val="auto"/>
          <w:sz w:val="18"/>
          <w:szCs w:val="18"/>
          <w:u w:val="none"/>
        </w:rPr>
        <w:fldChar w:fldCharType="end"/>
      </w:r>
      <w:bookmarkEnd w:id="213"/>
      <w:r>
        <w:rPr>
          <w:rFonts w:ascii="微软雅黑" w:hAnsi="微软雅黑"/>
          <w:b/>
          <w:sz w:val="24"/>
          <w:szCs w:val="24"/>
        </w:rPr>
        <w:br w:type="page"/>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5"/>
        <w:gridCol w:w="6997"/>
      </w:tblGrid>
      <w:tr w14:paraId="4A5E26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328D43E8">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9FBFA"/>
                <w:kern w:val="2"/>
                <w:sz w:val="20"/>
                <w:szCs w:val="20"/>
              </w:rPr>
            </w:pPr>
            <w:r>
              <w:rPr>
                <w:rFonts w:hint="default" w:ascii="微软雅黑" w:hAnsi="微软雅黑" w:cs="Times New Roman"/>
                <w:b/>
                <w:color w:val="F9FBFA"/>
                <w:kern w:val="2"/>
                <w:sz w:val="20"/>
                <w:szCs w:val="20"/>
              </w:rPr>
              <w:t>通路名称</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tcPr>
          <w:p w14:paraId="24BDA01D">
            <w:pPr>
              <w:keepNext w:val="0"/>
              <w:keepLines w:val="0"/>
              <w:widowControl/>
              <w:suppressLineNumbers w:val="0"/>
              <w:spacing w:before="0" w:beforeAutospacing="0" w:after="0" w:afterAutospacing="0" w:line="220" w:lineRule="atLeast"/>
              <w:ind w:left="0" w:right="0"/>
              <w:rPr>
                <w:rFonts w:hint="default" w:ascii="微软雅黑" w:hAnsi="微软雅黑" w:cs="Times New Roman"/>
                <w:b/>
                <w:color w:val="F9FBFA"/>
                <w:kern w:val="2"/>
                <w:sz w:val="20"/>
                <w:szCs w:val="20"/>
              </w:rPr>
            </w:pPr>
            <w:r>
              <w:rPr>
                <w:rFonts w:hint="default" w:ascii="微软雅黑" w:hAnsi="微软雅黑" w:cs="Times New Roman"/>
                <w:b/>
                <w:color w:val="F9FBFA"/>
                <w:kern w:val="2"/>
                <w:sz w:val="20"/>
                <w:szCs w:val="20"/>
              </w:rPr>
              <w:t>Chromatin remodeling/DNA methylation</w:t>
            </w:r>
          </w:p>
        </w:tc>
      </w:tr>
      <w:tr w14:paraId="47D939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251DD848">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FFFFF" w:themeColor="background1"/>
                <w:kern w:val="2"/>
                <w:sz w:val="20"/>
                <w:szCs w:val="20"/>
                <w14:textFill>
                  <w14:solidFill>
                    <w14:schemeClr w14:val="bg1"/>
                  </w14:solidFill>
                </w14:textFill>
              </w:rPr>
            </w:pPr>
            <w:r>
              <w:rPr>
                <w:rFonts w:hint="default" w:ascii="微软雅黑" w:hAnsi="微软雅黑" w:cs="Times New Roman"/>
                <w:b/>
                <w:color w:val="FFFFFF" w:themeColor="background1"/>
                <w:kern w:val="2"/>
                <w:sz w:val="20"/>
                <w:szCs w:val="20"/>
                <w14:textFill>
                  <w14:solidFill>
                    <w14:schemeClr w14:val="bg1"/>
                  </w14:solidFill>
                </w14:textFill>
              </w:rPr>
              <w:t>通路解析</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14:paraId="7DDD7FD2">
            <w:pPr>
              <w:keepNext w:val="0"/>
              <w:keepLines w:val="0"/>
              <w:widowControl/>
              <w:suppressLineNumbers w:val="0"/>
              <w:spacing w:before="40" w:beforeAutospacing="0" w:after="40" w:afterAutospacing="0"/>
              <w:ind w:left="0" w:right="0" w:firstLine="400" w:firstLineChars="200"/>
              <w:jc w:val="both"/>
              <w:rPr>
                <w:rFonts w:hint="default" w:ascii="微软雅黑" w:hAnsi="微软雅黑" w:cs="Times New Roman"/>
                <w:b/>
                <w:color w:val="F9FBFA"/>
                <w:kern w:val="2"/>
                <w:sz w:val="20"/>
                <w:szCs w:val="20"/>
              </w:rPr>
            </w:pPr>
            <w:r>
              <w:rPr>
                <w:rFonts w:hint="default" w:ascii="微软雅黑" w:hAnsi="微软雅黑" w:cs="Times New Roman"/>
                <w:bCs/>
                <w:kern w:val="2"/>
                <w:sz w:val="20"/>
                <w:szCs w:val="20"/>
              </w:rPr>
              <w:t>染色质重塑过程促进染色质结构的协调调整，以便于进入DNA的浓缩区域，激活基因转录和控制基因表达。染色质重塑是通过组蛋白修饰实现的，例如DNA甲基化</w:t>
            </w:r>
            <w:r>
              <w:rPr>
                <w:rFonts w:hint="eastAsia" w:ascii="微软雅黑" w:hAnsi="微软雅黑" w:cs="Times New Roman"/>
                <w:bCs/>
                <w:kern w:val="2"/>
                <w:sz w:val="20"/>
                <w:szCs w:val="20"/>
              </w:rPr>
              <w:t>。</w:t>
            </w:r>
            <w:r>
              <w:rPr>
                <w:rFonts w:hint="default" w:ascii="微软雅黑" w:hAnsi="微软雅黑" w:cs="Times New Roman"/>
                <w:bCs/>
                <w:kern w:val="2"/>
                <w:sz w:val="20"/>
                <w:szCs w:val="20"/>
              </w:rPr>
              <w:t>目前</w:t>
            </w:r>
            <w:r>
              <w:rPr>
                <w:rFonts w:hint="eastAsia" w:ascii="微软雅黑" w:hAnsi="微软雅黑" w:cs="Times New Roman"/>
                <w:bCs/>
                <w:kern w:val="2"/>
                <w:sz w:val="20"/>
                <w:szCs w:val="20"/>
              </w:rPr>
              <w:t>，</w:t>
            </w:r>
            <w:r>
              <w:rPr>
                <w:rFonts w:hint="default" w:ascii="微软雅黑" w:hAnsi="微软雅黑" w:cs="Times New Roman"/>
                <w:bCs/>
                <w:kern w:val="2"/>
                <w:sz w:val="20"/>
                <w:szCs w:val="20"/>
              </w:rPr>
              <w:t>已在多种肿瘤细胞中发现存在甲基化等调控异常。 同时研究表明，几乎所有类型的人类肿瘤中都存在表观遗传上的异常，这种改变可导致DNA结构功能的改变、非必需重复序列的转录、基因的异常活化、染色体复制调控机制的破坏以及抑制肿瘤发生和演进基因</w:t>
            </w:r>
            <w:r>
              <w:rPr>
                <w:rFonts w:hint="eastAsia" w:ascii="微软雅黑" w:hAnsi="微软雅黑" w:cs="Times New Roman"/>
                <w:bCs/>
                <w:kern w:val="2"/>
                <w:sz w:val="20"/>
                <w:szCs w:val="20"/>
              </w:rPr>
              <w:t>（</w:t>
            </w:r>
            <w:r>
              <w:rPr>
                <w:rFonts w:hint="default" w:ascii="微软雅黑" w:hAnsi="微软雅黑" w:cs="Times New Roman"/>
                <w:bCs/>
                <w:kern w:val="2"/>
                <w:sz w:val="20"/>
                <w:szCs w:val="20"/>
              </w:rPr>
              <w:t>其中涉及到经典的抑癌基因</w:t>
            </w:r>
            <w:r>
              <w:rPr>
                <w:rFonts w:hint="eastAsia" w:ascii="微软雅黑" w:hAnsi="微软雅黑" w:cs="Times New Roman"/>
                <w:bCs/>
                <w:kern w:val="2"/>
                <w:sz w:val="20"/>
                <w:szCs w:val="20"/>
              </w:rPr>
              <w:t>、</w:t>
            </w:r>
            <w:r>
              <w:rPr>
                <w:rFonts w:hint="default" w:ascii="微软雅黑" w:hAnsi="微软雅黑" w:cs="Times New Roman"/>
                <w:bCs/>
                <w:kern w:val="2"/>
                <w:sz w:val="20"/>
                <w:szCs w:val="20"/>
              </w:rPr>
              <w:t>肿瘤演进过程中的转录因子</w:t>
            </w:r>
            <w:r>
              <w:rPr>
                <w:rFonts w:hint="eastAsia" w:ascii="微软雅黑" w:hAnsi="微软雅黑" w:cs="Times New Roman"/>
                <w:bCs/>
                <w:kern w:val="2"/>
                <w:sz w:val="20"/>
                <w:szCs w:val="20"/>
              </w:rPr>
              <w:t>、</w:t>
            </w:r>
            <w:r>
              <w:rPr>
                <w:rFonts w:hint="default" w:ascii="微软雅黑" w:hAnsi="微软雅黑" w:cs="Times New Roman"/>
                <w:bCs/>
                <w:kern w:val="2"/>
                <w:sz w:val="20"/>
                <w:szCs w:val="20"/>
              </w:rPr>
              <w:t>组织重塑基因</w:t>
            </w:r>
            <w:r>
              <w:rPr>
                <w:rFonts w:hint="eastAsia" w:ascii="微软雅黑" w:hAnsi="微软雅黑" w:cs="Times New Roman"/>
                <w:bCs/>
                <w:kern w:val="2"/>
                <w:sz w:val="20"/>
                <w:szCs w:val="20"/>
              </w:rPr>
              <w:t>、</w:t>
            </w:r>
            <w:r>
              <w:rPr>
                <w:rFonts w:hint="default" w:ascii="微软雅黑" w:hAnsi="微软雅黑" w:cs="Times New Roman"/>
                <w:bCs/>
                <w:kern w:val="2"/>
                <w:sz w:val="20"/>
                <w:szCs w:val="20"/>
              </w:rPr>
              <w:t>DNA修复基因</w:t>
            </w:r>
            <w:r>
              <w:rPr>
                <w:rFonts w:hint="eastAsia" w:ascii="微软雅黑" w:hAnsi="微软雅黑" w:cs="Times New Roman"/>
                <w:bCs/>
                <w:kern w:val="2"/>
                <w:sz w:val="20"/>
                <w:szCs w:val="20"/>
              </w:rPr>
              <w:t>、</w:t>
            </w:r>
            <w:r>
              <w:rPr>
                <w:rFonts w:hint="default" w:ascii="微软雅黑" w:hAnsi="微软雅黑" w:cs="Times New Roman"/>
                <w:bCs/>
                <w:kern w:val="2"/>
                <w:sz w:val="20"/>
                <w:szCs w:val="20"/>
              </w:rPr>
              <w:t>细胞周期调控基因</w:t>
            </w:r>
            <w:r>
              <w:rPr>
                <w:rFonts w:hint="eastAsia" w:ascii="微软雅黑" w:hAnsi="微软雅黑" w:cs="Times New Roman"/>
                <w:bCs/>
                <w:kern w:val="2"/>
                <w:sz w:val="20"/>
                <w:szCs w:val="20"/>
              </w:rPr>
              <w:t>、</w:t>
            </w:r>
            <w:r>
              <w:rPr>
                <w:rFonts w:hint="default" w:ascii="微软雅黑" w:hAnsi="微软雅黑" w:cs="Times New Roman"/>
                <w:bCs/>
                <w:kern w:val="2"/>
                <w:sz w:val="20"/>
                <w:szCs w:val="20"/>
              </w:rPr>
              <w:t>抗凋亡基因以及在肿瘤发生中阻止异常发育通路活化的基因</w:t>
            </w:r>
            <w:r>
              <w:rPr>
                <w:rFonts w:hint="eastAsia" w:ascii="微软雅黑" w:hAnsi="微软雅黑" w:cs="Times New Roman"/>
                <w:bCs/>
                <w:kern w:val="2"/>
                <w:sz w:val="20"/>
                <w:szCs w:val="20"/>
              </w:rPr>
              <w:t>）</w:t>
            </w:r>
            <w:r>
              <w:rPr>
                <w:rFonts w:hint="default" w:ascii="微软雅黑" w:hAnsi="微软雅黑" w:cs="Times New Roman"/>
                <w:bCs/>
                <w:kern w:val="2"/>
                <w:sz w:val="20"/>
                <w:szCs w:val="20"/>
              </w:rPr>
              <w:t>的异常沉默等</w:t>
            </w:r>
            <w:r>
              <w:rPr>
                <w:rFonts w:hint="eastAsia" w:ascii="微软雅黑" w:hAnsi="微软雅黑" w:cs="Times New Roman"/>
                <w:bCs/>
                <w:kern w:val="2"/>
                <w:sz w:val="20"/>
                <w:szCs w:val="20"/>
              </w:rPr>
              <w:t>。</w:t>
            </w:r>
          </w:p>
        </w:tc>
      </w:tr>
      <w:tr w14:paraId="1B82D5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41FB0009">
            <w:pPr>
              <w:keepNext w:val="0"/>
              <w:keepLines w:val="0"/>
              <w:widowControl/>
              <w:suppressLineNumbers w:val="0"/>
              <w:spacing w:before="0" w:beforeAutospacing="0" w:after="0" w:afterAutospacing="0" w:line="220" w:lineRule="atLeast"/>
              <w:ind w:left="0" w:right="0" w:firstLine="200" w:firstLineChars="100"/>
              <w:jc w:val="both"/>
              <w:rPr>
                <w:rFonts w:hint="default" w:ascii="微软雅黑" w:hAnsi="微软雅黑" w:cs="Times New Roman"/>
                <w:b/>
                <w:color w:val="F9FBFA"/>
                <w:kern w:val="2"/>
                <w:sz w:val="20"/>
                <w:szCs w:val="20"/>
              </w:rPr>
            </w:pPr>
            <w:r>
              <w:rPr>
                <w:rFonts w:hint="default" w:ascii="微软雅黑" w:hAnsi="微软雅黑" w:cs="Times New Roman"/>
                <w:b/>
                <w:color w:val="FFFFFF" w:themeColor="background1"/>
                <w:kern w:val="2"/>
                <w:sz w:val="20"/>
                <w:szCs w:val="20"/>
                <w14:textFill>
                  <w14:solidFill>
                    <w14:schemeClr w14:val="bg1"/>
                  </w14:solidFill>
                </w14:textFill>
              </w:rPr>
              <w:t>基因列表</w:t>
            </w:r>
          </w:p>
        </w:tc>
      </w:tr>
      <w:tr w14:paraId="5BCF25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42C2826A">
            <w:pPr>
              <w:keepNext w:val="0"/>
              <w:keepLines w:val="0"/>
              <w:widowControl/>
              <w:suppressLineNumbers w:val="0"/>
              <w:spacing w:before="0" w:beforeAutospacing="0" w:after="0" w:afterAutospacing="0"/>
              <w:ind w:left="0" w:right="0"/>
              <w:jc w:val="both"/>
              <w:rPr>
                <w:rFonts w:hint="default" w:ascii="微软雅黑" w:hAnsi="微软雅黑" w:cs="微软雅黑"/>
                <w:kern w:val="2"/>
                <w:sz w:val="18"/>
                <w:szCs w:val="18"/>
              </w:rPr>
            </w:pPr>
            <w:r>
              <w:rPr>
                <w:rFonts w:hint="eastAsia" w:ascii="微软雅黑" w:hAnsi="微软雅黑" w:cs="微软雅黑"/>
                <w:color w:val="000000" w:themeColor="text1"/>
                <w:kern w:val="2"/>
                <w:sz w:val="18"/>
                <w:szCs w:val="18"/>
                <w14:textFill>
                  <w14:solidFill>
                    <w14:schemeClr w14:val="tx1"/>
                  </w14:solidFill>
                </w14:textFill>
              </w:rPr>
              <w:t>ARID1A AR IDH1 ARID1B ARID2 ASXL1 ATRX BCOR CREBBP DAXX DNMT1 DNMT3A EP300 EZH2 GATA3 H3F3A HIST1H3B IDH2 KDM5C KDM6A KLF4 MEN1 KMT2C KMT2D NCOR1 PAX5 PBRM1 PRDM1 RUNX1 SETD2 SETBP1 SF3B1 SMARCA4 SMARCB1 SPOP SRSF2 TET2 U2AF1 WT1</w:t>
            </w:r>
          </w:p>
        </w:tc>
      </w:tr>
    </w:tbl>
    <w:p w14:paraId="762D7634">
      <w:pPr>
        <w:jc w:val="center"/>
      </w:pPr>
      <w:r>
        <w:drawing>
          <wp:anchor distT="0" distB="0" distL="114300" distR="114300" simplePos="0" relativeHeight="251692032" behindDoc="1" locked="0" layoutInCell="1" allowOverlap="1">
            <wp:simplePos x="0" y="0"/>
            <wp:positionH relativeFrom="column">
              <wp:posOffset>12065</wp:posOffset>
            </wp:positionH>
            <wp:positionV relativeFrom="paragraph">
              <wp:posOffset>180975</wp:posOffset>
            </wp:positionV>
            <wp:extent cx="5187315" cy="2586990"/>
            <wp:effectExtent l="0" t="0" r="0" b="3810"/>
            <wp:wrapTight wrapText="bothSides">
              <wp:wrapPolygon>
                <wp:start x="0" y="0"/>
                <wp:lineTo x="0" y="21473"/>
                <wp:lineTo x="21497" y="21473"/>
                <wp:lineTo x="21497" y="0"/>
                <wp:lineTo x="0" y="0"/>
              </wp:wrapPolygon>
            </wp:wrapTight>
            <wp:docPr id="104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 name="图片 3"/>
                    <pic:cNvPicPr>
                      <a:picLocks noChangeAspect="1"/>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187315" cy="2586990"/>
                    </a:xfrm>
                    <a:prstGeom prst="rect">
                      <a:avLst/>
                    </a:prstGeom>
                    <a:noFill/>
                    <a:ln>
                      <a:noFill/>
                    </a:ln>
                  </pic:spPr>
                </pic:pic>
              </a:graphicData>
            </a:graphic>
          </wp:anchor>
        </w:drawing>
      </w:r>
    </w:p>
    <w:p w14:paraId="028349E1">
      <w:pPr>
        <w:adjustRightInd/>
        <w:snapToGrid/>
        <w:spacing w:after="40"/>
        <w:jc w:val="center"/>
        <w:rPr>
          <w:rFonts w:ascii="微软雅黑" w:hAnsi="微软雅黑" w:cs="Times New Roman"/>
          <w:bCs/>
          <w:kern w:val="2"/>
          <w:sz w:val="20"/>
          <w:szCs w:val="20"/>
        </w:rPr>
      </w:pPr>
      <w:bookmarkStart w:id="214" w:name="OLE_LINK53"/>
      <w:r>
        <w:rPr>
          <w:rFonts w:ascii="微软雅黑" w:hAnsi="微软雅黑" w:cs="Times New Roman"/>
          <w:bCs/>
          <w:kern w:val="2"/>
          <w:sz w:val="20"/>
          <w:szCs w:val="20"/>
        </w:rPr>
        <w:t>Chromatin remodeling/DNA methylation</w:t>
      </w:r>
      <w:bookmarkEnd w:id="214"/>
    </w:p>
    <w:p w14:paraId="42A51485">
      <w:pPr>
        <w:rPr>
          <w:rFonts w:ascii="微软雅黑" w:hAnsi="微软雅黑"/>
          <w:b/>
          <w:sz w:val="24"/>
          <w:szCs w:val="24"/>
        </w:rPr>
      </w:pPr>
    </w:p>
    <w:p w14:paraId="6DD18B69">
      <w:pPr>
        <w:adjustRightInd/>
        <w:snapToGrid/>
        <w:spacing w:after="40"/>
        <w:jc w:val="both"/>
        <w:rPr>
          <w:rFonts w:ascii="微软雅黑" w:hAnsi="微软雅黑" w:cs="微软雅黑"/>
          <w:b/>
          <w:bCs/>
          <w:sz w:val="18"/>
          <w:szCs w:val="18"/>
        </w:rPr>
      </w:pPr>
    </w:p>
    <w:p w14:paraId="266F353C">
      <w:pPr>
        <w:adjustRightInd/>
        <w:snapToGrid/>
        <w:spacing w:after="40"/>
        <w:jc w:val="both"/>
        <w:rPr>
          <w:rFonts w:ascii="微软雅黑" w:hAnsi="微软雅黑" w:cs="微软雅黑"/>
          <w:b/>
          <w:bCs/>
          <w:sz w:val="18"/>
          <w:szCs w:val="18"/>
        </w:rPr>
      </w:pPr>
      <w:r>
        <w:rPr>
          <w:rFonts w:hint="eastAsia" w:ascii="微软雅黑" w:hAnsi="微软雅黑" w:cs="微软雅黑"/>
          <w:b/>
          <w:bCs/>
          <w:sz w:val="18"/>
          <w:szCs w:val="18"/>
        </w:rPr>
        <w:t>参考文献：</w:t>
      </w:r>
    </w:p>
    <w:p w14:paraId="063D2F67">
      <w:pPr>
        <w:spacing w:line="200" w:lineRule="exact"/>
        <w:rPr>
          <w:rFonts w:ascii="微软雅黑" w:hAnsi="微软雅黑" w:cs="微软雅黑"/>
          <w:sz w:val="18"/>
          <w:szCs w:val="18"/>
        </w:rPr>
      </w:pPr>
      <w:r>
        <w:rPr>
          <w:rFonts w:hint="eastAsia" w:ascii="微软雅黑" w:hAnsi="微软雅黑" w:cs="微软雅黑"/>
          <w:sz w:val="18"/>
          <w:szCs w:val="18"/>
        </w:rPr>
        <w:t>Science, 2013, 339(6127):1546-1558.</w:t>
      </w:r>
    </w:p>
    <w:p w14:paraId="38FE5C5F">
      <w:pPr>
        <w:spacing w:line="200" w:lineRule="exact"/>
        <w:rPr>
          <w:rFonts w:ascii="微软雅黑" w:hAnsi="微软雅黑" w:cs="微软雅黑"/>
          <w:sz w:val="18"/>
          <w:szCs w:val="18"/>
        </w:rPr>
      </w:pPr>
      <w:r>
        <w:rPr>
          <w:rFonts w:hint="eastAsia" w:ascii="微软雅黑" w:hAnsi="微软雅黑" w:cs="微软雅黑"/>
          <w:sz w:val="18"/>
          <w:szCs w:val="18"/>
        </w:rPr>
        <w:t>Nature Reviews Molecular Cell Biology, 2012, 13(8):524-535.</w:t>
      </w:r>
    </w:p>
    <w:p w14:paraId="0E16D01D">
      <w:pPr>
        <w:widowControl w:val="0"/>
        <w:adjustRightInd/>
        <w:snapToGrid/>
        <w:rPr>
          <w:rFonts w:ascii="微软雅黑" w:hAnsi="微软雅黑" w:cs="微软雅黑"/>
          <w:b/>
          <w:bCs/>
          <w:sz w:val="18"/>
          <w:szCs w:val="18"/>
        </w:rPr>
      </w:pPr>
      <w:r>
        <w:fldChar w:fldCharType="begin"/>
      </w:r>
      <w:r>
        <w:instrText xml:space="preserve"> HYPERLINK "https://www.mycancergenome.org/" </w:instrText>
      </w:r>
      <w:r>
        <w:fldChar w:fldCharType="separate"/>
      </w:r>
      <w:r>
        <w:rPr>
          <w:rStyle w:val="23"/>
          <w:rFonts w:hint="eastAsia" w:ascii="微软雅黑" w:hAnsi="微软雅黑" w:cs="微软雅黑"/>
          <w:color w:val="auto"/>
          <w:sz w:val="18"/>
          <w:szCs w:val="18"/>
          <w:u w:val="none"/>
        </w:rPr>
        <w:t>https://www.mycancergenome.org/</w:t>
      </w:r>
      <w:r>
        <w:rPr>
          <w:rStyle w:val="23"/>
          <w:rFonts w:hint="eastAsia" w:ascii="微软雅黑" w:hAnsi="微软雅黑" w:cs="微软雅黑"/>
          <w:color w:val="auto"/>
          <w:sz w:val="18"/>
          <w:szCs w:val="18"/>
          <w:u w:val="none"/>
        </w:rPr>
        <w:fldChar w:fldCharType="end"/>
      </w:r>
    </w:p>
    <w:p w14:paraId="07C4468E">
      <w:pPr>
        <w:spacing w:after="0" w:line="312" w:lineRule="auto"/>
        <w:jc w:val="both"/>
        <w:rPr>
          <w:rFonts w:ascii="微软雅黑" w:hAnsi="微软雅黑"/>
          <w:b/>
          <w:sz w:val="28"/>
          <w:szCs w:val="28"/>
        </w:rPr>
      </w:pPr>
    </w:p>
    <w:p w14:paraId="39346719">
      <w:pPr>
        <w:spacing w:after="0" w:line="288" w:lineRule="auto"/>
        <w:jc w:val="both"/>
        <w:outlineLvl w:val="0"/>
        <w:rPr>
          <w:rFonts w:ascii="微软雅黑" w:hAnsi="微软雅黑"/>
          <w:b/>
          <w:sz w:val="24"/>
          <w:szCs w:val="24"/>
        </w:rPr>
      </w:pPr>
      <w:r>
        <w:rPr>
          <w:rFonts w:hint="eastAsia" w:ascii="微软雅黑" w:hAnsi="微软雅黑"/>
          <w:b/>
          <w:sz w:val="24"/>
          <w:szCs w:val="24"/>
        </w:rPr>
        <w:br w:type="page"/>
      </w:r>
      <w:bookmarkStart w:id="215" w:name="_Toc16989"/>
      <w:r>
        <w:rPr>
          <w:rFonts w:hint="eastAsia" w:ascii="微软雅黑" w:hAnsi="微软雅黑"/>
          <w:b/>
          <w:sz w:val="24"/>
          <w:szCs w:val="24"/>
        </w:rPr>
        <w:t>4. 基因检测列表</w:t>
      </w:r>
      <w:bookmarkEnd w:id="215"/>
      <w:r>
        <w:commentReference w:id="33"/>
      </w:r>
    </w:p>
    <w:tbl>
      <w:tblPr>
        <w:tblStyle w:val="30"/>
        <w:tblW w:w="8985"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Layout w:type="fixed"/>
        <w:tblCellMar>
          <w:top w:w="0" w:type="dxa"/>
          <w:left w:w="108" w:type="dxa"/>
          <w:bottom w:w="0" w:type="dxa"/>
          <w:right w:w="108" w:type="dxa"/>
        </w:tblCellMar>
      </w:tblPr>
      <w:tblGrid>
        <w:gridCol w:w="1283"/>
        <w:gridCol w:w="1283"/>
        <w:gridCol w:w="1283"/>
        <w:gridCol w:w="1283"/>
        <w:gridCol w:w="1283"/>
        <w:gridCol w:w="1283"/>
        <w:gridCol w:w="1287"/>
      </w:tblGrid>
      <w:tr w14:paraId="311A2DA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8985" w:type="dxa"/>
            <w:gridSpan w:val="7"/>
            <w:shd w:val="clear" w:color="auto" w:fill="auto"/>
            <w:vAlign w:val="center"/>
          </w:tcPr>
          <w:p w14:paraId="6791E296">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jc w:val="center"/>
              <w:textAlignment w:val="auto"/>
              <w:outlineLvl w:val="9"/>
              <w:rPr>
                <w:rFonts w:hint="default" w:ascii="Calibri" w:hAnsi="Calibri" w:cs="Calibri"/>
                <w:b w:val="0"/>
                <w:bCs w:val="0"/>
                <w:sz w:val="21"/>
                <w:szCs w:val="21"/>
                <w:highlight w:val="none"/>
              </w:rPr>
            </w:pPr>
            <w:bookmarkStart w:id="216" w:name="_Toc8753"/>
            <w:r>
              <w:rPr>
                <w:rFonts w:hint="eastAsia" w:ascii="微软雅黑" w:hAnsi="微软雅黑"/>
                <w:b/>
                <w:sz w:val="28"/>
                <w:szCs w:val="28"/>
                <w:lang w:val="en-US" w:eastAsia="zh-CN"/>
              </w:rPr>
              <w:br w:type="page"/>
            </w:r>
            <w:r>
              <w:rPr>
                <w:rFonts w:hint="default" w:ascii="Calibri" w:hAnsi="Calibri" w:cs="Calibri"/>
                <w:b/>
                <w:bCs w:val="0"/>
                <w:sz w:val="28"/>
                <w:szCs w:val="28"/>
                <w:highlight w:val="none"/>
              </w:rPr>
              <w:t>Gene List for MLseq (n=</w:t>
            </w:r>
            <w:r>
              <w:rPr>
                <w:rFonts w:hint="eastAsia" w:ascii="Calibri" w:hAnsi="Calibri" w:cs="Calibri"/>
                <w:b/>
                <w:bCs w:val="0"/>
                <w:sz w:val="28"/>
                <w:szCs w:val="28"/>
                <w:highlight w:val="none"/>
                <w:lang w:val="en-US" w:eastAsia="zh-CN"/>
              </w:rPr>
              <w:t>358</w:t>
            </w:r>
            <w:r>
              <w:rPr>
                <w:rFonts w:hint="default" w:ascii="Calibri" w:hAnsi="Calibri" w:cs="Calibri"/>
                <w:b/>
                <w:bCs w:val="0"/>
                <w:sz w:val="28"/>
                <w:szCs w:val="28"/>
                <w:highlight w:val="none"/>
              </w:rPr>
              <w:t>)</w:t>
            </w:r>
          </w:p>
        </w:tc>
      </w:tr>
      <w:tr w14:paraId="3C6F711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1F99CCE3">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ABL1</w:t>
            </w:r>
          </w:p>
        </w:tc>
        <w:tc>
          <w:tcPr>
            <w:tcW w:w="1283" w:type="dxa"/>
            <w:shd w:val="clear" w:color="auto" w:fill="auto"/>
            <w:vAlign w:val="center"/>
          </w:tcPr>
          <w:p w14:paraId="3DE1E98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ABL2</w:t>
            </w:r>
          </w:p>
        </w:tc>
        <w:tc>
          <w:tcPr>
            <w:tcW w:w="1283" w:type="dxa"/>
            <w:shd w:val="clear" w:color="auto" w:fill="auto"/>
            <w:vAlign w:val="center"/>
          </w:tcPr>
          <w:p w14:paraId="045B25A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ACVR1B</w:t>
            </w:r>
          </w:p>
        </w:tc>
        <w:tc>
          <w:tcPr>
            <w:tcW w:w="1283" w:type="dxa"/>
            <w:shd w:val="clear" w:color="auto" w:fill="auto"/>
            <w:vAlign w:val="center"/>
          </w:tcPr>
          <w:p w14:paraId="0245562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ACVR2A</w:t>
            </w:r>
          </w:p>
        </w:tc>
        <w:tc>
          <w:tcPr>
            <w:tcW w:w="1283" w:type="dxa"/>
            <w:shd w:val="clear" w:color="auto" w:fill="auto"/>
            <w:vAlign w:val="center"/>
          </w:tcPr>
          <w:p w14:paraId="169D89D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AKT1</w:t>
            </w:r>
          </w:p>
        </w:tc>
        <w:tc>
          <w:tcPr>
            <w:tcW w:w="1283" w:type="dxa"/>
            <w:shd w:val="clear" w:color="auto" w:fill="auto"/>
            <w:vAlign w:val="center"/>
          </w:tcPr>
          <w:p w14:paraId="642D861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AKT3</w:t>
            </w:r>
          </w:p>
        </w:tc>
        <w:tc>
          <w:tcPr>
            <w:tcW w:w="1287" w:type="dxa"/>
            <w:shd w:val="clear" w:color="auto" w:fill="auto"/>
            <w:vAlign w:val="center"/>
          </w:tcPr>
          <w:p w14:paraId="3AD99B5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ALK</w:t>
            </w:r>
          </w:p>
        </w:tc>
      </w:tr>
      <w:tr w14:paraId="43090D3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F2F2F2"/>
            <w:vAlign w:val="center"/>
          </w:tcPr>
          <w:p w14:paraId="6476484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AMER1</w:t>
            </w:r>
          </w:p>
        </w:tc>
        <w:tc>
          <w:tcPr>
            <w:tcW w:w="1283" w:type="dxa"/>
            <w:shd w:val="clear" w:color="auto" w:fill="F2F2F2"/>
            <w:vAlign w:val="center"/>
          </w:tcPr>
          <w:p w14:paraId="3C4FFBD7">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APC</w:t>
            </w:r>
          </w:p>
        </w:tc>
        <w:tc>
          <w:tcPr>
            <w:tcW w:w="1283" w:type="dxa"/>
            <w:shd w:val="clear" w:color="auto" w:fill="F2F2F2"/>
            <w:vAlign w:val="center"/>
          </w:tcPr>
          <w:p w14:paraId="11F895CE">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AR</w:t>
            </w:r>
          </w:p>
        </w:tc>
        <w:tc>
          <w:tcPr>
            <w:tcW w:w="1283" w:type="dxa"/>
            <w:shd w:val="clear" w:color="auto" w:fill="F2F2F2"/>
            <w:vAlign w:val="center"/>
          </w:tcPr>
          <w:p w14:paraId="016CF11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ARAF</w:t>
            </w:r>
          </w:p>
        </w:tc>
        <w:tc>
          <w:tcPr>
            <w:tcW w:w="1283" w:type="dxa"/>
            <w:shd w:val="clear" w:color="auto" w:fill="F2F2F2"/>
            <w:vAlign w:val="center"/>
          </w:tcPr>
          <w:p w14:paraId="17251CE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ARID1A</w:t>
            </w:r>
          </w:p>
        </w:tc>
        <w:tc>
          <w:tcPr>
            <w:tcW w:w="1283" w:type="dxa"/>
            <w:shd w:val="clear" w:color="auto" w:fill="F2F2F2"/>
            <w:vAlign w:val="center"/>
          </w:tcPr>
          <w:p w14:paraId="742E4AC3">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ARID1B</w:t>
            </w:r>
          </w:p>
        </w:tc>
        <w:tc>
          <w:tcPr>
            <w:tcW w:w="1287" w:type="dxa"/>
            <w:shd w:val="clear" w:color="auto" w:fill="F2F2F2"/>
            <w:vAlign w:val="center"/>
          </w:tcPr>
          <w:p w14:paraId="485D6BDD">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ARID2</w:t>
            </w:r>
          </w:p>
        </w:tc>
      </w:tr>
      <w:tr w14:paraId="3A5CA93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auto"/>
            <w:vAlign w:val="center"/>
          </w:tcPr>
          <w:p w14:paraId="339F16F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ARID4A</w:t>
            </w:r>
          </w:p>
        </w:tc>
        <w:tc>
          <w:tcPr>
            <w:tcW w:w="1283" w:type="dxa"/>
            <w:shd w:val="clear" w:color="auto" w:fill="auto"/>
            <w:vAlign w:val="center"/>
          </w:tcPr>
          <w:p w14:paraId="5CD47E9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ASXL1</w:t>
            </w:r>
          </w:p>
        </w:tc>
        <w:tc>
          <w:tcPr>
            <w:tcW w:w="1283" w:type="dxa"/>
            <w:shd w:val="clear" w:color="auto" w:fill="auto"/>
            <w:vAlign w:val="center"/>
          </w:tcPr>
          <w:p w14:paraId="2B981DA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ASXL2</w:t>
            </w:r>
          </w:p>
        </w:tc>
        <w:tc>
          <w:tcPr>
            <w:tcW w:w="1283" w:type="dxa"/>
            <w:shd w:val="clear" w:color="auto" w:fill="auto"/>
            <w:vAlign w:val="center"/>
          </w:tcPr>
          <w:p w14:paraId="66DB2E1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ATM</w:t>
            </w:r>
          </w:p>
        </w:tc>
        <w:tc>
          <w:tcPr>
            <w:tcW w:w="1283" w:type="dxa"/>
            <w:shd w:val="clear" w:color="auto" w:fill="auto"/>
            <w:vAlign w:val="center"/>
          </w:tcPr>
          <w:p w14:paraId="355BE13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ATR</w:t>
            </w:r>
          </w:p>
        </w:tc>
        <w:tc>
          <w:tcPr>
            <w:tcW w:w="1283" w:type="dxa"/>
            <w:shd w:val="clear" w:color="auto" w:fill="auto"/>
            <w:vAlign w:val="center"/>
          </w:tcPr>
          <w:p w14:paraId="0AC9D12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ATRX</w:t>
            </w:r>
          </w:p>
        </w:tc>
        <w:tc>
          <w:tcPr>
            <w:tcW w:w="1287" w:type="dxa"/>
            <w:shd w:val="clear" w:color="auto" w:fill="auto"/>
            <w:vAlign w:val="center"/>
          </w:tcPr>
          <w:p w14:paraId="5E23362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ATXN2</w:t>
            </w:r>
          </w:p>
        </w:tc>
      </w:tr>
      <w:tr w14:paraId="06F3B29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01D512F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AXIN1</w:t>
            </w:r>
          </w:p>
        </w:tc>
        <w:tc>
          <w:tcPr>
            <w:tcW w:w="1283" w:type="dxa"/>
            <w:shd w:val="clear" w:color="auto" w:fill="F2F2F2"/>
            <w:vAlign w:val="center"/>
          </w:tcPr>
          <w:p w14:paraId="3D50311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AXL</w:t>
            </w:r>
          </w:p>
        </w:tc>
        <w:tc>
          <w:tcPr>
            <w:tcW w:w="1283" w:type="dxa"/>
            <w:shd w:val="clear" w:color="auto" w:fill="F2F2F2"/>
            <w:vAlign w:val="center"/>
          </w:tcPr>
          <w:p w14:paraId="564CEE8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B2M</w:t>
            </w:r>
          </w:p>
        </w:tc>
        <w:tc>
          <w:tcPr>
            <w:tcW w:w="1283" w:type="dxa"/>
            <w:shd w:val="clear" w:color="auto" w:fill="F2F2F2"/>
            <w:vAlign w:val="center"/>
          </w:tcPr>
          <w:p w14:paraId="77886CF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BACH2</w:t>
            </w:r>
          </w:p>
        </w:tc>
        <w:tc>
          <w:tcPr>
            <w:tcW w:w="1283" w:type="dxa"/>
            <w:shd w:val="clear" w:color="auto" w:fill="F2F2F2"/>
            <w:vAlign w:val="center"/>
          </w:tcPr>
          <w:p w14:paraId="6FFB89EE">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BAP1</w:t>
            </w:r>
          </w:p>
        </w:tc>
        <w:tc>
          <w:tcPr>
            <w:tcW w:w="1283" w:type="dxa"/>
            <w:shd w:val="clear" w:color="auto" w:fill="F2F2F2"/>
            <w:vAlign w:val="center"/>
          </w:tcPr>
          <w:p w14:paraId="2C8B2B5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BARD1</w:t>
            </w:r>
          </w:p>
        </w:tc>
        <w:tc>
          <w:tcPr>
            <w:tcW w:w="1287" w:type="dxa"/>
            <w:shd w:val="clear" w:color="auto" w:fill="F2F2F2"/>
            <w:vAlign w:val="center"/>
          </w:tcPr>
          <w:p w14:paraId="66990D9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BCL11A</w:t>
            </w:r>
          </w:p>
        </w:tc>
      </w:tr>
      <w:tr w14:paraId="54CC649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68E2D053">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BCL2</w:t>
            </w:r>
          </w:p>
        </w:tc>
        <w:tc>
          <w:tcPr>
            <w:tcW w:w="1283" w:type="dxa"/>
            <w:shd w:val="clear" w:color="auto" w:fill="auto"/>
            <w:vAlign w:val="center"/>
          </w:tcPr>
          <w:p w14:paraId="3E911E0D">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BCL2L11</w:t>
            </w:r>
          </w:p>
        </w:tc>
        <w:tc>
          <w:tcPr>
            <w:tcW w:w="1283" w:type="dxa"/>
            <w:shd w:val="clear" w:color="auto" w:fill="auto"/>
            <w:vAlign w:val="center"/>
          </w:tcPr>
          <w:p w14:paraId="0EF8315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BCOR</w:t>
            </w:r>
          </w:p>
        </w:tc>
        <w:tc>
          <w:tcPr>
            <w:tcW w:w="1283" w:type="dxa"/>
            <w:shd w:val="clear" w:color="auto" w:fill="auto"/>
            <w:vAlign w:val="center"/>
          </w:tcPr>
          <w:p w14:paraId="227950D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BCORL1</w:t>
            </w:r>
          </w:p>
        </w:tc>
        <w:tc>
          <w:tcPr>
            <w:tcW w:w="1283" w:type="dxa"/>
            <w:shd w:val="clear" w:color="auto" w:fill="auto"/>
            <w:vAlign w:val="center"/>
          </w:tcPr>
          <w:p w14:paraId="40CC8F6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BLM</w:t>
            </w:r>
          </w:p>
        </w:tc>
        <w:tc>
          <w:tcPr>
            <w:tcW w:w="1283" w:type="dxa"/>
            <w:shd w:val="clear" w:color="auto" w:fill="auto"/>
            <w:vAlign w:val="center"/>
          </w:tcPr>
          <w:p w14:paraId="513C8D5E">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BMPR1A</w:t>
            </w:r>
          </w:p>
        </w:tc>
        <w:tc>
          <w:tcPr>
            <w:tcW w:w="1287" w:type="dxa"/>
            <w:shd w:val="clear" w:color="auto" w:fill="auto"/>
            <w:vAlign w:val="center"/>
          </w:tcPr>
          <w:p w14:paraId="0A3235F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BRAF</w:t>
            </w:r>
          </w:p>
        </w:tc>
      </w:tr>
      <w:tr w14:paraId="21DAEAA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67945F1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BRCA1</w:t>
            </w:r>
          </w:p>
        </w:tc>
        <w:tc>
          <w:tcPr>
            <w:tcW w:w="1283" w:type="dxa"/>
            <w:shd w:val="clear" w:color="auto" w:fill="F2F2F2"/>
            <w:vAlign w:val="center"/>
          </w:tcPr>
          <w:p w14:paraId="2572353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BRCA2</w:t>
            </w:r>
          </w:p>
        </w:tc>
        <w:tc>
          <w:tcPr>
            <w:tcW w:w="1283" w:type="dxa"/>
            <w:shd w:val="clear" w:color="auto" w:fill="F2F2F2"/>
            <w:vAlign w:val="center"/>
          </w:tcPr>
          <w:p w14:paraId="433551E7">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BRD4</w:t>
            </w:r>
          </w:p>
        </w:tc>
        <w:tc>
          <w:tcPr>
            <w:tcW w:w="1283" w:type="dxa"/>
            <w:shd w:val="clear" w:color="auto" w:fill="F2F2F2"/>
            <w:vAlign w:val="center"/>
          </w:tcPr>
          <w:p w14:paraId="2778A90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BRIP1</w:t>
            </w:r>
          </w:p>
        </w:tc>
        <w:tc>
          <w:tcPr>
            <w:tcW w:w="1283" w:type="dxa"/>
            <w:shd w:val="clear" w:color="auto" w:fill="F2F2F2"/>
            <w:vAlign w:val="center"/>
          </w:tcPr>
          <w:p w14:paraId="6617934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BTK</w:t>
            </w:r>
          </w:p>
        </w:tc>
        <w:tc>
          <w:tcPr>
            <w:tcW w:w="1283" w:type="dxa"/>
            <w:shd w:val="clear" w:color="auto" w:fill="F2F2F2"/>
            <w:vAlign w:val="center"/>
          </w:tcPr>
          <w:p w14:paraId="623AD3D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CARD11</w:t>
            </w:r>
          </w:p>
        </w:tc>
        <w:tc>
          <w:tcPr>
            <w:tcW w:w="1287" w:type="dxa"/>
            <w:shd w:val="clear" w:color="auto" w:fill="F2F2F2"/>
            <w:vAlign w:val="center"/>
          </w:tcPr>
          <w:p w14:paraId="5FF4B5B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CBL</w:t>
            </w:r>
          </w:p>
        </w:tc>
      </w:tr>
      <w:tr w14:paraId="7BC7BCF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16C0A7C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CCND1</w:t>
            </w:r>
          </w:p>
        </w:tc>
        <w:tc>
          <w:tcPr>
            <w:tcW w:w="1283" w:type="dxa"/>
            <w:shd w:val="clear" w:color="auto" w:fill="auto"/>
            <w:vAlign w:val="center"/>
          </w:tcPr>
          <w:p w14:paraId="13CE513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CCND2</w:t>
            </w:r>
          </w:p>
        </w:tc>
        <w:tc>
          <w:tcPr>
            <w:tcW w:w="1283" w:type="dxa"/>
            <w:shd w:val="clear" w:color="auto" w:fill="auto"/>
            <w:vAlign w:val="center"/>
          </w:tcPr>
          <w:p w14:paraId="63A2F2C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CCNE1</w:t>
            </w:r>
          </w:p>
        </w:tc>
        <w:tc>
          <w:tcPr>
            <w:tcW w:w="1283" w:type="dxa"/>
            <w:shd w:val="clear" w:color="auto" w:fill="auto"/>
            <w:vAlign w:val="center"/>
          </w:tcPr>
          <w:p w14:paraId="35DE694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CD274</w:t>
            </w:r>
          </w:p>
        </w:tc>
        <w:tc>
          <w:tcPr>
            <w:tcW w:w="1283" w:type="dxa"/>
            <w:shd w:val="clear" w:color="auto" w:fill="auto"/>
            <w:vAlign w:val="center"/>
          </w:tcPr>
          <w:p w14:paraId="05561493">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CD79B</w:t>
            </w:r>
          </w:p>
        </w:tc>
        <w:tc>
          <w:tcPr>
            <w:tcW w:w="1283" w:type="dxa"/>
            <w:shd w:val="clear" w:color="auto" w:fill="auto"/>
            <w:vAlign w:val="center"/>
          </w:tcPr>
          <w:p w14:paraId="5D6215C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CDH1</w:t>
            </w:r>
          </w:p>
        </w:tc>
        <w:tc>
          <w:tcPr>
            <w:tcW w:w="1287" w:type="dxa"/>
            <w:shd w:val="clear" w:color="auto" w:fill="auto"/>
            <w:vAlign w:val="center"/>
          </w:tcPr>
          <w:p w14:paraId="63C32E87">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CDH11</w:t>
            </w:r>
          </w:p>
        </w:tc>
      </w:tr>
      <w:tr w14:paraId="5547916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35A90CD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CDK12</w:t>
            </w:r>
          </w:p>
        </w:tc>
        <w:tc>
          <w:tcPr>
            <w:tcW w:w="1283" w:type="dxa"/>
            <w:shd w:val="clear" w:color="auto" w:fill="F2F2F2"/>
            <w:vAlign w:val="center"/>
          </w:tcPr>
          <w:p w14:paraId="398B246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CDK4</w:t>
            </w:r>
          </w:p>
        </w:tc>
        <w:tc>
          <w:tcPr>
            <w:tcW w:w="1283" w:type="dxa"/>
            <w:shd w:val="clear" w:color="auto" w:fill="F2F2F2"/>
            <w:vAlign w:val="center"/>
          </w:tcPr>
          <w:p w14:paraId="54FB865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CDK6</w:t>
            </w:r>
          </w:p>
        </w:tc>
        <w:tc>
          <w:tcPr>
            <w:tcW w:w="1283" w:type="dxa"/>
            <w:shd w:val="clear" w:color="auto" w:fill="F2F2F2"/>
            <w:vAlign w:val="center"/>
          </w:tcPr>
          <w:p w14:paraId="013EFFDD">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CDKN2A</w:t>
            </w:r>
          </w:p>
        </w:tc>
        <w:tc>
          <w:tcPr>
            <w:tcW w:w="1283" w:type="dxa"/>
            <w:shd w:val="clear" w:color="auto" w:fill="F2F2F2"/>
            <w:vAlign w:val="center"/>
          </w:tcPr>
          <w:p w14:paraId="6DC4029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CHD2</w:t>
            </w:r>
          </w:p>
        </w:tc>
        <w:tc>
          <w:tcPr>
            <w:tcW w:w="1283" w:type="dxa"/>
            <w:shd w:val="clear" w:color="auto" w:fill="F2F2F2"/>
            <w:vAlign w:val="center"/>
          </w:tcPr>
          <w:p w14:paraId="17201EB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CHD4</w:t>
            </w:r>
          </w:p>
        </w:tc>
        <w:tc>
          <w:tcPr>
            <w:tcW w:w="1287" w:type="dxa"/>
            <w:shd w:val="clear" w:color="auto" w:fill="F2F2F2"/>
            <w:vAlign w:val="center"/>
          </w:tcPr>
          <w:p w14:paraId="00019FA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CHEK1</w:t>
            </w:r>
          </w:p>
        </w:tc>
      </w:tr>
      <w:tr w14:paraId="0ABC9C9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07E7989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CHEK2</w:t>
            </w:r>
          </w:p>
        </w:tc>
        <w:tc>
          <w:tcPr>
            <w:tcW w:w="1283" w:type="dxa"/>
            <w:shd w:val="clear" w:color="auto" w:fill="auto"/>
            <w:vAlign w:val="center"/>
          </w:tcPr>
          <w:p w14:paraId="4EBCBA3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CIC</w:t>
            </w:r>
          </w:p>
        </w:tc>
        <w:tc>
          <w:tcPr>
            <w:tcW w:w="1283" w:type="dxa"/>
            <w:shd w:val="clear" w:color="auto" w:fill="auto"/>
            <w:vAlign w:val="center"/>
          </w:tcPr>
          <w:p w14:paraId="376463A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CLTCL1</w:t>
            </w:r>
          </w:p>
        </w:tc>
        <w:tc>
          <w:tcPr>
            <w:tcW w:w="1283" w:type="dxa"/>
            <w:shd w:val="clear" w:color="auto" w:fill="auto"/>
            <w:vAlign w:val="center"/>
          </w:tcPr>
          <w:p w14:paraId="48CF211E">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CREBBP</w:t>
            </w:r>
          </w:p>
        </w:tc>
        <w:tc>
          <w:tcPr>
            <w:tcW w:w="1283" w:type="dxa"/>
            <w:shd w:val="clear" w:color="auto" w:fill="auto"/>
            <w:vAlign w:val="center"/>
          </w:tcPr>
          <w:p w14:paraId="05701AC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CRKL</w:t>
            </w:r>
          </w:p>
        </w:tc>
        <w:tc>
          <w:tcPr>
            <w:tcW w:w="1283" w:type="dxa"/>
            <w:shd w:val="clear" w:color="auto" w:fill="auto"/>
            <w:vAlign w:val="center"/>
          </w:tcPr>
          <w:p w14:paraId="53F5660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CSF1R</w:t>
            </w:r>
          </w:p>
        </w:tc>
        <w:tc>
          <w:tcPr>
            <w:tcW w:w="1287" w:type="dxa"/>
            <w:shd w:val="clear" w:color="auto" w:fill="auto"/>
            <w:vAlign w:val="center"/>
          </w:tcPr>
          <w:p w14:paraId="18BCB78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CSF3R</w:t>
            </w:r>
          </w:p>
        </w:tc>
      </w:tr>
      <w:tr w14:paraId="4C71DAD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4917AA6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CTNNB1</w:t>
            </w:r>
          </w:p>
        </w:tc>
        <w:tc>
          <w:tcPr>
            <w:tcW w:w="1283" w:type="dxa"/>
            <w:shd w:val="clear" w:color="auto" w:fill="F2F2F2"/>
            <w:vAlign w:val="center"/>
          </w:tcPr>
          <w:p w14:paraId="4F1738B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CUX1</w:t>
            </w:r>
          </w:p>
        </w:tc>
        <w:tc>
          <w:tcPr>
            <w:tcW w:w="1283" w:type="dxa"/>
            <w:shd w:val="clear" w:color="auto" w:fill="F2F2F2"/>
            <w:vAlign w:val="center"/>
          </w:tcPr>
          <w:p w14:paraId="35BB94C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DDR1</w:t>
            </w:r>
          </w:p>
        </w:tc>
        <w:tc>
          <w:tcPr>
            <w:tcW w:w="1283" w:type="dxa"/>
            <w:shd w:val="clear" w:color="auto" w:fill="F2F2F2"/>
            <w:vAlign w:val="center"/>
          </w:tcPr>
          <w:p w14:paraId="5D995B6D">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DDR2</w:t>
            </w:r>
          </w:p>
        </w:tc>
        <w:tc>
          <w:tcPr>
            <w:tcW w:w="1283" w:type="dxa"/>
            <w:shd w:val="clear" w:color="auto" w:fill="F2F2F2"/>
            <w:vAlign w:val="center"/>
          </w:tcPr>
          <w:p w14:paraId="19B2DE5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DEK</w:t>
            </w:r>
          </w:p>
        </w:tc>
        <w:tc>
          <w:tcPr>
            <w:tcW w:w="1283" w:type="dxa"/>
            <w:shd w:val="clear" w:color="auto" w:fill="F2F2F2"/>
            <w:vAlign w:val="center"/>
          </w:tcPr>
          <w:p w14:paraId="16E9D44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DNM2</w:t>
            </w:r>
          </w:p>
        </w:tc>
        <w:tc>
          <w:tcPr>
            <w:tcW w:w="1287" w:type="dxa"/>
            <w:shd w:val="clear" w:color="auto" w:fill="F2F2F2"/>
            <w:vAlign w:val="center"/>
          </w:tcPr>
          <w:p w14:paraId="1E0E5F8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DNMT1</w:t>
            </w:r>
          </w:p>
        </w:tc>
      </w:tr>
      <w:tr w14:paraId="2B30903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41D7DF3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DNMT3A</w:t>
            </w:r>
          </w:p>
        </w:tc>
        <w:tc>
          <w:tcPr>
            <w:tcW w:w="1283" w:type="dxa"/>
            <w:shd w:val="clear" w:color="auto" w:fill="auto"/>
            <w:vAlign w:val="center"/>
          </w:tcPr>
          <w:p w14:paraId="40EF1887">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DNMT3B</w:t>
            </w:r>
          </w:p>
        </w:tc>
        <w:tc>
          <w:tcPr>
            <w:tcW w:w="1283" w:type="dxa"/>
            <w:shd w:val="clear" w:color="auto" w:fill="auto"/>
            <w:vAlign w:val="center"/>
          </w:tcPr>
          <w:p w14:paraId="117BFA2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EGFR</w:t>
            </w:r>
          </w:p>
        </w:tc>
        <w:tc>
          <w:tcPr>
            <w:tcW w:w="1283" w:type="dxa"/>
            <w:shd w:val="clear" w:color="auto" w:fill="auto"/>
            <w:vAlign w:val="center"/>
          </w:tcPr>
          <w:p w14:paraId="3B4C6ABE">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EP300</w:t>
            </w:r>
          </w:p>
        </w:tc>
        <w:tc>
          <w:tcPr>
            <w:tcW w:w="1283" w:type="dxa"/>
            <w:shd w:val="clear" w:color="auto" w:fill="auto"/>
            <w:vAlign w:val="center"/>
          </w:tcPr>
          <w:p w14:paraId="3F293AA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EP400</w:t>
            </w:r>
          </w:p>
        </w:tc>
        <w:tc>
          <w:tcPr>
            <w:tcW w:w="1283" w:type="dxa"/>
            <w:shd w:val="clear" w:color="auto" w:fill="auto"/>
            <w:vAlign w:val="center"/>
          </w:tcPr>
          <w:p w14:paraId="660EDEC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EPAS1</w:t>
            </w:r>
          </w:p>
        </w:tc>
        <w:tc>
          <w:tcPr>
            <w:tcW w:w="1287" w:type="dxa"/>
            <w:shd w:val="clear" w:color="auto" w:fill="auto"/>
            <w:vAlign w:val="center"/>
          </w:tcPr>
          <w:p w14:paraId="1CF0A80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EPCAM</w:t>
            </w:r>
          </w:p>
        </w:tc>
      </w:tr>
      <w:tr w14:paraId="3D061E2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F2F2F2"/>
            <w:vAlign w:val="center"/>
          </w:tcPr>
          <w:p w14:paraId="14942E9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EPHA2</w:t>
            </w:r>
          </w:p>
        </w:tc>
        <w:tc>
          <w:tcPr>
            <w:tcW w:w="1283" w:type="dxa"/>
            <w:shd w:val="clear" w:color="auto" w:fill="F2F2F2"/>
            <w:vAlign w:val="center"/>
          </w:tcPr>
          <w:p w14:paraId="0E5F5B63">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EPHA3</w:t>
            </w:r>
          </w:p>
        </w:tc>
        <w:tc>
          <w:tcPr>
            <w:tcW w:w="1283" w:type="dxa"/>
            <w:shd w:val="clear" w:color="auto" w:fill="F2F2F2"/>
            <w:vAlign w:val="center"/>
          </w:tcPr>
          <w:p w14:paraId="0C6BE9A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EPHB1</w:t>
            </w:r>
          </w:p>
        </w:tc>
        <w:tc>
          <w:tcPr>
            <w:tcW w:w="1283" w:type="dxa"/>
            <w:shd w:val="clear" w:color="auto" w:fill="F2F2F2"/>
            <w:vAlign w:val="center"/>
          </w:tcPr>
          <w:p w14:paraId="55B96CD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ERBB2</w:t>
            </w:r>
          </w:p>
        </w:tc>
        <w:tc>
          <w:tcPr>
            <w:tcW w:w="1283" w:type="dxa"/>
            <w:shd w:val="clear" w:color="auto" w:fill="F2F2F2"/>
            <w:vAlign w:val="center"/>
          </w:tcPr>
          <w:p w14:paraId="23B3104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ERBB3</w:t>
            </w:r>
          </w:p>
        </w:tc>
        <w:tc>
          <w:tcPr>
            <w:tcW w:w="1283" w:type="dxa"/>
            <w:shd w:val="clear" w:color="auto" w:fill="F2F2F2"/>
            <w:vAlign w:val="center"/>
          </w:tcPr>
          <w:p w14:paraId="61AEDC5D">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ERBB4</w:t>
            </w:r>
          </w:p>
        </w:tc>
        <w:tc>
          <w:tcPr>
            <w:tcW w:w="1287" w:type="dxa"/>
            <w:shd w:val="clear" w:color="auto" w:fill="F2F2F2"/>
            <w:vAlign w:val="center"/>
          </w:tcPr>
          <w:p w14:paraId="3CA8087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ERRFI1</w:t>
            </w:r>
          </w:p>
        </w:tc>
      </w:tr>
      <w:tr w14:paraId="48111A4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0B1F793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ETV1</w:t>
            </w:r>
          </w:p>
        </w:tc>
        <w:tc>
          <w:tcPr>
            <w:tcW w:w="1283" w:type="dxa"/>
            <w:shd w:val="clear" w:color="auto" w:fill="auto"/>
            <w:vAlign w:val="center"/>
          </w:tcPr>
          <w:p w14:paraId="1FCBDBA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EZH2</w:t>
            </w:r>
          </w:p>
        </w:tc>
        <w:tc>
          <w:tcPr>
            <w:tcW w:w="1283" w:type="dxa"/>
            <w:shd w:val="clear" w:color="auto" w:fill="auto"/>
            <w:vAlign w:val="center"/>
          </w:tcPr>
          <w:p w14:paraId="3DC578E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FAM175A</w:t>
            </w:r>
          </w:p>
        </w:tc>
        <w:tc>
          <w:tcPr>
            <w:tcW w:w="1283" w:type="dxa"/>
            <w:shd w:val="clear" w:color="auto" w:fill="auto"/>
            <w:vAlign w:val="center"/>
          </w:tcPr>
          <w:p w14:paraId="09887673">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FANCA</w:t>
            </w:r>
          </w:p>
        </w:tc>
        <w:tc>
          <w:tcPr>
            <w:tcW w:w="1283" w:type="dxa"/>
            <w:shd w:val="clear" w:color="auto" w:fill="auto"/>
            <w:vAlign w:val="center"/>
          </w:tcPr>
          <w:p w14:paraId="7B8B511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FANCC</w:t>
            </w:r>
          </w:p>
        </w:tc>
        <w:tc>
          <w:tcPr>
            <w:tcW w:w="1283" w:type="dxa"/>
            <w:shd w:val="clear" w:color="auto" w:fill="auto"/>
            <w:vAlign w:val="center"/>
          </w:tcPr>
          <w:p w14:paraId="5442C59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FANCD2</w:t>
            </w:r>
          </w:p>
        </w:tc>
        <w:tc>
          <w:tcPr>
            <w:tcW w:w="1287" w:type="dxa"/>
            <w:shd w:val="clear" w:color="auto" w:fill="auto"/>
            <w:vAlign w:val="center"/>
          </w:tcPr>
          <w:p w14:paraId="1AD319F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FANCE</w:t>
            </w:r>
          </w:p>
        </w:tc>
      </w:tr>
      <w:tr w14:paraId="0EA13CE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F2F2F2"/>
            <w:vAlign w:val="center"/>
          </w:tcPr>
          <w:p w14:paraId="36B9048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FANCF</w:t>
            </w:r>
          </w:p>
        </w:tc>
        <w:tc>
          <w:tcPr>
            <w:tcW w:w="1283" w:type="dxa"/>
            <w:shd w:val="clear" w:color="auto" w:fill="F2F2F2"/>
            <w:vAlign w:val="center"/>
          </w:tcPr>
          <w:p w14:paraId="61DF1A83">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FANCG</w:t>
            </w:r>
          </w:p>
        </w:tc>
        <w:tc>
          <w:tcPr>
            <w:tcW w:w="1283" w:type="dxa"/>
            <w:shd w:val="clear" w:color="auto" w:fill="F2F2F2"/>
            <w:vAlign w:val="center"/>
          </w:tcPr>
          <w:p w14:paraId="18E4814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FANCI</w:t>
            </w:r>
          </w:p>
        </w:tc>
        <w:tc>
          <w:tcPr>
            <w:tcW w:w="1283" w:type="dxa"/>
            <w:shd w:val="clear" w:color="auto" w:fill="F2F2F2"/>
            <w:vAlign w:val="center"/>
          </w:tcPr>
          <w:p w14:paraId="5BD63F1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FANCL</w:t>
            </w:r>
          </w:p>
        </w:tc>
        <w:tc>
          <w:tcPr>
            <w:tcW w:w="1283" w:type="dxa"/>
            <w:shd w:val="clear" w:color="auto" w:fill="F2F2F2"/>
            <w:vAlign w:val="center"/>
          </w:tcPr>
          <w:p w14:paraId="302ACC9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FANCM</w:t>
            </w:r>
          </w:p>
        </w:tc>
        <w:tc>
          <w:tcPr>
            <w:tcW w:w="1283" w:type="dxa"/>
            <w:shd w:val="clear" w:color="auto" w:fill="F2F2F2"/>
            <w:vAlign w:val="center"/>
          </w:tcPr>
          <w:p w14:paraId="49EF3C5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FAT1</w:t>
            </w:r>
          </w:p>
        </w:tc>
        <w:tc>
          <w:tcPr>
            <w:tcW w:w="1287" w:type="dxa"/>
            <w:shd w:val="clear" w:color="auto" w:fill="F2F2F2"/>
            <w:vAlign w:val="center"/>
          </w:tcPr>
          <w:p w14:paraId="3F8AB54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FAT3</w:t>
            </w:r>
          </w:p>
        </w:tc>
      </w:tr>
      <w:tr w14:paraId="658052E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1B4C884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FAT4</w:t>
            </w:r>
          </w:p>
        </w:tc>
        <w:tc>
          <w:tcPr>
            <w:tcW w:w="1283" w:type="dxa"/>
            <w:shd w:val="clear" w:color="auto" w:fill="auto"/>
            <w:vAlign w:val="center"/>
          </w:tcPr>
          <w:p w14:paraId="09E8405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FBXW7</w:t>
            </w:r>
          </w:p>
        </w:tc>
        <w:tc>
          <w:tcPr>
            <w:tcW w:w="1283" w:type="dxa"/>
            <w:shd w:val="clear" w:color="auto" w:fill="auto"/>
            <w:vAlign w:val="center"/>
          </w:tcPr>
          <w:p w14:paraId="22FCA50E">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FGF19</w:t>
            </w:r>
          </w:p>
        </w:tc>
        <w:tc>
          <w:tcPr>
            <w:tcW w:w="1283" w:type="dxa"/>
            <w:shd w:val="clear" w:color="auto" w:fill="auto"/>
            <w:vAlign w:val="center"/>
          </w:tcPr>
          <w:p w14:paraId="712094D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FGF3</w:t>
            </w:r>
          </w:p>
        </w:tc>
        <w:tc>
          <w:tcPr>
            <w:tcW w:w="1283" w:type="dxa"/>
            <w:shd w:val="clear" w:color="auto" w:fill="auto"/>
            <w:vAlign w:val="center"/>
          </w:tcPr>
          <w:p w14:paraId="76FC136E">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FGF4</w:t>
            </w:r>
          </w:p>
        </w:tc>
        <w:tc>
          <w:tcPr>
            <w:tcW w:w="1283" w:type="dxa"/>
            <w:shd w:val="clear" w:color="auto" w:fill="auto"/>
            <w:vAlign w:val="center"/>
          </w:tcPr>
          <w:p w14:paraId="69672CB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FGFR1</w:t>
            </w:r>
          </w:p>
        </w:tc>
        <w:tc>
          <w:tcPr>
            <w:tcW w:w="1287" w:type="dxa"/>
            <w:shd w:val="clear" w:color="auto" w:fill="auto"/>
            <w:vAlign w:val="center"/>
          </w:tcPr>
          <w:p w14:paraId="0F05DC6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FGFR2</w:t>
            </w:r>
          </w:p>
        </w:tc>
      </w:tr>
      <w:tr w14:paraId="1E72267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44C3B50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FGFR3</w:t>
            </w:r>
          </w:p>
        </w:tc>
        <w:tc>
          <w:tcPr>
            <w:tcW w:w="1283" w:type="dxa"/>
            <w:shd w:val="clear" w:color="auto" w:fill="F2F2F2"/>
            <w:vAlign w:val="center"/>
          </w:tcPr>
          <w:p w14:paraId="352D094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FH</w:t>
            </w:r>
          </w:p>
        </w:tc>
        <w:tc>
          <w:tcPr>
            <w:tcW w:w="1283" w:type="dxa"/>
            <w:shd w:val="clear" w:color="auto" w:fill="F2F2F2"/>
            <w:vAlign w:val="center"/>
          </w:tcPr>
          <w:p w14:paraId="470CBCA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FLCN</w:t>
            </w:r>
          </w:p>
        </w:tc>
        <w:tc>
          <w:tcPr>
            <w:tcW w:w="1283" w:type="dxa"/>
            <w:shd w:val="clear" w:color="auto" w:fill="F2F2F2"/>
            <w:vAlign w:val="center"/>
          </w:tcPr>
          <w:p w14:paraId="21ECE01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FLI1</w:t>
            </w:r>
          </w:p>
        </w:tc>
        <w:tc>
          <w:tcPr>
            <w:tcW w:w="1283" w:type="dxa"/>
            <w:shd w:val="clear" w:color="auto" w:fill="F2F2F2"/>
            <w:vAlign w:val="center"/>
          </w:tcPr>
          <w:p w14:paraId="106CA8D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FLT1</w:t>
            </w:r>
          </w:p>
        </w:tc>
        <w:tc>
          <w:tcPr>
            <w:tcW w:w="1283" w:type="dxa"/>
            <w:shd w:val="clear" w:color="auto" w:fill="F2F2F2"/>
            <w:vAlign w:val="center"/>
          </w:tcPr>
          <w:p w14:paraId="0A02C5A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FLT3</w:t>
            </w:r>
          </w:p>
        </w:tc>
        <w:tc>
          <w:tcPr>
            <w:tcW w:w="1287" w:type="dxa"/>
            <w:shd w:val="clear" w:color="auto" w:fill="F2F2F2"/>
            <w:vAlign w:val="center"/>
          </w:tcPr>
          <w:p w14:paraId="08E2CFA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FLT4</w:t>
            </w:r>
          </w:p>
        </w:tc>
      </w:tr>
      <w:tr w14:paraId="63CA29D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auto"/>
            <w:vAlign w:val="center"/>
          </w:tcPr>
          <w:p w14:paraId="3BC43F3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FOXL2</w:t>
            </w:r>
          </w:p>
        </w:tc>
        <w:tc>
          <w:tcPr>
            <w:tcW w:w="1283" w:type="dxa"/>
            <w:shd w:val="clear" w:color="auto" w:fill="auto"/>
            <w:vAlign w:val="center"/>
          </w:tcPr>
          <w:p w14:paraId="47BBABB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FOXP1</w:t>
            </w:r>
          </w:p>
        </w:tc>
        <w:tc>
          <w:tcPr>
            <w:tcW w:w="1283" w:type="dxa"/>
            <w:shd w:val="clear" w:color="auto" w:fill="auto"/>
            <w:vAlign w:val="center"/>
          </w:tcPr>
          <w:p w14:paraId="39B74E5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FUBP1</w:t>
            </w:r>
          </w:p>
        </w:tc>
        <w:tc>
          <w:tcPr>
            <w:tcW w:w="1283" w:type="dxa"/>
            <w:shd w:val="clear" w:color="auto" w:fill="auto"/>
            <w:vAlign w:val="center"/>
          </w:tcPr>
          <w:p w14:paraId="0747E0C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GALNT12</w:t>
            </w:r>
          </w:p>
        </w:tc>
        <w:tc>
          <w:tcPr>
            <w:tcW w:w="1283" w:type="dxa"/>
            <w:shd w:val="clear" w:color="auto" w:fill="auto"/>
            <w:vAlign w:val="center"/>
          </w:tcPr>
          <w:p w14:paraId="04F8F35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GNA11</w:t>
            </w:r>
          </w:p>
        </w:tc>
        <w:tc>
          <w:tcPr>
            <w:tcW w:w="1283" w:type="dxa"/>
            <w:shd w:val="clear" w:color="auto" w:fill="auto"/>
            <w:vAlign w:val="center"/>
          </w:tcPr>
          <w:p w14:paraId="497B5E2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GNAQ</w:t>
            </w:r>
          </w:p>
        </w:tc>
        <w:tc>
          <w:tcPr>
            <w:tcW w:w="1287" w:type="dxa"/>
            <w:shd w:val="clear" w:color="auto" w:fill="auto"/>
            <w:vAlign w:val="center"/>
          </w:tcPr>
          <w:p w14:paraId="03EC239E">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GNAS</w:t>
            </w:r>
          </w:p>
        </w:tc>
      </w:tr>
      <w:tr w14:paraId="0915376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F2F2F2"/>
            <w:vAlign w:val="center"/>
          </w:tcPr>
          <w:p w14:paraId="14A869B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H3F3A</w:t>
            </w:r>
          </w:p>
        </w:tc>
        <w:tc>
          <w:tcPr>
            <w:tcW w:w="1283" w:type="dxa"/>
            <w:shd w:val="clear" w:color="auto" w:fill="F2F2F2"/>
            <w:vAlign w:val="center"/>
          </w:tcPr>
          <w:p w14:paraId="5E58AB2E">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HDAC4</w:t>
            </w:r>
          </w:p>
        </w:tc>
        <w:tc>
          <w:tcPr>
            <w:tcW w:w="1283" w:type="dxa"/>
            <w:shd w:val="clear" w:color="auto" w:fill="F2F2F2"/>
            <w:vAlign w:val="center"/>
          </w:tcPr>
          <w:p w14:paraId="6A119AE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HDAC7</w:t>
            </w:r>
          </w:p>
        </w:tc>
        <w:tc>
          <w:tcPr>
            <w:tcW w:w="1283" w:type="dxa"/>
            <w:shd w:val="clear" w:color="auto" w:fill="F2F2F2"/>
            <w:vAlign w:val="center"/>
          </w:tcPr>
          <w:p w14:paraId="0AB6FDE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HDAC9</w:t>
            </w:r>
          </w:p>
        </w:tc>
        <w:tc>
          <w:tcPr>
            <w:tcW w:w="1283" w:type="dxa"/>
            <w:shd w:val="clear" w:color="auto" w:fill="F2F2F2"/>
            <w:vAlign w:val="center"/>
          </w:tcPr>
          <w:p w14:paraId="7065B6BE">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HIF1A</w:t>
            </w:r>
          </w:p>
        </w:tc>
        <w:tc>
          <w:tcPr>
            <w:tcW w:w="1283" w:type="dxa"/>
            <w:shd w:val="clear" w:color="auto" w:fill="F2F2F2"/>
            <w:vAlign w:val="center"/>
          </w:tcPr>
          <w:p w14:paraId="578D454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HIRA</w:t>
            </w:r>
          </w:p>
        </w:tc>
        <w:tc>
          <w:tcPr>
            <w:tcW w:w="1287" w:type="dxa"/>
            <w:shd w:val="clear" w:color="auto" w:fill="F2F2F2"/>
            <w:vAlign w:val="center"/>
          </w:tcPr>
          <w:p w14:paraId="0D6541B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HIST1H1B</w:t>
            </w:r>
          </w:p>
        </w:tc>
      </w:tr>
      <w:tr w14:paraId="4588EE9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08D737CD">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HIST1H1C</w:t>
            </w:r>
          </w:p>
        </w:tc>
        <w:tc>
          <w:tcPr>
            <w:tcW w:w="1283" w:type="dxa"/>
            <w:shd w:val="clear" w:color="auto" w:fill="auto"/>
            <w:vAlign w:val="center"/>
          </w:tcPr>
          <w:p w14:paraId="6A067D3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HIST1H1D</w:t>
            </w:r>
          </w:p>
        </w:tc>
        <w:tc>
          <w:tcPr>
            <w:tcW w:w="1283" w:type="dxa"/>
            <w:shd w:val="clear" w:color="auto" w:fill="auto"/>
            <w:vAlign w:val="center"/>
          </w:tcPr>
          <w:p w14:paraId="48FB93E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HIST1H1E</w:t>
            </w:r>
          </w:p>
        </w:tc>
        <w:tc>
          <w:tcPr>
            <w:tcW w:w="1283" w:type="dxa"/>
            <w:shd w:val="clear" w:color="auto" w:fill="auto"/>
            <w:vAlign w:val="center"/>
          </w:tcPr>
          <w:p w14:paraId="3FC0968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HIST1H2AL</w:t>
            </w:r>
          </w:p>
        </w:tc>
        <w:tc>
          <w:tcPr>
            <w:tcW w:w="1283" w:type="dxa"/>
            <w:shd w:val="clear" w:color="auto" w:fill="auto"/>
            <w:vAlign w:val="center"/>
          </w:tcPr>
          <w:p w14:paraId="0B9FECC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HIST1H2AM</w:t>
            </w:r>
          </w:p>
        </w:tc>
        <w:tc>
          <w:tcPr>
            <w:tcW w:w="1283" w:type="dxa"/>
            <w:shd w:val="clear" w:color="auto" w:fill="auto"/>
            <w:vAlign w:val="center"/>
          </w:tcPr>
          <w:p w14:paraId="54C4D98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HIST1H2BC</w:t>
            </w:r>
          </w:p>
        </w:tc>
        <w:tc>
          <w:tcPr>
            <w:tcW w:w="1287" w:type="dxa"/>
            <w:shd w:val="clear" w:color="auto" w:fill="auto"/>
            <w:vAlign w:val="center"/>
          </w:tcPr>
          <w:p w14:paraId="0157B09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HIST1H2BD</w:t>
            </w:r>
          </w:p>
        </w:tc>
      </w:tr>
      <w:tr w14:paraId="14C29DB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0C27150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HIST1H2BG</w:t>
            </w:r>
          </w:p>
        </w:tc>
        <w:tc>
          <w:tcPr>
            <w:tcW w:w="1283" w:type="dxa"/>
            <w:shd w:val="clear" w:color="auto" w:fill="F2F2F2"/>
            <w:vAlign w:val="center"/>
          </w:tcPr>
          <w:p w14:paraId="4CE2829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HIST1H2BJ</w:t>
            </w:r>
          </w:p>
        </w:tc>
        <w:tc>
          <w:tcPr>
            <w:tcW w:w="1283" w:type="dxa"/>
            <w:shd w:val="clear" w:color="auto" w:fill="F2F2F2"/>
            <w:vAlign w:val="center"/>
          </w:tcPr>
          <w:p w14:paraId="2BFC6C5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HIST1H2BK</w:t>
            </w:r>
          </w:p>
        </w:tc>
        <w:tc>
          <w:tcPr>
            <w:tcW w:w="1283" w:type="dxa"/>
            <w:shd w:val="clear" w:color="auto" w:fill="F2F2F2"/>
            <w:vAlign w:val="center"/>
          </w:tcPr>
          <w:p w14:paraId="0340808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HIST1H2BO</w:t>
            </w:r>
          </w:p>
        </w:tc>
        <w:tc>
          <w:tcPr>
            <w:tcW w:w="1283" w:type="dxa"/>
            <w:shd w:val="clear" w:color="auto" w:fill="F2F2F2"/>
            <w:vAlign w:val="center"/>
          </w:tcPr>
          <w:p w14:paraId="28DD78A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HIST1H3A</w:t>
            </w:r>
          </w:p>
        </w:tc>
        <w:tc>
          <w:tcPr>
            <w:tcW w:w="1283" w:type="dxa"/>
            <w:shd w:val="clear" w:color="auto" w:fill="F2F2F2"/>
            <w:vAlign w:val="center"/>
          </w:tcPr>
          <w:p w14:paraId="5ADC912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HIST1H3B</w:t>
            </w:r>
          </w:p>
        </w:tc>
        <w:tc>
          <w:tcPr>
            <w:tcW w:w="1287" w:type="dxa"/>
            <w:shd w:val="clear" w:color="auto" w:fill="F2F2F2"/>
            <w:vAlign w:val="center"/>
          </w:tcPr>
          <w:p w14:paraId="4600C60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HIST1H3C</w:t>
            </w:r>
          </w:p>
        </w:tc>
      </w:tr>
      <w:tr w14:paraId="2912B43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2DE5187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HIST1H3D</w:t>
            </w:r>
          </w:p>
        </w:tc>
        <w:tc>
          <w:tcPr>
            <w:tcW w:w="1283" w:type="dxa"/>
            <w:shd w:val="clear" w:color="auto" w:fill="auto"/>
            <w:vAlign w:val="center"/>
          </w:tcPr>
          <w:p w14:paraId="15105723">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HIST1H3E</w:t>
            </w:r>
          </w:p>
        </w:tc>
        <w:tc>
          <w:tcPr>
            <w:tcW w:w="1283" w:type="dxa"/>
            <w:shd w:val="clear" w:color="auto" w:fill="auto"/>
            <w:vAlign w:val="center"/>
          </w:tcPr>
          <w:p w14:paraId="5D51ECD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HIST1H3F</w:t>
            </w:r>
          </w:p>
        </w:tc>
        <w:tc>
          <w:tcPr>
            <w:tcW w:w="1283" w:type="dxa"/>
            <w:shd w:val="clear" w:color="auto" w:fill="auto"/>
            <w:vAlign w:val="center"/>
          </w:tcPr>
          <w:p w14:paraId="1B4CEE5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HIST1H3G</w:t>
            </w:r>
          </w:p>
        </w:tc>
        <w:tc>
          <w:tcPr>
            <w:tcW w:w="1283" w:type="dxa"/>
            <w:shd w:val="clear" w:color="auto" w:fill="auto"/>
            <w:vAlign w:val="center"/>
          </w:tcPr>
          <w:p w14:paraId="1ECAE48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HIST1H3H</w:t>
            </w:r>
          </w:p>
        </w:tc>
        <w:tc>
          <w:tcPr>
            <w:tcW w:w="1283" w:type="dxa"/>
            <w:shd w:val="clear" w:color="auto" w:fill="auto"/>
            <w:vAlign w:val="center"/>
          </w:tcPr>
          <w:p w14:paraId="29A0CC7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HIST1H3I</w:t>
            </w:r>
          </w:p>
        </w:tc>
        <w:tc>
          <w:tcPr>
            <w:tcW w:w="1287" w:type="dxa"/>
            <w:shd w:val="clear" w:color="auto" w:fill="auto"/>
            <w:vAlign w:val="center"/>
          </w:tcPr>
          <w:p w14:paraId="01E8D5E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HIST1H3J</w:t>
            </w:r>
          </w:p>
        </w:tc>
      </w:tr>
      <w:tr w14:paraId="00C503F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1325B44D">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HIST1H4I</w:t>
            </w:r>
          </w:p>
        </w:tc>
        <w:tc>
          <w:tcPr>
            <w:tcW w:w="1283" w:type="dxa"/>
            <w:shd w:val="clear" w:color="auto" w:fill="F2F2F2"/>
            <w:vAlign w:val="center"/>
          </w:tcPr>
          <w:p w14:paraId="1C4DD9C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HIST3H3</w:t>
            </w:r>
          </w:p>
        </w:tc>
        <w:tc>
          <w:tcPr>
            <w:tcW w:w="1283" w:type="dxa"/>
            <w:shd w:val="clear" w:color="auto" w:fill="F2F2F2"/>
            <w:vAlign w:val="center"/>
          </w:tcPr>
          <w:p w14:paraId="4482487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HLA-A</w:t>
            </w:r>
          </w:p>
        </w:tc>
        <w:tc>
          <w:tcPr>
            <w:tcW w:w="1283" w:type="dxa"/>
            <w:shd w:val="clear" w:color="auto" w:fill="F2F2F2"/>
            <w:vAlign w:val="center"/>
          </w:tcPr>
          <w:p w14:paraId="53A2BA7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HLA-B</w:t>
            </w:r>
          </w:p>
        </w:tc>
        <w:tc>
          <w:tcPr>
            <w:tcW w:w="1283" w:type="dxa"/>
            <w:shd w:val="clear" w:color="auto" w:fill="F2F2F2"/>
            <w:vAlign w:val="center"/>
          </w:tcPr>
          <w:p w14:paraId="519C86B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HLA-C</w:t>
            </w:r>
          </w:p>
        </w:tc>
        <w:tc>
          <w:tcPr>
            <w:tcW w:w="1283" w:type="dxa"/>
            <w:shd w:val="clear" w:color="auto" w:fill="F2F2F2"/>
            <w:vAlign w:val="center"/>
          </w:tcPr>
          <w:p w14:paraId="693812A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HLA-DPA1</w:t>
            </w:r>
          </w:p>
        </w:tc>
        <w:tc>
          <w:tcPr>
            <w:tcW w:w="1287" w:type="dxa"/>
            <w:shd w:val="clear" w:color="auto" w:fill="F2F2F2"/>
            <w:vAlign w:val="center"/>
          </w:tcPr>
          <w:p w14:paraId="1AE6CAA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HLA-DPB1</w:t>
            </w:r>
          </w:p>
        </w:tc>
      </w:tr>
      <w:tr w14:paraId="1FD2846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24FD4B2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HLA-DQA1</w:t>
            </w:r>
          </w:p>
        </w:tc>
        <w:tc>
          <w:tcPr>
            <w:tcW w:w="1283" w:type="dxa"/>
            <w:shd w:val="clear" w:color="auto" w:fill="auto"/>
            <w:vAlign w:val="center"/>
          </w:tcPr>
          <w:p w14:paraId="2366A8E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HLA-DQB1</w:t>
            </w:r>
          </w:p>
        </w:tc>
        <w:tc>
          <w:tcPr>
            <w:tcW w:w="1283" w:type="dxa"/>
            <w:shd w:val="clear" w:color="auto" w:fill="auto"/>
            <w:vAlign w:val="center"/>
          </w:tcPr>
          <w:p w14:paraId="00E94D83">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HLA-DRB1</w:t>
            </w:r>
          </w:p>
        </w:tc>
        <w:tc>
          <w:tcPr>
            <w:tcW w:w="1283" w:type="dxa"/>
            <w:shd w:val="clear" w:color="auto" w:fill="auto"/>
            <w:vAlign w:val="center"/>
          </w:tcPr>
          <w:p w14:paraId="708428A7">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HLA-DRB5</w:t>
            </w:r>
          </w:p>
        </w:tc>
        <w:tc>
          <w:tcPr>
            <w:tcW w:w="1283" w:type="dxa"/>
            <w:shd w:val="clear" w:color="auto" w:fill="auto"/>
            <w:vAlign w:val="center"/>
          </w:tcPr>
          <w:p w14:paraId="6D66533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HLA-G</w:t>
            </w:r>
          </w:p>
        </w:tc>
        <w:tc>
          <w:tcPr>
            <w:tcW w:w="1283" w:type="dxa"/>
            <w:shd w:val="clear" w:color="auto" w:fill="auto"/>
            <w:vAlign w:val="center"/>
          </w:tcPr>
          <w:p w14:paraId="07E6BC8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HNF1A</w:t>
            </w:r>
          </w:p>
        </w:tc>
        <w:tc>
          <w:tcPr>
            <w:tcW w:w="1287" w:type="dxa"/>
            <w:shd w:val="clear" w:color="auto" w:fill="auto"/>
            <w:vAlign w:val="center"/>
          </w:tcPr>
          <w:p w14:paraId="79D76B0E">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HOXB13</w:t>
            </w:r>
          </w:p>
        </w:tc>
      </w:tr>
      <w:tr w14:paraId="3E84720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5FDD08B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HRAS</w:t>
            </w:r>
          </w:p>
        </w:tc>
        <w:tc>
          <w:tcPr>
            <w:tcW w:w="1283" w:type="dxa"/>
            <w:shd w:val="clear" w:color="auto" w:fill="F2F2F2"/>
            <w:vAlign w:val="center"/>
          </w:tcPr>
          <w:p w14:paraId="4538730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IDH1</w:t>
            </w:r>
          </w:p>
        </w:tc>
        <w:tc>
          <w:tcPr>
            <w:tcW w:w="1283" w:type="dxa"/>
            <w:shd w:val="clear" w:color="auto" w:fill="F2F2F2"/>
            <w:vAlign w:val="center"/>
          </w:tcPr>
          <w:p w14:paraId="5DA4ECB7">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IDH2</w:t>
            </w:r>
          </w:p>
        </w:tc>
        <w:tc>
          <w:tcPr>
            <w:tcW w:w="1283" w:type="dxa"/>
            <w:shd w:val="clear" w:color="auto" w:fill="F2F2F2"/>
            <w:vAlign w:val="center"/>
          </w:tcPr>
          <w:p w14:paraId="1AB5F8C3">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IFNGR1</w:t>
            </w:r>
          </w:p>
        </w:tc>
        <w:tc>
          <w:tcPr>
            <w:tcW w:w="1283" w:type="dxa"/>
            <w:shd w:val="clear" w:color="auto" w:fill="F2F2F2"/>
            <w:vAlign w:val="center"/>
          </w:tcPr>
          <w:p w14:paraId="7F95F22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IFNGR2</w:t>
            </w:r>
          </w:p>
        </w:tc>
        <w:tc>
          <w:tcPr>
            <w:tcW w:w="1283" w:type="dxa"/>
            <w:shd w:val="clear" w:color="auto" w:fill="F2F2F2"/>
            <w:vAlign w:val="center"/>
          </w:tcPr>
          <w:p w14:paraId="3A84F33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IGF1R</w:t>
            </w:r>
          </w:p>
        </w:tc>
        <w:tc>
          <w:tcPr>
            <w:tcW w:w="1287" w:type="dxa"/>
            <w:shd w:val="clear" w:color="auto" w:fill="F2F2F2"/>
            <w:vAlign w:val="center"/>
          </w:tcPr>
          <w:p w14:paraId="343BCFF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INPP4A</w:t>
            </w:r>
          </w:p>
        </w:tc>
      </w:tr>
      <w:tr w14:paraId="7076E34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45E4B6E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INPPL1</w:t>
            </w:r>
          </w:p>
        </w:tc>
        <w:tc>
          <w:tcPr>
            <w:tcW w:w="1283" w:type="dxa"/>
            <w:shd w:val="clear" w:color="auto" w:fill="auto"/>
            <w:vAlign w:val="center"/>
          </w:tcPr>
          <w:p w14:paraId="255B62F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INSR</w:t>
            </w:r>
          </w:p>
        </w:tc>
        <w:tc>
          <w:tcPr>
            <w:tcW w:w="1283" w:type="dxa"/>
            <w:shd w:val="clear" w:color="auto" w:fill="auto"/>
            <w:vAlign w:val="center"/>
          </w:tcPr>
          <w:p w14:paraId="0FC4B5B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IRS1</w:t>
            </w:r>
          </w:p>
        </w:tc>
        <w:tc>
          <w:tcPr>
            <w:tcW w:w="1283" w:type="dxa"/>
            <w:shd w:val="clear" w:color="auto" w:fill="auto"/>
            <w:vAlign w:val="center"/>
          </w:tcPr>
          <w:p w14:paraId="5F75AE5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JAK1</w:t>
            </w:r>
          </w:p>
        </w:tc>
        <w:tc>
          <w:tcPr>
            <w:tcW w:w="1283" w:type="dxa"/>
            <w:shd w:val="clear" w:color="auto" w:fill="auto"/>
            <w:vAlign w:val="center"/>
          </w:tcPr>
          <w:p w14:paraId="3D6101F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JAK2</w:t>
            </w:r>
          </w:p>
        </w:tc>
        <w:tc>
          <w:tcPr>
            <w:tcW w:w="1283" w:type="dxa"/>
            <w:shd w:val="clear" w:color="auto" w:fill="auto"/>
            <w:vAlign w:val="center"/>
          </w:tcPr>
          <w:p w14:paraId="74358DBD">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JAK3</w:t>
            </w:r>
          </w:p>
        </w:tc>
        <w:tc>
          <w:tcPr>
            <w:tcW w:w="1287" w:type="dxa"/>
            <w:shd w:val="clear" w:color="auto" w:fill="auto"/>
            <w:vAlign w:val="center"/>
          </w:tcPr>
          <w:p w14:paraId="2C48C7B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JUN</w:t>
            </w:r>
          </w:p>
        </w:tc>
      </w:tr>
      <w:tr w14:paraId="730DDCE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1A2631C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KAT6A</w:t>
            </w:r>
          </w:p>
        </w:tc>
        <w:tc>
          <w:tcPr>
            <w:tcW w:w="1283" w:type="dxa"/>
            <w:shd w:val="clear" w:color="auto" w:fill="F2F2F2"/>
            <w:vAlign w:val="center"/>
          </w:tcPr>
          <w:p w14:paraId="1BD4FAB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KDM2B</w:t>
            </w:r>
          </w:p>
        </w:tc>
        <w:tc>
          <w:tcPr>
            <w:tcW w:w="1283" w:type="dxa"/>
            <w:shd w:val="clear" w:color="auto" w:fill="F2F2F2"/>
            <w:vAlign w:val="center"/>
          </w:tcPr>
          <w:p w14:paraId="5241FD9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KDM4C</w:t>
            </w:r>
          </w:p>
        </w:tc>
        <w:tc>
          <w:tcPr>
            <w:tcW w:w="1283" w:type="dxa"/>
            <w:shd w:val="clear" w:color="auto" w:fill="F2F2F2"/>
            <w:vAlign w:val="center"/>
          </w:tcPr>
          <w:p w14:paraId="355972D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KDM5A</w:t>
            </w:r>
          </w:p>
        </w:tc>
        <w:tc>
          <w:tcPr>
            <w:tcW w:w="1283" w:type="dxa"/>
            <w:shd w:val="clear" w:color="auto" w:fill="F2F2F2"/>
            <w:vAlign w:val="center"/>
          </w:tcPr>
          <w:p w14:paraId="5ADFE4D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KDM6A</w:t>
            </w:r>
          </w:p>
        </w:tc>
        <w:tc>
          <w:tcPr>
            <w:tcW w:w="1283" w:type="dxa"/>
            <w:shd w:val="clear" w:color="auto" w:fill="F2F2F2"/>
            <w:vAlign w:val="center"/>
          </w:tcPr>
          <w:p w14:paraId="78B869B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KDR</w:t>
            </w:r>
          </w:p>
        </w:tc>
        <w:tc>
          <w:tcPr>
            <w:tcW w:w="1287" w:type="dxa"/>
            <w:shd w:val="clear" w:color="auto" w:fill="F2F2F2"/>
            <w:vAlign w:val="center"/>
          </w:tcPr>
          <w:p w14:paraId="5C90214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KEAP1</w:t>
            </w:r>
          </w:p>
        </w:tc>
      </w:tr>
      <w:tr w14:paraId="544D735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7C0D4D27">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KEL</w:t>
            </w:r>
          </w:p>
        </w:tc>
        <w:tc>
          <w:tcPr>
            <w:tcW w:w="1283" w:type="dxa"/>
            <w:shd w:val="clear" w:color="auto" w:fill="auto"/>
            <w:vAlign w:val="center"/>
          </w:tcPr>
          <w:p w14:paraId="2407008D">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KIT</w:t>
            </w:r>
          </w:p>
        </w:tc>
        <w:tc>
          <w:tcPr>
            <w:tcW w:w="1283" w:type="dxa"/>
            <w:shd w:val="clear" w:color="auto" w:fill="auto"/>
            <w:vAlign w:val="center"/>
          </w:tcPr>
          <w:p w14:paraId="1B2283D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KMT2A</w:t>
            </w:r>
          </w:p>
        </w:tc>
        <w:tc>
          <w:tcPr>
            <w:tcW w:w="1283" w:type="dxa"/>
            <w:shd w:val="clear" w:color="auto" w:fill="auto"/>
            <w:vAlign w:val="center"/>
          </w:tcPr>
          <w:p w14:paraId="47FBC0B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KMT2B</w:t>
            </w:r>
          </w:p>
        </w:tc>
        <w:tc>
          <w:tcPr>
            <w:tcW w:w="1283" w:type="dxa"/>
            <w:shd w:val="clear" w:color="auto" w:fill="auto"/>
            <w:vAlign w:val="center"/>
          </w:tcPr>
          <w:p w14:paraId="32374B8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KMT2C</w:t>
            </w:r>
          </w:p>
        </w:tc>
        <w:tc>
          <w:tcPr>
            <w:tcW w:w="1283" w:type="dxa"/>
            <w:shd w:val="clear" w:color="auto" w:fill="auto"/>
            <w:vAlign w:val="center"/>
          </w:tcPr>
          <w:p w14:paraId="74E0F74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KMT2D</w:t>
            </w:r>
          </w:p>
        </w:tc>
        <w:tc>
          <w:tcPr>
            <w:tcW w:w="1287" w:type="dxa"/>
            <w:shd w:val="clear" w:color="auto" w:fill="auto"/>
            <w:vAlign w:val="center"/>
          </w:tcPr>
          <w:p w14:paraId="3B0149C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KRAS</w:t>
            </w:r>
          </w:p>
        </w:tc>
      </w:tr>
      <w:tr w14:paraId="69B9EF7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7639CAD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LATS1</w:t>
            </w:r>
          </w:p>
        </w:tc>
        <w:tc>
          <w:tcPr>
            <w:tcW w:w="1283" w:type="dxa"/>
            <w:shd w:val="clear" w:color="auto" w:fill="F2F2F2"/>
            <w:vAlign w:val="center"/>
          </w:tcPr>
          <w:p w14:paraId="103D269E">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LATS2</w:t>
            </w:r>
          </w:p>
        </w:tc>
        <w:tc>
          <w:tcPr>
            <w:tcW w:w="1283" w:type="dxa"/>
            <w:shd w:val="clear" w:color="auto" w:fill="F2F2F2"/>
            <w:vAlign w:val="center"/>
          </w:tcPr>
          <w:p w14:paraId="43B9314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LBP1B</w:t>
            </w:r>
          </w:p>
        </w:tc>
        <w:tc>
          <w:tcPr>
            <w:tcW w:w="1283" w:type="dxa"/>
            <w:shd w:val="clear" w:color="auto" w:fill="F2F2F2"/>
            <w:vAlign w:val="center"/>
          </w:tcPr>
          <w:p w14:paraId="0DC9B58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LRP1B</w:t>
            </w:r>
          </w:p>
        </w:tc>
        <w:tc>
          <w:tcPr>
            <w:tcW w:w="1283" w:type="dxa"/>
            <w:shd w:val="clear" w:color="auto" w:fill="F2F2F2"/>
            <w:vAlign w:val="center"/>
          </w:tcPr>
          <w:p w14:paraId="52C6673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MAGI2</w:t>
            </w:r>
          </w:p>
        </w:tc>
        <w:tc>
          <w:tcPr>
            <w:tcW w:w="1283" w:type="dxa"/>
            <w:shd w:val="clear" w:color="auto" w:fill="F2F2F2"/>
            <w:vAlign w:val="center"/>
          </w:tcPr>
          <w:p w14:paraId="383DDC7D">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MAP2K1</w:t>
            </w:r>
          </w:p>
        </w:tc>
        <w:tc>
          <w:tcPr>
            <w:tcW w:w="1287" w:type="dxa"/>
            <w:shd w:val="clear" w:color="auto" w:fill="F2F2F2"/>
            <w:vAlign w:val="center"/>
          </w:tcPr>
          <w:p w14:paraId="7AA0B6B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MAP2K2</w:t>
            </w:r>
          </w:p>
        </w:tc>
      </w:tr>
      <w:tr w14:paraId="71C6AC1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0D414D7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MAP2K7</w:t>
            </w:r>
          </w:p>
        </w:tc>
        <w:tc>
          <w:tcPr>
            <w:tcW w:w="1283" w:type="dxa"/>
            <w:shd w:val="clear" w:color="auto" w:fill="auto"/>
            <w:vAlign w:val="center"/>
          </w:tcPr>
          <w:p w14:paraId="07E2B30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MAP3K13</w:t>
            </w:r>
          </w:p>
        </w:tc>
        <w:tc>
          <w:tcPr>
            <w:tcW w:w="1283" w:type="dxa"/>
            <w:shd w:val="clear" w:color="auto" w:fill="auto"/>
            <w:vAlign w:val="center"/>
          </w:tcPr>
          <w:p w14:paraId="12D18D8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MAP3K4</w:t>
            </w:r>
          </w:p>
        </w:tc>
        <w:tc>
          <w:tcPr>
            <w:tcW w:w="1283" w:type="dxa"/>
            <w:shd w:val="clear" w:color="auto" w:fill="auto"/>
            <w:vAlign w:val="center"/>
          </w:tcPr>
          <w:p w14:paraId="05BAC38D">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MAP3K6</w:t>
            </w:r>
          </w:p>
        </w:tc>
        <w:tc>
          <w:tcPr>
            <w:tcW w:w="1283" w:type="dxa"/>
            <w:shd w:val="clear" w:color="auto" w:fill="auto"/>
            <w:vAlign w:val="center"/>
          </w:tcPr>
          <w:p w14:paraId="0655047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MAPK1</w:t>
            </w:r>
          </w:p>
        </w:tc>
        <w:tc>
          <w:tcPr>
            <w:tcW w:w="1283" w:type="dxa"/>
            <w:shd w:val="clear" w:color="auto" w:fill="auto"/>
            <w:vAlign w:val="center"/>
          </w:tcPr>
          <w:p w14:paraId="6BA24E8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MAPK3</w:t>
            </w:r>
          </w:p>
        </w:tc>
        <w:tc>
          <w:tcPr>
            <w:tcW w:w="1287" w:type="dxa"/>
            <w:shd w:val="clear" w:color="auto" w:fill="auto"/>
            <w:vAlign w:val="center"/>
          </w:tcPr>
          <w:p w14:paraId="6D3B6C9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MAX</w:t>
            </w:r>
          </w:p>
        </w:tc>
      </w:tr>
      <w:tr w14:paraId="070EF17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48C1F57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MDM2</w:t>
            </w:r>
          </w:p>
        </w:tc>
        <w:tc>
          <w:tcPr>
            <w:tcW w:w="1283" w:type="dxa"/>
            <w:shd w:val="clear" w:color="auto" w:fill="F2F2F2"/>
            <w:vAlign w:val="center"/>
          </w:tcPr>
          <w:p w14:paraId="426A0B0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MDM4</w:t>
            </w:r>
          </w:p>
        </w:tc>
        <w:tc>
          <w:tcPr>
            <w:tcW w:w="1283" w:type="dxa"/>
            <w:shd w:val="clear" w:color="auto" w:fill="F2F2F2"/>
            <w:vAlign w:val="center"/>
          </w:tcPr>
          <w:p w14:paraId="30CE517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MED12</w:t>
            </w:r>
          </w:p>
        </w:tc>
        <w:tc>
          <w:tcPr>
            <w:tcW w:w="1283" w:type="dxa"/>
            <w:shd w:val="clear" w:color="auto" w:fill="F2F2F2"/>
            <w:vAlign w:val="center"/>
          </w:tcPr>
          <w:p w14:paraId="100AAFB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MET</w:t>
            </w:r>
          </w:p>
        </w:tc>
        <w:tc>
          <w:tcPr>
            <w:tcW w:w="1283" w:type="dxa"/>
            <w:shd w:val="clear" w:color="auto" w:fill="F2F2F2"/>
            <w:vAlign w:val="center"/>
          </w:tcPr>
          <w:p w14:paraId="550C754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MGA</w:t>
            </w:r>
          </w:p>
        </w:tc>
        <w:tc>
          <w:tcPr>
            <w:tcW w:w="1283" w:type="dxa"/>
            <w:shd w:val="clear" w:color="auto" w:fill="F2F2F2"/>
            <w:vAlign w:val="center"/>
          </w:tcPr>
          <w:p w14:paraId="405400D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MGAM</w:t>
            </w:r>
          </w:p>
        </w:tc>
        <w:tc>
          <w:tcPr>
            <w:tcW w:w="1287" w:type="dxa"/>
            <w:shd w:val="clear" w:color="auto" w:fill="F2F2F2"/>
            <w:vAlign w:val="center"/>
          </w:tcPr>
          <w:p w14:paraId="245C66C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MLH1</w:t>
            </w:r>
          </w:p>
        </w:tc>
      </w:tr>
      <w:tr w14:paraId="253F044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auto"/>
            <w:vAlign w:val="center"/>
          </w:tcPr>
          <w:p w14:paraId="6EF8484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MLH3</w:t>
            </w:r>
          </w:p>
        </w:tc>
        <w:tc>
          <w:tcPr>
            <w:tcW w:w="1283" w:type="dxa"/>
            <w:shd w:val="clear" w:color="auto" w:fill="auto"/>
            <w:vAlign w:val="center"/>
          </w:tcPr>
          <w:p w14:paraId="1B38A89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MPL</w:t>
            </w:r>
          </w:p>
        </w:tc>
        <w:tc>
          <w:tcPr>
            <w:tcW w:w="1283" w:type="dxa"/>
            <w:shd w:val="clear" w:color="auto" w:fill="auto"/>
            <w:vAlign w:val="center"/>
          </w:tcPr>
          <w:p w14:paraId="16CB89D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MRE11A</w:t>
            </w:r>
          </w:p>
        </w:tc>
        <w:tc>
          <w:tcPr>
            <w:tcW w:w="1283" w:type="dxa"/>
            <w:shd w:val="clear" w:color="auto" w:fill="auto"/>
            <w:vAlign w:val="center"/>
          </w:tcPr>
          <w:p w14:paraId="33AADB4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MSH2</w:t>
            </w:r>
          </w:p>
        </w:tc>
        <w:tc>
          <w:tcPr>
            <w:tcW w:w="1283" w:type="dxa"/>
            <w:shd w:val="clear" w:color="auto" w:fill="auto"/>
            <w:vAlign w:val="center"/>
          </w:tcPr>
          <w:p w14:paraId="4945850D">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MSH3</w:t>
            </w:r>
          </w:p>
        </w:tc>
        <w:tc>
          <w:tcPr>
            <w:tcW w:w="1283" w:type="dxa"/>
            <w:shd w:val="clear" w:color="auto" w:fill="auto"/>
            <w:vAlign w:val="center"/>
          </w:tcPr>
          <w:p w14:paraId="35E5782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MSH6</w:t>
            </w:r>
          </w:p>
        </w:tc>
        <w:tc>
          <w:tcPr>
            <w:tcW w:w="1287" w:type="dxa"/>
            <w:shd w:val="clear" w:color="auto" w:fill="auto"/>
            <w:vAlign w:val="center"/>
          </w:tcPr>
          <w:p w14:paraId="45E257C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MTOR</w:t>
            </w:r>
          </w:p>
        </w:tc>
      </w:tr>
      <w:tr w14:paraId="13E1B4C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10380FB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MUC1</w:t>
            </w:r>
          </w:p>
        </w:tc>
        <w:tc>
          <w:tcPr>
            <w:tcW w:w="1283" w:type="dxa"/>
            <w:shd w:val="clear" w:color="auto" w:fill="F2F2F2"/>
            <w:vAlign w:val="center"/>
          </w:tcPr>
          <w:p w14:paraId="7802408D">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MUTYH</w:t>
            </w:r>
          </w:p>
        </w:tc>
        <w:tc>
          <w:tcPr>
            <w:tcW w:w="1283" w:type="dxa"/>
            <w:shd w:val="clear" w:color="auto" w:fill="F2F2F2"/>
            <w:vAlign w:val="center"/>
          </w:tcPr>
          <w:p w14:paraId="20192EC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MYB</w:t>
            </w:r>
          </w:p>
        </w:tc>
        <w:tc>
          <w:tcPr>
            <w:tcW w:w="1283" w:type="dxa"/>
            <w:shd w:val="clear" w:color="auto" w:fill="F2F2F2"/>
            <w:vAlign w:val="center"/>
          </w:tcPr>
          <w:p w14:paraId="1F44E48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MYC</w:t>
            </w:r>
          </w:p>
        </w:tc>
        <w:tc>
          <w:tcPr>
            <w:tcW w:w="1283" w:type="dxa"/>
            <w:shd w:val="clear" w:color="auto" w:fill="F2F2F2"/>
            <w:vAlign w:val="center"/>
          </w:tcPr>
          <w:p w14:paraId="42CBC40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MYCN</w:t>
            </w:r>
          </w:p>
        </w:tc>
        <w:tc>
          <w:tcPr>
            <w:tcW w:w="1283" w:type="dxa"/>
            <w:shd w:val="clear" w:color="auto" w:fill="F2F2F2"/>
            <w:vAlign w:val="center"/>
          </w:tcPr>
          <w:p w14:paraId="756411C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MYD88</w:t>
            </w:r>
          </w:p>
        </w:tc>
        <w:tc>
          <w:tcPr>
            <w:tcW w:w="1287" w:type="dxa"/>
            <w:shd w:val="clear" w:color="auto" w:fill="F2F2F2"/>
            <w:vAlign w:val="center"/>
          </w:tcPr>
          <w:p w14:paraId="7DE3A9F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MYH11</w:t>
            </w:r>
          </w:p>
        </w:tc>
      </w:tr>
      <w:tr w14:paraId="46634C6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auto"/>
            <w:vAlign w:val="center"/>
          </w:tcPr>
          <w:p w14:paraId="5979765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NBN</w:t>
            </w:r>
          </w:p>
        </w:tc>
        <w:tc>
          <w:tcPr>
            <w:tcW w:w="1283" w:type="dxa"/>
            <w:shd w:val="clear" w:color="auto" w:fill="auto"/>
            <w:vAlign w:val="center"/>
          </w:tcPr>
          <w:p w14:paraId="101A2DB3">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NCOA4</w:t>
            </w:r>
          </w:p>
        </w:tc>
        <w:tc>
          <w:tcPr>
            <w:tcW w:w="1283" w:type="dxa"/>
            <w:shd w:val="clear" w:color="auto" w:fill="auto"/>
            <w:vAlign w:val="center"/>
          </w:tcPr>
          <w:p w14:paraId="5501DD9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NCOR1</w:t>
            </w:r>
          </w:p>
        </w:tc>
        <w:tc>
          <w:tcPr>
            <w:tcW w:w="1283" w:type="dxa"/>
            <w:shd w:val="clear" w:color="auto" w:fill="auto"/>
            <w:vAlign w:val="center"/>
          </w:tcPr>
          <w:p w14:paraId="60FA534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NCOR2</w:t>
            </w:r>
          </w:p>
        </w:tc>
        <w:tc>
          <w:tcPr>
            <w:tcW w:w="1283" w:type="dxa"/>
            <w:shd w:val="clear" w:color="auto" w:fill="auto"/>
            <w:vAlign w:val="center"/>
          </w:tcPr>
          <w:p w14:paraId="375BDDA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NF1</w:t>
            </w:r>
          </w:p>
        </w:tc>
        <w:tc>
          <w:tcPr>
            <w:tcW w:w="1283" w:type="dxa"/>
            <w:shd w:val="clear" w:color="auto" w:fill="auto"/>
            <w:vAlign w:val="center"/>
          </w:tcPr>
          <w:p w14:paraId="628B924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NF2</w:t>
            </w:r>
          </w:p>
        </w:tc>
        <w:tc>
          <w:tcPr>
            <w:tcW w:w="1287" w:type="dxa"/>
            <w:shd w:val="clear" w:color="auto" w:fill="auto"/>
            <w:vAlign w:val="center"/>
          </w:tcPr>
          <w:p w14:paraId="7453DE6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NOTCH1</w:t>
            </w:r>
          </w:p>
        </w:tc>
      </w:tr>
      <w:tr w14:paraId="113D7A4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2552BDB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NOTCH2</w:t>
            </w:r>
          </w:p>
        </w:tc>
        <w:tc>
          <w:tcPr>
            <w:tcW w:w="1283" w:type="dxa"/>
            <w:shd w:val="clear" w:color="auto" w:fill="F2F2F2"/>
            <w:vAlign w:val="center"/>
          </w:tcPr>
          <w:p w14:paraId="294B5B5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NPM1</w:t>
            </w:r>
          </w:p>
        </w:tc>
        <w:tc>
          <w:tcPr>
            <w:tcW w:w="1283" w:type="dxa"/>
            <w:shd w:val="clear" w:color="auto" w:fill="F2F2F2"/>
            <w:vAlign w:val="center"/>
          </w:tcPr>
          <w:p w14:paraId="25009F6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NRAS</w:t>
            </w:r>
          </w:p>
        </w:tc>
        <w:tc>
          <w:tcPr>
            <w:tcW w:w="1283" w:type="dxa"/>
            <w:shd w:val="clear" w:color="auto" w:fill="F2F2F2"/>
            <w:vAlign w:val="center"/>
          </w:tcPr>
          <w:p w14:paraId="7B48CBE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NRG1</w:t>
            </w:r>
          </w:p>
        </w:tc>
        <w:tc>
          <w:tcPr>
            <w:tcW w:w="1283" w:type="dxa"/>
            <w:shd w:val="clear" w:color="auto" w:fill="F2F2F2"/>
            <w:vAlign w:val="center"/>
          </w:tcPr>
          <w:p w14:paraId="3D86367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NSD1</w:t>
            </w:r>
          </w:p>
        </w:tc>
        <w:tc>
          <w:tcPr>
            <w:tcW w:w="1283" w:type="dxa"/>
            <w:shd w:val="clear" w:color="auto" w:fill="F2F2F2"/>
            <w:vAlign w:val="center"/>
          </w:tcPr>
          <w:p w14:paraId="5537173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NSD2</w:t>
            </w:r>
          </w:p>
        </w:tc>
        <w:tc>
          <w:tcPr>
            <w:tcW w:w="1287" w:type="dxa"/>
            <w:shd w:val="clear" w:color="auto" w:fill="F2F2F2"/>
            <w:vAlign w:val="center"/>
          </w:tcPr>
          <w:p w14:paraId="5165222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NTRK1</w:t>
            </w:r>
          </w:p>
        </w:tc>
      </w:tr>
      <w:tr w14:paraId="7EC7DE0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auto"/>
            <w:vAlign w:val="center"/>
          </w:tcPr>
          <w:p w14:paraId="1F9727C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NTRK2</w:t>
            </w:r>
          </w:p>
        </w:tc>
        <w:tc>
          <w:tcPr>
            <w:tcW w:w="1283" w:type="dxa"/>
            <w:shd w:val="clear" w:color="auto" w:fill="auto"/>
            <w:vAlign w:val="center"/>
          </w:tcPr>
          <w:p w14:paraId="1FB5DD4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NTRK3</w:t>
            </w:r>
          </w:p>
        </w:tc>
        <w:tc>
          <w:tcPr>
            <w:tcW w:w="1283" w:type="dxa"/>
            <w:shd w:val="clear" w:color="auto" w:fill="auto"/>
            <w:vAlign w:val="center"/>
          </w:tcPr>
          <w:p w14:paraId="1810A22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PALB2</w:t>
            </w:r>
          </w:p>
        </w:tc>
        <w:tc>
          <w:tcPr>
            <w:tcW w:w="1283" w:type="dxa"/>
            <w:shd w:val="clear" w:color="auto" w:fill="auto"/>
            <w:vAlign w:val="center"/>
          </w:tcPr>
          <w:p w14:paraId="3E88D16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PASK</w:t>
            </w:r>
          </w:p>
        </w:tc>
        <w:tc>
          <w:tcPr>
            <w:tcW w:w="1283" w:type="dxa"/>
            <w:shd w:val="clear" w:color="auto" w:fill="auto"/>
            <w:vAlign w:val="center"/>
          </w:tcPr>
          <w:p w14:paraId="690AB24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PAX5</w:t>
            </w:r>
          </w:p>
        </w:tc>
        <w:tc>
          <w:tcPr>
            <w:tcW w:w="1283" w:type="dxa"/>
            <w:shd w:val="clear" w:color="auto" w:fill="auto"/>
            <w:vAlign w:val="center"/>
          </w:tcPr>
          <w:p w14:paraId="605DC88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PBRM1</w:t>
            </w:r>
          </w:p>
        </w:tc>
        <w:tc>
          <w:tcPr>
            <w:tcW w:w="1287" w:type="dxa"/>
            <w:shd w:val="clear" w:color="auto" w:fill="auto"/>
            <w:vAlign w:val="center"/>
          </w:tcPr>
          <w:p w14:paraId="009A0E7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PCLO</w:t>
            </w:r>
          </w:p>
        </w:tc>
      </w:tr>
      <w:tr w14:paraId="0D19073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4526C4B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PDCD1LG2</w:t>
            </w:r>
          </w:p>
        </w:tc>
        <w:tc>
          <w:tcPr>
            <w:tcW w:w="1283" w:type="dxa"/>
            <w:shd w:val="clear" w:color="auto" w:fill="F2F2F2"/>
            <w:vAlign w:val="center"/>
          </w:tcPr>
          <w:p w14:paraId="77069C8E">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PDE4DIP</w:t>
            </w:r>
          </w:p>
        </w:tc>
        <w:tc>
          <w:tcPr>
            <w:tcW w:w="1283" w:type="dxa"/>
            <w:shd w:val="clear" w:color="auto" w:fill="F2F2F2"/>
            <w:vAlign w:val="center"/>
          </w:tcPr>
          <w:p w14:paraId="07A6244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PDGFB</w:t>
            </w:r>
          </w:p>
        </w:tc>
        <w:tc>
          <w:tcPr>
            <w:tcW w:w="1283" w:type="dxa"/>
            <w:shd w:val="clear" w:color="auto" w:fill="F2F2F2"/>
            <w:vAlign w:val="center"/>
          </w:tcPr>
          <w:p w14:paraId="1A166BD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PDGFRA</w:t>
            </w:r>
          </w:p>
        </w:tc>
        <w:tc>
          <w:tcPr>
            <w:tcW w:w="1283" w:type="dxa"/>
            <w:shd w:val="clear" w:color="auto" w:fill="F2F2F2"/>
            <w:vAlign w:val="center"/>
          </w:tcPr>
          <w:p w14:paraId="07586F1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PDGFRB</w:t>
            </w:r>
          </w:p>
        </w:tc>
        <w:tc>
          <w:tcPr>
            <w:tcW w:w="1283" w:type="dxa"/>
            <w:shd w:val="clear" w:color="auto" w:fill="F2F2F2"/>
            <w:vAlign w:val="center"/>
          </w:tcPr>
          <w:p w14:paraId="0F22176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PIK3C2G</w:t>
            </w:r>
          </w:p>
        </w:tc>
        <w:tc>
          <w:tcPr>
            <w:tcW w:w="1287" w:type="dxa"/>
            <w:shd w:val="clear" w:color="auto" w:fill="F2F2F2"/>
            <w:vAlign w:val="center"/>
          </w:tcPr>
          <w:p w14:paraId="57B4022D">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PIK3CA</w:t>
            </w:r>
          </w:p>
        </w:tc>
      </w:tr>
      <w:tr w14:paraId="78F8AA5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74B8811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PIK3CD</w:t>
            </w:r>
          </w:p>
        </w:tc>
        <w:tc>
          <w:tcPr>
            <w:tcW w:w="1283" w:type="dxa"/>
            <w:shd w:val="clear" w:color="auto" w:fill="auto"/>
            <w:vAlign w:val="center"/>
          </w:tcPr>
          <w:p w14:paraId="61D78FF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PIK3CG</w:t>
            </w:r>
          </w:p>
        </w:tc>
        <w:tc>
          <w:tcPr>
            <w:tcW w:w="1283" w:type="dxa"/>
            <w:shd w:val="clear" w:color="auto" w:fill="auto"/>
            <w:vAlign w:val="center"/>
          </w:tcPr>
          <w:p w14:paraId="302C14F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PIK3R1</w:t>
            </w:r>
          </w:p>
        </w:tc>
        <w:tc>
          <w:tcPr>
            <w:tcW w:w="1283" w:type="dxa"/>
            <w:shd w:val="clear" w:color="auto" w:fill="auto"/>
            <w:vAlign w:val="center"/>
          </w:tcPr>
          <w:p w14:paraId="62E9D79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PIM1</w:t>
            </w:r>
          </w:p>
        </w:tc>
        <w:tc>
          <w:tcPr>
            <w:tcW w:w="1283" w:type="dxa"/>
            <w:shd w:val="clear" w:color="auto" w:fill="auto"/>
            <w:vAlign w:val="center"/>
          </w:tcPr>
          <w:p w14:paraId="4C92DDF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PMS1</w:t>
            </w:r>
          </w:p>
        </w:tc>
        <w:tc>
          <w:tcPr>
            <w:tcW w:w="1283" w:type="dxa"/>
            <w:shd w:val="clear" w:color="auto" w:fill="auto"/>
            <w:vAlign w:val="center"/>
          </w:tcPr>
          <w:p w14:paraId="24D9BD7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PMS2</w:t>
            </w:r>
          </w:p>
        </w:tc>
        <w:tc>
          <w:tcPr>
            <w:tcW w:w="1287" w:type="dxa"/>
            <w:shd w:val="clear" w:color="auto" w:fill="auto"/>
            <w:vAlign w:val="center"/>
          </w:tcPr>
          <w:p w14:paraId="5D299C73">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POLD1</w:t>
            </w:r>
          </w:p>
        </w:tc>
      </w:tr>
      <w:tr w14:paraId="059D1D8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738E6A3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POLE</w:t>
            </w:r>
          </w:p>
        </w:tc>
        <w:tc>
          <w:tcPr>
            <w:tcW w:w="1283" w:type="dxa"/>
            <w:shd w:val="clear" w:color="auto" w:fill="F2F2F2"/>
            <w:vAlign w:val="center"/>
          </w:tcPr>
          <w:p w14:paraId="0EB6EF7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PPP2R2A</w:t>
            </w:r>
          </w:p>
        </w:tc>
        <w:tc>
          <w:tcPr>
            <w:tcW w:w="1283" w:type="dxa"/>
            <w:shd w:val="clear" w:color="auto" w:fill="F2F2F2"/>
            <w:vAlign w:val="center"/>
          </w:tcPr>
          <w:p w14:paraId="02E3F10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PREX2</w:t>
            </w:r>
          </w:p>
        </w:tc>
        <w:tc>
          <w:tcPr>
            <w:tcW w:w="1283" w:type="dxa"/>
            <w:shd w:val="clear" w:color="auto" w:fill="F2F2F2"/>
            <w:vAlign w:val="center"/>
          </w:tcPr>
          <w:p w14:paraId="4834DA5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PRSS1</w:t>
            </w:r>
          </w:p>
        </w:tc>
        <w:tc>
          <w:tcPr>
            <w:tcW w:w="1283" w:type="dxa"/>
            <w:shd w:val="clear" w:color="auto" w:fill="F2F2F2"/>
            <w:vAlign w:val="center"/>
          </w:tcPr>
          <w:p w14:paraId="5BF607D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PTCH1</w:t>
            </w:r>
          </w:p>
        </w:tc>
        <w:tc>
          <w:tcPr>
            <w:tcW w:w="1283" w:type="dxa"/>
            <w:shd w:val="clear" w:color="auto" w:fill="F2F2F2"/>
            <w:vAlign w:val="center"/>
          </w:tcPr>
          <w:p w14:paraId="5746B4B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PTCH2</w:t>
            </w:r>
          </w:p>
        </w:tc>
        <w:tc>
          <w:tcPr>
            <w:tcW w:w="1287" w:type="dxa"/>
            <w:shd w:val="clear" w:color="auto" w:fill="F2F2F2"/>
            <w:vAlign w:val="center"/>
          </w:tcPr>
          <w:p w14:paraId="178477F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PTEN</w:t>
            </w:r>
          </w:p>
        </w:tc>
      </w:tr>
      <w:tr w14:paraId="0AF9B5A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0F311D9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PTPN11</w:t>
            </w:r>
          </w:p>
        </w:tc>
        <w:tc>
          <w:tcPr>
            <w:tcW w:w="1283" w:type="dxa"/>
            <w:shd w:val="clear" w:color="auto" w:fill="auto"/>
            <w:vAlign w:val="center"/>
          </w:tcPr>
          <w:p w14:paraId="58E7A0C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PTPRB</w:t>
            </w:r>
          </w:p>
        </w:tc>
        <w:tc>
          <w:tcPr>
            <w:tcW w:w="1283" w:type="dxa"/>
            <w:shd w:val="clear" w:color="auto" w:fill="auto"/>
            <w:vAlign w:val="center"/>
          </w:tcPr>
          <w:p w14:paraId="134B242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PTPRC</w:t>
            </w:r>
          </w:p>
        </w:tc>
        <w:tc>
          <w:tcPr>
            <w:tcW w:w="1283" w:type="dxa"/>
            <w:shd w:val="clear" w:color="auto" w:fill="auto"/>
            <w:vAlign w:val="center"/>
          </w:tcPr>
          <w:p w14:paraId="24FD79F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PTPRD</w:t>
            </w:r>
          </w:p>
        </w:tc>
        <w:tc>
          <w:tcPr>
            <w:tcW w:w="1283" w:type="dxa"/>
            <w:shd w:val="clear" w:color="auto" w:fill="auto"/>
            <w:vAlign w:val="center"/>
          </w:tcPr>
          <w:p w14:paraId="6FF73D5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PTPRK</w:t>
            </w:r>
          </w:p>
        </w:tc>
        <w:tc>
          <w:tcPr>
            <w:tcW w:w="1283" w:type="dxa"/>
            <w:shd w:val="clear" w:color="auto" w:fill="auto"/>
            <w:vAlign w:val="center"/>
          </w:tcPr>
          <w:p w14:paraId="07E5953D">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PTPRS</w:t>
            </w:r>
          </w:p>
        </w:tc>
        <w:tc>
          <w:tcPr>
            <w:tcW w:w="1287" w:type="dxa"/>
            <w:shd w:val="clear" w:color="auto" w:fill="auto"/>
            <w:vAlign w:val="center"/>
          </w:tcPr>
          <w:p w14:paraId="6F091C73">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PTPRT</w:t>
            </w:r>
          </w:p>
        </w:tc>
      </w:tr>
      <w:tr w14:paraId="288597A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143CBB1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RAD21</w:t>
            </w:r>
          </w:p>
        </w:tc>
        <w:tc>
          <w:tcPr>
            <w:tcW w:w="1283" w:type="dxa"/>
            <w:shd w:val="clear" w:color="auto" w:fill="F2F2F2"/>
            <w:vAlign w:val="center"/>
          </w:tcPr>
          <w:p w14:paraId="71580AB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RAD50</w:t>
            </w:r>
          </w:p>
        </w:tc>
        <w:tc>
          <w:tcPr>
            <w:tcW w:w="1283" w:type="dxa"/>
            <w:shd w:val="clear" w:color="auto" w:fill="F2F2F2"/>
            <w:vAlign w:val="center"/>
          </w:tcPr>
          <w:p w14:paraId="580FF4D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RAD51</w:t>
            </w:r>
          </w:p>
        </w:tc>
        <w:tc>
          <w:tcPr>
            <w:tcW w:w="1283" w:type="dxa"/>
            <w:shd w:val="clear" w:color="auto" w:fill="F2F2F2"/>
            <w:vAlign w:val="center"/>
          </w:tcPr>
          <w:p w14:paraId="11216C3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RAD51B</w:t>
            </w:r>
          </w:p>
        </w:tc>
        <w:tc>
          <w:tcPr>
            <w:tcW w:w="1283" w:type="dxa"/>
            <w:shd w:val="clear" w:color="auto" w:fill="F2F2F2"/>
            <w:vAlign w:val="center"/>
          </w:tcPr>
          <w:p w14:paraId="3221DCF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RAD51C</w:t>
            </w:r>
          </w:p>
        </w:tc>
        <w:tc>
          <w:tcPr>
            <w:tcW w:w="1283" w:type="dxa"/>
            <w:shd w:val="clear" w:color="auto" w:fill="F2F2F2"/>
            <w:vAlign w:val="center"/>
          </w:tcPr>
          <w:p w14:paraId="37A09CA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RAD51D</w:t>
            </w:r>
          </w:p>
        </w:tc>
        <w:tc>
          <w:tcPr>
            <w:tcW w:w="1287" w:type="dxa"/>
            <w:shd w:val="clear" w:color="auto" w:fill="F2F2F2"/>
            <w:vAlign w:val="center"/>
          </w:tcPr>
          <w:p w14:paraId="6623D8D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RAD52</w:t>
            </w:r>
          </w:p>
        </w:tc>
      </w:tr>
      <w:tr w14:paraId="1574AFB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7E5B5D6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RAD54B</w:t>
            </w:r>
          </w:p>
        </w:tc>
        <w:tc>
          <w:tcPr>
            <w:tcW w:w="1283" w:type="dxa"/>
            <w:shd w:val="clear" w:color="auto" w:fill="auto"/>
            <w:vAlign w:val="center"/>
          </w:tcPr>
          <w:p w14:paraId="1A00C6F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RAD54L</w:t>
            </w:r>
          </w:p>
        </w:tc>
        <w:tc>
          <w:tcPr>
            <w:tcW w:w="1283" w:type="dxa"/>
            <w:shd w:val="clear" w:color="auto" w:fill="auto"/>
            <w:vAlign w:val="center"/>
          </w:tcPr>
          <w:p w14:paraId="69816BB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RAF1</w:t>
            </w:r>
          </w:p>
        </w:tc>
        <w:tc>
          <w:tcPr>
            <w:tcW w:w="1283" w:type="dxa"/>
            <w:shd w:val="clear" w:color="auto" w:fill="auto"/>
            <w:vAlign w:val="center"/>
          </w:tcPr>
          <w:p w14:paraId="6DFC95A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RARA</w:t>
            </w:r>
          </w:p>
        </w:tc>
        <w:tc>
          <w:tcPr>
            <w:tcW w:w="1283" w:type="dxa"/>
            <w:shd w:val="clear" w:color="auto" w:fill="auto"/>
            <w:vAlign w:val="center"/>
          </w:tcPr>
          <w:p w14:paraId="29DE177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RB1</w:t>
            </w:r>
          </w:p>
        </w:tc>
        <w:tc>
          <w:tcPr>
            <w:tcW w:w="1283" w:type="dxa"/>
            <w:shd w:val="clear" w:color="auto" w:fill="auto"/>
            <w:vAlign w:val="center"/>
          </w:tcPr>
          <w:p w14:paraId="18C1FFF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RBM10</w:t>
            </w:r>
          </w:p>
        </w:tc>
        <w:tc>
          <w:tcPr>
            <w:tcW w:w="1287" w:type="dxa"/>
            <w:shd w:val="clear" w:color="auto" w:fill="auto"/>
            <w:vAlign w:val="center"/>
          </w:tcPr>
          <w:p w14:paraId="0C746DA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RECQL4</w:t>
            </w:r>
          </w:p>
        </w:tc>
      </w:tr>
      <w:tr w14:paraId="2ADC1EC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132A68C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RET</w:t>
            </w:r>
          </w:p>
        </w:tc>
        <w:tc>
          <w:tcPr>
            <w:tcW w:w="1283" w:type="dxa"/>
            <w:shd w:val="clear" w:color="auto" w:fill="F2F2F2"/>
            <w:vAlign w:val="center"/>
          </w:tcPr>
          <w:p w14:paraId="39C5B71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RICTOR</w:t>
            </w:r>
          </w:p>
        </w:tc>
        <w:tc>
          <w:tcPr>
            <w:tcW w:w="1283" w:type="dxa"/>
            <w:shd w:val="clear" w:color="auto" w:fill="F2F2F2"/>
            <w:vAlign w:val="center"/>
          </w:tcPr>
          <w:p w14:paraId="394FBFF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RNF43</w:t>
            </w:r>
          </w:p>
        </w:tc>
        <w:tc>
          <w:tcPr>
            <w:tcW w:w="1283" w:type="dxa"/>
            <w:shd w:val="clear" w:color="auto" w:fill="F2F2F2"/>
            <w:vAlign w:val="center"/>
          </w:tcPr>
          <w:p w14:paraId="25BEFAC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ROS1</w:t>
            </w:r>
          </w:p>
        </w:tc>
        <w:tc>
          <w:tcPr>
            <w:tcW w:w="1283" w:type="dxa"/>
            <w:shd w:val="clear" w:color="auto" w:fill="F2F2F2"/>
            <w:vAlign w:val="center"/>
          </w:tcPr>
          <w:p w14:paraId="44910207">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RPTOR</w:t>
            </w:r>
          </w:p>
        </w:tc>
        <w:tc>
          <w:tcPr>
            <w:tcW w:w="1283" w:type="dxa"/>
            <w:shd w:val="clear" w:color="auto" w:fill="F2F2F2"/>
            <w:vAlign w:val="center"/>
          </w:tcPr>
          <w:p w14:paraId="52E18C87">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RUNX1</w:t>
            </w:r>
          </w:p>
        </w:tc>
        <w:tc>
          <w:tcPr>
            <w:tcW w:w="1287" w:type="dxa"/>
            <w:shd w:val="clear" w:color="auto" w:fill="F2F2F2"/>
            <w:vAlign w:val="center"/>
          </w:tcPr>
          <w:p w14:paraId="41D1459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RUNX1T1</w:t>
            </w:r>
          </w:p>
        </w:tc>
      </w:tr>
      <w:tr w14:paraId="0AE044E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02BAE25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RUNX2</w:t>
            </w:r>
          </w:p>
        </w:tc>
        <w:tc>
          <w:tcPr>
            <w:tcW w:w="1283" w:type="dxa"/>
            <w:shd w:val="clear" w:color="auto" w:fill="auto"/>
            <w:vAlign w:val="center"/>
          </w:tcPr>
          <w:p w14:paraId="326FFF6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SDHB</w:t>
            </w:r>
          </w:p>
        </w:tc>
        <w:tc>
          <w:tcPr>
            <w:tcW w:w="1283" w:type="dxa"/>
            <w:shd w:val="clear" w:color="auto" w:fill="auto"/>
            <w:vAlign w:val="center"/>
          </w:tcPr>
          <w:p w14:paraId="0C8E5A7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SDHC</w:t>
            </w:r>
          </w:p>
        </w:tc>
        <w:tc>
          <w:tcPr>
            <w:tcW w:w="1283" w:type="dxa"/>
            <w:shd w:val="clear" w:color="auto" w:fill="auto"/>
            <w:vAlign w:val="center"/>
          </w:tcPr>
          <w:p w14:paraId="25373B03">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SERPINB3</w:t>
            </w:r>
          </w:p>
        </w:tc>
        <w:tc>
          <w:tcPr>
            <w:tcW w:w="1283" w:type="dxa"/>
            <w:shd w:val="clear" w:color="auto" w:fill="auto"/>
            <w:vAlign w:val="center"/>
          </w:tcPr>
          <w:p w14:paraId="461C73AE">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SERPINB4</w:t>
            </w:r>
          </w:p>
        </w:tc>
        <w:tc>
          <w:tcPr>
            <w:tcW w:w="1283" w:type="dxa"/>
            <w:shd w:val="clear" w:color="auto" w:fill="auto"/>
            <w:vAlign w:val="center"/>
          </w:tcPr>
          <w:p w14:paraId="316F3EA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SETD2</w:t>
            </w:r>
          </w:p>
        </w:tc>
        <w:tc>
          <w:tcPr>
            <w:tcW w:w="1287" w:type="dxa"/>
            <w:shd w:val="clear" w:color="auto" w:fill="auto"/>
            <w:vAlign w:val="center"/>
          </w:tcPr>
          <w:p w14:paraId="1C6D505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SETD5</w:t>
            </w:r>
          </w:p>
        </w:tc>
      </w:tr>
      <w:tr w14:paraId="0CEAE73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76818DA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SF3B1</w:t>
            </w:r>
          </w:p>
        </w:tc>
        <w:tc>
          <w:tcPr>
            <w:tcW w:w="1283" w:type="dxa"/>
            <w:shd w:val="clear" w:color="auto" w:fill="F2F2F2"/>
            <w:vAlign w:val="center"/>
          </w:tcPr>
          <w:p w14:paraId="1035CDB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SHH</w:t>
            </w:r>
          </w:p>
        </w:tc>
        <w:tc>
          <w:tcPr>
            <w:tcW w:w="1283" w:type="dxa"/>
            <w:shd w:val="clear" w:color="auto" w:fill="F2F2F2"/>
            <w:vAlign w:val="center"/>
          </w:tcPr>
          <w:p w14:paraId="30D5C62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SLIT2</w:t>
            </w:r>
          </w:p>
        </w:tc>
        <w:tc>
          <w:tcPr>
            <w:tcW w:w="1283" w:type="dxa"/>
            <w:shd w:val="clear" w:color="auto" w:fill="F2F2F2"/>
            <w:vAlign w:val="center"/>
          </w:tcPr>
          <w:p w14:paraId="20A356D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SMAD3</w:t>
            </w:r>
          </w:p>
        </w:tc>
        <w:tc>
          <w:tcPr>
            <w:tcW w:w="1283" w:type="dxa"/>
            <w:shd w:val="clear" w:color="auto" w:fill="F2F2F2"/>
            <w:vAlign w:val="center"/>
          </w:tcPr>
          <w:p w14:paraId="0067855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SMAD4</w:t>
            </w:r>
          </w:p>
        </w:tc>
        <w:tc>
          <w:tcPr>
            <w:tcW w:w="1283" w:type="dxa"/>
            <w:shd w:val="clear" w:color="auto" w:fill="F2F2F2"/>
            <w:vAlign w:val="center"/>
          </w:tcPr>
          <w:p w14:paraId="0C52F2A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SMARCA1</w:t>
            </w:r>
          </w:p>
        </w:tc>
        <w:tc>
          <w:tcPr>
            <w:tcW w:w="1287" w:type="dxa"/>
            <w:shd w:val="clear" w:color="auto" w:fill="F2F2F2"/>
            <w:vAlign w:val="center"/>
          </w:tcPr>
          <w:p w14:paraId="1E719E2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SMARCA2</w:t>
            </w:r>
          </w:p>
        </w:tc>
      </w:tr>
      <w:tr w14:paraId="1BC946E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0460173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SMARCA4</w:t>
            </w:r>
          </w:p>
        </w:tc>
        <w:tc>
          <w:tcPr>
            <w:tcW w:w="1283" w:type="dxa"/>
            <w:shd w:val="clear" w:color="auto" w:fill="auto"/>
            <w:vAlign w:val="center"/>
          </w:tcPr>
          <w:p w14:paraId="461CEC6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SMARCB1</w:t>
            </w:r>
          </w:p>
        </w:tc>
        <w:tc>
          <w:tcPr>
            <w:tcW w:w="1283" w:type="dxa"/>
            <w:shd w:val="clear" w:color="auto" w:fill="auto"/>
            <w:vAlign w:val="center"/>
          </w:tcPr>
          <w:p w14:paraId="207BE35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SMO</w:t>
            </w:r>
          </w:p>
        </w:tc>
        <w:tc>
          <w:tcPr>
            <w:tcW w:w="1283" w:type="dxa"/>
            <w:shd w:val="clear" w:color="auto" w:fill="auto"/>
            <w:vAlign w:val="center"/>
          </w:tcPr>
          <w:p w14:paraId="5A6C913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SOS1</w:t>
            </w:r>
          </w:p>
        </w:tc>
        <w:tc>
          <w:tcPr>
            <w:tcW w:w="1283" w:type="dxa"/>
            <w:shd w:val="clear" w:color="auto" w:fill="auto"/>
            <w:vAlign w:val="center"/>
          </w:tcPr>
          <w:p w14:paraId="11670A9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SOX9</w:t>
            </w:r>
          </w:p>
        </w:tc>
        <w:tc>
          <w:tcPr>
            <w:tcW w:w="1283" w:type="dxa"/>
            <w:shd w:val="clear" w:color="auto" w:fill="auto"/>
            <w:vAlign w:val="center"/>
          </w:tcPr>
          <w:p w14:paraId="23D4635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SRC</w:t>
            </w:r>
          </w:p>
        </w:tc>
        <w:tc>
          <w:tcPr>
            <w:tcW w:w="1287" w:type="dxa"/>
            <w:shd w:val="clear" w:color="auto" w:fill="auto"/>
            <w:vAlign w:val="center"/>
          </w:tcPr>
          <w:p w14:paraId="11D9D57D">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STAG1</w:t>
            </w:r>
          </w:p>
        </w:tc>
      </w:tr>
      <w:tr w14:paraId="56A89E9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3B7FA54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STAG2</w:t>
            </w:r>
          </w:p>
        </w:tc>
        <w:tc>
          <w:tcPr>
            <w:tcW w:w="1283" w:type="dxa"/>
            <w:shd w:val="clear" w:color="auto" w:fill="F2F2F2"/>
            <w:vAlign w:val="center"/>
          </w:tcPr>
          <w:p w14:paraId="50DE554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STK11</w:t>
            </w:r>
          </w:p>
        </w:tc>
        <w:tc>
          <w:tcPr>
            <w:tcW w:w="1283" w:type="dxa"/>
            <w:shd w:val="clear" w:color="auto" w:fill="F2F2F2"/>
            <w:vAlign w:val="center"/>
          </w:tcPr>
          <w:p w14:paraId="13E8109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SYK</w:t>
            </w:r>
          </w:p>
        </w:tc>
        <w:tc>
          <w:tcPr>
            <w:tcW w:w="1283" w:type="dxa"/>
            <w:shd w:val="clear" w:color="auto" w:fill="F2F2F2"/>
            <w:vAlign w:val="center"/>
          </w:tcPr>
          <w:p w14:paraId="396ABA97">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TCF12</w:t>
            </w:r>
          </w:p>
        </w:tc>
        <w:tc>
          <w:tcPr>
            <w:tcW w:w="1283" w:type="dxa"/>
            <w:shd w:val="clear" w:color="auto" w:fill="F2F2F2"/>
            <w:vAlign w:val="center"/>
          </w:tcPr>
          <w:p w14:paraId="5FE2A81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TCF3</w:t>
            </w:r>
          </w:p>
        </w:tc>
        <w:tc>
          <w:tcPr>
            <w:tcW w:w="1283" w:type="dxa"/>
            <w:shd w:val="clear" w:color="auto" w:fill="F2F2F2"/>
            <w:vAlign w:val="center"/>
          </w:tcPr>
          <w:p w14:paraId="3E3B09E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TCF4</w:t>
            </w:r>
          </w:p>
        </w:tc>
        <w:tc>
          <w:tcPr>
            <w:tcW w:w="1287" w:type="dxa"/>
            <w:shd w:val="clear" w:color="auto" w:fill="F2F2F2"/>
            <w:vAlign w:val="center"/>
          </w:tcPr>
          <w:p w14:paraId="0234727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TCF7L2</w:t>
            </w:r>
          </w:p>
        </w:tc>
      </w:tr>
      <w:tr w14:paraId="7C7F0FA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auto"/>
            <w:vAlign w:val="center"/>
          </w:tcPr>
          <w:p w14:paraId="17F393B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TEK</w:t>
            </w:r>
          </w:p>
        </w:tc>
        <w:tc>
          <w:tcPr>
            <w:tcW w:w="1283" w:type="dxa"/>
            <w:shd w:val="clear" w:color="auto" w:fill="auto"/>
            <w:vAlign w:val="center"/>
          </w:tcPr>
          <w:p w14:paraId="205BC37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TERC</w:t>
            </w:r>
          </w:p>
        </w:tc>
        <w:tc>
          <w:tcPr>
            <w:tcW w:w="1283" w:type="dxa"/>
            <w:shd w:val="clear" w:color="auto" w:fill="auto"/>
            <w:vAlign w:val="center"/>
          </w:tcPr>
          <w:p w14:paraId="33A00207">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TERT</w:t>
            </w:r>
          </w:p>
        </w:tc>
        <w:tc>
          <w:tcPr>
            <w:tcW w:w="1283" w:type="dxa"/>
            <w:shd w:val="clear" w:color="auto" w:fill="auto"/>
            <w:vAlign w:val="center"/>
          </w:tcPr>
          <w:p w14:paraId="036620BE">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TET1</w:t>
            </w:r>
          </w:p>
        </w:tc>
        <w:tc>
          <w:tcPr>
            <w:tcW w:w="1283" w:type="dxa"/>
            <w:shd w:val="clear" w:color="auto" w:fill="auto"/>
            <w:vAlign w:val="center"/>
          </w:tcPr>
          <w:p w14:paraId="2A79E32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TET2</w:t>
            </w:r>
          </w:p>
        </w:tc>
        <w:tc>
          <w:tcPr>
            <w:tcW w:w="1283" w:type="dxa"/>
            <w:shd w:val="clear" w:color="auto" w:fill="auto"/>
            <w:vAlign w:val="center"/>
          </w:tcPr>
          <w:p w14:paraId="1C7EFB8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TGFBR1</w:t>
            </w:r>
          </w:p>
        </w:tc>
        <w:tc>
          <w:tcPr>
            <w:tcW w:w="1287" w:type="dxa"/>
            <w:shd w:val="clear" w:color="auto" w:fill="auto"/>
            <w:vAlign w:val="center"/>
          </w:tcPr>
          <w:p w14:paraId="06CA609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TLE3</w:t>
            </w:r>
          </w:p>
        </w:tc>
      </w:tr>
      <w:tr w14:paraId="7D81D82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F2F2F2"/>
            <w:vAlign w:val="center"/>
          </w:tcPr>
          <w:p w14:paraId="4F5031B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TLE4</w:t>
            </w:r>
          </w:p>
        </w:tc>
        <w:tc>
          <w:tcPr>
            <w:tcW w:w="1283" w:type="dxa"/>
            <w:shd w:val="clear" w:color="auto" w:fill="F2F2F2"/>
            <w:vAlign w:val="center"/>
          </w:tcPr>
          <w:p w14:paraId="6D7D170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TMEM127</w:t>
            </w:r>
          </w:p>
        </w:tc>
        <w:tc>
          <w:tcPr>
            <w:tcW w:w="1283" w:type="dxa"/>
            <w:shd w:val="clear" w:color="auto" w:fill="F2F2F2"/>
            <w:vAlign w:val="center"/>
          </w:tcPr>
          <w:p w14:paraId="72199FD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TNFAIP3</w:t>
            </w:r>
          </w:p>
        </w:tc>
        <w:tc>
          <w:tcPr>
            <w:tcW w:w="1283" w:type="dxa"/>
            <w:shd w:val="clear" w:color="auto" w:fill="F2F2F2"/>
            <w:vAlign w:val="center"/>
          </w:tcPr>
          <w:p w14:paraId="6B043B7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TOP2A</w:t>
            </w:r>
          </w:p>
        </w:tc>
        <w:tc>
          <w:tcPr>
            <w:tcW w:w="1283" w:type="dxa"/>
            <w:shd w:val="clear" w:color="auto" w:fill="F2F2F2"/>
            <w:vAlign w:val="center"/>
          </w:tcPr>
          <w:p w14:paraId="43F76C0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TP53</w:t>
            </w:r>
          </w:p>
        </w:tc>
        <w:tc>
          <w:tcPr>
            <w:tcW w:w="1283" w:type="dxa"/>
            <w:shd w:val="clear" w:color="auto" w:fill="F2F2F2"/>
            <w:vAlign w:val="center"/>
          </w:tcPr>
          <w:p w14:paraId="4961BA87">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TP53BP1</w:t>
            </w:r>
          </w:p>
        </w:tc>
        <w:tc>
          <w:tcPr>
            <w:tcW w:w="1287" w:type="dxa"/>
            <w:shd w:val="clear" w:color="auto" w:fill="F2F2F2"/>
            <w:vAlign w:val="center"/>
          </w:tcPr>
          <w:p w14:paraId="6849451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TP63</w:t>
            </w:r>
          </w:p>
        </w:tc>
      </w:tr>
      <w:tr w14:paraId="0FA0556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auto"/>
            <w:vAlign w:val="center"/>
          </w:tcPr>
          <w:p w14:paraId="41A6520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TRRAP</w:t>
            </w:r>
          </w:p>
        </w:tc>
        <w:tc>
          <w:tcPr>
            <w:tcW w:w="1283" w:type="dxa"/>
            <w:shd w:val="clear" w:color="auto" w:fill="auto"/>
            <w:vAlign w:val="center"/>
          </w:tcPr>
          <w:p w14:paraId="2B10811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TSC1</w:t>
            </w:r>
          </w:p>
        </w:tc>
        <w:tc>
          <w:tcPr>
            <w:tcW w:w="1283" w:type="dxa"/>
            <w:shd w:val="clear" w:color="auto" w:fill="auto"/>
            <w:vAlign w:val="center"/>
          </w:tcPr>
          <w:p w14:paraId="0A36E8B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TSC2</w:t>
            </w:r>
          </w:p>
        </w:tc>
        <w:tc>
          <w:tcPr>
            <w:tcW w:w="1283" w:type="dxa"/>
            <w:shd w:val="clear" w:color="auto" w:fill="auto"/>
            <w:vAlign w:val="center"/>
          </w:tcPr>
          <w:p w14:paraId="06921D1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TSHR</w:t>
            </w:r>
          </w:p>
        </w:tc>
        <w:tc>
          <w:tcPr>
            <w:tcW w:w="1283" w:type="dxa"/>
            <w:shd w:val="clear" w:color="auto" w:fill="auto"/>
            <w:vAlign w:val="center"/>
          </w:tcPr>
          <w:p w14:paraId="329B9E5D">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U2AF1</w:t>
            </w:r>
          </w:p>
        </w:tc>
        <w:tc>
          <w:tcPr>
            <w:tcW w:w="1283" w:type="dxa"/>
            <w:shd w:val="clear" w:color="auto" w:fill="auto"/>
            <w:vAlign w:val="center"/>
          </w:tcPr>
          <w:p w14:paraId="7C4EC54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VAV1</w:t>
            </w:r>
          </w:p>
        </w:tc>
        <w:tc>
          <w:tcPr>
            <w:tcW w:w="1287" w:type="dxa"/>
            <w:shd w:val="clear" w:color="auto" w:fill="auto"/>
            <w:vAlign w:val="center"/>
          </w:tcPr>
          <w:p w14:paraId="4B2153C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VAV2</w:t>
            </w:r>
          </w:p>
        </w:tc>
      </w:tr>
      <w:tr w14:paraId="0522176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5FFDBAD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VEGFA</w:t>
            </w:r>
          </w:p>
        </w:tc>
        <w:tc>
          <w:tcPr>
            <w:tcW w:w="1283" w:type="dxa"/>
            <w:shd w:val="clear" w:color="auto" w:fill="F2F2F2"/>
            <w:vAlign w:val="center"/>
          </w:tcPr>
          <w:p w14:paraId="607409E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VHL</w:t>
            </w:r>
          </w:p>
        </w:tc>
        <w:tc>
          <w:tcPr>
            <w:tcW w:w="1283" w:type="dxa"/>
            <w:shd w:val="clear" w:color="auto" w:fill="F2F2F2"/>
            <w:vAlign w:val="center"/>
          </w:tcPr>
          <w:p w14:paraId="0B981C1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WDR90</w:t>
            </w:r>
          </w:p>
        </w:tc>
        <w:tc>
          <w:tcPr>
            <w:tcW w:w="1283" w:type="dxa"/>
            <w:shd w:val="clear" w:color="auto" w:fill="F2F2F2"/>
            <w:vAlign w:val="center"/>
          </w:tcPr>
          <w:p w14:paraId="711EC1A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WHSC1</w:t>
            </w:r>
          </w:p>
        </w:tc>
        <w:tc>
          <w:tcPr>
            <w:tcW w:w="1283" w:type="dxa"/>
            <w:shd w:val="clear" w:color="auto" w:fill="F2F2F2"/>
            <w:vAlign w:val="center"/>
          </w:tcPr>
          <w:p w14:paraId="3097C87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WHSC1L1</w:t>
            </w:r>
          </w:p>
        </w:tc>
        <w:tc>
          <w:tcPr>
            <w:tcW w:w="1283" w:type="dxa"/>
            <w:shd w:val="clear" w:color="auto" w:fill="F2F2F2"/>
            <w:vAlign w:val="center"/>
          </w:tcPr>
          <w:p w14:paraId="5ADCC94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WRN</w:t>
            </w:r>
          </w:p>
        </w:tc>
        <w:tc>
          <w:tcPr>
            <w:tcW w:w="1287" w:type="dxa"/>
            <w:shd w:val="clear" w:color="auto" w:fill="F2F2F2"/>
            <w:vAlign w:val="center"/>
          </w:tcPr>
          <w:p w14:paraId="31DECF9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XRCC2</w:t>
            </w:r>
          </w:p>
        </w:tc>
      </w:tr>
      <w:tr w14:paraId="7A7251B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auto"/>
            <w:vAlign w:val="center"/>
          </w:tcPr>
          <w:p w14:paraId="093FF33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YAP1</w:t>
            </w:r>
          </w:p>
        </w:tc>
        <w:tc>
          <w:tcPr>
            <w:tcW w:w="1283" w:type="dxa"/>
            <w:shd w:val="clear" w:color="auto" w:fill="auto"/>
            <w:vAlign w:val="center"/>
          </w:tcPr>
          <w:p w14:paraId="7E09C87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YES1</w:t>
            </w:r>
          </w:p>
        </w:tc>
        <w:tc>
          <w:tcPr>
            <w:tcW w:w="1283" w:type="dxa"/>
            <w:shd w:val="clear" w:color="auto" w:fill="auto"/>
            <w:vAlign w:val="center"/>
          </w:tcPr>
          <w:p w14:paraId="586D485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ZFHX3</w:t>
            </w:r>
          </w:p>
        </w:tc>
        <w:tc>
          <w:tcPr>
            <w:tcW w:w="1283" w:type="dxa"/>
            <w:shd w:val="clear" w:color="auto" w:fill="auto"/>
            <w:vAlign w:val="center"/>
          </w:tcPr>
          <w:p w14:paraId="56D24B5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ZNF217</w:t>
            </w:r>
          </w:p>
        </w:tc>
        <w:tc>
          <w:tcPr>
            <w:tcW w:w="1283" w:type="dxa"/>
            <w:shd w:val="clear" w:color="auto" w:fill="auto"/>
            <w:vAlign w:val="center"/>
          </w:tcPr>
          <w:p w14:paraId="5B177B0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ZNF278</w:t>
            </w:r>
          </w:p>
        </w:tc>
        <w:tc>
          <w:tcPr>
            <w:tcW w:w="1283" w:type="dxa"/>
            <w:shd w:val="clear" w:color="auto" w:fill="auto"/>
            <w:vAlign w:val="center"/>
          </w:tcPr>
          <w:p w14:paraId="693C30F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ZNF521</w:t>
            </w:r>
          </w:p>
        </w:tc>
        <w:tc>
          <w:tcPr>
            <w:tcW w:w="1287" w:type="dxa"/>
            <w:shd w:val="clear" w:color="auto" w:fill="auto"/>
            <w:vAlign w:val="center"/>
          </w:tcPr>
          <w:p w14:paraId="38E15693">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ZNF703</w:t>
            </w:r>
          </w:p>
        </w:tc>
      </w:tr>
      <w:tr w14:paraId="4E4E19E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F2F2F2"/>
            <w:vAlign w:val="center"/>
          </w:tcPr>
          <w:p w14:paraId="0A1355F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ZRSR2</w:t>
            </w:r>
          </w:p>
        </w:tc>
        <w:tc>
          <w:tcPr>
            <w:tcW w:w="1283" w:type="dxa"/>
            <w:shd w:val="clear" w:color="auto" w:fill="F2F2F2"/>
            <w:vAlign w:val="center"/>
          </w:tcPr>
          <w:p w14:paraId="4088FE2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p>
        </w:tc>
        <w:tc>
          <w:tcPr>
            <w:tcW w:w="1283" w:type="dxa"/>
            <w:shd w:val="clear" w:color="auto" w:fill="F2F2F2"/>
            <w:vAlign w:val="center"/>
          </w:tcPr>
          <w:p w14:paraId="19317F4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p>
        </w:tc>
        <w:tc>
          <w:tcPr>
            <w:tcW w:w="1283" w:type="dxa"/>
            <w:shd w:val="clear" w:color="auto" w:fill="F2F2F2"/>
            <w:vAlign w:val="center"/>
          </w:tcPr>
          <w:p w14:paraId="5FC26037">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p>
        </w:tc>
        <w:tc>
          <w:tcPr>
            <w:tcW w:w="1283" w:type="dxa"/>
            <w:shd w:val="clear" w:color="auto" w:fill="F2F2F2"/>
            <w:vAlign w:val="center"/>
          </w:tcPr>
          <w:p w14:paraId="399DBFC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p>
        </w:tc>
        <w:tc>
          <w:tcPr>
            <w:tcW w:w="1283" w:type="dxa"/>
            <w:shd w:val="clear" w:color="auto" w:fill="F2F2F2"/>
            <w:vAlign w:val="center"/>
          </w:tcPr>
          <w:p w14:paraId="4503E19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p>
        </w:tc>
        <w:tc>
          <w:tcPr>
            <w:tcW w:w="1287" w:type="dxa"/>
            <w:shd w:val="clear" w:color="auto" w:fill="F2F2F2"/>
            <w:vAlign w:val="center"/>
          </w:tcPr>
          <w:p w14:paraId="06FEBAF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p>
        </w:tc>
      </w:tr>
    </w:tbl>
    <w:p w14:paraId="349AB3CA">
      <w:pPr>
        <w:rPr>
          <w:rFonts w:ascii="微软雅黑" w:hAnsi="微软雅黑"/>
          <w:b/>
          <w:sz w:val="24"/>
          <w:szCs w:val="24"/>
        </w:rPr>
      </w:pPr>
      <w:r>
        <w:rPr>
          <w:rFonts w:hint="eastAsia" w:ascii="微软雅黑" w:hAnsi="微软雅黑"/>
          <w:b/>
          <w:sz w:val="24"/>
          <w:szCs w:val="24"/>
        </w:rPr>
        <w:br w:type="page"/>
      </w:r>
    </w:p>
    <w:p w14:paraId="581013E4">
      <w:pPr>
        <w:numPr>
          <w:ilvl w:val="255"/>
          <w:numId w:val="0"/>
        </w:numPr>
        <w:outlineLvl w:val="0"/>
        <w:rPr>
          <w:rFonts w:ascii="Calibri" w:hAnsi="Calibri" w:cs="Calibri"/>
          <w:color w:val="000000" w:themeColor="text1"/>
          <w:sz w:val="21"/>
          <w:szCs w:val="21"/>
          <w14:textFill>
            <w14:solidFill>
              <w14:schemeClr w14:val="tx1"/>
            </w14:solidFill>
          </w14:textFill>
        </w:rPr>
      </w:pPr>
      <w:bookmarkStart w:id="217" w:name="_Toc8115"/>
      <w:r>
        <w:rPr>
          <w:rFonts w:hint="eastAsia" w:ascii="微软雅黑" w:hAnsi="微软雅黑"/>
          <w:b/>
          <w:color w:val="000000" w:themeColor="text1"/>
          <w:sz w:val="24"/>
          <w:szCs w:val="24"/>
          <w14:textFill>
            <w14:solidFill>
              <w14:schemeClr w14:val="tx1"/>
            </w14:solidFill>
          </w14:textFill>
        </w:rPr>
        <w:t>5. 参考文献</w:t>
      </w:r>
      <w:bookmarkEnd w:id="216"/>
      <w:bookmarkEnd w:id="217"/>
      <w:r>
        <w:commentReference w:id="34"/>
      </w:r>
    </w:p>
    <w:p w14:paraId="12307E77">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PMID:1338691 Somatic mutation of the APC gene in gastric</w:t>
      </w:r>
      <w:bookmarkStart w:id="219" w:name="_GoBack"/>
      <w:bookmarkEnd w:id="219"/>
      <w:r>
        <w:rPr>
          <w:rFonts w:hint="eastAsia" w:ascii="Calibri" w:hAnsi="Calibri" w:eastAsia="宋体" w:cs="Calibri"/>
          <w:sz w:val="21"/>
          <w:szCs w:val="21"/>
        </w:rPr>
        <w:t xml:space="preserve"> cancer: frequent mutations in very well differentiated adenocarcinoma and signet-ring cell carcinoma.</w:t>
      </w:r>
    </w:p>
    <w:p w14:paraId="56C92F72">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PMID:1423316 Frequent somatic mutations of the APC gene in human pancreatic cancer.</w:t>
      </w:r>
    </w:p>
    <w:p w14:paraId="2A7E6538">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PMID:7792600 A single ataxia telangiectasia gene with a product similar to PI-3 kinase.</w:t>
      </w:r>
    </w:p>
    <w:p w14:paraId="48811FA7">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PMID:8033082 Wild-type but not mutant APC associates with the microtubule cytoskeleton.</w:t>
      </w:r>
    </w:p>
    <w:p w14:paraId="6DD6F02F">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PMID:8698812 The adenomatous polyposis coli tumor suppressor protein localizes to plasma membrane sites involved in active cell migration.</w:t>
      </w:r>
    </w:p>
    <w:p w14:paraId="5A713A93">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PMID:9700202 Huntingtin interacts with a family of WW domain proteins.</w:t>
      </w:r>
    </w:p>
    <w:p w14:paraId="1CC5A217">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PMID:10612830 p53 website and analysis of p53 gene mutations in human cancer: forging a link between epidemiology and carcinogenesis.</w:t>
      </w:r>
    </w:p>
    <w:p w14:paraId="466CE2CA">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PMID:10656683 The APC-hDLG complex negatively regulates cell cycle progression from the G0/G1 to S phase.</w:t>
      </w:r>
    </w:p>
    <w:p w14:paraId="7D3062D3">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PMID:10959075 Wnt/beta-catenin signaling.</w:t>
      </w:r>
    </w:p>
    <w:p w14:paraId="76D38F19">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PMID:12378616 Mutation analysis of APC gene in gastric cancer with microsatellite instability.</w:t>
      </w:r>
    </w:p>
    <w:p w14:paraId="0B7D5A79">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PMID:12619105 Significance of TP53 mutations in human cancer: a critical analysis of mutations at CpG dinucleotides.</w:t>
      </w:r>
    </w:p>
    <w:p w14:paraId="62EFA2A6">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PMID:12730288 An epigenetic road map for histone lysine methylation.</w:t>
      </w:r>
    </w:p>
    <w:p w14:paraId="630CE6D4">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PMID:16118227 Identification and characterization of a novel human histone H3 lysine 36-specific methyltransferase.</w:t>
      </w:r>
    </w:p>
    <w:p w14:paraId="6EC2AAAF">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PMID:16618717 KRAS mutation status is predictive of response to cetuximab therapy in colorectal cancer.</w:t>
      </w:r>
    </w:p>
    <w:p w14:paraId="0B6A49FB">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PMID:17154180 EphA2 overexpression is associated with angiogenesis in ovarian cancer.</w:t>
      </w:r>
    </w:p>
    <w:p w14:paraId="4C6879CC">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PMID:17375050 Clinical relevance of KRAS mutation detection in metastatic colorectal cancer treated by Cetuximab plus chemotherapy.</w:t>
      </w:r>
    </w:p>
    <w:p w14:paraId="1A33305F">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PMID:17664471 Expression of epiregulin and amphiregulin and K-ras mutation status predict disease control in metastatic colorectal cancer patients treated with cetuximab.</w:t>
      </w:r>
    </w:p>
    <w:p w14:paraId="5CC0A405">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PMID:18157086 Dynamic histone H3 methylation during gene induction: HYPB/Setd2 mediates all H3K36 trimethylation.</w:t>
      </w:r>
    </w:p>
    <w:p w14:paraId="64D56EAD">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PMID:18593890 C-Myc is a critical mediator of the phenotypes of Apc loss in the intestine.</w:t>
      </w:r>
    </w:p>
    <w:p w14:paraId="032EA036">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PMID:18621636 Association of K-ras mutational status and clinical outcomes in patients with metastatic colorectal cancer receiving panitumumab alone.</w:t>
      </w:r>
    </w:p>
    <w:p w14:paraId="738D0EB2">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PMID:19336573 High incidence of protein-truncating TP53 mutations in BRCA1-related breast cancer.</w:t>
      </w:r>
    </w:p>
    <w:p w14:paraId="4B277050">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PMID:19401449 PI3K pathway activation mediates resistance to MEK inhibitors in KRAS mutant cancers.</w:t>
      </w:r>
    </w:p>
    <w:p w14:paraId="478F24B1">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PMID:19407794 Cytoplasmic functions of the tumour suppressor p53.</w:t>
      </w:r>
    </w:p>
    <w:p w14:paraId="274A2B7D">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PMID:19531623 Expression of the receptor tyrosine kinase EphA2 is increased in smokers and predicts poor survival in non-small cell lung cancer</w:t>
      </w:r>
    </w:p>
    <w:p w14:paraId="79C188E2">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PMID:19810096 Combination of p53 codon 72 polymorphism and inactive p53 mutation predicts chemosensitivity to 5-fluorouracil in colorectal cancer.</w:t>
      </w:r>
    </w:p>
    <w:p w14:paraId="1BDE8ADF">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PMID:20004998 ATM polymorphisms and risk of lung cancer among never smokers.</w:t>
      </w:r>
    </w:p>
    <w:p w14:paraId="1C5B3AE1">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PMID:20100961 Molecular mechanisms of resistance to cetuximab and panitumumab in colorectal cancer.</w:t>
      </w:r>
    </w:p>
    <w:p w14:paraId="226EC603">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PMID:20215549 Phase I pharmacokinetic and pharmacodynamic study of the oral MAPK/ERK kinase inhibitor PD-0325901 in patients with advanced cancers.</w:t>
      </w:r>
    </w:p>
    <w:p w14:paraId="51D0FC6F">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PMID:20501857 Histone methyltransferase gene SETD2 is a novel tumor suppressor gene in clear cell renal cell carcinoma.</w:t>
      </w:r>
    </w:p>
    <w:p w14:paraId="04175773">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PMID:20664172 Deregulation of the PI3K and KRAS signaling pathways in human cancer cells determines their response to everolimus.</w:t>
      </w:r>
    </w:p>
    <w:p w14:paraId="6749A8C7">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PMID:20944102 Evidence for a tumour suppressor function of SETD2 in human breast cancer: a new hypothesis.</w:t>
      </w:r>
    </w:p>
    <w:p w14:paraId="71CA533D">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PMID:21451123 A MEK inhibitor abrogates myeloproliferative disease in Kras mutant mice.</w:t>
      </w:r>
    </w:p>
    <w:p w14:paraId="1225B633">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PMID:21728981 Anti-cancer peptides from ras-p21 and p53 proteins.</w:t>
      </w:r>
    </w:p>
    <w:p w14:paraId="2C31C5DB">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PMID:22753585 Phase I pharmacokinetic/pharmacodynamic study of MLN8237, an investigational, oral, selective aurora a kinase inhibitor, in patients with advanced solid tumors.</w:t>
      </w:r>
    </w:p>
    <w:p w14:paraId="2B462205">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PMID:22810696 Comprehensive molecular characterization of human colon and rectal cancer.</w:t>
      </w:r>
    </w:p>
    <w:p w14:paraId="3CAF63BB">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PMID:22872685 Combination treatment in vitro with Nutlin, a small-molecule antagonist of MDM2, and pegylated interferon-α 2a specifically targets JAK2V617F-positive polycythemia vera cells.</w:t>
      </w:r>
    </w:p>
    <w:p w14:paraId="01174356">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PMID:22965953 Targeting p53 in vivo: a first-in-human study with p53-targeting compound APR-246 in refractory hematologic malignancies and prostate cancer.</w:t>
      </w:r>
    </w:p>
    <w:p w14:paraId="618D131F">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PMID:23066310 KRAS mutation testing in metastatic colorectal cancer.</w:t>
      </w:r>
    </w:p>
    <w:p w14:paraId="23380B77">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PMID:23182985 Mutant KRAS codon 12 and 13 alleles in patients with metastatic colorectal cancer: assessment as prognostic and predictive biomarkers of response to panitumumab.</w:t>
      </w:r>
    </w:p>
    <w:p w14:paraId="0824BD43">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PMID:24170544 Modeling RAS phenotype in colorectal cancer uncovers novel molecular traits of RAS dependency and improves prediction of response to targeted agents in patients.</w:t>
      </w:r>
    </w:p>
    <w:p w14:paraId="2D551227">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PMID:24200292 Exploiting APC function as a novel cancer therapy.</w:t>
      </w:r>
    </w:p>
    <w:p w14:paraId="7C701085">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PMID:24509477 Identification of functional cooperative mutations of SETD2 in human acute leukemia.</w:t>
      </w:r>
    </w:p>
    <w:p w14:paraId="3D196911">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PMID:24576621 Combination PI3K/MEK inhibition promotes tumor apoptosis and regression in PIK3CA wild-type, KRAS mutant colorectal cancer.</w:t>
      </w:r>
    </w:p>
    <w:p w14:paraId="71B5712D">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PMID:24838627 PRIMA-1, a mutant p53 reactivator, induces apoptosis and enhances chemotherapeutic cytotoxicity in pancreatic cancer cell lines.</w:t>
      </w:r>
    </w:p>
    <w:p w14:paraId="70B5F02C">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PMID:24857548 Gain-of-function mutant p53 promotes cell growth and cancer cell metabolism via inhibition of AMPK activation.</w:t>
      </w:r>
    </w:p>
    <w:p w14:paraId="21EBD476">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PMID:25079552 Comprehensive molecular profiling of lung adenocarcinoma.</w:t>
      </w:r>
    </w:p>
    <w:p w14:paraId="58626D77">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PMID:25322874 Phase II study of selumetinib (AZD6244, ARRY-142886) plus irinotecan as second-line therapy in patients with K-RAS mutated colorectal cancer.</w:t>
      </w:r>
    </w:p>
    <w:p w14:paraId="0D01CBAD">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PMID:25987188 Aurora kinase A in gastrointestinal cancers: time to target.</w:t>
      </w:r>
    </w:p>
    <w:p w14:paraId="1EC065DB">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PMID:26086967 APR-246 overcomes resistance to cisplatin and doxorubicin in ovarian cancer cells.</w:t>
      </w:r>
    </w:p>
    <w:p w14:paraId="4EAA582A">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PMID:26282658 Randomized, Double-Blind Phase II Trial With Prospective Classification by ATM Protein Level to Evaluate the Efficacy and Tolerability of Olaparib Plus Paclitaxel in Patients With Recurrent or Metastatic Gastric Cancer.</w:t>
      </w:r>
    </w:p>
    <w:p w14:paraId="3BE81FC1">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PMID:26425688 TP53 Mutational Status and Prediction of Benefit from Adjuvant 5-Fluorouracil in Stage III Colon Cancer Patients.</w:t>
      </w:r>
    </w:p>
    <w:p w14:paraId="2504940F">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PMID:26452133 PRIMA-1met (APR-246) inhibits growth of colorectal cancer cells with different p53 status through distinct mechanisms.</w:t>
      </w:r>
    </w:p>
    <w:p w14:paraId="5717D9A3">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PMID:26510020 DNA-Repair Defects and Olaparib in Metastatic Prostate Cancer.</w:t>
      </w:r>
    </w:p>
    <w:p w14:paraId="408EC04F">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PMID:26666244 A phase I study of selumetinib (AZD6244/ARRY-142866), a MEK1/2 inhibitor, in combination with cetuximab in refractory solid tumors and KRAS mutant colorectal cancer.</w:t>
      </w:r>
    </w:p>
    <w:p w14:paraId="28EC2CE5">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PMID:26870698 Targeting of Mutant p53 and the Cellular Redox Balance by APR-246 as a Strategy for Efficient Cancer Therapy.</w:t>
      </w:r>
    </w:p>
    <w:p w14:paraId="6D639BE6">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PMID:27022037 Clinical Application of Poly(ADP-Ribose) Polymerase Inhibitors in High-Grade Serous Ovarian Cancer.</w:t>
      </w:r>
    </w:p>
    <w:p w14:paraId="0CD2D644">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PMID:27097374 FANCI is a negative regulator of Akt activation.</w:t>
      </w:r>
    </w:p>
    <w:p w14:paraId="228CD56B">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PMID:27167191 Efficacy of the combination of MEK and CDK4/6 inhibitors in vitro and in vivo in KRAS mutant colorectal cancer models.</w:t>
      </w:r>
    </w:p>
    <w:p w14:paraId="213B0E1C">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PMID:27601554 Phase I Study Evaluating WEE1 Inhibitor AZD1775 As Monotherapy and in Combination With Gemcitabine, Cisplatin, or Carboplatin in Patients With Advanced Solid Tumors.</w:t>
      </w:r>
    </w:p>
    <w:p w14:paraId="7593E341">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PMID:28165374 Evaluation of EphA2 and EphB4 as Targets for Image-Guided Colorectal Cancer Surgery.</w:t>
      </w:r>
    </w:p>
    <w:p w14:paraId="7CBA020A">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PMID:28544747 K-Ras mutation and amplification status is predictive of resistance and high basal pAKT is predictive of sensitivity to everolimus in biliary tract cancer cell lines.</w:t>
      </w:r>
    </w:p>
    <w:p w14:paraId="7CE97B51">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PMID:28966234 Emerging and Diverse Functions of the EphA2 Noncanonical Pathway in Cancer Progression</w:t>
      </w:r>
    </w:p>
    <w:p w14:paraId="40C862FD">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PMID:28978051 Mutational status of TP53 defines the efficacy of Wee1 inhibitor AZD1775 in KRAS-mutant non-small cell lung cancer.</w:t>
      </w:r>
    </w:p>
    <w:p w14:paraId="4FF6686E">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PMID:29285035 Biomarkers of Everolimus Sensitivity in Hormone Receptor-Positive Breast Cancer.</w:t>
      </w:r>
    </w:p>
    <w:p w14:paraId="7CF45B62">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PMID:29955114 Synthetic lethal therapies for cancer: what's next after PARP inhibitors?</w:t>
      </w:r>
    </w:p>
    <w:p w14:paraId="620B5D0C">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PMID:30262796 Comprehensive Analysis of Germline Variants in Mexican Patients with Hereditary Breast and Ovarian Cancer Susceptibility.</w:t>
      </w:r>
    </w:p>
    <w:p w14:paraId="2F864E40">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PMID:30755439 Combined Aurora Kinase A (AURKA) and WEE1 Inhibition Demonstrates Synergistic Antitumor Effect in Squamous Cell Carcinoma of the Head and Neck.</w:t>
      </w:r>
    </w:p>
    <w:p w14:paraId="71B35C60">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PMID:31658756 Landscape of Germline Mutations in DNA Repair Genes for Breast Cancer in Latin America: Opportunities for PARP-Like Inhibitors and Immunotherapy.</w:t>
      </w:r>
    </w:p>
    <w:p w14:paraId="6C377EED">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2019 JCO Abstract 5005 TOPARP-B: A phase II randomized trial of the poly(ADP)-ribose polymerase (PARP) inhibitor olaparib for metastatic castration resistant prostate cancers (mCRPC).</w:t>
      </w:r>
    </w:p>
    <w:p w14:paraId="582E9F42">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NCT01682772 https://clinicaltrials.gov.</w:t>
      </w:r>
    </w:p>
    <w:p w14:paraId="319E1C9C">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NCT02022982 https://clinicaltrials.gov.</w:t>
      </w:r>
    </w:p>
    <w:p w14:paraId="14DCFB43">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NCT02079740 https://clinicaltrials.gov.</w:t>
      </w:r>
    </w:p>
    <w:p w14:paraId="54C2EBAF">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NCT02098343 https://clinicaltrials.gov.</w:t>
      </w:r>
    </w:p>
    <w:p w14:paraId="4589C70B">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NCT02286687 https://clinicaltrials.gov.</w:t>
      </w:r>
    </w:p>
    <w:p w14:paraId="5890C69E">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NCT02407509 https://clinicaltrials.gov.</w:t>
      </w:r>
    </w:p>
    <w:p w14:paraId="191E177F">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NCT02576444 https://clinicaltrials.gov.</w:t>
      </w:r>
    </w:p>
    <w:p w14:paraId="51EB5372">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NCT02613650 https://clinicaltrials.gov.</w:t>
      </w:r>
    </w:p>
    <w:p w14:paraId="327EADF3">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NCT02693535 https://clinicaltrials.gov.</w:t>
      </w:r>
    </w:p>
    <w:p w14:paraId="33C45574">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NCT02873975 https://clinicaltrials.gov.</w:t>
      </w:r>
    </w:p>
    <w:p w14:paraId="1CFA36C3">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NCT02906059 https://clinicaltrials.gov.</w:t>
      </w:r>
    </w:p>
    <w:p w14:paraId="252B6D62">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NCT03065387 https://clinicaltrials.gov.</w:t>
      </w:r>
    </w:p>
    <w:p w14:paraId="227D6C5B">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NCT03072043 https://clinicaltrials.gov.</w:t>
      </w:r>
    </w:p>
    <w:p w14:paraId="75A33A86">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NCT03087071 https://clinicaltrials.gov.</w:t>
      </w:r>
    </w:p>
    <w:p w14:paraId="02CAE482">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NCT03207347 https://clinicaltrials.gov.</w:t>
      </w:r>
    </w:p>
    <w:p w14:paraId="39C6B2C5">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NCT03284385 https://clinicaltrials.gov.</w:t>
      </w:r>
    </w:p>
    <w:p w14:paraId="461C1D7F">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NCT03413995 https://clinicaltrials.gov.</w:t>
      </w:r>
    </w:p>
    <w:p w14:paraId="6E7CE826">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NCT03565991 https://clinicaltrials.gov.</w:t>
      </w:r>
    </w:p>
    <w:p w14:paraId="072EB892">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NCT03842228 https://clinicaltrials.gov.</w:t>
      </w:r>
    </w:p>
    <w:p w14:paraId="16641753">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NCT03875820 https://clinicaltrials.gov.</w:t>
      </w:r>
    </w:p>
    <w:p w14:paraId="5494DE4F">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NCT03981614 https://clinicaltrials.gov.</w:t>
      </w:r>
    </w:p>
    <w:p w14:paraId="714153E3">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NCT04111458 https://clinicaltrials.gov.</w:t>
      </w:r>
    </w:p>
    <w:p w14:paraId="11797752">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NCT04276376 https://clinicaltrials.gov.</w:t>
      </w:r>
    </w:p>
    <w:p w14:paraId="1AE4497C">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NCT04625270 https://clinicaltrials.gov.</w:t>
      </w:r>
    </w:p>
    <w:p w14:paraId="41610EDC">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NCT04633902 https://clinicaltrials.gov.</w:t>
      </w:r>
    </w:p>
    <w:p w14:paraId="76D2A7CD">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NCT04965818 https://clinicaltrials.gov.</w:t>
      </w:r>
    </w:p>
    <w:p w14:paraId="416A83CB">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NCT04985721 https://clinicaltrials.gov.</w:t>
      </w:r>
    </w:p>
    <w:p w14:paraId="7C69A44C">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NCT05379985 https://clinicaltrials.gov.</w:t>
      </w:r>
    </w:p>
    <w:p w14:paraId="1A2F2752">
      <w:pPr>
        <w:rPr>
          <w:rFonts w:hint="eastAsia" w:ascii="微软雅黑" w:hAnsi="微软雅黑"/>
          <w:b/>
          <w:color w:val="00C4D8"/>
          <w:sz w:val="28"/>
          <w:szCs w:val="28"/>
        </w:rPr>
      </w:pPr>
      <w:r>
        <w:rPr>
          <w:rFonts w:hint="eastAsia" w:ascii="微软雅黑" w:hAnsi="微软雅黑"/>
          <w:b/>
          <w:color w:val="00C4D8"/>
          <w:sz w:val="28"/>
          <w:szCs w:val="28"/>
        </w:rPr>
        <w:br w:type="page"/>
      </w:r>
    </w:p>
    <w:p w14:paraId="5E529784">
      <w:pPr>
        <w:adjustRightInd/>
        <w:snapToGrid/>
        <w:spacing w:before="200"/>
        <w:rPr>
          <w:rFonts w:ascii="微软雅黑" w:hAnsi="微软雅黑"/>
          <w:b/>
          <w:color w:val="00C4D8"/>
          <w:sz w:val="28"/>
          <w:szCs w:val="28"/>
        </w:rPr>
      </w:pPr>
      <w:r>
        <w:rPr>
          <w:rFonts w:hint="eastAsia" w:ascii="微软雅黑" w:hAnsi="微软雅黑"/>
          <w:b/>
          <w:color w:val="00C4D8"/>
          <w:sz w:val="28"/>
          <w:szCs w:val="28"/>
        </w:rPr>
        <w:t>本次检测质控结果</w:t>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18677F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8" w:hRule="exact"/>
        </w:trPr>
        <w:tc>
          <w:tcPr>
            <w:tcW w:w="4261" w:type="dxa"/>
            <w:tcBorders>
              <w:top w:val="single" w:color="00C4D8" w:sz="12" w:space="0"/>
              <w:left w:val="nil"/>
              <w:bottom w:val="single" w:color="00C4D8" w:sz="4" w:space="0"/>
              <w:right w:val="nil"/>
            </w:tcBorders>
            <w:shd w:val="clear" w:color="auto" w:fill="auto"/>
            <w:vAlign w:val="center"/>
          </w:tcPr>
          <w:p w14:paraId="3DC9DEDC">
            <w:pPr>
              <w:keepNext w:val="0"/>
              <w:keepLines w:val="0"/>
              <w:widowControl/>
              <w:suppressLineNumbers w:val="0"/>
              <w:adjustRightInd/>
              <w:snapToGrid/>
              <w:spacing w:before="0" w:beforeAutospacing="0" w:after="0" w:afterAutospacing="0"/>
              <w:ind w:left="0" w:right="0"/>
              <w:jc w:val="center"/>
              <w:rPr>
                <w:rFonts w:hint="default" w:ascii="微软雅黑" w:hAnsi="微软雅黑"/>
                <w:b/>
                <w:color w:val="00C4D8"/>
                <w:kern w:val="2"/>
              </w:rPr>
            </w:pPr>
            <w:r>
              <w:rPr>
                <w:rFonts w:hint="eastAsia" w:ascii="微软雅黑" w:hAnsi="微软雅黑"/>
                <w:b/>
                <w:color w:val="00C4D8"/>
                <w:kern w:val="2"/>
              </w:rPr>
              <w:t>质控项</w:t>
            </w:r>
          </w:p>
        </w:tc>
        <w:tc>
          <w:tcPr>
            <w:tcW w:w="4261" w:type="dxa"/>
            <w:tcBorders>
              <w:top w:val="single" w:color="00C4D8" w:sz="12" w:space="0"/>
              <w:left w:val="nil"/>
              <w:bottom w:val="single" w:color="00C4D8" w:sz="4" w:space="0"/>
              <w:right w:val="nil"/>
            </w:tcBorders>
            <w:shd w:val="clear" w:color="auto" w:fill="auto"/>
            <w:vAlign w:val="center"/>
          </w:tcPr>
          <w:p w14:paraId="458AEC98">
            <w:pPr>
              <w:keepNext w:val="0"/>
              <w:keepLines w:val="0"/>
              <w:widowControl/>
              <w:suppressLineNumbers w:val="0"/>
              <w:adjustRightInd/>
              <w:snapToGrid/>
              <w:spacing w:before="0" w:beforeAutospacing="0" w:after="0" w:afterAutospacing="0"/>
              <w:ind w:left="0" w:right="0"/>
              <w:jc w:val="center"/>
              <w:rPr>
                <w:rFonts w:hint="default" w:ascii="微软雅黑" w:hAnsi="微软雅黑"/>
                <w:b/>
                <w:color w:val="00C4D8"/>
                <w:kern w:val="2"/>
              </w:rPr>
            </w:pPr>
            <w:r>
              <w:rPr>
                <w:rFonts w:hint="eastAsia" w:ascii="微软雅黑" w:hAnsi="微软雅黑"/>
                <w:b/>
                <w:color w:val="00C4D8"/>
                <w:kern w:val="2"/>
              </w:rPr>
              <w:t>质控结果</w:t>
            </w:r>
          </w:p>
        </w:tc>
      </w:tr>
      <w:tr w14:paraId="378F6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exact"/>
        </w:trPr>
        <w:tc>
          <w:tcPr>
            <w:tcW w:w="4261" w:type="dxa"/>
            <w:tcBorders>
              <w:top w:val="single" w:color="00C4D8" w:sz="4" w:space="0"/>
              <w:left w:val="nil"/>
              <w:bottom w:val="single" w:color="00C4D8" w:sz="4" w:space="0"/>
              <w:right w:val="nil"/>
            </w:tcBorders>
            <w:shd w:val="clear" w:color="auto" w:fill="DBEEF3" w:themeFill="accent5" w:themeFillTint="32"/>
            <w:vAlign w:val="center"/>
          </w:tcPr>
          <w:p w14:paraId="0A6B78C5">
            <w:pPr>
              <w:keepNext w:val="0"/>
              <w:keepLines w:val="0"/>
              <w:widowControl/>
              <w:suppressLineNumbers w:val="0"/>
              <w:adjustRightInd/>
              <w:snapToGrid/>
              <w:spacing w:before="0" w:beforeAutospacing="0" w:after="0" w:afterAutospacing="0"/>
              <w:ind w:left="0" w:right="0"/>
              <w:jc w:val="center"/>
              <w:rPr>
                <w:rFonts w:hint="default" w:ascii="微软雅黑" w:hAnsi="微软雅黑"/>
                <w:bCs/>
                <w:color w:val="000000" w:themeColor="text1"/>
                <w:kern w:val="2"/>
                <w:sz w:val="18"/>
                <w:szCs w:val="18"/>
                <w14:textFill>
                  <w14:solidFill>
                    <w14:schemeClr w14:val="tx1"/>
                  </w14:solidFill>
                </w14:textFill>
              </w:rPr>
            </w:pPr>
            <w:r>
              <w:rPr>
                <w:rFonts w:hint="eastAsia" w:ascii="微软雅黑" w:hAnsi="微软雅黑"/>
                <w:bCs/>
                <w:color w:val="000000" w:themeColor="text1"/>
                <w:kern w:val="2"/>
                <w:sz w:val="18"/>
                <w:szCs w:val="18"/>
                <w14:textFill>
                  <w14:solidFill>
                    <w14:schemeClr w14:val="tx1"/>
                  </w14:solidFill>
                </w14:textFill>
              </w:rPr>
              <w:t>核酸提取与质量控制</w:t>
            </w:r>
          </w:p>
        </w:tc>
        <w:tc>
          <w:tcPr>
            <w:tcW w:w="4261" w:type="dxa"/>
            <w:tcBorders>
              <w:top w:val="single" w:color="00C4D8" w:sz="4" w:space="0"/>
              <w:left w:val="nil"/>
              <w:bottom w:val="single" w:color="00C4D8" w:sz="4" w:space="0"/>
              <w:right w:val="nil"/>
            </w:tcBorders>
            <w:shd w:val="clear" w:color="auto" w:fill="DBEEF3" w:themeFill="accent5" w:themeFillTint="32"/>
            <w:vAlign w:val="center"/>
          </w:tcPr>
          <w:p w14:paraId="50305995">
            <w:pPr>
              <w:keepNext w:val="0"/>
              <w:keepLines w:val="0"/>
              <w:widowControl/>
              <w:suppressLineNumbers w:val="0"/>
              <w:adjustRightInd/>
              <w:snapToGrid/>
              <w:spacing w:before="0" w:beforeAutospacing="0" w:after="0" w:afterAutospacing="0"/>
              <w:ind w:left="0" w:right="0"/>
              <w:jc w:val="center"/>
              <w:rPr>
                <w:rFonts w:hint="default" w:ascii="微软雅黑" w:hAnsi="微软雅黑"/>
                <w:bCs/>
                <w:color w:val="000000" w:themeColor="text1"/>
                <w:kern w:val="2"/>
                <w:sz w:val="18"/>
                <w:szCs w:val="18"/>
                <w14:textFill>
                  <w14:solidFill>
                    <w14:schemeClr w14:val="tx1"/>
                  </w14:solidFill>
                </w14:textFill>
              </w:rPr>
            </w:pPr>
            <w:r>
              <w:rPr>
                <w:rFonts w:hint="eastAsia" w:ascii="微软雅黑" w:hAnsi="微软雅黑"/>
                <w:bCs/>
                <w:color w:val="000000" w:themeColor="text1"/>
                <w:kern w:val="2"/>
                <w:sz w:val="18"/>
                <w:szCs w:val="18"/>
                <w14:textFill>
                  <w14:solidFill>
                    <w14:schemeClr w14:val="tx1"/>
                  </w14:solidFill>
                </w14:textFill>
              </w:rPr>
              <w:t>合格</w:t>
            </w:r>
          </w:p>
        </w:tc>
      </w:tr>
      <w:tr w14:paraId="6F0B89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exact"/>
        </w:trPr>
        <w:tc>
          <w:tcPr>
            <w:tcW w:w="4261" w:type="dxa"/>
            <w:tcBorders>
              <w:top w:val="single" w:color="00C4D8" w:sz="4" w:space="0"/>
              <w:left w:val="nil"/>
              <w:bottom w:val="single" w:color="00C4D8" w:sz="4" w:space="0"/>
              <w:right w:val="nil"/>
            </w:tcBorders>
            <w:shd w:val="clear" w:color="auto" w:fill="DBEEF3" w:themeFill="accent5" w:themeFillTint="32"/>
            <w:vAlign w:val="center"/>
          </w:tcPr>
          <w:p w14:paraId="194D2627">
            <w:pPr>
              <w:keepNext w:val="0"/>
              <w:keepLines w:val="0"/>
              <w:widowControl/>
              <w:suppressLineNumbers w:val="0"/>
              <w:adjustRightInd/>
              <w:snapToGrid/>
              <w:spacing w:before="0" w:beforeAutospacing="0" w:after="0" w:afterAutospacing="0"/>
              <w:ind w:left="0" w:right="0"/>
              <w:jc w:val="center"/>
              <w:rPr>
                <w:rFonts w:hint="default" w:ascii="微软雅黑" w:hAnsi="微软雅黑"/>
                <w:bCs/>
                <w:color w:val="000000" w:themeColor="text1"/>
                <w:kern w:val="2"/>
                <w:sz w:val="18"/>
                <w:szCs w:val="18"/>
                <w14:textFill>
                  <w14:solidFill>
                    <w14:schemeClr w14:val="tx1"/>
                  </w14:solidFill>
                </w14:textFill>
              </w:rPr>
            </w:pPr>
            <w:r>
              <w:rPr>
                <w:rFonts w:hint="eastAsia" w:ascii="微软雅黑" w:hAnsi="微软雅黑"/>
                <w:bCs/>
                <w:color w:val="000000" w:themeColor="text1"/>
                <w:kern w:val="2"/>
                <w:sz w:val="18"/>
                <w:szCs w:val="18"/>
                <w14:textFill>
                  <w14:solidFill>
                    <w14:schemeClr w14:val="tx1"/>
                  </w14:solidFill>
                </w14:textFill>
              </w:rPr>
              <w:t>文库构建与质量控制</w:t>
            </w:r>
          </w:p>
        </w:tc>
        <w:tc>
          <w:tcPr>
            <w:tcW w:w="4261" w:type="dxa"/>
            <w:tcBorders>
              <w:top w:val="single" w:color="00C4D8" w:sz="4" w:space="0"/>
              <w:left w:val="nil"/>
              <w:bottom w:val="single" w:color="00C4D8" w:sz="4" w:space="0"/>
              <w:right w:val="nil"/>
            </w:tcBorders>
            <w:shd w:val="clear" w:color="auto" w:fill="DBEEF3" w:themeFill="accent5" w:themeFillTint="32"/>
            <w:vAlign w:val="center"/>
          </w:tcPr>
          <w:p w14:paraId="4F9AA28E">
            <w:pPr>
              <w:keepNext w:val="0"/>
              <w:keepLines w:val="0"/>
              <w:widowControl/>
              <w:suppressLineNumbers w:val="0"/>
              <w:adjustRightInd/>
              <w:snapToGrid/>
              <w:spacing w:before="0" w:beforeAutospacing="0" w:after="0" w:afterAutospacing="0"/>
              <w:ind w:left="0" w:right="0"/>
              <w:jc w:val="center"/>
              <w:rPr>
                <w:rFonts w:hint="default" w:ascii="微软雅黑" w:hAnsi="微软雅黑"/>
                <w:bCs/>
                <w:color w:val="000000" w:themeColor="text1"/>
                <w:kern w:val="2"/>
                <w:sz w:val="18"/>
                <w:szCs w:val="18"/>
                <w14:textFill>
                  <w14:solidFill>
                    <w14:schemeClr w14:val="tx1"/>
                  </w14:solidFill>
                </w14:textFill>
              </w:rPr>
            </w:pPr>
            <w:r>
              <w:rPr>
                <w:rFonts w:hint="eastAsia" w:ascii="微软雅黑" w:hAnsi="微软雅黑"/>
                <w:bCs/>
                <w:color w:val="000000" w:themeColor="text1"/>
                <w:kern w:val="2"/>
                <w:sz w:val="18"/>
                <w:szCs w:val="18"/>
                <w14:textFill>
                  <w14:solidFill>
                    <w14:schemeClr w14:val="tx1"/>
                  </w14:solidFill>
                </w14:textFill>
              </w:rPr>
              <w:t>合格</w:t>
            </w:r>
          </w:p>
        </w:tc>
      </w:tr>
      <w:tr w14:paraId="1D43FF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exact"/>
        </w:trPr>
        <w:tc>
          <w:tcPr>
            <w:tcW w:w="4261" w:type="dxa"/>
            <w:tcBorders>
              <w:top w:val="single" w:color="00C4D8" w:sz="4" w:space="0"/>
              <w:left w:val="nil"/>
              <w:bottom w:val="single" w:color="00C4D8" w:sz="4" w:space="0"/>
              <w:right w:val="nil"/>
            </w:tcBorders>
            <w:shd w:val="clear" w:color="auto" w:fill="DBEEF3" w:themeFill="accent5" w:themeFillTint="32"/>
            <w:vAlign w:val="center"/>
          </w:tcPr>
          <w:p w14:paraId="2FC4B39C">
            <w:pPr>
              <w:keepNext w:val="0"/>
              <w:keepLines w:val="0"/>
              <w:widowControl/>
              <w:suppressLineNumbers w:val="0"/>
              <w:adjustRightInd/>
              <w:snapToGrid/>
              <w:spacing w:before="0" w:beforeAutospacing="0" w:after="0" w:afterAutospacing="0"/>
              <w:ind w:left="0" w:right="0"/>
              <w:jc w:val="center"/>
              <w:rPr>
                <w:rFonts w:hint="default" w:ascii="微软雅黑" w:hAnsi="微软雅黑"/>
                <w:bCs/>
                <w:color w:val="000000" w:themeColor="text1"/>
                <w:kern w:val="2"/>
                <w:sz w:val="18"/>
                <w:szCs w:val="18"/>
                <w14:textFill>
                  <w14:solidFill>
                    <w14:schemeClr w14:val="tx1"/>
                  </w14:solidFill>
                </w14:textFill>
              </w:rPr>
            </w:pPr>
            <w:r>
              <w:rPr>
                <w:rFonts w:hint="eastAsia" w:ascii="微软雅黑" w:hAnsi="微软雅黑"/>
                <w:bCs/>
                <w:color w:val="000000" w:themeColor="text1"/>
                <w:kern w:val="2"/>
                <w:sz w:val="18"/>
                <w:szCs w:val="18"/>
                <w14:textFill>
                  <w14:solidFill>
                    <w14:schemeClr w14:val="tx1"/>
                  </w14:solidFill>
                </w14:textFill>
              </w:rPr>
              <w:t>上机测序与质量控制</w:t>
            </w:r>
          </w:p>
        </w:tc>
        <w:tc>
          <w:tcPr>
            <w:tcW w:w="4261" w:type="dxa"/>
            <w:tcBorders>
              <w:top w:val="single" w:color="00C4D8" w:sz="4" w:space="0"/>
              <w:left w:val="nil"/>
              <w:bottom w:val="single" w:color="00C4D8" w:sz="4" w:space="0"/>
              <w:right w:val="nil"/>
            </w:tcBorders>
            <w:shd w:val="clear" w:color="auto" w:fill="DBEEF3" w:themeFill="accent5" w:themeFillTint="32"/>
            <w:vAlign w:val="center"/>
          </w:tcPr>
          <w:p w14:paraId="65F74EB9">
            <w:pPr>
              <w:keepNext w:val="0"/>
              <w:keepLines w:val="0"/>
              <w:widowControl/>
              <w:suppressLineNumbers w:val="0"/>
              <w:adjustRightInd/>
              <w:snapToGrid/>
              <w:spacing w:before="0" w:beforeAutospacing="0" w:after="0" w:afterAutospacing="0"/>
              <w:ind w:left="0" w:right="0"/>
              <w:jc w:val="center"/>
              <w:rPr>
                <w:rFonts w:hint="default" w:ascii="微软雅黑" w:hAnsi="微软雅黑"/>
                <w:bCs/>
                <w:color w:val="000000" w:themeColor="text1"/>
                <w:kern w:val="2"/>
                <w:sz w:val="18"/>
                <w:szCs w:val="18"/>
                <w14:textFill>
                  <w14:solidFill>
                    <w14:schemeClr w14:val="tx1"/>
                  </w14:solidFill>
                </w14:textFill>
              </w:rPr>
            </w:pPr>
            <w:r>
              <w:rPr>
                <w:rFonts w:hint="eastAsia" w:ascii="微软雅黑" w:hAnsi="微软雅黑"/>
                <w:bCs/>
                <w:color w:val="000000" w:themeColor="text1"/>
                <w:kern w:val="2"/>
                <w:sz w:val="18"/>
                <w:szCs w:val="18"/>
                <w14:textFill>
                  <w14:solidFill>
                    <w14:schemeClr w14:val="tx1"/>
                  </w14:solidFill>
                </w14:textFill>
              </w:rPr>
              <w:t>合格</w:t>
            </w:r>
          </w:p>
        </w:tc>
      </w:tr>
      <w:tr w14:paraId="604F9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exact"/>
        </w:trPr>
        <w:tc>
          <w:tcPr>
            <w:tcW w:w="4261" w:type="dxa"/>
            <w:tcBorders>
              <w:top w:val="single" w:color="00C4D8" w:sz="4" w:space="0"/>
              <w:left w:val="nil"/>
              <w:bottom w:val="single" w:color="00C4D8" w:sz="12" w:space="0"/>
              <w:right w:val="nil"/>
            </w:tcBorders>
            <w:shd w:val="clear" w:color="auto" w:fill="DBEEF3" w:themeFill="accent5" w:themeFillTint="32"/>
            <w:vAlign w:val="center"/>
          </w:tcPr>
          <w:p w14:paraId="6A32E683">
            <w:pPr>
              <w:keepNext w:val="0"/>
              <w:keepLines w:val="0"/>
              <w:widowControl/>
              <w:suppressLineNumbers w:val="0"/>
              <w:adjustRightInd/>
              <w:snapToGrid/>
              <w:spacing w:before="0" w:beforeAutospacing="0" w:after="0" w:afterAutospacing="0"/>
              <w:ind w:left="0" w:right="0"/>
              <w:jc w:val="center"/>
              <w:rPr>
                <w:rFonts w:hint="default" w:ascii="微软雅黑" w:hAnsi="微软雅黑"/>
                <w:bCs/>
                <w:color w:val="000000" w:themeColor="text1"/>
                <w:kern w:val="2"/>
                <w:sz w:val="18"/>
                <w:szCs w:val="18"/>
                <w14:textFill>
                  <w14:solidFill>
                    <w14:schemeClr w14:val="tx1"/>
                  </w14:solidFill>
                </w14:textFill>
              </w:rPr>
            </w:pPr>
            <w:r>
              <w:rPr>
                <w:rFonts w:hint="eastAsia" w:ascii="微软雅黑" w:hAnsi="微软雅黑"/>
                <w:bCs/>
                <w:color w:val="000000" w:themeColor="text1"/>
                <w:kern w:val="2"/>
                <w:sz w:val="18"/>
                <w:szCs w:val="18"/>
                <w14:textFill>
                  <w14:solidFill>
                    <w14:schemeClr w14:val="tx1"/>
                  </w14:solidFill>
                </w14:textFill>
              </w:rPr>
              <w:t>数据分析与质量控制</w:t>
            </w:r>
          </w:p>
        </w:tc>
        <w:tc>
          <w:tcPr>
            <w:tcW w:w="4261" w:type="dxa"/>
            <w:tcBorders>
              <w:top w:val="single" w:color="00C4D8" w:sz="4" w:space="0"/>
              <w:left w:val="nil"/>
              <w:bottom w:val="single" w:color="00C4D8" w:sz="12" w:space="0"/>
              <w:right w:val="nil"/>
            </w:tcBorders>
            <w:shd w:val="clear" w:color="auto" w:fill="DBEEF3" w:themeFill="accent5" w:themeFillTint="32"/>
            <w:vAlign w:val="center"/>
          </w:tcPr>
          <w:p w14:paraId="20249EAA">
            <w:pPr>
              <w:keepNext w:val="0"/>
              <w:keepLines w:val="0"/>
              <w:widowControl/>
              <w:suppressLineNumbers w:val="0"/>
              <w:adjustRightInd/>
              <w:snapToGrid/>
              <w:spacing w:before="0" w:beforeAutospacing="0" w:after="0" w:afterAutospacing="0"/>
              <w:ind w:left="0" w:right="0"/>
              <w:jc w:val="center"/>
              <w:rPr>
                <w:rFonts w:hint="default" w:ascii="微软雅黑" w:hAnsi="微软雅黑"/>
                <w:bCs/>
                <w:color w:val="000000" w:themeColor="text1"/>
                <w:kern w:val="2"/>
                <w:sz w:val="18"/>
                <w:szCs w:val="18"/>
                <w14:textFill>
                  <w14:solidFill>
                    <w14:schemeClr w14:val="tx1"/>
                  </w14:solidFill>
                </w14:textFill>
              </w:rPr>
            </w:pPr>
            <w:r>
              <w:rPr>
                <w:rFonts w:hint="eastAsia" w:ascii="微软雅黑" w:hAnsi="微软雅黑"/>
                <w:bCs/>
                <w:color w:val="000000" w:themeColor="text1"/>
                <w:kern w:val="2"/>
                <w:sz w:val="18"/>
                <w:szCs w:val="18"/>
                <w14:textFill>
                  <w14:solidFill>
                    <w14:schemeClr w14:val="tx1"/>
                  </w14:solidFill>
                </w14:textFill>
              </w:rPr>
              <w:t>合格</w:t>
            </w:r>
          </w:p>
        </w:tc>
      </w:tr>
    </w:tbl>
    <w:p w14:paraId="4B113556">
      <w:pPr>
        <w:adjustRightInd/>
        <w:snapToGrid/>
        <w:rPr>
          <w:rFonts w:ascii="微软雅黑" w:hAnsi="微软雅黑"/>
          <w:b/>
          <w:color w:val="00C4D8"/>
          <w:sz w:val="28"/>
          <w:szCs w:val="28"/>
        </w:rPr>
      </w:pPr>
      <w:r>
        <w:rPr>
          <w:rFonts w:hint="eastAsia" w:ascii="微软雅黑" w:hAnsi="微软雅黑"/>
          <w:bCs/>
          <w:color w:val="000000" w:themeColor="text1"/>
          <w:sz w:val="16"/>
          <w:szCs w:val="16"/>
          <w14:textFill>
            <w14:solidFill>
              <w14:schemeClr w14:val="tx1"/>
            </w14:solidFill>
          </w14:textFill>
        </w:rPr>
        <w:t>*质控结果分为“合格”和“风险”两个等级，质控结果“风险”可能会影响检测结果的可靠性。</w:t>
      </w:r>
    </w:p>
    <w:p w14:paraId="5D8164DD">
      <w:pPr>
        <w:adjustRightInd/>
        <w:snapToGrid/>
        <w:spacing w:before="200"/>
        <w:rPr>
          <w:rFonts w:ascii="微软雅黑" w:hAnsi="微软雅黑"/>
          <w:b/>
          <w:color w:val="00C4D8"/>
          <w:sz w:val="28"/>
          <w:szCs w:val="28"/>
        </w:rPr>
      </w:pPr>
      <w:r>
        <w:rPr>
          <w:rFonts w:hint="eastAsia" w:ascii="微软雅黑" w:hAnsi="微软雅黑"/>
          <w:b/>
          <w:color w:val="00C4D8"/>
          <w:sz w:val="28"/>
          <w:szCs w:val="28"/>
        </w:rPr>
        <w:t>高通量测序检测方法说明</w:t>
      </w:r>
    </w:p>
    <w:p w14:paraId="25C665DA">
      <w:pPr>
        <w:pStyle w:val="14"/>
        <w:adjustRightInd/>
        <w:snapToGrid/>
        <w:spacing w:beforeAutospacing="0" w:afterAutospacing="0" w:line="288" w:lineRule="auto"/>
        <w:jc w:val="both"/>
        <w:rPr>
          <w:rFonts w:ascii="微软雅黑" w:hAnsi="微软雅黑" w:cs="微软雅黑"/>
          <w:sz w:val="21"/>
          <w:szCs w:val="21"/>
        </w:rPr>
      </w:pPr>
      <w:r>
        <w:rPr>
          <w:rFonts w:hint="eastAsia" w:ascii="微软雅黑" w:hAnsi="微软雅黑" w:cs="微软雅黑"/>
          <w:sz w:val="21"/>
          <w:szCs w:val="21"/>
        </w:rPr>
        <w:t>本检测基于高通量基因测序平台，对肿瘤基因四种变异类型（包括点突变、小片段的插入缺失、拷贝数变异和目前已知的融合基因）进行检测，并结合自主研发的变异检测软件Detex进行分析，兼具准确性与全面性，提供最全面可信的检测结果。本报告所采用的注释软件及数据库版本号：注释软件annovar（单独开发程序进行补充，2018.04.16）、参考基因组（GRCh37）、1000G（2015.08.24）、dbSNP（151）、clinvar（2020.03.16）、EXAC（0.3.1）、cosmic（2020.05.27）、SIFT/LRT/MT/PhyloP /PolyPhen2_HDIV/PolyPhen2_HVAR（2018.09.21）、Esp6500（2014.12.22）、gnomad211_exome（v2.1.1）、gnomad211_genome（v2.1.1）。</w:t>
      </w:r>
    </w:p>
    <w:p w14:paraId="607EA361">
      <w:pPr>
        <w:adjustRightInd/>
        <w:snapToGrid/>
        <w:spacing w:before="200"/>
        <w:rPr>
          <w:rFonts w:ascii="微软雅黑" w:hAnsi="微软雅黑"/>
          <w:b/>
          <w:color w:val="00C4D8"/>
          <w:sz w:val="28"/>
          <w:szCs w:val="28"/>
        </w:rPr>
      </w:pPr>
      <w:r>
        <w:rPr>
          <w:rFonts w:hint="eastAsia" w:ascii="微软雅黑" w:hAnsi="微软雅黑"/>
          <w:b/>
          <w:color w:val="00C4D8"/>
          <w:sz w:val="28"/>
          <w:szCs w:val="28"/>
        </w:rPr>
        <w:t>高通量测序局限性</w:t>
      </w:r>
    </w:p>
    <w:p w14:paraId="65B6D914">
      <w:pPr>
        <w:pStyle w:val="14"/>
        <w:adjustRightInd/>
        <w:snapToGrid/>
        <w:spacing w:beforeAutospacing="0" w:afterAutospacing="0" w:line="300" w:lineRule="auto"/>
        <w:jc w:val="both"/>
        <w:rPr>
          <w:rFonts w:ascii="微软雅黑" w:hAnsi="微软雅黑" w:cs="微软雅黑"/>
          <w:sz w:val="21"/>
          <w:szCs w:val="21"/>
        </w:rPr>
      </w:pPr>
      <w:r>
        <w:rPr>
          <w:rFonts w:hint="eastAsia" w:ascii="微软雅黑" w:hAnsi="微软雅黑" w:cs="微软雅黑"/>
          <w:sz w:val="21"/>
          <w:szCs w:val="21"/>
        </w:rPr>
        <w:t>1. 肿瘤具有异质性，利用小块组织检测到的变异可能无法完全反映病灶部位全部细胞变异情况，并且可能与血液循环DNA检测结果存在一定的差异。</w:t>
      </w:r>
    </w:p>
    <w:p w14:paraId="27F8FD7C">
      <w:pPr>
        <w:pStyle w:val="14"/>
        <w:adjustRightInd/>
        <w:snapToGrid/>
        <w:spacing w:beforeAutospacing="0" w:afterAutospacing="0" w:line="300" w:lineRule="auto"/>
        <w:jc w:val="both"/>
        <w:rPr>
          <w:rFonts w:ascii="微软雅黑" w:hAnsi="微软雅黑" w:cs="微软雅黑"/>
          <w:sz w:val="21"/>
          <w:szCs w:val="21"/>
        </w:rPr>
      </w:pPr>
      <w:r>
        <w:rPr>
          <w:rFonts w:hint="eastAsia" w:ascii="微软雅黑" w:hAnsi="微软雅黑" w:cs="微软雅黑"/>
          <w:sz w:val="21"/>
          <w:szCs w:val="21"/>
        </w:rPr>
        <w:t xml:space="preserve">2. </w:t>
      </w:r>
      <w:bookmarkStart w:id="218" w:name="OLE_LINK45"/>
      <w:r>
        <w:rPr>
          <w:rFonts w:hint="eastAsia" w:ascii="微软雅黑" w:hAnsi="微软雅黑" w:cs="微软雅黑"/>
          <w:sz w:val="21"/>
          <w:szCs w:val="21"/>
        </w:rPr>
        <w:t>血浆中循环肿瘤DNA</w:t>
      </w:r>
      <w:bookmarkEnd w:id="218"/>
      <w:r>
        <w:rPr>
          <w:rFonts w:hint="eastAsia" w:ascii="微软雅黑" w:hAnsi="微软雅黑" w:cs="微软雅黑"/>
          <w:sz w:val="21"/>
          <w:szCs w:val="21"/>
        </w:rPr>
        <w:t>源自病灶部位细胞释放入血液，并非所有病变细胞的变异都能释放入血，因此血浆中可检测到的变异可能无法完全反映病灶部位全部细胞变异情况。</w:t>
      </w:r>
    </w:p>
    <w:p w14:paraId="231E3BE9">
      <w:pPr>
        <w:pStyle w:val="14"/>
        <w:adjustRightInd/>
        <w:snapToGrid/>
        <w:spacing w:beforeAutospacing="0" w:afterAutospacing="0" w:line="300" w:lineRule="auto"/>
        <w:jc w:val="both"/>
        <w:rPr>
          <w:rFonts w:ascii="微软雅黑" w:hAnsi="微软雅黑" w:cs="微软雅黑"/>
          <w:sz w:val="21"/>
          <w:szCs w:val="21"/>
        </w:rPr>
      </w:pPr>
      <w:r>
        <w:rPr>
          <w:rFonts w:hint="eastAsia" w:ascii="微软雅黑" w:hAnsi="微软雅黑" w:cs="微软雅黑"/>
          <w:sz w:val="21"/>
          <w:szCs w:val="21"/>
        </w:rPr>
        <w:t>3. 部分患者不存在明确的靶向药物对应的基因突变，所以并非所有受检者都可以找到对应靶向药物或明确耐药机制。</w:t>
      </w:r>
    </w:p>
    <w:p w14:paraId="32E221EE">
      <w:pPr>
        <w:adjustRightInd/>
        <w:snapToGrid/>
        <w:spacing w:after="0" w:line="300" w:lineRule="auto"/>
        <w:jc w:val="both"/>
        <w:rPr>
          <w:rFonts w:ascii="微软雅黑" w:hAnsi="微软雅黑" w:cs="微软雅黑"/>
          <w:sz w:val="21"/>
          <w:szCs w:val="21"/>
        </w:rPr>
      </w:pPr>
      <w:r>
        <w:rPr>
          <w:rFonts w:hint="eastAsia" w:ascii="微软雅黑" w:hAnsi="微软雅黑" w:cs="微软雅黑"/>
          <w:sz w:val="21"/>
          <w:szCs w:val="21"/>
        </w:rPr>
        <w:t>4. 检测范围外的基因变异和/或药物间相互作用等非基因变异因素均可能影响药物效果等临床表型。</w:t>
      </w:r>
    </w:p>
    <w:p w14:paraId="71BB6E4F">
      <w:pPr>
        <w:adjustRightInd/>
        <w:snapToGrid/>
        <w:spacing w:after="0" w:line="300" w:lineRule="auto"/>
        <w:jc w:val="both"/>
        <w:rPr>
          <w:rFonts w:ascii="微软雅黑" w:hAnsi="微软雅黑"/>
          <w:b/>
          <w:color w:val="00C4D8"/>
          <w:sz w:val="28"/>
          <w:szCs w:val="28"/>
        </w:rPr>
      </w:pPr>
      <w:r>
        <w:rPr>
          <w:rFonts w:hint="eastAsia" w:ascii="微软雅黑" w:hAnsi="微软雅黑" w:cs="微软雅黑"/>
          <w:sz w:val="21"/>
          <w:szCs w:val="21"/>
        </w:rPr>
        <w:t>5. 部分基因与药物对应关系，目前仅限于临床试验科学研究阶段，尚未进入临床指南，需临床医生酌情参考。</w:t>
      </w:r>
      <w:r>
        <w:rPr>
          <w:rFonts w:hint="eastAsia" w:ascii="微软雅黑" w:hAnsi="微软雅黑"/>
          <w:b/>
          <w:color w:val="00C4D8"/>
          <w:sz w:val="28"/>
          <w:szCs w:val="28"/>
        </w:rPr>
        <w:br w:type="page"/>
      </w:r>
    </w:p>
    <w:p w14:paraId="655AF3BB">
      <w:pPr>
        <w:pStyle w:val="44"/>
        <w:spacing w:line="300" w:lineRule="auto"/>
        <w:ind w:firstLine="0" w:firstLineChars="0"/>
        <w:rPr>
          <w:b/>
          <w:sz w:val="28"/>
          <w:szCs w:val="28"/>
        </w:rPr>
      </w:pPr>
    </w:p>
    <w:p w14:paraId="2239844C">
      <w:pPr>
        <w:adjustRightInd/>
        <w:snapToGrid/>
        <w:spacing w:before="200"/>
        <w:rPr>
          <w:rFonts w:ascii="微软雅黑" w:hAnsi="微软雅黑"/>
          <w:b/>
          <w:color w:val="00C4D8"/>
          <w:sz w:val="28"/>
          <w:szCs w:val="28"/>
        </w:rPr>
      </w:pPr>
      <w:r>
        <w:rPr>
          <w:rFonts w:hint="eastAsia" w:ascii="微软雅黑" w:hAnsi="微软雅黑"/>
          <w:b/>
          <w:color w:val="00C4D8"/>
          <w:sz w:val="28"/>
          <w:szCs w:val="28"/>
        </w:rPr>
        <w:t>脉络医学检验简介</w:t>
      </w:r>
    </w:p>
    <w:p w14:paraId="737C9F02">
      <w:pPr>
        <w:spacing w:line="300" w:lineRule="auto"/>
        <w:ind w:firstLine="420" w:firstLineChars="200"/>
        <w:jc w:val="both"/>
        <w:rPr>
          <w:rFonts w:ascii="微软雅黑" w:hAnsi="微软雅黑" w:cs="微软雅黑"/>
          <w:sz w:val="21"/>
          <w:szCs w:val="21"/>
        </w:rPr>
      </w:pPr>
      <w:r>
        <w:rPr>
          <w:rFonts w:hint="eastAsia" w:ascii="微软雅黑" w:hAnsi="微软雅黑" w:cs="微软雅黑"/>
          <w:sz w:val="21"/>
          <w:szCs w:val="21"/>
        </w:rPr>
        <w:t>脉络医学检验有限公司（以下简称脉络医学检验）是一家以精准医学为导向，以二代测序、数字PCR和医学人工智能为技术核心，集研发、生产和检验服务为一体的创新型高科技医疗机构。脉络医学检验秉承精准、卓越、诚信、为民的企业精神，以科技服务人类健康为宗旨，以打造国际一流的精准医疗大平台为目标，不断创新并努力成为国际一流的一站式精准医疗专业服务机构。</w:t>
      </w:r>
    </w:p>
    <w:p w14:paraId="1B15E9D3">
      <w:pPr>
        <w:spacing w:line="300" w:lineRule="auto"/>
        <w:ind w:firstLine="420" w:firstLineChars="200"/>
        <w:jc w:val="both"/>
        <w:rPr>
          <w:rFonts w:ascii="微软雅黑" w:hAnsi="微软雅黑" w:cs="微软雅黑"/>
          <w:sz w:val="21"/>
          <w:szCs w:val="21"/>
        </w:rPr>
      </w:pPr>
      <w:r>
        <w:rPr>
          <w:rFonts w:hint="eastAsia" w:ascii="微软雅黑" w:hAnsi="微软雅黑" w:cs="微软雅黑"/>
          <w:sz w:val="21"/>
          <w:szCs w:val="21"/>
        </w:rPr>
        <w:t>脉络医学检验位于天津市南开区凌奥创意产业园，拥有7000平方米实验室，配备了国际先进的研发设备，基于PCR、FISH和二代测序技术组建了一流的生物医学分析软硬件平台，拥有国际领先水平的分子诊断及病理检测平台，涵盖基因组学、转录组学、蛋白组学、免疫组学及代谢组学等技术领域。</w:t>
      </w:r>
    </w:p>
    <w:p w14:paraId="6A44D11D">
      <w:pPr>
        <w:spacing w:line="300" w:lineRule="auto"/>
        <w:ind w:firstLine="420" w:firstLineChars="200"/>
        <w:jc w:val="both"/>
        <w:rPr>
          <w:rFonts w:ascii="微软雅黑" w:hAnsi="微软雅黑" w:cs="微软雅黑"/>
          <w:sz w:val="21"/>
          <w:szCs w:val="21"/>
        </w:rPr>
      </w:pPr>
      <w:r>
        <w:rPr>
          <w:rFonts w:hint="eastAsia" w:ascii="微软雅黑" w:hAnsi="微软雅黑" w:cs="微软雅黑"/>
          <w:sz w:val="21"/>
          <w:szCs w:val="21"/>
        </w:rPr>
        <w:t>脉络医学检验以癌症诊疗为核心，检测服务覆盖肿瘤全周期，包括肿瘤遗传风险评估、早期筛查、诊断分型、用药指导、预后评估、复发监测等。脉络医学检验不断进行技术创新和产品优化，联合全国知名医疗机构、高校和企业，整合科学研究、产业开发和临床应用资源，助力我国肿瘤精准医学的发展。</w:t>
      </w:r>
    </w:p>
    <w:p w14:paraId="60754AD9">
      <w:pPr>
        <w:spacing w:line="300" w:lineRule="auto"/>
        <w:ind w:firstLine="420" w:firstLineChars="200"/>
        <w:jc w:val="both"/>
        <w:rPr>
          <w:sz w:val="21"/>
          <w:szCs w:val="21"/>
        </w:rPr>
      </w:pPr>
    </w:p>
    <w:p w14:paraId="518F6E57">
      <w:pPr>
        <w:spacing w:line="300" w:lineRule="auto"/>
        <w:ind w:firstLine="420" w:firstLineChars="200"/>
        <w:jc w:val="both"/>
        <w:rPr>
          <w:sz w:val="21"/>
          <w:szCs w:val="21"/>
        </w:rPr>
      </w:pPr>
    </w:p>
    <w:p w14:paraId="4CBD88B1">
      <w:pPr>
        <w:ind w:firstLine="420" w:firstLineChars="200"/>
        <w:rPr>
          <w:rFonts w:ascii="微软雅黑" w:hAnsi="微软雅黑" w:cs="微软雅黑"/>
          <w:sz w:val="18"/>
          <w:szCs w:val="18"/>
        </w:rPr>
      </w:pPr>
      <w:r>
        <w:rPr>
          <w:sz w:val="21"/>
          <w:szCs w:val="21"/>
        </w:rPr>
        <w:drawing>
          <wp:anchor distT="0" distB="0" distL="114300" distR="114300" simplePos="0" relativeHeight="251667456" behindDoc="0" locked="0" layoutInCell="1" allowOverlap="1">
            <wp:simplePos x="0" y="0"/>
            <wp:positionH relativeFrom="column">
              <wp:posOffset>3543300</wp:posOffset>
            </wp:positionH>
            <wp:positionV relativeFrom="paragraph">
              <wp:posOffset>296545</wp:posOffset>
            </wp:positionV>
            <wp:extent cx="1292860" cy="1292225"/>
            <wp:effectExtent l="0" t="0" r="2540" b="3175"/>
            <wp:wrapSquare wrapText="bothSides"/>
            <wp:docPr id="1048"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 name="图片 1" descr="IMG_256"/>
                    <pic:cNvPicPr>
                      <a:picLocks noChangeAspect="1"/>
                    </pic:cNvPicPr>
                  </pic:nvPicPr>
                  <pic:blipFill>
                    <a:blip r:embed="rId49" cstate="print"/>
                    <a:stretch>
                      <a:fillRect/>
                    </a:stretch>
                  </pic:blipFill>
                  <pic:spPr>
                    <a:xfrm>
                      <a:off x="0" y="0"/>
                      <a:ext cx="1292860" cy="1292225"/>
                    </a:xfrm>
                    <a:prstGeom prst="rect">
                      <a:avLst/>
                    </a:prstGeom>
                    <a:solidFill>
                      <a:srgbClr val="79CED5"/>
                    </a:solidFill>
                    <a:ln w="9525">
                      <a:noFill/>
                    </a:ln>
                  </pic:spPr>
                </pic:pic>
              </a:graphicData>
            </a:graphic>
          </wp:anchor>
        </w:drawing>
      </w:r>
    </w:p>
    <w:p w14:paraId="58DB6AD4">
      <w:pPr>
        <w:ind w:firstLine="360" w:firstLineChars="200"/>
        <w:rPr>
          <w:rFonts w:ascii="微软雅黑" w:hAnsi="微软雅黑" w:cs="微软雅黑"/>
          <w:sz w:val="18"/>
          <w:szCs w:val="18"/>
        </w:rPr>
      </w:pPr>
      <w:r>
        <w:rPr>
          <w:rFonts w:hint="eastAsia" w:ascii="微软雅黑" w:hAnsi="微软雅黑" w:cs="微软雅黑"/>
          <w:sz w:val="18"/>
          <w:szCs w:val="18"/>
        </w:rPr>
        <w:t>地址：天津市南开区凌奥创意产业园三期二号综合楼脉络大厦</w:t>
      </w:r>
    </w:p>
    <w:p w14:paraId="0DB51C51">
      <w:pPr>
        <w:ind w:firstLine="360" w:firstLineChars="200"/>
        <w:rPr>
          <w:rFonts w:ascii="微软雅黑" w:hAnsi="微软雅黑" w:cs="微软雅黑"/>
          <w:sz w:val="18"/>
          <w:szCs w:val="18"/>
        </w:rPr>
      </w:pPr>
      <w:r>
        <w:rPr>
          <w:rFonts w:hint="eastAsia" w:ascii="微软雅黑" w:hAnsi="微软雅黑" w:cs="微软雅黑"/>
          <w:sz w:val="18"/>
          <w:szCs w:val="18"/>
        </w:rPr>
        <w:t>电话：022-87190699</w:t>
      </w:r>
    </w:p>
    <w:p w14:paraId="6BC1D133">
      <w:pPr>
        <w:ind w:firstLine="360" w:firstLineChars="200"/>
        <w:rPr>
          <w:rFonts w:ascii="微软雅黑" w:hAnsi="微软雅黑" w:cs="微软雅黑"/>
          <w:sz w:val="18"/>
          <w:szCs w:val="18"/>
        </w:rPr>
      </w:pPr>
      <w:r>
        <w:rPr>
          <w:rFonts w:hint="eastAsia" w:ascii="微软雅黑" w:hAnsi="微软雅黑" w:cs="微软雅黑"/>
          <w:sz w:val="18"/>
          <w:szCs w:val="18"/>
        </w:rPr>
        <w:t>邮箱：marvel@marvelbio.com</w:t>
      </w:r>
    </w:p>
    <w:p w14:paraId="1E24AFF3">
      <w:pPr>
        <w:spacing w:line="300" w:lineRule="auto"/>
        <w:ind w:firstLine="360" w:firstLineChars="200"/>
        <w:jc w:val="both"/>
        <w:rPr>
          <w:sz w:val="21"/>
          <w:szCs w:val="21"/>
        </w:rPr>
      </w:pPr>
      <w:r>
        <w:rPr>
          <w:rFonts w:hint="eastAsia" w:ascii="微软雅黑" w:hAnsi="微软雅黑" w:cs="微软雅黑"/>
          <w:sz w:val="18"/>
          <w:szCs w:val="18"/>
        </w:rPr>
        <w:t>网站：www.marvelbio.com</w:t>
      </w:r>
    </w:p>
    <w:p w14:paraId="062B67DE">
      <w:pPr>
        <w:spacing w:line="300" w:lineRule="auto"/>
        <w:ind w:firstLine="420" w:firstLineChars="200"/>
        <w:jc w:val="both"/>
        <w:rPr>
          <w:sz w:val="21"/>
          <w:szCs w:val="21"/>
        </w:rPr>
      </w:pPr>
    </w:p>
    <w:p w14:paraId="18B36913">
      <w:pPr>
        <w:spacing w:line="300" w:lineRule="auto"/>
        <w:ind w:firstLine="440" w:firstLineChars="200"/>
        <w:jc w:val="both"/>
        <w:rPr>
          <w:sz w:val="21"/>
          <w:szCs w:val="21"/>
        </w:rPr>
      </w:pPr>
      <w:r>
        <w:rPr>
          <w:rFonts w:hint="eastAsia"/>
        </w:rPr>
        <w:t xml:space="preserve">  </w:t>
      </w:r>
    </w:p>
    <w:p w14:paraId="21E9B78E">
      <w:pPr>
        <w:spacing w:line="300" w:lineRule="auto"/>
        <w:rPr>
          <w:sz w:val="21"/>
          <w:szCs w:val="21"/>
        </w:rPr>
        <w:sectPr>
          <w:headerReference r:id="rId11" w:type="default"/>
          <w:footerReference r:id="rId12" w:type="default"/>
          <w:pgSz w:w="11906" w:h="16838"/>
          <w:pgMar w:top="1440" w:right="1800" w:bottom="1440" w:left="1800" w:header="709" w:footer="708" w:gutter="0"/>
          <w:cols w:space="708" w:num="1"/>
          <w:docGrid w:linePitch="360" w:charSpace="0"/>
        </w:sectPr>
      </w:pPr>
    </w:p>
    <w:bookmarkEnd w:id="14"/>
    <w:bookmarkEnd w:id="15"/>
    <w:p w14:paraId="77177A48">
      <w:pPr>
        <w:spacing w:after="0"/>
        <w:jc w:val="center"/>
      </w:pPr>
      <w:r>
        <w:rPr>
          <w:rFonts w:hint="eastAsia" w:ascii="微软雅黑" w:hAnsi="微软雅黑" w:cs="微软雅黑"/>
          <w:b/>
          <w:sz w:val="21"/>
          <w:szCs w:val="21"/>
        </w:rPr>
        <w:drawing>
          <wp:anchor distT="0" distB="0" distL="114300" distR="114300" simplePos="0" relativeHeight="251689984" behindDoc="0" locked="0" layoutInCell="1" allowOverlap="1">
            <wp:simplePos x="0" y="0"/>
            <wp:positionH relativeFrom="column">
              <wp:posOffset>-448945</wp:posOffset>
            </wp:positionH>
            <wp:positionV relativeFrom="paragraph">
              <wp:posOffset>-1076325</wp:posOffset>
            </wp:positionV>
            <wp:extent cx="7547610" cy="10774680"/>
            <wp:effectExtent l="0" t="0" r="15240" b="7620"/>
            <wp:wrapNone/>
            <wp:docPr id="1049" name="图片 49" descr="报告末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 name="图片 49" descr="报告末页"/>
                    <pic:cNvPicPr>
                      <a:picLocks noChangeAspect="1"/>
                    </pic:cNvPicPr>
                  </pic:nvPicPr>
                  <pic:blipFill>
                    <a:blip r:embed="rId50"/>
                    <a:stretch>
                      <a:fillRect/>
                    </a:stretch>
                  </pic:blipFill>
                  <pic:spPr>
                    <a:xfrm>
                      <a:off x="0" y="0"/>
                      <a:ext cx="7547610" cy="10774680"/>
                    </a:xfrm>
                    <a:prstGeom prst="rect">
                      <a:avLst/>
                    </a:prstGeom>
                  </pic:spPr>
                </pic:pic>
              </a:graphicData>
            </a:graphic>
          </wp:anchor>
        </w:drawing>
      </w:r>
    </w:p>
    <w:p w14:paraId="0C013770"/>
    <w:sectPr>
      <w:headerReference r:id="rId15" w:type="first"/>
      <w:headerReference r:id="rId13" w:type="default"/>
      <w:footerReference r:id="rId16" w:type="default"/>
      <w:headerReference r:id="rId14" w:type="even"/>
      <w:pgSz w:w="11906" w:h="16838"/>
      <w:pgMar w:top="720" w:right="720" w:bottom="720" w:left="720" w:header="709" w:footer="708" w:gutter="0"/>
      <w:cols w:space="708"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依米" w:date="2025-12-10T10:05:23Z" w:initials="">
    <w:p w14:paraId="5F1366DF">
      <w:pPr>
        <w:pStyle w:val="5"/>
        <w:rPr>
          <w:rFonts w:hint="default" w:eastAsia="微软雅黑"/>
          <w:lang w:val="en-US" w:eastAsia="zh-CN"/>
        </w:rPr>
      </w:pPr>
      <w:r>
        <w:rPr>
          <w:rFonts w:hint="eastAsia"/>
          <w:lang w:val="en-US" w:eastAsia="zh-CN"/>
        </w:rPr>
        <w:t xml:space="preserve">基本信息来源： </w:t>
      </w:r>
    </w:p>
    <w:p w14:paraId="767700B1">
      <w:pPr>
        <w:pStyle w:val="5"/>
      </w:pPr>
      <w:r>
        <w:drawing>
          <wp:inline distT="0" distB="0" distL="114300" distR="114300">
            <wp:extent cx="5260340" cy="3848735"/>
            <wp:effectExtent l="0" t="0" r="10160" b="1206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
                    <a:stretch>
                      <a:fillRect/>
                    </a:stretch>
                  </pic:blipFill>
                  <pic:spPr>
                    <a:xfrm>
                      <a:off x="0" y="0"/>
                      <a:ext cx="5260340" cy="3848735"/>
                    </a:xfrm>
                    <a:prstGeom prst="rect">
                      <a:avLst/>
                    </a:prstGeom>
                    <a:noFill/>
                    <a:ln>
                      <a:noFill/>
                    </a:ln>
                  </pic:spPr>
                </pic:pic>
              </a:graphicData>
            </a:graphic>
          </wp:inline>
        </w:drawing>
      </w:r>
    </w:p>
  </w:comment>
  <w:comment w:id="1" w:author="依米" w:date="2025-12-10T10:06:28Z" w:initials="">
    <w:p w14:paraId="4CB439CE">
      <w:pPr>
        <w:pStyle w:val="5"/>
      </w:pPr>
      <w:r>
        <w:drawing>
          <wp:inline distT="0" distB="0" distL="114300" distR="114300">
            <wp:extent cx="5271135" cy="1843405"/>
            <wp:effectExtent l="0" t="0" r="12065" b="1079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2"/>
                    <a:stretch>
                      <a:fillRect/>
                    </a:stretch>
                  </pic:blipFill>
                  <pic:spPr>
                    <a:xfrm>
                      <a:off x="0" y="0"/>
                      <a:ext cx="5271135" cy="1843405"/>
                    </a:xfrm>
                    <a:prstGeom prst="rect">
                      <a:avLst/>
                    </a:prstGeom>
                    <a:noFill/>
                    <a:ln>
                      <a:noFill/>
                    </a:ln>
                  </pic:spPr>
                </pic:pic>
              </a:graphicData>
            </a:graphic>
          </wp:inline>
        </w:drawing>
      </w:r>
    </w:p>
  </w:comment>
  <w:comment w:id="2" w:author="依米" w:date="2025-12-10T10:06:42Z" w:initials="">
    <w:p w14:paraId="61DCC780">
      <w:pPr>
        <w:pStyle w:val="5"/>
      </w:pPr>
      <w:r>
        <w:drawing>
          <wp:inline distT="0" distB="0" distL="114300" distR="114300">
            <wp:extent cx="5266690" cy="911225"/>
            <wp:effectExtent l="0" t="0" r="3810" b="3175"/>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3"/>
                    <a:stretch>
                      <a:fillRect/>
                    </a:stretch>
                  </pic:blipFill>
                  <pic:spPr>
                    <a:xfrm>
                      <a:off x="0" y="0"/>
                      <a:ext cx="5266690" cy="911225"/>
                    </a:xfrm>
                    <a:prstGeom prst="rect">
                      <a:avLst/>
                    </a:prstGeom>
                    <a:noFill/>
                    <a:ln>
                      <a:noFill/>
                    </a:ln>
                  </pic:spPr>
                </pic:pic>
              </a:graphicData>
            </a:graphic>
          </wp:inline>
        </w:drawing>
      </w:r>
    </w:p>
  </w:comment>
  <w:comment w:id="3" w:author="依米" w:date="2025-12-10T10:10:00Z" w:initials="">
    <w:p w14:paraId="4C3E55B6">
      <w:pPr>
        <w:pStyle w:val="5"/>
      </w:pPr>
      <w:r>
        <w:rPr>
          <w:rFonts w:hint="eastAsia"/>
          <w:lang w:val="en-US" w:eastAsia="zh-CN"/>
        </w:rPr>
        <w:t>我们会在表单A列中标注出</w:t>
      </w:r>
      <w:r>
        <w:rPr>
          <w:rFonts w:hint="eastAsia" w:ascii="微软雅黑" w:hAnsi="微软雅黑"/>
          <w:sz w:val="18"/>
        </w:rPr>
        <w:t>Ⅰ类</w:t>
      </w:r>
      <w:r>
        <w:rPr>
          <w:rFonts w:hint="eastAsia" w:ascii="微软雅黑" w:hAnsi="微软雅黑"/>
          <w:sz w:val="18"/>
          <w:lang w:eastAsia="zh-CN"/>
        </w:rPr>
        <w:t>、</w:t>
      </w:r>
      <w:r>
        <w:rPr>
          <w:rFonts w:hint="eastAsia" w:ascii="微软雅黑" w:hAnsi="微软雅黑"/>
          <w:sz w:val="18"/>
        </w:rPr>
        <w:t>Ⅱ类</w:t>
      </w:r>
      <w:r>
        <w:rPr>
          <w:rFonts w:hint="eastAsia" w:ascii="微软雅黑" w:hAnsi="微软雅黑"/>
          <w:sz w:val="18"/>
          <w:lang w:eastAsia="zh-CN"/>
        </w:rPr>
        <w:t>、</w:t>
      </w:r>
      <w:r>
        <w:rPr>
          <w:rFonts w:hint="eastAsia" w:ascii="微软雅黑" w:hAnsi="微软雅黑"/>
          <w:sz w:val="18"/>
        </w:rPr>
        <w:t>Ⅲ类</w:t>
      </w:r>
      <w:r>
        <w:rPr>
          <w:rFonts w:hint="eastAsia" w:ascii="微软雅黑" w:hAnsi="微软雅黑"/>
          <w:sz w:val="18"/>
          <w:lang w:eastAsia="zh-CN"/>
        </w:rPr>
        <w:t>，</w:t>
      </w:r>
      <w:r>
        <w:rPr>
          <w:rFonts w:hint="eastAsia" w:ascii="微软雅黑" w:hAnsi="微软雅黑"/>
          <w:sz w:val="18"/>
          <w:lang w:val="en-US" w:eastAsia="zh-CN"/>
        </w:rPr>
        <w:t>这个表格中只要出现</w:t>
      </w:r>
      <w:r>
        <w:rPr>
          <w:rFonts w:hint="eastAsia" w:ascii="微软雅黑" w:hAnsi="微软雅黑"/>
          <w:sz w:val="18"/>
        </w:rPr>
        <w:t>Ⅰ类</w:t>
      </w:r>
      <w:r>
        <w:rPr>
          <w:rFonts w:hint="eastAsia" w:ascii="微软雅黑" w:hAnsi="微软雅黑"/>
          <w:sz w:val="18"/>
          <w:lang w:eastAsia="zh-CN"/>
        </w:rPr>
        <w:t>、</w:t>
      </w:r>
      <w:r>
        <w:rPr>
          <w:rFonts w:hint="eastAsia" w:ascii="微软雅黑" w:hAnsi="微软雅黑"/>
          <w:sz w:val="18"/>
        </w:rPr>
        <w:t>Ⅱ类</w:t>
      </w:r>
      <w:r>
        <w:rPr>
          <w:rFonts w:hint="eastAsia" w:ascii="微软雅黑" w:hAnsi="微软雅黑"/>
          <w:sz w:val="18"/>
          <w:lang w:val="en-US" w:eastAsia="zh-CN"/>
        </w:rPr>
        <w:t>的基因即可</w:t>
      </w:r>
      <w:r>
        <w:drawing>
          <wp:inline distT="0" distB="0" distL="114300" distR="114300">
            <wp:extent cx="5266055" cy="3505200"/>
            <wp:effectExtent l="0" t="0" r="4445" b="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4"/>
                    <a:stretch>
                      <a:fillRect/>
                    </a:stretch>
                  </pic:blipFill>
                  <pic:spPr>
                    <a:xfrm>
                      <a:off x="0" y="0"/>
                      <a:ext cx="5266055" cy="3505200"/>
                    </a:xfrm>
                    <a:prstGeom prst="rect">
                      <a:avLst/>
                    </a:prstGeom>
                    <a:noFill/>
                    <a:ln>
                      <a:noFill/>
                    </a:ln>
                  </pic:spPr>
                </pic:pic>
              </a:graphicData>
            </a:graphic>
          </wp:inline>
        </w:drawing>
      </w:r>
    </w:p>
  </w:comment>
  <w:comment w:id="4" w:author="依米" w:date="2025-12-10T10:11:49Z" w:initials="">
    <w:p w14:paraId="42F07B02">
      <w:pPr>
        <w:pStyle w:val="5"/>
        <w:rPr>
          <w:rFonts w:hint="default" w:eastAsia="微软雅黑"/>
          <w:lang w:val="en-US" w:eastAsia="zh-CN"/>
        </w:rPr>
      </w:pPr>
      <w:r>
        <w:rPr>
          <w:rFonts w:hint="eastAsia"/>
          <w:lang w:val="en-US" w:eastAsia="zh-CN"/>
        </w:rPr>
        <w:t>这一列是表单中E、F列的组合，中间用英文逗号与换行 隔开即可</w:t>
      </w:r>
    </w:p>
  </w:comment>
  <w:comment w:id="5" w:author="依米" w:date="2025-12-10T10:12:43Z" w:initials="">
    <w:p w14:paraId="26DEDF26">
      <w:pPr>
        <w:pStyle w:val="5"/>
        <w:rPr>
          <w:rFonts w:hint="default" w:eastAsia="微软雅黑"/>
          <w:lang w:val="en-US" w:eastAsia="zh-CN"/>
        </w:rPr>
      </w:pPr>
      <w:r>
        <w:rPr>
          <w:rFonts w:hint="eastAsia"/>
        </w:rPr>
        <w:t>潜在获益靶向药物</w:t>
      </w:r>
      <w:r>
        <w:rPr>
          <w:rFonts w:hint="eastAsia"/>
          <w:lang w:val="en-US" w:eastAsia="zh-CN"/>
        </w:rPr>
        <w:t xml:space="preserve"> 与 可能耐药或慎重药物，这一列 需要辛苦杨经理帮我们调取一下既往报告中的内容（格式的话 文件中有一个：+++自建肠癌基因数据库 可以参考）</w:t>
      </w:r>
    </w:p>
  </w:comment>
  <w:comment w:id="6" w:author="依米" w:date="2025-12-10T10:15:54Z" w:initials="">
    <w:p w14:paraId="02EDBBFE">
      <w:pPr>
        <w:pStyle w:val="5"/>
        <w:rPr>
          <w:rFonts w:hint="default" w:eastAsia="微软雅黑"/>
          <w:lang w:val="en-US" w:eastAsia="zh-CN"/>
        </w:rPr>
      </w:pPr>
      <w:r>
        <w:rPr>
          <w:rFonts w:hint="eastAsia"/>
          <w:lang w:val="en-US" w:eastAsia="zh-CN"/>
        </w:rPr>
        <w:t>这部分内容不用动</w:t>
      </w:r>
    </w:p>
  </w:comment>
  <w:comment w:id="7" w:author="依米" w:date="2025-12-10T10:16:30Z" w:initials="">
    <w:p w14:paraId="2F16F1E3">
      <w:pPr>
        <w:pStyle w:val="5"/>
        <w:rPr>
          <w:rFonts w:hint="eastAsia"/>
          <w:lang w:val="en-US" w:eastAsia="zh-CN"/>
        </w:rPr>
      </w:pPr>
      <w:r>
        <w:rPr>
          <w:rFonts w:hint="eastAsia"/>
          <w:lang w:val="en-US" w:eastAsia="zh-CN"/>
        </w:rPr>
        <w:t>这部分内容是 上面</w:t>
      </w:r>
      <w:r>
        <w:rPr>
          <w:rFonts w:hint="eastAsia"/>
        </w:rPr>
        <w:t>潜在获益靶向药物</w:t>
      </w:r>
      <w:r>
        <w:rPr>
          <w:rFonts w:hint="eastAsia"/>
          <w:lang w:val="en-US" w:eastAsia="zh-CN"/>
        </w:rPr>
        <w:t xml:space="preserve"> 与 可能耐药或慎重药物 出现的药物 加上商品名的汇总，这部分 请您看下从报告中提取方便与否？</w:t>
      </w:r>
    </w:p>
    <w:p w14:paraId="3D1941FD">
      <w:pPr>
        <w:pStyle w:val="5"/>
        <w:rPr>
          <w:rFonts w:hint="default"/>
          <w:lang w:val="en-US" w:eastAsia="zh-CN"/>
        </w:rPr>
      </w:pPr>
      <w:r>
        <w:rPr>
          <w:rFonts w:hint="eastAsia"/>
          <w:lang w:val="en-US" w:eastAsia="zh-CN"/>
        </w:rPr>
        <w:t>不好弄的话 我们这边 可以汇总一下 所有药物的商品名发您</w:t>
      </w:r>
    </w:p>
  </w:comment>
  <w:comment w:id="8" w:author="依米" w:date="2025-12-10T10:18:35Z" w:initials="">
    <w:p w14:paraId="1ABDD75B">
      <w:pPr>
        <w:pStyle w:val="5"/>
      </w:pPr>
      <w:r>
        <w:rPr>
          <w:rFonts w:hint="eastAsia"/>
          <w:lang w:val="en-US" w:eastAsia="zh-CN"/>
        </w:rPr>
        <w:t>数值来源：</w:t>
      </w:r>
      <w:r>
        <w:drawing>
          <wp:inline distT="0" distB="0" distL="114300" distR="114300">
            <wp:extent cx="2520315" cy="2988310"/>
            <wp:effectExtent l="0" t="0" r="6985" b="8890"/>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5"/>
                    <a:stretch>
                      <a:fillRect/>
                    </a:stretch>
                  </pic:blipFill>
                  <pic:spPr>
                    <a:xfrm>
                      <a:off x="0" y="0"/>
                      <a:ext cx="2520315" cy="2988310"/>
                    </a:xfrm>
                    <a:prstGeom prst="rect">
                      <a:avLst/>
                    </a:prstGeom>
                    <a:noFill/>
                    <a:ln>
                      <a:noFill/>
                    </a:ln>
                  </pic:spPr>
                </pic:pic>
              </a:graphicData>
            </a:graphic>
          </wp:inline>
        </w:drawing>
      </w:r>
    </w:p>
  </w:comment>
  <w:comment w:id="9" w:author="依米" w:date="2025-12-10T10:18:51Z" w:initials="">
    <w:p w14:paraId="6491F8D1">
      <w:pPr>
        <w:pStyle w:val="5"/>
        <w:rPr>
          <w:rFonts w:hint="default" w:eastAsia="微软雅黑"/>
          <w:lang w:val="en-US" w:eastAsia="zh-CN"/>
        </w:rPr>
      </w:pPr>
      <w:r>
        <w:rPr>
          <w:rFonts w:hint="eastAsia"/>
          <w:lang w:val="en-US" w:eastAsia="zh-CN"/>
        </w:rPr>
        <w:t>参考值 看样本类型，组织就是10；血液是16</w:t>
      </w:r>
    </w:p>
  </w:comment>
  <w:comment w:id="10" w:author="依米" w:date="2025-12-10T10:19:13Z" w:initials="">
    <w:p w14:paraId="1529B33D">
      <w:pPr>
        <w:pStyle w:val="5"/>
        <w:rPr>
          <w:rFonts w:hint="default" w:eastAsia="微软雅黑"/>
          <w:lang w:val="en-US" w:eastAsia="zh-CN"/>
        </w:rPr>
      </w:pPr>
      <w:r>
        <w:rPr>
          <w:rFonts w:hint="eastAsia"/>
          <w:lang w:val="en-US" w:eastAsia="zh-CN"/>
        </w:rPr>
        <w:t>用药提示 是根据癌种变动的，肠癌都是一致的</w:t>
      </w:r>
    </w:p>
  </w:comment>
  <w:comment w:id="11" w:author="依米" w:date="2025-12-10T10:20:07Z" w:initials="">
    <w:p w14:paraId="0551283D">
      <w:pPr>
        <w:pStyle w:val="5"/>
      </w:pPr>
      <w:r>
        <w:drawing>
          <wp:inline distT="0" distB="0" distL="114300" distR="114300">
            <wp:extent cx="3245485" cy="2427605"/>
            <wp:effectExtent l="0" t="0" r="5715" b="10795"/>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6"/>
                    <a:stretch>
                      <a:fillRect/>
                    </a:stretch>
                  </pic:blipFill>
                  <pic:spPr>
                    <a:xfrm>
                      <a:off x="0" y="0"/>
                      <a:ext cx="3245485" cy="2427605"/>
                    </a:xfrm>
                    <a:prstGeom prst="rect">
                      <a:avLst/>
                    </a:prstGeom>
                    <a:noFill/>
                    <a:ln>
                      <a:noFill/>
                    </a:ln>
                  </pic:spPr>
                </pic:pic>
              </a:graphicData>
            </a:graphic>
          </wp:inline>
        </w:drawing>
      </w:r>
    </w:p>
  </w:comment>
  <w:comment w:id="12" w:author="依米" w:date="2025-12-10T10:20:23Z" w:initials="">
    <w:p w14:paraId="3C7AEDB7">
      <w:pPr>
        <w:pStyle w:val="5"/>
        <w:rPr>
          <w:rFonts w:hint="eastAsia" w:eastAsia="微软雅黑"/>
          <w:lang w:val="en-US" w:eastAsia="zh-CN"/>
        </w:rPr>
      </w:pPr>
      <w:r>
        <w:rPr>
          <w:rFonts w:hint="eastAsia"/>
          <w:lang w:val="en-US" w:eastAsia="zh-CN"/>
        </w:rPr>
        <w:t>免疫相关基因这里 我可以跟您提供一个表，只要出现了 这些基因的Ⅰ类、Ⅱ类突变 就放在这里，</w:t>
      </w:r>
      <w:r>
        <w:rPr>
          <w:rFonts w:hint="eastAsia" w:ascii="微软雅黑" w:hAnsi="微软雅黑"/>
          <w:sz w:val="18"/>
        </w:rPr>
        <w:t>Ⅲ类</w:t>
      </w:r>
      <w:r>
        <w:rPr>
          <w:rFonts w:hint="eastAsia" w:ascii="微软雅黑" w:hAnsi="微软雅黑"/>
          <w:sz w:val="18"/>
          <w:lang w:val="en-US" w:eastAsia="zh-CN"/>
        </w:rPr>
        <w:t>不用</w:t>
      </w:r>
    </w:p>
  </w:comment>
  <w:comment w:id="13" w:author="依米" w:date="2025-12-10T10:22:05Z" w:initials="">
    <w:p w14:paraId="71FF9A26">
      <w:pPr>
        <w:pStyle w:val="5"/>
        <w:rPr>
          <w:rFonts w:hint="default" w:eastAsia="微软雅黑"/>
          <w:lang w:val="en-US" w:eastAsia="zh-CN"/>
        </w:rPr>
      </w:pPr>
      <w:r>
        <w:rPr>
          <w:rFonts w:hint="eastAsia"/>
          <w:lang w:val="en-US" w:eastAsia="zh-CN"/>
        </w:rPr>
        <w:t>肠癌 TMB-L写法都是固定的，TMB-H的 见肖振娟报告</w:t>
      </w:r>
    </w:p>
  </w:comment>
  <w:comment w:id="14" w:author="依米" w:date="2025-12-10T10:26:03Z" w:initials="">
    <w:p w14:paraId="749841AF">
      <w:pPr>
        <w:pStyle w:val="5"/>
      </w:pPr>
      <w:r>
        <w:drawing>
          <wp:inline distT="0" distB="0" distL="114300" distR="114300">
            <wp:extent cx="1061085" cy="1819910"/>
            <wp:effectExtent l="0" t="0" r="5715" b="8890"/>
            <wp:docPr id="1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8"/>
                    <pic:cNvPicPr>
                      <a:picLocks noChangeAspect="1"/>
                    </pic:cNvPicPr>
                  </pic:nvPicPr>
                  <pic:blipFill>
                    <a:blip r:embed="rId7"/>
                    <a:stretch>
                      <a:fillRect/>
                    </a:stretch>
                  </pic:blipFill>
                  <pic:spPr>
                    <a:xfrm>
                      <a:off x="0" y="0"/>
                      <a:ext cx="1061085" cy="1819910"/>
                    </a:xfrm>
                    <a:prstGeom prst="rect">
                      <a:avLst/>
                    </a:prstGeom>
                    <a:noFill/>
                    <a:ln>
                      <a:noFill/>
                    </a:ln>
                  </pic:spPr>
                </pic:pic>
              </a:graphicData>
            </a:graphic>
          </wp:inline>
        </w:drawing>
      </w:r>
    </w:p>
  </w:comment>
  <w:comment w:id="15" w:author="依米" w:date="2025-12-10T10:25:40Z" w:initials="">
    <w:p w14:paraId="34C83E15">
      <w:pPr>
        <w:pStyle w:val="5"/>
      </w:pPr>
      <w:r>
        <w:rPr>
          <w:rFonts w:hint="eastAsia"/>
          <w:lang w:val="en-US" w:eastAsia="zh-CN"/>
        </w:rPr>
        <w:t>对应：</w:t>
      </w:r>
      <w:r>
        <w:drawing>
          <wp:inline distT="0" distB="0" distL="114300" distR="114300">
            <wp:extent cx="5269865" cy="1452880"/>
            <wp:effectExtent l="0" t="0" r="635" b="7620"/>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8"/>
                    <a:stretch>
                      <a:fillRect/>
                    </a:stretch>
                  </pic:blipFill>
                  <pic:spPr>
                    <a:xfrm>
                      <a:off x="0" y="0"/>
                      <a:ext cx="5269865" cy="1452880"/>
                    </a:xfrm>
                    <a:prstGeom prst="rect">
                      <a:avLst/>
                    </a:prstGeom>
                    <a:noFill/>
                    <a:ln>
                      <a:noFill/>
                    </a:ln>
                  </pic:spPr>
                </pic:pic>
              </a:graphicData>
            </a:graphic>
          </wp:inline>
        </w:drawing>
      </w:r>
    </w:p>
  </w:comment>
  <w:comment w:id="16" w:author="依米" w:date="2025-12-10T10:26:19Z" w:initials="">
    <w:p w14:paraId="0B9130EC">
      <w:pPr>
        <w:pStyle w:val="5"/>
        <w:rPr>
          <w:rFonts w:hint="default" w:eastAsia="微软雅黑"/>
          <w:lang w:val="en-US" w:eastAsia="zh-CN"/>
        </w:rPr>
      </w:pPr>
      <w:r>
        <w:rPr>
          <w:rFonts w:hint="eastAsia"/>
          <w:lang w:val="en-US" w:eastAsia="zh-CN"/>
        </w:rPr>
        <w:t>这个是看c.格式来的，del是缺失，dup重复，ins插入，delins确实插入</w:t>
      </w:r>
    </w:p>
  </w:comment>
  <w:comment w:id="17" w:author="依米" w:date="2025-12-10T10:27:47Z" w:initials="">
    <w:p w14:paraId="4E3E2976">
      <w:pPr>
        <w:pStyle w:val="5"/>
        <w:rPr>
          <w:rFonts w:hint="default" w:eastAsia="微软雅黑"/>
          <w:lang w:val="en-US" w:eastAsia="zh-CN"/>
        </w:rPr>
      </w:pPr>
      <w:r>
        <w:rPr>
          <w:rFonts w:hint="eastAsia"/>
          <w:lang w:val="en-US" w:eastAsia="zh-CN"/>
        </w:rPr>
        <w:t>下面这些未见突变的 也是根据癌种不同来的，我们之后提供给您一个 各癌症重要基因的表</w:t>
      </w:r>
    </w:p>
  </w:comment>
  <w:comment w:id="18" w:author="依米" w:date="2025-12-10T10:29:18Z" w:initials="">
    <w:p w14:paraId="3C2331E9">
      <w:pPr>
        <w:pStyle w:val="5"/>
        <w:rPr>
          <w:rFonts w:hint="default" w:eastAsia="微软雅黑"/>
          <w:lang w:val="en-US" w:eastAsia="zh-CN"/>
        </w:rPr>
      </w:pPr>
      <w:r>
        <w:rPr>
          <w:rFonts w:hint="eastAsia"/>
          <w:lang w:val="en-US" w:eastAsia="zh-CN"/>
        </w:rPr>
        <w:t>肠癌 固定用这个就好</w:t>
      </w:r>
    </w:p>
  </w:comment>
  <w:comment w:id="19" w:author="依米" w:date="2025-12-10T10:29:45Z" w:initials="">
    <w:p w14:paraId="4848C197">
      <w:pPr>
        <w:pStyle w:val="5"/>
        <w:rPr>
          <w:rFonts w:hint="eastAsia"/>
          <w:lang w:val="en-US" w:eastAsia="zh-CN"/>
        </w:rPr>
      </w:pPr>
      <w:r>
        <w:rPr>
          <w:rFonts w:hint="eastAsia"/>
          <w:lang w:val="en-US" w:eastAsia="zh-CN"/>
        </w:rPr>
        <w:t>这个表，根据 我们筛选出来的基因 Ⅰ类、</w:t>
      </w:r>
      <w:r>
        <w:rPr>
          <w:rFonts w:hint="eastAsia" w:ascii="微软雅黑" w:hAnsi="微软雅黑"/>
          <w:sz w:val="18"/>
        </w:rPr>
        <w:t>Ⅱ类</w:t>
      </w:r>
      <w:r>
        <w:rPr>
          <w:rFonts w:hint="eastAsia"/>
          <w:lang w:val="en-US" w:eastAsia="zh-CN"/>
        </w:rPr>
        <w:t>符合条件的话 填进去就好；</w:t>
      </w:r>
    </w:p>
    <w:p w14:paraId="56E9E01E">
      <w:pPr>
        <w:pStyle w:val="5"/>
        <w:rPr>
          <w:rFonts w:hint="default" w:eastAsia="微软雅黑"/>
          <w:lang w:val="en-US" w:eastAsia="zh-CN"/>
        </w:rPr>
      </w:pPr>
      <w:r>
        <w:rPr>
          <w:rFonts w:hint="eastAsia" w:ascii="微软雅黑" w:hAnsi="微软雅黑"/>
          <w:sz w:val="18"/>
        </w:rPr>
        <w:t>Ⅲ类</w:t>
      </w:r>
      <w:r>
        <w:rPr>
          <w:rFonts w:hint="eastAsia" w:ascii="微软雅黑" w:hAnsi="微软雅黑"/>
          <w:sz w:val="18"/>
          <w:lang w:val="en-US" w:eastAsia="zh-CN"/>
        </w:rPr>
        <w:t>需要填进去 同时加上（意义未明突变）</w:t>
      </w:r>
    </w:p>
  </w:comment>
  <w:comment w:id="20" w:author="依米" w:date="2025-12-10T10:31:19Z" w:initials="">
    <w:p w14:paraId="244A014F">
      <w:pPr>
        <w:pStyle w:val="5"/>
        <w:rPr>
          <w:rFonts w:hint="default" w:eastAsia="微软雅黑"/>
          <w:lang w:val="en-US" w:eastAsia="zh-CN"/>
        </w:rPr>
      </w:pPr>
      <w:r>
        <w:rPr>
          <w:rFonts w:hint="eastAsia"/>
          <w:lang w:val="en-US" w:eastAsia="zh-CN"/>
        </w:rPr>
        <w:t>肠癌 固定就好</w:t>
      </w:r>
    </w:p>
  </w:comment>
  <w:comment w:id="21" w:author="依米" w:date="2025-12-10T10:31:44Z" w:initials="">
    <w:p w14:paraId="5EBB139C">
      <w:pPr>
        <w:pStyle w:val="5"/>
        <w:rPr>
          <w:rFonts w:hint="default" w:eastAsia="微软雅黑"/>
          <w:lang w:val="en-US" w:eastAsia="zh-CN"/>
        </w:rPr>
      </w:pPr>
      <w:r>
        <w:rPr>
          <w:rFonts w:hint="eastAsia"/>
          <w:lang w:val="en-US" w:eastAsia="zh-CN"/>
        </w:rPr>
        <w:t>TMB与上面表单来源一致</w:t>
      </w:r>
    </w:p>
  </w:comment>
  <w:comment w:id="22" w:author="依米" w:date="2025-12-10T10:32:09Z" w:initials="">
    <w:p w14:paraId="29B9BA9D">
      <w:pPr>
        <w:pStyle w:val="5"/>
        <w:rPr>
          <w:rFonts w:hint="default" w:eastAsia="微软雅黑"/>
          <w:lang w:val="en-US" w:eastAsia="zh-CN"/>
        </w:rPr>
      </w:pPr>
      <w:r>
        <w:rPr>
          <w:rFonts w:hint="eastAsia"/>
          <w:lang w:val="en-US" w:eastAsia="zh-CN"/>
        </w:rPr>
        <w:t>MSI与上面表单来源一致</w:t>
      </w:r>
    </w:p>
    <w:p w14:paraId="5BCF2CDC">
      <w:pPr>
        <w:pStyle w:val="5"/>
      </w:pPr>
    </w:p>
  </w:comment>
  <w:comment w:id="23" w:author="依米" w:date="2025-12-10T10:32:31Z" w:initials="">
    <w:p w14:paraId="6342564D">
      <w:pPr>
        <w:pStyle w:val="5"/>
        <w:rPr>
          <w:rFonts w:hint="default" w:eastAsia="微软雅黑"/>
          <w:lang w:val="en-US" w:eastAsia="zh-CN"/>
        </w:rPr>
      </w:pPr>
      <w:r>
        <w:rPr>
          <w:rFonts w:hint="eastAsia"/>
          <w:lang w:val="en-US" w:eastAsia="zh-CN"/>
        </w:rPr>
        <w:t>此处逻辑 与上表一致</w:t>
      </w:r>
    </w:p>
  </w:comment>
  <w:comment w:id="24" w:author="依米" w:date="2025-12-10T10:33:13Z" w:initials="">
    <w:p w14:paraId="6D2D3BF3">
      <w:pPr>
        <w:pStyle w:val="5"/>
        <w:rPr>
          <w:rFonts w:hint="default" w:eastAsia="微软雅黑"/>
          <w:lang w:val="en-US" w:eastAsia="zh-CN"/>
        </w:rPr>
      </w:pPr>
      <w:r>
        <w:rPr>
          <w:rFonts w:hint="eastAsia"/>
          <w:lang w:val="en-US" w:eastAsia="zh-CN"/>
        </w:rPr>
        <w:t>基因变异 大部分内容根据基因走的（未标注部分 该基因的所有癌种 均一致）；需要变动的如下：</w:t>
      </w:r>
    </w:p>
  </w:comment>
  <w:comment w:id="25" w:author="依米" w:date="2025-12-10T10:34:11Z" w:initials="">
    <w:p w14:paraId="04948B9B">
      <w:pPr>
        <w:pStyle w:val="5"/>
        <w:rPr>
          <w:rFonts w:hint="default" w:eastAsia="微软雅黑"/>
          <w:lang w:val="en-US" w:eastAsia="zh-CN"/>
        </w:rPr>
      </w:pPr>
      <w:r>
        <w:rPr>
          <w:rFonts w:hint="eastAsia"/>
          <w:lang w:val="en-US" w:eastAsia="zh-CN"/>
        </w:rPr>
        <w:t>来源C E F I列</w:t>
      </w:r>
    </w:p>
  </w:comment>
  <w:comment w:id="26" w:author="依米" w:date="2025-12-10T10:34:35Z" w:initials="">
    <w:p w14:paraId="562B8DBC">
      <w:pPr>
        <w:pStyle w:val="5"/>
        <w:rPr>
          <w:rFonts w:hint="default" w:eastAsia="微软雅黑"/>
          <w:lang w:val="en-US" w:eastAsia="zh-CN"/>
        </w:rPr>
      </w:pPr>
      <w:r>
        <w:rPr>
          <w:rFonts w:hint="eastAsia"/>
          <w:lang w:val="en-US" w:eastAsia="zh-CN"/>
        </w:rPr>
        <w:t>需要根据位点实际情况编写 自动化</w:t>
      </w:r>
    </w:p>
  </w:comment>
  <w:comment w:id="27" w:author="依米" w:date="2025-12-10T10:35:31Z" w:initials="">
    <w:p w14:paraId="6B462666">
      <w:pPr>
        <w:pStyle w:val="5"/>
        <w:rPr>
          <w:rFonts w:hint="default" w:eastAsia="微软雅黑"/>
          <w:lang w:val="en-US" w:eastAsia="zh-CN"/>
        </w:rPr>
      </w:pPr>
      <w:r>
        <w:rPr>
          <w:rFonts w:hint="eastAsia"/>
          <w:lang w:val="en-US" w:eastAsia="zh-CN"/>
        </w:rPr>
        <w:t>这句话 可以先帮我们收集已有的，未出现过的 我们可以后续录入</w:t>
      </w:r>
    </w:p>
  </w:comment>
  <w:comment w:id="28" w:author="依米" w:date="2025-12-10T10:36:50Z" w:initials="">
    <w:p w14:paraId="375E1E97">
      <w:pPr>
        <w:pStyle w:val="5"/>
        <w:rPr>
          <w:rFonts w:hint="default" w:eastAsia="微软雅黑"/>
          <w:lang w:val="en-US" w:eastAsia="zh-CN"/>
        </w:rPr>
      </w:pPr>
      <w:r>
        <w:rPr>
          <w:rFonts w:hint="eastAsia"/>
          <w:lang w:val="en-US" w:eastAsia="zh-CN"/>
        </w:rPr>
        <w:t>不同癌种会有区别，肠癌均一致</w:t>
      </w:r>
    </w:p>
  </w:comment>
  <w:comment w:id="29" w:author="依米" w:date="2025-12-10T10:58:52Z" w:initials="">
    <w:p w14:paraId="1D07F3FF">
      <w:pPr>
        <w:pStyle w:val="5"/>
        <w:rPr>
          <w:rFonts w:hint="default" w:eastAsia="微软雅黑"/>
          <w:lang w:val="en-US" w:eastAsia="zh-CN"/>
        </w:rPr>
      </w:pPr>
      <w:r>
        <w:rPr>
          <w:rFonts w:hint="eastAsia"/>
          <w:lang w:val="en-US" w:eastAsia="zh-CN"/>
        </w:rPr>
        <w:t>固定即可</w:t>
      </w:r>
    </w:p>
  </w:comment>
  <w:comment w:id="30" w:author="依米" w:date="2025-12-10T10:59:08Z" w:initials="">
    <w:p w14:paraId="6CFDDFCD">
      <w:pPr>
        <w:pStyle w:val="5"/>
      </w:pPr>
      <w:r>
        <w:rPr>
          <w:rFonts w:hint="eastAsia"/>
          <w:lang w:val="en-US" w:eastAsia="zh-CN"/>
        </w:rPr>
        <w:t>固定即可</w:t>
      </w:r>
    </w:p>
  </w:comment>
  <w:comment w:id="31" w:author="依米" w:date="2025-12-10T10:59:15Z" w:initials="">
    <w:p w14:paraId="747489A6">
      <w:pPr>
        <w:pStyle w:val="5"/>
        <w:rPr>
          <w:rFonts w:hint="default" w:eastAsia="微软雅黑"/>
          <w:lang w:val="en-US" w:eastAsia="zh-CN"/>
        </w:rPr>
      </w:pPr>
      <w:r>
        <w:rPr>
          <w:rFonts w:hint="eastAsia"/>
          <w:lang w:val="en-US" w:eastAsia="zh-CN"/>
        </w:rPr>
        <w:t>根据癌种走的，肠癌固定这个就好</w:t>
      </w:r>
    </w:p>
  </w:comment>
  <w:comment w:id="32" w:author="依米" w:date="2025-12-10T10:59:47Z" w:initials="">
    <w:p w14:paraId="5A49E899">
      <w:pPr>
        <w:pStyle w:val="5"/>
        <w:rPr>
          <w:rFonts w:hint="eastAsia" w:eastAsia="微软雅黑"/>
          <w:lang w:val="en-US" w:eastAsia="zh-CN"/>
        </w:rPr>
      </w:pPr>
      <w:r>
        <w:rPr>
          <w:rFonts w:hint="eastAsia"/>
          <w:lang w:val="en-US" w:eastAsia="zh-CN"/>
        </w:rPr>
        <w:t>固定即可</w:t>
      </w:r>
    </w:p>
  </w:comment>
  <w:comment w:id="33" w:author="依米" w:date="2025-12-10T11:01:46Z" w:initials="">
    <w:p w14:paraId="2FE1BE32">
      <w:pPr>
        <w:pStyle w:val="5"/>
        <w:rPr>
          <w:rFonts w:hint="default" w:eastAsia="微软雅黑"/>
          <w:lang w:val="en-US" w:eastAsia="zh-CN"/>
        </w:rPr>
      </w:pPr>
      <w:r>
        <w:rPr>
          <w:rFonts w:hint="eastAsia"/>
          <w:lang w:val="en-US" w:eastAsia="zh-CN"/>
        </w:rPr>
        <w:t>跟检测数目相关</w:t>
      </w:r>
    </w:p>
  </w:comment>
  <w:comment w:id="34" w:author="依米" w:date="2025-12-10T11:02:29Z" w:initials="">
    <w:p w14:paraId="5EF177E3">
      <w:pPr>
        <w:pStyle w:val="5"/>
        <w:rPr>
          <w:rFonts w:hint="default" w:eastAsia="微软雅黑"/>
          <w:lang w:val="en-US" w:eastAsia="zh-CN"/>
        </w:rPr>
      </w:pPr>
      <w:r>
        <w:rPr>
          <w:rFonts w:hint="eastAsia"/>
          <w:lang w:val="en-US" w:eastAsia="zh-CN"/>
        </w:rPr>
        <w:t>根据基因简介+药物 两个模块中出现的参考文献，通过PubMed查找。https://pubmed.ncbi.nlm.nih.gov/</w:t>
      </w:r>
      <w:r>
        <w:drawing>
          <wp:inline distT="0" distB="0" distL="114300" distR="114300">
            <wp:extent cx="3968750" cy="2550160"/>
            <wp:effectExtent l="0" t="0" r="6350" b="2540"/>
            <wp:docPr id="1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9"/>
                    <pic:cNvPicPr>
                      <a:picLocks noChangeAspect="1"/>
                    </pic:cNvPicPr>
                  </pic:nvPicPr>
                  <pic:blipFill>
                    <a:blip r:embed="rId9"/>
                    <a:stretch>
                      <a:fillRect/>
                    </a:stretch>
                  </pic:blipFill>
                  <pic:spPr>
                    <a:xfrm>
                      <a:off x="0" y="0"/>
                      <a:ext cx="3968750" cy="2550160"/>
                    </a:xfrm>
                    <a:prstGeom prst="rect">
                      <a:avLst/>
                    </a:prstGeom>
                    <a:noFill/>
                    <a:ln>
                      <a:noFill/>
                    </a:ln>
                  </pic:spPr>
                </pic:pic>
              </a:graphicData>
            </a:graphic>
          </wp:inline>
        </w:drawing>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767700B1" w15:done="0"/>
  <w15:commentEx w15:paraId="4CB439CE" w15:done="0"/>
  <w15:commentEx w15:paraId="61DCC780" w15:done="0"/>
  <w15:commentEx w15:paraId="4C3E55B6" w15:done="0"/>
  <w15:commentEx w15:paraId="42F07B02" w15:done="0"/>
  <w15:commentEx w15:paraId="26DEDF26" w15:done="0"/>
  <w15:commentEx w15:paraId="02EDBBFE" w15:done="0"/>
  <w15:commentEx w15:paraId="3D1941FD" w15:done="0"/>
  <w15:commentEx w15:paraId="1ABDD75B" w15:done="0"/>
  <w15:commentEx w15:paraId="6491F8D1" w15:done="0"/>
  <w15:commentEx w15:paraId="1529B33D" w15:done="0"/>
  <w15:commentEx w15:paraId="0551283D" w15:done="0"/>
  <w15:commentEx w15:paraId="3C7AEDB7" w15:done="0"/>
  <w15:commentEx w15:paraId="71FF9A26" w15:done="0"/>
  <w15:commentEx w15:paraId="749841AF" w15:done="0"/>
  <w15:commentEx w15:paraId="34C83E15" w15:done="0"/>
  <w15:commentEx w15:paraId="0B9130EC" w15:done="0"/>
  <w15:commentEx w15:paraId="4E3E2976" w15:done="0"/>
  <w15:commentEx w15:paraId="3C2331E9" w15:done="0"/>
  <w15:commentEx w15:paraId="56E9E01E" w15:done="0"/>
  <w15:commentEx w15:paraId="244A014F" w15:done="0"/>
  <w15:commentEx w15:paraId="5EBB139C" w15:done="0"/>
  <w15:commentEx w15:paraId="5BCF2CDC" w15:done="0"/>
  <w15:commentEx w15:paraId="6342564D" w15:done="0"/>
  <w15:commentEx w15:paraId="6D2D3BF3" w15:done="0"/>
  <w15:commentEx w15:paraId="04948B9B" w15:done="0"/>
  <w15:commentEx w15:paraId="562B8DBC" w15:done="0"/>
  <w15:commentEx w15:paraId="6B462666" w15:done="0"/>
  <w15:commentEx w15:paraId="375E1E97" w15:done="0"/>
  <w15:commentEx w15:paraId="1D07F3FF" w15:done="0"/>
  <w15:commentEx w15:paraId="6CFDDFCD" w15:done="0"/>
  <w15:commentEx w15:paraId="747489A6" w15:done="0"/>
  <w15:commentEx w15:paraId="5A49E899" w15:done="0"/>
  <w15:commentEx w15:paraId="2FE1BE32" w15:done="0"/>
  <w15:commentEx w15:paraId="5EF177E3"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0"/>
    <w:family w:val="auto"/>
    <w:pitch w:val="default"/>
    <w:sig w:usb0="E0002EFF" w:usb1="C000785B" w:usb2="00000009" w:usb3="00000000" w:csb0="400001FF" w:csb1="FFFF0000"/>
  </w:font>
  <w:font w:name="宋体">
    <w:panose1 w:val="02010600030101010101"/>
    <w:charset w:val="8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swiss"/>
    <w:pitch w:val="default"/>
    <w:sig w:usb0="80000287" w:usb1="2ACF3C50" w:usb2="00000016" w:usb3="00000000" w:csb0="0004001F" w:csb1="00000000"/>
  </w:font>
  <w:font w:name="TimesNewRomanPSMT">
    <w:altName w:val="Times New Roman"/>
    <w:panose1 w:val="00000000000000000000"/>
    <w:charset w:val="00"/>
    <w:family w:val="roman"/>
    <w:pitch w:val="default"/>
    <w:sig w:usb0="00000000" w:usb1="00000000" w:usb2="00000010" w:usb3="00000000" w:csb0="00040001" w:csb1="00000000"/>
  </w:font>
  <w:font w:name="ArialUnicodeM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imesNewRomanPS-ItalicMT">
    <w:altName w:val="Segoe Print"/>
    <w:panose1 w:val="00000000000000000000"/>
    <w:charset w:val="00"/>
    <w:family w:val="auto"/>
    <w:pitch w:val="default"/>
    <w:sig w:usb0="00000000" w:usb1="00000000" w:usb2="00000000" w:usb3="00000000" w:csb0="00000000" w:csb1="00000000"/>
  </w:font>
  <w:font w:name="Arial Unicode MS">
    <w:altName w:val="宋体"/>
    <w:panose1 w:val="020B0604020202020204"/>
    <w:charset w:val="86"/>
    <w:family w:val="swiss"/>
    <w:pitch w:val="default"/>
    <w:sig w:usb0="00000000" w:usb1="00000000" w:usb2="0000003F" w:usb3="00000000" w:csb0="603F01FF" w:csb1="FFFF0000"/>
  </w:font>
  <w:font w:name="LPJNJT+Arial Unicode MS">
    <w:altName w:val="SimSun-ExtB"/>
    <w:panose1 w:val="00000000000000000000"/>
    <w:charset w:val="01"/>
    <w:family w:val="swiss"/>
    <w:pitch w:val="default"/>
    <w:sig w:usb0="00000000" w:usb1="00000000" w:usb2="0000003F" w:usb3="00000000" w:csb0="603F01FF" w:csb1="FFFF0000"/>
  </w:font>
  <w:font w:name="SimSun-ExtB">
    <w:panose1 w:val="02010609060101010101"/>
    <w:charset w:val="86"/>
    <w:family w:val="auto"/>
    <w:pitch w:val="default"/>
    <w:sig w:usb0="00000001" w:usb1="02000000" w:usb2="00000000" w:usb3="00000000" w:csb0="00040001" w:csb1="00000000"/>
  </w:font>
  <w:font w:name="OSTASS+åæä¸­å®">
    <w:altName w:val="微软雅黑"/>
    <w:panose1 w:val="00000000000000000000"/>
    <w:charset w:val="01"/>
    <w:family w:val="auto"/>
    <w:pitch w:val="default"/>
    <w:sig w:usb0="00000000" w:usb1="00000000" w:usb2="00000000" w:usb3="00000000" w:csb0="0004009F" w:csb1="DFD70000"/>
  </w:font>
  <w:font w:name="幼圆">
    <w:panose1 w:val="02010509060101010101"/>
    <w:charset w:val="86"/>
    <w:family w:val="modern"/>
    <w:pitch w:val="default"/>
    <w:sig w:usb0="00000001" w:usb1="080E0000" w:usb2="00000000" w:usb3="00000000" w:csb0="00040000" w:csb1="00000000"/>
  </w:font>
  <w:font w:name="Helvetica">
    <w:altName w:val="Arial"/>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E56BA6">
    <w:pPr>
      <w:pStyle w:val="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A09AA7">
    <w:pPr>
      <w:pStyle w:val="8"/>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FC4ECB">
    <w:pPr>
      <w:pStyle w:val="8"/>
      <w:pBdr>
        <w:top w:val="single" w:color="auto" w:sz="4" w:space="0"/>
      </w:pBdr>
      <w:jc w:val="center"/>
      <w:rPr>
        <w:sz w:val="21"/>
        <w:szCs w:val="21"/>
      </w:rPr>
    </w:pPr>
    <w:r>
      <w:rPr>
        <w:sz w:val="21"/>
      </w:rPr>
      <mc:AlternateContent>
        <mc:Choice Requires="wps">
          <w:drawing>
            <wp:anchor distT="0" distB="0" distL="114300" distR="114300" simplePos="0" relativeHeight="2516858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3"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9525">
                        <a:noFill/>
                      </a:ln>
                      <a:effectLst/>
                    </wps:spPr>
                    <wps:txbx>
                      <w:txbxContent>
                        <w:p w14:paraId="26548C6F">
                          <w:pPr>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1</w:t>
                          </w:r>
                          <w:r>
                            <w:rPr>
                              <w:rFonts w:hint="eastAsia"/>
                              <w:sz w:val="18"/>
                            </w:rPr>
                            <w:fldChar w:fldCharType="end"/>
                          </w:r>
                        </w:p>
                      </w:txbxContent>
                    </wps:txbx>
                    <wps:bodyPr wrap="none" lIns="0" tIns="0" rIns="0" bIns="0">
                      <a:spAutoFit/>
                    </wps:bodyPr>
                  </wps:wsp>
                </a:graphicData>
              </a:graphic>
            </wp:anchor>
          </w:drawing>
        </mc:Choice>
        <mc:Fallback>
          <w:pict>
            <v:shape id="文本框 4" o:spid="_x0000_s1026" o:spt="202" type="#_x0000_t202" style="position:absolute;left:0pt;margin-top:0pt;height:144pt;width:144pt;mso-position-horizontal:center;mso-position-horizontal-relative:margin;mso-wrap-style:none;z-index:251685888;mso-width-relative:page;mso-height-relative:page;" filled="f" stroked="f" coordsize="21600,21600" o:gfxdata="UEsDBAoAAAAAAIdO4kAAAAAAAAAAAAAAAAAEAAAAZHJzL1BLAwQUAAAACACHTuJAzql5uc8AAAAF AQAADwAAAGRycy9kb3ducmV2LnhtbE2PMWvDMBCF90L/g7hAt0ZOhtY4ljMEsnRLWgrdFOtimUgn IymO/e9zLYV2Oe7xjnffq7eTd2LEmPpAClbLAgRSG0xPnYKP9/1zCSJlTUa7QKhgxgTb5vGh1pUJ NzrgeMyd4BBKlVZgcx4qKVNr0eu0DAMSe+cQvc4sYydN1DcO906ui+JFet0Tf7B6wJ3F9nK8egWv 02fAIeEOv85jG20/l+5tVuppsSo2IDJO+e8YvvEZHRpmOoUrmSScAi6SfyZ767JkefpdZFPL//TN HVBLAwQUAAAACACHTuJAlIdXtdIBAAClAwAADgAAAGRycy9lMm9Eb2MueG1srVNLbtswEN0XyB0I 7mspalI4guWghZGiQNEWSHoAmiItAvyBQ1vyBdobdNVN9z2Xz5EhJTlFusmiG2qGM/M4781odTsY TQ4igHK2oZeLkhJhuWuV3TX028Pd6yUlEJltmXZWNPQogN6uL16tel+LynVOtyIQBLFQ976hXYy+ LgrgnTAMFs4Li0HpgmER3bAr2sB6RDe6qMrybdG70PrguADA280YpBNieAmgk1JxsXF8b4SNI2oQ mkWkBJ3yQNe5WykFj1+kBBGJbigyjfnER9DeprNYr1i9C8x3ik8tsJe08IyTYcrio2eoDYuM7IP6 B8ooHhw4GRfcmWIkkhVBFpflM23uO+ZF5oJSgz+LDv8Pln8+fA1EtQ2t3lBimcGJn37+OP36c/r9 nVwlfXoPNabde0yMw3s34NbM94CXifYgg0lfJEQwjuoez+qKIRKeipbVclliiGNsdhC/eCr3AeIH 4QxJRkMDji+ryg6fII6pc0p6zbo7pXUeobakb+jNdXWdC84RBNc25Yq8DBNMojS2nqw4bIeJ59a1 R6TZ40I01OL+U6I/WtQ77c5shNnYTkbCB/9uH7Gf3GZCHaGQXnJwepnotGlpPf72c9bT37V+BFBL AwQKAAAAAACHTuJAAAAAAAAAAAAAAAAABgAAAF9yZWxzL1BLAwQUAAAACACHTuJAihRmPNEAAACU AQAACwAAAF9yZWxzLy5yZWxzpZDBasMwDIbvg72D0X1xmsMYo04vo9Br6R7A2IpjGltGMtn69vMO g2X0tqN+oe8T//7wmRa1IkukbGDX9aAwO/IxBwPvl+PTCyipNnu7UEYDNxQ4jI8P+zMutrYjmWMR 1ShZDMy1lletxc2YrHRUMLfNRJxsbSMHXay72oB66Ptnzb8ZMG6Y6uQN8MkPoC630sx/2Ck6JqGp do6SpmmK7h5VB7Zlju7INuEbuUazHLAa8CwaB2pZ134EfV+/+6fe00c+47rVfoeM649Xb7ocvwBQ SwMEFAAAAAgAh07iQH7m5SD3AAAA4QEAABMAAABbQ29udGVudF9UeXBlc10ueG1slZFBTsMwEEX3 SNzB8hYlTrtACCXpgrRLQKgcYGRPEotkbHlMaG+Pk7YbRJFY2jP/vye73BzGQUwY2Dqq5CovpEDS zljqKvm+32UPUnAEMjA4wkoekeWmvr0p90ePLFKauJJ9jP5RKdY9jsC580hp0rowQkzH0CkP+gM6 VOuiuFfaUUSKWZw7ZF022MLnEMX2kK5PJgEHluLptDizKgneD1ZDTKZqIvODkp0JeUouO9xbz3dJ Q6pfCfPkOuCce0lPE6xB8QohPsOYNJQJrIz7ooBT/nfJbDly5trWasybwE2KveF0sbrWjmvXOP3f 8u2SunSr5YPqb1BLAQIUABQAAAAIAIdO4kB+5uUg9wAAAOEBAAATAAAAAAAAAAEAIAAAADoEAABb Q29udGVudF9UeXBlc10ueG1sUEsBAhQACgAAAAAAh07iQAAAAAAAAAAAAAAAAAYAAAAAAAAAAAAQ AAAAHAMAAF9yZWxzL1BLAQIUABQAAAAIAIdO4kCKFGY80QAAAJQBAAALAAAAAAAAAAEAIAAAAEAD AABfcmVscy8ucmVsc1BLAQIUAAoAAAAAAIdO4kAAAAAAAAAAAAAAAAAEAAAAAAAAAAAAEAAAAAAA AABkcnMvUEsBAhQAFAAAAAgAh07iQM6pebnPAAAABQEAAA8AAAAAAAAAAQAgAAAAIgAAAGRycy9k b3ducmV2LnhtbFBLAQIUABQAAAAIAIdO4kCUh1e10gEAAKUDAAAOAAAAAAAAAAEAIAAAAB4BAABk cnMvZTJvRG9jLnhtbFBLBQYAAAAABgAGAFkBAABiBQAAAAA= ">
              <v:fill on="f" focussize="0,0"/>
              <v:stroke on="f"/>
              <v:imagedata o:title=""/>
              <o:lock v:ext="edit" aspectratio="f"/>
              <v:textbox inset="0mm,0mm,0mm,0mm" style="mso-fit-shape-to-text:t;">
                <w:txbxContent>
                  <w:p w14:paraId="26548C6F">
                    <w:pPr>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1</w:t>
                    </w:r>
                    <w:r>
                      <w:rPr>
                        <w:rFonts w:hint="eastAsia"/>
                        <w:sz w:val="18"/>
                      </w:rPr>
                      <w:fldChar w:fldCharType="end"/>
                    </w:r>
                  </w:p>
                </w:txbxContent>
              </v:textbox>
            </v:shape>
          </w:pict>
        </mc:Fallback>
      </mc:AlternateContent>
    </w:r>
  </w:p>
  <w:p w14:paraId="0F1C7660">
    <w:pPr>
      <w:pStyle w:val="8"/>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42489D">
    <w:pPr>
      <w:pStyle w:val="8"/>
      <w:pBdr>
        <w:top w:val="single" w:color="auto" w:sz="4" w:space="0"/>
      </w:pBdr>
      <w:jc w:val="center"/>
      <w:rPr>
        <w:sz w:val="21"/>
        <w:szCs w:val="21"/>
      </w:rPr>
    </w:pPr>
    <w:r>
      <w:rPr>
        <w:sz w:val="21"/>
      </w:rPr>
      <mc:AlternateContent>
        <mc:Choice Requires="wps">
          <w:drawing>
            <wp:anchor distT="0" distB="0" distL="114300" distR="114300" simplePos="0" relativeHeight="251683840" behindDoc="0" locked="0" layoutInCell="1" allowOverlap="1">
              <wp:simplePos x="0" y="0"/>
              <wp:positionH relativeFrom="margin">
                <wp:align>center</wp:align>
              </wp:positionH>
              <wp:positionV relativeFrom="paragraph">
                <wp:posOffset>0</wp:posOffset>
              </wp:positionV>
              <wp:extent cx="1828800" cy="1828800"/>
              <wp:effectExtent l="0" t="0" r="0" b="0"/>
              <wp:wrapNone/>
              <wp:docPr id="16" name="文本框 5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9525">
                        <a:noFill/>
                      </a:ln>
                      <a:effectLst/>
                    </wps:spPr>
                    <wps:txbx>
                      <w:txbxContent>
                        <w:p w14:paraId="62357160">
                          <w:pPr>
                            <w:rPr>
                              <w:sz w:val="21"/>
                              <w:szCs w:val="21"/>
                            </w:rPr>
                          </w:pPr>
                          <w:r>
                            <w:rPr>
                              <w:rFonts w:hint="eastAsia"/>
                              <w:sz w:val="21"/>
                              <w:szCs w:val="21"/>
                            </w:rPr>
                            <w:fldChar w:fldCharType="begin"/>
                          </w:r>
                          <w:r>
                            <w:rPr>
                              <w:rFonts w:hint="eastAsia"/>
                              <w:sz w:val="21"/>
                              <w:szCs w:val="21"/>
                            </w:rPr>
                            <w:instrText xml:space="preserve"> PAGE  \* MERGEFORMAT </w:instrText>
                          </w:r>
                          <w:r>
                            <w:rPr>
                              <w:rFonts w:hint="eastAsia"/>
                              <w:sz w:val="21"/>
                              <w:szCs w:val="21"/>
                            </w:rPr>
                            <w:fldChar w:fldCharType="separate"/>
                          </w:r>
                          <w:r>
                            <w:t>38</w:t>
                          </w:r>
                          <w:r>
                            <w:rPr>
                              <w:rFonts w:hint="eastAsia"/>
                              <w:sz w:val="21"/>
                              <w:szCs w:val="21"/>
                            </w:rPr>
                            <w:fldChar w:fldCharType="end"/>
                          </w:r>
                        </w:p>
                      </w:txbxContent>
                    </wps:txbx>
                    <wps:bodyPr wrap="none" lIns="0" tIns="0" rIns="0" bIns="0">
                      <a:spAutoFit/>
                    </wps:bodyPr>
                  </wps:wsp>
                </a:graphicData>
              </a:graphic>
            </wp:anchor>
          </w:drawing>
        </mc:Choice>
        <mc:Fallback>
          <w:pict>
            <v:shape id="文本框 51" o:spid="_x0000_s1026" o:spt="202" type="#_x0000_t202" style="position:absolute;left:0pt;margin-top:0pt;height:144pt;width:144pt;mso-position-horizontal:center;mso-position-horizontal-relative:margin;mso-wrap-style:none;z-index:251683840;mso-width-relative:page;mso-height-relative:page;" filled="f" stroked="f" coordsize="21600,21600" o:gfxdata="UEsDBAoAAAAAAIdO4kAAAAAAAAAAAAAAAAAEAAAAZHJzL1BLAwQUAAAACACHTuJAzql5uc8AAAAF AQAADwAAAGRycy9kb3ducmV2LnhtbE2PMWvDMBCF90L/g7hAt0ZOhtY4ljMEsnRLWgrdFOtimUgn IymO/e9zLYV2Oe7xjnffq7eTd2LEmPpAClbLAgRSG0xPnYKP9/1zCSJlTUa7QKhgxgTb5vGh1pUJ NzrgeMyd4BBKlVZgcx4qKVNr0eu0DAMSe+cQvc4sYydN1DcO906ui+JFet0Tf7B6wJ3F9nK8egWv 02fAIeEOv85jG20/l+5tVuppsSo2IDJO+e8YvvEZHRpmOoUrmSScAi6SfyZ767JkefpdZFPL//TN HVBLAwQUAAAACACHTuJALv33YtIBAACmAwAADgAAAGRycy9lMm9Eb2MueG1srVNLbtswEN0XyB0I 7mPJBhy4guUggZGiQJEWSHsAmiItAvyBQ1vyBZobdNVN9z2Xz9EhJTlFusmiG3KGM3yc92a4vu2N JkcRQDlb0/mspERY7hpl9zX99vXhekUJRGYbpp0VNT0JoLebq3frzldi4VqnGxEIglioOl/TNkZf FQXwVhgGM+eFxaB0wbCIbtgXTWAdohtdLMrypuhcaHxwXADg6XYI0hExvAXQSam42Dp+MMLGATUI zSJSglZ5oJtcrZSCx89SgohE1xSZxrziI2jv0lps1qzaB+ZbxccS2FtKeMXJMGXx0QvUlkVGDkH9 A2UUDw6cjDPuTDEQyYogi3n5SpunlnmRuaDU4C+iw/+D5Y/HL4GoBifhhhLLDHb8/OP5/PP3+dd3 spwngToPFeY9ecyM/b3rMXk6BzxMvHsZTNqREcE4ynu6yCv6SHi6tFqsViWGOMYmB/GLl+s+QPwg nCHJqGnA/mVZ2fETxCF1SkmvWfegtM491JZ0NX2/XCzzhUsEwbVNuSJPwwiTKA2lJyv2u37kuXPN CWl2OBE1tfgBKNEfLQqehmcywmTsRiPhg787RKwnl5lQByiklxxsXyY6jlqaj7/9nPXyvTZ/AFBL AwQKAAAAAACHTuJAAAAAAAAAAAAAAAAABgAAAF9yZWxzL1BLAwQUAAAACACHTuJAihRmPNEAAACU AQAACwAAAF9yZWxzLy5yZWxzpZDBasMwDIbvg72D0X1xmsMYo04vo9Br6R7A2IpjGltGMtn69vMO g2X0tqN+oe8T//7wmRa1IkukbGDX9aAwO/IxBwPvl+PTCyipNnu7UEYDNxQ4jI8P+zMutrYjmWMR 1ShZDMy1lletxc2YrHRUMLfNRJxsbSMHXay72oB66Ptnzb8ZMG6Y6uQN8MkPoC630sx/2Ck6JqGp do6SpmmK7h5VB7Zlju7INuEbuUazHLAa8CwaB2pZ134EfV+/+6fe00c+47rVfoeM649Xb7ocvwBQ SwMEFAAAAAgAh07iQH7m5SD3AAAA4QEAABMAAABbQ29udGVudF9UeXBlc10ueG1slZFBTsMwEEX3 SNzB8hYlTrtACCXpgrRLQKgcYGRPEotkbHlMaG+Pk7YbRJFY2jP/vye73BzGQUwY2Dqq5CovpEDS zljqKvm+32UPUnAEMjA4wkoekeWmvr0p90ePLFKauJJ9jP5RKdY9jsC580hp0rowQkzH0CkP+gM6 VOuiuFfaUUSKWZw7ZF022MLnEMX2kK5PJgEHluLptDizKgneD1ZDTKZqIvODkp0JeUouO9xbz3dJ Q6pfCfPkOuCce0lPE6xB8QohPsOYNJQJrIz7ooBT/nfJbDly5trWasybwE2KveF0sbrWjmvXOP3f 8u2SunSr5YPqb1BLAQIUABQAAAAIAIdO4kB+5uUg9wAAAOEBAAATAAAAAAAAAAEAIAAAADoEAABb Q29udGVudF9UeXBlc10ueG1sUEsBAhQACgAAAAAAh07iQAAAAAAAAAAAAAAAAAYAAAAAAAAAAAAQ AAAAHAMAAF9yZWxzL1BLAQIUABQAAAAIAIdO4kCKFGY80QAAAJQBAAALAAAAAAAAAAEAIAAAAEAD AABfcmVscy8ucmVsc1BLAQIUAAoAAAAAAIdO4kAAAAAAAAAAAAAAAAAEAAAAAAAAAAAAEAAAAAAA AABkcnMvUEsBAhQAFAAAAAgAh07iQM6pebnPAAAABQEAAA8AAAAAAAAAAQAgAAAAIgAAAGRycy9k b3ducmV2LnhtbFBLAQIUABQAAAAIAIdO4kAu/fdi0gEAAKYDAAAOAAAAAAAAAAEAIAAAAB4BAABk cnMvZTJvRG9jLnhtbFBLBQYAAAAABgAGAFkBAABiBQAAAAA= ">
              <v:fill on="f" focussize="0,0"/>
              <v:stroke on="f"/>
              <v:imagedata o:title=""/>
              <o:lock v:ext="edit" aspectratio="f"/>
              <v:textbox inset="0mm,0mm,0mm,0mm" style="mso-fit-shape-to-text:t;">
                <w:txbxContent>
                  <w:p w14:paraId="62357160">
                    <w:pPr>
                      <w:rPr>
                        <w:sz w:val="21"/>
                        <w:szCs w:val="21"/>
                      </w:rPr>
                    </w:pPr>
                    <w:r>
                      <w:rPr>
                        <w:rFonts w:hint="eastAsia"/>
                        <w:sz w:val="21"/>
                        <w:szCs w:val="21"/>
                      </w:rPr>
                      <w:fldChar w:fldCharType="begin"/>
                    </w:r>
                    <w:r>
                      <w:rPr>
                        <w:rFonts w:hint="eastAsia"/>
                        <w:sz w:val="21"/>
                        <w:szCs w:val="21"/>
                      </w:rPr>
                      <w:instrText xml:space="preserve"> PAGE  \* MERGEFORMAT </w:instrText>
                    </w:r>
                    <w:r>
                      <w:rPr>
                        <w:rFonts w:hint="eastAsia"/>
                        <w:sz w:val="21"/>
                        <w:szCs w:val="21"/>
                      </w:rPr>
                      <w:fldChar w:fldCharType="separate"/>
                    </w:r>
                    <w:r>
                      <w:t>38</w:t>
                    </w:r>
                    <w:r>
                      <w:rPr>
                        <w:rFonts w:hint="eastAsia"/>
                        <w:sz w:val="21"/>
                        <w:szCs w:val="21"/>
                      </w:rPr>
                      <w:fldChar w:fldCharType="end"/>
                    </w:r>
                  </w:p>
                </w:txbxContent>
              </v:textbox>
            </v:shape>
          </w:pict>
        </mc:Fallback>
      </mc:AlternateContent>
    </w:r>
  </w:p>
  <w:p w14:paraId="0186F737">
    <w:pPr>
      <w:pStyle w:val="8"/>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09F26A">
    <w:pPr>
      <w:pStyle w:val="8"/>
      <w:jc w:val="center"/>
    </w:pPr>
    <w:r>
      <mc:AlternateContent>
        <mc:Choice Requires="wps">
          <w:drawing>
            <wp:anchor distT="0" distB="0" distL="114300" distR="114300" simplePos="0" relativeHeight="251681792" behindDoc="0" locked="0" layoutInCell="1" allowOverlap="1">
              <wp:simplePos x="0" y="0"/>
              <wp:positionH relativeFrom="margin">
                <wp:align>center</wp:align>
              </wp:positionH>
              <wp:positionV relativeFrom="paragraph">
                <wp:posOffset>0</wp:posOffset>
              </wp:positionV>
              <wp:extent cx="1828800" cy="1828800"/>
              <wp:effectExtent l="0" t="0" r="0" b="0"/>
              <wp:wrapNone/>
              <wp:docPr id="29" name="文本框 5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9525">
                        <a:noFill/>
                      </a:ln>
                      <a:effectLst/>
                    </wps:spPr>
                    <wps:txbx>
                      <w:txbxContent>
                        <w:p w14:paraId="10A1741F">
                          <w:pPr>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t>69</w:t>
                          </w:r>
                          <w:r>
                            <w:rPr>
                              <w:rFonts w:hint="eastAsia"/>
                              <w:sz w:val="18"/>
                            </w:rPr>
                            <w:fldChar w:fldCharType="end"/>
                          </w:r>
                        </w:p>
                      </w:txbxContent>
                    </wps:txbx>
                    <wps:bodyPr wrap="none" lIns="0" tIns="0" rIns="0" bIns="0">
                      <a:spAutoFit/>
                    </wps:bodyPr>
                  </wps:wsp>
                </a:graphicData>
              </a:graphic>
            </wp:anchor>
          </w:drawing>
        </mc:Choice>
        <mc:Fallback>
          <w:pict>
            <v:shape id="文本框 52" o:spid="_x0000_s1026" o:spt="202" type="#_x0000_t202" style="position:absolute;left:0pt;margin-top:0pt;height:144pt;width:144pt;mso-position-horizontal:center;mso-position-horizontal-relative:margin;mso-wrap-style:none;z-index:251681792;mso-width-relative:page;mso-height-relative:page;" filled="f" stroked="f" coordsize="21600,21600" o:gfxdata="UEsDBAoAAAAAAIdO4kAAAAAAAAAAAAAAAAAEAAAAZHJzL1BLAwQUAAAACACHTuJAzql5uc8AAAAF AQAADwAAAGRycy9kb3ducmV2LnhtbE2PMWvDMBCF90L/g7hAt0ZOhtY4ljMEsnRLWgrdFOtimUgn IymO/e9zLYV2Oe7xjnffq7eTd2LEmPpAClbLAgRSG0xPnYKP9/1zCSJlTUa7QKhgxgTb5vGh1pUJ NzrgeMyd4BBKlVZgcx4qKVNr0eu0DAMSe+cQvc4sYydN1DcO906ui+JFet0Tf7B6wJ3F9nK8egWv 02fAIeEOv85jG20/l+5tVuppsSo2IDJO+e8YvvEZHRpmOoUrmSScAi6SfyZ767JkefpdZFPL//TN HVBLAwQUAAAACACHTuJABbUZDtIBAACmAwAADgAAAGRycy9lMm9Eb2MueG1srVNLbtswEN0X6B0I 7mspAhw4guWghZGiQNAWSHsAmiItAvyBQ1vyBdobdNVN9zmXz5EhJTlFusmiG3KGM3yc92a4vh2M JkcRQDnb0KtFSYmw3LXK7hv6/dvduxUlEJltmXZWNPQkgN5u3r5Z974WleucbkUgCGKh7n1Duxh9 XRTAO2EYLJwXFoPSBcMiumFftIH1iG50UZXlddG70PrguADA0+0YpBNieA2gk1JxsXX8YISNI2oQ mkWkBJ3yQDe5WikFj1+kBBGJbigyjXnFR9DepbXYrFm9D8x3ik8lsNeU8IKTYcrioxeoLYuMHIL6 B8ooHhw4GRfcmWIkkhVBFlflC20eOuZF5oJSg7+IDv8Pln8+fg1EtQ2tbiixzGDHz79+nn8/nv/8 IMsqCdR7qDHvwWNmHD64AcdmPgc8TLwHGUzakRHBOMp7usgrhkh4urSqVqsSQxxjs4P4xfN1HyB+ FM6QZDQ0YP+yrOx4D3FMnVPSa9bdKa1zD7UlfUNvltUyX7hEEFzblCvyNEwwidJYerLisBsmnjvX npBmjxPRUIsfgBL9yaLgaXhmI8zGbjISPvj3h4j15DIT6giF9JKD7ctEp1FL8/G3n7Oev9fmCVBL AwQKAAAAAACHTuJAAAAAAAAAAAAAAAAABgAAAF9yZWxzL1BLAwQUAAAACACHTuJAihRmPNEAAACU AQAACwAAAF9yZWxzLy5yZWxzpZDBasMwDIbvg72D0X1xmsMYo04vo9Br6R7A2IpjGltGMtn69vMO g2X0tqN+oe8T//7wmRa1IkukbGDX9aAwO/IxBwPvl+PTCyipNnu7UEYDNxQ4jI8P+zMutrYjmWMR 1ShZDMy1lletxc2YrHRUMLfNRJxsbSMHXay72oB66Ptnzb8ZMG6Y6uQN8MkPoC630sx/2Ck6JqGp do6SpmmK7h5VB7Zlju7INuEbuUazHLAa8CwaB2pZ134EfV+/+6fe00c+47rVfoeM649Xb7ocvwBQ SwMEFAAAAAgAh07iQH7m5SD3AAAA4QEAABMAAABbQ29udGVudF9UeXBlc10ueG1slZFBTsMwEEX3 SNzB8hYlTrtACCXpgrRLQKgcYGRPEotkbHlMaG+Pk7YbRJFY2jP/vye73BzGQUwY2Dqq5CovpEDS zljqKvm+32UPUnAEMjA4wkoekeWmvr0p90ePLFKauJJ9jP5RKdY9jsC580hp0rowQkzH0CkP+gM6 VOuiuFfaUUSKWZw7ZF022MLnEMX2kK5PJgEHluLptDizKgneD1ZDTKZqIvODkp0JeUouO9xbz3dJ Q6pfCfPkOuCce0lPE6xB8QohPsOYNJQJrIz7ooBT/nfJbDly5trWasybwE2KveF0sbrWjmvXOP3f 8u2SunSr5YPqb1BLAQIUABQAAAAIAIdO4kB+5uUg9wAAAOEBAAATAAAAAAAAAAEAIAAAADoEAABb Q29udGVudF9UeXBlc10ueG1sUEsBAhQACgAAAAAAh07iQAAAAAAAAAAAAAAAAAYAAAAAAAAAAAAQ AAAAHAMAAF9yZWxzL1BLAQIUABQAAAAIAIdO4kCKFGY80QAAAJQBAAALAAAAAAAAAAEAIAAAAEAD AABfcmVscy8ucmVsc1BLAQIUAAoAAAAAAIdO4kAAAAAAAAAAAAAAAAAEAAAAAAAAAAAAEAAAAAAA AABkcnMvUEsBAhQAFAAAAAgAh07iQM6pebnPAAAABQEAAA8AAAAAAAAAAQAgAAAAIgAAAGRycy9k b3ducmV2LnhtbFBLAQIUABQAAAAIAIdO4kAFtRkO0gEAAKYDAAAOAAAAAAAAAAEAIAAAAB4BAABk cnMvZTJvRG9jLnhtbFBLBQYAAAAABgAGAFkBAABiBQAAAAA= ">
              <v:fill on="f" focussize="0,0"/>
              <v:stroke on="f"/>
              <v:imagedata o:title=""/>
              <o:lock v:ext="edit" aspectratio="f"/>
              <v:textbox inset="0mm,0mm,0mm,0mm" style="mso-fit-shape-to-text:t;">
                <w:txbxContent>
                  <w:p w14:paraId="10A1741F">
                    <w:pPr>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t>69</w:t>
                    </w:r>
                    <w:r>
                      <w:rPr>
                        <w:rFonts w:hint="eastAsia"/>
                        <w:sz w:val="18"/>
                      </w:rPr>
                      <w:fldChar w:fldCharType="end"/>
                    </w:r>
                  </w:p>
                </w:txbxContent>
              </v:textbox>
            </v:shape>
          </w:pict>
        </mc:Fallback>
      </mc:AlternateContent>
    </w:r>
  </w:p>
  <w:p w14:paraId="5BD0DC04">
    <w:pPr>
      <w:pStyle w:val="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9CBD37">
    <w:pPr>
      <w:pStyle w:val="9"/>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64920F">
    <w:pPr>
      <w:pStyle w:val="9"/>
      <w:tabs>
        <w:tab w:val="left" w:pos="6558"/>
        <w:tab w:val="clear" w:pos="4153"/>
        <w:tab w:val="clear" w:pos="8306"/>
      </w:tabs>
      <w:spacing w:after="0"/>
      <w:jc w:val="left"/>
      <w:rPr>
        <w:rFonts w:ascii="幼圆" w:hAnsi="幼圆" w:eastAsia="幼圆" w:cs="幼圆"/>
        <w:sz w:val="21"/>
        <w:szCs w:val="21"/>
      </w:rPr>
    </w:pPr>
    <w:r>
      <w:drawing>
        <wp:anchor distT="0" distB="0" distL="114300" distR="114300" simplePos="0" relativeHeight="251687936" behindDoc="0" locked="0" layoutInCell="1" allowOverlap="1">
          <wp:simplePos x="0" y="0"/>
          <wp:positionH relativeFrom="page">
            <wp:posOffset>1158240</wp:posOffset>
          </wp:positionH>
          <wp:positionV relativeFrom="page">
            <wp:posOffset>523240</wp:posOffset>
          </wp:positionV>
          <wp:extent cx="1040130" cy="280035"/>
          <wp:effectExtent l="0" t="0" r="7620" b="5715"/>
          <wp:wrapTopAndBottom/>
          <wp:docPr id="1428163793" name="图片 1428163793" descr="捕获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163793" name="图片 1428163793" descr="捕获1"/>
                  <pic:cNvPicPr>
                    <a:picLocks noChangeAspect="1"/>
                  </pic:cNvPicPr>
                </pic:nvPicPr>
                <pic:blipFill>
                  <a:blip r:embed="rId1"/>
                  <a:srcRect b="-3521"/>
                  <a:stretch>
                    <a:fillRect/>
                  </a:stretch>
                </pic:blipFill>
                <pic:spPr>
                  <a:xfrm>
                    <a:off x="0" y="0"/>
                    <a:ext cx="1040130" cy="280035"/>
                  </a:xfrm>
                  <a:prstGeom prst="rect">
                    <a:avLst/>
                  </a:prstGeom>
                </pic:spPr>
              </pic:pic>
            </a:graphicData>
          </a:graphic>
        </wp:anchor>
      </w:drawing>
    </w:r>
    <w:r>
      <w:rPr>
        <w:rFonts w:hint="eastAsia" w:ascii="幼圆" w:hAnsi="幼圆" w:eastAsia="幼圆" w:cs="幼圆"/>
        <w:sz w:val="21"/>
        <w:szCs w:val="21"/>
      </w:rPr>
      <w:t xml:space="preserve"> </w:t>
    </w:r>
    <w:r>
      <w:drawing>
        <wp:anchor distT="0" distB="0" distL="114300" distR="114300" simplePos="0" relativeHeight="251688960" behindDoc="0" locked="0" layoutInCell="1" allowOverlap="1">
          <wp:simplePos x="0" y="0"/>
          <wp:positionH relativeFrom="column">
            <wp:posOffset>15240</wp:posOffset>
          </wp:positionH>
          <wp:positionV relativeFrom="paragraph">
            <wp:posOffset>83820</wp:posOffset>
          </wp:positionV>
          <wp:extent cx="1040130" cy="280035"/>
          <wp:effectExtent l="0" t="0" r="7620" b="5715"/>
          <wp:wrapTopAndBottom/>
          <wp:docPr id="61517925" name="图片 61517925" descr="捕获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17925" name="图片 61517925" descr="捕获1"/>
                  <pic:cNvPicPr>
                    <a:picLocks noChangeAspect="1"/>
                  </pic:cNvPicPr>
                </pic:nvPicPr>
                <pic:blipFill>
                  <a:blip r:embed="rId1"/>
                  <a:srcRect b="-3521"/>
                  <a:stretch>
                    <a:fillRect/>
                  </a:stretch>
                </pic:blipFill>
                <pic:spPr>
                  <a:xfrm>
                    <a:off x="0" y="0"/>
                    <a:ext cx="1040130" cy="280035"/>
                  </a:xfrm>
                  <a:prstGeom prst="rect">
                    <a:avLst/>
                  </a:prstGeom>
                </pic:spPr>
              </pic:pic>
            </a:graphicData>
          </a:graphic>
        </wp:anchor>
      </w:drawing>
    </w:r>
  </w:p>
  <w:p w14:paraId="42DAE758">
    <w:pPr>
      <w:pStyle w:val="9"/>
      <w:tabs>
        <w:tab w:val="left" w:pos="6558"/>
        <w:tab w:val="clear" w:pos="4153"/>
        <w:tab w:val="clear" w:pos="8306"/>
      </w:tabs>
      <w:spacing w:after="0"/>
      <w:ind w:firstLine="3570" w:firstLineChars="1700"/>
      <w:jc w:val="left"/>
      <w:rPr>
        <w:rFonts w:ascii="幼圆" w:hAnsi="幼圆" w:eastAsia="幼圆" w:cs="幼圆"/>
        <w:sz w:val="21"/>
        <w:szCs w:val="21"/>
      </w:rPr>
    </w:pPr>
    <w:r>
      <w:rPr>
        <w:rFonts w:hint="eastAsia" w:ascii="幼圆" w:hAnsi="幼圆" w:eastAsia="幼圆" w:cs="幼圆"/>
        <w:sz w:val="21"/>
        <w:szCs w:val="21"/>
      </w:rPr>
      <w:drawing>
        <wp:anchor distT="0" distB="0" distL="114300" distR="114300" simplePos="0" relativeHeight="251686912" behindDoc="0" locked="0" layoutInCell="1" allowOverlap="1">
          <wp:simplePos x="0" y="0"/>
          <wp:positionH relativeFrom="margin">
            <wp:posOffset>988695</wp:posOffset>
          </wp:positionH>
          <wp:positionV relativeFrom="margin">
            <wp:posOffset>2148840</wp:posOffset>
          </wp:positionV>
          <wp:extent cx="3599815" cy="3599815"/>
          <wp:effectExtent l="0" t="0" r="0" b="0"/>
          <wp:wrapNone/>
          <wp:docPr id="1227019455" name="WordPictureWatermark382153015" descr="脉络生物-单色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019455" name="WordPictureWatermark382153015" descr="脉络生物-单色LOGO"/>
                  <pic:cNvPicPr>
                    <a:picLocks noChangeAspect="1"/>
                  </pic:cNvPicPr>
                </pic:nvPicPr>
                <pic:blipFill>
                  <a:blip r:embed="rId2">
                    <a:lum bright="70000" contrast="-70000"/>
                  </a:blip>
                  <a:stretch>
                    <a:fillRect/>
                  </a:stretch>
                </pic:blipFill>
                <pic:spPr>
                  <a:xfrm>
                    <a:off x="0" y="0"/>
                    <a:ext cx="3599815" cy="3599815"/>
                  </a:xfrm>
                  <a:prstGeom prst="rect">
                    <a:avLst/>
                  </a:prstGeom>
                </pic:spPr>
              </pic:pic>
            </a:graphicData>
          </a:graphic>
        </wp:anchor>
      </w:drawing>
    </w:r>
    <w:r>
      <w:rPr>
        <w:rFonts w:hint="eastAsia" w:ascii="幼圆" w:hAnsi="幼圆" w:eastAsia="幼圆" w:cs="幼圆"/>
        <w:sz w:val="21"/>
        <w:szCs w:val="21"/>
      </w:rPr>
      <w:t>姓名：</w:t>
    </w:r>
    <w:r>
      <w:rPr>
        <w:rFonts w:hint="eastAsia" w:ascii="幼圆" w:hAnsi="幼圆" w:eastAsia="幼圆" w:cs="幼圆"/>
        <w:sz w:val="21"/>
        <w:szCs w:val="21"/>
        <w:lang w:eastAsia="zh-CN"/>
      </w:rPr>
      <w:t>苏雨起</w:t>
    </w:r>
    <w:r>
      <w:rPr>
        <w:rFonts w:hint="eastAsia" w:ascii="幼圆" w:hAnsi="幼圆" w:eastAsia="幼圆" w:cs="幼圆"/>
        <w:sz w:val="21"/>
        <w:szCs w:val="21"/>
      </w:rPr>
      <w:t xml:space="preserve">              科技服务人类健康</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32744F">
    <w:pPr>
      <w:pStyle w:val="9"/>
      <w:tabs>
        <w:tab w:val="left" w:pos="6558"/>
        <w:tab w:val="clear" w:pos="4153"/>
        <w:tab w:val="clear" w:pos="8306"/>
      </w:tabs>
      <w:spacing w:after="0" w:line="360" w:lineRule="auto"/>
      <w:jc w:val="left"/>
    </w:pPr>
    <w:r>
      <w:drawing>
        <wp:anchor distT="0" distB="0" distL="114300" distR="114300" simplePos="0" relativeHeight="251682816" behindDoc="0" locked="0" layoutInCell="1" allowOverlap="1">
          <wp:simplePos x="0" y="0"/>
          <wp:positionH relativeFrom="column">
            <wp:posOffset>9525</wp:posOffset>
          </wp:positionH>
          <wp:positionV relativeFrom="paragraph">
            <wp:posOffset>111125</wp:posOffset>
          </wp:positionV>
          <wp:extent cx="1040130" cy="280035"/>
          <wp:effectExtent l="0" t="0" r="11430" b="9525"/>
          <wp:wrapTopAndBottom/>
          <wp:docPr id="1534663380" name="图片 1534663380" descr="捕获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663380" name="图片 1534663380" descr="捕获1"/>
                  <pic:cNvPicPr>
                    <a:picLocks noChangeAspect="1"/>
                  </pic:cNvPicPr>
                </pic:nvPicPr>
                <pic:blipFill>
                  <a:blip r:embed="rId1"/>
                  <a:srcRect b="-3521"/>
                  <a:stretch>
                    <a:fillRect/>
                  </a:stretch>
                </pic:blipFill>
                <pic:spPr>
                  <a:xfrm>
                    <a:off x="0" y="0"/>
                    <a:ext cx="1040130" cy="280035"/>
                  </a:xfrm>
                  <a:prstGeom prst="rect">
                    <a:avLst/>
                  </a:prstGeom>
                </pic:spPr>
              </pic:pic>
            </a:graphicData>
          </a:graphic>
        </wp:anchor>
      </w:drawing>
    </w:r>
  </w:p>
  <w:p w14:paraId="394883B0">
    <w:pPr>
      <w:pStyle w:val="9"/>
      <w:tabs>
        <w:tab w:val="left" w:pos="6558"/>
        <w:tab w:val="clear" w:pos="4153"/>
        <w:tab w:val="clear" w:pos="8306"/>
      </w:tabs>
      <w:spacing w:after="0"/>
      <w:ind w:firstLine="3570" w:firstLineChars="1700"/>
      <w:jc w:val="left"/>
      <w:rPr>
        <w:rFonts w:ascii="幼圆" w:hAnsi="幼圆" w:eastAsia="幼圆" w:cs="幼圆"/>
        <w:sz w:val="21"/>
        <w:szCs w:val="21"/>
      </w:rPr>
    </w:pPr>
    <w:r>
      <w:rPr>
        <w:rFonts w:hint="eastAsia" w:ascii="幼圆" w:hAnsi="幼圆" w:eastAsia="幼圆" w:cs="幼圆"/>
        <w:sz w:val="21"/>
        <w:szCs w:val="21"/>
      </w:rPr>
      <w:t>姓名：</w:t>
    </w:r>
    <w:r>
      <w:rPr>
        <w:rFonts w:hint="eastAsia" w:ascii="幼圆" w:hAnsi="幼圆" w:eastAsia="幼圆" w:cs="幼圆"/>
        <w:sz w:val="21"/>
        <w:szCs w:val="21"/>
        <w:lang w:eastAsia="zh-CN"/>
      </w:rPr>
      <w:t>苏雨起</w:t>
    </w:r>
    <w:r>
      <w:rPr>
        <w:rFonts w:hint="eastAsia" w:ascii="幼圆" w:hAnsi="幼圆" w:eastAsia="幼圆" w:cs="幼圆"/>
        <w:sz w:val="21"/>
        <w:szCs w:val="21"/>
      </w:rPr>
      <w:t xml:space="preserve">              </w:t>
    </w:r>
    <w:r>
      <w:drawing>
        <wp:anchor distT="0" distB="0" distL="114300" distR="114300" simplePos="0" relativeHeight="251684864" behindDoc="0" locked="0" layoutInCell="1" allowOverlap="1">
          <wp:simplePos x="0" y="0"/>
          <wp:positionH relativeFrom="margin">
            <wp:posOffset>769620</wp:posOffset>
          </wp:positionH>
          <wp:positionV relativeFrom="margin">
            <wp:posOffset>1929765</wp:posOffset>
          </wp:positionV>
          <wp:extent cx="3599815" cy="3599815"/>
          <wp:effectExtent l="0" t="0" r="0" b="0"/>
          <wp:wrapNone/>
          <wp:docPr id="522175556" name="WordPictureWatermark382153015" descr="脉络生物-单色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175556" name="WordPictureWatermark382153015" descr="脉络生物-单色LOGO"/>
                  <pic:cNvPicPr>
                    <a:picLocks noChangeAspect="1"/>
                  </pic:cNvPicPr>
                </pic:nvPicPr>
                <pic:blipFill>
                  <a:blip r:embed="rId2">
                    <a:lum bright="70000" contrast="-70000"/>
                  </a:blip>
                  <a:stretch>
                    <a:fillRect/>
                  </a:stretch>
                </pic:blipFill>
                <pic:spPr>
                  <a:xfrm>
                    <a:off x="0" y="0"/>
                    <a:ext cx="3599815" cy="3599815"/>
                  </a:xfrm>
                  <a:prstGeom prst="rect">
                    <a:avLst/>
                  </a:prstGeom>
                </pic:spPr>
              </pic:pic>
            </a:graphicData>
          </a:graphic>
        </wp:anchor>
      </w:drawing>
    </w:r>
    <w:r>
      <w:rPr>
        <w:rFonts w:hint="eastAsia" w:ascii="幼圆" w:hAnsi="幼圆" w:eastAsia="幼圆" w:cs="幼圆"/>
        <w:sz w:val="21"/>
        <w:szCs w:val="21"/>
      </w:rPr>
      <w:t>科技服务人类健康</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0FA414">
    <w:pPr>
      <w:pStyle w:val="9"/>
      <w:pBdr>
        <w:bottom w:val="none" w:color="auto" w:sz="0" w:space="0"/>
      </w:pBdr>
      <w:tabs>
        <w:tab w:val="left" w:pos="1773"/>
        <w:tab w:val="clear" w:pos="4153"/>
        <w:tab w:val="clear" w:pos="8306"/>
      </w:tabs>
      <w:jc w:val="left"/>
    </w:pPr>
  </w:p>
  <w:p w14:paraId="115D8346">
    <w:pPr>
      <w:pStyle w:val="9"/>
      <w:pBdr>
        <w:bottom w:val="none" w:color="auto" w:sz="0" w:space="0"/>
      </w:pBdr>
      <w:tabs>
        <w:tab w:val="left" w:pos="1773"/>
        <w:tab w:val="clear" w:pos="4153"/>
        <w:tab w:val="clear" w:pos="8306"/>
      </w:tabs>
      <w:jc w:val="left"/>
    </w:pPr>
    <w:r>
      <w:tab/>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EB974E">
    <w:pPr>
      <w:pStyle w:val="9"/>
    </w:pPr>
    <w:r>
      <w:drawing>
        <wp:anchor distT="0" distB="0" distL="114300" distR="114300" simplePos="0" relativeHeight="251676672" behindDoc="1" locked="0" layoutInCell="0" allowOverlap="1">
          <wp:simplePos x="0" y="0"/>
          <wp:positionH relativeFrom="margin">
            <wp:align>center</wp:align>
          </wp:positionH>
          <wp:positionV relativeFrom="margin">
            <wp:align>center</wp:align>
          </wp:positionV>
          <wp:extent cx="5255895" cy="4579620"/>
          <wp:effectExtent l="0" t="0" r="1905" b="11430"/>
          <wp:wrapNone/>
          <wp:docPr id="20" name="WordPictureWatermark334104431" descr="脉络生物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WordPictureWatermark334104431" descr="脉络生物logo"/>
                  <pic:cNvPicPr>
                    <a:picLocks noChangeAspect="1"/>
                  </pic:cNvPicPr>
                </pic:nvPicPr>
                <pic:blipFill>
                  <a:blip r:embed="rId1">
                    <a:lum bright="70001" contrast="-70000"/>
                  </a:blip>
                  <a:stretch>
                    <a:fillRect/>
                  </a:stretch>
                </pic:blipFill>
                <pic:spPr>
                  <a:xfrm>
                    <a:off x="0" y="0"/>
                    <a:ext cx="5255895" cy="4579620"/>
                  </a:xfrm>
                  <a:prstGeom prst="rect">
                    <a:avLst/>
                  </a:prstGeom>
                  <a:noFill/>
                  <a:ln w="9525">
                    <a:noFill/>
                  </a:ln>
                </pic:spPr>
              </pic:pic>
            </a:graphicData>
          </a:graphic>
        </wp:anchor>
      </w:drawing>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38603C">
    <w:pPr>
      <w:pStyle w:val="9"/>
    </w:pPr>
    <w:r>
      <w:drawing>
        <wp:anchor distT="0" distB="0" distL="114300" distR="114300" simplePos="0" relativeHeight="251675648" behindDoc="1" locked="0" layoutInCell="0" allowOverlap="1">
          <wp:simplePos x="0" y="0"/>
          <wp:positionH relativeFrom="margin">
            <wp:align>center</wp:align>
          </wp:positionH>
          <wp:positionV relativeFrom="margin">
            <wp:align>center</wp:align>
          </wp:positionV>
          <wp:extent cx="5255895" cy="4579620"/>
          <wp:effectExtent l="0" t="0" r="1905" b="11430"/>
          <wp:wrapNone/>
          <wp:docPr id="13" name="WordPictureWatermark334104430" descr="脉络生物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WordPictureWatermark334104430" descr="脉络生物logo"/>
                  <pic:cNvPicPr>
                    <a:picLocks noChangeAspect="1"/>
                  </pic:cNvPicPr>
                </pic:nvPicPr>
                <pic:blipFill>
                  <a:blip r:embed="rId1">
                    <a:lum bright="70001" contrast="-70000"/>
                  </a:blip>
                  <a:stretch>
                    <a:fillRect/>
                  </a:stretch>
                </pic:blipFill>
                <pic:spPr>
                  <a:xfrm>
                    <a:off x="0" y="0"/>
                    <a:ext cx="5255895" cy="4579620"/>
                  </a:xfrm>
                  <a:prstGeom prst="rect">
                    <a:avLst/>
                  </a:prstGeom>
                  <a:noFill/>
                  <a:ln w="9525">
                    <a:noFill/>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CB0EEA1"/>
    <w:multiLevelType w:val="singleLevel"/>
    <w:tmpl w:val="8CB0EEA1"/>
    <w:lvl w:ilvl="0" w:tentative="0">
      <w:start w:val="1"/>
      <w:numFmt w:val="decimal"/>
      <w:suff w:val="space"/>
      <w:lvlText w:val="%1."/>
      <w:lvlJc w:val="left"/>
    </w:lvl>
  </w:abstractNum>
  <w:abstractNum w:abstractNumId="1">
    <w:nsid w:val="96F3FE71"/>
    <w:multiLevelType w:val="singleLevel"/>
    <w:tmpl w:val="96F3FE71"/>
    <w:lvl w:ilvl="0" w:tentative="0">
      <w:start w:val="1"/>
      <w:numFmt w:val="bullet"/>
      <w:lvlText w:val=""/>
      <w:lvlJc w:val="left"/>
      <w:pPr>
        <w:ind w:left="420" w:hanging="420"/>
      </w:pPr>
      <w:rPr>
        <w:rFonts w:hint="default" w:ascii="Wingdings" w:hAnsi="Wingdings"/>
      </w:rPr>
    </w:lvl>
  </w:abstractNum>
  <w:abstractNum w:abstractNumId="2">
    <w:nsid w:val="D0E6CCF0"/>
    <w:multiLevelType w:val="singleLevel"/>
    <w:tmpl w:val="D0E6CCF0"/>
    <w:lvl w:ilvl="0" w:tentative="0">
      <w:start w:val="1"/>
      <w:numFmt w:val="bullet"/>
      <w:lvlText w:val=""/>
      <w:lvlJc w:val="left"/>
      <w:pPr>
        <w:ind w:left="420" w:hanging="420"/>
      </w:pPr>
      <w:rPr>
        <w:rFonts w:hint="default" w:ascii="Wingdings" w:hAnsi="Wingdings"/>
        <w:sz w:val="16"/>
      </w:rPr>
    </w:lvl>
  </w:abstractNum>
  <w:abstractNum w:abstractNumId="3">
    <w:nsid w:val="D0ED028C"/>
    <w:multiLevelType w:val="singleLevel"/>
    <w:tmpl w:val="D0ED028C"/>
    <w:lvl w:ilvl="0" w:tentative="0">
      <w:start w:val="1"/>
      <w:numFmt w:val="bullet"/>
      <w:lvlText w:val=""/>
      <w:lvlJc w:val="left"/>
      <w:pPr>
        <w:ind w:left="420" w:hanging="420"/>
      </w:pPr>
      <w:rPr>
        <w:rFonts w:hint="default" w:ascii="Wingdings" w:hAnsi="Wingdings"/>
      </w:rPr>
    </w:lvl>
  </w:abstractNum>
  <w:abstractNum w:abstractNumId="4">
    <w:nsid w:val="20FA1379"/>
    <w:multiLevelType w:val="singleLevel"/>
    <w:tmpl w:val="20FA1379"/>
    <w:lvl w:ilvl="0" w:tentative="0">
      <w:start w:val="1"/>
      <w:numFmt w:val="decimal"/>
      <w:suff w:val="space"/>
      <w:lvlText w:val="%1."/>
      <w:lvlJc w:val="left"/>
    </w:lvl>
  </w:abstractNum>
  <w:abstractNum w:abstractNumId="5">
    <w:nsid w:val="2280F4A5"/>
    <w:multiLevelType w:val="singleLevel"/>
    <w:tmpl w:val="2280F4A5"/>
    <w:lvl w:ilvl="0" w:tentative="0">
      <w:start w:val="1"/>
      <w:numFmt w:val="bullet"/>
      <w:lvlText w:val=""/>
      <w:lvlJc w:val="left"/>
      <w:pPr>
        <w:ind w:left="420" w:hanging="420"/>
      </w:pPr>
      <w:rPr>
        <w:rFonts w:hint="default" w:ascii="Wingdings" w:hAnsi="Wingdings"/>
      </w:rPr>
    </w:lvl>
  </w:abstractNum>
  <w:abstractNum w:abstractNumId="6">
    <w:nsid w:val="44F50995"/>
    <w:multiLevelType w:val="multilevel"/>
    <w:tmpl w:val="44F50995"/>
    <w:lvl w:ilvl="0" w:tentative="0">
      <w:start w:val="1"/>
      <w:numFmt w:val="decimal"/>
      <w:suff w:val="space"/>
      <w:lvlText w:val="%1."/>
      <w:lvlJc w:val="left"/>
    </w:lvl>
    <w:lvl w:ilvl="1" w:tentative="0">
      <w:start w:val="1"/>
      <w:numFmt w:val="decimal"/>
      <w:suff w:val="space"/>
      <w:lvlText w:val="%1.%2"/>
      <w:lvlJc w:val="left"/>
      <w:pPr>
        <w:ind w:left="0" w:firstLine="0"/>
      </w:pPr>
      <w:rPr>
        <w:rFonts w:hint="default"/>
      </w:rPr>
    </w:lvl>
    <w:lvl w:ilvl="2" w:tentative="0">
      <w:start w:val="1"/>
      <w:numFmt w:val="decimal"/>
      <w:suff w:val="space"/>
      <w:lvlText w:val="%1.%2.%3"/>
      <w:lvlJc w:val="left"/>
      <w:pPr>
        <w:ind w:left="0"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1.%2.%3.%4.%5.%6"/>
      <w:lvlJc w:val="left"/>
      <w:pPr>
        <w:ind w:left="0" w:firstLine="0"/>
      </w:pPr>
      <w:rPr>
        <w:rFonts w:hint="default"/>
      </w:rPr>
    </w:lvl>
    <w:lvl w:ilvl="6" w:tentative="0">
      <w:start w:val="1"/>
      <w:numFmt w:val="decimal"/>
      <w:suff w:val="space"/>
      <w:lvlText w:val="%1.%2.%3.%4.%5.%6.%7"/>
      <w:lvlJc w:val="left"/>
      <w:pPr>
        <w:ind w:left="0" w:firstLine="0"/>
      </w:pPr>
      <w:rPr>
        <w:rFonts w:hint="default"/>
      </w:rPr>
    </w:lvl>
    <w:lvl w:ilvl="7" w:tentative="0">
      <w:start w:val="1"/>
      <w:numFmt w:val="decimal"/>
      <w:suff w:val="space"/>
      <w:lvlText w:val="%1.%2.%3.%4.%5.%6.%7.%8"/>
      <w:lvlJc w:val="left"/>
      <w:pPr>
        <w:ind w:left="0" w:firstLine="0"/>
      </w:pPr>
      <w:rPr>
        <w:rFonts w:hint="default"/>
      </w:rPr>
    </w:lvl>
    <w:lvl w:ilvl="8" w:tentative="0">
      <w:start w:val="1"/>
      <w:numFmt w:val="decimal"/>
      <w:suff w:val="space"/>
      <w:lvlText w:val="%1.%2.%3.%4.%5.%6.%7.%8.%9"/>
      <w:lvlJc w:val="left"/>
      <w:pPr>
        <w:ind w:left="0" w:firstLine="0"/>
      </w:pPr>
      <w:rPr>
        <w:rFonts w:hint="default"/>
      </w:rPr>
    </w:lvl>
  </w:abstractNum>
  <w:abstractNum w:abstractNumId="7">
    <w:nsid w:val="4951CAF1"/>
    <w:multiLevelType w:val="singleLevel"/>
    <w:tmpl w:val="4951CAF1"/>
    <w:lvl w:ilvl="0" w:tentative="0">
      <w:start w:val="1"/>
      <w:numFmt w:val="decimal"/>
      <w:suff w:val="space"/>
      <w:lvlText w:val="[%1]"/>
      <w:lvlJc w:val="left"/>
    </w:lvl>
  </w:abstractNum>
  <w:abstractNum w:abstractNumId="8">
    <w:nsid w:val="50234680"/>
    <w:multiLevelType w:val="singleLevel"/>
    <w:tmpl w:val="50234680"/>
    <w:lvl w:ilvl="0" w:tentative="0">
      <w:start w:val="1"/>
      <w:numFmt w:val="bullet"/>
      <w:lvlText w:val=""/>
      <w:lvlJc w:val="left"/>
      <w:pPr>
        <w:ind w:left="420" w:hanging="420"/>
      </w:pPr>
      <w:rPr>
        <w:rFonts w:hint="default" w:ascii="Wingdings" w:hAnsi="Wingdings"/>
      </w:rPr>
    </w:lvl>
  </w:abstractNum>
  <w:abstractNum w:abstractNumId="9">
    <w:nsid w:val="596585E1"/>
    <w:multiLevelType w:val="multilevel"/>
    <w:tmpl w:val="596585E1"/>
    <w:lvl w:ilvl="0" w:tentative="0">
      <w:start w:val="1"/>
      <w:numFmt w:val="bullet"/>
      <w:lvlText w:val=""/>
      <w:lvlJc w:val="left"/>
      <w:pPr>
        <w:ind w:left="420" w:hanging="420"/>
      </w:pPr>
      <w:rPr>
        <w:rFonts w:hint="default" w:ascii="Wingdings" w:hAnsi="Wingdings"/>
        <w:color w:val="auto"/>
      </w:rPr>
    </w:lvl>
    <w:lvl w:ilvl="1" w:tentative="0">
      <w:start w:val="1"/>
      <w:numFmt w:val="decimal"/>
      <w:lvlText w:val=""/>
      <w:lvlJc w:val="left"/>
    </w:lvl>
    <w:lvl w:ilvl="2" w:tentative="0">
      <w:start w:val="1"/>
      <w:numFmt w:val="decimal"/>
      <w:lvlText w:val=""/>
      <w:lvlJc w:val="left"/>
    </w:lvl>
    <w:lvl w:ilvl="3" w:tentative="0">
      <w:start w:val="1"/>
      <w:numFmt w:val="decimal"/>
      <w:lvlText w:val=""/>
      <w:lvlJc w:val="left"/>
    </w:lvl>
    <w:lvl w:ilvl="4" w:tentative="0">
      <w:start w:val="1"/>
      <w:numFmt w:val="decimal"/>
      <w:lvlText w:val=""/>
      <w:lvlJc w:val="left"/>
    </w:lvl>
    <w:lvl w:ilvl="5" w:tentative="0">
      <w:start w:val="1"/>
      <w:numFmt w:val="decimal"/>
      <w:lvlText w:val=""/>
      <w:lvlJc w:val="left"/>
    </w:lvl>
    <w:lvl w:ilvl="6" w:tentative="0">
      <w:start w:val="1"/>
      <w:numFmt w:val="decimal"/>
      <w:lvlText w:val=""/>
      <w:lvlJc w:val="left"/>
    </w:lvl>
    <w:lvl w:ilvl="7" w:tentative="0">
      <w:start w:val="1"/>
      <w:numFmt w:val="decimal"/>
      <w:lvlText w:val=""/>
      <w:lvlJc w:val="left"/>
    </w:lvl>
    <w:lvl w:ilvl="8" w:tentative="0">
      <w:start w:val="1"/>
      <w:numFmt w:val="decimal"/>
      <w:lvlText w:val=""/>
      <w:lvlJc w:val="left"/>
    </w:lvl>
  </w:abstractNum>
  <w:abstractNum w:abstractNumId="10">
    <w:nsid w:val="5979611E"/>
    <w:multiLevelType w:val="singleLevel"/>
    <w:tmpl w:val="5979611E"/>
    <w:lvl w:ilvl="0" w:tentative="0">
      <w:start w:val="1"/>
      <w:numFmt w:val="bullet"/>
      <w:lvlText w:val=""/>
      <w:lvlJc w:val="left"/>
      <w:pPr>
        <w:ind w:left="420" w:hanging="420"/>
      </w:pPr>
      <w:rPr>
        <w:rFonts w:hint="default" w:ascii="Wingdings" w:hAnsi="Wingdings"/>
        <w:color w:val="000000" w:themeColor="text1"/>
        <w14:textFill>
          <w14:solidFill>
            <w14:schemeClr w14:val="tx1"/>
          </w14:solidFill>
        </w14:textFill>
      </w:rPr>
    </w:lvl>
  </w:abstractNum>
  <w:abstractNum w:abstractNumId="11">
    <w:nsid w:val="598D22D3"/>
    <w:multiLevelType w:val="singleLevel"/>
    <w:tmpl w:val="598D22D3"/>
    <w:lvl w:ilvl="0" w:tentative="0">
      <w:start w:val="1"/>
      <w:numFmt w:val="bullet"/>
      <w:lvlText w:val=""/>
      <w:lvlJc w:val="left"/>
      <w:pPr>
        <w:ind w:left="420" w:hanging="420"/>
      </w:pPr>
      <w:rPr>
        <w:rFonts w:hint="default" w:ascii="Wingdings" w:hAnsi="Wingdings"/>
        <w:color w:val="000000" w:themeColor="text1"/>
        <w14:textFill>
          <w14:solidFill>
            <w14:schemeClr w14:val="tx1"/>
          </w14:solidFill>
        </w14:textFill>
      </w:rPr>
    </w:lvl>
  </w:abstractNum>
  <w:abstractNum w:abstractNumId="12">
    <w:nsid w:val="59ED5FBC"/>
    <w:multiLevelType w:val="singleLevel"/>
    <w:tmpl w:val="59ED5FBC"/>
    <w:lvl w:ilvl="0" w:tentative="0">
      <w:start w:val="1"/>
      <w:numFmt w:val="bullet"/>
      <w:lvlText w:val=""/>
      <w:lvlJc w:val="left"/>
      <w:pPr>
        <w:ind w:left="420" w:hanging="420"/>
      </w:pPr>
      <w:rPr>
        <w:rFonts w:hint="default" w:ascii="Wingdings" w:hAnsi="Wingdings"/>
      </w:rPr>
    </w:lvl>
  </w:abstractNum>
  <w:abstractNum w:abstractNumId="13">
    <w:nsid w:val="5B10DDC0"/>
    <w:multiLevelType w:val="singleLevel"/>
    <w:tmpl w:val="5B10DDC0"/>
    <w:lvl w:ilvl="0" w:tentative="0">
      <w:start w:val="1"/>
      <w:numFmt w:val="decimal"/>
      <w:suff w:val="space"/>
      <w:lvlText w:val="[%1]"/>
      <w:lvlJc w:val="left"/>
    </w:lvl>
  </w:abstractNum>
  <w:abstractNum w:abstractNumId="14">
    <w:nsid w:val="5D46DBD0"/>
    <w:multiLevelType w:val="singleLevel"/>
    <w:tmpl w:val="5D46DBD0"/>
    <w:lvl w:ilvl="0" w:tentative="0">
      <w:start w:val="1"/>
      <w:numFmt w:val="bullet"/>
      <w:lvlText w:val=""/>
      <w:lvlJc w:val="left"/>
      <w:pPr>
        <w:ind w:left="420" w:hanging="137"/>
      </w:pPr>
      <w:rPr>
        <w:rFonts w:hint="default" w:ascii="Wingdings" w:hAnsi="Wingdings"/>
      </w:rPr>
    </w:lvl>
  </w:abstractNum>
  <w:abstractNum w:abstractNumId="15">
    <w:nsid w:val="67D83E66"/>
    <w:multiLevelType w:val="multilevel"/>
    <w:tmpl w:val="67D83E66"/>
    <w:lvl w:ilvl="0" w:tentative="0">
      <w:start w:val="1"/>
      <w:numFmt w:val="decimal"/>
      <w:suff w:val="space"/>
      <w:lvlText w:val="%1."/>
      <w:lvlJc w:val="left"/>
    </w:lvl>
    <w:lvl w:ilvl="1" w:tentative="0">
      <w:start w:val="1"/>
      <w:numFmt w:val="decimal"/>
      <w:suff w:val="space"/>
      <w:lvlText w:val="%1.%2"/>
      <w:lvlJc w:val="left"/>
      <w:pPr>
        <w:ind w:left="0" w:firstLine="0"/>
      </w:pPr>
      <w:rPr>
        <w:rFonts w:hint="default"/>
      </w:rPr>
    </w:lvl>
    <w:lvl w:ilvl="2" w:tentative="0">
      <w:start w:val="1"/>
      <w:numFmt w:val="decimal"/>
      <w:suff w:val="space"/>
      <w:lvlText w:val="%1.%2.%3"/>
      <w:lvlJc w:val="left"/>
      <w:pPr>
        <w:ind w:left="0"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1.%2.%3.%4.%5.%6"/>
      <w:lvlJc w:val="left"/>
      <w:pPr>
        <w:ind w:left="0" w:firstLine="0"/>
      </w:pPr>
      <w:rPr>
        <w:rFonts w:hint="default"/>
      </w:rPr>
    </w:lvl>
    <w:lvl w:ilvl="6" w:tentative="0">
      <w:start w:val="1"/>
      <w:numFmt w:val="decimal"/>
      <w:suff w:val="space"/>
      <w:lvlText w:val="%1.%2.%3.%4.%5.%6.%7"/>
      <w:lvlJc w:val="left"/>
      <w:pPr>
        <w:ind w:left="0" w:firstLine="0"/>
      </w:pPr>
      <w:rPr>
        <w:rFonts w:hint="default"/>
      </w:rPr>
    </w:lvl>
    <w:lvl w:ilvl="7" w:tentative="0">
      <w:start w:val="1"/>
      <w:numFmt w:val="decimal"/>
      <w:suff w:val="space"/>
      <w:lvlText w:val="%1.%2.%3.%4.%5.%6.%7.%8"/>
      <w:lvlJc w:val="left"/>
      <w:pPr>
        <w:ind w:left="0" w:firstLine="0"/>
      </w:pPr>
      <w:rPr>
        <w:rFonts w:hint="default"/>
      </w:rPr>
    </w:lvl>
    <w:lvl w:ilvl="8" w:tentative="0">
      <w:start w:val="1"/>
      <w:numFmt w:val="decimal"/>
      <w:suff w:val="space"/>
      <w:lvlText w:val="%1.%2.%3.%4.%5.%6.%7.%8.%9"/>
      <w:lvlJc w:val="left"/>
      <w:pPr>
        <w:ind w:left="0" w:firstLine="0"/>
      </w:pPr>
      <w:rPr>
        <w:rFonts w:hint="default"/>
      </w:rPr>
    </w:lvl>
  </w:abstractNum>
  <w:abstractNum w:abstractNumId="16">
    <w:nsid w:val="712E346B"/>
    <w:multiLevelType w:val="multilevel"/>
    <w:tmpl w:val="712E346B"/>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7">
    <w:nsid w:val="73A48B0C"/>
    <w:multiLevelType w:val="singleLevel"/>
    <w:tmpl w:val="73A48B0C"/>
    <w:lvl w:ilvl="0" w:tentative="0">
      <w:start w:val="1"/>
      <w:numFmt w:val="decimal"/>
      <w:suff w:val="space"/>
      <w:lvlText w:val="[%1]"/>
      <w:lvlJc w:val="left"/>
    </w:lvl>
  </w:abstractNum>
  <w:abstractNum w:abstractNumId="18">
    <w:nsid w:val="7515515F"/>
    <w:multiLevelType w:val="singleLevel"/>
    <w:tmpl w:val="7515515F"/>
    <w:lvl w:ilvl="0" w:tentative="0">
      <w:start w:val="1"/>
      <w:numFmt w:val="decimal"/>
      <w:suff w:val="space"/>
      <w:lvlText w:val="%1."/>
      <w:lvlJc w:val="left"/>
    </w:lvl>
  </w:abstractNum>
  <w:abstractNum w:abstractNumId="19">
    <w:nsid w:val="7673DC0A"/>
    <w:multiLevelType w:val="singleLevel"/>
    <w:tmpl w:val="7673DC0A"/>
    <w:lvl w:ilvl="0" w:tentative="0">
      <w:start w:val="1"/>
      <w:numFmt w:val="bullet"/>
      <w:lvlText w:val=""/>
      <w:lvlJc w:val="left"/>
      <w:pPr>
        <w:ind w:left="420" w:hanging="420"/>
      </w:pPr>
      <w:rPr>
        <w:rFonts w:hint="default" w:ascii="Wingdings" w:hAnsi="Wingdings"/>
      </w:rPr>
    </w:lvl>
  </w:abstractNum>
  <w:abstractNum w:abstractNumId="20">
    <w:nsid w:val="77F00E20"/>
    <w:multiLevelType w:val="singleLevel"/>
    <w:tmpl w:val="77F00E20"/>
    <w:lvl w:ilvl="0" w:tentative="0">
      <w:start w:val="1"/>
      <w:numFmt w:val="bullet"/>
      <w:lvlText w:val=""/>
      <w:lvlJc w:val="left"/>
      <w:pPr>
        <w:ind w:left="420" w:hanging="420"/>
      </w:pPr>
      <w:rPr>
        <w:rFonts w:hint="default" w:ascii="Wingdings" w:hAnsi="Wingdings"/>
        <w:sz w:val="16"/>
      </w:rPr>
    </w:lvl>
  </w:abstractNum>
  <w:abstractNum w:abstractNumId="21">
    <w:nsid w:val="78AFFE8A"/>
    <w:multiLevelType w:val="multilevel"/>
    <w:tmpl w:val="78AFFE8A"/>
    <w:lvl w:ilvl="0" w:tentative="0">
      <w:start w:val="1"/>
      <w:numFmt w:val="bullet"/>
      <w:lvlText w:val=""/>
      <w:lvlJc w:val="left"/>
      <w:pPr>
        <w:ind w:left="420" w:hanging="420"/>
      </w:pPr>
      <w:rPr>
        <w:rFonts w:hint="default" w:ascii="Wingdings" w:hAnsi="Wingdings"/>
        <w:color w:val="FF0000"/>
      </w:rPr>
    </w:lvl>
    <w:lvl w:ilvl="1" w:tentative="0">
      <w:start w:val="1"/>
      <w:numFmt w:val="decimal"/>
      <w:lvlText w:val=""/>
      <w:lvlJc w:val="left"/>
    </w:lvl>
    <w:lvl w:ilvl="2" w:tentative="0">
      <w:start w:val="1"/>
      <w:numFmt w:val="decimal"/>
      <w:lvlText w:val=""/>
      <w:lvlJc w:val="left"/>
    </w:lvl>
    <w:lvl w:ilvl="3" w:tentative="0">
      <w:start w:val="1"/>
      <w:numFmt w:val="decimal"/>
      <w:lvlText w:val=""/>
      <w:lvlJc w:val="left"/>
    </w:lvl>
    <w:lvl w:ilvl="4" w:tentative="0">
      <w:start w:val="1"/>
      <w:numFmt w:val="decimal"/>
      <w:lvlText w:val=""/>
      <w:lvlJc w:val="left"/>
    </w:lvl>
    <w:lvl w:ilvl="5" w:tentative="0">
      <w:start w:val="1"/>
      <w:numFmt w:val="decimal"/>
      <w:lvlText w:val=""/>
      <w:lvlJc w:val="left"/>
    </w:lvl>
    <w:lvl w:ilvl="6" w:tentative="0">
      <w:start w:val="1"/>
      <w:numFmt w:val="decimal"/>
      <w:lvlText w:val=""/>
      <w:lvlJc w:val="left"/>
    </w:lvl>
    <w:lvl w:ilvl="7" w:tentative="0">
      <w:start w:val="1"/>
      <w:numFmt w:val="decimal"/>
      <w:lvlText w:val=""/>
      <w:lvlJc w:val="left"/>
    </w:lvl>
    <w:lvl w:ilvl="8" w:tentative="0">
      <w:start w:val="1"/>
      <w:numFmt w:val="decimal"/>
      <w:lvlText w:val=""/>
      <w:lvlJc w:val="left"/>
    </w:lvl>
  </w:abstractNum>
  <w:abstractNum w:abstractNumId="22">
    <w:nsid w:val="7DBAAF7A"/>
    <w:multiLevelType w:val="singleLevel"/>
    <w:tmpl w:val="7DBAAF7A"/>
    <w:lvl w:ilvl="0" w:tentative="0">
      <w:start w:val="1"/>
      <w:numFmt w:val="bullet"/>
      <w:lvlText w:val=""/>
      <w:lvlJc w:val="left"/>
      <w:pPr>
        <w:ind w:left="420" w:hanging="420"/>
      </w:pPr>
      <w:rPr>
        <w:rFonts w:hint="default" w:ascii="Wingdings" w:hAnsi="Wingdings"/>
        <w:color w:val="00C4D8"/>
        <w:sz w:val="16"/>
      </w:rPr>
    </w:lvl>
  </w:abstractNum>
  <w:num w:numId="1">
    <w:abstractNumId w:val="18"/>
  </w:num>
  <w:num w:numId="2">
    <w:abstractNumId w:val="3"/>
  </w:num>
  <w:num w:numId="3">
    <w:abstractNumId w:val="22"/>
  </w:num>
  <w:num w:numId="4">
    <w:abstractNumId w:val="17"/>
  </w:num>
  <w:num w:numId="5">
    <w:abstractNumId w:val="12"/>
  </w:num>
  <w:num w:numId="6">
    <w:abstractNumId w:val="15"/>
  </w:num>
  <w:num w:numId="7">
    <w:abstractNumId w:val="7"/>
  </w:num>
  <w:num w:numId="8">
    <w:abstractNumId w:val="16"/>
  </w:num>
  <w:num w:numId="9">
    <w:abstractNumId w:val="6"/>
  </w:num>
  <w:num w:numId="10">
    <w:abstractNumId w:val="8"/>
  </w:num>
  <w:num w:numId="11">
    <w:abstractNumId w:val="21"/>
  </w:num>
  <w:num w:numId="12">
    <w:abstractNumId w:val="10"/>
  </w:num>
  <w:num w:numId="13">
    <w:abstractNumId w:val="9"/>
  </w:num>
  <w:num w:numId="14">
    <w:abstractNumId w:val="5"/>
  </w:num>
  <w:num w:numId="15">
    <w:abstractNumId w:val="1"/>
  </w:num>
  <w:num w:numId="16">
    <w:abstractNumId w:val="11"/>
  </w:num>
  <w:num w:numId="17">
    <w:abstractNumId w:val="19"/>
  </w:num>
  <w:num w:numId="18">
    <w:abstractNumId w:val="2"/>
  </w:num>
  <w:num w:numId="19">
    <w:abstractNumId w:val="20"/>
  </w:num>
  <w:num w:numId="20">
    <w:abstractNumId w:val="0"/>
  </w:num>
  <w:num w:numId="21">
    <w:abstractNumId w:val="14"/>
  </w:num>
  <w:num w:numId="22">
    <w:abstractNumId w:val="13"/>
  </w:num>
  <w:num w:numId="23">
    <w:abstractNumId w:val="4"/>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依米">
    <w15:presenceInfo w15:providerId="WPS Office" w15:userId="249540600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hideSpellingErrors/>
  <w:documentProtection w:enforcement="0"/>
  <w:defaultTabStop w:val="495"/>
  <w:drawingGridHorizontalSpacing w:val="110"/>
  <w:displayHorizontalDrawingGridEvery w:val="1"/>
  <w:displayVerticalDrawingGridEvery w:val="1"/>
  <w:noPunctuationKerning w:val="1"/>
  <w:characterSpacingControl w:val="doNotCompress"/>
  <w:footnotePr>
    <w:footnote w:id="0"/>
    <w:footnote w:id="1"/>
  </w:footnotePr>
  <w:compat>
    <w:balanceSingleByteDoubleByteWidth/>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U4YWNjN2M0YWIwZThlNjNlMjViYzAyZGY5NjMwZDkifQ=="/>
  </w:docVars>
  <w:rsids>
    <w:rsidRoot w:val="00172A27"/>
    <w:rsid w:val="00000A1D"/>
    <w:rsid w:val="00000A9F"/>
    <w:rsid w:val="00000CC2"/>
    <w:rsid w:val="000013F8"/>
    <w:rsid w:val="000015D8"/>
    <w:rsid w:val="000017BF"/>
    <w:rsid w:val="00002200"/>
    <w:rsid w:val="000026F7"/>
    <w:rsid w:val="00002ABA"/>
    <w:rsid w:val="00004D20"/>
    <w:rsid w:val="00006B49"/>
    <w:rsid w:val="00006EDB"/>
    <w:rsid w:val="00007624"/>
    <w:rsid w:val="00013370"/>
    <w:rsid w:val="00014CA9"/>
    <w:rsid w:val="00016416"/>
    <w:rsid w:val="000164C7"/>
    <w:rsid w:val="00017281"/>
    <w:rsid w:val="00017FDA"/>
    <w:rsid w:val="0002180A"/>
    <w:rsid w:val="00021BC6"/>
    <w:rsid w:val="00021EB4"/>
    <w:rsid w:val="0002255E"/>
    <w:rsid w:val="00022FF6"/>
    <w:rsid w:val="000233B0"/>
    <w:rsid w:val="0002343E"/>
    <w:rsid w:val="0002355E"/>
    <w:rsid w:val="00025126"/>
    <w:rsid w:val="000267F5"/>
    <w:rsid w:val="0002753C"/>
    <w:rsid w:val="00027934"/>
    <w:rsid w:val="00030054"/>
    <w:rsid w:val="00033691"/>
    <w:rsid w:val="00033EFE"/>
    <w:rsid w:val="00034934"/>
    <w:rsid w:val="000349D5"/>
    <w:rsid w:val="00035026"/>
    <w:rsid w:val="000353FC"/>
    <w:rsid w:val="00036CCB"/>
    <w:rsid w:val="00037C01"/>
    <w:rsid w:val="00041C6F"/>
    <w:rsid w:val="00042783"/>
    <w:rsid w:val="000446AA"/>
    <w:rsid w:val="00044A1E"/>
    <w:rsid w:val="000459B2"/>
    <w:rsid w:val="000459B7"/>
    <w:rsid w:val="000505BB"/>
    <w:rsid w:val="000515CC"/>
    <w:rsid w:val="00051681"/>
    <w:rsid w:val="000566EA"/>
    <w:rsid w:val="00057A52"/>
    <w:rsid w:val="00057FA4"/>
    <w:rsid w:val="000605F5"/>
    <w:rsid w:val="0006170D"/>
    <w:rsid w:val="0006260F"/>
    <w:rsid w:val="00063AD9"/>
    <w:rsid w:val="0006504A"/>
    <w:rsid w:val="0006577C"/>
    <w:rsid w:val="000658B7"/>
    <w:rsid w:val="00066E14"/>
    <w:rsid w:val="00070298"/>
    <w:rsid w:val="000715A7"/>
    <w:rsid w:val="00073B3C"/>
    <w:rsid w:val="00076911"/>
    <w:rsid w:val="00076947"/>
    <w:rsid w:val="00076EE4"/>
    <w:rsid w:val="00081028"/>
    <w:rsid w:val="00081F82"/>
    <w:rsid w:val="000821B6"/>
    <w:rsid w:val="00082C5E"/>
    <w:rsid w:val="00083BB9"/>
    <w:rsid w:val="00085AAB"/>
    <w:rsid w:val="00086593"/>
    <w:rsid w:val="0009132B"/>
    <w:rsid w:val="0009370A"/>
    <w:rsid w:val="00093718"/>
    <w:rsid w:val="000937B5"/>
    <w:rsid w:val="0009446B"/>
    <w:rsid w:val="00094C62"/>
    <w:rsid w:val="00094FBA"/>
    <w:rsid w:val="0009641F"/>
    <w:rsid w:val="000A00C7"/>
    <w:rsid w:val="000A1458"/>
    <w:rsid w:val="000A1B3C"/>
    <w:rsid w:val="000A3C30"/>
    <w:rsid w:val="000A3C92"/>
    <w:rsid w:val="000A4C4F"/>
    <w:rsid w:val="000A72B3"/>
    <w:rsid w:val="000B0049"/>
    <w:rsid w:val="000B1CE6"/>
    <w:rsid w:val="000B34C7"/>
    <w:rsid w:val="000B52F8"/>
    <w:rsid w:val="000B5550"/>
    <w:rsid w:val="000B5EB3"/>
    <w:rsid w:val="000B639D"/>
    <w:rsid w:val="000C23C6"/>
    <w:rsid w:val="000C34E2"/>
    <w:rsid w:val="000C4279"/>
    <w:rsid w:val="000C4BFF"/>
    <w:rsid w:val="000C613F"/>
    <w:rsid w:val="000C7EB6"/>
    <w:rsid w:val="000D01B1"/>
    <w:rsid w:val="000D08A1"/>
    <w:rsid w:val="000D0DDE"/>
    <w:rsid w:val="000D1307"/>
    <w:rsid w:val="000D131D"/>
    <w:rsid w:val="000D2CB5"/>
    <w:rsid w:val="000D4C20"/>
    <w:rsid w:val="000D4D42"/>
    <w:rsid w:val="000E032D"/>
    <w:rsid w:val="000E036E"/>
    <w:rsid w:val="000E18AD"/>
    <w:rsid w:val="000E1CBE"/>
    <w:rsid w:val="000E3D1E"/>
    <w:rsid w:val="000E5654"/>
    <w:rsid w:val="000E598A"/>
    <w:rsid w:val="000E6BCB"/>
    <w:rsid w:val="000E7055"/>
    <w:rsid w:val="000E76A6"/>
    <w:rsid w:val="000E7F79"/>
    <w:rsid w:val="000F03A5"/>
    <w:rsid w:val="000F1B29"/>
    <w:rsid w:val="000F24A8"/>
    <w:rsid w:val="000F3776"/>
    <w:rsid w:val="000F5BA3"/>
    <w:rsid w:val="000F6278"/>
    <w:rsid w:val="000F728B"/>
    <w:rsid w:val="000F76AB"/>
    <w:rsid w:val="000F776C"/>
    <w:rsid w:val="00101661"/>
    <w:rsid w:val="00101E20"/>
    <w:rsid w:val="00102832"/>
    <w:rsid w:val="001039B4"/>
    <w:rsid w:val="0010456E"/>
    <w:rsid w:val="00105287"/>
    <w:rsid w:val="00105BB3"/>
    <w:rsid w:val="00105DBC"/>
    <w:rsid w:val="001078C9"/>
    <w:rsid w:val="00107996"/>
    <w:rsid w:val="0011253D"/>
    <w:rsid w:val="001141EC"/>
    <w:rsid w:val="0011438A"/>
    <w:rsid w:val="001155D6"/>
    <w:rsid w:val="001156C7"/>
    <w:rsid w:val="00116046"/>
    <w:rsid w:val="0011691D"/>
    <w:rsid w:val="00116A46"/>
    <w:rsid w:val="00117040"/>
    <w:rsid w:val="001206F7"/>
    <w:rsid w:val="0012087D"/>
    <w:rsid w:val="00121010"/>
    <w:rsid w:val="001227BE"/>
    <w:rsid w:val="00122BA4"/>
    <w:rsid w:val="00122D07"/>
    <w:rsid w:val="0012476B"/>
    <w:rsid w:val="00125B8A"/>
    <w:rsid w:val="001304F9"/>
    <w:rsid w:val="00131162"/>
    <w:rsid w:val="00131A69"/>
    <w:rsid w:val="001326B3"/>
    <w:rsid w:val="001336B9"/>
    <w:rsid w:val="00135662"/>
    <w:rsid w:val="00135FE5"/>
    <w:rsid w:val="0013618C"/>
    <w:rsid w:val="001416F2"/>
    <w:rsid w:val="001425F7"/>
    <w:rsid w:val="0014318A"/>
    <w:rsid w:val="00144E22"/>
    <w:rsid w:val="00145FFA"/>
    <w:rsid w:val="00150E4A"/>
    <w:rsid w:val="0015112F"/>
    <w:rsid w:val="001516C0"/>
    <w:rsid w:val="001519FA"/>
    <w:rsid w:val="00151AEF"/>
    <w:rsid w:val="001526C5"/>
    <w:rsid w:val="00152A48"/>
    <w:rsid w:val="00153D49"/>
    <w:rsid w:val="001566C9"/>
    <w:rsid w:val="00156C65"/>
    <w:rsid w:val="00160357"/>
    <w:rsid w:val="00160C56"/>
    <w:rsid w:val="0016313D"/>
    <w:rsid w:val="0016350D"/>
    <w:rsid w:val="001635DD"/>
    <w:rsid w:val="00165B7D"/>
    <w:rsid w:val="00166811"/>
    <w:rsid w:val="00170A35"/>
    <w:rsid w:val="00172A27"/>
    <w:rsid w:val="00172C7E"/>
    <w:rsid w:val="00172F4E"/>
    <w:rsid w:val="0017407B"/>
    <w:rsid w:val="001746CE"/>
    <w:rsid w:val="001748F3"/>
    <w:rsid w:val="00174DC5"/>
    <w:rsid w:val="00174E3E"/>
    <w:rsid w:val="001755C0"/>
    <w:rsid w:val="001764A6"/>
    <w:rsid w:val="00181E02"/>
    <w:rsid w:val="00183BF8"/>
    <w:rsid w:val="001842EA"/>
    <w:rsid w:val="00184E3C"/>
    <w:rsid w:val="001857B1"/>
    <w:rsid w:val="001857B6"/>
    <w:rsid w:val="001869C0"/>
    <w:rsid w:val="00187C8E"/>
    <w:rsid w:val="00191D00"/>
    <w:rsid w:val="001921A1"/>
    <w:rsid w:val="00192D62"/>
    <w:rsid w:val="0019415E"/>
    <w:rsid w:val="00194816"/>
    <w:rsid w:val="00194AA4"/>
    <w:rsid w:val="00194D9E"/>
    <w:rsid w:val="001958C0"/>
    <w:rsid w:val="00196185"/>
    <w:rsid w:val="00196221"/>
    <w:rsid w:val="00197B15"/>
    <w:rsid w:val="001A0886"/>
    <w:rsid w:val="001A1F1E"/>
    <w:rsid w:val="001A31A4"/>
    <w:rsid w:val="001A4BBA"/>
    <w:rsid w:val="001A72E0"/>
    <w:rsid w:val="001B22DC"/>
    <w:rsid w:val="001B2BD4"/>
    <w:rsid w:val="001B2FB7"/>
    <w:rsid w:val="001B4304"/>
    <w:rsid w:val="001B66E2"/>
    <w:rsid w:val="001B6945"/>
    <w:rsid w:val="001B74E6"/>
    <w:rsid w:val="001C166C"/>
    <w:rsid w:val="001C1FE5"/>
    <w:rsid w:val="001C215F"/>
    <w:rsid w:val="001C3348"/>
    <w:rsid w:val="001C5121"/>
    <w:rsid w:val="001C7E8C"/>
    <w:rsid w:val="001D0048"/>
    <w:rsid w:val="001D030E"/>
    <w:rsid w:val="001D1AA0"/>
    <w:rsid w:val="001D1D3A"/>
    <w:rsid w:val="001D23D5"/>
    <w:rsid w:val="001D5537"/>
    <w:rsid w:val="001D5AF9"/>
    <w:rsid w:val="001D60E2"/>
    <w:rsid w:val="001D7B07"/>
    <w:rsid w:val="001E101D"/>
    <w:rsid w:val="001E4284"/>
    <w:rsid w:val="001E4288"/>
    <w:rsid w:val="001E4BE6"/>
    <w:rsid w:val="001E4DF3"/>
    <w:rsid w:val="001E51CF"/>
    <w:rsid w:val="001E563B"/>
    <w:rsid w:val="001E7FC1"/>
    <w:rsid w:val="001F164B"/>
    <w:rsid w:val="001F1938"/>
    <w:rsid w:val="001F2F96"/>
    <w:rsid w:val="001F37BD"/>
    <w:rsid w:val="001F4B28"/>
    <w:rsid w:val="001F6DA1"/>
    <w:rsid w:val="001F7D14"/>
    <w:rsid w:val="00201AF5"/>
    <w:rsid w:val="0020214F"/>
    <w:rsid w:val="002027C5"/>
    <w:rsid w:val="002048E5"/>
    <w:rsid w:val="00206335"/>
    <w:rsid w:val="002104F7"/>
    <w:rsid w:val="00210BCF"/>
    <w:rsid w:val="00210D66"/>
    <w:rsid w:val="002110D4"/>
    <w:rsid w:val="00212891"/>
    <w:rsid w:val="00213785"/>
    <w:rsid w:val="00213FE8"/>
    <w:rsid w:val="00214B3C"/>
    <w:rsid w:val="00214D4C"/>
    <w:rsid w:val="002169EB"/>
    <w:rsid w:val="00216C94"/>
    <w:rsid w:val="00216D7A"/>
    <w:rsid w:val="0022010D"/>
    <w:rsid w:val="0022030E"/>
    <w:rsid w:val="00221E3D"/>
    <w:rsid w:val="00223942"/>
    <w:rsid w:val="00224DF7"/>
    <w:rsid w:val="0022504C"/>
    <w:rsid w:val="00225FAF"/>
    <w:rsid w:val="0022749C"/>
    <w:rsid w:val="00230A0E"/>
    <w:rsid w:val="00230D3F"/>
    <w:rsid w:val="0023162C"/>
    <w:rsid w:val="00233083"/>
    <w:rsid w:val="002355A5"/>
    <w:rsid w:val="002356B5"/>
    <w:rsid w:val="00236A7F"/>
    <w:rsid w:val="0023702B"/>
    <w:rsid w:val="00237436"/>
    <w:rsid w:val="002408CA"/>
    <w:rsid w:val="00240F95"/>
    <w:rsid w:val="0024276F"/>
    <w:rsid w:val="00242A80"/>
    <w:rsid w:val="00242EDD"/>
    <w:rsid w:val="00243CA5"/>
    <w:rsid w:val="00244620"/>
    <w:rsid w:val="00245DB5"/>
    <w:rsid w:val="00247556"/>
    <w:rsid w:val="00247BD6"/>
    <w:rsid w:val="00250009"/>
    <w:rsid w:val="00252387"/>
    <w:rsid w:val="00252D9F"/>
    <w:rsid w:val="00253944"/>
    <w:rsid w:val="00253A6B"/>
    <w:rsid w:val="00254842"/>
    <w:rsid w:val="00254A13"/>
    <w:rsid w:val="00255ABB"/>
    <w:rsid w:val="00260255"/>
    <w:rsid w:val="002615F8"/>
    <w:rsid w:val="00261755"/>
    <w:rsid w:val="00262AB2"/>
    <w:rsid w:val="002634EE"/>
    <w:rsid w:val="00263C9D"/>
    <w:rsid w:val="002661BB"/>
    <w:rsid w:val="00267960"/>
    <w:rsid w:val="00267A77"/>
    <w:rsid w:val="002700EF"/>
    <w:rsid w:val="00270AE1"/>
    <w:rsid w:val="00271636"/>
    <w:rsid w:val="002725A0"/>
    <w:rsid w:val="00272CA2"/>
    <w:rsid w:val="00274155"/>
    <w:rsid w:val="0027489C"/>
    <w:rsid w:val="00274F9C"/>
    <w:rsid w:val="00276264"/>
    <w:rsid w:val="0027654A"/>
    <w:rsid w:val="00276A5B"/>
    <w:rsid w:val="00280961"/>
    <w:rsid w:val="0028166C"/>
    <w:rsid w:val="002817E6"/>
    <w:rsid w:val="00281F4A"/>
    <w:rsid w:val="002820BD"/>
    <w:rsid w:val="0028239E"/>
    <w:rsid w:val="00282B8B"/>
    <w:rsid w:val="00282C08"/>
    <w:rsid w:val="00283055"/>
    <w:rsid w:val="0028316B"/>
    <w:rsid w:val="00284FD8"/>
    <w:rsid w:val="00285852"/>
    <w:rsid w:val="00285FF6"/>
    <w:rsid w:val="00286AF0"/>
    <w:rsid w:val="00286C29"/>
    <w:rsid w:val="00290AE6"/>
    <w:rsid w:val="00291403"/>
    <w:rsid w:val="00292DC7"/>
    <w:rsid w:val="0029316F"/>
    <w:rsid w:val="002933E6"/>
    <w:rsid w:val="00293EB2"/>
    <w:rsid w:val="00294E59"/>
    <w:rsid w:val="0029619A"/>
    <w:rsid w:val="002964A6"/>
    <w:rsid w:val="0029723E"/>
    <w:rsid w:val="002A0335"/>
    <w:rsid w:val="002A13BE"/>
    <w:rsid w:val="002A15A5"/>
    <w:rsid w:val="002A187F"/>
    <w:rsid w:val="002A35A0"/>
    <w:rsid w:val="002A44F3"/>
    <w:rsid w:val="002A6107"/>
    <w:rsid w:val="002A61D3"/>
    <w:rsid w:val="002A6827"/>
    <w:rsid w:val="002A7F29"/>
    <w:rsid w:val="002B00ED"/>
    <w:rsid w:val="002B086B"/>
    <w:rsid w:val="002B17A6"/>
    <w:rsid w:val="002B1D7B"/>
    <w:rsid w:val="002B3DB3"/>
    <w:rsid w:val="002B41AF"/>
    <w:rsid w:val="002B7E54"/>
    <w:rsid w:val="002C04D9"/>
    <w:rsid w:val="002C14F8"/>
    <w:rsid w:val="002C1EAA"/>
    <w:rsid w:val="002C2BE2"/>
    <w:rsid w:val="002C55D1"/>
    <w:rsid w:val="002C707F"/>
    <w:rsid w:val="002C7313"/>
    <w:rsid w:val="002D0388"/>
    <w:rsid w:val="002D0912"/>
    <w:rsid w:val="002D17B1"/>
    <w:rsid w:val="002D17F7"/>
    <w:rsid w:val="002D2249"/>
    <w:rsid w:val="002D3C07"/>
    <w:rsid w:val="002D4FAE"/>
    <w:rsid w:val="002D7488"/>
    <w:rsid w:val="002E005B"/>
    <w:rsid w:val="002E196C"/>
    <w:rsid w:val="002E404F"/>
    <w:rsid w:val="002E6DFA"/>
    <w:rsid w:val="002E7F6A"/>
    <w:rsid w:val="002F0805"/>
    <w:rsid w:val="002F0954"/>
    <w:rsid w:val="002F2E5D"/>
    <w:rsid w:val="002F3043"/>
    <w:rsid w:val="002F3D78"/>
    <w:rsid w:val="002F3FA4"/>
    <w:rsid w:val="002F50D6"/>
    <w:rsid w:val="002F6172"/>
    <w:rsid w:val="002F680E"/>
    <w:rsid w:val="002F6D25"/>
    <w:rsid w:val="002F75CC"/>
    <w:rsid w:val="002F75D5"/>
    <w:rsid w:val="00301E7A"/>
    <w:rsid w:val="00302A8B"/>
    <w:rsid w:val="00303FDF"/>
    <w:rsid w:val="00304545"/>
    <w:rsid w:val="003053D1"/>
    <w:rsid w:val="00305886"/>
    <w:rsid w:val="003058A0"/>
    <w:rsid w:val="003059EA"/>
    <w:rsid w:val="00305D35"/>
    <w:rsid w:val="003061CA"/>
    <w:rsid w:val="003065E8"/>
    <w:rsid w:val="00306F54"/>
    <w:rsid w:val="0030705B"/>
    <w:rsid w:val="003102E9"/>
    <w:rsid w:val="00310302"/>
    <w:rsid w:val="003110BA"/>
    <w:rsid w:val="00312A3C"/>
    <w:rsid w:val="00315603"/>
    <w:rsid w:val="0031583D"/>
    <w:rsid w:val="00315BF8"/>
    <w:rsid w:val="0031730C"/>
    <w:rsid w:val="00320CD5"/>
    <w:rsid w:val="00320EA5"/>
    <w:rsid w:val="003223B7"/>
    <w:rsid w:val="00323B43"/>
    <w:rsid w:val="003241A5"/>
    <w:rsid w:val="003243B3"/>
    <w:rsid w:val="003247EA"/>
    <w:rsid w:val="00324A5A"/>
    <w:rsid w:val="00324DAD"/>
    <w:rsid w:val="003254F7"/>
    <w:rsid w:val="0032640D"/>
    <w:rsid w:val="0033030B"/>
    <w:rsid w:val="00330D56"/>
    <w:rsid w:val="00330E91"/>
    <w:rsid w:val="003319B6"/>
    <w:rsid w:val="00331E3F"/>
    <w:rsid w:val="00332454"/>
    <w:rsid w:val="00332C70"/>
    <w:rsid w:val="003344C5"/>
    <w:rsid w:val="003345B4"/>
    <w:rsid w:val="00334D59"/>
    <w:rsid w:val="00334F62"/>
    <w:rsid w:val="0033534D"/>
    <w:rsid w:val="0033559D"/>
    <w:rsid w:val="00336876"/>
    <w:rsid w:val="0033782E"/>
    <w:rsid w:val="00337971"/>
    <w:rsid w:val="00341FEA"/>
    <w:rsid w:val="00343E7D"/>
    <w:rsid w:val="00344329"/>
    <w:rsid w:val="00344575"/>
    <w:rsid w:val="00346412"/>
    <w:rsid w:val="00347F01"/>
    <w:rsid w:val="00350D34"/>
    <w:rsid w:val="003512B5"/>
    <w:rsid w:val="00351488"/>
    <w:rsid w:val="00354399"/>
    <w:rsid w:val="003544D8"/>
    <w:rsid w:val="00355B55"/>
    <w:rsid w:val="00356B88"/>
    <w:rsid w:val="0036168F"/>
    <w:rsid w:val="00361C52"/>
    <w:rsid w:val="0036349B"/>
    <w:rsid w:val="00364B58"/>
    <w:rsid w:val="00365043"/>
    <w:rsid w:val="00365136"/>
    <w:rsid w:val="00371662"/>
    <w:rsid w:val="00371ED9"/>
    <w:rsid w:val="00372B08"/>
    <w:rsid w:val="00372C7F"/>
    <w:rsid w:val="00372DCF"/>
    <w:rsid w:val="00373A5C"/>
    <w:rsid w:val="00373ECC"/>
    <w:rsid w:val="003750E5"/>
    <w:rsid w:val="00377884"/>
    <w:rsid w:val="00383B29"/>
    <w:rsid w:val="00384648"/>
    <w:rsid w:val="00386176"/>
    <w:rsid w:val="0039033C"/>
    <w:rsid w:val="00392056"/>
    <w:rsid w:val="00395E3E"/>
    <w:rsid w:val="0039605F"/>
    <w:rsid w:val="0039681E"/>
    <w:rsid w:val="00396A95"/>
    <w:rsid w:val="00397109"/>
    <w:rsid w:val="003A0346"/>
    <w:rsid w:val="003A0F92"/>
    <w:rsid w:val="003A1239"/>
    <w:rsid w:val="003A1E0B"/>
    <w:rsid w:val="003A22E6"/>
    <w:rsid w:val="003A3C0A"/>
    <w:rsid w:val="003A5769"/>
    <w:rsid w:val="003A5E4E"/>
    <w:rsid w:val="003B1277"/>
    <w:rsid w:val="003B2097"/>
    <w:rsid w:val="003B2224"/>
    <w:rsid w:val="003B253A"/>
    <w:rsid w:val="003B28EE"/>
    <w:rsid w:val="003B3176"/>
    <w:rsid w:val="003B343A"/>
    <w:rsid w:val="003B486D"/>
    <w:rsid w:val="003B788A"/>
    <w:rsid w:val="003C181A"/>
    <w:rsid w:val="003C39FF"/>
    <w:rsid w:val="003C4563"/>
    <w:rsid w:val="003C45CB"/>
    <w:rsid w:val="003C47EE"/>
    <w:rsid w:val="003C4887"/>
    <w:rsid w:val="003C6342"/>
    <w:rsid w:val="003C6978"/>
    <w:rsid w:val="003C6F67"/>
    <w:rsid w:val="003D005F"/>
    <w:rsid w:val="003D105A"/>
    <w:rsid w:val="003D13C3"/>
    <w:rsid w:val="003D3458"/>
    <w:rsid w:val="003D37D8"/>
    <w:rsid w:val="003D3BA4"/>
    <w:rsid w:val="003D55A5"/>
    <w:rsid w:val="003D5627"/>
    <w:rsid w:val="003D6573"/>
    <w:rsid w:val="003E001B"/>
    <w:rsid w:val="003E0121"/>
    <w:rsid w:val="003E10B2"/>
    <w:rsid w:val="003E1C0B"/>
    <w:rsid w:val="003E1DF4"/>
    <w:rsid w:val="003E21AC"/>
    <w:rsid w:val="003E2ED0"/>
    <w:rsid w:val="003E343D"/>
    <w:rsid w:val="003E38F7"/>
    <w:rsid w:val="003E471E"/>
    <w:rsid w:val="003E6487"/>
    <w:rsid w:val="003E665B"/>
    <w:rsid w:val="003E70C6"/>
    <w:rsid w:val="003E7A5A"/>
    <w:rsid w:val="003F0CF0"/>
    <w:rsid w:val="003F0E9B"/>
    <w:rsid w:val="003F1015"/>
    <w:rsid w:val="003F281F"/>
    <w:rsid w:val="003F30A8"/>
    <w:rsid w:val="003F44FF"/>
    <w:rsid w:val="003F6563"/>
    <w:rsid w:val="00400E24"/>
    <w:rsid w:val="00401F8A"/>
    <w:rsid w:val="004031B3"/>
    <w:rsid w:val="00404EDB"/>
    <w:rsid w:val="00406E1F"/>
    <w:rsid w:val="00406E76"/>
    <w:rsid w:val="00410286"/>
    <w:rsid w:val="004105DA"/>
    <w:rsid w:val="00411150"/>
    <w:rsid w:val="00412386"/>
    <w:rsid w:val="0041436F"/>
    <w:rsid w:val="0041611C"/>
    <w:rsid w:val="00416462"/>
    <w:rsid w:val="0041745F"/>
    <w:rsid w:val="00420B92"/>
    <w:rsid w:val="0042280A"/>
    <w:rsid w:val="0042295E"/>
    <w:rsid w:val="00422A18"/>
    <w:rsid w:val="00423904"/>
    <w:rsid w:val="00424F43"/>
    <w:rsid w:val="00426133"/>
    <w:rsid w:val="00426868"/>
    <w:rsid w:val="0042766F"/>
    <w:rsid w:val="00433286"/>
    <w:rsid w:val="00433851"/>
    <w:rsid w:val="00433D82"/>
    <w:rsid w:val="00435680"/>
    <w:rsid w:val="004356D3"/>
    <w:rsid w:val="004358AB"/>
    <w:rsid w:val="00435FD0"/>
    <w:rsid w:val="00437B9E"/>
    <w:rsid w:val="00441F61"/>
    <w:rsid w:val="004432CF"/>
    <w:rsid w:val="004435B6"/>
    <w:rsid w:val="00443E1E"/>
    <w:rsid w:val="004447B3"/>
    <w:rsid w:val="00446273"/>
    <w:rsid w:val="00453240"/>
    <w:rsid w:val="0045373F"/>
    <w:rsid w:val="0045446F"/>
    <w:rsid w:val="0045462B"/>
    <w:rsid w:val="00455263"/>
    <w:rsid w:val="0045645B"/>
    <w:rsid w:val="00460A97"/>
    <w:rsid w:val="00460BC7"/>
    <w:rsid w:val="00461C93"/>
    <w:rsid w:val="00463ECF"/>
    <w:rsid w:val="004654B4"/>
    <w:rsid w:val="004660FC"/>
    <w:rsid w:val="004675B4"/>
    <w:rsid w:val="00467FB9"/>
    <w:rsid w:val="004705CF"/>
    <w:rsid w:val="00470A8D"/>
    <w:rsid w:val="004714E6"/>
    <w:rsid w:val="0047358B"/>
    <w:rsid w:val="00474ACC"/>
    <w:rsid w:val="00474BC5"/>
    <w:rsid w:val="004764EC"/>
    <w:rsid w:val="00476530"/>
    <w:rsid w:val="004813C8"/>
    <w:rsid w:val="004814D7"/>
    <w:rsid w:val="00483136"/>
    <w:rsid w:val="004837AC"/>
    <w:rsid w:val="00484AAB"/>
    <w:rsid w:val="004851D7"/>
    <w:rsid w:val="00491563"/>
    <w:rsid w:val="004919AF"/>
    <w:rsid w:val="00491A26"/>
    <w:rsid w:val="004955FC"/>
    <w:rsid w:val="004A1433"/>
    <w:rsid w:val="004A31E5"/>
    <w:rsid w:val="004A3A02"/>
    <w:rsid w:val="004A4DE0"/>
    <w:rsid w:val="004A5266"/>
    <w:rsid w:val="004A5434"/>
    <w:rsid w:val="004A5E0F"/>
    <w:rsid w:val="004A60CA"/>
    <w:rsid w:val="004A6E47"/>
    <w:rsid w:val="004A74D1"/>
    <w:rsid w:val="004A77AA"/>
    <w:rsid w:val="004A7834"/>
    <w:rsid w:val="004B02F8"/>
    <w:rsid w:val="004B2474"/>
    <w:rsid w:val="004B31F6"/>
    <w:rsid w:val="004B3768"/>
    <w:rsid w:val="004B4077"/>
    <w:rsid w:val="004B47B0"/>
    <w:rsid w:val="004B50D0"/>
    <w:rsid w:val="004B5F31"/>
    <w:rsid w:val="004B681D"/>
    <w:rsid w:val="004B7A06"/>
    <w:rsid w:val="004B7B19"/>
    <w:rsid w:val="004C081F"/>
    <w:rsid w:val="004C11E4"/>
    <w:rsid w:val="004C1382"/>
    <w:rsid w:val="004C1E72"/>
    <w:rsid w:val="004C2154"/>
    <w:rsid w:val="004C2CCC"/>
    <w:rsid w:val="004C4D1D"/>
    <w:rsid w:val="004C4D72"/>
    <w:rsid w:val="004C789F"/>
    <w:rsid w:val="004C797E"/>
    <w:rsid w:val="004D2113"/>
    <w:rsid w:val="004D3488"/>
    <w:rsid w:val="004D42C9"/>
    <w:rsid w:val="004D4708"/>
    <w:rsid w:val="004D581B"/>
    <w:rsid w:val="004D7C68"/>
    <w:rsid w:val="004E0A98"/>
    <w:rsid w:val="004E22C3"/>
    <w:rsid w:val="004E2520"/>
    <w:rsid w:val="004E2945"/>
    <w:rsid w:val="004E3508"/>
    <w:rsid w:val="004E4378"/>
    <w:rsid w:val="004E6959"/>
    <w:rsid w:val="004E79CE"/>
    <w:rsid w:val="004F068D"/>
    <w:rsid w:val="004F0B87"/>
    <w:rsid w:val="004F273B"/>
    <w:rsid w:val="004F34F0"/>
    <w:rsid w:val="004F37EF"/>
    <w:rsid w:val="004F38AE"/>
    <w:rsid w:val="004F46B2"/>
    <w:rsid w:val="004F4899"/>
    <w:rsid w:val="004F6024"/>
    <w:rsid w:val="004F62DB"/>
    <w:rsid w:val="004F6365"/>
    <w:rsid w:val="004F6D0F"/>
    <w:rsid w:val="004F775A"/>
    <w:rsid w:val="004F7D71"/>
    <w:rsid w:val="004F7E3E"/>
    <w:rsid w:val="00500EC9"/>
    <w:rsid w:val="00502668"/>
    <w:rsid w:val="00502763"/>
    <w:rsid w:val="00503801"/>
    <w:rsid w:val="00503AC1"/>
    <w:rsid w:val="005047EC"/>
    <w:rsid w:val="005049F4"/>
    <w:rsid w:val="005055A6"/>
    <w:rsid w:val="0050603D"/>
    <w:rsid w:val="00507297"/>
    <w:rsid w:val="00510FAF"/>
    <w:rsid w:val="005111A0"/>
    <w:rsid w:val="00511601"/>
    <w:rsid w:val="00511786"/>
    <w:rsid w:val="005137AA"/>
    <w:rsid w:val="0051391E"/>
    <w:rsid w:val="005154CE"/>
    <w:rsid w:val="00515B88"/>
    <w:rsid w:val="0051612D"/>
    <w:rsid w:val="00521709"/>
    <w:rsid w:val="005220F8"/>
    <w:rsid w:val="00523040"/>
    <w:rsid w:val="0052370A"/>
    <w:rsid w:val="00523DE0"/>
    <w:rsid w:val="00524BAB"/>
    <w:rsid w:val="00525DE2"/>
    <w:rsid w:val="00526632"/>
    <w:rsid w:val="00526C14"/>
    <w:rsid w:val="0053095D"/>
    <w:rsid w:val="00530D82"/>
    <w:rsid w:val="00531F7D"/>
    <w:rsid w:val="00533480"/>
    <w:rsid w:val="00534220"/>
    <w:rsid w:val="0053511A"/>
    <w:rsid w:val="00535144"/>
    <w:rsid w:val="005361FD"/>
    <w:rsid w:val="005362EA"/>
    <w:rsid w:val="005363FD"/>
    <w:rsid w:val="0053784B"/>
    <w:rsid w:val="00540376"/>
    <w:rsid w:val="00540681"/>
    <w:rsid w:val="00541501"/>
    <w:rsid w:val="005450CC"/>
    <w:rsid w:val="00545412"/>
    <w:rsid w:val="00546A19"/>
    <w:rsid w:val="0054710A"/>
    <w:rsid w:val="005472E5"/>
    <w:rsid w:val="00550A98"/>
    <w:rsid w:val="005524D5"/>
    <w:rsid w:val="00554566"/>
    <w:rsid w:val="00554D32"/>
    <w:rsid w:val="00554EF3"/>
    <w:rsid w:val="00554F6B"/>
    <w:rsid w:val="00556489"/>
    <w:rsid w:val="00556710"/>
    <w:rsid w:val="00556B0C"/>
    <w:rsid w:val="00557E2E"/>
    <w:rsid w:val="00560A7D"/>
    <w:rsid w:val="00560D42"/>
    <w:rsid w:val="005616C6"/>
    <w:rsid w:val="005643B5"/>
    <w:rsid w:val="0056481A"/>
    <w:rsid w:val="0056552B"/>
    <w:rsid w:val="00565883"/>
    <w:rsid w:val="00565F5B"/>
    <w:rsid w:val="005664CE"/>
    <w:rsid w:val="0056661D"/>
    <w:rsid w:val="005667AE"/>
    <w:rsid w:val="00567BF3"/>
    <w:rsid w:val="00567F37"/>
    <w:rsid w:val="005703BB"/>
    <w:rsid w:val="005714A0"/>
    <w:rsid w:val="00572583"/>
    <w:rsid w:val="00573614"/>
    <w:rsid w:val="005749E6"/>
    <w:rsid w:val="00574A63"/>
    <w:rsid w:val="00574F54"/>
    <w:rsid w:val="0057698D"/>
    <w:rsid w:val="00576B3F"/>
    <w:rsid w:val="00577DA8"/>
    <w:rsid w:val="00581533"/>
    <w:rsid w:val="00581AFD"/>
    <w:rsid w:val="005824D1"/>
    <w:rsid w:val="00585B97"/>
    <w:rsid w:val="005901B0"/>
    <w:rsid w:val="00590735"/>
    <w:rsid w:val="00591622"/>
    <w:rsid w:val="00591FBB"/>
    <w:rsid w:val="00595F2B"/>
    <w:rsid w:val="00596E16"/>
    <w:rsid w:val="00597969"/>
    <w:rsid w:val="005A1A84"/>
    <w:rsid w:val="005A21E7"/>
    <w:rsid w:val="005A287B"/>
    <w:rsid w:val="005A3AE5"/>
    <w:rsid w:val="005A4589"/>
    <w:rsid w:val="005A4A9E"/>
    <w:rsid w:val="005A65BE"/>
    <w:rsid w:val="005A668C"/>
    <w:rsid w:val="005A691B"/>
    <w:rsid w:val="005B0DEF"/>
    <w:rsid w:val="005B1EA6"/>
    <w:rsid w:val="005B20AB"/>
    <w:rsid w:val="005B27F3"/>
    <w:rsid w:val="005B2B4C"/>
    <w:rsid w:val="005B2D71"/>
    <w:rsid w:val="005B389F"/>
    <w:rsid w:val="005B4103"/>
    <w:rsid w:val="005B47C8"/>
    <w:rsid w:val="005B53B5"/>
    <w:rsid w:val="005B54B3"/>
    <w:rsid w:val="005B564B"/>
    <w:rsid w:val="005B7BE8"/>
    <w:rsid w:val="005C0233"/>
    <w:rsid w:val="005C05B9"/>
    <w:rsid w:val="005C0AC7"/>
    <w:rsid w:val="005C0B4A"/>
    <w:rsid w:val="005C1F3B"/>
    <w:rsid w:val="005C2410"/>
    <w:rsid w:val="005C4CD1"/>
    <w:rsid w:val="005C5162"/>
    <w:rsid w:val="005C56CE"/>
    <w:rsid w:val="005C5D77"/>
    <w:rsid w:val="005C76CB"/>
    <w:rsid w:val="005D0ED1"/>
    <w:rsid w:val="005D374C"/>
    <w:rsid w:val="005D6BCA"/>
    <w:rsid w:val="005E0C0D"/>
    <w:rsid w:val="005E1174"/>
    <w:rsid w:val="005E1842"/>
    <w:rsid w:val="005E3A14"/>
    <w:rsid w:val="005E3F17"/>
    <w:rsid w:val="005E40D8"/>
    <w:rsid w:val="005E4CAF"/>
    <w:rsid w:val="005E6E4D"/>
    <w:rsid w:val="005E7B91"/>
    <w:rsid w:val="005F0A81"/>
    <w:rsid w:val="005F0FA7"/>
    <w:rsid w:val="005F1B60"/>
    <w:rsid w:val="005F1F51"/>
    <w:rsid w:val="005F291A"/>
    <w:rsid w:val="005F3AED"/>
    <w:rsid w:val="005F3CF0"/>
    <w:rsid w:val="005F4838"/>
    <w:rsid w:val="005F633E"/>
    <w:rsid w:val="005F742B"/>
    <w:rsid w:val="005F7CC9"/>
    <w:rsid w:val="00602B09"/>
    <w:rsid w:val="00604974"/>
    <w:rsid w:val="00604A1C"/>
    <w:rsid w:val="00605D8F"/>
    <w:rsid w:val="00607717"/>
    <w:rsid w:val="0061015D"/>
    <w:rsid w:val="006105D1"/>
    <w:rsid w:val="00610BCE"/>
    <w:rsid w:val="0061188B"/>
    <w:rsid w:val="00611AD0"/>
    <w:rsid w:val="0061296E"/>
    <w:rsid w:val="00613F36"/>
    <w:rsid w:val="00614428"/>
    <w:rsid w:val="00615334"/>
    <w:rsid w:val="00615868"/>
    <w:rsid w:val="00615F5F"/>
    <w:rsid w:val="0061629D"/>
    <w:rsid w:val="00616371"/>
    <w:rsid w:val="006179D2"/>
    <w:rsid w:val="006204FE"/>
    <w:rsid w:val="00620661"/>
    <w:rsid w:val="00620C07"/>
    <w:rsid w:val="00621684"/>
    <w:rsid w:val="0062269F"/>
    <w:rsid w:val="006248E8"/>
    <w:rsid w:val="00624F63"/>
    <w:rsid w:val="006253A1"/>
    <w:rsid w:val="0062556F"/>
    <w:rsid w:val="0062577E"/>
    <w:rsid w:val="00627C54"/>
    <w:rsid w:val="00627CF1"/>
    <w:rsid w:val="006309B1"/>
    <w:rsid w:val="00631BF9"/>
    <w:rsid w:val="0063201C"/>
    <w:rsid w:val="006321A4"/>
    <w:rsid w:val="00632B86"/>
    <w:rsid w:val="00633896"/>
    <w:rsid w:val="006359E4"/>
    <w:rsid w:val="00635A1E"/>
    <w:rsid w:val="0064087F"/>
    <w:rsid w:val="00640C22"/>
    <w:rsid w:val="00640E46"/>
    <w:rsid w:val="00641BCC"/>
    <w:rsid w:val="0064481F"/>
    <w:rsid w:val="00645AE3"/>
    <w:rsid w:val="0064670F"/>
    <w:rsid w:val="00647D05"/>
    <w:rsid w:val="00650136"/>
    <w:rsid w:val="006507A9"/>
    <w:rsid w:val="00650D67"/>
    <w:rsid w:val="00652235"/>
    <w:rsid w:val="006533FF"/>
    <w:rsid w:val="00653873"/>
    <w:rsid w:val="00655DDE"/>
    <w:rsid w:val="006571E4"/>
    <w:rsid w:val="0066004C"/>
    <w:rsid w:val="006603B5"/>
    <w:rsid w:val="00661F1A"/>
    <w:rsid w:val="006646D3"/>
    <w:rsid w:val="0066593D"/>
    <w:rsid w:val="0066655F"/>
    <w:rsid w:val="00666C3B"/>
    <w:rsid w:val="00667696"/>
    <w:rsid w:val="00667845"/>
    <w:rsid w:val="00667E56"/>
    <w:rsid w:val="00671EED"/>
    <w:rsid w:val="00672E27"/>
    <w:rsid w:val="00673D67"/>
    <w:rsid w:val="006742D1"/>
    <w:rsid w:val="00674624"/>
    <w:rsid w:val="00677F2D"/>
    <w:rsid w:val="00680CD3"/>
    <w:rsid w:val="0068113F"/>
    <w:rsid w:val="00681C62"/>
    <w:rsid w:val="006828B6"/>
    <w:rsid w:val="006829F3"/>
    <w:rsid w:val="00682B78"/>
    <w:rsid w:val="00682E46"/>
    <w:rsid w:val="006830A5"/>
    <w:rsid w:val="006849C3"/>
    <w:rsid w:val="006857B9"/>
    <w:rsid w:val="00685B52"/>
    <w:rsid w:val="006861C4"/>
    <w:rsid w:val="0068768C"/>
    <w:rsid w:val="006906BB"/>
    <w:rsid w:val="00690E39"/>
    <w:rsid w:val="00692006"/>
    <w:rsid w:val="00692024"/>
    <w:rsid w:val="0069238A"/>
    <w:rsid w:val="00692D75"/>
    <w:rsid w:val="00692F91"/>
    <w:rsid w:val="00693D18"/>
    <w:rsid w:val="00693ECB"/>
    <w:rsid w:val="00695205"/>
    <w:rsid w:val="00696A09"/>
    <w:rsid w:val="00696CDB"/>
    <w:rsid w:val="00697B4B"/>
    <w:rsid w:val="006A009C"/>
    <w:rsid w:val="006A0544"/>
    <w:rsid w:val="006A0FD9"/>
    <w:rsid w:val="006A113A"/>
    <w:rsid w:val="006A1B9A"/>
    <w:rsid w:val="006A30A1"/>
    <w:rsid w:val="006A35D0"/>
    <w:rsid w:val="006A3753"/>
    <w:rsid w:val="006A3E46"/>
    <w:rsid w:val="006A3F02"/>
    <w:rsid w:val="006A5EE3"/>
    <w:rsid w:val="006A5FD8"/>
    <w:rsid w:val="006A617B"/>
    <w:rsid w:val="006A6DA0"/>
    <w:rsid w:val="006A7406"/>
    <w:rsid w:val="006B04E3"/>
    <w:rsid w:val="006B2152"/>
    <w:rsid w:val="006B2986"/>
    <w:rsid w:val="006B31F6"/>
    <w:rsid w:val="006B32E6"/>
    <w:rsid w:val="006B3A69"/>
    <w:rsid w:val="006B3C99"/>
    <w:rsid w:val="006B4C5D"/>
    <w:rsid w:val="006B67B1"/>
    <w:rsid w:val="006C043F"/>
    <w:rsid w:val="006C0581"/>
    <w:rsid w:val="006C08E5"/>
    <w:rsid w:val="006C1223"/>
    <w:rsid w:val="006C2425"/>
    <w:rsid w:val="006C257D"/>
    <w:rsid w:val="006C25F9"/>
    <w:rsid w:val="006C4783"/>
    <w:rsid w:val="006C5585"/>
    <w:rsid w:val="006C6640"/>
    <w:rsid w:val="006D14C1"/>
    <w:rsid w:val="006D1541"/>
    <w:rsid w:val="006D1910"/>
    <w:rsid w:val="006D1EC5"/>
    <w:rsid w:val="006D2B1E"/>
    <w:rsid w:val="006D6BB7"/>
    <w:rsid w:val="006D6CB5"/>
    <w:rsid w:val="006D7230"/>
    <w:rsid w:val="006D7B65"/>
    <w:rsid w:val="006E1BF8"/>
    <w:rsid w:val="006E1CFF"/>
    <w:rsid w:val="006E2374"/>
    <w:rsid w:val="006E2C32"/>
    <w:rsid w:val="006E400F"/>
    <w:rsid w:val="006E4643"/>
    <w:rsid w:val="006E58CD"/>
    <w:rsid w:val="006E6808"/>
    <w:rsid w:val="006E6B82"/>
    <w:rsid w:val="006E6D21"/>
    <w:rsid w:val="006E75EF"/>
    <w:rsid w:val="006E7AD2"/>
    <w:rsid w:val="006E7E3C"/>
    <w:rsid w:val="006F01C5"/>
    <w:rsid w:val="006F0C84"/>
    <w:rsid w:val="006F1781"/>
    <w:rsid w:val="006F3219"/>
    <w:rsid w:val="006F4ECC"/>
    <w:rsid w:val="006F55BE"/>
    <w:rsid w:val="006F5909"/>
    <w:rsid w:val="006F7404"/>
    <w:rsid w:val="006F7B45"/>
    <w:rsid w:val="00703436"/>
    <w:rsid w:val="00703BEB"/>
    <w:rsid w:val="00703C84"/>
    <w:rsid w:val="00703D88"/>
    <w:rsid w:val="00705234"/>
    <w:rsid w:val="00705854"/>
    <w:rsid w:val="00706ED1"/>
    <w:rsid w:val="00707706"/>
    <w:rsid w:val="007104AD"/>
    <w:rsid w:val="00710843"/>
    <w:rsid w:val="0071094D"/>
    <w:rsid w:val="00710B6A"/>
    <w:rsid w:val="00710EB1"/>
    <w:rsid w:val="007115F3"/>
    <w:rsid w:val="00711A1F"/>
    <w:rsid w:val="00711DF7"/>
    <w:rsid w:val="0071367D"/>
    <w:rsid w:val="00717F28"/>
    <w:rsid w:val="0072040A"/>
    <w:rsid w:val="00720599"/>
    <w:rsid w:val="0072237F"/>
    <w:rsid w:val="00724FFC"/>
    <w:rsid w:val="007272D7"/>
    <w:rsid w:val="00727B14"/>
    <w:rsid w:val="00730077"/>
    <w:rsid w:val="00732658"/>
    <w:rsid w:val="00733C83"/>
    <w:rsid w:val="0073789A"/>
    <w:rsid w:val="00737D16"/>
    <w:rsid w:val="00742015"/>
    <w:rsid w:val="00742A3E"/>
    <w:rsid w:val="0074372C"/>
    <w:rsid w:val="00745782"/>
    <w:rsid w:val="00745C76"/>
    <w:rsid w:val="00746082"/>
    <w:rsid w:val="007464F3"/>
    <w:rsid w:val="0074793C"/>
    <w:rsid w:val="00747F58"/>
    <w:rsid w:val="00750936"/>
    <w:rsid w:val="00751E3B"/>
    <w:rsid w:val="00751E83"/>
    <w:rsid w:val="0075230D"/>
    <w:rsid w:val="00752EC6"/>
    <w:rsid w:val="007557DD"/>
    <w:rsid w:val="00755CD1"/>
    <w:rsid w:val="00756605"/>
    <w:rsid w:val="00757C7A"/>
    <w:rsid w:val="00760D6A"/>
    <w:rsid w:val="00762061"/>
    <w:rsid w:val="00762374"/>
    <w:rsid w:val="00763599"/>
    <w:rsid w:val="00764049"/>
    <w:rsid w:val="00764CD3"/>
    <w:rsid w:val="00764F0D"/>
    <w:rsid w:val="007659EF"/>
    <w:rsid w:val="00765BCA"/>
    <w:rsid w:val="0076692F"/>
    <w:rsid w:val="0076711F"/>
    <w:rsid w:val="00767F81"/>
    <w:rsid w:val="00770205"/>
    <w:rsid w:val="007703C9"/>
    <w:rsid w:val="0077058B"/>
    <w:rsid w:val="00770792"/>
    <w:rsid w:val="00770C7D"/>
    <w:rsid w:val="00770E9A"/>
    <w:rsid w:val="007714BC"/>
    <w:rsid w:val="0077415F"/>
    <w:rsid w:val="00775405"/>
    <w:rsid w:val="00777321"/>
    <w:rsid w:val="00777BC7"/>
    <w:rsid w:val="007802EE"/>
    <w:rsid w:val="00781165"/>
    <w:rsid w:val="007818D9"/>
    <w:rsid w:val="007844C1"/>
    <w:rsid w:val="00784B33"/>
    <w:rsid w:val="00784F91"/>
    <w:rsid w:val="0078503D"/>
    <w:rsid w:val="00785851"/>
    <w:rsid w:val="007900B5"/>
    <w:rsid w:val="0079045E"/>
    <w:rsid w:val="00790F02"/>
    <w:rsid w:val="00791430"/>
    <w:rsid w:val="00791CCC"/>
    <w:rsid w:val="00793714"/>
    <w:rsid w:val="00794D76"/>
    <w:rsid w:val="00795341"/>
    <w:rsid w:val="007961A7"/>
    <w:rsid w:val="00796338"/>
    <w:rsid w:val="00796670"/>
    <w:rsid w:val="00796B3B"/>
    <w:rsid w:val="00796E21"/>
    <w:rsid w:val="00796F19"/>
    <w:rsid w:val="00797DB6"/>
    <w:rsid w:val="00797E67"/>
    <w:rsid w:val="007A0464"/>
    <w:rsid w:val="007A0814"/>
    <w:rsid w:val="007A1370"/>
    <w:rsid w:val="007A1D42"/>
    <w:rsid w:val="007A2560"/>
    <w:rsid w:val="007A2CA2"/>
    <w:rsid w:val="007A30CC"/>
    <w:rsid w:val="007A314B"/>
    <w:rsid w:val="007A3579"/>
    <w:rsid w:val="007A40E6"/>
    <w:rsid w:val="007A4BEF"/>
    <w:rsid w:val="007A63CB"/>
    <w:rsid w:val="007B044F"/>
    <w:rsid w:val="007B1740"/>
    <w:rsid w:val="007B2B8D"/>
    <w:rsid w:val="007B3F81"/>
    <w:rsid w:val="007B41E3"/>
    <w:rsid w:val="007B4797"/>
    <w:rsid w:val="007B4E48"/>
    <w:rsid w:val="007B59BC"/>
    <w:rsid w:val="007B5F43"/>
    <w:rsid w:val="007B6E30"/>
    <w:rsid w:val="007B7C66"/>
    <w:rsid w:val="007B7CE5"/>
    <w:rsid w:val="007C016F"/>
    <w:rsid w:val="007C0C60"/>
    <w:rsid w:val="007C0D8D"/>
    <w:rsid w:val="007C1830"/>
    <w:rsid w:val="007C2722"/>
    <w:rsid w:val="007C277D"/>
    <w:rsid w:val="007C36FD"/>
    <w:rsid w:val="007C5ADF"/>
    <w:rsid w:val="007C6AA3"/>
    <w:rsid w:val="007C7B94"/>
    <w:rsid w:val="007D17D2"/>
    <w:rsid w:val="007D3808"/>
    <w:rsid w:val="007D6880"/>
    <w:rsid w:val="007E115B"/>
    <w:rsid w:val="007E18DB"/>
    <w:rsid w:val="007E288F"/>
    <w:rsid w:val="007E49EE"/>
    <w:rsid w:val="007E5DAD"/>
    <w:rsid w:val="007E6F07"/>
    <w:rsid w:val="007E716B"/>
    <w:rsid w:val="007E7B45"/>
    <w:rsid w:val="007F0802"/>
    <w:rsid w:val="007F1A1B"/>
    <w:rsid w:val="007F234A"/>
    <w:rsid w:val="007F2CC2"/>
    <w:rsid w:val="007F3D3F"/>
    <w:rsid w:val="007F4260"/>
    <w:rsid w:val="007F4491"/>
    <w:rsid w:val="007F4776"/>
    <w:rsid w:val="007F4CCC"/>
    <w:rsid w:val="007F7FCE"/>
    <w:rsid w:val="00800191"/>
    <w:rsid w:val="00800B5D"/>
    <w:rsid w:val="00802DC5"/>
    <w:rsid w:val="00804335"/>
    <w:rsid w:val="008054A8"/>
    <w:rsid w:val="00806C29"/>
    <w:rsid w:val="00806E6B"/>
    <w:rsid w:val="00807073"/>
    <w:rsid w:val="00807832"/>
    <w:rsid w:val="00807F52"/>
    <w:rsid w:val="008113FB"/>
    <w:rsid w:val="008125C0"/>
    <w:rsid w:val="00814249"/>
    <w:rsid w:val="00814E12"/>
    <w:rsid w:val="00814FDC"/>
    <w:rsid w:val="00815FF3"/>
    <w:rsid w:val="008164AD"/>
    <w:rsid w:val="00816BC1"/>
    <w:rsid w:val="00816EF1"/>
    <w:rsid w:val="0082039E"/>
    <w:rsid w:val="0082056E"/>
    <w:rsid w:val="00820F5A"/>
    <w:rsid w:val="00821FB9"/>
    <w:rsid w:val="00822D6F"/>
    <w:rsid w:val="008244C7"/>
    <w:rsid w:val="008245C7"/>
    <w:rsid w:val="00824CAC"/>
    <w:rsid w:val="0082660E"/>
    <w:rsid w:val="00831298"/>
    <w:rsid w:val="008319A5"/>
    <w:rsid w:val="00831A0D"/>
    <w:rsid w:val="00831B90"/>
    <w:rsid w:val="00835368"/>
    <w:rsid w:val="008355B8"/>
    <w:rsid w:val="008359B6"/>
    <w:rsid w:val="00835EB9"/>
    <w:rsid w:val="00836C3B"/>
    <w:rsid w:val="0083777B"/>
    <w:rsid w:val="00837D72"/>
    <w:rsid w:val="00843772"/>
    <w:rsid w:val="00843A15"/>
    <w:rsid w:val="00844140"/>
    <w:rsid w:val="0084489E"/>
    <w:rsid w:val="00845948"/>
    <w:rsid w:val="008475F7"/>
    <w:rsid w:val="008503E1"/>
    <w:rsid w:val="00851F0B"/>
    <w:rsid w:val="0085383A"/>
    <w:rsid w:val="00856C5E"/>
    <w:rsid w:val="00857F8B"/>
    <w:rsid w:val="00860E23"/>
    <w:rsid w:val="00861A16"/>
    <w:rsid w:val="00862034"/>
    <w:rsid w:val="00862A41"/>
    <w:rsid w:val="00862C68"/>
    <w:rsid w:val="00863021"/>
    <w:rsid w:val="00865EED"/>
    <w:rsid w:val="00865FB5"/>
    <w:rsid w:val="0086747F"/>
    <w:rsid w:val="00871379"/>
    <w:rsid w:val="00871523"/>
    <w:rsid w:val="00871ECA"/>
    <w:rsid w:val="008731B7"/>
    <w:rsid w:val="0087403E"/>
    <w:rsid w:val="00874229"/>
    <w:rsid w:val="00874A1D"/>
    <w:rsid w:val="00876F0B"/>
    <w:rsid w:val="00877D44"/>
    <w:rsid w:val="00877EF7"/>
    <w:rsid w:val="00880BB2"/>
    <w:rsid w:val="00881845"/>
    <w:rsid w:val="00883100"/>
    <w:rsid w:val="008841AF"/>
    <w:rsid w:val="00884400"/>
    <w:rsid w:val="00886920"/>
    <w:rsid w:val="0089125B"/>
    <w:rsid w:val="008918BD"/>
    <w:rsid w:val="00891BD3"/>
    <w:rsid w:val="00891ED5"/>
    <w:rsid w:val="00892782"/>
    <w:rsid w:val="00893D8C"/>
    <w:rsid w:val="00894851"/>
    <w:rsid w:val="00895F3C"/>
    <w:rsid w:val="00895F55"/>
    <w:rsid w:val="008977A1"/>
    <w:rsid w:val="008A1F6F"/>
    <w:rsid w:val="008A224A"/>
    <w:rsid w:val="008A22F8"/>
    <w:rsid w:val="008A2765"/>
    <w:rsid w:val="008A28FE"/>
    <w:rsid w:val="008A2B26"/>
    <w:rsid w:val="008A4E30"/>
    <w:rsid w:val="008A4E94"/>
    <w:rsid w:val="008A4F91"/>
    <w:rsid w:val="008A5E6E"/>
    <w:rsid w:val="008A6690"/>
    <w:rsid w:val="008A6ED2"/>
    <w:rsid w:val="008A7F2E"/>
    <w:rsid w:val="008B11F4"/>
    <w:rsid w:val="008B1AA8"/>
    <w:rsid w:val="008B1E5A"/>
    <w:rsid w:val="008B2904"/>
    <w:rsid w:val="008B3087"/>
    <w:rsid w:val="008B3296"/>
    <w:rsid w:val="008B365E"/>
    <w:rsid w:val="008B5A80"/>
    <w:rsid w:val="008B7726"/>
    <w:rsid w:val="008B78CB"/>
    <w:rsid w:val="008C0B68"/>
    <w:rsid w:val="008C0BFF"/>
    <w:rsid w:val="008C0ED6"/>
    <w:rsid w:val="008C45E7"/>
    <w:rsid w:val="008C4BFB"/>
    <w:rsid w:val="008C78D5"/>
    <w:rsid w:val="008D0E0E"/>
    <w:rsid w:val="008D1508"/>
    <w:rsid w:val="008D382A"/>
    <w:rsid w:val="008D4513"/>
    <w:rsid w:val="008D463C"/>
    <w:rsid w:val="008D4DCE"/>
    <w:rsid w:val="008D4DD7"/>
    <w:rsid w:val="008D6039"/>
    <w:rsid w:val="008D6C12"/>
    <w:rsid w:val="008D7197"/>
    <w:rsid w:val="008D7AB9"/>
    <w:rsid w:val="008E0ED2"/>
    <w:rsid w:val="008E1926"/>
    <w:rsid w:val="008E2591"/>
    <w:rsid w:val="008E2A68"/>
    <w:rsid w:val="008E38A1"/>
    <w:rsid w:val="008E4077"/>
    <w:rsid w:val="008E416A"/>
    <w:rsid w:val="008E5DD6"/>
    <w:rsid w:val="008E6531"/>
    <w:rsid w:val="008E6C4C"/>
    <w:rsid w:val="008E74A0"/>
    <w:rsid w:val="008F332A"/>
    <w:rsid w:val="008F4BB6"/>
    <w:rsid w:val="008F5D36"/>
    <w:rsid w:val="008F741B"/>
    <w:rsid w:val="008F7690"/>
    <w:rsid w:val="00900643"/>
    <w:rsid w:val="00900A62"/>
    <w:rsid w:val="00903305"/>
    <w:rsid w:val="0090421A"/>
    <w:rsid w:val="00904A1D"/>
    <w:rsid w:val="00905121"/>
    <w:rsid w:val="00905186"/>
    <w:rsid w:val="00906D59"/>
    <w:rsid w:val="00906E00"/>
    <w:rsid w:val="00910DAE"/>
    <w:rsid w:val="0091186A"/>
    <w:rsid w:val="00911C5A"/>
    <w:rsid w:val="00911D94"/>
    <w:rsid w:val="0091205A"/>
    <w:rsid w:val="00912FA0"/>
    <w:rsid w:val="00914F22"/>
    <w:rsid w:val="009150E9"/>
    <w:rsid w:val="00915111"/>
    <w:rsid w:val="00916AF8"/>
    <w:rsid w:val="00920E38"/>
    <w:rsid w:val="00922D04"/>
    <w:rsid w:val="00922FA9"/>
    <w:rsid w:val="00925041"/>
    <w:rsid w:val="00926543"/>
    <w:rsid w:val="009266F1"/>
    <w:rsid w:val="009274EF"/>
    <w:rsid w:val="00927E39"/>
    <w:rsid w:val="00933181"/>
    <w:rsid w:val="009349E7"/>
    <w:rsid w:val="00935A8A"/>
    <w:rsid w:val="00937545"/>
    <w:rsid w:val="00937CB5"/>
    <w:rsid w:val="00940EFB"/>
    <w:rsid w:val="0094333E"/>
    <w:rsid w:val="009433EE"/>
    <w:rsid w:val="00943F18"/>
    <w:rsid w:val="00944341"/>
    <w:rsid w:val="00944381"/>
    <w:rsid w:val="00946961"/>
    <w:rsid w:val="00946CBB"/>
    <w:rsid w:val="009473C5"/>
    <w:rsid w:val="009514D2"/>
    <w:rsid w:val="009518DB"/>
    <w:rsid w:val="00951F80"/>
    <w:rsid w:val="0095242A"/>
    <w:rsid w:val="00952807"/>
    <w:rsid w:val="00952DD3"/>
    <w:rsid w:val="00954940"/>
    <w:rsid w:val="00954DB2"/>
    <w:rsid w:val="009556F5"/>
    <w:rsid w:val="00955D2C"/>
    <w:rsid w:val="00957AAE"/>
    <w:rsid w:val="00957C6A"/>
    <w:rsid w:val="009600AC"/>
    <w:rsid w:val="00961913"/>
    <w:rsid w:val="00961D7F"/>
    <w:rsid w:val="00963945"/>
    <w:rsid w:val="0096472C"/>
    <w:rsid w:val="009647DD"/>
    <w:rsid w:val="00964E65"/>
    <w:rsid w:val="00965C2B"/>
    <w:rsid w:val="009672C6"/>
    <w:rsid w:val="0096792F"/>
    <w:rsid w:val="00967B0E"/>
    <w:rsid w:val="00970937"/>
    <w:rsid w:val="009712C1"/>
    <w:rsid w:val="00972BE9"/>
    <w:rsid w:val="00972F29"/>
    <w:rsid w:val="00973044"/>
    <w:rsid w:val="00976074"/>
    <w:rsid w:val="00976201"/>
    <w:rsid w:val="00976464"/>
    <w:rsid w:val="009765BE"/>
    <w:rsid w:val="0097677B"/>
    <w:rsid w:val="009767FD"/>
    <w:rsid w:val="00980914"/>
    <w:rsid w:val="009826AB"/>
    <w:rsid w:val="00982C6E"/>
    <w:rsid w:val="00983C73"/>
    <w:rsid w:val="00984954"/>
    <w:rsid w:val="0098668F"/>
    <w:rsid w:val="00986CC2"/>
    <w:rsid w:val="00991B22"/>
    <w:rsid w:val="009929BE"/>
    <w:rsid w:val="00994EFF"/>
    <w:rsid w:val="00994F1D"/>
    <w:rsid w:val="009955B8"/>
    <w:rsid w:val="0099608A"/>
    <w:rsid w:val="00996302"/>
    <w:rsid w:val="009967C8"/>
    <w:rsid w:val="009974EE"/>
    <w:rsid w:val="009975D6"/>
    <w:rsid w:val="00997A1E"/>
    <w:rsid w:val="009A0277"/>
    <w:rsid w:val="009A1972"/>
    <w:rsid w:val="009A1CDB"/>
    <w:rsid w:val="009A27F2"/>
    <w:rsid w:val="009A3177"/>
    <w:rsid w:val="009A4338"/>
    <w:rsid w:val="009A443C"/>
    <w:rsid w:val="009A6957"/>
    <w:rsid w:val="009B03F2"/>
    <w:rsid w:val="009B0C36"/>
    <w:rsid w:val="009B1A2C"/>
    <w:rsid w:val="009B1CF4"/>
    <w:rsid w:val="009B32FB"/>
    <w:rsid w:val="009B5BA3"/>
    <w:rsid w:val="009B5D64"/>
    <w:rsid w:val="009B602B"/>
    <w:rsid w:val="009B6581"/>
    <w:rsid w:val="009B7AA0"/>
    <w:rsid w:val="009C0260"/>
    <w:rsid w:val="009C4BBA"/>
    <w:rsid w:val="009C53A2"/>
    <w:rsid w:val="009C5A34"/>
    <w:rsid w:val="009C61CB"/>
    <w:rsid w:val="009C6BD0"/>
    <w:rsid w:val="009D03E6"/>
    <w:rsid w:val="009D06F6"/>
    <w:rsid w:val="009D0F2A"/>
    <w:rsid w:val="009D13A3"/>
    <w:rsid w:val="009D299D"/>
    <w:rsid w:val="009D2A18"/>
    <w:rsid w:val="009D2FDD"/>
    <w:rsid w:val="009D36CC"/>
    <w:rsid w:val="009D53B7"/>
    <w:rsid w:val="009D56BB"/>
    <w:rsid w:val="009D72F1"/>
    <w:rsid w:val="009E0B9F"/>
    <w:rsid w:val="009E118D"/>
    <w:rsid w:val="009E14D0"/>
    <w:rsid w:val="009E1860"/>
    <w:rsid w:val="009E250D"/>
    <w:rsid w:val="009E486E"/>
    <w:rsid w:val="009E7D8E"/>
    <w:rsid w:val="009F00C8"/>
    <w:rsid w:val="009F029E"/>
    <w:rsid w:val="009F03E2"/>
    <w:rsid w:val="009F0D4B"/>
    <w:rsid w:val="009F2349"/>
    <w:rsid w:val="009F2CE0"/>
    <w:rsid w:val="009F4B1D"/>
    <w:rsid w:val="009F5123"/>
    <w:rsid w:val="009F703E"/>
    <w:rsid w:val="009F7779"/>
    <w:rsid w:val="00A00A23"/>
    <w:rsid w:val="00A00F4C"/>
    <w:rsid w:val="00A01748"/>
    <w:rsid w:val="00A01C7F"/>
    <w:rsid w:val="00A03385"/>
    <w:rsid w:val="00A0360D"/>
    <w:rsid w:val="00A03DB9"/>
    <w:rsid w:val="00A04F50"/>
    <w:rsid w:val="00A06640"/>
    <w:rsid w:val="00A07631"/>
    <w:rsid w:val="00A07824"/>
    <w:rsid w:val="00A10F2E"/>
    <w:rsid w:val="00A11D5B"/>
    <w:rsid w:val="00A120DE"/>
    <w:rsid w:val="00A13038"/>
    <w:rsid w:val="00A13FFE"/>
    <w:rsid w:val="00A144B2"/>
    <w:rsid w:val="00A161DC"/>
    <w:rsid w:val="00A16F3D"/>
    <w:rsid w:val="00A170DA"/>
    <w:rsid w:val="00A17112"/>
    <w:rsid w:val="00A20477"/>
    <w:rsid w:val="00A21647"/>
    <w:rsid w:val="00A24AE1"/>
    <w:rsid w:val="00A24BEE"/>
    <w:rsid w:val="00A25838"/>
    <w:rsid w:val="00A25E61"/>
    <w:rsid w:val="00A26233"/>
    <w:rsid w:val="00A27536"/>
    <w:rsid w:val="00A31A0D"/>
    <w:rsid w:val="00A32D90"/>
    <w:rsid w:val="00A3519E"/>
    <w:rsid w:val="00A35376"/>
    <w:rsid w:val="00A37E8A"/>
    <w:rsid w:val="00A41316"/>
    <w:rsid w:val="00A42966"/>
    <w:rsid w:val="00A47014"/>
    <w:rsid w:val="00A473B5"/>
    <w:rsid w:val="00A50E99"/>
    <w:rsid w:val="00A538A5"/>
    <w:rsid w:val="00A539B9"/>
    <w:rsid w:val="00A53BEB"/>
    <w:rsid w:val="00A540E1"/>
    <w:rsid w:val="00A54626"/>
    <w:rsid w:val="00A55AF5"/>
    <w:rsid w:val="00A55FAC"/>
    <w:rsid w:val="00A60522"/>
    <w:rsid w:val="00A61E4D"/>
    <w:rsid w:val="00A62C5D"/>
    <w:rsid w:val="00A63270"/>
    <w:rsid w:val="00A63AE6"/>
    <w:rsid w:val="00A64DD0"/>
    <w:rsid w:val="00A67061"/>
    <w:rsid w:val="00A6715C"/>
    <w:rsid w:val="00A67FB7"/>
    <w:rsid w:val="00A70515"/>
    <w:rsid w:val="00A709FA"/>
    <w:rsid w:val="00A70C00"/>
    <w:rsid w:val="00A71301"/>
    <w:rsid w:val="00A7168F"/>
    <w:rsid w:val="00A71EDA"/>
    <w:rsid w:val="00A73FB3"/>
    <w:rsid w:val="00A7573C"/>
    <w:rsid w:val="00A757A8"/>
    <w:rsid w:val="00A75E47"/>
    <w:rsid w:val="00A7627B"/>
    <w:rsid w:val="00A80231"/>
    <w:rsid w:val="00A811F4"/>
    <w:rsid w:val="00A82723"/>
    <w:rsid w:val="00A83AD0"/>
    <w:rsid w:val="00A85C74"/>
    <w:rsid w:val="00A8690A"/>
    <w:rsid w:val="00A86D2B"/>
    <w:rsid w:val="00A873D0"/>
    <w:rsid w:val="00A874BC"/>
    <w:rsid w:val="00A91004"/>
    <w:rsid w:val="00A92860"/>
    <w:rsid w:val="00A938B7"/>
    <w:rsid w:val="00A938C2"/>
    <w:rsid w:val="00A942D2"/>
    <w:rsid w:val="00A945BA"/>
    <w:rsid w:val="00AA0758"/>
    <w:rsid w:val="00AA1758"/>
    <w:rsid w:val="00AA1CAE"/>
    <w:rsid w:val="00AA2AF9"/>
    <w:rsid w:val="00AA2DBF"/>
    <w:rsid w:val="00AA4597"/>
    <w:rsid w:val="00AA4E6B"/>
    <w:rsid w:val="00AB0880"/>
    <w:rsid w:val="00AB13BB"/>
    <w:rsid w:val="00AB2297"/>
    <w:rsid w:val="00AB2CE6"/>
    <w:rsid w:val="00AB73C5"/>
    <w:rsid w:val="00AB7A79"/>
    <w:rsid w:val="00AC0E94"/>
    <w:rsid w:val="00AC1A5F"/>
    <w:rsid w:val="00AC4336"/>
    <w:rsid w:val="00AC47D3"/>
    <w:rsid w:val="00AC4F8D"/>
    <w:rsid w:val="00AC53CB"/>
    <w:rsid w:val="00AC653B"/>
    <w:rsid w:val="00AC6C4A"/>
    <w:rsid w:val="00AC7446"/>
    <w:rsid w:val="00AD127F"/>
    <w:rsid w:val="00AD1DDD"/>
    <w:rsid w:val="00AD1FEA"/>
    <w:rsid w:val="00AD262B"/>
    <w:rsid w:val="00AD3121"/>
    <w:rsid w:val="00AD462D"/>
    <w:rsid w:val="00AD4AF6"/>
    <w:rsid w:val="00AD67E9"/>
    <w:rsid w:val="00AD7D15"/>
    <w:rsid w:val="00AE058D"/>
    <w:rsid w:val="00AE0A80"/>
    <w:rsid w:val="00AE0B0C"/>
    <w:rsid w:val="00AE1430"/>
    <w:rsid w:val="00AE30ED"/>
    <w:rsid w:val="00AE4F32"/>
    <w:rsid w:val="00AE4F6A"/>
    <w:rsid w:val="00AE5281"/>
    <w:rsid w:val="00AE5A49"/>
    <w:rsid w:val="00AE62B9"/>
    <w:rsid w:val="00AE6B4C"/>
    <w:rsid w:val="00AE7675"/>
    <w:rsid w:val="00AF2491"/>
    <w:rsid w:val="00AF2F1F"/>
    <w:rsid w:val="00AF507E"/>
    <w:rsid w:val="00AF538F"/>
    <w:rsid w:val="00AF5F1A"/>
    <w:rsid w:val="00AF64DA"/>
    <w:rsid w:val="00AF67E5"/>
    <w:rsid w:val="00B021BF"/>
    <w:rsid w:val="00B02A3E"/>
    <w:rsid w:val="00B02A6B"/>
    <w:rsid w:val="00B03FA2"/>
    <w:rsid w:val="00B04125"/>
    <w:rsid w:val="00B0549A"/>
    <w:rsid w:val="00B05C51"/>
    <w:rsid w:val="00B06BB6"/>
    <w:rsid w:val="00B07A3A"/>
    <w:rsid w:val="00B10BA4"/>
    <w:rsid w:val="00B11522"/>
    <w:rsid w:val="00B13521"/>
    <w:rsid w:val="00B146B9"/>
    <w:rsid w:val="00B15028"/>
    <w:rsid w:val="00B15719"/>
    <w:rsid w:val="00B15D59"/>
    <w:rsid w:val="00B21094"/>
    <w:rsid w:val="00B2229B"/>
    <w:rsid w:val="00B23596"/>
    <w:rsid w:val="00B237C8"/>
    <w:rsid w:val="00B24680"/>
    <w:rsid w:val="00B24A63"/>
    <w:rsid w:val="00B24AE4"/>
    <w:rsid w:val="00B262C1"/>
    <w:rsid w:val="00B27FD5"/>
    <w:rsid w:val="00B30A53"/>
    <w:rsid w:val="00B317C5"/>
    <w:rsid w:val="00B32646"/>
    <w:rsid w:val="00B32D89"/>
    <w:rsid w:val="00B33AB1"/>
    <w:rsid w:val="00B341A3"/>
    <w:rsid w:val="00B34E88"/>
    <w:rsid w:val="00B3518F"/>
    <w:rsid w:val="00B362EF"/>
    <w:rsid w:val="00B36F1E"/>
    <w:rsid w:val="00B37F8C"/>
    <w:rsid w:val="00B429B6"/>
    <w:rsid w:val="00B42E87"/>
    <w:rsid w:val="00B4431E"/>
    <w:rsid w:val="00B44ACB"/>
    <w:rsid w:val="00B44D5E"/>
    <w:rsid w:val="00B45364"/>
    <w:rsid w:val="00B454B7"/>
    <w:rsid w:val="00B45EBD"/>
    <w:rsid w:val="00B46168"/>
    <w:rsid w:val="00B46D75"/>
    <w:rsid w:val="00B47144"/>
    <w:rsid w:val="00B507DD"/>
    <w:rsid w:val="00B508A3"/>
    <w:rsid w:val="00B5151C"/>
    <w:rsid w:val="00B51764"/>
    <w:rsid w:val="00B51F84"/>
    <w:rsid w:val="00B52F0E"/>
    <w:rsid w:val="00B533D6"/>
    <w:rsid w:val="00B5491F"/>
    <w:rsid w:val="00B54BBB"/>
    <w:rsid w:val="00B5595A"/>
    <w:rsid w:val="00B561FE"/>
    <w:rsid w:val="00B5679C"/>
    <w:rsid w:val="00B56995"/>
    <w:rsid w:val="00B63A30"/>
    <w:rsid w:val="00B6554B"/>
    <w:rsid w:val="00B661CC"/>
    <w:rsid w:val="00B66D34"/>
    <w:rsid w:val="00B67E86"/>
    <w:rsid w:val="00B705A5"/>
    <w:rsid w:val="00B72044"/>
    <w:rsid w:val="00B726D4"/>
    <w:rsid w:val="00B72A49"/>
    <w:rsid w:val="00B72AAA"/>
    <w:rsid w:val="00B73055"/>
    <w:rsid w:val="00B74924"/>
    <w:rsid w:val="00B74D90"/>
    <w:rsid w:val="00B751E8"/>
    <w:rsid w:val="00B757FE"/>
    <w:rsid w:val="00B7744F"/>
    <w:rsid w:val="00B80090"/>
    <w:rsid w:val="00B8135A"/>
    <w:rsid w:val="00B843E3"/>
    <w:rsid w:val="00B84891"/>
    <w:rsid w:val="00B8786F"/>
    <w:rsid w:val="00B8796E"/>
    <w:rsid w:val="00B90063"/>
    <w:rsid w:val="00B929E4"/>
    <w:rsid w:val="00B93274"/>
    <w:rsid w:val="00B940FB"/>
    <w:rsid w:val="00B95983"/>
    <w:rsid w:val="00B95BF8"/>
    <w:rsid w:val="00B965C4"/>
    <w:rsid w:val="00B96B7C"/>
    <w:rsid w:val="00B97444"/>
    <w:rsid w:val="00B97B99"/>
    <w:rsid w:val="00BA0C3A"/>
    <w:rsid w:val="00BA1620"/>
    <w:rsid w:val="00BA26DB"/>
    <w:rsid w:val="00BA4047"/>
    <w:rsid w:val="00BA428D"/>
    <w:rsid w:val="00BA4555"/>
    <w:rsid w:val="00BA5620"/>
    <w:rsid w:val="00BA618B"/>
    <w:rsid w:val="00BA6402"/>
    <w:rsid w:val="00BA69F7"/>
    <w:rsid w:val="00BA6A79"/>
    <w:rsid w:val="00BA6C5A"/>
    <w:rsid w:val="00BA7D3E"/>
    <w:rsid w:val="00BB1169"/>
    <w:rsid w:val="00BB3AD4"/>
    <w:rsid w:val="00BB48F6"/>
    <w:rsid w:val="00BB6211"/>
    <w:rsid w:val="00BC0370"/>
    <w:rsid w:val="00BC2523"/>
    <w:rsid w:val="00BC28C6"/>
    <w:rsid w:val="00BC460D"/>
    <w:rsid w:val="00BC4EAF"/>
    <w:rsid w:val="00BC4FFE"/>
    <w:rsid w:val="00BC53DF"/>
    <w:rsid w:val="00BC69C9"/>
    <w:rsid w:val="00BC7C6F"/>
    <w:rsid w:val="00BD1B7B"/>
    <w:rsid w:val="00BD23C3"/>
    <w:rsid w:val="00BD3088"/>
    <w:rsid w:val="00BD3303"/>
    <w:rsid w:val="00BD363D"/>
    <w:rsid w:val="00BD47BA"/>
    <w:rsid w:val="00BD78AF"/>
    <w:rsid w:val="00BE0CFB"/>
    <w:rsid w:val="00BE43C6"/>
    <w:rsid w:val="00BE4EEE"/>
    <w:rsid w:val="00BE5937"/>
    <w:rsid w:val="00BE6F3D"/>
    <w:rsid w:val="00BF0240"/>
    <w:rsid w:val="00BF0352"/>
    <w:rsid w:val="00BF174F"/>
    <w:rsid w:val="00BF498D"/>
    <w:rsid w:val="00BF6753"/>
    <w:rsid w:val="00BF73C2"/>
    <w:rsid w:val="00BF7837"/>
    <w:rsid w:val="00BF78AA"/>
    <w:rsid w:val="00C00934"/>
    <w:rsid w:val="00C03772"/>
    <w:rsid w:val="00C03D2E"/>
    <w:rsid w:val="00C04781"/>
    <w:rsid w:val="00C060C3"/>
    <w:rsid w:val="00C06726"/>
    <w:rsid w:val="00C104F6"/>
    <w:rsid w:val="00C1054C"/>
    <w:rsid w:val="00C12463"/>
    <w:rsid w:val="00C133F6"/>
    <w:rsid w:val="00C134BC"/>
    <w:rsid w:val="00C135A0"/>
    <w:rsid w:val="00C13DA5"/>
    <w:rsid w:val="00C162D0"/>
    <w:rsid w:val="00C169E2"/>
    <w:rsid w:val="00C2082D"/>
    <w:rsid w:val="00C209A5"/>
    <w:rsid w:val="00C20A3C"/>
    <w:rsid w:val="00C20DD5"/>
    <w:rsid w:val="00C22516"/>
    <w:rsid w:val="00C2260E"/>
    <w:rsid w:val="00C23478"/>
    <w:rsid w:val="00C26279"/>
    <w:rsid w:val="00C265AE"/>
    <w:rsid w:val="00C26A8E"/>
    <w:rsid w:val="00C26CE4"/>
    <w:rsid w:val="00C26DE2"/>
    <w:rsid w:val="00C278FA"/>
    <w:rsid w:val="00C30F48"/>
    <w:rsid w:val="00C3220C"/>
    <w:rsid w:val="00C34C49"/>
    <w:rsid w:val="00C35806"/>
    <w:rsid w:val="00C37164"/>
    <w:rsid w:val="00C374C3"/>
    <w:rsid w:val="00C4154F"/>
    <w:rsid w:val="00C41740"/>
    <w:rsid w:val="00C424AD"/>
    <w:rsid w:val="00C42E59"/>
    <w:rsid w:val="00C432F2"/>
    <w:rsid w:val="00C43375"/>
    <w:rsid w:val="00C43A7A"/>
    <w:rsid w:val="00C45917"/>
    <w:rsid w:val="00C478FE"/>
    <w:rsid w:val="00C47A6C"/>
    <w:rsid w:val="00C47B41"/>
    <w:rsid w:val="00C5023A"/>
    <w:rsid w:val="00C5336B"/>
    <w:rsid w:val="00C60570"/>
    <w:rsid w:val="00C610E6"/>
    <w:rsid w:val="00C62319"/>
    <w:rsid w:val="00C63836"/>
    <w:rsid w:val="00C642AD"/>
    <w:rsid w:val="00C64822"/>
    <w:rsid w:val="00C66DBF"/>
    <w:rsid w:val="00C67372"/>
    <w:rsid w:val="00C67532"/>
    <w:rsid w:val="00C7064E"/>
    <w:rsid w:val="00C71D1F"/>
    <w:rsid w:val="00C72460"/>
    <w:rsid w:val="00C74F0C"/>
    <w:rsid w:val="00C75D65"/>
    <w:rsid w:val="00C80373"/>
    <w:rsid w:val="00C80746"/>
    <w:rsid w:val="00C82657"/>
    <w:rsid w:val="00C831BB"/>
    <w:rsid w:val="00C84181"/>
    <w:rsid w:val="00C842DA"/>
    <w:rsid w:val="00C844CF"/>
    <w:rsid w:val="00C84944"/>
    <w:rsid w:val="00C84F0B"/>
    <w:rsid w:val="00C86CAB"/>
    <w:rsid w:val="00C86F54"/>
    <w:rsid w:val="00C86FFB"/>
    <w:rsid w:val="00C8700F"/>
    <w:rsid w:val="00C87921"/>
    <w:rsid w:val="00C87D8B"/>
    <w:rsid w:val="00C90D0E"/>
    <w:rsid w:val="00C91E0A"/>
    <w:rsid w:val="00C92E1B"/>
    <w:rsid w:val="00C93487"/>
    <w:rsid w:val="00C93B6E"/>
    <w:rsid w:val="00C94013"/>
    <w:rsid w:val="00C96073"/>
    <w:rsid w:val="00C9676B"/>
    <w:rsid w:val="00C97ACC"/>
    <w:rsid w:val="00C97CA4"/>
    <w:rsid w:val="00C97DC2"/>
    <w:rsid w:val="00CA1205"/>
    <w:rsid w:val="00CA3177"/>
    <w:rsid w:val="00CA3BD2"/>
    <w:rsid w:val="00CA44F8"/>
    <w:rsid w:val="00CA5DC9"/>
    <w:rsid w:val="00CA7BA9"/>
    <w:rsid w:val="00CB0DF9"/>
    <w:rsid w:val="00CB1FDA"/>
    <w:rsid w:val="00CB20AD"/>
    <w:rsid w:val="00CB4920"/>
    <w:rsid w:val="00CB5EB1"/>
    <w:rsid w:val="00CB76B4"/>
    <w:rsid w:val="00CC2BD5"/>
    <w:rsid w:val="00CC32B6"/>
    <w:rsid w:val="00CC3CA4"/>
    <w:rsid w:val="00CC4FD8"/>
    <w:rsid w:val="00CC5833"/>
    <w:rsid w:val="00CC5DF2"/>
    <w:rsid w:val="00CC64CD"/>
    <w:rsid w:val="00CC7724"/>
    <w:rsid w:val="00CD051B"/>
    <w:rsid w:val="00CD0F91"/>
    <w:rsid w:val="00CD1481"/>
    <w:rsid w:val="00CD2F51"/>
    <w:rsid w:val="00CD3983"/>
    <w:rsid w:val="00CD4D64"/>
    <w:rsid w:val="00CD54A8"/>
    <w:rsid w:val="00CD569A"/>
    <w:rsid w:val="00CD71B0"/>
    <w:rsid w:val="00CE040B"/>
    <w:rsid w:val="00CE1C39"/>
    <w:rsid w:val="00CE1F89"/>
    <w:rsid w:val="00CE3029"/>
    <w:rsid w:val="00CE35FB"/>
    <w:rsid w:val="00CE3F84"/>
    <w:rsid w:val="00CE4DC9"/>
    <w:rsid w:val="00CE5B1B"/>
    <w:rsid w:val="00CE7118"/>
    <w:rsid w:val="00CE72AE"/>
    <w:rsid w:val="00CE79F2"/>
    <w:rsid w:val="00CF0E1B"/>
    <w:rsid w:val="00CF0F18"/>
    <w:rsid w:val="00CF17C8"/>
    <w:rsid w:val="00CF2DE8"/>
    <w:rsid w:val="00CF3778"/>
    <w:rsid w:val="00CF4C05"/>
    <w:rsid w:val="00CF504E"/>
    <w:rsid w:val="00CF6BA3"/>
    <w:rsid w:val="00D00F96"/>
    <w:rsid w:val="00D0197B"/>
    <w:rsid w:val="00D01994"/>
    <w:rsid w:val="00D0236F"/>
    <w:rsid w:val="00D02C23"/>
    <w:rsid w:val="00D03B21"/>
    <w:rsid w:val="00D0467D"/>
    <w:rsid w:val="00D0639D"/>
    <w:rsid w:val="00D074CC"/>
    <w:rsid w:val="00D07544"/>
    <w:rsid w:val="00D07CD7"/>
    <w:rsid w:val="00D11C8E"/>
    <w:rsid w:val="00D14B79"/>
    <w:rsid w:val="00D164DE"/>
    <w:rsid w:val="00D166C2"/>
    <w:rsid w:val="00D174AE"/>
    <w:rsid w:val="00D175B7"/>
    <w:rsid w:val="00D20A78"/>
    <w:rsid w:val="00D212BF"/>
    <w:rsid w:val="00D22952"/>
    <w:rsid w:val="00D23204"/>
    <w:rsid w:val="00D238EF"/>
    <w:rsid w:val="00D24AE8"/>
    <w:rsid w:val="00D256E2"/>
    <w:rsid w:val="00D25C16"/>
    <w:rsid w:val="00D264EE"/>
    <w:rsid w:val="00D26741"/>
    <w:rsid w:val="00D26A58"/>
    <w:rsid w:val="00D27E19"/>
    <w:rsid w:val="00D30AE9"/>
    <w:rsid w:val="00D31D50"/>
    <w:rsid w:val="00D32561"/>
    <w:rsid w:val="00D33AA4"/>
    <w:rsid w:val="00D33E78"/>
    <w:rsid w:val="00D361E7"/>
    <w:rsid w:val="00D419D4"/>
    <w:rsid w:val="00D41FEA"/>
    <w:rsid w:val="00D42083"/>
    <w:rsid w:val="00D424EE"/>
    <w:rsid w:val="00D43127"/>
    <w:rsid w:val="00D43DD9"/>
    <w:rsid w:val="00D47084"/>
    <w:rsid w:val="00D47BE5"/>
    <w:rsid w:val="00D533B3"/>
    <w:rsid w:val="00D546BB"/>
    <w:rsid w:val="00D54ECE"/>
    <w:rsid w:val="00D54FC3"/>
    <w:rsid w:val="00D56142"/>
    <w:rsid w:val="00D56842"/>
    <w:rsid w:val="00D5718A"/>
    <w:rsid w:val="00D57EF0"/>
    <w:rsid w:val="00D57EF2"/>
    <w:rsid w:val="00D6153E"/>
    <w:rsid w:val="00D61A18"/>
    <w:rsid w:val="00D63881"/>
    <w:rsid w:val="00D669C7"/>
    <w:rsid w:val="00D67547"/>
    <w:rsid w:val="00D67CD3"/>
    <w:rsid w:val="00D70A6A"/>
    <w:rsid w:val="00D70BD5"/>
    <w:rsid w:val="00D7323C"/>
    <w:rsid w:val="00D74762"/>
    <w:rsid w:val="00D74965"/>
    <w:rsid w:val="00D7536E"/>
    <w:rsid w:val="00D7644B"/>
    <w:rsid w:val="00D77079"/>
    <w:rsid w:val="00D81C96"/>
    <w:rsid w:val="00D82B5C"/>
    <w:rsid w:val="00D8638A"/>
    <w:rsid w:val="00D864BC"/>
    <w:rsid w:val="00D871E8"/>
    <w:rsid w:val="00D87EC7"/>
    <w:rsid w:val="00D91426"/>
    <w:rsid w:val="00D94501"/>
    <w:rsid w:val="00D94A36"/>
    <w:rsid w:val="00D979BB"/>
    <w:rsid w:val="00D97FF3"/>
    <w:rsid w:val="00DA0ED0"/>
    <w:rsid w:val="00DA1658"/>
    <w:rsid w:val="00DA2367"/>
    <w:rsid w:val="00DA4407"/>
    <w:rsid w:val="00DA57B7"/>
    <w:rsid w:val="00DA6B75"/>
    <w:rsid w:val="00DA6BB6"/>
    <w:rsid w:val="00DA7D0E"/>
    <w:rsid w:val="00DB2668"/>
    <w:rsid w:val="00DB3986"/>
    <w:rsid w:val="00DB4567"/>
    <w:rsid w:val="00DB6DAE"/>
    <w:rsid w:val="00DB75F6"/>
    <w:rsid w:val="00DC084D"/>
    <w:rsid w:val="00DC105E"/>
    <w:rsid w:val="00DC508B"/>
    <w:rsid w:val="00DC5266"/>
    <w:rsid w:val="00DC6961"/>
    <w:rsid w:val="00DC718C"/>
    <w:rsid w:val="00DC745A"/>
    <w:rsid w:val="00DD05CF"/>
    <w:rsid w:val="00DD1F39"/>
    <w:rsid w:val="00DD39C0"/>
    <w:rsid w:val="00DD4B7F"/>
    <w:rsid w:val="00DD77B1"/>
    <w:rsid w:val="00DE0F74"/>
    <w:rsid w:val="00DE19E7"/>
    <w:rsid w:val="00DE2F57"/>
    <w:rsid w:val="00DE3C3D"/>
    <w:rsid w:val="00DE4C8C"/>
    <w:rsid w:val="00DE53FA"/>
    <w:rsid w:val="00DE5664"/>
    <w:rsid w:val="00DE5C9B"/>
    <w:rsid w:val="00DE5DDC"/>
    <w:rsid w:val="00DE6331"/>
    <w:rsid w:val="00DE7346"/>
    <w:rsid w:val="00DE7CD5"/>
    <w:rsid w:val="00DF132B"/>
    <w:rsid w:val="00DF1E42"/>
    <w:rsid w:val="00DF3311"/>
    <w:rsid w:val="00DF3C9C"/>
    <w:rsid w:val="00DF3F2E"/>
    <w:rsid w:val="00DF4AE9"/>
    <w:rsid w:val="00DF4F16"/>
    <w:rsid w:val="00DF5B31"/>
    <w:rsid w:val="00DF6E07"/>
    <w:rsid w:val="00DF73F4"/>
    <w:rsid w:val="00E006D2"/>
    <w:rsid w:val="00E03511"/>
    <w:rsid w:val="00E03D11"/>
    <w:rsid w:val="00E04721"/>
    <w:rsid w:val="00E04992"/>
    <w:rsid w:val="00E04D06"/>
    <w:rsid w:val="00E07952"/>
    <w:rsid w:val="00E12F94"/>
    <w:rsid w:val="00E13A26"/>
    <w:rsid w:val="00E13B60"/>
    <w:rsid w:val="00E15E91"/>
    <w:rsid w:val="00E1615E"/>
    <w:rsid w:val="00E16665"/>
    <w:rsid w:val="00E16BEC"/>
    <w:rsid w:val="00E16CCE"/>
    <w:rsid w:val="00E20DF1"/>
    <w:rsid w:val="00E211E5"/>
    <w:rsid w:val="00E228E9"/>
    <w:rsid w:val="00E25FE2"/>
    <w:rsid w:val="00E26BD0"/>
    <w:rsid w:val="00E31AF7"/>
    <w:rsid w:val="00E31B6D"/>
    <w:rsid w:val="00E35A17"/>
    <w:rsid w:val="00E379C2"/>
    <w:rsid w:val="00E400DB"/>
    <w:rsid w:val="00E4083D"/>
    <w:rsid w:val="00E40FC6"/>
    <w:rsid w:val="00E41370"/>
    <w:rsid w:val="00E41801"/>
    <w:rsid w:val="00E4195E"/>
    <w:rsid w:val="00E42280"/>
    <w:rsid w:val="00E42BB5"/>
    <w:rsid w:val="00E42EE2"/>
    <w:rsid w:val="00E43C3B"/>
    <w:rsid w:val="00E4528E"/>
    <w:rsid w:val="00E45F8A"/>
    <w:rsid w:val="00E47DC3"/>
    <w:rsid w:val="00E504E7"/>
    <w:rsid w:val="00E50F3D"/>
    <w:rsid w:val="00E51883"/>
    <w:rsid w:val="00E51BE6"/>
    <w:rsid w:val="00E5344D"/>
    <w:rsid w:val="00E53B0D"/>
    <w:rsid w:val="00E541B8"/>
    <w:rsid w:val="00E54592"/>
    <w:rsid w:val="00E61617"/>
    <w:rsid w:val="00E6284A"/>
    <w:rsid w:val="00E64FC7"/>
    <w:rsid w:val="00E65160"/>
    <w:rsid w:val="00E6652B"/>
    <w:rsid w:val="00E67CEF"/>
    <w:rsid w:val="00E71304"/>
    <w:rsid w:val="00E73299"/>
    <w:rsid w:val="00E7485B"/>
    <w:rsid w:val="00E74CE5"/>
    <w:rsid w:val="00E74E86"/>
    <w:rsid w:val="00E769D3"/>
    <w:rsid w:val="00E77A95"/>
    <w:rsid w:val="00E77C7E"/>
    <w:rsid w:val="00E815BB"/>
    <w:rsid w:val="00E8346C"/>
    <w:rsid w:val="00E83DA8"/>
    <w:rsid w:val="00E84511"/>
    <w:rsid w:val="00E8479E"/>
    <w:rsid w:val="00E84A61"/>
    <w:rsid w:val="00E92A21"/>
    <w:rsid w:val="00E93154"/>
    <w:rsid w:val="00E93AE6"/>
    <w:rsid w:val="00E941AA"/>
    <w:rsid w:val="00E944E1"/>
    <w:rsid w:val="00E96ADA"/>
    <w:rsid w:val="00E96F37"/>
    <w:rsid w:val="00E973FC"/>
    <w:rsid w:val="00E974A9"/>
    <w:rsid w:val="00E97A61"/>
    <w:rsid w:val="00EA0303"/>
    <w:rsid w:val="00EA070E"/>
    <w:rsid w:val="00EA1872"/>
    <w:rsid w:val="00EA1FAB"/>
    <w:rsid w:val="00EA2879"/>
    <w:rsid w:val="00EA3ADA"/>
    <w:rsid w:val="00EA3D96"/>
    <w:rsid w:val="00EA3E7A"/>
    <w:rsid w:val="00EA43C5"/>
    <w:rsid w:val="00EA4458"/>
    <w:rsid w:val="00EA55CF"/>
    <w:rsid w:val="00EA579B"/>
    <w:rsid w:val="00EA59DC"/>
    <w:rsid w:val="00EA6A8B"/>
    <w:rsid w:val="00EA6E58"/>
    <w:rsid w:val="00EB0B35"/>
    <w:rsid w:val="00EB1084"/>
    <w:rsid w:val="00EB305D"/>
    <w:rsid w:val="00EB4321"/>
    <w:rsid w:val="00EB489C"/>
    <w:rsid w:val="00EB5956"/>
    <w:rsid w:val="00EB5C9D"/>
    <w:rsid w:val="00EB69B2"/>
    <w:rsid w:val="00EB7944"/>
    <w:rsid w:val="00EC1146"/>
    <w:rsid w:val="00EC2579"/>
    <w:rsid w:val="00EC2B8F"/>
    <w:rsid w:val="00EC5E5B"/>
    <w:rsid w:val="00EC624B"/>
    <w:rsid w:val="00EC62AB"/>
    <w:rsid w:val="00EC653B"/>
    <w:rsid w:val="00EC690D"/>
    <w:rsid w:val="00EC6DAA"/>
    <w:rsid w:val="00EC73C9"/>
    <w:rsid w:val="00EC7B83"/>
    <w:rsid w:val="00EC7D64"/>
    <w:rsid w:val="00ED1C60"/>
    <w:rsid w:val="00ED3A6B"/>
    <w:rsid w:val="00ED3EC9"/>
    <w:rsid w:val="00ED52F1"/>
    <w:rsid w:val="00ED5694"/>
    <w:rsid w:val="00ED6792"/>
    <w:rsid w:val="00EE03A4"/>
    <w:rsid w:val="00EE5285"/>
    <w:rsid w:val="00EE7D8B"/>
    <w:rsid w:val="00EF09FE"/>
    <w:rsid w:val="00EF11C3"/>
    <w:rsid w:val="00EF23D9"/>
    <w:rsid w:val="00EF365B"/>
    <w:rsid w:val="00EF36F3"/>
    <w:rsid w:val="00EF45DF"/>
    <w:rsid w:val="00EF7D8A"/>
    <w:rsid w:val="00F01698"/>
    <w:rsid w:val="00F049F2"/>
    <w:rsid w:val="00F05322"/>
    <w:rsid w:val="00F05669"/>
    <w:rsid w:val="00F056F6"/>
    <w:rsid w:val="00F06C42"/>
    <w:rsid w:val="00F07814"/>
    <w:rsid w:val="00F07FBA"/>
    <w:rsid w:val="00F11161"/>
    <w:rsid w:val="00F1116F"/>
    <w:rsid w:val="00F122EA"/>
    <w:rsid w:val="00F12994"/>
    <w:rsid w:val="00F13545"/>
    <w:rsid w:val="00F14593"/>
    <w:rsid w:val="00F15F80"/>
    <w:rsid w:val="00F16463"/>
    <w:rsid w:val="00F17248"/>
    <w:rsid w:val="00F20036"/>
    <w:rsid w:val="00F20757"/>
    <w:rsid w:val="00F20FB2"/>
    <w:rsid w:val="00F2146E"/>
    <w:rsid w:val="00F22258"/>
    <w:rsid w:val="00F222F9"/>
    <w:rsid w:val="00F23C37"/>
    <w:rsid w:val="00F241AC"/>
    <w:rsid w:val="00F241F6"/>
    <w:rsid w:val="00F2607F"/>
    <w:rsid w:val="00F31BDC"/>
    <w:rsid w:val="00F31D15"/>
    <w:rsid w:val="00F3350F"/>
    <w:rsid w:val="00F342A2"/>
    <w:rsid w:val="00F359FC"/>
    <w:rsid w:val="00F37538"/>
    <w:rsid w:val="00F37BB2"/>
    <w:rsid w:val="00F37EA6"/>
    <w:rsid w:val="00F41081"/>
    <w:rsid w:val="00F43B19"/>
    <w:rsid w:val="00F43BF0"/>
    <w:rsid w:val="00F43FC6"/>
    <w:rsid w:val="00F449D1"/>
    <w:rsid w:val="00F44C7B"/>
    <w:rsid w:val="00F47F70"/>
    <w:rsid w:val="00F50548"/>
    <w:rsid w:val="00F51AB5"/>
    <w:rsid w:val="00F53398"/>
    <w:rsid w:val="00F55265"/>
    <w:rsid w:val="00F557BD"/>
    <w:rsid w:val="00F55E1C"/>
    <w:rsid w:val="00F565AA"/>
    <w:rsid w:val="00F567A5"/>
    <w:rsid w:val="00F5689A"/>
    <w:rsid w:val="00F60B82"/>
    <w:rsid w:val="00F61C49"/>
    <w:rsid w:val="00F61CF6"/>
    <w:rsid w:val="00F62E50"/>
    <w:rsid w:val="00F6779C"/>
    <w:rsid w:val="00F679CE"/>
    <w:rsid w:val="00F7048D"/>
    <w:rsid w:val="00F704F9"/>
    <w:rsid w:val="00F709B4"/>
    <w:rsid w:val="00F71DCA"/>
    <w:rsid w:val="00F7283F"/>
    <w:rsid w:val="00F72B76"/>
    <w:rsid w:val="00F748D2"/>
    <w:rsid w:val="00F75D2F"/>
    <w:rsid w:val="00F773E7"/>
    <w:rsid w:val="00F80911"/>
    <w:rsid w:val="00F80CE6"/>
    <w:rsid w:val="00F83943"/>
    <w:rsid w:val="00F8454C"/>
    <w:rsid w:val="00F85ADC"/>
    <w:rsid w:val="00F85BBC"/>
    <w:rsid w:val="00F866F4"/>
    <w:rsid w:val="00F901F1"/>
    <w:rsid w:val="00F9283A"/>
    <w:rsid w:val="00F93684"/>
    <w:rsid w:val="00F93B12"/>
    <w:rsid w:val="00F96708"/>
    <w:rsid w:val="00FA1A3D"/>
    <w:rsid w:val="00FA1B46"/>
    <w:rsid w:val="00FA20DE"/>
    <w:rsid w:val="00FA298E"/>
    <w:rsid w:val="00FA2C06"/>
    <w:rsid w:val="00FA40F1"/>
    <w:rsid w:val="00FA5142"/>
    <w:rsid w:val="00FA5878"/>
    <w:rsid w:val="00FA5A4F"/>
    <w:rsid w:val="00FA5D14"/>
    <w:rsid w:val="00FA6470"/>
    <w:rsid w:val="00FB1316"/>
    <w:rsid w:val="00FB39B3"/>
    <w:rsid w:val="00FB3AEF"/>
    <w:rsid w:val="00FB4E74"/>
    <w:rsid w:val="00FB5E36"/>
    <w:rsid w:val="00FC0264"/>
    <w:rsid w:val="00FC0F68"/>
    <w:rsid w:val="00FC2088"/>
    <w:rsid w:val="00FC25B4"/>
    <w:rsid w:val="00FC395D"/>
    <w:rsid w:val="00FC5418"/>
    <w:rsid w:val="00FC747B"/>
    <w:rsid w:val="00FD0E4C"/>
    <w:rsid w:val="00FD0F67"/>
    <w:rsid w:val="00FD1E9E"/>
    <w:rsid w:val="00FD42DE"/>
    <w:rsid w:val="00FD5BD1"/>
    <w:rsid w:val="00FD5F1E"/>
    <w:rsid w:val="00FD65E3"/>
    <w:rsid w:val="00FD75ED"/>
    <w:rsid w:val="00FE0B58"/>
    <w:rsid w:val="00FE0B64"/>
    <w:rsid w:val="00FE0FDF"/>
    <w:rsid w:val="00FE1A33"/>
    <w:rsid w:val="00FE1DD7"/>
    <w:rsid w:val="00FE2AD4"/>
    <w:rsid w:val="00FE399D"/>
    <w:rsid w:val="00FE48AB"/>
    <w:rsid w:val="00FE4D72"/>
    <w:rsid w:val="00FE4EE8"/>
    <w:rsid w:val="00FE5C03"/>
    <w:rsid w:val="00FF00C1"/>
    <w:rsid w:val="00FF0512"/>
    <w:rsid w:val="00FF0E74"/>
    <w:rsid w:val="00FF163C"/>
    <w:rsid w:val="00FF363C"/>
    <w:rsid w:val="00FF4531"/>
    <w:rsid w:val="00FF71E1"/>
    <w:rsid w:val="00FF7AC9"/>
    <w:rsid w:val="0103612C"/>
    <w:rsid w:val="01040158"/>
    <w:rsid w:val="01072592"/>
    <w:rsid w:val="010746BF"/>
    <w:rsid w:val="010F120B"/>
    <w:rsid w:val="011101D9"/>
    <w:rsid w:val="01113612"/>
    <w:rsid w:val="01123007"/>
    <w:rsid w:val="0112725E"/>
    <w:rsid w:val="0113521D"/>
    <w:rsid w:val="01154B27"/>
    <w:rsid w:val="01154EDD"/>
    <w:rsid w:val="011851D0"/>
    <w:rsid w:val="011A5E27"/>
    <w:rsid w:val="011F4710"/>
    <w:rsid w:val="012260A7"/>
    <w:rsid w:val="01230210"/>
    <w:rsid w:val="012313A8"/>
    <w:rsid w:val="012859AA"/>
    <w:rsid w:val="012D2227"/>
    <w:rsid w:val="01343FD7"/>
    <w:rsid w:val="013479DC"/>
    <w:rsid w:val="01372DB5"/>
    <w:rsid w:val="013872F3"/>
    <w:rsid w:val="0139075A"/>
    <w:rsid w:val="013E4A0E"/>
    <w:rsid w:val="01404CDF"/>
    <w:rsid w:val="01434BFF"/>
    <w:rsid w:val="01443362"/>
    <w:rsid w:val="014E38CB"/>
    <w:rsid w:val="015C2923"/>
    <w:rsid w:val="015C4E27"/>
    <w:rsid w:val="015D2F00"/>
    <w:rsid w:val="0164732A"/>
    <w:rsid w:val="0165473F"/>
    <w:rsid w:val="01687703"/>
    <w:rsid w:val="016A6E0A"/>
    <w:rsid w:val="016A6FD7"/>
    <w:rsid w:val="016D0545"/>
    <w:rsid w:val="017427BA"/>
    <w:rsid w:val="01747DBA"/>
    <w:rsid w:val="01761CC3"/>
    <w:rsid w:val="017716F4"/>
    <w:rsid w:val="017E6BFB"/>
    <w:rsid w:val="018067FB"/>
    <w:rsid w:val="018276C2"/>
    <w:rsid w:val="01827A53"/>
    <w:rsid w:val="0184070B"/>
    <w:rsid w:val="01867F4E"/>
    <w:rsid w:val="01871CE9"/>
    <w:rsid w:val="01925274"/>
    <w:rsid w:val="01982D9C"/>
    <w:rsid w:val="019A1986"/>
    <w:rsid w:val="019D3D99"/>
    <w:rsid w:val="019E734E"/>
    <w:rsid w:val="019F3E20"/>
    <w:rsid w:val="01A144FE"/>
    <w:rsid w:val="01A22FE4"/>
    <w:rsid w:val="01A73517"/>
    <w:rsid w:val="01A75273"/>
    <w:rsid w:val="01A752C5"/>
    <w:rsid w:val="01A80888"/>
    <w:rsid w:val="01AE03C4"/>
    <w:rsid w:val="01AF6D0A"/>
    <w:rsid w:val="01B07BDF"/>
    <w:rsid w:val="01B5496B"/>
    <w:rsid w:val="01B92646"/>
    <w:rsid w:val="01BA7199"/>
    <w:rsid w:val="01BD4939"/>
    <w:rsid w:val="01C13A2B"/>
    <w:rsid w:val="01C16CED"/>
    <w:rsid w:val="01C3268C"/>
    <w:rsid w:val="01C40DDD"/>
    <w:rsid w:val="01C63F12"/>
    <w:rsid w:val="01C92BB9"/>
    <w:rsid w:val="01C95D3A"/>
    <w:rsid w:val="01CB69CF"/>
    <w:rsid w:val="01CC5178"/>
    <w:rsid w:val="01CF162F"/>
    <w:rsid w:val="01CF71D4"/>
    <w:rsid w:val="01D201D4"/>
    <w:rsid w:val="01D21A2D"/>
    <w:rsid w:val="01D24671"/>
    <w:rsid w:val="01D373A3"/>
    <w:rsid w:val="01D40D34"/>
    <w:rsid w:val="01D628BE"/>
    <w:rsid w:val="01D73066"/>
    <w:rsid w:val="01D7699C"/>
    <w:rsid w:val="01D8543F"/>
    <w:rsid w:val="01DA04FD"/>
    <w:rsid w:val="01DB05F2"/>
    <w:rsid w:val="01DF1814"/>
    <w:rsid w:val="01E55FD7"/>
    <w:rsid w:val="01E72F2E"/>
    <w:rsid w:val="01E75ED0"/>
    <w:rsid w:val="01E93A59"/>
    <w:rsid w:val="01E94C64"/>
    <w:rsid w:val="01EA7B35"/>
    <w:rsid w:val="01EB7A43"/>
    <w:rsid w:val="01EF6EA8"/>
    <w:rsid w:val="01F26BA1"/>
    <w:rsid w:val="01F36FCC"/>
    <w:rsid w:val="01F61FCC"/>
    <w:rsid w:val="01F73C28"/>
    <w:rsid w:val="01FA184C"/>
    <w:rsid w:val="01FB7D73"/>
    <w:rsid w:val="01FC36D0"/>
    <w:rsid w:val="02022957"/>
    <w:rsid w:val="020335D5"/>
    <w:rsid w:val="0204267E"/>
    <w:rsid w:val="02055DA7"/>
    <w:rsid w:val="02056D00"/>
    <w:rsid w:val="02065212"/>
    <w:rsid w:val="020C19AB"/>
    <w:rsid w:val="021073D7"/>
    <w:rsid w:val="021400E3"/>
    <w:rsid w:val="02142012"/>
    <w:rsid w:val="02153AAC"/>
    <w:rsid w:val="02154A28"/>
    <w:rsid w:val="02193033"/>
    <w:rsid w:val="02194838"/>
    <w:rsid w:val="0219740D"/>
    <w:rsid w:val="021F011B"/>
    <w:rsid w:val="0223548A"/>
    <w:rsid w:val="02272F70"/>
    <w:rsid w:val="02281201"/>
    <w:rsid w:val="02312630"/>
    <w:rsid w:val="02314B51"/>
    <w:rsid w:val="02345C73"/>
    <w:rsid w:val="02352BA2"/>
    <w:rsid w:val="02353A89"/>
    <w:rsid w:val="023B6154"/>
    <w:rsid w:val="023B6A33"/>
    <w:rsid w:val="023F5572"/>
    <w:rsid w:val="02407EE7"/>
    <w:rsid w:val="02421F19"/>
    <w:rsid w:val="02423157"/>
    <w:rsid w:val="024700CA"/>
    <w:rsid w:val="02497EE1"/>
    <w:rsid w:val="024D0C77"/>
    <w:rsid w:val="02551605"/>
    <w:rsid w:val="025B1026"/>
    <w:rsid w:val="025B123E"/>
    <w:rsid w:val="025E3D01"/>
    <w:rsid w:val="02635F39"/>
    <w:rsid w:val="026702B8"/>
    <w:rsid w:val="026A05F0"/>
    <w:rsid w:val="027011E5"/>
    <w:rsid w:val="02717754"/>
    <w:rsid w:val="027236B1"/>
    <w:rsid w:val="02797D57"/>
    <w:rsid w:val="027C107E"/>
    <w:rsid w:val="027C50C6"/>
    <w:rsid w:val="02801024"/>
    <w:rsid w:val="0290297F"/>
    <w:rsid w:val="0295749A"/>
    <w:rsid w:val="02960535"/>
    <w:rsid w:val="02961B3C"/>
    <w:rsid w:val="02962204"/>
    <w:rsid w:val="02993E45"/>
    <w:rsid w:val="029A16E5"/>
    <w:rsid w:val="029E017F"/>
    <w:rsid w:val="02A21CED"/>
    <w:rsid w:val="02A45EB9"/>
    <w:rsid w:val="02A47C86"/>
    <w:rsid w:val="02A723C5"/>
    <w:rsid w:val="02A77487"/>
    <w:rsid w:val="02AA61B1"/>
    <w:rsid w:val="02B0244E"/>
    <w:rsid w:val="02B16EA5"/>
    <w:rsid w:val="02B87CC3"/>
    <w:rsid w:val="02BD359F"/>
    <w:rsid w:val="02C0300B"/>
    <w:rsid w:val="02C032E1"/>
    <w:rsid w:val="02C57F6F"/>
    <w:rsid w:val="02C629BB"/>
    <w:rsid w:val="02CD6378"/>
    <w:rsid w:val="02CE044B"/>
    <w:rsid w:val="02CF787D"/>
    <w:rsid w:val="02D408A7"/>
    <w:rsid w:val="02D46D47"/>
    <w:rsid w:val="02D574D2"/>
    <w:rsid w:val="02D64F89"/>
    <w:rsid w:val="02D77C6A"/>
    <w:rsid w:val="02DD6628"/>
    <w:rsid w:val="02DD7E7F"/>
    <w:rsid w:val="02DE354D"/>
    <w:rsid w:val="02DF57A3"/>
    <w:rsid w:val="02E07668"/>
    <w:rsid w:val="02E16EAC"/>
    <w:rsid w:val="02E24D98"/>
    <w:rsid w:val="02E90F80"/>
    <w:rsid w:val="02E9467C"/>
    <w:rsid w:val="02EE06DE"/>
    <w:rsid w:val="02F254D6"/>
    <w:rsid w:val="02F64BD6"/>
    <w:rsid w:val="02F730DE"/>
    <w:rsid w:val="02F855D7"/>
    <w:rsid w:val="02FB2C10"/>
    <w:rsid w:val="02FD67C2"/>
    <w:rsid w:val="0302152D"/>
    <w:rsid w:val="03032BFE"/>
    <w:rsid w:val="03047C8B"/>
    <w:rsid w:val="0305345B"/>
    <w:rsid w:val="03060BB5"/>
    <w:rsid w:val="03062063"/>
    <w:rsid w:val="0306465C"/>
    <w:rsid w:val="0309241C"/>
    <w:rsid w:val="0309352B"/>
    <w:rsid w:val="030D30AF"/>
    <w:rsid w:val="030F0C8E"/>
    <w:rsid w:val="0310337A"/>
    <w:rsid w:val="0311419B"/>
    <w:rsid w:val="03125094"/>
    <w:rsid w:val="03130CD1"/>
    <w:rsid w:val="0316724E"/>
    <w:rsid w:val="031C25B0"/>
    <w:rsid w:val="031D186F"/>
    <w:rsid w:val="03201DB8"/>
    <w:rsid w:val="03230427"/>
    <w:rsid w:val="03247659"/>
    <w:rsid w:val="032C4E8C"/>
    <w:rsid w:val="032D5E42"/>
    <w:rsid w:val="032E32CC"/>
    <w:rsid w:val="032F44CD"/>
    <w:rsid w:val="033170D1"/>
    <w:rsid w:val="033501DF"/>
    <w:rsid w:val="03386CE5"/>
    <w:rsid w:val="033D0ABA"/>
    <w:rsid w:val="0343084F"/>
    <w:rsid w:val="0344576D"/>
    <w:rsid w:val="03450AE2"/>
    <w:rsid w:val="034560AA"/>
    <w:rsid w:val="03467813"/>
    <w:rsid w:val="034B5CC7"/>
    <w:rsid w:val="034D0AF8"/>
    <w:rsid w:val="034E6D61"/>
    <w:rsid w:val="03523E3F"/>
    <w:rsid w:val="03527BEA"/>
    <w:rsid w:val="03550168"/>
    <w:rsid w:val="035512D9"/>
    <w:rsid w:val="03552770"/>
    <w:rsid w:val="035C0ECC"/>
    <w:rsid w:val="035D4A4F"/>
    <w:rsid w:val="035D55A1"/>
    <w:rsid w:val="035D747B"/>
    <w:rsid w:val="035F4967"/>
    <w:rsid w:val="036068E4"/>
    <w:rsid w:val="03651600"/>
    <w:rsid w:val="03685054"/>
    <w:rsid w:val="03685608"/>
    <w:rsid w:val="037079FA"/>
    <w:rsid w:val="037203C5"/>
    <w:rsid w:val="0372496D"/>
    <w:rsid w:val="037357E5"/>
    <w:rsid w:val="037426D5"/>
    <w:rsid w:val="03751ED0"/>
    <w:rsid w:val="03757B8F"/>
    <w:rsid w:val="037720BA"/>
    <w:rsid w:val="037759DB"/>
    <w:rsid w:val="03795A4B"/>
    <w:rsid w:val="037B5E26"/>
    <w:rsid w:val="037E2A9C"/>
    <w:rsid w:val="03800D34"/>
    <w:rsid w:val="038275CB"/>
    <w:rsid w:val="03847131"/>
    <w:rsid w:val="03874C94"/>
    <w:rsid w:val="038D51FF"/>
    <w:rsid w:val="0394201A"/>
    <w:rsid w:val="03943B4E"/>
    <w:rsid w:val="03985FF1"/>
    <w:rsid w:val="03991DC8"/>
    <w:rsid w:val="039B0BE5"/>
    <w:rsid w:val="039D367E"/>
    <w:rsid w:val="03A12899"/>
    <w:rsid w:val="03A13EF0"/>
    <w:rsid w:val="03A14307"/>
    <w:rsid w:val="03A43C80"/>
    <w:rsid w:val="03AB1570"/>
    <w:rsid w:val="03AB3DD7"/>
    <w:rsid w:val="03AC4128"/>
    <w:rsid w:val="03B0486E"/>
    <w:rsid w:val="03B30A60"/>
    <w:rsid w:val="03B87EBB"/>
    <w:rsid w:val="03BD58C5"/>
    <w:rsid w:val="03BF0C92"/>
    <w:rsid w:val="03BF3EB1"/>
    <w:rsid w:val="03C0718C"/>
    <w:rsid w:val="03C2481F"/>
    <w:rsid w:val="03C47310"/>
    <w:rsid w:val="03C70AA2"/>
    <w:rsid w:val="03C80901"/>
    <w:rsid w:val="03CF5817"/>
    <w:rsid w:val="03D1698B"/>
    <w:rsid w:val="03D23E90"/>
    <w:rsid w:val="03D24147"/>
    <w:rsid w:val="03D97A0A"/>
    <w:rsid w:val="03DA00C6"/>
    <w:rsid w:val="03DA2433"/>
    <w:rsid w:val="03DF73FE"/>
    <w:rsid w:val="03E57EE0"/>
    <w:rsid w:val="03E63FFC"/>
    <w:rsid w:val="03E9196A"/>
    <w:rsid w:val="03EB1A6A"/>
    <w:rsid w:val="03EC20CD"/>
    <w:rsid w:val="03EE40AA"/>
    <w:rsid w:val="03F07BDB"/>
    <w:rsid w:val="03F14C9D"/>
    <w:rsid w:val="03F952F3"/>
    <w:rsid w:val="03FB4B7A"/>
    <w:rsid w:val="03FC38AD"/>
    <w:rsid w:val="040220C2"/>
    <w:rsid w:val="04022B57"/>
    <w:rsid w:val="04061A45"/>
    <w:rsid w:val="04073203"/>
    <w:rsid w:val="040D378E"/>
    <w:rsid w:val="040E25E8"/>
    <w:rsid w:val="040F25A9"/>
    <w:rsid w:val="04114F88"/>
    <w:rsid w:val="0418143E"/>
    <w:rsid w:val="041B1C11"/>
    <w:rsid w:val="04205B83"/>
    <w:rsid w:val="042065E0"/>
    <w:rsid w:val="042142A4"/>
    <w:rsid w:val="04217385"/>
    <w:rsid w:val="042675FD"/>
    <w:rsid w:val="042B62EC"/>
    <w:rsid w:val="043438CC"/>
    <w:rsid w:val="04354954"/>
    <w:rsid w:val="043553B6"/>
    <w:rsid w:val="04367663"/>
    <w:rsid w:val="043B030F"/>
    <w:rsid w:val="044B68CB"/>
    <w:rsid w:val="04504672"/>
    <w:rsid w:val="0450601A"/>
    <w:rsid w:val="045277AA"/>
    <w:rsid w:val="045571C7"/>
    <w:rsid w:val="04576011"/>
    <w:rsid w:val="0459756B"/>
    <w:rsid w:val="04597A92"/>
    <w:rsid w:val="04610B65"/>
    <w:rsid w:val="04611F50"/>
    <w:rsid w:val="04660ADA"/>
    <w:rsid w:val="046C30B6"/>
    <w:rsid w:val="046E09E1"/>
    <w:rsid w:val="046F0C24"/>
    <w:rsid w:val="04700AEC"/>
    <w:rsid w:val="04703CC5"/>
    <w:rsid w:val="04707F1C"/>
    <w:rsid w:val="047137BF"/>
    <w:rsid w:val="04723E86"/>
    <w:rsid w:val="04752CE0"/>
    <w:rsid w:val="0476424D"/>
    <w:rsid w:val="04777C1A"/>
    <w:rsid w:val="047B268D"/>
    <w:rsid w:val="047C1514"/>
    <w:rsid w:val="048165D9"/>
    <w:rsid w:val="048731A9"/>
    <w:rsid w:val="04874D0E"/>
    <w:rsid w:val="04897138"/>
    <w:rsid w:val="048B79F9"/>
    <w:rsid w:val="04935ACB"/>
    <w:rsid w:val="049B7CCC"/>
    <w:rsid w:val="049C320B"/>
    <w:rsid w:val="049C35EC"/>
    <w:rsid w:val="049D51F1"/>
    <w:rsid w:val="04A4292B"/>
    <w:rsid w:val="04A43272"/>
    <w:rsid w:val="04A714B7"/>
    <w:rsid w:val="04A967EA"/>
    <w:rsid w:val="04AA413B"/>
    <w:rsid w:val="04AC6382"/>
    <w:rsid w:val="04B163A8"/>
    <w:rsid w:val="04B53BF6"/>
    <w:rsid w:val="04B715F8"/>
    <w:rsid w:val="04B94CDB"/>
    <w:rsid w:val="04BA2023"/>
    <w:rsid w:val="04BC0811"/>
    <w:rsid w:val="04BC2BE2"/>
    <w:rsid w:val="04BD00C8"/>
    <w:rsid w:val="04BD773C"/>
    <w:rsid w:val="04BE77A4"/>
    <w:rsid w:val="04BF6C4F"/>
    <w:rsid w:val="04C44C50"/>
    <w:rsid w:val="04C81604"/>
    <w:rsid w:val="04CA202F"/>
    <w:rsid w:val="04CA21BE"/>
    <w:rsid w:val="04CC1030"/>
    <w:rsid w:val="04CE4D83"/>
    <w:rsid w:val="04CE5ACF"/>
    <w:rsid w:val="04D11FAD"/>
    <w:rsid w:val="04D27492"/>
    <w:rsid w:val="04D30585"/>
    <w:rsid w:val="04D433C6"/>
    <w:rsid w:val="04D50DA1"/>
    <w:rsid w:val="04D529B1"/>
    <w:rsid w:val="04D61EBF"/>
    <w:rsid w:val="04D81727"/>
    <w:rsid w:val="04DA2547"/>
    <w:rsid w:val="04DB199F"/>
    <w:rsid w:val="04DB3607"/>
    <w:rsid w:val="04DC042D"/>
    <w:rsid w:val="04E10477"/>
    <w:rsid w:val="04E139A8"/>
    <w:rsid w:val="04E22BDC"/>
    <w:rsid w:val="04E23328"/>
    <w:rsid w:val="04E33A5F"/>
    <w:rsid w:val="04E84DFA"/>
    <w:rsid w:val="04F04546"/>
    <w:rsid w:val="04F206EB"/>
    <w:rsid w:val="04F22572"/>
    <w:rsid w:val="04F30789"/>
    <w:rsid w:val="04F47578"/>
    <w:rsid w:val="04FA0C37"/>
    <w:rsid w:val="04FD1735"/>
    <w:rsid w:val="04FD3BD7"/>
    <w:rsid w:val="04FE40B1"/>
    <w:rsid w:val="05005595"/>
    <w:rsid w:val="05063A70"/>
    <w:rsid w:val="05087D42"/>
    <w:rsid w:val="0512089E"/>
    <w:rsid w:val="05142E1B"/>
    <w:rsid w:val="05147879"/>
    <w:rsid w:val="05186906"/>
    <w:rsid w:val="052122D1"/>
    <w:rsid w:val="0523406D"/>
    <w:rsid w:val="05262AD4"/>
    <w:rsid w:val="05272931"/>
    <w:rsid w:val="05277FCB"/>
    <w:rsid w:val="05290F52"/>
    <w:rsid w:val="052A25C0"/>
    <w:rsid w:val="052D695C"/>
    <w:rsid w:val="0530259F"/>
    <w:rsid w:val="05330089"/>
    <w:rsid w:val="053437F5"/>
    <w:rsid w:val="0535064C"/>
    <w:rsid w:val="053718C6"/>
    <w:rsid w:val="053C11E9"/>
    <w:rsid w:val="05422541"/>
    <w:rsid w:val="05511770"/>
    <w:rsid w:val="05572FE0"/>
    <w:rsid w:val="05585A93"/>
    <w:rsid w:val="05595264"/>
    <w:rsid w:val="055B1E21"/>
    <w:rsid w:val="055E5AE8"/>
    <w:rsid w:val="05621A71"/>
    <w:rsid w:val="05626133"/>
    <w:rsid w:val="05652A24"/>
    <w:rsid w:val="05697EC3"/>
    <w:rsid w:val="056B1DA5"/>
    <w:rsid w:val="056D55F6"/>
    <w:rsid w:val="056E37F3"/>
    <w:rsid w:val="05702DF9"/>
    <w:rsid w:val="0573545C"/>
    <w:rsid w:val="0575654D"/>
    <w:rsid w:val="0576263D"/>
    <w:rsid w:val="05776718"/>
    <w:rsid w:val="05815B43"/>
    <w:rsid w:val="05835374"/>
    <w:rsid w:val="05844893"/>
    <w:rsid w:val="05856CAD"/>
    <w:rsid w:val="05857708"/>
    <w:rsid w:val="05877B47"/>
    <w:rsid w:val="058831AE"/>
    <w:rsid w:val="059211F2"/>
    <w:rsid w:val="05966579"/>
    <w:rsid w:val="059B1FE1"/>
    <w:rsid w:val="059C2EBD"/>
    <w:rsid w:val="05A0242D"/>
    <w:rsid w:val="05A27C21"/>
    <w:rsid w:val="05A37A8F"/>
    <w:rsid w:val="05A43BF5"/>
    <w:rsid w:val="05B20635"/>
    <w:rsid w:val="05B253F0"/>
    <w:rsid w:val="05B6224D"/>
    <w:rsid w:val="05B86847"/>
    <w:rsid w:val="05B9407D"/>
    <w:rsid w:val="05BD1C6F"/>
    <w:rsid w:val="05C173E2"/>
    <w:rsid w:val="05C262D4"/>
    <w:rsid w:val="05C26988"/>
    <w:rsid w:val="05C362A1"/>
    <w:rsid w:val="05C606AE"/>
    <w:rsid w:val="05C70A61"/>
    <w:rsid w:val="05CE608C"/>
    <w:rsid w:val="05D074FD"/>
    <w:rsid w:val="05D2173E"/>
    <w:rsid w:val="05D2339D"/>
    <w:rsid w:val="05D33011"/>
    <w:rsid w:val="05D5117C"/>
    <w:rsid w:val="05D96B97"/>
    <w:rsid w:val="05DE00A5"/>
    <w:rsid w:val="05DF120E"/>
    <w:rsid w:val="05E01012"/>
    <w:rsid w:val="05E24DDB"/>
    <w:rsid w:val="05EB4596"/>
    <w:rsid w:val="05EF4A89"/>
    <w:rsid w:val="05EF7940"/>
    <w:rsid w:val="05F3071E"/>
    <w:rsid w:val="05F46A48"/>
    <w:rsid w:val="05F52C00"/>
    <w:rsid w:val="05FA453C"/>
    <w:rsid w:val="05FA72A2"/>
    <w:rsid w:val="05FE0D6C"/>
    <w:rsid w:val="06083ED4"/>
    <w:rsid w:val="060D2125"/>
    <w:rsid w:val="060D695F"/>
    <w:rsid w:val="060F0376"/>
    <w:rsid w:val="0617369F"/>
    <w:rsid w:val="061961E9"/>
    <w:rsid w:val="06197C64"/>
    <w:rsid w:val="061D1DC5"/>
    <w:rsid w:val="061E65E2"/>
    <w:rsid w:val="06261C8E"/>
    <w:rsid w:val="06330CC8"/>
    <w:rsid w:val="06381F48"/>
    <w:rsid w:val="063B2327"/>
    <w:rsid w:val="063C6A97"/>
    <w:rsid w:val="063D1289"/>
    <w:rsid w:val="0640016E"/>
    <w:rsid w:val="064057D4"/>
    <w:rsid w:val="06464783"/>
    <w:rsid w:val="06474246"/>
    <w:rsid w:val="064A2156"/>
    <w:rsid w:val="064A777B"/>
    <w:rsid w:val="064D0EF3"/>
    <w:rsid w:val="06555530"/>
    <w:rsid w:val="06581E1C"/>
    <w:rsid w:val="065902A4"/>
    <w:rsid w:val="06593DA0"/>
    <w:rsid w:val="065A602E"/>
    <w:rsid w:val="065C6BD2"/>
    <w:rsid w:val="065E6DDB"/>
    <w:rsid w:val="06660F96"/>
    <w:rsid w:val="06681752"/>
    <w:rsid w:val="066C380F"/>
    <w:rsid w:val="066D775C"/>
    <w:rsid w:val="066E7569"/>
    <w:rsid w:val="067036A2"/>
    <w:rsid w:val="06712612"/>
    <w:rsid w:val="067404C7"/>
    <w:rsid w:val="06764AB0"/>
    <w:rsid w:val="06782477"/>
    <w:rsid w:val="067A4D1F"/>
    <w:rsid w:val="067A543D"/>
    <w:rsid w:val="067B6092"/>
    <w:rsid w:val="067D04ED"/>
    <w:rsid w:val="067E03E5"/>
    <w:rsid w:val="067E0CBB"/>
    <w:rsid w:val="067E4E21"/>
    <w:rsid w:val="0688297B"/>
    <w:rsid w:val="06883100"/>
    <w:rsid w:val="068846CE"/>
    <w:rsid w:val="068A69E7"/>
    <w:rsid w:val="068B54B4"/>
    <w:rsid w:val="068E5516"/>
    <w:rsid w:val="068E7973"/>
    <w:rsid w:val="069279CE"/>
    <w:rsid w:val="06967C9E"/>
    <w:rsid w:val="06995C46"/>
    <w:rsid w:val="069B432A"/>
    <w:rsid w:val="069D7C6B"/>
    <w:rsid w:val="06A134EF"/>
    <w:rsid w:val="06A338B0"/>
    <w:rsid w:val="06A36EB2"/>
    <w:rsid w:val="06A541CF"/>
    <w:rsid w:val="06A6288D"/>
    <w:rsid w:val="06A72333"/>
    <w:rsid w:val="06A91FA6"/>
    <w:rsid w:val="06AD2E46"/>
    <w:rsid w:val="06B14B55"/>
    <w:rsid w:val="06B348C7"/>
    <w:rsid w:val="06B52241"/>
    <w:rsid w:val="06B56214"/>
    <w:rsid w:val="06BB6163"/>
    <w:rsid w:val="06BE62B4"/>
    <w:rsid w:val="06BF3FC7"/>
    <w:rsid w:val="06C16B99"/>
    <w:rsid w:val="06C54678"/>
    <w:rsid w:val="06C55C23"/>
    <w:rsid w:val="06CA769B"/>
    <w:rsid w:val="06CA7D3C"/>
    <w:rsid w:val="06CD6DFA"/>
    <w:rsid w:val="06D225BC"/>
    <w:rsid w:val="06D43393"/>
    <w:rsid w:val="06D5043A"/>
    <w:rsid w:val="06D953F7"/>
    <w:rsid w:val="06DE6BCF"/>
    <w:rsid w:val="06DF42B9"/>
    <w:rsid w:val="06E15FE8"/>
    <w:rsid w:val="06E46812"/>
    <w:rsid w:val="06E55736"/>
    <w:rsid w:val="06E62D1C"/>
    <w:rsid w:val="06E7626B"/>
    <w:rsid w:val="06EC496D"/>
    <w:rsid w:val="06EC76E0"/>
    <w:rsid w:val="06EE1260"/>
    <w:rsid w:val="06EE2609"/>
    <w:rsid w:val="06F2252E"/>
    <w:rsid w:val="06F2774D"/>
    <w:rsid w:val="06F85E0E"/>
    <w:rsid w:val="06F87546"/>
    <w:rsid w:val="06FD0A9F"/>
    <w:rsid w:val="06FD475D"/>
    <w:rsid w:val="07006AD9"/>
    <w:rsid w:val="070256E2"/>
    <w:rsid w:val="07090446"/>
    <w:rsid w:val="070A32AF"/>
    <w:rsid w:val="070B511E"/>
    <w:rsid w:val="070E4FA2"/>
    <w:rsid w:val="07141736"/>
    <w:rsid w:val="071F2612"/>
    <w:rsid w:val="072016CA"/>
    <w:rsid w:val="0720506B"/>
    <w:rsid w:val="072333AB"/>
    <w:rsid w:val="072516A1"/>
    <w:rsid w:val="07274D15"/>
    <w:rsid w:val="07275776"/>
    <w:rsid w:val="072A2646"/>
    <w:rsid w:val="072D18BC"/>
    <w:rsid w:val="072F6E4E"/>
    <w:rsid w:val="07315318"/>
    <w:rsid w:val="0734480A"/>
    <w:rsid w:val="0736592E"/>
    <w:rsid w:val="0737768B"/>
    <w:rsid w:val="073A60B8"/>
    <w:rsid w:val="073D01DE"/>
    <w:rsid w:val="074369EC"/>
    <w:rsid w:val="07476BD9"/>
    <w:rsid w:val="074873AA"/>
    <w:rsid w:val="074A3FBA"/>
    <w:rsid w:val="074E4138"/>
    <w:rsid w:val="07502EB3"/>
    <w:rsid w:val="0750348A"/>
    <w:rsid w:val="075217C9"/>
    <w:rsid w:val="075370D0"/>
    <w:rsid w:val="075C60B3"/>
    <w:rsid w:val="075C73C2"/>
    <w:rsid w:val="07661659"/>
    <w:rsid w:val="076650CA"/>
    <w:rsid w:val="0769536C"/>
    <w:rsid w:val="076E4830"/>
    <w:rsid w:val="07707977"/>
    <w:rsid w:val="07726195"/>
    <w:rsid w:val="077330C8"/>
    <w:rsid w:val="07734413"/>
    <w:rsid w:val="07745456"/>
    <w:rsid w:val="07772FF4"/>
    <w:rsid w:val="077C2E29"/>
    <w:rsid w:val="077C3F1C"/>
    <w:rsid w:val="077D347D"/>
    <w:rsid w:val="078125AB"/>
    <w:rsid w:val="07821375"/>
    <w:rsid w:val="078335F9"/>
    <w:rsid w:val="07846868"/>
    <w:rsid w:val="078674DB"/>
    <w:rsid w:val="07897CED"/>
    <w:rsid w:val="078E196E"/>
    <w:rsid w:val="078F390F"/>
    <w:rsid w:val="07941018"/>
    <w:rsid w:val="07964E66"/>
    <w:rsid w:val="07973888"/>
    <w:rsid w:val="07977CFA"/>
    <w:rsid w:val="079901FF"/>
    <w:rsid w:val="079A482A"/>
    <w:rsid w:val="079F28C5"/>
    <w:rsid w:val="07A75A6E"/>
    <w:rsid w:val="07AA4314"/>
    <w:rsid w:val="07AD508F"/>
    <w:rsid w:val="07AE54E9"/>
    <w:rsid w:val="07AF74D4"/>
    <w:rsid w:val="07B0105B"/>
    <w:rsid w:val="07B03524"/>
    <w:rsid w:val="07BD0EFB"/>
    <w:rsid w:val="07C821A7"/>
    <w:rsid w:val="07D01EA4"/>
    <w:rsid w:val="07D045DD"/>
    <w:rsid w:val="07D05D10"/>
    <w:rsid w:val="07D23B28"/>
    <w:rsid w:val="07D308BC"/>
    <w:rsid w:val="07D75351"/>
    <w:rsid w:val="07D75C90"/>
    <w:rsid w:val="07DB0B22"/>
    <w:rsid w:val="07DF4AEC"/>
    <w:rsid w:val="07E7425D"/>
    <w:rsid w:val="07EA2ABD"/>
    <w:rsid w:val="07EA63D1"/>
    <w:rsid w:val="07EC1424"/>
    <w:rsid w:val="07EC2A29"/>
    <w:rsid w:val="07F57AEA"/>
    <w:rsid w:val="07F7533D"/>
    <w:rsid w:val="07F7651C"/>
    <w:rsid w:val="07FF71F1"/>
    <w:rsid w:val="0801772C"/>
    <w:rsid w:val="0807674F"/>
    <w:rsid w:val="08081633"/>
    <w:rsid w:val="08084081"/>
    <w:rsid w:val="081A5251"/>
    <w:rsid w:val="081C3F8C"/>
    <w:rsid w:val="081D5822"/>
    <w:rsid w:val="081E75B4"/>
    <w:rsid w:val="08246632"/>
    <w:rsid w:val="082C6949"/>
    <w:rsid w:val="0830035D"/>
    <w:rsid w:val="0833350E"/>
    <w:rsid w:val="08333D7C"/>
    <w:rsid w:val="08407561"/>
    <w:rsid w:val="08433EEC"/>
    <w:rsid w:val="08487CE5"/>
    <w:rsid w:val="08491DF8"/>
    <w:rsid w:val="0849203C"/>
    <w:rsid w:val="084A3AA2"/>
    <w:rsid w:val="084B76FB"/>
    <w:rsid w:val="08515373"/>
    <w:rsid w:val="08525A89"/>
    <w:rsid w:val="08555F04"/>
    <w:rsid w:val="08557E70"/>
    <w:rsid w:val="085751F0"/>
    <w:rsid w:val="08592EA9"/>
    <w:rsid w:val="085F4407"/>
    <w:rsid w:val="08630DE0"/>
    <w:rsid w:val="086341DE"/>
    <w:rsid w:val="08674160"/>
    <w:rsid w:val="0867457B"/>
    <w:rsid w:val="086A6B2C"/>
    <w:rsid w:val="08712E33"/>
    <w:rsid w:val="087817AB"/>
    <w:rsid w:val="087D2186"/>
    <w:rsid w:val="087E06F5"/>
    <w:rsid w:val="087E700F"/>
    <w:rsid w:val="087F22A8"/>
    <w:rsid w:val="08812BE2"/>
    <w:rsid w:val="088272FC"/>
    <w:rsid w:val="08835AC0"/>
    <w:rsid w:val="08844B95"/>
    <w:rsid w:val="0887630D"/>
    <w:rsid w:val="08880F22"/>
    <w:rsid w:val="088B1DB2"/>
    <w:rsid w:val="08923A7C"/>
    <w:rsid w:val="08955AD1"/>
    <w:rsid w:val="089641DE"/>
    <w:rsid w:val="089D64FB"/>
    <w:rsid w:val="08A067CF"/>
    <w:rsid w:val="08A30C8C"/>
    <w:rsid w:val="08A600B8"/>
    <w:rsid w:val="08A77AF0"/>
    <w:rsid w:val="08AB0F8D"/>
    <w:rsid w:val="08AC7AC0"/>
    <w:rsid w:val="08AF1CC7"/>
    <w:rsid w:val="08B6091A"/>
    <w:rsid w:val="08BB45BC"/>
    <w:rsid w:val="08BE532B"/>
    <w:rsid w:val="08BE7C80"/>
    <w:rsid w:val="08BF371D"/>
    <w:rsid w:val="08C07AD4"/>
    <w:rsid w:val="08C81750"/>
    <w:rsid w:val="08CA5743"/>
    <w:rsid w:val="08CC67C9"/>
    <w:rsid w:val="08CD76D7"/>
    <w:rsid w:val="08CF7DC7"/>
    <w:rsid w:val="08D102DF"/>
    <w:rsid w:val="08D31906"/>
    <w:rsid w:val="08D71636"/>
    <w:rsid w:val="08D71D8F"/>
    <w:rsid w:val="08DA7138"/>
    <w:rsid w:val="08DE3E81"/>
    <w:rsid w:val="08DF4E3D"/>
    <w:rsid w:val="08DF6F7E"/>
    <w:rsid w:val="08E05FDB"/>
    <w:rsid w:val="08E25413"/>
    <w:rsid w:val="08E27D9B"/>
    <w:rsid w:val="08E65E7D"/>
    <w:rsid w:val="08E7248B"/>
    <w:rsid w:val="08E86C18"/>
    <w:rsid w:val="08EE6D30"/>
    <w:rsid w:val="08F25EE3"/>
    <w:rsid w:val="08F743CF"/>
    <w:rsid w:val="08F91AB3"/>
    <w:rsid w:val="08FC5947"/>
    <w:rsid w:val="08FF54D2"/>
    <w:rsid w:val="090331E8"/>
    <w:rsid w:val="09167768"/>
    <w:rsid w:val="0916780C"/>
    <w:rsid w:val="091709C3"/>
    <w:rsid w:val="091738A8"/>
    <w:rsid w:val="091A5D5A"/>
    <w:rsid w:val="091B21A8"/>
    <w:rsid w:val="091E4A6C"/>
    <w:rsid w:val="091E505F"/>
    <w:rsid w:val="091E738F"/>
    <w:rsid w:val="091F1C84"/>
    <w:rsid w:val="09216B15"/>
    <w:rsid w:val="09225861"/>
    <w:rsid w:val="0922603A"/>
    <w:rsid w:val="09244154"/>
    <w:rsid w:val="092A1BCA"/>
    <w:rsid w:val="092C7BA4"/>
    <w:rsid w:val="092E4A26"/>
    <w:rsid w:val="092F29BE"/>
    <w:rsid w:val="09330FF9"/>
    <w:rsid w:val="093566E7"/>
    <w:rsid w:val="093A260D"/>
    <w:rsid w:val="093B0A11"/>
    <w:rsid w:val="093B54D5"/>
    <w:rsid w:val="093E0EF9"/>
    <w:rsid w:val="093E246B"/>
    <w:rsid w:val="093E7495"/>
    <w:rsid w:val="094108C9"/>
    <w:rsid w:val="09425B3E"/>
    <w:rsid w:val="094966CD"/>
    <w:rsid w:val="094A3893"/>
    <w:rsid w:val="094E6366"/>
    <w:rsid w:val="094F366F"/>
    <w:rsid w:val="09503A46"/>
    <w:rsid w:val="09526223"/>
    <w:rsid w:val="09544483"/>
    <w:rsid w:val="09547097"/>
    <w:rsid w:val="095D4A5B"/>
    <w:rsid w:val="0961286F"/>
    <w:rsid w:val="09630C45"/>
    <w:rsid w:val="09634350"/>
    <w:rsid w:val="096412DC"/>
    <w:rsid w:val="096A705A"/>
    <w:rsid w:val="096B4B00"/>
    <w:rsid w:val="097257A1"/>
    <w:rsid w:val="09743821"/>
    <w:rsid w:val="097C0598"/>
    <w:rsid w:val="097E0986"/>
    <w:rsid w:val="09813405"/>
    <w:rsid w:val="098339A1"/>
    <w:rsid w:val="098506DE"/>
    <w:rsid w:val="098720DC"/>
    <w:rsid w:val="0988545C"/>
    <w:rsid w:val="09906EF8"/>
    <w:rsid w:val="09915DBE"/>
    <w:rsid w:val="099323C1"/>
    <w:rsid w:val="099D53DD"/>
    <w:rsid w:val="099D7DAE"/>
    <w:rsid w:val="09A127E2"/>
    <w:rsid w:val="09A25340"/>
    <w:rsid w:val="09A45050"/>
    <w:rsid w:val="09A65E69"/>
    <w:rsid w:val="09A76FEA"/>
    <w:rsid w:val="09A84ADB"/>
    <w:rsid w:val="09A84B40"/>
    <w:rsid w:val="09A969B5"/>
    <w:rsid w:val="09AB7B5C"/>
    <w:rsid w:val="09AC0966"/>
    <w:rsid w:val="09AC25D1"/>
    <w:rsid w:val="09AE3BD1"/>
    <w:rsid w:val="09AF2690"/>
    <w:rsid w:val="09B31EA5"/>
    <w:rsid w:val="09B36A2D"/>
    <w:rsid w:val="09B374A6"/>
    <w:rsid w:val="09B54E75"/>
    <w:rsid w:val="09B5744E"/>
    <w:rsid w:val="09B66B36"/>
    <w:rsid w:val="09B835E3"/>
    <w:rsid w:val="09C0660B"/>
    <w:rsid w:val="09C20666"/>
    <w:rsid w:val="09C34736"/>
    <w:rsid w:val="09C41CDB"/>
    <w:rsid w:val="09C77F9B"/>
    <w:rsid w:val="09C80320"/>
    <w:rsid w:val="09C83EC3"/>
    <w:rsid w:val="09CA2D09"/>
    <w:rsid w:val="09CB4329"/>
    <w:rsid w:val="09D12279"/>
    <w:rsid w:val="09D81A7D"/>
    <w:rsid w:val="09D84825"/>
    <w:rsid w:val="09DD126B"/>
    <w:rsid w:val="09DD3DA2"/>
    <w:rsid w:val="09E16878"/>
    <w:rsid w:val="09E340D9"/>
    <w:rsid w:val="09E50062"/>
    <w:rsid w:val="09E53166"/>
    <w:rsid w:val="09E772A6"/>
    <w:rsid w:val="09F0213D"/>
    <w:rsid w:val="09F047BF"/>
    <w:rsid w:val="09F25BE4"/>
    <w:rsid w:val="09F45BBF"/>
    <w:rsid w:val="09F47173"/>
    <w:rsid w:val="09F53B08"/>
    <w:rsid w:val="09F64E6B"/>
    <w:rsid w:val="09F74DBC"/>
    <w:rsid w:val="09F75895"/>
    <w:rsid w:val="09FA0FF5"/>
    <w:rsid w:val="09FF5D63"/>
    <w:rsid w:val="0A0055A3"/>
    <w:rsid w:val="0A03356F"/>
    <w:rsid w:val="0A0642D1"/>
    <w:rsid w:val="0A0C7052"/>
    <w:rsid w:val="0A0E2AA4"/>
    <w:rsid w:val="0A106179"/>
    <w:rsid w:val="0A13672B"/>
    <w:rsid w:val="0A182626"/>
    <w:rsid w:val="0A184B4C"/>
    <w:rsid w:val="0A186EBD"/>
    <w:rsid w:val="0A192461"/>
    <w:rsid w:val="0A194B69"/>
    <w:rsid w:val="0A1D3C7D"/>
    <w:rsid w:val="0A1D6E00"/>
    <w:rsid w:val="0A1F0101"/>
    <w:rsid w:val="0A267A65"/>
    <w:rsid w:val="0A2B10CA"/>
    <w:rsid w:val="0A2B783A"/>
    <w:rsid w:val="0A2C57AA"/>
    <w:rsid w:val="0A2D3D2D"/>
    <w:rsid w:val="0A33675E"/>
    <w:rsid w:val="0A3665BB"/>
    <w:rsid w:val="0A3B55B1"/>
    <w:rsid w:val="0A3D5C6E"/>
    <w:rsid w:val="0A3E3F41"/>
    <w:rsid w:val="0A3E4117"/>
    <w:rsid w:val="0A3F0320"/>
    <w:rsid w:val="0A3F4106"/>
    <w:rsid w:val="0A416929"/>
    <w:rsid w:val="0A4349A2"/>
    <w:rsid w:val="0A4446FF"/>
    <w:rsid w:val="0A4627D8"/>
    <w:rsid w:val="0A482B74"/>
    <w:rsid w:val="0A49321C"/>
    <w:rsid w:val="0A4B7F14"/>
    <w:rsid w:val="0A4C6CBF"/>
    <w:rsid w:val="0A4D69DD"/>
    <w:rsid w:val="0A510807"/>
    <w:rsid w:val="0A525860"/>
    <w:rsid w:val="0A554FC7"/>
    <w:rsid w:val="0A573B81"/>
    <w:rsid w:val="0A596B2B"/>
    <w:rsid w:val="0A5C1C27"/>
    <w:rsid w:val="0A5C1C5E"/>
    <w:rsid w:val="0A5C7A96"/>
    <w:rsid w:val="0A5F61F4"/>
    <w:rsid w:val="0A604C0E"/>
    <w:rsid w:val="0A624EE4"/>
    <w:rsid w:val="0A6511BC"/>
    <w:rsid w:val="0A6C7945"/>
    <w:rsid w:val="0A7619D8"/>
    <w:rsid w:val="0A77245B"/>
    <w:rsid w:val="0A7A38CD"/>
    <w:rsid w:val="0A802A4C"/>
    <w:rsid w:val="0A8353B3"/>
    <w:rsid w:val="0A855E52"/>
    <w:rsid w:val="0A884069"/>
    <w:rsid w:val="0A895614"/>
    <w:rsid w:val="0A8B7E6C"/>
    <w:rsid w:val="0A944746"/>
    <w:rsid w:val="0A975063"/>
    <w:rsid w:val="0A9763CB"/>
    <w:rsid w:val="0A993FFD"/>
    <w:rsid w:val="0A9A2A54"/>
    <w:rsid w:val="0A9C3C2B"/>
    <w:rsid w:val="0A9E5FDC"/>
    <w:rsid w:val="0A9F4A0F"/>
    <w:rsid w:val="0AA238AC"/>
    <w:rsid w:val="0AA408F6"/>
    <w:rsid w:val="0AA4505E"/>
    <w:rsid w:val="0AA60167"/>
    <w:rsid w:val="0AA71CE8"/>
    <w:rsid w:val="0AA76F49"/>
    <w:rsid w:val="0AA86904"/>
    <w:rsid w:val="0AAA5618"/>
    <w:rsid w:val="0AB10DE5"/>
    <w:rsid w:val="0AB154B4"/>
    <w:rsid w:val="0AB419D2"/>
    <w:rsid w:val="0AB85910"/>
    <w:rsid w:val="0AC047C8"/>
    <w:rsid w:val="0AC568B2"/>
    <w:rsid w:val="0AC823D3"/>
    <w:rsid w:val="0AC90476"/>
    <w:rsid w:val="0ACA3253"/>
    <w:rsid w:val="0ACB7EE0"/>
    <w:rsid w:val="0ACC0D88"/>
    <w:rsid w:val="0ACC14AF"/>
    <w:rsid w:val="0ACE060A"/>
    <w:rsid w:val="0AD1453D"/>
    <w:rsid w:val="0AD1527D"/>
    <w:rsid w:val="0AD4197E"/>
    <w:rsid w:val="0AD8634B"/>
    <w:rsid w:val="0ADD6AE9"/>
    <w:rsid w:val="0ADE0470"/>
    <w:rsid w:val="0ADE1EB6"/>
    <w:rsid w:val="0AE06A9F"/>
    <w:rsid w:val="0AE06DB4"/>
    <w:rsid w:val="0AE37473"/>
    <w:rsid w:val="0AE37862"/>
    <w:rsid w:val="0AE447F4"/>
    <w:rsid w:val="0AE57BFB"/>
    <w:rsid w:val="0AE66F26"/>
    <w:rsid w:val="0AE7766A"/>
    <w:rsid w:val="0AE94A2B"/>
    <w:rsid w:val="0AEA179D"/>
    <w:rsid w:val="0AEA5DC3"/>
    <w:rsid w:val="0AED2A2E"/>
    <w:rsid w:val="0AF0679F"/>
    <w:rsid w:val="0AF5772E"/>
    <w:rsid w:val="0AF6476E"/>
    <w:rsid w:val="0AF64C83"/>
    <w:rsid w:val="0AF74EBA"/>
    <w:rsid w:val="0AFA0084"/>
    <w:rsid w:val="0AFC15E8"/>
    <w:rsid w:val="0AFD0E86"/>
    <w:rsid w:val="0AFD0EBC"/>
    <w:rsid w:val="0AFD5923"/>
    <w:rsid w:val="0AFF2194"/>
    <w:rsid w:val="0B021291"/>
    <w:rsid w:val="0B042635"/>
    <w:rsid w:val="0B052264"/>
    <w:rsid w:val="0B073FC6"/>
    <w:rsid w:val="0B0862D7"/>
    <w:rsid w:val="0B0A725B"/>
    <w:rsid w:val="0B0B3C2E"/>
    <w:rsid w:val="0B113070"/>
    <w:rsid w:val="0B113614"/>
    <w:rsid w:val="0B16594F"/>
    <w:rsid w:val="0B180DE0"/>
    <w:rsid w:val="0B222B74"/>
    <w:rsid w:val="0B244435"/>
    <w:rsid w:val="0B2724F4"/>
    <w:rsid w:val="0B276735"/>
    <w:rsid w:val="0B293A5F"/>
    <w:rsid w:val="0B2B3E11"/>
    <w:rsid w:val="0B2F146B"/>
    <w:rsid w:val="0B3226E4"/>
    <w:rsid w:val="0B334E96"/>
    <w:rsid w:val="0B347187"/>
    <w:rsid w:val="0B363435"/>
    <w:rsid w:val="0B390FD1"/>
    <w:rsid w:val="0B3A2B45"/>
    <w:rsid w:val="0B3E2CD4"/>
    <w:rsid w:val="0B42190E"/>
    <w:rsid w:val="0B453E55"/>
    <w:rsid w:val="0B456771"/>
    <w:rsid w:val="0B493381"/>
    <w:rsid w:val="0B4B60CB"/>
    <w:rsid w:val="0B4D2FAD"/>
    <w:rsid w:val="0B5144D9"/>
    <w:rsid w:val="0B5331D2"/>
    <w:rsid w:val="0B5460D3"/>
    <w:rsid w:val="0B596620"/>
    <w:rsid w:val="0B5B3488"/>
    <w:rsid w:val="0B61144B"/>
    <w:rsid w:val="0B63212D"/>
    <w:rsid w:val="0B6872D2"/>
    <w:rsid w:val="0B6B1B52"/>
    <w:rsid w:val="0B704D16"/>
    <w:rsid w:val="0B70650F"/>
    <w:rsid w:val="0B745E20"/>
    <w:rsid w:val="0B752591"/>
    <w:rsid w:val="0B773B21"/>
    <w:rsid w:val="0B785985"/>
    <w:rsid w:val="0B7D6F7F"/>
    <w:rsid w:val="0B7E1CEA"/>
    <w:rsid w:val="0B847420"/>
    <w:rsid w:val="0B860D26"/>
    <w:rsid w:val="0B880F85"/>
    <w:rsid w:val="0B8A6586"/>
    <w:rsid w:val="0B8D1BD9"/>
    <w:rsid w:val="0B9270E1"/>
    <w:rsid w:val="0B9918D6"/>
    <w:rsid w:val="0B9F4790"/>
    <w:rsid w:val="0BA02F9C"/>
    <w:rsid w:val="0BA5707B"/>
    <w:rsid w:val="0BA71F41"/>
    <w:rsid w:val="0BA9414E"/>
    <w:rsid w:val="0BAF42EC"/>
    <w:rsid w:val="0BB27EF8"/>
    <w:rsid w:val="0BBD11F7"/>
    <w:rsid w:val="0BBF5294"/>
    <w:rsid w:val="0BCA3A2C"/>
    <w:rsid w:val="0BCB3D8E"/>
    <w:rsid w:val="0BCB3E77"/>
    <w:rsid w:val="0BCD3A99"/>
    <w:rsid w:val="0BD073AF"/>
    <w:rsid w:val="0BD20F5E"/>
    <w:rsid w:val="0BD51E39"/>
    <w:rsid w:val="0BD64266"/>
    <w:rsid w:val="0BDA792C"/>
    <w:rsid w:val="0BDB0AFA"/>
    <w:rsid w:val="0BDB5E63"/>
    <w:rsid w:val="0BDE6F3F"/>
    <w:rsid w:val="0BE55FD0"/>
    <w:rsid w:val="0BE96744"/>
    <w:rsid w:val="0BEF007D"/>
    <w:rsid w:val="0BF13B6C"/>
    <w:rsid w:val="0BF549A2"/>
    <w:rsid w:val="0BF6746D"/>
    <w:rsid w:val="0BF93E28"/>
    <w:rsid w:val="0BFB11E2"/>
    <w:rsid w:val="0BFE1180"/>
    <w:rsid w:val="0C001CE2"/>
    <w:rsid w:val="0C04403E"/>
    <w:rsid w:val="0C071FA0"/>
    <w:rsid w:val="0C0914BB"/>
    <w:rsid w:val="0C104C02"/>
    <w:rsid w:val="0C13425C"/>
    <w:rsid w:val="0C191024"/>
    <w:rsid w:val="0C1B78EB"/>
    <w:rsid w:val="0C1F3D70"/>
    <w:rsid w:val="0C220706"/>
    <w:rsid w:val="0C2D4747"/>
    <w:rsid w:val="0C2D757F"/>
    <w:rsid w:val="0C2F32F7"/>
    <w:rsid w:val="0C324F43"/>
    <w:rsid w:val="0C34090D"/>
    <w:rsid w:val="0C352B5E"/>
    <w:rsid w:val="0C353F67"/>
    <w:rsid w:val="0C355B66"/>
    <w:rsid w:val="0C366352"/>
    <w:rsid w:val="0C367BC9"/>
    <w:rsid w:val="0C3A58B1"/>
    <w:rsid w:val="0C3B34BE"/>
    <w:rsid w:val="0C3D21D5"/>
    <w:rsid w:val="0C3E1134"/>
    <w:rsid w:val="0C3F42BF"/>
    <w:rsid w:val="0C4312F6"/>
    <w:rsid w:val="0C482C87"/>
    <w:rsid w:val="0C4F0F58"/>
    <w:rsid w:val="0C5058CA"/>
    <w:rsid w:val="0C5325BC"/>
    <w:rsid w:val="0C56530B"/>
    <w:rsid w:val="0C5725F9"/>
    <w:rsid w:val="0C582CA9"/>
    <w:rsid w:val="0C597A1C"/>
    <w:rsid w:val="0C5E2A32"/>
    <w:rsid w:val="0C6048CD"/>
    <w:rsid w:val="0C613435"/>
    <w:rsid w:val="0C6172CA"/>
    <w:rsid w:val="0C617DBB"/>
    <w:rsid w:val="0C6246F1"/>
    <w:rsid w:val="0C6252D3"/>
    <w:rsid w:val="0C641ABA"/>
    <w:rsid w:val="0C652BAE"/>
    <w:rsid w:val="0C697AF9"/>
    <w:rsid w:val="0C710474"/>
    <w:rsid w:val="0C730FE8"/>
    <w:rsid w:val="0C7474E6"/>
    <w:rsid w:val="0C7F1B0D"/>
    <w:rsid w:val="0C855043"/>
    <w:rsid w:val="0C8C0368"/>
    <w:rsid w:val="0C8C269F"/>
    <w:rsid w:val="0C8E6F0A"/>
    <w:rsid w:val="0C911274"/>
    <w:rsid w:val="0C924F76"/>
    <w:rsid w:val="0C98752C"/>
    <w:rsid w:val="0C9C7780"/>
    <w:rsid w:val="0C9E7FE6"/>
    <w:rsid w:val="0C9F524D"/>
    <w:rsid w:val="0CA045B9"/>
    <w:rsid w:val="0CA24058"/>
    <w:rsid w:val="0CA36703"/>
    <w:rsid w:val="0CA3720F"/>
    <w:rsid w:val="0CA414BD"/>
    <w:rsid w:val="0CA815B5"/>
    <w:rsid w:val="0CA86C27"/>
    <w:rsid w:val="0CAD237C"/>
    <w:rsid w:val="0CAD76BD"/>
    <w:rsid w:val="0CAF268A"/>
    <w:rsid w:val="0CB02FBC"/>
    <w:rsid w:val="0CB45E28"/>
    <w:rsid w:val="0CB61D0F"/>
    <w:rsid w:val="0CB840A3"/>
    <w:rsid w:val="0CB840C1"/>
    <w:rsid w:val="0CBC084D"/>
    <w:rsid w:val="0CBD628D"/>
    <w:rsid w:val="0CBE3597"/>
    <w:rsid w:val="0CBF46F8"/>
    <w:rsid w:val="0CC13BA7"/>
    <w:rsid w:val="0CC165B1"/>
    <w:rsid w:val="0CC32118"/>
    <w:rsid w:val="0CC876EA"/>
    <w:rsid w:val="0CC92FBD"/>
    <w:rsid w:val="0CC97183"/>
    <w:rsid w:val="0CD345CA"/>
    <w:rsid w:val="0CD977A1"/>
    <w:rsid w:val="0CE264EF"/>
    <w:rsid w:val="0CE433E1"/>
    <w:rsid w:val="0CE53290"/>
    <w:rsid w:val="0CE57925"/>
    <w:rsid w:val="0CEA5836"/>
    <w:rsid w:val="0CEB697B"/>
    <w:rsid w:val="0CEE3C27"/>
    <w:rsid w:val="0CEE43CA"/>
    <w:rsid w:val="0CEF7C95"/>
    <w:rsid w:val="0CF21A1A"/>
    <w:rsid w:val="0CF54541"/>
    <w:rsid w:val="0CF72B6F"/>
    <w:rsid w:val="0CFF743F"/>
    <w:rsid w:val="0D0502D2"/>
    <w:rsid w:val="0D070638"/>
    <w:rsid w:val="0D0B6ABF"/>
    <w:rsid w:val="0D0E6FFD"/>
    <w:rsid w:val="0D0F1529"/>
    <w:rsid w:val="0D0F6666"/>
    <w:rsid w:val="0D112290"/>
    <w:rsid w:val="0D1152A5"/>
    <w:rsid w:val="0D133DCE"/>
    <w:rsid w:val="0D1418BD"/>
    <w:rsid w:val="0D197B03"/>
    <w:rsid w:val="0D1A266E"/>
    <w:rsid w:val="0D1A4843"/>
    <w:rsid w:val="0D1A56B1"/>
    <w:rsid w:val="0D1A7A48"/>
    <w:rsid w:val="0D266A5F"/>
    <w:rsid w:val="0D272D6F"/>
    <w:rsid w:val="0D2B35D9"/>
    <w:rsid w:val="0D2B65E4"/>
    <w:rsid w:val="0D2C6016"/>
    <w:rsid w:val="0D2E17CA"/>
    <w:rsid w:val="0D311F15"/>
    <w:rsid w:val="0D3247FD"/>
    <w:rsid w:val="0D341C43"/>
    <w:rsid w:val="0D3A450F"/>
    <w:rsid w:val="0D3C78C4"/>
    <w:rsid w:val="0D3E3D60"/>
    <w:rsid w:val="0D42051C"/>
    <w:rsid w:val="0D427413"/>
    <w:rsid w:val="0D4B08D3"/>
    <w:rsid w:val="0D4E7887"/>
    <w:rsid w:val="0D4F1B39"/>
    <w:rsid w:val="0D4F7269"/>
    <w:rsid w:val="0D52428D"/>
    <w:rsid w:val="0D526440"/>
    <w:rsid w:val="0D5947FB"/>
    <w:rsid w:val="0D5E2B8D"/>
    <w:rsid w:val="0D616DFC"/>
    <w:rsid w:val="0D646FD0"/>
    <w:rsid w:val="0D674771"/>
    <w:rsid w:val="0D6A50E3"/>
    <w:rsid w:val="0D6B5955"/>
    <w:rsid w:val="0D6D467B"/>
    <w:rsid w:val="0D703CE2"/>
    <w:rsid w:val="0D7840A1"/>
    <w:rsid w:val="0D7860B5"/>
    <w:rsid w:val="0D804059"/>
    <w:rsid w:val="0D837C87"/>
    <w:rsid w:val="0D8525B7"/>
    <w:rsid w:val="0D853FDD"/>
    <w:rsid w:val="0D880C95"/>
    <w:rsid w:val="0D881039"/>
    <w:rsid w:val="0D885D2E"/>
    <w:rsid w:val="0D8B4C3D"/>
    <w:rsid w:val="0D935B07"/>
    <w:rsid w:val="0D9C6D34"/>
    <w:rsid w:val="0D9F2066"/>
    <w:rsid w:val="0D9F26FE"/>
    <w:rsid w:val="0DA442E1"/>
    <w:rsid w:val="0DAB0D20"/>
    <w:rsid w:val="0DAD7B36"/>
    <w:rsid w:val="0DAE151C"/>
    <w:rsid w:val="0DAE5774"/>
    <w:rsid w:val="0DAF7371"/>
    <w:rsid w:val="0DB05C0C"/>
    <w:rsid w:val="0DBB3F21"/>
    <w:rsid w:val="0DBE5B77"/>
    <w:rsid w:val="0DC01675"/>
    <w:rsid w:val="0DC109A5"/>
    <w:rsid w:val="0DC24AA8"/>
    <w:rsid w:val="0DC52D99"/>
    <w:rsid w:val="0DC75DDC"/>
    <w:rsid w:val="0DCA3C59"/>
    <w:rsid w:val="0DCC0A78"/>
    <w:rsid w:val="0DCC755F"/>
    <w:rsid w:val="0DD34C14"/>
    <w:rsid w:val="0DD45041"/>
    <w:rsid w:val="0DD813FE"/>
    <w:rsid w:val="0DE13D73"/>
    <w:rsid w:val="0DE23598"/>
    <w:rsid w:val="0DE262D9"/>
    <w:rsid w:val="0DE70B64"/>
    <w:rsid w:val="0DE86186"/>
    <w:rsid w:val="0DE90425"/>
    <w:rsid w:val="0DEA0AC9"/>
    <w:rsid w:val="0DEB184B"/>
    <w:rsid w:val="0DF30354"/>
    <w:rsid w:val="0DF64C01"/>
    <w:rsid w:val="0DF80A24"/>
    <w:rsid w:val="0DF92A22"/>
    <w:rsid w:val="0DF93BD3"/>
    <w:rsid w:val="0DFB1642"/>
    <w:rsid w:val="0DFD7425"/>
    <w:rsid w:val="0DFE4B24"/>
    <w:rsid w:val="0DFF45C6"/>
    <w:rsid w:val="0E06783A"/>
    <w:rsid w:val="0E090471"/>
    <w:rsid w:val="0E09349C"/>
    <w:rsid w:val="0E0969C2"/>
    <w:rsid w:val="0E0A22D2"/>
    <w:rsid w:val="0E0B1EBB"/>
    <w:rsid w:val="0E0C595B"/>
    <w:rsid w:val="0E0E4100"/>
    <w:rsid w:val="0E166453"/>
    <w:rsid w:val="0E170445"/>
    <w:rsid w:val="0E1B158D"/>
    <w:rsid w:val="0E1D2E39"/>
    <w:rsid w:val="0E201B4B"/>
    <w:rsid w:val="0E210EEB"/>
    <w:rsid w:val="0E230461"/>
    <w:rsid w:val="0E2326F6"/>
    <w:rsid w:val="0E253D79"/>
    <w:rsid w:val="0E260997"/>
    <w:rsid w:val="0E2906CD"/>
    <w:rsid w:val="0E2B1FF7"/>
    <w:rsid w:val="0E2E0176"/>
    <w:rsid w:val="0E2E5AE8"/>
    <w:rsid w:val="0E303E9A"/>
    <w:rsid w:val="0E316ACA"/>
    <w:rsid w:val="0E340B36"/>
    <w:rsid w:val="0E3A0FCA"/>
    <w:rsid w:val="0E3A56BB"/>
    <w:rsid w:val="0E3F30B1"/>
    <w:rsid w:val="0E4052D8"/>
    <w:rsid w:val="0E4211DF"/>
    <w:rsid w:val="0E430BBB"/>
    <w:rsid w:val="0E48359F"/>
    <w:rsid w:val="0E4B7A0D"/>
    <w:rsid w:val="0E4F5FD6"/>
    <w:rsid w:val="0E5004F1"/>
    <w:rsid w:val="0E5209AC"/>
    <w:rsid w:val="0E524421"/>
    <w:rsid w:val="0E551048"/>
    <w:rsid w:val="0E55390F"/>
    <w:rsid w:val="0E576DC1"/>
    <w:rsid w:val="0E5A3966"/>
    <w:rsid w:val="0E5D7EF6"/>
    <w:rsid w:val="0E6567FC"/>
    <w:rsid w:val="0E66768C"/>
    <w:rsid w:val="0E672D1E"/>
    <w:rsid w:val="0E6F41D1"/>
    <w:rsid w:val="0E722825"/>
    <w:rsid w:val="0E7411AD"/>
    <w:rsid w:val="0E7A141D"/>
    <w:rsid w:val="0E7B0A75"/>
    <w:rsid w:val="0E8268D9"/>
    <w:rsid w:val="0E8807AB"/>
    <w:rsid w:val="0E89074D"/>
    <w:rsid w:val="0E8E64BB"/>
    <w:rsid w:val="0E8F19A8"/>
    <w:rsid w:val="0E91017B"/>
    <w:rsid w:val="0E9366C7"/>
    <w:rsid w:val="0E993E06"/>
    <w:rsid w:val="0E9D4241"/>
    <w:rsid w:val="0E9D46AA"/>
    <w:rsid w:val="0EA45BB1"/>
    <w:rsid w:val="0EA55AF2"/>
    <w:rsid w:val="0EAC24F8"/>
    <w:rsid w:val="0EAC3CBA"/>
    <w:rsid w:val="0EAD2BF9"/>
    <w:rsid w:val="0EB05467"/>
    <w:rsid w:val="0EB12885"/>
    <w:rsid w:val="0EBB0AF5"/>
    <w:rsid w:val="0EBF271A"/>
    <w:rsid w:val="0EC511EB"/>
    <w:rsid w:val="0EC90709"/>
    <w:rsid w:val="0ECA37AB"/>
    <w:rsid w:val="0ECB5C77"/>
    <w:rsid w:val="0ECC5050"/>
    <w:rsid w:val="0ED1675C"/>
    <w:rsid w:val="0ED30604"/>
    <w:rsid w:val="0ED7001D"/>
    <w:rsid w:val="0ED75053"/>
    <w:rsid w:val="0ED803F2"/>
    <w:rsid w:val="0EDB2ED3"/>
    <w:rsid w:val="0EDB66E1"/>
    <w:rsid w:val="0EDD359D"/>
    <w:rsid w:val="0EE515B1"/>
    <w:rsid w:val="0EED0D51"/>
    <w:rsid w:val="0EEF3055"/>
    <w:rsid w:val="0EFD199E"/>
    <w:rsid w:val="0F016DD8"/>
    <w:rsid w:val="0F0733DE"/>
    <w:rsid w:val="0F0821D4"/>
    <w:rsid w:val="0F083500"/>
    <w:rsid w:val="0F0C3D29"/>
    <w:rsid w:val="0F0D56D8"/>
    <w:rsid w:val="0F131D50"/>
    <w:rsid w:val="0F144DA6"/>
    <w:rsid w:val="0F14552D"/>
    <w:rsid w:val="0F150361"/>
    <w:rsid w:val="0F164A30"/>
    <w:rsid w:val="0F1829AB"/>
    <w:rsid w:val="0F197AFE"/>
    <w:rsid w:val="0F1A7BDE"/>
    <w:rsid w:val="0F1B7B63"/>
    <w:rsid w:val="0F1C09E0"/>
    <w:rsid w:val="0F1F287A"/>
    <w:rsid w:val="0F1F6607"/>
    <w:rsid w:val="0F20786F"/>
    <w:rsid w:val="0F2703DF"/>
    <w:rsid w:val="0F27150D"/>
    <w:rsid w:val="0F296C83"/>
    <w:rsid w:val="0F2A070A"/>
    <w:rsid w:val="0F2A42B1"/>
    <w:rsid w:val="0F2A6255"/>
    <w:rsid w:val="0F2F2EC8"/>
    <w:rsid w:val="0F2F581E"/>
    <w:rsid w:val="0F315312"/>
    <w:rsid w:val="0F330E63"/>
    <w:rsid w:val="0F331A75"/>
    <w:rsid w:val="0F375B94"/>
    <w:rsid w:val="0F381C1E"/>
    <w:rsid w:val="0F3A32D1"/>
    <w:rsid w:val="0F3B634D"/>
    <w:rsid w:val="0F3C36DB"/>
    <w:rsid w:val="0F3C74CA"/>
    <w:rsid w:val="0F4148DB"/>
    <w:rsid w:val="0F426631"/>
    <w:rsid w:val="0F435FFE"/>
    <w:rsid w:val="0F47692B"/>
    <w:rsid w:val="0F491DA8"/>
    <w:rsid w:val="0F4D70AC"/>
    <w:rsid w:val="0F4F2EF5"/>
    <w:rsid w:val="0F56697E"/>
    <w:rsid w:val="0F58737D"/>
    <w:rsid w:val="0F594A81"/>
    <w:rsid w:val="0F5A67CC"/>
    <w:rsid w:val="0F5B3083"/>
    <w:rsid w:val="0F5F50D5"/>
    <w:rsid w:val="0F5F5DCC"/>
    <w:rsid w:val="0F60110D"/>
    <w:rsid w:val="0F603B6A"/>
    <w:rsid w:val="0F625791"/>
    <w:rsid w:val="0F63756F"/>
    <w:rsid w:val="0F6A2D2A"/>
    <w:rsid w:val="0F6C1D02"/>
    <w:rsid w:val="0F6F718A"/>
    <w:rsid w:val="0F7046F1"/>
    <w:rsid w:val="0F745074"/>
    <w:rsid w:val="0F777EF4"/>
    <w:rsid w:val="0F79262D"/>
    <w:rsid w:val="0F8262D7"/>
    <w:rsid w:val="0F832005"/>
    <w:rsid w:val="0F8324D3"/>
    <w:rsid w:val="0F87169C"/>
    <w:rsid w:val="0F890791"/>
    <w:rsid w:val="0F8A3038"/>
    <w:rsid w:val="0F8A5104"/>
    <w:rsid w:val="0F930A76"/>
    <w:rsid w:val="0F9747AB"/>
    <w:rsid w:val="0F983EE4"/>
    <w:rsid w:val="0F9D7B53"/>
    <w:rsid w:val="0F9F0794"/>
    <w:rsid w:val="0FA22BC7"/>
    <w:rsid w:val="0FA5389B"/>
    <w:rsid w:val="0FA73EFD"/>
    <w:rsid w:val="0FAB0269"/>
    <w:rsid w:val="0FB12C35"/>
    <w:rsid w:val="0FB433FC"/>
    <w:rsid w:val="0FB820C5"/>
    <w:rsid w:val="0FBA7FD3"/>
    <w:rsid w:val="0FBB6FD9"/>
    <w:rsid w:val="0FBF1DDE"/>
    <w:rsid w:val="0FC007BB"/>
    <w:rsid w:val="0FC8294D"/>
    <w:rsid w:val="0FC90C06"/>
    <w:rsid w:val="0FCB7E39"/>
    <w:rsid w:val="0FD00F89"/>
    <w:rsid w:val="0FD30027"/>
    <w:rsid w:val="0FD8695E"/>
    <w:rsid w:val="0FDC0FB6"/>
    <w:rsid w:val="0FDD52AD"/>
    <w:rsid w:val="0FE9411C"/>
    <w:rsid w:val="0FEB30D8"/>
    <w:rsid w:val="0FEE3D42"/>
    <w:rsid w:val="0FF03D12"/>
    <w:rsid w:val="0FF26B15"/>
    <w:rsid w:val="0FF70DDE"/>
    <w:rsid w:val="0FFF5053"/>
    <w:rsid w:val="10066694"/>
    <w:rsid w:val="10092076"/>
    <w:rsid w:val="100D704E"/>
    <w:rsid w:val="100E0439"/>
    <w:rsid w:val="10191EBC"/>
    <w:rsid w:val="101A3BE9"/>
    <w:rsid w:val="101B059E"/>
    <w:rsid w:val="101C0E48"/>
    <w:rsid w:val="101C2B8B"/>
    <w:rsid w:val="101D7D07"/>
    <w:rsid w:val="101E3DAE"/>
    <w:rsid w:val="10203DCD"/>
    <w:rsid w:val="102176D5"/>
    <w:rsid w:val="10232F27"/>
    <w:rsid w:val="10241056"/>
    <w:rsid w:val="102424FB"/>
    <w:rsid w:val="1027759E"/>
    <w:rsid w:val="102A5DB3"/>
    <w:rsid w:val="102B1B16"/>
    <w:rsid w:val="102B5C1A"/>
    <w:rsid w:val="102D2193"/>
    <w:rsid w:val="102E1B18"/>
    <w:rsid w:val="10300884"/>
    <w:rsid w:val="10397B3B"/>
    <w:rsid w:val="103E6491"/>
    <w:rsid w:val="104372BC"/>
    <w:rsid w:val="10476460"/>
    <w:rsid w:val="1048472F"/>
    <w:rsid w:val="104C0B2D"/>
    <w:rsid w:val="104F7D32"/>
    <w:rsid w:val="10554633"/>
    <w:rsid w:val="10583AC4"/>
    <w:rsid w:val="10590C7F"/>
    <w:rsid w:val="105D286E"/>
    <w:rsid w:val="105D4915"/>
    <w:rsid w:val="106175F9"/>
    <w:rsid w:val="10624387"/>
    <w:rsid w:val="1064310E"/>
    <w:rsid w:val="106663EC"/>
    <w:rsid w:val="1068160F"/>
    <w:rsid w:val="1069677C"/>
    <w:rsid w:val="106A0DA2"/>
    <w:rsid w:val="106E43B7"/>
    <w:rsid w:val="106F63B8"/>
    <w:rsid w:val="1076275A"/>
    <w:rsid w:val="1076673E"/>
    <w:rsid w:val="10771E6A"/>
    <w:rsid w:val="107832ED"/>
    <w:rsid w:val="107C65EA"/>
    <w:rsid w:val="10816276"/>
    <w:rsid w:val="108177EF"/>
    <w:rsid w:val="10835115"/>
    <w:rsid w:val="10836BF5"/>
    <w:rsid w:val="108517A9"/>
    <w:rsid w:val="108A1981"/>
    <w:rsid w:val="108B5EF8"/>
    <w:rsid w:val="108C1B65"/>
    <w:rsid w:val="108D3353"/>
    <w:rsid w:val="108D6304"/>
    <w:rsid w:val="10921F3B"/>
    <w:rsid w:val="10925DE4"/>
    <w:rsid w:val="10930ACC"/>
    <w:rsid w:val="10947CF2"/>
    <w:rsid w:val="10996052"/>
    <w:rsid w:val="109A239F"/>
    <w:rsid w:val="109B7589"/>
    <w:rsid w:val="109C784F"/>
    <w:rsid w:val="109C79BD"/>
    <w:rsid w:val="10A64959"/>
    <w:rsid w:val="10A64C17"/>
    <w:rsid w:val="10A81D75"/>
    <w:rsid w:val="10A96560"/>
    <w:rsid w:val="10B043E9"/>
    <w:rsid w:val="10B15801"/>
    <w:rsid w:val="10B6494E"/>
    <w:rsid w:val="10B64CF0"/>
    <w:rsid w:val="10B822BF"/>
    <w:rsid w:val="10C358AD"/>
    <w:rsid w:val="10CA4802"/>
    <w:rsid w:val="10CB2E6B"/>
    <w:rsid w:val="10D25F76"/>
    <w:rsid w:val="10D3115B"/>
    <w:rsid w:val="10D50142"/>
    <w:rsid w:val="10D63177"/>
    <w:rsid w:val="10D84401"/>
    <w:rsid w:val="10DB60FA"/>
    <w:rsid w:val="10E15560"/>
    <w:rsid w:val="10E1634A"/>
    <w:rsid w:val="10E35AD2"/>
    <w:rsid w:val="10E36AC3"/>
    <w:rsid w:val="10E473F4"/>
    <w:rsid w:val="10E611F7"/>
    <w:rsid w:val="10EB2551"/>
    <w:rsid w:val="10EB5128"/>
    <w:rsid w:val="10ED4667"/>
    <w:rsid w:val="10EE0050"/>
    <w:rsid w:val="10EE1597"/>
    <w:rsid w:val="10F10A25"/>
    <w:rsid w:val="10F377B1"/>
    <w:rsid w:val="10F5208B"/>
    <w:rsid w:val="10FA38CF"/>
    <w:rsid w:val="10FD4EE8"/>
    <w:rsid w:val="11015128"/>
    <w:rsid w:val="110157F9"/>
    <w:rsid w:val="110312E4"/>
    <w:rsid w:val="110944DE"/>
    <w:rsid w:val="110969EB"/>
    <w:rsid w:val="110E686D"/>
    <w:rsid w:val="1112264B"/>
    <w:rsid w:val="111355CE"/>
    <w:rsid w:val="11150096"/>
    <w:rsid w:val="111610E7"/>
    <w:rsid w:val="11190AF5"/>
    <w:rsid w:val="11192775"/>
    <w:rsid w:val="111A58D5"/>
    <w:rsid w:val="111C2FCB"/>
    <w:rsid w:val="112202D3"/>
    <w:rsid w:val="11265692"/>
    <w:rsid w:val="1127048C"/>
    <w:rsid w:val="112752A5"/>
    <w:rsid w:val="112A2A64"/>
    <w:rsid w:val="112A3DDD"/>
    <w:rsid w:val="112B3233"/>
    <w:rsid w:val="112C24FB"/>
    <w:rsid w:val="112F4EBC"/>
    <w:rsid w:val="112F7C7E"/>
    <w:rsid w:val="11324EC4"/>
    <w:rsid w:val="11335080"/>
    <w:rsid w:val="11336E03"/>
    <w:rsid w:val="1135023B"/>
    <w:rsid w:val="113B0990"/>
    <w:rsid w:val="113C3BA0"/>
    <w:rsid w:val="113F5EE3"/>
    <w:rsid w:val="11433A22"/>
    <w:rsid w:val="1144045E"/>
    <w:rsid w:val="11467947"/>
    <w:rsid w:val="11473B0D"/>
    <w:rsid w:val="11474C44"/>
    <w:rsid w:val="11496AC4"/>
    <w:rsid w:val="114B1036"/>
    <w:rsid w:val="114C54EF"/>
    <w:rsid w:val="114C5B25"/>
    <w:rsid w:val="114F11FD"/>
    <w:rsid w:val="11514471"/>
    <w:rsid w:val="115357B4"/>
    <w:rsid w:val="11536AF7"/>
    <w:rsid w:val="11551A52"/>
    <w:rsid w:val="11555B10"/>
    <w:rsid w:val="115854B1"/>
    <w:rsid w:val="1159469D"/>
    <w:rsid w:val="115A500F"/>
    <w:rsid w:val="115B1247"/>
    <w:rsid w:val="115B1E9A"/>
    <w:rsid w:val="115B5ADE"/>
    <w:rsid w:val="115F0910"/>
    <w:rsid w:val="115F1E81"/>
    <w:rsid w:val="115F51E8"/>
    <w:rsid w:val="1160292B"/>
    <w:rsid w:val="1164219C"/>
    <w:rsid w:val="116513EC"/>
    <w:rsid w:val="11653B97"/>
    <w:rsid w:val="11662EB4"/>
    <w:rsid w:val="116B6BB2"/>
    <w:rsid w:val="116C044A"/>
    <w:rsid w:val="116C06A4"/>
    <w:rsid w:val="116C34F0"/>
    <w:rsid w:val="116E3FD1"/>
    <w:rsid w:val="116E5CDD"/>
    <w:rsid w:val="116F3C27"/>
    <w:rsid w:val="11723ED3"/>
    <w:rsid w:val="117F087D"/>
    <w:rsid w:val="118206CB"/>
    <w:rsid w:val="118245D3"/>
    <w:rsid w:val="1189727B"/>
    <w:rsid w:val="118A0CE6"/>
    <w:rsid w:val="118C60F4"/>
    <w:rsid w:val="11915CF7"/>
    <w:rsid w:val="11987977"/>
    <w:rsid w:val="119A05F9"/>
    <w:rsid w:val="119A1153"/>
    <w:rsid w:val="119B36EB"/>
    <w:rsid w:val="119E4D16"/>
    <w:rsid w:val="11A0196C"/>
    <w:rsid w:val="11A45485"/>
    <w:rsid w:val="11A52FB3"/>
    <w:rsid w:val="11A83883"/>
    <w:rsid w:val="11AA5460"/>
    <w:rsid w:val="11AD1538"/>
    <w:rsid w:val="11AF7D40"/>
    <w:rsid w:val="11B130D5"/>
    <w:rsid w:val="11B24375"/>
    <w:rsid w:val="11B42DD1"/>
    <w:rsid w:val="11B47664"/>
    <w:rsid w:val="11B50549"/>
    <w:rsid w:val="11B5721B"/>
    <w:rsid w:val="11B70FC9"/>
    <w:rsid w:val="11B823B9"/>
    <w:rsid w:val="11B82541"/>
    <w:rsid w:val="11B87A85"/>
    <w:rsid w:val="11B9674D"/>
    <w:rsid w:val="11BA1DD9"/>
    <w:rsid w:val="11C0723F"/>
    <w:rsid w:val="11C513C6"/>
    <w:rsid w:val="11C82925"/>
    <w:rsid w:val="11CC4692"/>
    <w:rsid w:val="11CD7AC2"/>
    <w:rsid w:val="11CE02E2"/>
    <w:rsid w:val="11D16C2B"/>
    <w:rsid w:val="11D2123E"/>
    <w:rsid w:val="11D30BC8"/>
    <w:rsid w:val="11D31F2B"/>
    <w:rsid w:val="11D40A8A"/>
    <w:rsid w:val="11D603FE"/>
    <w:rsid w:val="11D65080"/>
    <w:rsid w:val="11DB0C82"/>
    <w:rsid w:val="11DC4BE1"/>
    <w:rsid w:val="11DE3E25"/>
    <w:rsid w:val="11DF5960"/>
    <w:rsid w:val="11E17F46"/>
    <w:rsid w:val="11E55F6E"/>
    <w:rsid w:val="11ED04A1"/>
    <w:rsid w:val="11F2705C"/>
    <w:rsid w:val="11F76665"/>
    <w:rsid w:val="11F937D9"/>
    <w:rsid w:val="11FC4EF3"/>
    <w:rsid w:val="12005BE6"/>
    <w:rsid w:val="12040D82"/>
    <w:rsid w:val="12062EBE"/>
    <w:rsid w:val="120732A2"/>
    <w:rsid w:val="120832E7"/>
    <w:rsid w:val="120C0209"/>
    <w:rsid w:val="121079B0"/>
    <w:rsid w:val="121A6B4C"/>
    <w:rsid w:val="121D7177"/>
    <w:rsid w:val="121E178D"/>
    <w:rsid w:val="121E6185"/>
    <w:rsid w:val="121F1955"/>
    <w:rsid w:val="121F3E0E"/>
    <w:rsid w:val="1221036F"/>
    <w:rsid w:val="1223126C"/>
    <w:rsid w:val="12260CF8"/>
    <w:rsid w:val="122741D7"/>
    <w:rsid w:val="122B425A"/>
    <w:rsid w:val="122B4A2E"/>
    <w:rsid w:val="123358FC"/>
    <w:rsid w:val="12345201"/>
    <w:rsid w:val="12367FCB"/>
    <w:rsid w:val="12382C79"/>
    <w:rsid w:val="123A48F3"/>
    <w:rsid w:val="123B0F4E"/>
    <w:rsid w:val="123C7713"/>
    <w:rsid w:val="123D6294"/>
    <w:rsid w:val="12401626"/>
    <w:rsid w:val="12406FD7"/>
    <w:rsid w:val="124433B1"/>
    <w:rsid w:val="124558B4"/>
    <w:rsid w:val="124B7F3C"/>
    <w:rsid w:val="12500840"/>
    <w:rsid w:val="1255140E"/>
    <w:rsid w:val="125923AC"/>
    <w:rsid w:val="125C18C7"/>
    <w:rsid w:val="125C296C"/>
    <w:rsid w:val="125C7FD7"/>
    <w:rsid w:val="125E58F0"/>
    <w:rsid w:val="126129C2"/>
    <w:rsid w:val="12665098"/>
    <w:rsid w:val="12683A12"/>
    <w:rsid w:val="12686187"/>
    <w:rsid w:val="1269496B"/>
    <w:rsid w:val="126C69C0"/>
    <w:rsid w:val="126E3772"/>
    <w:rsid w:val="1270568E"/>
    <w:rsid w:val="12753927"/>
    <w:rsid w:val="12754072"/>
    <w:rsid w:val="12763742"/>
    <w:rsid w:val="12773960"/>
    <w:rsid w:val="127C557C"/>
    <w:rsid w:val="12827695"/>
    <w:rsid w:val="12851EC5"/>
    <w:rsid w:val="12852EEA"/>
    <w:rsid w:val="1286029B"/>
    <w:rsid w:val="1286242B"/>
    <w:rsid w:val="128B1AAC"/>
    <w:rsid w:val="128B4FFF"/>
    <w:rsid w:val="128F5D4B"/>
    <w:rsid w:val="128F7F8B"/>
    <w:rsid w:val="12932802"/>
    <w:rsid w:val="129A4C68"/>
    <w:rsid w:val="129A73A9"/>
    <w:rsid w:val="129E2FE7"/>
    <w:rsid w:val="129F40F1"/>
    <w:rsid w:val="12A2119D"/>
    <w:rsid w:val="12A243F9"/>
    <w:rsid w:val="12A55E02"/>
    <w:rsid w:val="12B10F0A"/>
    <w:rsid w:val="12B448BF"/>
    <w:rsid w:val="12B66906"/>
    <w:rsid w:val="12B7583E"/>
    <w:rsid w:val="12BC54AB"/>
    <w:rsid w:val="12BE22C2"/>
    <w:rsid w:val="12BE56BD"/>
    <w:rsid w:val="12BF44FB"/>
    <w:rsid w:val="12C118C2"/>
    <w:rsid w:val="12C46F99"/>
    <w:rsid w:val="12C47185"/>
    <w:rsid w:val="12C71DE9"/>
    <w:rsid w:val="12D21C25"/>
    <w:rsid w:val="12D5161F"/>
    <w:rsid w:val="12D839F7"/>
    <w:rsid w:val="12DA26B1"/>
    <w:rsid w:val="12DC1972"/>
    <w:rsid w:val="12DC2123"/>
    <w:rsid w:val="12DE5996"/>
    <w:rsid w:val="12E4282D"/>
    <w:rsid w:val="12E5006F"/>
    <w:rsid w:val="12EA0F15"/>
    <w:rsid w:val="12EC70DB"/>
    <w:rsid w:val="12EE485A"/>
    <w:rsid w:val="12F931A9"/>
    <w:rsid w:val="12FB210C"/>
    <w:rsid w:val="12FF4867"/>
    <w:rsid w:val="13010D3C"/>
    <w:rsid w:val="130152C1"/>
    <w:rsid w:val="1302674E"/>
    <w:rsid w:val="130513AD"/>
    <w:rsid w:val="130617B1"/>
    <w:rsid w:val="13062E42"/>
    <w:rsid w:val="130A6064"/>
    <w:rsid w:val="130A60A9"/>
    <w:rsid w:val="130B0A73"/>
    <w:rsid w:val="130B27E0"/>
    <w:rsid w:val="130B6250"/>
    <w:rsid w:val="130E2210"/>
    <w:rsid w:val="131000A1"/>
    <w:rsid w:val="13147075"/>
    <w:rsid w:val="13165CCB"/>
    <w:rsid w:val="13191B44"/>
    <w:rsid w:val="131A7FB2"/>
    <w:rsid w:val="132224FB"/>
    <w:rsid w:val="13226F4E"/>
    <w:rsid w:val="132339DE"/>
    <w:rsid w:val="13237D00"/>
    <w:rsid w:val="13240A0B"/>
    <w:rsid w:val="132867BA"/>
    <w:rsid w:val="133D6627"/>
    <w:rsid w:val="1341028D"/>
    <w:rsid w:val="134118AE"/>
    <w:rsid w:val="13424A2D"/>
    <w:rsid w:val="1343403F"/>
    <w:rsid w:val="13456F4C"/>
    <w:rsid w:val="1346298B"/>
    <w:rsid w:val="13487BC7"/>
    <w:rsid w:val="135414C5"/>
    <w:rsid w:val="13552D67"/>
    <w:rsid w:val="13555633"/>
    <w:rsid w:val="13563DAD"/>
    <w:rsid w:val="13567904"/>
    <w:rsid w:val="135B0551"/>
    <w:rsid w:val="135B5997"/>
    <w:rsid w:val="1360506C"/>
    <w:rsid w:val="13615AD3"/>
    <w:rsid w:val="136373F0"/>
    <w:rsid w:val="13683DAF"/>
    <w:rsid w:val="136B514F"/>
    <w:rsid w:val="136E4917"/>
    <w:rsid w:val="13710699"/>
    <w:rsid w:val="13721448"/>
    <w:rsid w:val="137723E0"/>
    <w:rsid w:val="137D465B"/>
    <w:rsid w:val="137E5A7E"/>
    <w:rsid w:val="1380639A"/>
    <w:rsid w:val="138376BF"/>
    <w:rsid w:val="13856AE5"/>
    <w:rsid w:val="13884241"/>
    <w:rsid w:val="138B3C13"/>
    <w:rsid w:val="138E4DA7"/>
    <w:rsid w:val="13937663"/>
    <w:rsid w:val="1394650B"/>
    <w:rsid w:val="139A7BF0"/>
    <w:rsid w:val="139B7CCB"/>
    <w:rsid w:val="139C6134"/>
    <w:rsid w:val="139E0208"/>
    <w:rsid w:val="139E3766"/>
    <w:rsid w:val="13A079BD"/>
    <w:rsid w:val="13A47323"/>
    <w:rsid w:val="13A715BF"/>
    <w:rsid w:val="13A9398F"/>
    <w:rsid w:val="13AE1A0E"/>
    <w:rsid w:val="13AF056F"/>
    <w:rsid w:val="13B01E32"/>
    <w:rsid w:val="13B0647F"/>
    <w:rsid w:val="13B14567"/>
    <w:rsid w:val="13B23977"/>
    <w:rsid w:val="13B30D50"/>
    <w:rsid w:val="13B6418A"/>
    <w:rsid w:val="13BD4CFD"/>
    <w:rsid w:val="13BF01F0"/>
    <w:rsid w:val="13C43CBF"/>
    <w:rsid w:val="13C44C6D"/>
    <w:rsid w:val="13C57DF3"/>
    <w:rsid w:val="13C734D6"/>
    <w:rsid w:val="13C8086B"/>
    <w:rsid w:val="13C875D6"/>
    <w:rsid w:val="13CC66E1"/>
    <w:rsid w:val="13CD0ADC"/>
    <w:rsid w:val="13CE4254"/>
    <w:rsid w:val="13CF3DBE"/>
    <w:rsid w:val="13DD5884"/>
    <w:rsid w:val="13DD698E"/>
    <w:rsid w:val="13DE609A"/>
    <w:rsid w:val="13E50C9A"/>
    <w:rsid w:val="13E83D5C"/>
    <w:rsid w:val="13E84101"/>
    <w:rsid w:val="13EF54D1"/>
    <w:rsid w:val="13F44E4F"/>
    <w:rsid w:val="13F75831"/>
    <w:rsid w:val="13F96701"/>
    <w:rsid w:val="13FA460B"/>
    <w:rsid w:val="140131F4"/>
    <w:rsid w:val="140133A1"/>
    <w:rsid w:val="14017124"/>
    <w:rsid w:val="140608C5"/>
    <w:rsid w:val="14061F25"/>
    <w:rsid w:val="14072C98"/>
    <w:rsid w:val="140A24FB"/>
    <w:rsid w:val="140A7638"/>
    <w:rsid w:val="140D23D3"/>
    <w:rsid w:val="140D321C"/>
    <w:rsid w:val="140E4B5D"/>
    <w:rsid w:val="14112315"/>
    <w:rsid w:val="1411521B"/>
    <w:rsid w:val="14127159"/>
    <w:rsid w:val="14130381"/>
    <w:rsid w:val="141472E9"/>
    <w:rsid w:val="14186DDA"/>
    <w:rsid w:val="141F5703"/>
    <w:rsid w:val="141F595F"/>
    <w:rsid w:val="14203FED"/>
    <w:rsid w:val="142340BD"/>
    <w:rsid w:val="142741A0"/>
    <w:rsid w:val="142C1EE4"/>
    <w:rsid w:val="142C3433"/>
    <w:rsid w:val="142D7D90"/>
    <w:rsid w:val="142E05E9"/>
    <w:rsid w:val="142E35E2"/>
    <w:rsid w:val="1431123A"/>
    <w:rsid w:val="143316F4"/>
    <w:rsid w:val="14345F49"/>
    <w:rsid w:val="14352AF0"/>
    <w:rsid w:val="143646A8"/>
    <w:rsid w:val="14381896"/>
    <w:rsid w:val="143D488E"/>
    <w:rsid w:val="1441169E"/>
    <w:rsid w:val="14432035"/>
    <w:rsid w:val="14433307"/>
    <w:rsid w:val="14435074"/>
    <w:rsid w:val="1444190A"/>
    <w:rsid w:val="14493AFF"/>
    <w:rsid w:val="14517B47"/>
    <w:rsid w:val="145365CE"/>
    <w:rsid w:val="14542064"/>
    <w:rsid w:val="14546740"/>
    <w:rsid w:val="145F3F63"/>
    <w:rsid w:val="14623991"/>
    <w:rsid w:val="146270F7"/>
    <w:rsid w:val="1463126A"/>
    <w:rsid w:val="14695CBF"/>
    <w:rsid w:val="14696214"/>
    <w:rsid w:val="146A0254"/>
    <w:rsid w:val="146B71CA"/>
    <w:rsid w:val="146E4624"/>
    <w:rsid w:val="14756795"/>
    <w:rsid w:val="1478525D"/>
    <w:rsid w:val="147C272B"/>
    <w:rsid w:val="147D4FFB"/>
    <w:rsid w:val="147F55F2"/>
    <w:rsid w:val="14813092"/>
    <w:rsid w:val="148649BA"/>
    <w:rsid w:val="148C11D4"/>
    <w:rsid w:val="148C2650"/>
    <w:rsid w:val="148F2A0B"/>
    <w:rsid w:val="14904E66"/>
    <w:rsid w:val="14922618"/>
    <w:rsid w:val="14926507"/>
    <w:rsid w:val="149647D7"/>
    <w:rsid w:val="14971C2E"/>
    <w:rsid w:val="149B7B55"/>
    <w:rsid w:val="149C011E"/>
    <w:rsid w:val="149E5053"/>
    <w:rsid w:val="149F179E"/>
    <w:rsid w:val="14A14F26"/>
    <w:rsid w:val="14A351A6"/>
    <w:rsid w:val="14AB1989"/>
    <w:rsid w:val="14AF2B50"/>
    <w:rsid w:val="14B15F56"/>
    <w:rsid w:val="14B32029"/>
    <w:rsid w:val="14B801EF"/>
    <w:rsid w:val="14B95C8D"/>
    <w:rsid w:val="14BA1F6B"/>
    <w:rsid w:val="14BA3269"/>
    <w:rsid w:val="14BE57FC"/>
    <w:rsid w:val="14BF5874"/>
    <w:rsid w:val="14C15A7E"/>
    <w:rsid w:val="14C35CF5"/>
    <w:rsid w:val="14C978A6"/>
    <w:rsid w:val="14CA42B2"/>
    <w:rsid w:val="14CC211D"/>
    <w:rsid w:val="14CF286D"/>
    <w:rsid w:val="14D0012C"/>
    <w:rsid w:val="14D2682F"/>
    <w:rsid w:val="14D82F83"/>
    <w:rsid w:val="14D877A5"/>
    <w:rsid w:val="14D955E8"/>
    <w:rsid w:val="14DB0312"/>
    <w:rsid w:val="14DC2454"/>
    <w:rsid w:val="14DD7F37"/>
    <w:rsid w:val="14E32BE3"/>
    <w:rsid w:val="14E51BBA"/>
    <w:rsid w:val="14E95114"/>
    <w:rsid w:val="14ED464E"/>
    <w:rsid w:val="14ED6FE9"/>
    <w:rsid w:val="14EE24DA"/>
    <w:rsid w:val="14EF6A83"/>
    <w:rsid w:val="14F17BC9"/>
    <w:rsid w:val="14F64881"/>
    <w:rsid w:val="14F70942"/>
    <w:rsid w:val="14F83400"/>
    <w:rsid w:val="14FA1E42"/>
    <w:rsid w:val="14FA4557"/>
    <w:rsid w:val="14FB2312"/>
    <w:rsid w:val="14FC4C15"/>
    <w:rsid w:val="14FD5B09"/>
    <w:rsid w:val="15010527"/>
    <w:rsid w:val="15015B41"/>
    <w:rsid w:val="150268BC"/>
    <w:rsid w:val="15051099"/>
    <w:rsid w:val="150753B8"/>
    <w:rsid w:val="150C6A0A"/>
    <w:rsid w:val="150E48C1"/>
    <w:rsid w:val="15117197"/>
    <w:rsid w:val="15135FD5"/>
    <w:rsid w:val="151A0D2B"/>
    <w:rsid w:val="151A74B4"/>
    <w:rsid w:val="151B605E"/>
    <w:rsid w:val="151F5A5E"/>
    <w:rsid w:val="15203431"/>
    <w:rsid w:val="1522756A"/>
    <w:rsid w:val="15227B98"/>
    <w:rsid w:val="152655B1"/>
    <w:rsid w:val="152715AA"/>
    <w:rsid w:val="15284AD6"/>
    <w:rsid w:val="15285E42"/>
    <w:rsid w:val="152E348C"/>
    <w:rsid w:val="15301749"/>
    <w:rsid w:val="15347AAA"/>
    <w:rsid w:val="15363948"/>
    <w:rsid w:val="15371D84"/>
    <w:rsid w:val="15374C90"/>
    <w:rsid w:val="15381FBA"/>
    <w:rsid w:val="15387E2A"/>
    <w:rsid w:val="153A20AB"/>
    <w:rsid w:val="153A7381"/>
    <w:rsid w:val="153B0C5A"/>
    <w:rsid w:val="153F068D"/>
    <w:rsid w:val="15483D48"/>
    <w:rsid w:val="15487AFB"/>
    <w:rsid w:val="154A02E0"/>
    <w:rsid w:val="1550622B"/>
    <w:rsid w:val="1552668C"/>
    <w:rsid w:val="155A2583"/>
    <w:rsid w:val="155B1875"/>
    <w:rsid w:val="155C1A56"/>
    <w:rsid w:val="155C53BA"/>
    <w:rsid w:val="155D228E"/>
    <w:rsid w:val="15621661"/>
    <w:rsid w:val="15622D23"/>
    <w:rsid w:val="15626D49"/>
    <w:rsid w:val="156372AC"/>
    <w:rsid w:val="15665E58"/>
    <w:rsid w:val="1568454B"/>
    <w:rsid w:val="156E198E"/>
    <w:rsid w:val="156F29B6"/>
    <w:rsid w:val="156F4E0F"/>
    <w:rsid w:val="15756388"/>
    <w:rsid w:val="15783F19"/>
    <w:rsid w:val="157950A9"/>
    <w:rsid w:val="157B794F"/>
    <w:rsid w:val="157C287D"/>
    <w:rsid w:val="157C2FFC"/>
    <w:rsid w:val="157E49DD"/>
    <w:rsid w:val="15820C4A"/>
    <w:rsid w:val="15842B14"/>
    <w:rsid w:val="1585010C"/>
    <w:rsid w:val="158801A5"/>
    <w:rsid w:val="15882CBC"/>
    <w:rsid w:val="158B3C70"/>
    <w:rsid w:val="158C6314"/>
    <w:rsid w:val="158D057E"/>
    <w:rsid w:val="158D422C"/>
    <w:rsid w:val="1590174A"/>
    <w:rsid w:val="15917A25"/>
    <w:rsid w:val="159242BA"/>
    <w:rsid w:val="15947001"/>
    <w:rsid w:val="15965E19"/>
    <w:rsid w:val="159927DE"/>
    <w:rsid w:val="159B0430"/>
    <w:rsid w:val="159C3748"/>
    <w:rsid w:val="15A33948"/>
    <w:rsid w:val="15A5056B"/>
    <w:rsid w:val="15A72264"/>
    <w:rsid w:val="15A925A6"/>
    <w:rsid w:val="15AB47A5"/>
    <w:rsid w:val="15AD1950"/>
    <w:rsid w:val="15AE3862"/>
    <w:rsid w:val="15B20202"/>
    <w:rsid w:val="15B31005"/>
    <w:rsid w:val="15B47DD2"/>
    <w:rsid w:val="15B63792"/>
    <w:rsid w:val="15B66606"/>
    <w:rsid w:val="15B85348"/>
    <w:rsid w:val="15B87ECF"/>
    <w:rsid w:val="15B91E83"/>
    <w:rsid w:val="15BA1C04"/>
    <w:rsid w:val="15BF29C1"/>
    <w:rsid w:val="15C00173"/>
    <w:rsid w:val="15C10F74"/>
    <w:rsid w:val="15C446D3"/>
    <w:rsid w:val="15C832A4"/>
    <w:rsid w:val="15CE612C"/>
    <w:rsid w:val="15D171CD"/>
    <w:rsid w:val="15D36E9F"/>
    <w:rsid w:val="15D557E8"/>
    <w:rsid w:val="15D67329"/>
    <w:rsid w:val="15D879FB"/>
    <w:rsid w:val="15DC08ED"/>
    <w:rsid w:val="15DD398E"/>
    <w:rsid w:val="15DE04AE"/>
    <w:rsid w:val="15E24F2A"/>
    <w:rsid w:val="15E27FB6"/>
    <w:rsid w:val="15E802A9"/>
    <w:rsid w:val="15EA042A"/>
    <w:rsid w:val="15EA3B19"/>
    <w:rsid w:val="15EB4347"/>
    <w:rsid w:val="15EB5E83"/>
    <w:rsid w:val="15F10400"/>
    <w:rsid w:val="15F2655D"/>
    <w:rsid w:val="15F2688D"/>
    <w:rsid w:val="15F37130"/>
    <w:rsid w:val="15F44895"/>
    <w:rsid w:val="15F555B1"/>
    <w:rsid w:val="15F9189B"/>
    <w:rsid w:val="15F97B2D"/>
    <w:rsid w:val="160106C9"/>
    <w:rsid w:val="16021CCF"/>
    <w:rsid w:val="16062B46"/>
    <w:rsid w:val="160B42C7"/>
    <w:rsid w:val="160F3EE0"/>
    <w:rsid w:val="160F6CB2"/>
    <w:rsid w:val="16121A8E"/>
    <w:rsid w:val="16136869"/>
    <w:rsid w:val="16175510"/>
    <w:rsid w:val="161821C4"/>
    <w:rsid w:val="1618419F"/>
    <w:rsid w:val="16184DFC"/>
    <w:rsid w:val="161A450A"/>
    <w:rsid w:val="161B725D"/>
    <w:rsid w:val="161F3B88"/>
    <w:rsid w:val="161F6226"/>
    <w:rsid w:val="162365F7"/>
    <w:rsid w:val="162572CB"/>
    <w:rsid w:val="16265E4F"/>
    <w:rsid w:val="162867DC"/>
    <w:rsid w:val="163069CD"/>
    <w:rsid w:val="16345B6B"/>
    <w:rsid w:val="1634658C"/>
    <w:rsid w:val="16372FB3"/>
    <w:rsid w:val="16396008"/>
    <w:rsid w:val="163A34AB"/>
    <w:rsid w:val="163A62F1"/>
    <w:rsid w:val="163B5300"/>
    <w:rsid w:val="163D5524"/>
    <w:rsid w:val="163E337B"/>
    <w:rsid w:val="16400FD8"/>
    <w:rsid w:val="16417B6E"/>
    <w:rsid w:val="16436B43"/>
    <w:rsid w:val="16467AFC"/>
    <w:rsid w:val="16475C2B"/>
    <w:rsid w:val="164A390D"/>
    <w:rsid w:val="165018A4"/>
    <w:rsid w:val="16505C02"/>
    <w:rsid w:val="16506BA1"/>
    <w:rsid w:val="16550E71"/>
    <w:rsid w:val="165A76B4"/>
    <w:rsid w:val="165C51B8"/>
    <w:rsid w:val="165D1327"/>
    <w:rsid w:val="165E1C4A"/>
    <w:rsid w:val="16677569"/>
    <w:rsid w:val="16692011"/>
    <w:rsid w:val="16693DDE"/>
    <w:rsid w:val="166B5873"/>
    <w:rsid w:val="166D6432"/>
    <w:rsid w:val="16717290"/>
    <w:rsid w:val="16733A9C"/>
    <w:rsid w:val="167547CA"/>
    <w:rsid w:val="16766911"/>
    <w:rsid w:val="16784FCE"/>
    <w:rsid w:val="16785B0E"/>
    <w:rsid w:val="167C0110"/>
    <w:rsid w:val="167D0261"/>
    <w:rsid w:val="168301D5"/>
    <w:rsid w:val="16846935"/>
    <w:rsid w:val="168A18CF"/>
    <w:rsid w:val="168A640C"/>
    <w:rsid w:val="168B1DF7"/>
    <w:rsid w:val="168B5F54"/>
    <w:rsid w:val="16974F25"/>
    <w:rsid w:val="169857F4"/>
    <w:rsid w:val="16997F27"/>
    <w:rsid w:val="169B62C6"/>
    <w:rsid w:val="169C3CD4"/>
    <w:rsid w:val="16A13986"/>
    <w:rsid w:val="16A60D3C"/>
    <w:rsid w:val="16A719BC"/>
    <w:rsid w:val="16A71ED1"/>
    <w:rsid w:val="16A9527E"/>
    <w:rsid w:val="16A96FB6"/>
    <w:rsid w:val="16AD1069"/>
    <w:rsid w:val="16AF730F"/>
    <w:rsid w:val="16B32970"/>
    <w:rsid w:val="16B36D4D"/>
    <w:rsid w:val="16B54D41"/>
    <w:rsid w:val="16B65F24"/>
    <w:rsid w:val="16B70A10"/>
    <w:rsid w:val="16B81497"/>
    <w:rsid w:val="16B935BD"/>
    <w:rsid w:val="16BE59E1"/>
    <w:rsid w:val="16BE5BF1"/>
    <w:rsid w:val="16C8423A"/>
    <w:rsid w:val="16CA45CE"/>
    <w:rsid w:val="16CA4821"/>
    <w:rsid w:val="16CB1E6E"/>
    <w:rsid w:val="16CB5814"/>
    <w:rsid w:val="16CC277F"/>
    <w:rsid w:val="16CC7181"/>
    <w:rsid w:val="16CD5DA0"/>
    <w:rsid w:val="16CF5685"/>
    <w:rsid w:val="16CF6A1A"/>
    <w:rsid w:val="16D04A34"/>
    <w:rsid w:val="16D125D7"/>
    <w:rsid w:val="16E1645E"/>
    <w:rsid w:val="16E41B0C"/>
    <w:rsid w:val="16E74267"/>
    <w:rsid w:val="16E75693"/>
    <w:rsid w:val="16E81915"/>
    <w:rsid w:val="16E9701D"/>
    <w:rsid w:val="16EB42CF"/>
    <w:rsid w:val="16EC7557"/>
    <w:rsid w:val="16EE68FD"/>
    <w:rsid w:val="16EF07BC"/>
    <w:rsid w:val="16F3013A"/>
    <w:rsid w:val="16F32D37"/>
    <w:rsid w:val="16F70093"/>
    <w:rsid w:val="16F73369"/>
    <w:rsid w:val="16FA5866"/>
    <w:rsid w:val="16FB43BF"/>
    <w:rsid w:val="16FC0247"/>
    <w:rsid w:val="16FE7FE2"/>
    <w:rsid w:val="16FF0B97"/>
    <w:rsid w:val="17032AB0"/>
    <w:rsid w:val="17056034"/>
    <w:rsid w:val="170B7D46"/>
    <w:rsid w:val="170C162E"/>
    <w:rsid w:val="170C6F0F"/>
    <w:rsid w:val="17111342"/>
    <w:rsid w:val="17150049"/>
    <w:rsid w:val="171814F1"/>
    <w:rsid w:val="171D7D93"/>
    <w:rsid w:val="17214F89"/>
    <w:rsid w:val="17220376"/>
    <w:rsid w:val="17224B66"/>
    <w:rsid w:val="172333C1"/>
    <w:rsid w:val="172703AA"/>
    <w:rsid w:val="172B0E12"/>
    <w:rsid w:val="17313408"/>
    <w:rsid w:val="1734702E"/>
    <w:rsid w:val="17363A4C"/>
    <w:rsid w:val="17394B45"/>
    <w:rsid w:val="173D0F28"/>
    <w:rsid w:val="174001C6"/>
    <w:rsid w:val="174247F8"/>
    <w:rsid w:val="1749627C"/>
    <w:rsid w:val="174A2979"/>
    <w:rsid w:val="175005C5"/>
    <w:rsid w:val="1752433D"/>
    <w:rsid w:val="1752743F"/>
    <w:rsid w:val="17533D49"/>
    <w:rsid w:val="175353C7"/>
    <w:rsid w:val="175463BB"/>
    <w:rsid w:val="17546A61"/>
    <w:rsid w:val="17580973"/>
    <w:rsid w:val="175B50AE"/>
    <w:rsid w:val="175C692B"/>
    <w:rsid w:val="175F17AC"/>
    <w:rsid w:val="17602EFE"/>
    <w:rsid w:val="17645EA2"/>
    <w:rsid w:val="176C2904"/>
    <w:rsid w:val="176C62D5"/>
    <w:rsid w:val="176D7C2A"/>
    <w:rsid w:val="17707BBF"/>
    <w:rsid w:val="17723C77"/>
    <w:rsid w:val="17731703"/>
    <w:rsid w:val="17746E2A"/>
    <w:rsid w:val="17787115"/>
    <w:rsid w:val="177B2BB7"/>
    <w:rsid w:val="177B3EF6"/>
    <w:rsid w:val="17834F82"/>
    <w:rsid w:val="17885646"/>
    <w:rsid w:val="178944FD"/>
    <w:rsid w:val="178F7A55"/>
    <w:rsid w:val="179304E7"/>
    <w:rsid w:val="17940276"/>
    <w:rsid w:val="17945909"/>
    <w:rsid w:val="179629E2"/>
    <w:rsid w:val="179B0E8E"/>
    <w:rsid w:val="179B5E47"/>
    <w:rsid w:val="17A07312"/>
    <w:rsid w:val="17A32A46"/>
    <w:rsid w:val="17A61DD4"/>
    <w:rsid w:val="17A750EB"/>
    <w:rsid w:val="17A80555"/>
    <w:rsid w:val="17AA3629"/>
    <w:rsid w:val="17AB707B"/>
    <w:rsid w:val="17AC413D"/>
    <w:rsid w:val="17AD2824"/>
    <w:rsid w:val="17AD57B0"/>
    <w:rsid w:val="17AE1FE1"/>
    <w:rsid w:val="17AE4F2B"/>
    <w:rsid w:val="17AF57C6"/>
    <w:rsid w:val="17AF781A"/>
    <w:rsid w:val="17AF79E2"/>
    <w:rsid w:val="17B13DCE"/>
    <w:rsid w:val="17B27026"/>
    <w:rsid w:val="17C041B0"/>
    <w:rsid w:val="17C3337D"/>
    <w:rsid w:val="17C604E5"/>
    <w:rsid w:val="17C85F3A"/>
    <w:rsid w:val="17D13499"/>
    <w:rsid w:val="17D20B5F"/>
    <w:rsid w:val="17D640E4"/>
    <w:rsid w:val="17DD553F"/>
    <w:rsid w:val="17DE5B0A"/>
    <w:rsid w:val="17E627A3"/>
    <w:rsid w:val="17E7416E"/>
    <w:rsid w:val="17EC4792"/>
    <w:rsid w:val="17F22D41"/>
    <w:rsid w:val="17F3249E"/>
    <w:rsid w:val="17F50FF9"/>
    <w:rsid w:val="17F77C53"/>
    <w:rsid w:val="17F84637"/>
    <w:rsid w:val="17FC764D"/>
    <w:rsid w:val="17FE7DB3"/>
    <w:rsid w:val="1800023D"/>
    <w:rsid w:val="18014A83"/>
    <w:rsid w:val="18050738"/>
    <w:rsid w:val="1805210D"/>
    <w:rsid w:val="1805577E"/>
    <w:rsid w:val="180E64B6"/>
    <w:rsid w:val="180F5437"/>
    <w:rsid w:val="180F5DD7"/>
    <w:rsid w:val="18113F7F"/>
    <w:rsid w:val="181451A4"/>
    <w:rsid w:val="181575FF"/>
    <w:rsid w:val="181A4155"/>
    <w:rsid w:val="18206F03"/>
    <w:rsid w:val="182232B1"/>
    <w:rsid w:val="18237F83"/>
    <w:rsid w:val="18242AC3"/>
    <w:rsid w:val="1826335F"/>
    <w:rsid w:val="182E440C"/>
    <w:rsid w:val="18316EB6"/>
    <w:rsid w:val="18362F57"/>
    <w:rsid w:val="1837201D"/>
    <w:rsid w:val="183A3A48"/>
    <w:rsid w:val="183D49EE"/>
    <w:rsid w:val="183F4446"/>
    <w:rsid w:val="183F5912"/>
    <w:rsid w:val="184876E5"/>
    <w:rsid w:val="184969C5"/>
    <w:rsid w:val="184A3423"/>
    <w:rsid w:val="18514738"/>
    <w:rsid w:val="18531B14"/>
    <w:rsid w:val="18534A25"/>
    <w:rsid w:val="18537302"/>
    <w:rsid w:val="18540DF6"/>
    <w:rsid w:val="18572BB1"/>
    <w:rsid w:val="1859174A"/>
    <w:rsid w:val="185A1CC5"/>
    <w:rsid w:val="185A28FB"/>
    <w:rsid w:val="185C643C"/>
    <w:rsid w:val="185D5773"/>
    <w:rsid w:val="18637B91"/>
    <w:rsid w:val="186B56B7"/>
    <w:rsid w:val="186C7366"/>
    <w:rsid w:val="186F5A62"/>
    <w:rsid w:val="18700F1F"/>
    <w:rsid w:val="18730A0F"/>
    <w:rsid w:val="18731B82"/>
    <w:rsid w:val="18731FB0"/>
    <w:rsid w:val="18760463"/>
    <w:rsid w:val="187C3B59"/>
    <w:rsid w:val="187C6979"/>
    <w:rsid w:val="187F35D3"/>
    <w:rsid w:val="187F46C3"/>
    <w:rsid w:val="187F6C01"/>
    <w:rsid w:val="188268EF"/>
    <w:rsid w:val="188428B3"/>
    <w:rsid w:val="1884727F"/>
    <w:rsid w:val="188474B4"/>
    <w:rsid w:val="18887947"/>
    <w:rsid w:val="18894571"/>
    <w:rsid w:val="188C7801"/>
    <w:rsid w:val="188D2271"/>
    <w:rsid w:val="188E0BE0"/>
    <w:rsid w:val="188E1A98"/>
    <w:rsid w:val="189126C4"/>
    <w:rsid w:val="189158AE"/>
    <w:rsid w:val="1895042F"/>
    <w:rsid w:val="189704A2"/>
    <w:rsid w:val="189A5906"/>
    <w:rsid w:val="189B6BD6"/>
    <w:rsid w:val="18A216BF"/>
    <w:rsid w:val="18A37182"/>
    <w:rsid w:val="18A62C96"/>
    <w:rsid w:val="18A84204"/>
    <w:rsid w:val="18A8502F"/>
    <w:rsid w:val="18A961E5"/>
    <w:rsid w:val="18B13610"/>
    <w:rsid w:val="18B6474B"/>
    <w:rsid w:val="18B9353C"/>
    <w:rsid w:val="18BA4EFB"/>
    <w:rsid w:val="18C05425"/>
    <w:rsid w:val="18C274EA"/>
    <w:rsid w:val="18C56F2D"/>
    <w:rsid w:val="18C63A78"/>
    <w:rsid w:val="18C7447E"/>
    <w:rsid w:val="18C85B44"/>
    <w:rsid w:val="18CB5983"/>
    <w:rsid w:val="18CD06AB"/>
    <w:rsid w:val="18CD1F2C"/>
    <w:rsid w:val="18CF420F"/>
    <w:rsid w:val="18D61828"/>
    <w:rsid w:val="18D822AF"/>
    <w:rsid w:val="18DA283C"/>
    <w:rsid w:val="18DB0CDB"/>
    <w:rsid w:val="18DB100E"/>
    <w:rsid w:val="18DC4807"/>
    <w:rsid w:val="18DF425A"/>
    <w:rsid w:val="18E1542F"/>
    <w:rsid w:val="18E549FD"/>
    <w:rsid w:val="18EF0837"/>
    <w:rsid w:val="18F172BE"/>
    <w:rsid w:val="18FA6A25"/>
    <w:rsid w:val="18FB5D94"/>
    <w:rsid w:val="19036F13"/>
    <w:rsid w:val="1904279F"/>
    <w:rsid w:val="190C243E"/>
    <w:rsid w:val="190C498D"/>
    <w:rsid w:val="190F0DC7"/>
    <w:rsid w:val="19107D49"/>
    <w:rsid w:val="19182722"/>
    <w:rsid w:val="19190915"/>
    <w:rsid w:val="191D6A2C"/>
    <w:rsid w:val="191D74DE"/>
    <w:rsid w:val="192025B8"/>
    <w:rsid w:val="19227FA8"/>
    <w:rsid w:val="19280F28"/>
    <w:rsid w:val="192D22C0"/>
    <w:rsid w:val="193C3B41"/>
    <w:rsid w:val="1941261B"/>
    <w:rsid w:val="19412CBA"/>
    <w:rsid w:val="1941466A"/>
    <w:rsid w:val="19434E5F"/>
    <w:rsid w:val="19472523"/>
    <w:rsid w:val="19477B7F"/>
    <w:rsid w:val="194A2F59"/>
    <w:rsid w:val="194B4466"/>
    <w:rsid w:val="194C3497"/>
    <w:rsid w:val="194F7B99"/>
    <w:rsid w:val="195142F2"/>
    <w:rsid w:val="195D455C"/>
    <w:rsid w:val="195E6FCA"/>
    <w:rsid w:val="1960232D"/>
    <w:rsid w:val="19642AE1"/>
    <w:rsid w:val="196506A8"/>
    <w:rsid w:val="196A361C"/>
    <w:rsid w:val="196D5F07"/>
    <w:rsid w:val="19745B59"/>
    <w:rsid w:val="19782A35"/>
    <w:rsid w:val="19792055"/>
    <w:rsid w:val="197B56EC"/>
    <w:rsid w:val="197E3584"/>
    <w:rsid w:val="197F2235"/>
    <w:rsid w:val="198010E3"/>
    <w:rsid w:val="1987691A"/>
    <w:rsid w:val="198B5606"/>
    <w:rsid w:val="198B618E"/>
    <w:rsid w:val="198F4C8C"/>
    <w:rsid w:val="199209CD"/>
    <w:rsid w:val="199243FB"/>
    <w:rsid w:val="199332F0"/>
    <w:rsid w:val="19962D4F"/>
    <w:rsid w:val="199873FA"/>
    <w:rsid w:val="199B08D0"/>
    <w:rsid w:val="19A20060"/>
    <w:rsid w:val="19A85E4E"/>
    <w:rsid w:val="19AA0461"/>
    <w:rsid w:val="19AC07A4"/>
    <w:rsid w:val="19AD40D0"/>
    <w:rsid w:val="19AD4CCB"/>
    <w:rsid w:val="19B03763"/>
    <w:rsid w:val="19B13B97"/>
    <w:rsid w:val="19B1709F"/>
    <w:rsid w:val="19B260B8"/>
    <w:rsid w:val="19B87771"/>
    <w:rsid w:val="19BE68EB"/>
    <w:rsid w:val="19C257AA"/>
    <w:rsid w:val="19C32CEE"/>
    <w:rsid w:val="19C649A6"/>
    <w:rsid w:val="19C84FE9"/>
    <w:rsid w:val="19CB3E43"/>
    <w:rsid w:val="19CB5CF7"/>
    <w:rsid w:val="19CC12DD"/>
    <w:rsid w:val="19CC39F1"/>
    <w:rsid w:val="19CF1734"/>
    <w:rsid w:val="19CF31E2"/>
    <w:rsid w:val="19D92F4C"/>
    <w:rsid w:val="19D9503C"/>
    <w:rsid w:val="19DF6B35"/>
    <w:rsid w:val="19E1758C"/>
    <w:rsid w:val="19E62F6C"/>
    <w:rsid w:val="19E80F89"/>
    <w:rsid w:val="19EB6108"/>
    <w:rsid w:val="19ED27A9"/>
    <w:rsid w:val="19EE4158"/>
    <w:rsid w:val="19EF19B2"/>
    <w:rsid w:val="19F11B17"/>
    <w:rsid w:val="19F92667"/>
    <w:rsid w:val="19F95FC3"/>
    <w:rsid w:val="19FE459A"/>
    <w:rsid w:val="1A011588"/>
    <w:rsid w:val="1A03266A"/>
    <w:rsid w:val="1A08407F"/>
    <w:rsid w:val="1A085294"/>
    <w:rsid w:val="1A0A45F5"/>
    <w:rsid w:val="1A0C2ED8"/>
    <w:rsid w:val="1A0C4397"/>
    <w:rsid w:val="1A0F35D7"/>
    <w:rsid w:val="1A0F45C5"/>
    <w:rsid w:val="1A116F39"/>
    <w:rsid w:val="1A1252A8"/>
    <w:rsid w:val="1A133A77"/>
    <w:rsid w:val="1A147FD0"/>
    <w:rsid w:val="1A151B41"/>
    <w:rsid w:val="1A1617C3"/>
    <w:rsid w:val="1A1D5D8E"/>
    <w:rsid w:val="1A203FA9"/>
    <w:rsid w:val="1A2671B2"/>
    <w:rsid w:val="1A272A4E"/>
    <w:rsid w:val="1A2B3FAB"/>
    <w:rsid w:val="1A2B7629"/>
    <w:rsid w:val="1A3011B8"/>
    <w:rsid w:val="1A3159F2"/>
    <w:rsid w:val="1A345330"/>
    <w:rsid w:val="1A35241E"/>
    <w:rsid w:val="1A3640CA"/>
    <w:rsid w:val="1A365BAA"/>
    <w:rsid w:val="1A3957D2"/>
    <w:rsid w:val="1A3B5A89"/>
    <w:rsid w:val="1A3C07C3"/>
    <w:rsid w:val="1A416A1B"/>
    <w:rsid w:val="1A4227C9"/>
    <w:rsid w:val="1A4547AD"/>
    <w:rsid w:val="1A455BB5"/>
    <w:rsid w:val="1A4570E3"/>
    <w:rsid w:val="1A4872A0"/>
    <w:rsid w:val="1A494C83"/>
    <w:rsid w:val="1A4C44FB"/>
    <w:rsid w:val="1A4C7BEB"/>
    <w:rsid w:val="1A4D0A5A"/>
    <w:rsid w:val="1A51652A"/>
    <w:rsid w:val="1A521ABE"/>
    <w:rsid w:val="1A532EBE"/>
    <w:rsid w:val="1A5B6575"/>
    <w:rsid w:val="1A637C73"/>
    <w:rsid w:val="1A640790"/>
    <w:rsid w:val="1A663942"/>
    <w:rsid w:val="1A6731D9"/>
    <w:rsid w:val="1A674960"/>
    <w:rsid w:val="1A6A1D44"/>
    <w:rsid w:val="1A6E2C42"/>
    <w:rsid w:val="1A6E6AD7"/>
    <w:rsid w:val="1A702D22"/>
    <w:rsid w:val="1A706CBA"/>
    <w:rsid w:val="1A710F7F"/>
    <w:rsid w:val="1A725422"/>
    <w:rsid w:val="1A736F93"/>
    <w:rsid w:val="1A7E033F"/>
    <w:rsid w:val="1A837666"/>
    <w:rsid w:val="1A8769F4"/>
    <w:rsid w:val="1A886E97"/>
    <w:rsid w:val="1A8D3F6D"/>
    <w:rsid w:val="1A8F1F29"/>
    <w:rsid w:val="1A917094"/>
    <w:rsid w:val="1A924A27"/>
    <w:rsid w:val="1A983C93"/>
    <w:rsid w:val="1AA05082"/>
    <w:rsid w:val="1AA22B74"/>
    <w:rsid w:val="1AA75912"/>
    <w:rsid w:val="1AA87272"/>
    <w:rsid w:val="1AAA5A86"/>
    <w:rsid w:val="1AAC7502"/>
    <w:rsid w:val="1AAF7964"/>
    <w:rsid w:val="1AB1366B"/>
    <w:rsid w:val="1AB33A59"/>
    <w:rsid w:val="1AB36B46"/>
    <w:rsid w:val="1AB57EF3"/>
    <w:rsid w:val="1AB735E1"/>
    <w:rsid w:val="1AB83020"/>
    <w:rsid w:val="1AB94576"/>
    <w:rsid w:val="1AC41664"/>
    <w:rsid w:val="1AC60DAC"/>
    <w:rsid w:val="1AC6664B"/>
    <w:rsid w:val="1AC74A95"/>
    <w:rsid w:val="1ACC4055"/>
    <w:rsid w:val="1ACC7820"/>
    <w:rsid w:val="1AD07D4D"/>
    <w:rsid w:val="1AD50082"/>
    <w:rsid w:val="1AD80EAE"/>
    <w:rsid w:val="1AD876AF"/>
    <w:rsid w:val="1ADB455F"/>
    <w:rsid w:val="1AE4782A"/>
    <w:rsid w:val="1AE6272E"/>
    <w:rsid w:val="1AE7212C"/>
    <w:rsid w:val="1AEA7D53"/>
    <w:rsid w:val="1AEB2ADF"/>
    <w:rsid w:val="1AED2FF5"/>
    <w:rsid w:val="1AEE29A9"/>
    <w:rsid w:val="1AF27FC9"/>
    <w:rsid w:val="1AF53561"/>
    <w:rsid w:val="1AF542CF"/>
    <w:rsid w:val="1AFF0167"/>
    <w:rsid w:val="1B001A24"/>
    <w:rsid w:val="1B037F44"/>
    <w:rsid w:val="1B0533CE"/>
    <w:rsid w:val="1B053723"/>
    <w:rsid w:val="1B0A3460"/>
    <w:rsid w:val="1B0C1338"/>
    <w:rsid w:val="1B0D5C2A"/>
    <w:rsid w:val="1B101FB6"/>
    <w:rsid w:val="1B123E8E"/>
    <w:rsid w:val="1B124AE9"/>
    <w:rsid w:val="1B1564E5"/>
    <w:rsid w:val="1B16198A"/>
    <w:rsid w:val="1B1712B5"/>
    <w:rsid w:val="1B177C3F"/>
    <w:rsid w:val="1B2204EF"/>
    <w:rsid w:val="1B2304CB"/>
    <w:rsid w:val="1B236390"/>
    <w:rsid w:val="1B2403A8"/>
    <w:rsid w:val="1B263E19"/>
    <w:rsid w:val="1B271067"/>
    <w:rsid w:val="1B2A329C"/>
    <w:rsid w:val="1B2B3A18"/>
    <w:rsid w:val="1B2B47AB"/>
    <w:rsid w:val="1B2D1349"/>
    <w:rsid w:val="1B2D1B15"/>
    <w:rsid w:val="1B2D35DC"/>
    <w:rsid w:val="1B334078"/>
    <w:rsid w:val="1B366A93"/>
    <w:rsid w:val="1B3D67BD"/>
    <w:rsid w:val="1B3F1F7D"/>
    <w:rsid w:val="1B3F5002"/>
    <w:rsid w:val="1B3F73D4"/>
    <w:rsid w:val="1B437844"/>
    <w:rsid w:val="1B492499"/>
    <w:rsid w:val="1B49405F"/>
    <w:rsid w:val="1B4B451B"/>
    <w:rsid w:val="1B4B6808"/>
    <w:rsid w:val="1B4F2662"/>
    <w:rsid w:val="1B502212"/>
    <w:rsid w:val="1B505EA9"/>
    <w:rsid w:val="1B507C38"/>
    <w:rsid w:val="1B521BAE"/>
    <w:rsid w:val="1B522602"/>
    <w:rsid w:val="1B5B3BCE"/>
    <w:rsid w:val="1B5B644C"/>
    <w:rsid w:val="1B5D32F9"/>
    <w:rsid w:val="1B6033DC"/>
    <w:rsid w:val="1B62269C"/>
    <w:rsid w:val="1B642891"/>
    <w:rsid w:val="1B6539C9"/>
    <w:rsid w:val="1B653D27"/>
    <w:rsid w:val="1B672D3F"/>
    <w:rsid w:val="1B680D37"/>
    <w:rsid w:val="1B681C82"/>
    <w:rsid w:val="1B720CB1"/>
    <w:rsid w:val="1B7B534B"/>
    <w:rsid w:val="1B7E2030"/>
    <w:rsid w:val="1B8231D9"/>
    <w:rsid w:val="1B82756A"/>
    <w:rsid w:val="1B882A24"/>
    <w:rsid w:val="1B8A1A6C"/>
    <w:rsid w:val="1B8F4692"/>
    <w:rsid w:val="1B9000CE"/>
    <w:rsid w:val="1B905E86"/>
    <w:rsid w:val="1B9118D8"/>
    <w:rsid w:val="1B96435A"/>
    <w:rsid w:val="1B972930"/>
    <w:rsid w:val="1B9A74BB"/>
    <w:rsid w:val="1B9B2B30"/>
    <w:rsid w:val="1B9F7EF2"/>
    <w:rsid w:val="1BA12BAF"/>
    <w:rsid w:val="1BA32097"/>
    <w:rsid w:val="1BA54E27"/>
    <w:rsid w:val="1BA72B7C"/>
    <w:rsid w:val="1BAB49D5"/>
    <w:rsid w:val="1BAE2171"/>
    <w:rsid w:val="1BB40386"/>
    <w:rsid w:val="1BB70F8E"/>
    <w:rsid w:val="1BC0047A"/>
    <w:rsid w:val="1BC41784"/>
    <w:rsid w:val="1BC57206"/>
    <w:rsid w:val="1BC962C0"/>
    <w:rsid w:val="1BCB00D1"/>
    <w:rsid w:val="1BCB4452"/>
    <w:rsid w:val="1BCC7929"/>
    <w:rsid w:val="1BCD1315"/>
    <w:rsid w:val="1BCE702F"/>
    <w:rsid w:val="1BD236E5"/>
    <w:rsid w:val="1BD41DDB"/>
    <w:rsid w:val="1BD8309E"/>
    <w:rsid w:val="1BD85BD2"/>
    <w:rsid w:val="1BDA5409"/>
    <w:rsid w:val="1BDC361A"/>
    <w:rsid w:val="1BDC7DA0"/>
    <w:rsid w:val="1BDF3BCC"/>
    <w:rsid w:val="1BE0587A"/>
    <w:rsid w:val="1BE35EAC"/>
    <w:rsid w:val="1BE57162"/>
    <w:rsid w:val="1BEA2C63"/>
    <w:rsid w:val="1BEB6E4C"/>
    <w:rsid w:val="1BF41CD1"/>
    <w:rsid w:val="1BF76FA6"/>
    <w:rsid w:val="1BF875F2"/>
    <w:rsid w:val="1BFA1990"/>
    <w:rsid w:val="1BFE5FF1"/>
    <w:rsid w:val="1C061A7F"/>
    <w:rsid w:val="1C0B1D99"/>
    <w:rsid w:val="1C101718"/>
    <w:rsid w:val="1C110535"/>
    <w:rsid w:val="1C113EE3"/>
    <w:rsid w:val="1C120AE2"/>
    <w:rsid w:val="1C143B07"/>
    <w:rsid w:val="1C152963"/>
    <w:rsid w:val="1C163C51"/>
    <w:rsid w:val="1C17237A"/>
    <w:rsid w:val="1C181FD8"/>
    <w:rsid w:val="1C19661F"/>
    <w:rsid w:val="1C196BB0"/>
    <w:rsid w:val="1C202E03"/>
    <w:rsid w:val="1C204A0A"/>
    <w:rsid w:val="1C226D50"/>
    <w:rsid w:val="1C24274C"/>
    <w:rsid w:val="1C271037"/>
    <w:rsid w:val="1C2955E5"/>
    <w:rsid w:val="1C296337"/>
    <w:rsid w:val="1C2A163F"/>
    <w:rsid w:val="1C2C2524"/>
    <w:rsid w:val="1C2C4B64"/>
    <w:rsid w:val="1C2D1E74"/>
    <w:rsid w:val="1C336B90"/>
    <w:rsid w:val="1C3620B3"/>
    <w:rsid w:val="1C3636B8"/>
    <w:rsid w:val="1C391169"/>
    <w:rsid w:val="1C3B361C"/>
    <w:rsid w:val="1C3B4B90"/>
    <w:rsid w:val="1C3C78C6"/>
    <w:rsid w:val="1C3D0941"/>
    <w:rsid w:val="1C411445"/>
    <w:rsid w:val="1C447172"/>
    <w:rsid w:val="1C47468D"/>
    <w:rsid w:val="1C485582"/>
    <w:rsid w:val="1C4A7CD9"/>
    <w:rsid w:val="1C4C5B5C"/>
    <w:rsid w:val="1C4F71E1"/>
    <w:rsid w:val="1C504193"/>
    <w:rsid w:val="1C507555"/>
    <w:rsid w:val="1C5341C2"/>
    <w:rsid w:val="1C5768AF"/>
    <w:rsid w:val="1C5B33DE"/>
    <w:rsid w:val="1C5F0F84"/>
    <w:rsid w:val="1C5F7595"/>
    <w:rsid w:val="1C603587"/>
    <w:rsid w:val="1C60736F"/>
    <w:rsid w:val="1C627E8F"/>
    <w:rsid w:val="1C685072"/>
    <w:rsid w:val="1C6B3411"/>
    <w:rsid w:val="1C6C2EF7"/>
    <w:rsid w:val="1C6C4BA3"/>
    <w:rsid w:val="1C6F4E16"/>
    <w:rsid w:val="1C7163F4"/>
    <w:rsid w:val="1C7313C8"/>
    <w:rsid w:val="1C742B5F"/>
    <w:rsid w:val="1C794A0B"/>
    <w:rsid w:val="1C7B323E"/>
    <w:rsid w:val="1C7B4791"/>
    <w:rsid w:val="1C7B6CE3"/>
    <w:rsid w:val="1C7B79F4"/>
    <w:rsid w:val="1C8249A6"/>
    <w:rsid w:val="1C831C24"/>
    <w:rsid w:val="1C840A96"/>
    <w:rsid w:val="1C8808A6"/>
    <w:rsid w:val="1C882AAD"/>
    <w:rsid w:val="1C894DEE"/>
    <w:rsid w:val="1C8C521E"/>
    <w:rsid w:val="1C8C5F86"/>
    <w:rsid w:val="1C8D07CB"/>
    <w:rsid w:val="1C933922"/>
    <w:rsid w:val="1C9466ED"/>
    <w:rsid w:val="1C976AA9"/>
    <w:rsid w:val="1C986940"/>
    <w:rsid w:val="1C9B0535"/>
    <w:rsid w:val="1CA23671"/>
    <w:rsid w:val="1CA81192"/>
    <w:rsid w:val="1CA8494E"/>
    <w:rsid w:val="1CAD0834"/>
    <w:rsid w:val="1CB20175"/>
    <w:rsid w:val="1CB7684C"/>
    <w:rsid w:val="1CB83204"/>
    <w:rsid w:val="1CB93972"/>
    <w:rsid w:val="1CBE02E4"/>
    <w:rsid w:val="1CC278E2"/>
    <w:rsid w:val="1CC27E7E"/>
    <w:rsid w:val="1CC74074"/>
    <w:rsid w:val="1CC8061C"/>
    <w:rsid w:val="1CCA277A"/>
    <w:rsid w:val="1CCC278B"/>
    <w:rsid w:val="1CCD683C"/>
    <w:rsid w:val="1CD11779"/>
    <w:rsid w:val="1CD43315"/>
    <w:rsid w:val="1CD8574B"/>
    <w:rsid w:val="1CD94FE2"/>
    <w:rsid w:val="1CDB19B2"/>
    <w:rsid w:val="1CE04199"/>
    <w:rsid w:val="1CE128E5"/>
    <w:rsid w:val="1CE1469A"/>
    <w:rsid w:val="1CE15584"/>
    <w:rsid w:val="1CE26651"/>
    <w:rsid w:val="1CE64EAD"/>
    <w:rsid w:val="1CE67A02"/>
    <w:rsid w:val="1CEA6C04"/>
    <w:rsid w:val="1CEC33EB"/>
    <w:rsid w:val="1CED4849"/>
    <w:rsid w:val="1CED7D03"/>
    <w:rsid w:val="1CF04F4F"/>
    <w:rsid w:val="1CF10027"/>
    <w:rsid w:val="1CF40935"/>
    <w:rsid w:val="1CF45F98"/>
    <w:rsid w:val="1CFE42F6"/>
    <w:rsid w:val="1CFF2330"/>
    <w:rsid w:val="1D0127BE"/>
    <w:rsid w:val="1D063A40"/>
    <w:rsid w:val="1D0D4145"/>
    <w:rsid w:val="1D160DCE"/>
    <w:rsid w:val="1D167BDC"/>
    <w:rsid w:val="1D171433"/>
    <w:rsid w:val="1D192DA2"/>
    <w:rsid w:val="1D213ABB"/>
    <w:rsid w:val="1D2406F0"/>
    <w:rsid w:val="1D274522"/>
    <w:rsid w:val="1D2E6E13"/>
    <w:rsid w:val="1D2F5B2A"/>
    <w:rsid w:val="1D340AC1"/>
    <w:rsid w:val="1D3C3005"/>
    <w:rsid w:val="1D410849"/>
    <w:rsid w:val="1D450E86"/>
    <w:rsid w:val="1D486C82"/>
    <w:rsid w:val="1D4B77FF"/>
    <w:rsid w:val="1D52602C"/>
    <w:rsid w:val="1D532951"/>
    <w:rsid w:val="1D550A5B"/>
    <w:rsid w:val="1D594632"/>
    <w:rsid w:val="1D5C6560"/>
    <w:rsid w:val="1D63359F"/>
    <w:rsid w:val="1D687975"/>
    <w:rsid w:val="1D69594B"/>
    <w:rsid w:val="1D6D62A3"/>
    <w:rsid w:val="1D6F3DC4"/>
    <w:rsid w:val="1D710672"/>
    <w:rsid w:val="1D715850"/>
    <w:rsid w:val="1D7518EE"/>
    <w:rsid w:val="1D777EC7"/>
    <w:rsid w:val="1D787B4E"/>
    <w:rsid w:val="1D794905"/>
    <w:rsid w:val="1D7A639C"/>
    <w:rsid w:val="1D7C32FD"/>
    <w:rsid w:val="1D7F6677"/>
    <w:rsid w:val="1D805EA0"/>
    <w:rsid w:val="1D8463EC"/>
    <w:rsid w:val="1D853A23"/>
    <w:rsid w:val="1D8C27F4"/>
    <w:rsid w:val="1D8E188C"/>
    <w:rsid w:val="1D912F6A"/>
    <w:rsid w:val="1D954C16"/>
    <w:rsid w:val="1D96442A"/>
    <w:rsid w:val="1D9D241A"/>
    <w:rsid w:val="1DA17964"/>
    <w:rsid w:val="1DAF1EE2"/>
    <w:rsid w:val="1DB23EDF"/>
    <w:rsid w:val="1DB8221E"/>
    <w:rsid w:val="1DB91275"/>
    <w:rsid w:val="1DBF2E2F"/>
    <w:rsid w:val="1DC02F0C"/>
    <w:rsid w:val="1DC64084"/>
    <w:rsid w:val="1DC93E51"/>
    <w:rsid w:val="1DCA21A7"/>
    <w:rsid w:val="1DCA411D"/>
    <w:rsid w:val="1DCA6510"/>
    <w:rsid w:val="1DCB3A00"/>
    <w:rsid w:val="1DCD2633"/>
    <w:rsid w:val="1DD75A65"/>
    <w:rsid w:val="1DDF63E4"/>
    <w:rsid w:val="1DE0312D"/>
    <w:rsid w:val="1DE21090"/>
    <w:rsid w:val="1DE211C5"/>
    <w:rsid w:val="1DE636A6"/>
    <w:rsid w:val="1DEC6532"/>
    <w:rsid w:val="1DEE0B9D"/>
    <w:rsid w:val="1DF3687A"/>
    <w:rsid w:val="1DF71404"/>
    <w:rsid w:val="1DF82BAF"/>
    <w:rsid w:val="1DFB45A9"/>
    <w:rsid w:val="1E024614"/>
    <w:rsid w:val="1E026A6F"/>
    <w:rsid w:val="1E0311D4"/>
    <w:rsid w:val="1E0600E5"/>
    <w:rsid w:val="1E090E74"/>
    <w:rsid w:val="1E0C615F"/>
    <w:rsid w:val="1E18707C"/>
    <w:rsid w:val="1E1A6591"/>
    <w:rsid w:val="1E1C16BB"/>
    <w:rsid w:val="1E203567"/>
    <w:rsid w:val="1E227D98"/>
    <w:rsid w:val="1E252CCF"/>
    <w:rsid w:val="1E274C4D"/>
    <w:rsid w:val="1E294BD3"/>
    <w:rsid w:val="1E2B0B0E"/>
    <w:rsid w:val="1E2E214C"/>
    <w:rsid w:val="1E2E5DC4"/>
    <w:rsid w:val="1E2E61EA"/>
    <w:rsid w:val="1E2F3CC8"/>
    <w:rsid w:val="1E3418CC"/>
    <w:rsid w:val="1E353E46"/>
    <w:rsid w:val="1E360353"/>
    <w:rsid w:val="1E36109D"/>
    <w:rsid w:val="1E382A51"/>
    <w:rsid w:val="1E406F8C"/>
    <w:rsid w:val="1E4157B5"/>
    <w:rsid w:val="1E44476F"/>
    <w:rsid w:val="1E460A80"/>
    <w:rsid w:val="1E471FF9"/>
    <w:rsid w:val="1E477CAA"/>
    <w:rsid w:val="1E484DB3"/>
    <w:rsid w:val="1E4E698A"/>
    <w:rsid w:val="1E4F6DD2"/>
    <w:rsid w:val="1E506328"/>
    <w:rsid w:val="1E581979"/>
    <w:rsid w:val="1E59500F"/>
    <w:rsid w:val="1E597356"/>
    <w:rsid w:val="1E5B0338"/>
    <w:rsid w:val="1E5B4971"/>
    <w:rsid w:val="1E5F5CBE"/>
    <w:rsid w:val="1E603D6A"/>
    <w:rsid w:val="1E614799"/>
    <w:rsid w:val="1E624CF5"/>
    <w:rsid w:val="1E62559E"/>
    <w:rsid w:val="1E665AD1"/>
    <w:rsid w:val="1E6D6135"/>
    <w:rsid w:val="1E733838"/>
    <w:rsid w:val="1E772329"/>
    <w:rsid w:val="1E7748A4"/>
    <w:rsid w:val="1E777D80"/>
    <w:rsid w:val="1E7B42A7"/>
    <w:rsid w:val="1E7B54B7"/>
    <w:rsid w:val="1E7C0783"/>
    <w:rsid w:val="1E801171"/>
    <w:rsid w:val="1E8025DB"/>
    <w:rsid w:val="1E8038FE"/>
    <w:rsid w:val="1E8422E4"/>
    <w:rsid w:val="1E872889"/>
    <w:rsid w:val="1E886F14"/>
    <w:rsid w:val="1E8D172E"/>
    <w:rsid w:val="1E8D1D53"/>
    <w:rsid w:val="1E8F161F"/>
    <w:rsid w:val="1E9049CE"/>
    <w:rsid w:val="1E941459"/>
    <w:rsid w:val="1E947205"/>
    <w:rsid w:val="1E9531DC"/>
    <w:rsid w:val="1E954550"/>
    <w:rsid w:val="1E984DD1"/>
    <w:rsid w:val="1E985CD1"/>
    <w:rsid w:val="1E9A7171"/>
    <w:rsid w:val="1E9B0921"/>
    <w:rsid w:val="1E9C11A8"/>
    <w:rsid w:val="1EA16AD0"/>
    <w:rsid w:val="1EA7613A"/>
    <w:rsid w:val="1EAD1042"/>
    <w:rsid w:val="1EB34EC4"/>
    <w:rsid w:val="1EBF02A8"/>
    <w:rsid w:val="1EC44509"/>
    <w:rsid w:val="1EC605B0"/>
    <w:rsid w:val="1EC60759"/>
    <w:rsid w:val="1EC71923"/>
    <w:rsid w:val="1EC77266"/>
    <w:rsid w:val="1EC827D8"/>
    <w:rsid w:val="1ECC6FCC"/>
    <w:rsid w:val="1ECD2EE1"/>
    <w:rsid w:val="1ED31812"/>
    <w:rsid w:val="1ED369E5"/>
    <w:rsid w:val="1ED65589"/>
    <w:rsid w:val="1ED67B8C"/>
    <w:rsid w:val="1EDC0C0C"/>
    <w:rsid w:val="1EDE5C3F"/>
    <w:rsid w:val="1EE17488"/>
    <w:rsid w:val="1EE40D56"/>
    <w:rsid w:val="1EE86DC4"/>
    <w:rsid w:val="1EE97D17"/>
    <w:rsid w:val="1EEB7FBF"/>
    <w:rsid w:val="1EED18D6"/>
    <w:rsid w:val="1EF02DBA"/>
    <w:rsid w:val="1EF2469F"/>
    <w:rsid w:val="1EF25708"/>
    <w:rsid w:val="1EF635C8"/>
    <w:rsid w:val="1EF76CF3"/>
    <w:rsid w:val="1EF82F10"/>
    <w:rsid w:val="1EFA468C"/>
    <w:rsid w:val="1EFB7AF9"/>
    <w:rsid w:val="1EFF6499"/>
    <w:rsid w:val="1F024F59"/>
    <w:rsid w:val="1F062E30"/>
    <w:rsid w:val="1F077C1E"/>
    <w:rsid w:val="1F08229B"/>
    <w:rsid w:val="1F082D49"/>
    <w:rsid w:val="1F0C48B0"/>
    <w:rsid w:val="1F0D3B20"/>
    <w:rsid w:val="1F0E3A9C"/>
    <w:rsid w:val="1F123657"/>
    <w:rsid w:val="1F16787E"/>
    <w:rsid w:val="1F172F5B"/>
    <w:rsid w:val="1F186446"/>
    <w:rsid w:val="1F195E6D"/>
    <w:rsid w:val="1F1A7788"/>
    <w:rsid w:val="1F1D03B4"/>
    <w:rsid w:val="1F205837"/>
    <w:rsid w:val="1F2061AC"/>
    <w:rsid w:val="1F2254C3"/>
    <w:rsid w:val="1F234F3D"/>
    <w:rsid w:val="1F23605D"/>
    <w:rsid w:val="1F2523F9"/>
    <w:rsid w:val="1F25511F"/>
    <w:rsid w:val="1F266CA2"/>
    <w:rsid w:val="1F334115"/>
    <w:rsid w:val="1F336040"/>
    <w:rsid w:val="1F3779B2"/>
    <w:rsid w:val="1F383A46"/>
    <w:rsid w:val="1F391B5B"/>
    <w:rsid w:val="1F3A2298"/>
    <w:rsid w:val="1F3B4612"/>
    <w:rsid w:val="1F3C61BD"/>
    <w:rsid w:val="1F3E4B2E"/>
    <w:rsid w:val="1F3F128B"/>
    <w:rsid w:val="1F41119A"/>
    <w:rsid w:val="1F41501A"/>
    <w:rsid w:val="1F421E25"/>
    <w:rsid w:val="1F431931"/>
    <w:rsid w:val="1F4346F6"/>
    <w:rsid w:val="1F4426FD"/>
    <w:rsid w:val="1F476DDB"/>
    <w:rsid w:val="1F4A5CDA"/>
    <w:rsid w:val="1F4B0F63"/>
    <w:rsid w:val="1F502E7C"/>
    <w:rsid w:val="1F51439C"/>
    <w:rsid w:val="1F52523C"/>
    <w:rsid w:val="1F543F5F"/>
    <w:rsid w:val="1F547B32"/>
    <w:rsid w:val="1F550426"/>
    <w:rsid w:val="1F571E5C"/>
    <w:rsid w:val="1F5C5525"/>
    <w:rsid w:val="1F5D48FD"/>
    <w:rsid w:val="1F63204D"/>
    <w:rsid w:val="1F632E2B"/>
    <w:rsid w:val="1F642648"/>
    <w:rsid w:val="1F6527E6"/>
    <w:rsid w:val="1F68655F"/>
    <w:rsid w:val="1F6D2357"/>
    <w:rsid w:val="1F706188"/>
    <w:rsid w:val="1F717E53"/>
    <w:rsid w:val="1F760AC9"/>
    <w:rsid w:val="1F774DDD"/>
    <w:rsid w:val="1F782A88"/>
    <w:rsid w:val="1F7A275F"/>
    <w:rsid w:val="1F7E7478"/>
    <w:rsid w:val="1F7F7C58"/>
    <w:rsid w:val="1F8057AC"/>
    <w:rsid w:val="1F87193E"/>
    <w:rsid w:val="1F8808B7"/>
    <w:rsid w:val="1F884731"/>
    <w:rsid w:val="1F8852E1"/>
    <w:rsid w:val="1F8A366F"/>
    <w:rsid w:val="1F8A7B93"/>
    <w:rsid w:val="1F8C2EB3"/>
    <w:rsid w:val="1F8C3631"/>
    <w:rsid w:val="1F8E722B"/>
    <w:rsid w:val="1F9269AF"/>
    <w:rsid w:val="1F953425"/>
    <w:rsid w:val="1F9816E2"/>
    <w:rsid w:val="1F9A37C5"/>
    <w:rsid w:val="1F9A5A7E"/>
    <w:rsid w:val="1F9C6D60"/>
    <w:rsid w:val="1F9E53FC"/>
    <w:rsid w:val="1FA31893"/>
    <w:rsid w:val="1FA52D06"/>
    <w:rsid w:val="1FA73010"/>
    <w:rsid w:val="1FA8529F"/>
    <w:rsid w:val="1FA86D80"/>
    <w:rsid w:val="1FAA6E31"/>
    <w:rsid w:val="1FAE4DB1"/>
    <w:rsid w:val="1FAE6186"/>
    <w:rsid w:val="1FB05328"/>
    <w:rsid w:val="1FB1276B"/>
    <w:rsid w:val="1FB27199"/>
    <w:rsid w:val="1FBB493D"/>
    <w:rsid w:val="1FBB4E9D"/>
    <w:rsid w:val="1FBC46E8"/>
    <w:rsid w:val="1FBD451B"/>
    <w:rsid w:val="1FBD5768"/>
    <w:rsid w:val="1FC12A98"/>
    <w:rsid w:val="1FC728E7"/>
    <w:rsid w:val="1FC97A34"/>
    <w:rsid w:val="1FCC53CB"/>
    <w:rsid w:val="1FCE2229"/>
    <w:rsid w:val="1FCE42BE"/>
    <w:rsid w:val="1FD20453"/>
    <w:rsid w:val="1FD34220"/>
    <w:rsid w:val="1FD505C8"/>
    <w:rsid w:val="1FD54D93"/>
    <w:rsid w:val="1FD82FE4"/>
    <w:rsid w:val="1FDA232A"/>
    <w:rsid w:val="1FDD68F7"/>
    <w:rsid w:val="1FE5169A"/>
    <w:rsid w:val="1FE6240D"/>
    <w:rsid w:val="1FE70FDB"/>
    <w:rsid w:val="1FE76895"/>
    <w:rsid w:val="1FE80B31"/>
    <w:rsid w:val="1FE97A0A"/>
    <w:rsid w:val="1FEA3808"/>
    <w:rsid w:val="1FEB7843"/>
    <w:rsid w:val="1FEF3950"/>
    <w:rsid w:val="1FF30D93"/>
    <w:rsid w:val="1FF3774C"/>
    <w:rsid w:val="1FF647F0"/>
    <w:rsid w:val="1FF670DD"/>
    <w:rsid w:val="1FF70178"/>
    <w:rsid w:val="1FFC578E"/>
    <w:rsid w:val="1FFC753C"/>
    <w:rsid w:val="20026AC0"/>
    <w:rsid w:val="20076707"/>
    <w:rsid w:val="2009186A"/>
    <w:rsid w:val="200A3A07"/>
    <w:rsid w:val="200C1B3B"/>
    <w:rsid w:val="200D2502"/>
    <w:rsid w:val="201B6D7F"/>
    <w:rsid w:val="201B7739"/>
    <w:rsid w:val="201D3AB4"/>
    <w:rsid w:val="201E5F05"/>
    <w:rsid w:val="201F54D3"/>
    <w:rsid w:val="20202366"/>
    <w:rsid w:val="20217CD5"/>
    <w:rsid w:val="202315B6"/>
    <w:rsid w:val="2024693B"/>
    <w:rsid w:val="20274E77"/>
    <w:rsid w:val="202D46D9"/>
    <w:rsid w:val="20331B7F"/>
    <w:rsid w:val="203C515C"/>
    <w:rsid w:val="203E05EF"/>
    <w:rsid w:val="20426436"/>
    <w:rsid w:val="2043516B"/>
    <w:rsid w:val="2045214D"/>
    <w:rsid w:val="204741FE"/>
    <w:rsid w:val="204D1901"/>
    <w:rsid w:val="204D6EF3"/>
    <w:rsid w:val="204E33FE"/>
    <w:rsid w:val="20523600"/>
    <w:rsid w:val="205313F6"/>
    <w:rsid w:val="20571ED8"/>
    <w:rsid w:val="2057204D"/>
    <w:rsid w:val="205C58D0"/>
    <w:rsid w:val="20623843"/>
    <w:rsid w:val="206357DA"/>
    <w:rsid w:val="20653E0F"/>
    <w:rsid w:val="206829CA"/>
    <w:rsid w:val="20685111"/>
    <w:rsid w:val="206A31F5"/>
    <w:rsid w:val="206A52CA"/>
    <w:rsid w:val="206B3C8D"/>
    <w:rsid w:val="206C6CEF"/>
    <w:rsid w:val="206E3D25"/>
    <w:rsid w:val="206E7475"/>
    <w:rsid w:val="2071782D"/>
    <w:rsid w:val="20755510"/>
    <w:rsid w:val="207619A9"/>
    <w:rsid w:val="207661C7"/>
    <w:rsid w:val="20796DDF"/>
    <w:rsid w:val="207A2A98"/>
    <w:rsid w:val="207B090F"/>
    <w:rsid w:val="20814ED2"/>
    <w:rsid w:val="20847C5E"/>
    <w:rsid w:val="208539D6"/>
    <w:rsid w:val="208A1849"/>
    <w:rsid w:val="208A4839"/>
    <w:rsid w:val="208F0679"/>
    <w:rsid w:val="20950DE7"/>
    <w:rsid w:val="20952D14"/>
    <w:rsid w:val="20956322"/>
    <w:rsid w:val="20960BD0"/>
    <w:rsid w:val="2097336C"/>
    <w:rsid w:val="209A00DC"/>
    <w:rsid w:val="209A5155"/>
    <w:rsid w:val="209D1D04"/>
    <w:rsid w:val="20A0369F"/>
    <w:rsid w:val="20A17A40"/>
    <w:rsid w:val="20A47E58"/>
    <w:rsid w:val="20AD5E1E"/>
    <w:rsid w:val="20B05444"/>
    <w:rsid w:val="20B130A1"/>
    <w:rsid w:val="20B20B07"/>
    <w:rsid w:val="20B500C1"/>
    <w:rsid w:val="20B66063"/>
    <w:rsid w:val="20B66929"/>
    <w:rsid w:val="20B738FF"/>
    <w:rsid w:val="20B77240"/>
    <w:rsid w:val="20B9542D"/>
    <w:rsid w:val="20BB42D2"/>
    <w:rsid w:val="20BB57DA"/>
    <w:rsid w:val="20C2018C"/>
    <w:rsid w:val="20C25F02"/>
    <w:rsid w:val="20C86C49"/>
    <w:rsid w:val="20CD76A5"/>
    <w:rsid w:val="20CF4B13"/>
    <w:rsid w:val="20D1108C"/>
    <w:rsid w:val="20D414E3"/>
    <w:rsid w:val="20D74D5F"/>
    <w:rsid w:val="20D76314"/>
    <w:rsid w:val="20D82020"/>
    <w:rsid w:val="20D9646E"/>
    <w:rsid w:val="20DE0E7A"/>
    <w:rsid w:val="20DE1C9A"/>
    <w:rsid w:val="20E221E4"/>
    <w:rsid w:val="20E53376"/>
    <w:rsid w:val="20E70C38"/>
    <w:rsid w:val="20E830D5"/>
    <w:rsid w:val="20EE095C"/>
    <w:rsid w:val="20EE5EF7"/>
    <w:rsid w:val="20FB21BF"/>
    <w:rsid w:val="20FF23F1"/>
    <w:rsid w:val="21022BC0"/>
    <w:rsid w:val="21067376"/>
    <w:rsid w:val="21096B84"/>
    <w:rsid w:val="210B41CE"/>
    <w:rsid w:val="210C1A01"/>
    <w:rsid w:val="210C2E65"/>
    <w:rsid w:val="210C52C5"/>
    <w:rsid w:val="210D22FC"/>
    <w:rsid w:val="210D620E"/>
    <w:rsid w:val="210E6C52"/>
    <w:rsid w:val="211B5F81"/>
    <w:rsid w:val="211B6D66"/>
    <w:rsid w:val="21263185"/>
    <w:rsid w:val="21294D97"/>
    <w:rsid w:val="212B5C42"/>
    <w:rsid w:val="212D1E11"/>
    <w:rsid w:val="212F5B1E"/>
    <w:rsid w:val="21307C45"/>
    <w:rsid w:val="21354AB4"/>
    <w:rsid w:val="21364FFC"/>
    <w:rsid w:val="21380E30"/>
    <w:rsid w:val="21383DA2"/>
    <w:rsid w:val="213A213C"/>
    <w:rsid w:val="2140435C"/>
    <w:rsid w:val="21477155"/>
    <w:rsid w:val="215435B5"/>
    <w:rsid w:val="21553FD0"/>
    <w:rsid w:val="2155613A"/>
    <w:rsid w:val="215746CB"/>
    <w:rsid w:val="215B0293"/>
    <w:rsid w:val="21630117"/>
    <w:rsid w:val="21652718"/>
    <w:rsid w:val="216577E9"/>
    <w:rsid w:val="21660F1A"/>
    <w:rsid w:val="21671423"/>
    <w:rsid w:val="216A59FF"/>
    <w:rsid w:val="216B40B6"/>
    <w:rsid w:val="216C6E6A"/>
    <w:rsid w:val="216E3857"/>
    <w:rsid w:val="216F5CB3"/>
    <w:rsid w:val="21715339"/>
    <w:rsid w:val="21724273"/>
    <w:rsid w:val="217465D2"/>
    <w:rsid w:val="217A4226"/>
    <w:rsid w:val="217F2A3E"/>
    <w:rsid w:val="21816786"/>
    <w:rsid w:val="21816AC6"/>
    <w:rsid w:val="2186527B"/>
    <w:rsid w:val="21867F2C"/>
    <w:rsid w:val="2188056D"/>
    <w:rsid w:val="21894815"/>
    <w:rsid w:val="2189626E"/>
    <w:rsid w:val="21896825"/>
    <w:rsid w:val="218F2809"/>
    <w:rsid w:val="218F513B"/>
    <w:rsid w:val="21916094"/>
    <w:rsid w:val="219A3DCF"/>
    <w:rsid w:val="219A4DB4"/>
    <w:rsid w:val="219A58D6"/>
    <w:rsid w:val="219C6AE7"/>
    <w:rsid w:val="219E2669"/>
    <w:rsid w:val="219F3D03"/>
    <w:rsid w:val="219F5777"/>
    <w:rsid w:val="21A02DF2"/>
    <w:rsid w:val="21A23CC1"/>
    <w:rsid w:val="21A24300"/>
    <w:rsid w:val="21A25BF8"/>
    <w:rsid w:val="21A26020"/>
    <w:rsid w:val="21A44ACE"/>
    <w:rsid w:val="21A44AD3"/>
    <w:rsid w:val="21A8797C"/>
    <w:rsid w:val="21AF0627"/>
    <w:rsid w:val="21B222C0"/>
    <w:rsid w:val="21B239C6"/>
    <w:rsid w:val="21B3155B"/>
    <w:rsid w:val="21B764CD"/>
    <w:rsid w:val="21B812D8"/>
    <w:rsid w:val="21BD6196"/>
    <w:rsid w:val="21C173F3"/>
    <w:rsid w:val="21C3208B"/>
    <w:rsid w:val="21C347B6"/>
    <w:rsid w:val="21C839CE"/>
    <w:rsid w:val="21C979FE"/>
    <w:rsid w:val="21CD2655"/>
    <w:rsid w:val="21CD3378"/>
    <w:rsid w:val="21CD75D5"/>
    <w:rsid w:val="21D20555"/>
    <w:rsid w:val="21D23A45"/>
    <w:rsid w:val="21D327EF"/>
    <w:rsid w:val="21DA6174"/>
    <w:rsid w:val="21DB5C86"/>
    <w:rsid w:val="21DC6D0A"/>
    <w:rsid w:val="21DD133D"/>
    <w:rsid w:val="21E026BA"/>
    <w:rsid w:val="21E140A1"/>
    <w:rsid w:val="21E25679"/>
    <w:rsid w:val="21E42B61"/>
    <w:rsid w:val="21E524FD"/>
    <w:rsid w:val="21EB011F"/>
    <w:rsid w:val="21EB292F"/>
    <w:rsid w:val="21F220A8"/>
    <w:rsid w:val="21F957CF"/>
    <w:rsid w:val="21FA1EDF"/>
    <w:rsid w:val="21FA63AE"/>
    <w:rsid w:val="21FE01EB"/>
    <w:rsid w:val="21FE043B"/>
    <w:rsid w:val="21FF65AB"/>
    <w:rsid w:val="22063755"/>
    <w:rsid w:val="220D5A31"/>
    <w:rsid w:val="22114AF7"/>
    <w:rsid w:val="22121DA1"/>
    <w:rsid w:val="22125273"/>
    <w:rsid w:val="221340A0"/>
    <w:rsid w:val="22142ECB"/>
    <w:rsid w:val="22143478"/>
    <w:rsid w:val="22146DBF"/>
    <w:rsid w:val="22163203"/>
    <w:rsid w:val="22164847"/>
    <w:rsid w:val="221C31DD"/>
    <w:rsid w:val="221C6660"/>
    <w:rsid w:val="22202727"/>
    <w:rsid w:val="22223ED6"/>
    <w:rsid w:val="2223103F"/>
    <w:rsid w:val="22255E1B"/>
    <w:rsid w:val="22264DFE"/>
    <w:rsid w:val="22266513"/>
    <w:rsid w:val="2228687C"/>
    <w:rsid w:val="2228794E"/>
    <w:rsid w:val="22293DAC"/>
    <w:rsid w:val="222B4109"/>
    <w:rsid w:val="222D66D8"/>
    <w:rsid w:val="222F32A5"/>
    <w:rsid w:val="223215B0"/>
    <w:rsid w:val="22345C93"/>
    <w:rsid w:val="223C5396"/>
    <w:rsid w:val="224A7E32"/>
    <w:rsid w:val="224D0688"/>
    <w:rsid w:val="224D407F"/>
    <w:rsid w:val="224E1A8D"/>
    <w:rsid w:val="22536448"/>
    <w:rsid w:val="22540F67"/>
    <w:rsid w:val="2256273C"/>
    <w:rsid w:val="22570048"/>
    <w:rsid w:val="22610A32"/>
    <w:rsid w:val="22650199"/>
    <w:rsid w:val="2268071D"/>
    <w:rsid w:val="226B7204"/>
    <w:rsid w:val="226E18C3"/>
    <w:rsid w:val="22706523"/>
    <w:rsid w:val="2274388F"/>
    <w:rsid w:val="2274695C"/>
    <w:rsid w:val="22761853"/>
    <w:rsid w:val="22783D2E"/>
    <w:rsid w:val="227A10CF"/>
    <w:rsid w:val="227C3FA3"/>
    <w:rsid w:val="227F6D14"/>
    <w:rsid w:val="22805DB8"/>
    <w:rsid w:val="228248F7"/>
    <w:rsid w:val="22827D86"/>
    <w:rsid w:val="2283316A"/>
    <w:rsid w:val="22833377"/>
    <w:rsid w:val="22856993"/>
    <w:rsid w:val="22875C06"/>
    <w:rsid w:val="228A4566"/>
    <w:rsid w:val="228B7A47"/>
    <w:rsid w:val="228C6BE1"/>
    <w:rsid w:val="228F15FE"/>
    <w:rsid w:val="228F35EA"/>
    <w:rsid w:val="228F5FE7"/>
    <w:rsid w:val="228F603B"/>
    <w:rsid w:val="22915BE2"/>
    <w:rsid w:val="22951FB4"/>
    <w:rsid w:val="229554CA"/>
    <w:rsid w:val="229606CD"/>
    <w:rsid w:val="22974544"/>
    <w:rsid w:val="22995516"/>
    <w:rsid w:val="229D380F"/>
    <w:rsid w:val="229E0CF1"/>
    <w:rsid w:val="22A1482E"/>
    <w:rsid w:val="22A25C6E"/>
    <w:rsid w:val="22A540C5"/>
    <w:rsid w:val="22A65197"/>
    <w:rsid w:val="22A763F2"/>
    <w:rsid w:val="22AC3486"/>
    <w:rsid w:val="22AD2C58"/>
    <w:rsid w:val="22B42BFE"/>
    <w:rsid w:val="22BC769E"/>
    <w:rsid w:val="22BD00CB"/>
    <w:rsid w:val="22C81958"/>
    <w:rsid w:val="22CB20FD"/>
    <w:rsid w:val="22CD7867"/>
    <w:rsid w:val="22CF7C29"/>
    <w:rsid w:val="22D1341D"/>
    <w:rsid w:val="22D24FF5"/>
    <w:rsid w:val="22D94935"/>
    <w:rsid w:val="22DA5D77"/>
    <w:rsid w:val="22DC493D"/>
    <w:rsid w:val="22DF2808"/>
    <w:rsid w:val="22E356C6"/>
    <w:rsid w:val="22E5460B"/>
    <w:rsid w:val="22E64441"/>
    <w:rsid w:val="22E86431"/>
    <w:rsid w:val="22ED5DB9"/>
    <w:rsid w:val="22EE67DF"/>
    <w:rsid w:val="22F05CC6"/>
    <w:rsid w:val="22F81E58"/>
    <w:rsid w:val="22FA1939"/>
    <w:rsid w:val="22FC1021"/>
    <w:rsid w:val="22FC1804"/>
    <w:rsid w:val="23025FFD"/>
    <w:rsid w:val="23042A2B"/>
    <w:rsid w:val="230756FE"/>
    <w:rsid w:val="23096FA4"/>
    <w:rsid w:val="23097526"/>
    <w:rsid w:val="230E0777"/>
    <w:rsid w:val="230F65CF"/>
    <w:rsid w:val="231221D3"/>
    <w:rsid w:val="23185657"/>
    <w:rsid w:val="231A4A95"/>
    <w:rsid w:val="23247E68"/>
    <w:rsid w:val="2325314E"/>
    <w:rsid w:val="23256999"/>
    <w:rsid w:val="2327530F"/>
    <w:rsid w:val="23281931"/>
    <w:rsid w:val="23283A4A"/>
    <w:rsid w:val="23297221"/>
    <w:rsid w:val="232F07D6"/>
    <w:rsid w:val="2332271B"/>
    <w:rsid w:val="23372E82"/>
    <w:rsid w:val="23383351"/>
    <w:rsid w:val="23385236"/>
    <w:rsid w:val="233C27BF"/>
    <w:rsid w:val="233E6B04"/>
    <w:rsid w:val="233F4A01"/>
    <w:rsid w:val="23405B5C"/>
    <w:rsid w:val="234A41ED"/>
    <w:rsid w:val="235365DE"/>
    <w:rsid w:val="2357581F"/>
    <w:rsid w:val="235A68FF"/>
    <w:rsid w:val="235B2182"/>
    <w:rsid w:val="235B3A2D"/>
    <w:rsid w:val="235F3580"/>
    <w:rsid w:val="236310D2"/>
    <w:rsid w:val="23674683"/>
    <w:rsid w:val="23687E3D"/>
    <w:rsid w:val="236A3C2A"/>
    <w:rsid w:val="236B2580"/>
    <w:rsid w:val="23716B0D"/>
    <w:rsid w:val="23741D13"/>
    <w:rsid w:val="23763610"/>
    <w:rsid w:val="23771B3D"/>
    <w:rsid w:val="237A6AE7"/>
    <w:rsid w:val="237A782D"/>
    <w:rsid w:val="237B334F"/>
    <w:rsid w:val="237C6EFA"/>
    <w:rsid w:val="237F683B"/>
    <w:rsid w:val="23812232"/>
    <w:rsid w:val="23870FBC"/>
    <w:rsid w:val="23875BFA"/>
    <w:rsid w:val="2387747E"/>
    <w:rsid w:val="2389175A"/>
    <w:rsid w:val="238A6E15"/>
    <w:rsid w:val="238D796B"/>
    <w:rsid w:val="238D79B9"/>
    <w:rsid w:val="239007B8"/>
    <w:rsid w:val="23907E9E"/>
    <w:rsid w:val="23947259"/>
    <w:rsid w:val="23960655"/>
    <w:rsid w:val="239620C2"/>
    <w:rsid w:val="239878A9"/>
    <w:rsid w:val="239A5433"/>
    <w:rsid w:val="23A02D44"/>
    <w:rsid w:val="23AD2651"/>
    <w:rsid w:val="23AE6016"/>
    <w:rsid w:val="23B1431C"/>
    <w:rsid w:val="23B45798"/>
    <w:rsid w:val="23B5295E"/>
    <w:rsid w:val="23B70CEE"/>
    <w:rsid w:val="23BA226E"/>
    <w:rsid w:val="23C22E2D"/>
    <w:rsid w:val="23C23AA7"/>
    <w:rsid w:val="23C607CF"/>
    <w:rsid w:val="23C66316"/>
    <w:rsid w:val="23C867EA"/>
    <w:rsid w:val="23C95ECA"/>
    <w:rsid w:val="23CB1B6E"/>
    <w:rsid w:val="23D02BFD"/>
    <w:rsid w:val="23D35E41"/>
    <w:rsid w:val="23D375EA"/>
    <w:rsid w:val="23D411E5"/>
    <w:rsid w:val="23D67A67"/>
    <w:rsid w:val="23D72988"/>
    <w:rsid w:val="23D92195"/>
    <w:rsid w:val="23DB5FAC"/>
    <w:rsid w:val="23DB7683"/>
    <w:rsid w:val="23DC64ED"/>
    <w:rsid w:val="23DD1B81"/>
    <w:rsid w:val="23DE352F"/>
    <w:rsid w:val="23E306B4"/>
    <w:rsid w:val="23E641AD"/>
    <w:rsid w:val="23F02655"/>
    <w:rsid w:val="23F152F7"/>
    <w:rsid w:val="23F4022A"/>
    <w:rsid w:val="23F5635B"/>
    <w:rsid w:val="23F73C78"/>
    <w:rsid w:val="23F779C4"/>
    <w:rsid w:val="23F90CF5"/>
    <w:rsid w:val="23F91D04"/>
    <w:rsid w:val="23FC2C2E"/>
    <w:rsid w:val="23FC7260"/>
    <w:rsid w:val="240370EB"/>
    <w:rsid w:val="24061787"/>
    <w:rsid w:val="240717E1"/>
    <w:rsid w:val="240B79E4"/>
    <w:rsid w:val="240C73E0"/>
    <w:rsid w:val="240D76AC"/>
    <w:rsid w:val="241119BA"/>
    <w:rsid w:val="2413511F"/>
    <w:rsid w:val="24144A64"/>
    <w:rsid w:val="24164F85"/>
    <w:rsid w:val="241F18CE"/>
    <w:rsid w:val="241F721E"/>
    <w:rsid w:val="24206012"/>
    <w:rsid w:val="24215AB5"/>
    <w:rsid w:val="2425120C"/>
    <w:rsid w:val="242603AF"/>
    <w:rsid w:val="242A5F8D"/>
    <w:rsid w:val="242B0080"/>
    <w:rsid w:val="243224C7"/>
    <w:rsid w:val="243276BE"/>
    <w:rsid w:val="24342528"/>
    <w:rsid w:val="24357B40"/>
    <w:rsid w:val="24392B1A"/>
    <w:rsid w:val="243A0532"/>
    <w:rsid w:val="243C60EA"/>
    <w:rsid w:val="243E45C7"/>
    <w:rsid w:val="24420D9A"/>
    <w:rsid w:val="24433F6E"/>
    <w:rsid w:val="24536A5D"/>
    <w:rsid w:val="245770D5"/>
    <w:rsid w:val="24582133"/>
    <w:rsid w:val="24584A5A"/>
    <w:rsid w:val="245F0B9B"/>
    <w:rsid w:val="2461233C"/>
    <w:rsid w:val="24635A73"/>
    <w:rsid w:val="246613C1"/>
    <w:rsid w:val="2466769D"/>
    <w:rsid w:val="24693FAA"/>
    <w:rsid w:val="246A5438"/>
    <w:rsid w:val="246D16A3"/>
    <w:rsid w:val="246E02FA"/>
    <w:rsid w:val="246E2240"/>
    <w:rsid w:val="246F2B60"/>
    <w:rsid w:val="246F396D"/>
    <w:rsid w:val="24725F25"/>
    <w:rsid w:val="247471B7"/>
    <w:rsid w:val="247A0DC8"/>
    <w:rsid w:val="247D1CDF"/>
    <w:rsid w:val="24816E5D"/>
    <w:rsid w:val="2483408C"/>
    <w:rsid w:val="248507CD"/>
    <w:rsid w:val="24857441"/>
    <w:rsid w:val="24882038"/>
    <w:rsid w:val="24885842"/>
    <w:rsid w:val="2488643B"/>
    <w:rsid w:val="248A70C1"/>
    <w:rsid w:val="248F2B66"/>
    <w:rsid w:val="24971597"/>
    <w:rsid w:val="24982A8B"/>
    <w:rsid w:val="24995226"/>
    <w:rsid w:val="24A3267C"/>
    <w:rsid w:val="24A54CE4"/>
    <w:rsid w:val="24A55543"/>
    <w:rsid w:val="24A8230B"/>
    <w:rsid w:val="24A935BB"/>
    <w:rsid w:val="24AF428E"/>
    <w:rsid w:val="24C03D5A"/>
    <w:rsid w:val="24C17942"/>
    <w:rsid w:val="24C719FC"/>
    <w:rsid w:val="24C85037"/>
    <w:rsid w:val="24CA0964"/>
    <w:rsid w:val="24CA42F2"/>
    <w:rsid w:val="24D3050C"/>
    <w:rsid w:val="24D37118"/>
    <w:rsid w:val="24D707B7"/>
    <w:rsid w:val="24DB7062"/>
    <w:rsid w:val="24DC74DF"/>
    <w:rsid w:val="24DD67A6"/>
    <w:rsid w:val="24DD6CC8"/>
    <w:rsid w:val="24DF1645"/>
    <w:rsid w:val="24DF5A46"/>
    <w:rsid w:val="24E135A4"/>
    <w:rsid w:val="24E42E49"/>
    <w:rsid w:val="24E52C95"/>
    <w:rsid w:val="24E65C5C"/>
    <w:rsid w:val="24E92EE4"/>
    <w:rsid w:val="24ED3F9A"/>
    <w:rsid w:val="24EF0F84"/>
    <w:rsid w:val="24F05E57"/>
    <w:rsid w:val="24FB7DC2"/>
    <w:rsid w:val="24FF70CD"/>
    <w:rsid w:val="25007288"/>
    <w:rsid w:val="250A7EBC"/>
    <w:rsid w:val="250D1501"/>
    <w:rsid w:val="250F4C0D"/>
    <w:rsid w:val="25114490"/>
    <w:rsid w:val="25132B03"/>
    <w:rsid w:val="251B11C5"/>
    <w:rsid w:val="251C1E43"/>
    <w:rsid w:val="251C6A1C"/>
    <w:rsid w:val="251C714D"/>
    <w:rsid w:val="251D7794"/>
    <w:rsid w:val="252209BD"/>
    <w:rsid w:val="25227EA9"/>
    <w:rsid w:val="252703E7"/>
    <w:rsid w:val="252900D9"/>
    <w:rsid w:val="252B15DA"/>
    <w:rsid w:val="252C06F0"/>
    <w:rsid w:val="252C3FEF"/>
    <w:rsid w:val="25331EF1"/>
    <w:rsid w:val="253A08E9"/>
    <w:rsid w:val="253A76BF"/>
    <w:rsid w:val="253B15D5"/>
    <w:rsid w:val="253B665B"/>
    <w:rsid w:val="253B6FC9"/>
    <w:rsid w:val="253F0F0B"/>
    <w:rsid w:val="254039F6"/>
    <w:rsid w:val="25424970"/>
    <w:rsid w:val="25465F6E"/>
    <w:rsid w:val="25472416"/>
    <w:rsid w:val="254C0545"/>
    <w:rsid w:val="25517794"/>
    <w:rsid w:val="25602848"/>
    <w:rsid w:val="2560482B"/>
    <w:rsid w:val="25652585"/>
    <w:rsid w:val="25665CF3"/>
    <w:rsid w:val="256707D3"/>
    <w:rsid w:val="256965A5"/>
    <w:rsid w:val="25697422"/>
    <w:rsid w:val="256A71A4"/>
    <w:rsid w:val="256B60AC"/>
    <w:rsid w:val="256C4188"/>
    <w:rsid w:val="256E7C33"/>
    <w:rsid w:val="257134D3"/>
    <w:rsid w:val="25717C07"/>
    <w:rsid w:val="25730CDC"/>
    <w:rsid w:val="2578235D"/>
    <w:rsid w:val="25784649"/>
    <w:rsid w:val="257B7B3C"/>
    <w:rsid w:val="257C200B"/>
    <w:rsid w:val="257C5563"/>
    <w:rsid w:val="257D01AB"/>
    <w:rsid w:val="257F0BD9"/>
    <w:rsid w:val="258502B6"/>
    <w:rsid w:val="25892239"/>
    <w:rsid w:val="258A4D70"/>
    <w:rsid w:val="258C1362"/>
    <w:rsid w:val="258C637B"/>
    <w:rsid w:val="258D09EA"/>
    <w:rsid w:val="258D1D03"/>
    <w:rsid w:val="258F0D12"/>
    <w:rsid w:val="259A2722"/>
    <w:rsid w:val="259A502E"/>
    <w:rsid w:val="259B2A55"/>
    <w:rsid w:val="259B3762"/>
    <w:rsid w:val="259B3CAF"/>
    <w:rsid w:val="259C3F00"/>
    <w:rsid w:val="259D2036"/>
    <w:rsid w:val="259D4DEC"/>
    <w:rsid w:val="259F0D13"/>
    <w:rsid w:val="25A133A1"/>
    <w:rsid w:val="25A62424"/>
    <w:rsid w:val="25A6663A"/>
    <w:rsid w:val="25AE268E"/>
    <w:rsid w:val="25AE5E0D"/>
    <w:rsid w:val="25AE72ED"/>
    <w:rsid w:val="25AF5C7C"/>
    <w:rsid w:val="25B57586"/>
    <w:rsid w:val="25B773F6"/>
    <w:rsid w:val="25B84F0F"/>
    <w:rsid w:val="25B86CE5"/>
    <w:rsid w:val="25BE3B1F"/>
    <w:rsid w:val="25BF0648"/>
    <w:rsid w:val="25C51333"/>
    <w:rsid w:val="25C64956"/>
    <w:rsid w:val="25C91C6F"/>
    <w:rsid w:val="25CA0F76"/>
    <w:rsid w:val="25CA71F3"/>
    <w:rsid w:val="25CB0FBC"/>
    <w:rsid w:val="25CB3C39"/>
    <w:rsid w:val="25CC13E1"/>
    <w:rsid w:val="25D3227B"/>
    <w:rsid w:val="25D954DE"/>
    <w:rsid w:val="25DA1D28"/>
    <w:rsid w:val="25DC3ED9"/>
    <w:rsid w:val="25DD339D"/>
    <w:rsid w:val="25E02821"/>
    <w:rsid w:val="25E11F8B"/>
    <w:rsid w:val="25E24086"/>
    <w:rsid w:val="25E311FD"/>
    <w:rsid w:val="25E36393"/>
    <w:rsid w:val="25E46AA9"/>
    <w:rsid w:val="25E473EA"/>
    <w:rsid w:val="25E53520"/>
    <w:rsid w:val="25E567A7"/>
    <w:rsid w:val="25E622E5"/>
    <w:rsid w:val="25E63280"/>
    <w:rsid w:val="25EB1AA8"/>
    <w:rsid w:val="25EC1BA3"/>
    <w:rsid w:val="25ED4701"/>
    <w:rsid w:val="25EE1902"/>
    <w:rsid w:val="25F013FE"/>
    <w:rsid w:val="25F548EE"/>
    <w:rsid w:val="25F63DA7"/>
    <w:rsid w:val="25F7527E"/>
    <w:rsid w:val="25F95FB0"/>
    <w:rsid w:val="25FF40B1"/>
    <w:rsid w:val="26064D94"/>
    <w:rsid w:val="260B04D9"/>
    <w:rsid w:val="260D2889"/>
    <w:rsid w:val="260F1E15"/>
    <w:rsid w:val="26102BBC"/>
    <w:rsid w:val="26144122"/>
    <w:rsid w:val="26144D7B"/>
    <w:rsid w:val="26157A02"/>
    <w:rsid w:val="26172E44"/>
    <w:rsid w:val="26175527"/>
    <w:rsid w:val="26193FCA"/>
    <w:rsid w:val="261C01E2"/>
    <w:rsid w:val="261C2C48"/>
    <w:rsid w:val="261D0B5A"/>
    <w:rsid w:val="261D53AC"/>
    <w:rsid w:val="262125D9"/>
    <w:rsid w:val="26215F4F"/>
    <w:rsid w:val="26236EB1"/>
    <w:rsid w:val="26245A7B"/>
    <w:rsid w:val="262616B4"/>
    <w:rsid w:val="262E41C8"/>
    <w:rsid w:val="26324570"/>
    <w:rsid w:val="26327CB5"/>
    <w:rsid w:val="2634044F"/>
    <w:rsid w:val="2639077B"/>
    <w:rsid w:val="263D4A60"/>
    <w:rsid w:val="264345C4"/>
    <w:rsid w:val="264D70EC"/>
    <w:rsid w:val="26533519"/>
    <w:rsid w:val="26545489"/>
    <w:rsid w:val="26677D23"/>
    <w:rsid w:val="266B1DF6"/>
    <w:rsid w:val="266B2A8F"/>
    <w:rsid w:val="266B45F8"/>
    <w:rsid w:val="266D11DC"/>
    <w:rsid w:val="267354ED"/>
    <w:rsid w:val="26754D6E"/>
    <w:rsid w:val="267F67D1"/>
    <w:rsid w:val="268158F0"/>
    <w:rsid w:val="26817F04"/>
    <w:rsid w:val="26831EC9"/>
    <w:rsid w:val="26853881"/>
    <w:rsid w:val="268735D3"/>
    <w:rsid w:val="26882D64"/>
    <w:rsid w:val="268907C4"/>
    <w:rsid w:val="268A7DD4"/>
    <w:rsid w:val="268D1F28"/>
    <w:rsid w:val="268E7C6E"/>
    <w:rsid w:val="269364D1"/>
    <w:rsid w:val="26942BE6"/>
    <w:rsid w:val="269448A2"/>
    <w:rsid w:val="26990243"/>
    <w:rsid w:val="269909FA"/>
    <w:rsid w:val="269C2D19"/>
    <w:rsid w:val="269C36EB"/>
    <w:rsid w:val="269F3F2E"/>
    <w:rsid w:val="26A01AA9"/>
    <w:rsid w:val="26A54056"/>
    <w:rsid w:val="26A64B87"/>
    <w:rsid w:val="26A76647"/>
    <w:rsid w:val="26A772A6"/>
    <w:rsid w:val="26AD333E"/>
    <w:rsid w:val="26B30D64"/>
    <w:rsid w:val="26B92159"/>
    <w:rsid w:val="26B970BC"/>
    <w:rsid w:val="26BF3756"/>
    <w:rsid w:val="26BF43FE"/>
    <w:rsid w:val="26C674FF"/>
    <w:rsid w:val="26C8746F"/>
    <w:rsid w:val="26CA18F9"/>
    <w:rsid w:val="26CA662E"/>
    <w:rsid w:val="26CF40B4"/>
    <w:rsid w:val="26D02203"/>
    <w:rsid w:val="26D14C9B"/>
    <w:rsid w:val="26D16018"/>
    <w:rsid w:val="26D670A7"/>
    <w:rsid w:val="26D752DB"/>
    <w:rsid w:val="26D76CA2"/>
    <w:rsid w:val="26DC736A"/>
    <w:rsid w:val="26DE7745"/>
    <w:rsid w:val="26DF027A"/>
    <w:rsid w:val="26E03714"/>
    <w:rsid w:val="26E20CC5"/>
    <w:rsid w:val="26E55866"/>
    <w:rsid w:val="26E61A05"/>
    <w:rsid w:val="26E66498"/>
    <w:rsid w:val="26E745B0"/>
    <w:rsid w:val="26E767F2"/>
    <w:rsid w:val="26E80D87"/>
    <w:rsid w:val="26E91006"/>
    <w:rsid w:val="26EB2F69"/>
    <w:rsid w:val="26ED069B"/>
    <w:rsid w:val="26F34B68"/>
    <w:rsid w:val="26F50EE9"/>
    <w:rsid w:val="26F73F63"/>
    <w:rsid w:val="26F75D51"/>
    <w:rsid w:val="26F87FD5"/>
    <w:rsid w:val="26F96584"/>
    <w:rsid w:val="26FC4A2E"/>
    <w:rsid w:val="26FE4A65"/>
    <w:rsid w:val="26FE55FB"/>
    <w:rsid w:val="270C6DF9"/>
    <w:rsid w:val="270D07B4"/>
    <w:rsid w:val="270F58C6"/>
    <w:rsid w:val="27127447"/>
    <w:rsid w:val="27145CEA"/>
    <w:rsid w:val="271A7A51"/>
    <w:rsid w:val="27227B59"/>
    <w:rsid w:val="272635C1"/>
    <w:rsid w:val="27277840"/>
    <w:rsid w:val="2728682D"/>
    <w:rsid w:val="272878EB"/>
    <w:rsid w:val="2729149F"/>
    <w:rsid w:val="272B5AA5"/>
    <w:rsid w:val="272D7C1F"/>
    <w:rsid w:val="27316F9A"/>
    <w:rsid w:val="27366784"/>
    <w:rsid w:val="2737500C"/>
    <w:rsid w:val="273E1FB6"/>
    <w:rsid w:val="273F0DF2"/>
    <w:rsid w:val="2741013D"/>
    <w:rsid w:val="27413943"/>
    <w:rsid w:val="274271D5"/>
    <w:rsid w:val="27473793"/>
    <w:rsid w:val="27482FF7"/>
    <w:rsid w:val="274A55D2"/>
    <w:rsid w:val="274B414B"/>
    <w:rsid w:val="274B47F5"/>
    <w:rsid w:val="274C7F09"/>
    <w:rsid w:val="274E6AD8"/>
    <w:rsid w:val="274E7845"/>
    <w:rsid w:val="275167D8"/>
    <w:rsid w:val="275206D3"/>
    <w:rsid w:val="275C53E0"/>
    <w:rsid w:val="275C6E3E"/>
    <w:rsid w:val="2761210A"/>
    <w:rsid w:val="27694E23"/>
    <w:rsid w:val="27696B90"/>
    <w:rsid w:val="276A20FB"/>
    <w:rsid w:val="277108C7"/>
    <w:rsid w:val="27717826"/>
    <w:rsid w:val="277215A9"/>
    <w:rsid w:val="27762E98"/>
    <w:rsid w:val="27787249"/>
    <w:rsid w:val="277924A6"/>
    <w:rsid w:val="2779659D"/>
    <w:rsid w:val="277A64AD"/>
    <w:rsid w:val="277A7C04"/>
    <w:rsid w:val="277C751D"/>
    <w:rsid w:val="277E26FE"/>
    <w:rsid w:val="277F2258"/>
    <w:rsid w:val="2780287F"/>
    <w:rsid w:val="27817380"/>
    <w:rsid w:val="278443E2"/>
    <w:rsid w:val="278454A2"/>
    <w:rsid w:val="27857FDA"/>
    <w:rsid w:val="27861942"/>
    <w:rsid w:val="27871DE1"/>
    <w:rsid w:val="2788682C"/>
    <w:rsid w:val="27890935"/>
    <w:rsid w:val="278A0904"/>
    <w:rsid w:val="278B0AFF"/>
    <w:rsid w:val="278C0057"/>
    <w:rsid w:val="278C0EBF"/>
    <w:rsid w:val="278C730F"/>
    <w:rsid w:val="27935D7B"/>
    <w:rsid w:val="279437A9"/>
    <w:rsid w:val="27956805"/>
    <w:rsid w:val="279A3DDC"/>
    <w:rsid w:val="279B7441"/>
    <w:rsid w:val="279C775D"/>
    <w:rsid w:val="279D7857"/>
    <w:rsid w:val="27A07E5C"/>
    <w:rsid w:val="27A35C54"/>
    <w:rsid w:val="27A74232"/>
    <w:rsid w:val="27AA155C"/>
    <w:rsid w:val="27AB15FD"/>
    <w:rsid w:val="27AB4110"/>
    <w:rsid w:val="27AC2C19"/>
    <w:rsid w:val="27AC5CEC"/>
    <w:rsid w:val="27AD1CE5"/>
    <w:rsid w:val="27B449FF"/>
    <w:rsid w:val="27B54BA0"/>
    <w:rsid w:val="27B61A19"/>
    <w:rsid w:val="27B95AC0"/>
    <w:rsid w:val="27BA5653"/>
    <w:rsid w:val="27BD7F15"/>
    <w:rsid w:val="27BE5CBE"/>
    <w:rsid w:val="27C0380D"/>
    <w:rsid w:val="27C35DCC"/>
    <w:rsid w:val="27CB3412"/>
    <w:rsid w:val="27CC63A1"/>
    <w:rsid w:val="27CE591C"/>
    <w:rsid w:val="27CE64E0"/>
    <w:rsid w:val="27D02239"/>
    <w:rsid w:val="27D17B12"/>
    <w:rsid w:val="27D248A9"/>
    <w:rsid w:val="27D50283"/>
    <w:rsid w:val="27D76CA3"/>
    <w:rsid w:val="27D9090E"/>
    <w:rsid w:val="27DA4584"/>
    <w:rsid w:val="27DB3EDB"/>
    <w:rsid w:val="27DC0836"/>
    <w:rsid w:val="27DC1F8E"/>
    <w:rsid w:val="27DD40F7"/>
    <w:rsid w:val="27DF6DB9"/>
    <w:rsid w:val="27E027FE"/>
    <w:rsid w:val="27E22514"/>
    <w:rsid w:val="27E437B8"/>
    <w:rsid w:val="27E560C0"/>
    <w:rsid w:val="27EF0CFE"/>
    <w:rsid w:val="27F03715"/>
    <w:rsid w:val="27F4149C"/>
    <w:rsid w:val="27FC4762"/>
    <w:rsid w:val="27FC7950"/>
    <w:rsid w:val="28007516"/>
    <w:rsid w:val="2801446D"/>
    <w:rsid w:val="28016C21"/>
    <w:rsid w:val="28046195"/>
    <w:rsid w:val="28093E63"/>
    <w:rsid w:val="280957F1"/>
    <w:rsid w:val="280975A5"/>
    <w:rsid w:val="280A1D84"/>
    <w:rsid w:val="280A2F20"/>
    <w:rsid w:val="280D5205"/>
    <w:rsid w:val="2814744B"/>
    <w:rsid w:val="28153397"/>
    <w:rsid w:val="28171975"/>
    <w:rsid w:val="281A25E4"/>
    <w:rsid w:val="281A7A93"/>
    <w:rsid w:val="281C05E2"/>
    <w:rsid w:val="282152F8"/>
    <w:rsid w:val="28250D48"/>
    <w:rsid w:val="28261BEB"/>
    <w:rsid w:val="282836A8"/>
    <w:rsid w:val="28294C82"/>
    <w:rsid w:val="282B60A0"/>
    <w:rsid w:val="283261F1"/>
    <w:rsid w:val="28330497"/>
    <w:rsid w:val="28340EAA"/>
    <w:rsid w:val="28343ED5"/>
    <w:rsid w:val="28376075"/>
    <w:rsid w:val="28390B26"/>
    <w:rsid w:val="283A6B5B"/>
    <w:rsid w:val="283B2176"/>
    <w:rsid w:val="283C0499"/>
    <w:rsid w:val="283D2D59"/>
    <w:rsid w:val="283E4383"/>
    <w:rsid w:val="284657F9"/>
    <w:rsid w:val="28495F92"/>
    <w:rsid w:val="284C562E"/>
    <w:rsid w:val="284D302B"/>
    <w:rsid w:val="284E3827"/>
    <w:rsid w:val="28505C97"/>
    <w:rsid w:val="28513CE3"/>
    <w:rsid w:val="28517DC7"/>
    <w:rsid w:val="285223EF"/>
    <w:rsid w:val="28556CE6"/>
    <w:rsid w:val="285B188A"/>
    <w:rsid w:val="285E3B40"/>
    <w:rsid w:val="28600517"/>
    <w:rsid w:val="28617324"/>
    <w:rsid w:val="28664CE2"/>
    <w:rsid w:val="286A1EFD"/>
    <w:rsid w:val="286D6A96"/>
    <w:rsid w:val="286E0A37"/>
    <w:rsid w:val="28704635"/>
    <w:rsid w:val="2874068C"/>
    <w:rsid w:val="28760888"/>
    <w:rsid w:val="2880617F"/>
    <w:rsid w:val="28821BD2"/>
    <w:rsid w:val="2883554F"/>
    <w:rsid w:val="28853CF6"/>
    <w:rsid w:val="28855985"/>
    <w:rsid w:val="288A28B4"/>
    <w:rsid w:val="288D768A"/>
    <w:rsid w:val="288E5220"/>
    <w:rsid w:val="288F7BF0"/>
    <w:rsid w:val="28973104"/>
    <w:rsid w:val="289A03E9"/>
    <w:rsid w:val="289B27AA"/>
    <w:rsid w:val="289C6AF1"/>
    <w:rsid w:val="289E7BEA"/>
    <w:rsid w:val="289F091A"/>
    <w:rsid w:val="28A0413F"/>
    <w:rsid w:val="28A10C81"/>
    <w:rsid w:val="28A349F9"/>
    <w:rsid w:val="28A504A9"/>
    <w:rsid w:val="28A65C8F"/>
    <w:rsid w:val="28A856AA"/>
    <w:rsid w:val="28AC23AD"/>
    <w:rsid w:val="28B06610"/>
    <w:rsid w:val="28B14E49"/>
    <w:rsid w:val="28B45AE7"/>
    <w:rsid w:val="28BA5B25"/>
    <w:rsid w:val="28BC18A3"/>
    <w:rsid w:val="28BC3D0D"/>
    <w:rsid w:val="28C0355E"/>
    <w:rsid w:val="28C528AC"/>
    <w:rsid w:val="28D12AB6"/>
    <w:rsid w:val="28D71C54"/>
    <w:rsid w:val="28D81A24"/>
    <w:rsid w:val="28D82689"/>
    <w:rsid w:val="28D84A2B"/>
    <w:rsid w:val="28DC63A8"/>
    <w:rsid w:val="28DE665D"/>
    <w:rsid w:val="28DF4370"/>
    <w:rsid w:val="28E15D60"/>
    <w:rsid w:val="28E756B0"/>
    <w:rsid w:val="28E94E57"/>
    <w:rsid w:val="28EC2913"/>
    <w:rsid w:val="28EC45F2"/>
    <w:rsid w:val="28EF0462"/>
    <w:rsid w:val="28F06365"/>
    <w:rsid w:val="28F138BF"/>
    <w:rsid w:val="28F22101"/>
    <w:rsid w:val="28F4155B"/>
    <w:rsid w:val="28F624EE"/>
    <w:rsid w:val="28F66332"/>
    <w:rsid w:val="28F84F84"/>
    <w:rsid w:val="28F91A97"/>
    <w:rsid w:val="28FB1B21"/>
    <w:rsid w:val="28FE231D"/>
    <w:rsid w:val="28FF2995"/>
    <w:rsid w:val="29011462"/>
    <w:rsid w:val="29041346"/>
    <w:rsid w:val="29043336"/>
    <w:rsid w:val="2906111A"/>
    <w:rsid w:val="290833AE"/>
    <w:rsid w:val="290A0F1C"/>
    <w:rsid w:val="290A2BE3"/>
    <w:rsid w:val="290B50DB"/>
    <w:rsid w:val="290C4367"/>
    <w:rsid w:val="290E1A30"/>
    <w:rsid w:val="29112033"/>
    <w:rsid w:val="29116294"/>
    <w:rsid w:val="291245CA"/>
    <w:rsid w:val="29131AF2"/>
    <w:rsid w:val="291D63D2"/>
    <w:rsid w:val="29247478"/>
    <w:rsid w:val="29251338"/>
    <w:rsid w:val="29275B38"/>
    <w:rsid w:val="29295687"/>
    <w:rsid w:val="292A4E76"/>
    <w:rsid w:val="292B4E84"/>
    <w:rsid w:val="292D3996"/>
    <w:rsid w:val="29341E48"/>
    <w:rsid w:val="29357A83"/>
    <w:rsid w:val="2936054C"/>
    <w:rsid w:val="293633A8"/>
    <w:rsid w:val="29386ABE"/>
    <w:rsid w:val="2939544F"/>
    <w:rsid w:val="293B131C"/>
    <w:rsid w:val="293C7572"/>
    <w:rsid w:val="293E45B3"/>
    <w:rsid w:val="29410A4A"/>
    <w:rsid w:val="29450CBC"/>
    <w:rsid w:val="29474B48"/>
    <w:rsid w:val="29475B0B"/>
    <w:rsid w:val="29481367"/>
    <w:rsid w:val="294837F2"/>
    <w:rsid w:val="294973CB"/>
    <w:rsid w:val="294B7DE9"/>
    <w:rsid w:val="294C168E"/>
    <w:rsid w:val="295119ED"/>
    <w:rsid w:val="29591CCB"/>
    <w:rsid w:val="295C33A0"/>
    <w:rsid w:val="295C7210"/>
    <w:rsid w:val="295D53E7"/>
    <w:rsid w:val="295F1FE9"/>
    <w:rsid w:val="296263DD"/>
    <w:rsid w:val="29627CA6"/>
    <w:rsid w:val="29687E03"/>
    <w:rsid w:val="296B5038"/>
    <w:rsid w:val="296D746F"/>
    <w:rsid w:val="296F3722"/>
    <w:rsid w:val="29701412"/>
    <w:rsid w:val="29755792"/>
    <w:rsid w:val="29766AA9"/>
    <w:rsid w:val="29772C0F"/>
    <w:rsid w:val="29783B5A"/>
    <w:rsid w:val="2978652E"/>
    <w:rsid w:val="297B7724"/>
    <w:rsid w:val="297E54B9"/>
    <w:rsid w:val="29835948"/>
    <w:rsid w:val="29856B6A"/>
    <w:rsid w:val="29910CA1"/>
    <w:rsid w:val="29974748"/>
    <w:rsid w:val="29974A28"/>
    <w:rsid w:val="29AB044A"/>
    <w:rsid w:val="29B015A7"/>
    <w:rsid w:val="29B25C6F"/>
    <w:rsid w:val="29B570DA"/>
    <w:rsid w:val="29B63F49"/>
    <w:rsid w:val="29BA120C"/>
    <w:rsid w:val="29BC51C0"/>
    <w:rsid w:val="29BF1D06"/>
    <w:rsid w:val="29C07BB3"/>
    <w:rsid w:val="29C33AF8"/>
    <w:rsid w:val="29C45989"/>
    <w:rsid w:val="29C50154"/>
    <w:rsid w:val="29C75310"/>
    <w:rsid w:val="29C76FB0"/>
    <w:rsid w:val="29CF2110"/>
    <w:rsid w:val="29D5409F"/>
    <w:rsid w:val="29D70375"/>
    <w:rsid w:val="29D858F4"/>
    <w:rsid w:val="29DA283E"/>
    <w:rsid w:val="29DA30BE"/>
    <w:rsid w:val="29DD7D20"/>
    <w:rsid w:val="29DE4906"/>
    <w:rsid w:val="29E01BFF"/>
    <w:rsid w:val="29E57E92"/>
    <w:rsid w:val="29E85E60"/>
    <w:rsid w:val="29EB1686"/>
    <w:rsid w:val="29EC34C6"/>
    <w:rsid w:val="29EF0144"/>
    <w:rsid w:val="29F361E1"/>
    <w:rsid w:val="29F81286"/>
    <w:rsid w:val="29F91C7C"/>
    <w:rsid w:val="29FB3EB8"/>
    <w:rsid w:val="29FB4442"/>
    <w:rsid w:val="29FD75BB"/>
    <w:rsid w:val="29FE55BC"/>
    <w:rsid w:val="2A024E66"/>
    <w:rsid w:val="2A036CB1"/>
    <w:rsid w:val="2A04175F"/>
    <w:rsid w:val="2A0866C9"/>
    <w:rsid w:val="2A09639D"/>
    <w:rsid w:val="2A102A03"/>
    <w:rsid w:val="2A137D64"/>
    <w:rsid w:val="2A191200"/>
    <w:rsid w:val="2A19456D"/>
    <w:rsid w:val="2A1A5203"/>
    <w:rsid w:val="2A205201"/>
    <w:rsid w:val="2A213E21"/>
    <w:rsid w:val="2A224677"/>
    <w:rsid w:val="2A264F50"/>
    <w:rsid w:val="2A2819D4"/>
    <w:rsid w:val="2A2906E7"/>
    <w:rsid w:val="2A2F1014"/>
    <w:rsid w:val="2A2F6817"/>
    <w:rsid w:val="2A2F751F"/>
    <w:rsid w:val="2A302AEF"/>
    <w:rsid w:val="2A360F19"/>
    <w:rsid w:val="2A3C392E"/>
    <w:rsid w:val="2A3E70CF"/>
    <w:rsid w:val="2A435F70"/>
    <w:rsid w:val="2A454796"/>
    <w:rsid w:val="2A4931EC"/>
    <w:rsid w:val="2A4B32B0"/>
    <w:rsid w:val="2A4E3471"/>
    <w:rsid w:val="2A4F6B68"/>
    <w:rsid w:val="2A5120DD"/>
    <w:rsid w:val="2A523115"/>
    <w:rsid w:val="2A5520BC"/>
    <w:rsid w:val="2A5A6572"/>
    <w:rsid w:val="2A611139"/>
    <w:rsid w:val="2A65595D"/>
    <w:rsid w:val="2A664470"/>
    <w:rsid w:val="2A69523E"/>
    <w:rsid w:val="2A6B6038"/>
    <w:rsid w:val="2A6F4C41"/>
    <w:rsid w:val="2A702BC2"/>
    <w:rsid w:val="2A745B3F"/>
    <w:rsid w:val="2A752D39"/>
    <w:rsid w:val="2A7551F9"/>
    <w:rsid w:val="2A755B0B"/>
    <w:rsid w:val="2A7774A8"/>
    <w:rsid w:val="2A781827"/>
    <w:rsid w:val="2A7A3E7F"/>
    <w:rsid w:val="2A7E571E"/>
    <w:rsid w:val="2A7F56CB"/>
    <w:rsid w:val="2A926529"/>
    <w:rsid w:val="2A97058D"/>
    <w:rsid w:val="2A987409"/>
    <w:rsid w:val="2A9922D2"/>
    <w:rsid w:val="2A9A086C"/>
    <w:rsid w:val="2A9B1D2F"/>
    <w:rsid w:val="2AA1254C"/>
    <w:rsid w:val="2AA4746D"/>
    <w:rsid w:val="2AAC5392"/>
    <w:rsid w:val="2AAD1601"/>
    <w:rsid w:val="2AAE7F7E"/>
    <w:rsid w:val="2AAF76F0"/>
    <w:rsid w:val="2AB033FD"/>
    <w:rsid w:val="2AB5278C"/>
    <w:rsid w:val="2AB56202"/>
    <w:rsid w:val="2AB948A9"/>
    <w:rsid w:val="2AB94C0C"/>
    <w:rsid w:val="2ABC27D7"/>
    <w:rsid w:val="2ABC4089"/>
    <w:rsid w:val="2ABF55A3"/>
    <w:rsid w:val="2AC10742"/>
    <w:rsid w:val="2AC60EF4"/>
    <w:rsid w:val="2ACA5A59"/>
    <w:rsid w:val="2ACF5329"/>
    <w:rsid w:val="2AD05046"/>
    <w:rsid w:val="2AD10396"/>
    <w:rsid w:val="2AD22892"/>
    <w:rsid w:val="2AD57308"/>
    <w:rsid w:val="2ADA0B47"/>
    <w:rsid w:val="2ADB7341"/>
    <w:rsid w:val="2AE0548C"/>
    <w:rsid w:val="2AE24B2B"/>
    <w:rsid w:val="2AE25FF9"/>
    <w:rsid w:val="2AE33ABC"/>
    <w:rsid w:val="2AE74DD0"/>
    <w:rsid w:val="2AEA24C3"/>
    <w:rsid w:val="2AEE11A9"/>
    <w:rsid w:val="2AEF107C"/>
    <w:rsid w:val="2AF05E7F"/>
    <w:rsid w:val="2AF068FD"/>
    <w:rsid w:val="2AF11252"/>
    <w:rsid w:val="2AF44F3E"/>
    <w:rsid w:val="2AF4693F"/>
    <w:rsid w:val="2AF83748"/>
    <w:rsid w:val="2AF869AE"/>
    <w:rsid w:val="2AF91FDB"/>
    <w:rsid w:val="2AFC0D73"/>
    <w:rsid w:val="2AFC197A"/>
    <w:rsid w:val="2AFF2395"/>
    <w:rsid w:val="2B0463EB"/>
    <w:rsid w:val="2B067C5B"/>
    <w:rsid w:val="2B081151"/>
    <w:rsid w:val="2B096F0E"/>
    <w:rsid w:val="2B0A7B11"/>
    <w:rsid w:val="2B0B0AA8"/>
    <w:rsid w:val="2B0D41BB"/>
    <w:rsid w:val="2B0D7C58"/>
    <w:rsid w:val="2B1135DF"/>
    <w:rsid w:val="2B113FD3"/>
    <w:rsid w:val="2B115909"/>
    <w:rsid w:val="2B125E66"/>
    <w:rsid w:val="2B186D98"/>
    <w:rsid w:val="2B194F5C"/>
    <w:rsid w:val="2B1A6475"/>
    <w:rsid w:val="2B1B1323"/>
    <w:rsid w:val="2B1C0C64"/>
    <w:rsid w:val="2B1C3DB4"/>
    <w:rsid w:val="2B227DE3"/>
    <w:rsid w:val="2B240326"/>
    <w:rsid w:val="2B247A52"/>
    <w:rsid w:val="2B266C6E"/>
    <w:rsid w:val="2B284B68"/>
    <w:rsid w:val="2B3362D4"/>
    <w:rsid w:val="2B357DD6"/>
    <w:rsid w:val="2B36645A"/>
    <w:rsid w:val="2B3B016F"/>
    <w:rsid w:val="2B3B5DFE"/>
    <w:rsid w:val="2B403175"/>
    <w:rsid w:val="2B4114D5"/>
    <w:rsid w:val="2B43497A"/>
    <w:rsid w:val="2B464BEB"/>
    <w:rsid w:val="2B487612"/>
    <w:rsid w:val="2B490125"/>
    <w:rsid w:val="2B4A23D1"/>
    <w:rsid w:val="2B4B36FF"/>
    <w:rsid w:val="2B5205AF"/>
    <w:rsid w:val="2B5C7894"/>
    <w:rsid w:val="2B5D1579"/>
    <w:rsid w:val="2B6562D3"/>
    <w:rsid w:val="2B686388"/>
    <w:rsid w:val="2B6A58FB"/>
    <w:rsid w:val="2B6B750C"/>
    <w:rsid w:val="2B740004"/>
    <w:rsid w:val="2B785D3C"/>
    <w:rsid w:val="2B7D401E"/>
    <w:rsid w:val="2B7D5B8F"/>
    <w:rsid w:val="2B851CB7"/>
    <w:rsid w:val="2B852687"/>
    <w:rsid w:val="2B871EC2"/>
    <w:rsid w:val="2B8A0B04"/>
    <w:rsid w:val="2B8D3206"/>
    <w:rsid w:val="2B8D74F2"/>
    <w:rsid w:val="2B8E1F03"/>
    <w:rsid w:val="2B8E7BE2"/>
    <w:rsid w:val="2B932B42"/>
    <w:rsid w:val="2B936FA7"/>
    <w:rsid w:val="2B937A70"/>
    <w:rsid w:val="2B9416B4"/>
    <w:rsid w:val="2B945E22"/>
    <w:rsid w:val="2B950BAC"/>
    <w:rsid w:val="2B9626D3"/>
    <w:rsid w:val="2B9B5222"/>
    <w:rsid w:val="2BA054FE"/>
    <w:rsid w:val="2BA613A2"/>
    <w:rsid w:val="2BA615D6"/>
    <w:rsid w:val="2BA81698"/>
    <w:rsid w:val="2BAB466B"/>
    <w:rsid w:val="2BAC11FE"/>
    <w:rsid w:val="2BAD05E2"/>
    <w:rsid w:val="2BB03972"/>
    <w:rsid w:val="2BB45511"/>
    <w:rsid w:val="2BB67924"/>
    <w:rsid w:val="2BB7389D"/>
    <w:rsid w:val="2BBD1B4D"/>
    <w:rsid w:val="2BBE1332"/>
    <w:rsid w:val="2BC36926"/>
    <w:rsid w:val="2BC4598B"/>
    <w:rsid w:val="2BC81964"/>
    <w:rsid w:val="2BCC13E2"/>
    <w:rsid w:val="2BCC52AB"/>
    <w:rsid w:val="2BCE582A"/>
    <w:rsid w:val="2BD26B1D"/>
    <w:rsid w:val="2BD66D2F"/>
    <w:rsid w:val="2BDC5E0E"/>
    <w:rsid w:val="2BE32FA6"/>
    <w:rsid w:val="2BE43EFD"/>
    <w:rsid w:val="2BE824C1"/>
    <w:rsid w:val="2BE861C9"/>
    <w:rsid w:val="2BE87709"/>
    <w:rsid w:val="2BEE0AFA"/>
    <w:rsid w:val="2BEE40D1"/>
    <w:rsid w:val="2BF05480"/>
    <w:rsid w:val="2BF12638"/>
    <w:rsid w:val="2BF32DDD"/>
    <w:rsid w:val="2BF44D9C"/>
    <w:rsid w:val="2BF97735"/>
    <w:rsid w:val="2BFA4368"/>
    <w:rsid w:val="2BFB77B1"/>
    <w:rsid w:val="2BFF288E"/>
    <w:rsid w:val="2C002162"/>
    <w:rsid w:val="2C041C52"/>
    <w:rsid w:val="2C044CCD"/>
    <w:rsid w:val="2C06547B"/>
    <w:rsid w:val="2C0D4002"/>
    <w:rsid w:val="2C0E0DFC"/>
    <w:rsid w:val="2C0E6982"/>
    <w:rsid w:val="2C104070"/>
    <w:rsid w:val="2C116303"/>
    <w:rsid w:val="2C1520B2"/>
    <w:rsid w:val="2C194CE9"/>
    <w:rsid w:val="2C1A40FC"/>
    <w:rsid w:val="2C1C5262"/>
    <w:rsid w:val="2C1E708F"/>
    <w:rsid w:val="2C1E7C6F"/>
    <w:rsid w:val="2C214A48"/>
    <w:rsid w:val="2C2161AA"/>
    <w:rsid w:val="2C27027B"/>
    <w:rsid w:val="2C277C1E"/>
    <w:rsid w:val="2C286FF9"/>
    <w:rsid w:val="2C2960FC"/>
    <w:rsid w:val="2C2B021E"/>
    <w:rsid w:val="2C2D2D0D"/>
    <w:rsid w:val="2C375944"/>
    <w:rsid w:val="2C3B155A"/>
    <w:rsid w:val="2C3F2EB7"/>
    <w:rsid w:val="2C454CDB"/>
    <w:rsid w:val="2C4D184B"/>
    <w:rsid w:val="2C4D7F46"/>
    <w:rsid w:val="2C4F0497"/>
    <w:rsid w:val="2C506442"/>
    <w:rsid w:val="2C541335"/>
    <w:rsid w:val="2C57251C"/>
    <w:rsid w:val="2C5C51D5"/>
    <w:rsid w:val="2C5F6823"/>
    <w:rsid w:val="2C605945"/>
    <w:rsid w:val="2C62700C"/>
    <w:rsid w:val="2C65438B"/>
    <w:rsid w:val="2C6631F9"/>
    <w:rsid w:val="2C685693"/>
    <w:rsid w:val="2C6967BE"/>
    <w:rsid w:val="2C6E047E"/>
    <w:rsid w:val="2C7374C1"/>
    <w:rsid w:val="2C750454"/>
    <w:rsid w:val="2C77194B"/>
    <w:rsid w:val="2C78360C"/>
    <w:rsid w:val="2C791DFE"/>
    <w:rsid w:val="2C7B41AF"/>
    <w:rsid w:val="2C7E0EC4"/>
    <w:rsid w:val="2C7E31EF"/>
    <w:rsid w:val="2C8132A3"/>
    <w:rsid w:val="2C844B41"/>
    <w:rsid w:val="2C877BAF"/>
    <w:rsid w:val="2C896503"/>
    <w:rsid w:val="2C8A1A4E"/>
    <w:rsid w:val="2C8E4410"/>
    <w:rsid w:val="2C8F3D1D"/>
    <w:rsid w:val="2C8F6315"/>
    <w:rsid w:val="2C907D44"/>
    <w:rsid w:val="2C917D80"/>
    <w:rsid w:val="2C9416C9"/>
    <w:rsid w:val="2C942FC4"/>
    <w:rsid w:val="2C974C95"/>
    <w:rsid w:val="2C9D53B1"/>
    <w:rsid w:val="2C9F04DE"/>
    <w:rsid w:val="2CA22DF0"/>
    <w:rsid w:val="2CA44196"/>
    <w:rsid w:val="2CA73697"/>
    <w:rsid w:val="2CAC40FB"/>
    <w:rsid w:val="2CAD772D"/>
    <w:rsid w:val="2CB0248B"/>
    <w:rsid w:val="2CB063A3"/>
    <w:rsid w:val="2CB10B57"/>
    <w:rsid w:val="2CB54B9C"/>
    <w:rsid w:val="2CB87A66"/>
    <w:rsid w:val="2CBE2DC2"/>
    <w:rsid w:val="2CBE5720"/>
    <w:rsid w:val="2CC0642B"/>
    <w:rsid w:val="2CC73674"/>
    <w:rsid w:val="2CC80A14"/>
    <w:rsid w:val="2CC83363"/>
    <w:rsid w:val="2CC83457"/>
    <w:rsid w:val="2CCD59E0"/>
    <w:rsid w:val="2CCE16F2"/>
    <w:rsid w:val="2CCE6BEB"/>
    <w:rsid w:val="2CD15D7C"/>
    <w:rsid w:val="2CD24FC6"/>
    <w:rsid w:val="2CD6400B"/>
    <w:rsid w:val="2CD85700"/>
    <w:rsid w:val="2CDA6053"/>
    <w:rsid w:val="2CE85A97"/>
    <w:rsid w:val="2CEA1DE2"/>
    <w:rsid w:val="2CEB2E12"/>
    <w:rsid w:val="2CF11B08"/>
    <w:rsid w:val="2CF15C47"/>
    <w:rsid w:val="2CF71927"/>
    <w:rsid w:val="2CFC7880"/>
    <w:rsid w:val="2D006738"/>
    <w:rsid w:val="2D011501"/>
    <w:rsid w:val="2D0352B4"/>
    <w:rsid w:val="2D0434FD"/>
    <w:rsid w:val="2D045DB8"/>
    <w:rsid w:val="2D057B99"/>
    <w:rsid w:val="2D08251D"/>
    <w:rsid w:val="2D086BBC"/>
    <w:rsid w:val="2D0D39D2"/>
    <w:rsid w:val="2D0D452C"/>
    <w:rsid w:val="2D0D51A5"/>
    <w:rsid w:val="2D0E3C4C"/>
    <w:rsid w:val="2D106D1F"/>
    <w:rsid w:val="2D141AD4"/>
    <w:rsid w:val="2D17361D"/>
    <w:rsid w:val="2D174E97"/>
    <w:rsid w:val="2D1B3EAA"/>
    <w:rsid w:val="2D1D497B"/>
    <w:rsid w:val="2D233594"/>
    <w:rsid w:val="2D262384"/>
    <w:rsid w:val="2D265A5D"/>
    <w:rsid w:val="2D28247E"/>
    <w:rsid w:val="2D2C20F4"/>
    <w:rsid w:val="2D2E5B44"/>
    <w:rsid w:val="2D2E5CFC"/>
    <w:rsid w:val="2D2E6BC9"/>
    <w:rsid w:val="2D302CEA"/>
    <w:rsid w:val="2D31142D"/>
    <w:rsid w:val="2D382B32"/>
    <w:rsid w:val="2D3E2E39"/>
    <w:rsid w:val="2D4367AA"/>
    <w:rsid w:val="2D44383F"/>
    <w:rsid w:val="2D4441A5"/>
    <w:rsid w:val="2D4A18E7"/>
    <w:rsid w:val="2D4D460A"/>
    <w:rsid w:val="2D4F024E"/>
    <w:rsid w:val="2D506162"/>
    <w:rsid w:val="2D581200"/>
    <w:rsid w:val="2D5B0DF0"/>
    <w:rsid w:val="2D5B1712"/>
    <w:rsid w:val="2D5D5820"/>
    <w:rsid w:val="2D5F5730"/>
    <w:rsid w:val="2D643919"/>
    <w:rsid w:val="2D6A3D37"/>
    <w:rsid w:val="2D6C7950"/>
    <w:rsid w:val="2D6F2144"/>
    <w:rsid w:val="2D7053B5"/>
    <w:rsid w:val="2D71745E"/>
    <w:rsid w:val="2D753303"/>
    <w:rsid w:val="2D7547DE"/>
    <w:rsid w:val="2D7E7C40"/>
    <w:rsid w:val="2D800417"/>
    <w:rsid w:val="2D821D2E"/>
    <w:rsid w:val="2D831CD4"/>
    <w:rsid w:val="2D83304B"/>
    <w:rsid w:val="2D837574"/>
    <w:rsid w:val="2D842F3D"/>
    <w:rsid w:val="2D8722FC"/>
    <w:rsid w:val="2D872B3B"/>
    <w:rsid w:val="2D8B0D1B"/>
    <w:rsid w:val="2D8F60D8"/>
    <w:rsid w:val="2D913E2D"/>
    <w:rsid w:val="2D970330"/>
    <w:rsid w:val="2D990AC0"/>
    <w:rsid w:val="2DA56B08"/>
    <w:rsid w:val="2DAB2232"/>
    <w:rsid w:val="2DAC1FE6"/>
    <w:rsid w:val="2DAD2467"/>
    <w:rsid w:val="2DAD345A"/>
    <w:rsid w:val="2DAE06CC"/>
    <w:rsid w:val="2DB37C4B"/>
    <w:rsid w:val="2DB56F81"/>
    <w:rsid w:val="2DB90B37"/>
    <w:rsid w:val="2DBB03DE"/>
    <w:rsid w:val="2DBC4DFA"/>
    <w:rsid w:val="2DBC70EA"/>
    <w:rsid w:val="2DBF56D4"/>
    <w:rsid w:val="2DC23B73"/>
    <w:rsid w:val="2DCC4EAA"/>
    <w:rsid w:val="2DD34C95"/>
    <w:rsid w:val="2DD366DD"/>
    <w:rsid w:val="2DD410FC"/>
    <w:rsid w:val="2DD8146A"/>
    <w:rsid w:val="2DD85FF6"/>
    <w:rsid w:val="2DDC2996"/>
    <w:rsid w:val="2DDD2C93"/>
    <w:rsid w:val="2DE17C47"/>
    <w:rsid w:val="2DE42621"/>
    <w:rsid w:val="2DF328DF"/>
    <w:rsid w:val="2DF57043"/>
    <w:rsid w:val="2DFB0CFD"/>
    <w:rsid w:val="2DFC163C"/>
    <w:rsid w:val="2DFE0923"/>
    <w:rsid w:val="2DFE3326"/>
    <w:rsid w:val="2DFF182D"/>
    <w:rsid w:val="2DFF3E40"/>
    <w:rsid w:val="2DFF601B"/>
    <w:rsid w:val="2E002B06"/>
    <w:rsid w:val="2E013E72"/>
    <w:rsid w:val="2E0349BB"/>
    <w:rsid w:val="2E034A0D"/>
    <w:rsid w:val="2E035F90"/>
    <w:rsid w:val="2E0573D3"/>
    <w:rsid w:val="2E097564"/>
    <w:rsid w:val="2E0E5C82"/>
    <w:rsid w:val="2E0E6014"/>
    <w:rsid w:val="2E0F0F14"/>
    <w:rsid w:val="2E0F48DF"/>
    <w:rsid w:val="2E0F650A"/>
    <w:rsid w:val="2E13323D"/>
    <w:rsid w:val="2E1C68B2"/>
    <w:rsid w:val="2E205348"/>
    <w:rsid w:val="2E226E79"/>
    <w:rsid w:val="2E2335A9"/>
    <w:rsid w:val="2E25369B"/>
    <w:rsid w:val="2E256949"/>
    <w:rsid w:val="2E29214F"/>
    <w:rsid w:val="2E2A302D"/>
    <w:rsid w:val="2E2A34C6"/>
    <w:rsid w:val="2E2A6429"/>
    <w:rsid w:val="2E2B6E2B"/>
    <w:rsid w:val="2E2E7A92"/>
    <w:rsid w:val="2E33181E"/>
    <w:rsid w:val="2E3456B1"/>
    <w:rsid w:val="2E355705"/>
    <w:rsid w:val="2E377971"/>
    <w:rsid w:val="2E3D3D12"/>
    <w:rsid w:val="2E3D769E"/>
    <w:rsid w:val="2E427D0E"/>
    <w:rsid w:val="2E446AD1"/>
    <w:rsid w:val="2E460067"/>
    <w:rsid w:val="2E470981"/>
    <w:rsid w:val="2E4834F6"/>
    <w:rsid w:val="2E4A7EB5"/>
    <w:rsid w:val="2E4C147C"/>
    <w:rsid w:val="2E57653F"/>
    <w:rsid w:val="2E597CFD"/>
    <w:rsid w:val="2E606113"/>
    <w:rsid w:val="2E623782"/>
    <w:rsid w:val="2E6A4DFF"/>
    <w:rsid w:val="2E6C0977"/>
    <w:rsid w:val="2E6C5938"/>
    <w:rsid w:val="2E6F4119"/>
    <w:rsid w:val="2E7057C2"/>
    <w:rsid w:val="2E783B10"/>
    <w:rsid w:val="2E846B9D"/>
    <w:rsid w:val="2E855286"/>
    <w:rsid w:val="2E875DCA"/>
    <w:rsid w:val="2E8B7DD1"/>
    <w:rsid w:val="2E8D7E94"/>
    <w:rsid w:val="2E8F3650"/>
    <w:rsid w:val="2E9217AD"/>
    <w:rsid w:val="2E923D0D"/>
    <w:rsid w:val="2E9E177F"/>
    <w:rsid w:val="2E9F4116"/>
    <w:rsid w:val="2EA11F28"/>
    <w:rsid w:val="2EA20593"/>
    <w:rsid w:val="2EA2406F"/>
    <w:rsid w:val="2EA32CCD"/>
    <w:rsid w:val="2EA60B92"/>
    <w:rsid w:val="2EA84D5E"/>
    <w:rsid w:val="2EAB5B12"/>
    <w:rsid w:val="2EB1632E"/>
    <w:rsid w:val="2EB37960"/>
    <w:rsid w:val="2EB447AF"/>
    <w:rsid w:val="2EB4699C"/>
    <w:rsid w:val="2EB53BFB"/>
    <w:rsid w:val="2EB96286"/>
    <w:rsid w:val="2EB97A68"/>
    <w:rsid w:val="2EBB3E0A"/>
    <w:rsid w:val="2EBD7709"/>
    <w:rsid w:val="2EC17BCE"/>
    <w:rsid w:val="2ED36616"/>
    <w:rsid w:val="2ED41928"/>
    <w:rsid w:val="2ED52D19"/>
    <w:rsid w:val="2EDA4C86"/>
    <w:rsid w:val="2EDC036F"/>
    <w:rsid w:val="2EDC33F8"/>
    <w:rsid w:val="2EDD6A5B"/>
    <w:rsid w:val="2EE027E8"/>
    <w:rsid w:val="2EE56B5D"/>
    <w:rsid w:val="2EE67B0A"/>
    <w:rsid w:val="2EE848E7"/>
    <w:rsid w:val="2EE946DF"/>
    <w:rsid w:val="2EED2BC6"/>
    <w:rsid w:val="2EEF4E14"/>
    <w:rsid w:val="2EF41CC9"/>
    <w:rsid w:val="2EF7595B"/>
    <w:rsid w:val="2EF830F5"/>
    <w:rsid w:val="2EFB3DC5"/>
    <w:rsid w:val="2EFB68D6"/>
    <w:rsid w:val="2F0003D4"/>
    <w:rsid w:val="2F00322A"/>
    <w:rsid w:val="2F006348"/>
    <w:rsid w:val="2F053722"/>
    <w:rsid w:val="2F070D18"/>
    <w:rsid w:val="2F0E7651"/>
    <w:rsid w:val="2F106200"/>
    <w:rsid w:val="2F123E21"/>
    <w:rsid w:val="2F16063C"/>
    <w:rsid w:val="2F17239A"/>
    <w:rsid w:val="2F1964B0"/>
    <w:rsid w:val="2F196F0F"/>
    <w:rsid w:val="2F1D7537"/>
    <w:rsid w:val="2F1F3EDF"/>
    <w:rsid w:val="2F2014D1"/>
    <w:rsid w:val="2F20747D"/>
    <w:rsid w:val="2F260132"/>
    <w:rsid w:val="2F270B57"/>
    <w:rsid w:val="2F27590D"/>
    <w:rsid w:val="2F27710F"/>
    <w:rsid w:val="2F281646"/>
    <w:rsid w:val="2F2A651E"/>
    <w:rsid w:val="2F2C7FF7"/>
    <w:rsid w:val="2F2D3340"/>
    <w:rsid w:val="2F2E5C57"/>
    <w:rsid w:val="2F30212C"/>
    <w:rsid w:val="2F315864"/>
    <w:rsid w:val="2F32137F"/>
    <w:rsid w:val="2F351AE9"/>
    <w:rsid w:val="2F356E15"/>
    <w:rsid w:val="2F383F7A"/>
    <w:rsid w:val="2F3A3B2A"/>
    <w:rsid w:val="2F3B6C23"/>
    <w:rsid w:val="2F3E6D36"/>
    <w:rsid w:val="2F424C27"/>
    <w:rsid w:val="2F456409"/>
    <w:rsid w:val="2F491769"/>
    <w:rsid w:val="2F4B2B42"/>
    <w:rsid w:val="2F4B56FE"/>
    <w:rsid w:val="2F4C15AA"/>
    <w:rsid w:val="2F5132F9"/>
    <w:rsid w:val="2F513DD4"/>
    <w:rsid w:val="2F514063"/>
    <w:rsid w:val="2F516DBD"/>
    <w:rsid w:val="2F533C52"/>
    <w:rsid w:val="2F562F7B"/>
    <w:rsid w:val="2F57653D"/>
    <w:rsid w:val="2F5861CE"/>
    <w:rsid w:val="2F5F4E9B"/>
    <w:rsid w:val="2F5F6A66"/>
    <w:rsid w:val="2F645535"/>
    <w:rsid w:val="2F672DE1"/>
    <w:rsid w:val="2F6A2FBA"/>
    <w:rsid w:val="2F6B6C1F"/>
    <w:rsid w:val="2F6E0A8E"/>
    <w:rsid w:val="2F6E6146"/>
    <w:rsid w:val="2F71797B"/>
    <w:rsid w:val="2F762ECF"/>
    <w:rsid w:val="2F79396A"/>
    <w:rsid w:val="2F794388"/>
    <w:rsid w:val="2F797559"/>
    <w:rsid w:val="2F7B09F7"/>
    <w:rsid w:val="2F7B1ACD"/>
    <w:rsid w:val="2F84513A"/>
    <w:rsid w:val="2F847616"/>
    <w:rsid w:val="2F89354E"/>
    <w:rsid w:val="2F900A2C"/>
    <w:rsid w:val="2F926167"/>
    <w:rsid w:val="2F934EE0"/>
    <w:rsid w:val="2F952D05"/>
    <w:rsid w:val="2F985348"/>
    <w:rsid w:val="2F9A1DF7"/>
    <w:rsid w:val="2F9A7834"/>
    <w:rsid w:val="2F9C7C0E"/>
    <w:rsid w:val="2F9E1705"/>
    <w:rsid w:val="2FA6565E"/>
    <w:rsid w:val="2FA67734"/>
    <w:rsid w:val="2FA70441"/>
    <w:rsid w:val="2FA825D2"/>
    <w:rsid w:val="2FB02672"/>
    <w:rsid w:val="2FB120F1"/>
    <w:rsid w:val="2FB34EB5"/>
    <w:rsid w:val="2FB500DD"/>
    <w:rsid w:val="2FB50F3A"/>
    <w:rsid w:val="2FB90E30"/>
    <w:rsid w:val="2FBA5307"/>
    <w:rsid w:val="2FBB05D0"/>
    <w:rsid w:val="2FC038DE"/>
    <w:rsid w:val="2FC17A26"/>
    <w:rsid w:val="2FC2342B"/>
    <w:rsid w:val="2FC47D08"/>
    <w:rsid w:val="2FC95CB7"/>
    <w:rsid w:val="2FC9724F"/>
    <w:rsid w:val="2FCA3CFF"/>
    <w:rsid w:val="2FCB17FC"/>
    <w:rsid w:val="2FCC0C0A"/>
    <w:rsid w:val="2FCF06A7"/>
    <w:rsid w:val="2FDA35EE"/>
    <w:rsid w:val="2FDC1075"/>
    <w:rsid w:val="2FDE0B3A"/>
    <w:rsid w:val="2FDF1EAD"/>
    <w:rsid w:val="2FDF37F8"/>
    <w:rsid w:val="2FE11FC5"/>
    <w:rsid w:val="2FE31BDC"/>
    <w:rsid w:val="2FE3634B"/>
    <w:rsid w:val="2FE61C64"/>
    <w:rsid w:val="2FE778C1"/>
    <w:rsid w:val="2FEE5C7B"/>
    <w:rsid w:val="2FF03336"/>
    <w:rsid w:val="2FF06A19"/>
    <w:rsid w:val="2FF854C4"/>
    <w:rsid w:val="2FF86157"/>
    <w:rsid w:val="2FFA3A98"/>
    <w:rsid w:val="2FFA4362"/>
    <w:rsid w:val="2FFD1CD6"/>
    <w:rsid w:val="2FFD79AF"/>
    <w:rsid w:val="2FFF79D7"/>
    <w:rsid w:val="3000496E"/>
    <w:rsid w:val="30056C30"/>
    <w:rsid w:val="3007758B"/>
    <w:rsid w:val="30083FE2"/>
    <w:rsid w:val="30087BDD"/>
    <w:rsid w:val="300B221D"/>
    <w:rsid w:val="300C7C38"/>
    <w:rsid w:val="300D152F"/>
    <w:rsid w:val="30126EC4"/>
    <w:rsid w:val="3018020F"/>
    <w:rsid w:val="301A4934"/>
    <w:rsid w:val="301A7ACB"/>
    <w:rsid w:val="302208F9"/>
    <w:rsid w:val="30254FAB"/>
    <w:rsid w:val="30275F10"/>
    <w:rsid w:val="30283F91"/>
    <w:rsid w:val="303337F6"/>
    <w:rsid w:val="303A6F6A"/>
    <w:rsid w:val="303C2A97"/>
    <w:rsid w:val="30415B0C"/>
    <w:rsid w:val="304257CD"/>
    <w:rsid w:val="30441493"/>
    <w:rsid w:val="30470B40"/>
    <w:rsid w:val="304C3897"/>
    <w:rsid w:val="304D1B78"/>
    <w:rsid w:val="304F61E8"/>
    <w:rsid w:val="30523B79"/>
    <w:rsid w:val="30530B02"/>
    <w:rsid w:val="30534CAC"/>
    <w:rsid w:val="30596661"/>
    <w:rsid w:val="305B3127"/>
    <w:rsid w:val="305B6C67"/>
    <w:rsid w:val="305F3AD5"/>
    <w:rsid w:val="305F65A0"/>
    <w:rsid w:val="306158D5"/>
    <w:rsid w:val="30624661"/>
    <w:rsid w:val="30663CE0"/>
    <w:rsid w:val="306B0BE5"/>
    <w:rsid w:val="306E1D25"/>
    <w:rsid w:val="307621A8"/>
    <w:rsid w:val="307623FD"/>
    <w:rsid w:val="30770529"/>
    <w:rsid w:val="30826653"/>
    <w:rsid w:val="30881550"/>
    <w:rsid w:val="308A7825"/>
    <w:rsid w:val="308C66BA"/>
    <w:rsid w:val="308E3C46"/>
    <w:rsid w:val="309077B8"/>
    <w:rsid w:val="309115C4"/>
    <w:rsid w:val="30956884"/>
    <w:rsid w:val="309646B2"/>
    <w:rsid w:val="30985912"/>
    <w:rsid w:val="309B2C14"/>
    <w:rsid w:val="309D467E"/>
    <w:rsid w:val="309E4D64"/>
    <w:rsid w:val="30A1216A"/>
    <w:rsid w:val="30A57154"/>
    <w:rsid w:val="30AB6AB4"/>
    <w:rsid w:val="30AC35BB"/>
    <w:rsid w:val="30AC3E30"/>
    <w:rsid w:val="30AD5A06"/>
    <w:rsid w:val="30AE5D9C"/>
    <w:rsid w:val="30B1191F"/>
    <w:rsid w:val="30B239E6"/>
    <w:rsid w:val="30B34961"/>
    <w:rsid w:val="30B9057A"/>
    <w:rsid w:val="30BC5F3B"/>
    <w:rsid w:val="30BD32E1"/>
    <w:rsid w:val="30C005F8"/>
    <w:rsid w:val="30C97954"/>
    <w:rsid w:val="30CB2D3F"/>
    <w:rsid w:val="30CE7D62"/>
    <w:rsid w:val="30D065A7"/>
    <w:rsid w:val="30D10A06"/>
    <w:rsid w:val="30D12AEF"/>
    <w:rsid w:val="30D7425B"/>
    <w:rsid w:val="30DD0E38"/>
    <w:rsid w:val="30DE46FC"/>
    <w:rsid w:val="30DE6C60"/>
    <w:rsid w:val="30E52A0A"/>
    <w:rsid w:val="30E64F4E"/>
    <w:rsid w:val="30E7501B"/>
    <w:rsid w:val="30E761B3"/>
    <w:rsid w:val="30E81B43"/>
    <w:rsid w:val="30EB193A"/>
    <w:rsid w:val="30ED25C8"/>
    <w:rsid w:val="30EF3F28"/>
    <w:rsid w:val="30F331EA"/>
    <w:rsid w:val="30F779FC"/>
    <w:rsid w:val="30F9414D"/>
    <w:rsid w:val="30FF2572"/>
    <w:rsid w:val="30FF521A"/>
    <w:rsid w:val="310608A2"/>
    <w:rsid w:val="31070CFB"/>
    <w:rsid w:val="310A7D8A"/>
    <w:rsid w:val="310B5B07"/>
    <w:rsid w:val="310C5C8C"/>
    <w:rsid w:val="310D2E33"/>
    <w:rsid w:val="311A58AC"/>
    <w:rsid w:val="311A5A74"/>
    <w:rsid w:val="311B78B5"/>
    <w:rsid w:val="311E254F"/>
    <w:rsid w:val="31211E00"/>
    <w:rsid w:val="31253BBB"/>
    <w:rsid w:val="312608BD"/>
    <w:rsid w:val="3127353B"/>
    <w:rsid w:val="312A6A01"/>
    <w:rsid w:val="312C087D"/>
    <w:rsid w:val="312C673E"/>
    <w:rsid w:val="312C7923"/>
    <w:rsid w:val="312E650F"/>
    <w:rsid w:val="3131611A"/>
    <w:rsid w:val="3138243A"/>
    <w:rsid w:val="313A1C72"/>
    <w:rsid w:val="313C2B78"/>
    <w:rsid w:val="313C73CD"/>
    <w:rsid w:val="313D1351"/>
    <w:rsid w:val="31415D7C"/>
    <w:rsid w:val="31421D81"/>
    <w:rsid w:val="31441851"/>
    <w:rsid w:val="31471BF6"/>
    <w:rsid w:val="314F7247"/>
    <w:rsid w:val="3150378B"/>
    <w:rsid w:val="31506E9A"/>
    <w:rsid w:val="315414C0"/>
    <w:rsid w:val="31566DE9"/>
    <w:rsid w:val="315B78E8"/>
    <w:rsid w:val="315F20B7"/>
    <w:rsid w:val="315F7848"/>
    <w:rsid w:val="315F7B3A"/>
    <w:rsid w:val="31634122"/>
    <w:rsid w:val="31635067"/>
    <w:rsid w:val="31673193"/>
    <w:rsid w:val="31681810"/>
    <w:rsid w:val="3169515B"/>
    <w:rsid w:val="316A2770"/>
    <w:rsid w:val="316B17AA"/>
    <w:rsid w:val="316F01DB"/>
    <w:rsid w:val="316F62ED"/>
    <w:rsid w:val="31714F08"/>
    <w:rsid w:val="31735DAE"/>
    <w:rsid w:val="317529A4"/>
    <w:rsid w:val="317657CC"/>
    <w:rsid w:val="3185261A"/>
    <w:rsid w:val="31852B84"/>
    <w:rsid w:val="31891244"/>
    <w:rsid w:val="3189332C"/>
    <w:rsid w:val="318D5DF3"/>
    <w:rsid w:val="318D6E68"/>
    <w:rsid w:val="318F303E"/>
    <w:rsid w:val="319078B2"/>
    <w:rsid w:val="3192591A"/>
    <w:rsid w:val="3192760A"/>
    <w:rsid w:val="319765D1"/>
    <w:rsid w:val="3198270C"/>
    <w:rsid w:val="319A0963"/>
    <w:rsid w:val="319B5C66"/>
    <w:rsid w:val="319B7C77"/>
    <w:rsid w:val="31A44B1B"/>
    <w:rsid w:val="31A57A34"/>
    <w:rsid w:val="31AA25A9"/>
    <w:rsid w:val="31AB6682"/>
    <w:rsid w:val="31B446A5"/>
    <w:rsid w:val="31B54804"/>
    <w:rsid w:val="31B553CE"/>
    <w:rsid w:val="31BB4CA9"/>
    <w:rsid w:val="31BD7D6E"/>
    <w:rsid w:val="31BF52A6"/>
    <w:rsid w:val="31C22D72"/>
    <w:rsid w:val="31C6105E"/>
    <w:rsid w:val="31C861F5"/>
    <w:rsid w:val="31C9167C"/>
    <w:rsid w:val="31CD2AE7"/>
    <w:rsid w:val="31CF7B6C"/>
    <w:rsid w:val="31D26A8E"/>
    <w:rsid w:val="31D42F82"/>
    <w:rsid w:val="31D46EE2"/>
    <w:rsid w:val="31DB384F"/>
    <w:rsid w:val="31DD1917"/>
    <w:rsid w:val="31DF76F1"/>
    <w:rsid w:val="31E00FB5"/>
    <w:rsid w:val="31E45B8C"/>
    <w:rsid w:val="31E645B1"/>
    <w:rsid w:val="31EC756B"/>
    <w:rsid w:val="31EE29B3"/>
    <w:rsid w:val="31EE412C"/>
    <w:rsid w:val="31F32FBF"/>
    <w:rsid w:val="31F745D3"/>
    <w:rsid w:val="31F83CBF"/>
    <w:rsid w:val="31FA339D"/>
    <w:rsid w:val="31FB28EC"/>
    <w:rsid w:val="31FC58E9"/>
    <w:rsid w:val="31FE3095"/>
    <w:rsid w:val="31FE67FD"/>
    <w:rsid w:val="31FF671F"/>
    <w:rsid w:val="32020056"/>
    <w:rsid w:val="32034F14"/>
    <w:rsid w:val="3203787E"/>
    <w:rsid w:val="3204181A"/>
    <w:rsid w:val="32056815"/>
    <w:rsid w:val="320A2560"/>
    <w:rsid w:val="320A55E2"/>
    <w:rsid w:val="320B31DE"/>
    <w:rsid w:val="320B557C"/>
    <w:rsid w:val="321233F7"/>
    <w:rsid w:val="32174B2D"/>
    <w:rsid w:val="3219399B"/>
    <w:rsid w:val="32195A0B"/>
    <w:rsid w:val="321B036C"/>
    <w:rsid w:val="321B5F1A"/>
    <w:rsid w:val="321E67BD"/>
    <w:rsid w:val="32251EDB"/>
    <w:rsid w:val="32253A27"/>
    <w:rsid w:val="32261E1F"/>
    <w:rsid w:val="32290598"/>
    <w:rsid w:val="322D2553"/>
    <w:rsid w:val="322D542D"/>
    <w:rsid w:val="322D5670"/>
    <w:rsid w:val="322F2C94"/>
    <w:rsid w:val="323077A3"/>
    <w:rsid w:val="3231515D"/>
    <w:rsid w:val="32321F02"/>
    <w:rsid w:val="32327AC6"/>
    <w:rsid w:val="323A1C7F"/>
    <w:rsid w:val="323B605F"/>
    <w:rsid w:val="323F7927"/>
    <w:rsid w:val="324228EA"/>
    <w:rsid w:val="32435C91"/>
    <w:rsid w:val="3247083A"/>
    <w:rsid w:val="32476D3D"/>
    <w:rsid w:val="324E7081"/>
    <w:rsid w:val="324F387C"/>
    <w:rsid w:val="324F6855"/>
    <w:rsid w:val="32541F87"/>
    <w:rsid w:val="325517EA"/>
    <w:rsid w:val="325C1643"/>
    <w:rsid w:val="32657A06"/>
    <w:rsid w:val="326D1DE7"/>
    <w:rsid w:val="326E5131"/>
    <w:rsid w:val="32700190"/>
    <w:rsid w:val="32764E3E"/>
    <w:rsid w:val="32771E4B"/>
    <w:rsid w:val="327E6123"/>
    <w:rsid w:val="32822B91"/>
    <w:rsid w:val="32845A07"/>
    <w:rsid w:val="3285274F"/>
    <w:rsid w:val="328D317B"/>
    <w:rsid w:val="328D7338"/>
    <w:rsid w:val="328F15D2"/>
    <w:rsid w:val="32903113"/>
    <w:rsid w:val="32920760"/>
    <w:rsid w:val="3294299E"/>
    <w:rsid w:val="32942D03"/>
    <w:rsid w:val="32950344"/>
    <w:rsid w:val="329948BE"/>
    <w:rsid w:val="32A37382"/>
    <w:rsid w:val="32A744D6"/>
    <w:rsid w:val="32A8786D"/>
    <w:rsid w:val="32A91A35"/>
    <w:rsid w:val="32AB0F18"/>
    <w:rsid w:val="32AF5A8A"/>
    <w:rsid w:val="32AF7866"/>
    <w:rsid w:val="32B10AED"/>
    <w:rsid w:val="32B7671F"/>
    <w:rsid w:val="32B76FB3"/>
    <w:rsid w:val="32B80F6B"/>
    <w:rsid w:val="32BB000D"/>
    <w:rsid w:val="32BD49B3"/>
    <w:rsid w:val="32C23BFF"/>
    <w:rsid w:val="32C262B0"/>
    <w:rsid w:val="32C426C6"/>
    <w:rsid w:val="32C57858"/>
    <w:rsid w:val="32C70FBD"/>
    <w:rsid w:val="32C74733"/>
    <w:rsid w:val="32C75667"/>
    <w:rsid w:val="32C77C70"/>
    <w:rsid w:val="32C83002"/>
    <w:rsid w:val="32C96AA6"/>
    <w:rsid w:val="32CA77EA"/>
    <w:rsid w:val="32CD6313"/>
    <w:rsid w:val="32CE3A31"/>
    <w:rsid w:val="32CF388C"/>
    <w:rsid w:val="32D0674A"/>
    <w:rsid w:val="32D22CA9"/>
    <w:rsid w:val="32D305F1"/>
    <w:rsid w:val="32D34DAA"/>
    <w:rsid w:val="32D50A2F"/>
    <w:rsid w:val="32D61978"/>
    <w:rsid w:val="32D94D35"/>
    <w:rsid w:val="32DB7ABA"/>
    <w:rsid w:val="32E378E0"/>
    <w:rsid w:val="32E44E6D"/>
    <w:rsid w:val="32E62C7B"/>
    <w:rsid w:val="32E91759"/>
    <w:rsid w:val="32EA5644"/>
    <w:rsid w:val="32EB4878"/>
    <w:rsid w:val="32F15FBB"/>
    <w:rsid w:val="32F3225B"/>
    <w:rsid w:val="32F4463C"/>
    <w:rsid w:val="32F5243A"/>
    <w:rsid w:val="32F72C4D"/>
    <w:rsid w:val="32F84903"/>
    <w:rsid w:val="3300464B"/>
    <w:rsid w:val="3301082C"/>
    <w:rsid w:val="330322F7"/>
    <w:rsid w:val="33041BAC"/>
    <w:rsid w:val="330439EA"/>
    <w:rsid w:val="33074674"/>
    <w:rsid w:val="3307578A"/>
    <w:rsid w:val="330D644D"/>
    <w:rsid w:val="330E5C64"/>
    <w:rsid w:val="331171E1"/>
    <w:rsid w:val="33123F2B"/>
    <w:rsid w:val="3316338D"/>
    <w:rsid w:val="33166D0E"/>
    <w:rsid w:val="331775A8"/>
    <w:rsid w:val="331B1691"/>
    <w:rsid w:val="331B2226"/>
    <w:rsid w:val="331C1D31"/>
    <w:rsid w:val="332152BA"/>
    <w:rsid w:val="33220090"/>
    <w:rsid w:val="33220A74"/>
    <w:rsid w:val="33264087"/>
    <w:rsid w:val="33273224"/>
    <w:rsid w:val="332D05DB"/>
    <w:rsid w:val="332F3C0E"/>
    <w:rsid w:val="33323549"/>
    <w:rsid w:val="33327240"/>
    <w:rsid w:val="3339105D"/>
    <w:rsid w:val="333A2D0C"/>
    <w:rsid w:val="333D18A4"/>
    <w:rsid w:val="33416387"/>
    <w:rsid w:val="33433299"/>
    <w:rsid w:val="3348686B"/>
    <w:rsid w:val="334877FD"/>
    <w:rsid w:val="334A4166"/>
    <w:rsid w:val="334C33CB"/>
    <w:rsid w:val="33504918"/>
    <w:rsid w:val="33514F92"/>
    <w:rsid w:val="335369A4"/>
    <w:rsid w:val="335A2AA0"/>
    <w:rsid w:val="335A4EFD"/>
    <w:rsid w:val="335F2036"/>
    <w:rsid w:val="33624687"/>
    <w:rsid w:val="33646C00"/>
    <w:rsid w:val="336B23CA"/>
    <w:rsid w:val="336B6AF8"/>
    <w:rsid w:val="336C3F9A"/>
    <w:rsid w:val="336E1C28"/>
    <w:rsid w:val="33706042"/>
    <w:rsid w:val="3374309B"/>
    <w:rsid w:val="3376354A"/>
    <w:rsid w:val="3378039E"/>
    <w:rsid w:val="33784BB6"/>
    <w:rsid w:val="3379318F"/>
    <w:rsid w:val="337A2555"/>
    <w:rsid w:val="337B4E5F"/>
    <w:rsid w:val="338652D4"/>
    <w:rsid w:val="338E32F7"/>
    <w:rsid w:val="33907413"/>
    <w:rsid w:val="33970FF3"/>
    <w:rsid w:val="339D5500"/>
    <w:rsid w:val="33A042DD"/>
    <w:rsid w:val="33A377EC"/>
    <w:rsid w:val="33A5428E"/>
    <w:rsid w:val="33AB0CCD"/>
    <w:rsid w:val="33AD497E"/>
    <w:rsid w:val="33B006C0"/>
    <w:rsid w:val="33B45679"/>
    <w:rsid w:val="33B53954"/>
    <w:rsid w:val="33BB0A89"/>
    <w:rsid w:val="33BB474F"/>
    <w:rsid w:val="33BC0C81"/>
    <w:rsid w:val="33BD7658"/>
    <w:rsid w:val="33C01925"/>
    <w:rsid w:val="33C3213A"/>
    <w:rsid w:val="33C51903"/>
    <w:rsid w:val="33C92C0F"/>
    <w:rsid w:val="33C975F2"/>
    <w:rsid w:val="33CA711E"/>
    <w:rsid w:val="33CE1036"/>
    <w:rsid w:val="33D01CFF"/>
    <w:rsid w:val="33D05886"/>
    <w:rsid w:val="33D8429F"/>
    <w:rsid w:val="33DC49FC"/>
    <w:rsid w:val="33DD1CED"/>
    <w:rsid w:val="33DD4B8C"/>
    <w:rsid w:val="33E22905"/>
    <w:rsid w:val="33E67E90"/>
    <w:rsid w:val="33E81AAD"/>
    <w:rsid w:val="33F1185C"/>
    <w:rsid w:val="33F4411B"/>
    <w:rsid w:val="33F53ABA"/>
    <w:rsid w:val="33F80E40"/>
    <w:rsid w:val="33F87419"/>
    <w:rsid w:val="33FA1CF6"/>
    <w:rsid w:val="33FB6795"/>
    <w:rsid w:val="33FE78CF"/>
    <w:rsid w:val="34015814"/>
    <w:rsid w:val="3409075B"/>
    <w:rsid w:val="340A0022"/>
    <w:rsid w:val="340C0534"/>
    <w:rsid w:val="341241D2"/>
    <w:rsid w:val="341B4538"/>
    <w:rsid w:val="34237336"/>
    <w:rsid w:val="342555B9"/>
    <w:rsid w:val="34284126"/>
    <w:rsid w:val="342B1210"/>
    <w:rsid w:val="342E2345"/>
    <w:rsid w:val="34316F6E"/>
    <w:rsid w:val="3432626E"/>
    <w:rsid w:val="3433138C"/>
    <w:rsid w:val="34341EA3"/>
    <w:rsid w:val="34344C01"/>
    <w:rsid w:val="34403FE2"/>
    <w:rsid w:val="344275DA"/>
    <w:rsid w:val="34463846"/>
    <w:rsid w:val="34496C6F"/>
    <w:rsid w:val="344B1013"/>
    <w:rsid w:val="344F3BB9"/>
    <w:rsid w:val="344F48A5"/>
    <w:rsid w:val="34552DB6"/>
    <w:rsid w:val="34572B3B"/>
    <w:rsid w:val="345E036E"/>
    <w:rsid w:val="3460536E"/>
    <w:rsid w:val="34605DAE"/>
    <w:rsid w:val="346E7417"/>
    <w:rsid w:val="347342B3"/>
    <w:rsid w:val="3479318F"/>
    <w:rsid w:val="3479582F"/>
    <w:rsid w:val="347A2085"/>
    <w:rsid w:val="347B4C94"/>
    <w:rsid w:val="347F0216"/>
    <w:rsid w:val="34810281"/>
    <w:rsid w:val="348475E4"/>
    <w:rsid w:val="348847CF"/>
    <w:rsid w:val="348A435C"/>
    <w:rsid w:val="348B3E29"/>
    <w:rsid w:val="348E2208"/>
    <w:rsid w:val="348E4BCA"/>
    <w:rsid w:val="348F7DF7"/>
    <w:rsid w:val="34917532"/>
    <w:rsid w:val="34925E2A"/>
    <w:rsid w:val="34A222A2"/>
    <w:rsid w:val="34AA38CA"/>
    <w:rsid w:val="34B01D5A"/>
    <w:rsid w:val="34B04A3D"/>
    <w:rsid w:val="34B2580F"/>
    <w:rsid w:val="34B41020"/>
    <w:rsid w:val="34B41D3C"/>
    <w:rsid w:val="34B962E0"/>
    <w:rsid w:val="34BF33D6"/>
    <w:rsid w:val="34C27A5A"/>
    <w:rsid w:val="34C30824"/>
    <w:rsid w:val="34C64994"/>
    <w:rsid w:val="34C82459"/>
    <w:rsid w:val="34C93E4B"/>
    <w:rsid w:val="34CC7593"/>
    <w:rsid w:val="34D467DD"/>
    <w:rsid w:val="34DA3E98"/>
    <w:rsid w:val="34DB7B3E"/>
    <w:rsid w:val="34E97AB3"/>
    <w:rsid w:val="34EA018F"/>
    <w:rsid w:val="34EA0FA1"/>
    <w:rsid w:val="34EB768F"/>
    <w:rsid w:val="34ED5259"/>
    <w:rsid w:val="34F0335F"/>
    <w:rsid w:val="34F52260"/>
    <w:rsid w:val="34FC127E"/>
    <w:rsid w:val="34FC5CDE"/>
    <w:rsid w:val="34FD4211"/>
    <w:rsid w:val="35020C24"/>
    <w:rsid w:val="35057A63"/>
    <w:rsid w:val="35094118"/>
    <w:rsid w:val="350958B6"/>
    <w:rsid w:val="35097BEB"/>
    <w:rsid w:val="350B7FA6"/>
    <w:rsid w:val="350C1103"/>
    <w:rsid w:val="350C7A7A"/>
    <w:rsid w:val="350D601C"/>
    <w:rsid w:val="351C27CC"/>
    <w:rsid w:val="351D1349"/>
    <w:rsid w:val="351F7239"/>
    <w:rsid w:val="35243EAF"/>
    <w:rsid w:val="35254870"/>
    <w:rsid w:val="35274FFD"/>
    <w:rsid w:val="352C7EA8"/>
    <w:rsid w:val="352D27C8"/>
    <w:rsid w:val="352F24DA"/>
    <w:rsid w:val="35327730"/>
    <w:rsid w:val="353428AB"/>
    <w:rsid w:val="35345C5F"/>
    <w:rsid w:val="35406296"/>
    <w:rsid w:val="35460781"/>
    <w:rsid w:val="35460F8F"/>
    <w:rsid w:val="35465232"/>
    <w:rsid w:val="354658AE"/>
    <w:rsid w:val="354743B8"/>
    <w:rsid w:val="354778D5"/>
    <w:rsid w:val="354A2ECE"/>
    <w:rsid w:val="354F3A2C"/>
    <w:rsid w:val="35507522"/>
    <w:rsid w:val="35525AE2"/>
    <w:rsid w:val="3555351F"/>
    <w:rsid w:val="35570F65"/>
    <w:rsid w:val="355A70EF"/>
    <w:rsid w:val="355B1111"/>
    <w:rsid w:val="355C665B"/>
    <w:rsid w:val="355D375C"/>
    <w:rsid w:val="355D5EB0"/>
    <w:rsid w:val="356B705C"/>
    <w:rsid w:val="356C6085"/>
    <w:rsid w:val="356D40E4"/>
    <w:rsid w:val="35702CE1"/>
    <w:rsid w:val="35704EB0"/>
    <w:rsid w:val="35710A55"/>
    <w:rsid w:val="35720AAE"/>
    <w:rsid w:val="357617BA"/>
    <w:rsid w:val="35790CB9"/>
    <w:rsid w:val="357936BF"/>
    <w:rsid w:val="357A6A6C"/>
    <w:rsid w:val="357D5BF1"/>
    <w:rsid w:val="357E7F99"/>
    <w:rsid w:val="357F234A"/>
    <w:rsid w:val="357F58ED"/>
    <w:rsid w:val="357F736D"/>
    <w:rsid w:val="3584606C"/>
    <w:rsid w:val="35861800"/>
    <w:rsid w:val="3586192A"/>
    <w:rsid w:val="35872075"/>
    <w:rsid w:val="358D306E"/>
    <w:rsid w:val="358F26DC"/>
    <w:rsid w:val="358F69ED"/>
    <w:rsid w:val="359143C4"/>
    <w:rsid w:val="359202CF"/>
    <w:rsid w:val="35987485"/>
    <w:rsid w:val="359A7C34"/>
    <w:rsid w:val="359B20D9"/>
    <w:rsid w:val="359C5BC8"/>
    <w:rsid w:val="359E3729"/>
    <w:rsid w:val="359E4EC6"/>
    <w:rsid w:val="359F4467"/>
    <w:rsid w:val="359F51FF"/>
    <w:rsid w:val="35A10512"/>
    <w:rsid w:val="35A81E7D"/>
    <w:rsid w:val="35AF49E7"/>
    <w:rsid w:val="35B47FF9"/>
    <w:rsid w:val="35B818C3"/>
    <w:rsid w:val="35B92F9A"/>
    <w:rsid w:val="35C12CD7"/>
    <w:rsid w:val="35C206F0"/>
    <w:rsid w:val="35C25409"/>
    <w:rsid w:val="35C4598D"/>
    <w:rsid w:val="35C66639"/>
    <w:rsid w:val="35C8395E"/>
    <w:rsid w:val="35CB3A3B"/>
    <w:rsid w:val="35CE6B26"/>
    <w:rsid w:val="35CE73E4"/>
    <w:rsid w:val="35D0351E"/>
    <w:rsid w:val="35D474D8"/>
    <w:rsid w:val="35D95A71"/>
    <w:rsid w:val="35DC0948"/>
    <w:rsid w:val="35DC0B8B"/>
    <w:rsid w:val="35DC0DBF"/>
    <w:rsid w:val="35DC2C03"/>
    <w:rsid w:val="35DD3440"/>
    <w:rsid w:val="35DE3514"/>
    <w:rsid w:val="35E261B8"/>
    <w:rsid w:val="35E76E9E"/>
    <w:rsid w:val="35E83028"/>
    <w:rsid w:val="35E85F37"/>
    <w:rsid w:val="35EA5C87"/>
    <w:rsid w:val="35EB405B"/>
    <w:rsid w:val="35ED7BFB"/>
    <w:rsid w:val="35F1191C"/>
    <w:rsid w:val="35F47D66"/>
    <w:rsid w:val="35F534F2"/>
    <w:rsid w:val="35F64D86"/>
    <w:rsid w:val="35FA3067"/>
    <w:rsid w:val="35FB2318"/>
    <w:rsid w:val="35FC5BC2"/>
    <w:rsid w:val="35FF3876"/>
    <w:rsid w:val="36005857"/>
    <w:rsid w:val="36084DE0"/>
    <w:rsid w:val="360C624C"/>
    <w:rsid w:val="360E0905"/>
    <w:rsid w:val="36131530"/>
    <w:rsid w:val="36161297"/>
    <w:rsid w:val="36172AD7"/>
    <w:rsid w:val="361865A9"/>
    <w:rsid w:val="36191A1A"/>
    <w:rsid w:val="361D583E"/>
    <w:rsid w:val="36232B4F"/>
    <w:rsid w:val="362543C2"/>
    <w:rsid w:val="362613D4"/>
    <w:rsid w:val="3627310D"/>
    <w:rsid w:val="3628055D"/>
    <w:rsid w:val="36285CC3"/>
    <w:rsid w:val="362918FE"/>
    <w:rsid w:val="362B0040"/>
    <w:rsid w:val="362C5D14"/>
    <w:rsid w:val="362C6B6A"/>
    <w:rsid w:val="362C7769"/>
    <w:rsid w:val="36351176"/>
    <w:rsid w:val="36385E46"/>
    <w:rsid w:val="363D46DF"/>
    <w:rsid w:val="364170E9"/>
    <w:rsid w:val="36450087"/>
    <w:rsid w:val="36481C39"/>
    <w:rsid w:val="36482B5B"/>
    <w:rsid w:val="364D4E00"/>
    <w:rsid w:val="36550EF4"/>
    <w:rsid w:val="3658194D"/>
    <w:rsid w:val="365F3716"/>
    <w:rsid w:val="3661141F"/>
    <w:rsid w:val="36621823"/>
    <w:rsid w:val="3667491D"/>
    <w:rsid w:val="3667497C"/>
    <w:rsid w:val="366D1C16"/>
    <w:rsid w:val="366D66AA"/>
    <w:rsid w:val="366D798E"/>
    <w:rsid w:val="366F0C87"/>
    <w:rsid w:val="366F6862"/>
    <w:rsid w:val="367147F2"/>
    <w:rsid w:val="36746004"/>
    <w:rsid w:val="367A778B"/>
    <w:rsid w:val="367B0939"/>
    <w:rsid w:val="367D69FE"/>
    <w:rsid w:val="367D77BE"/>
    <w:rsid w:val="367F4B4E"/>
    <w:rsid w:val="3681438C"/>
    <w:rsid w:val="36824FDE"/>
    <w:rsid w:val="36850670"/>
    <w:rsid w:val="368915AB"/>
    <w:rsid w:val="368F5E38"/>
    <w:rsid w:val="36992376"/>
    <w:rsid w:val="36A02251"/>
    <w:rsid w:val="36A04C6E"/>
    <w:rsid w:val="36A07334"/>
    <w:rsid w:val="36A24C27"/>
    <w:rsid w:val="36AA1CC1"/>
    <w:rsid w:val="36AA789A"/>
    <w:rsid w:val="36AB47F9"/>
    <w:rsid w:val="36AE4F1E"/>
    <w:rsid w:val="36AF0608"/>
    <w:rsid w:val="36B454E0"/>
    <w:rsid w:val="36BA0CFD"/>
    <w:rsid w:val="36BB4D82"/>
    <w:rsid w:val="36BE6075"/>
    <w:rsid w:val="36BE6EE5"/>
    <w:rsid w:val="36BF0287"/>
    <w:rsid w:val="36C07F2D"/>
    <w:rsid w:val="36C11A54"/>
    <w:rsid w:val="36C616C3"/>
    <w:rsid w:val="36C752B5"/>
    <w:rsid w:val="36CF361F"/>
    <w:rsid w:val="36CF7301"/>
    <w:rsid w:val="36D05B3E"/>
    <w:rsid w:val="36D160AA"/>
    <w:rsid w:val="36D37827"/>
    <w:rsid w:val="36D9332B"/>
    <w:rsid w:val="36DA58CF"/>
    <w:rsid w:val="36DD6410"/>
    <w:rsid w:val="36DE18BC"/>
    <w:rsid w:val="36E16A1D"/>
    <w:rsid w:val="36E71D3E"/>
    <w:rsid w:val="36E92BA2"/>
    <w:rsid w:val="36EA4555"/>
    <w:rsid w:val="36EE3C2B"/>
    <w:rsid w:val="36F04AC6"/>
    <w:rsid w:val="36F113E8"/>
    <w:rsid w:val="36F823B4"/>
    <w:rsid w:val="36F912E1"/>
    <w:rsid w:val="36FB46AE"/>
    <w:rsid w:val="36FB723E"/>
    <w:rsid w:val="36FD22B1"/>
    <w:rsid w:val="37012D6F"/>
    <w:rsid w:val="370357FF"/>
    <w:rsid w:val="3705340E"/>
    <w:rsid w:val="3706500E"/>
    <w:rsid w:val="370729FA"/>
    <w:rsid w:val="37075783"/>
    <w:rsid w:val="3708011D"/>
    <w:rsid w:val="3709253A"/>
    <w:rsid w:val="370A5956"/>
    <w:rsid w:val="370C6A69"/>
    <w:rsid w:val="370D1A43"/>
    <w:rsid w:val="370F1247"/>
    <w:rsid w:val="37103CDA"/>
    <w:rsid w:val="37104E51"/>
    <w:rsid w:val="371B5CAA"/>
    <w:rsid w:val="371D3722"/>
    <w:rsid w:val="371D475A"/>
    <w:rsid w:val="371F090E"/>
    <w:rsid w:val="37202FA2"/>
    <w:rsid w:val="3723186B"/>
    <w:rsid w:val="37254E3E"/>
    <w:rsid w:val="372968D4"/>
    <w:rsid w:val="372B56D0"/>
    <w:rsid w:val="372E089D"/>
    <w:rsid w:val="372F5D0A"/>
    <w:rsid w:val="373018DF"/>
    <w:rsid w:val="373B3EEF"/>
    <w:rsid w:val="374072FC"/>
    <w:rsid w:val="3742385D"/>
    <w:rsid w:val="37435300"/>
    <w:rsid w:val="374455F9"/>
    <w:rsid w:val="374719FB"/>
    <w:rsid w:val="374C2E47"/>
    <w:rsid w:val="374E6478"/>
    <w:rsid w:val="37523868"/>
    <w:rsid w:val="3757357E"/>
    <w:rsid w:val="376051D4"/>
    <w:rsid w:val="3763533E"/>
    <w:rsid w:val="376B18F0"/>
    <w:rsid w:val="376E2F19"/>
    <w:rsid w:val="37702ABF"/>
    <w:rsid w:val="37704F5D"/>
    <w:rsid w:val="37731EFA"/>
    <w:rsid w:val="37741153"/>
    <w:rsid w:val="377518BF"/>
    <w:rsid w:val="37757EA8"/>
    <w:rsid w:val="377A133A"/>
    <w:rsid w:val="377A4E1C"/>
    <w:rsid w:val="377B18A7"/>
    <w:rsid w:val="378243D8"/>
    <w:rsid w:val="3786696D"/>
    <w:rsid w:val="3787477A"/>
    <w:rsid w:val="378B6EF1"/>
    <w:rsid w:val="37916D11"/>
    <w:rsid w:val="37936580"/>
    <w:rsid w:val="37941FC4"/>
    <w:rsid w:val="37953769"/>
    <w:rsid w:val="379752F8"/>
    <w:rsid w:val="37976EE2"/>
    <w:rsid w:val="379A16BD"/>
    <w:rsid w:val="379C27DB"/>
    <w:rsid w:val="379F508B"/>
    <w:rsid w:val="37A44A07"/>
    <w:rsid w:val="37A73145"/>
    <w:rsid w:val="37AB6A8B"/>
    <w:rsid w:val="37AF43BA"/>
    <w:rsid w:val="37B05F3F"/>
    <w:rsid w:val="37B07132"/>
    <w:rsid w:val="37B1393B"/>
    <w:rsid w:val="37B24051"/>
    <w:rsid w:val="37B45FCD"/>
    <w:rsid w:val="37B51098"/>
    <w:rsid w:val="37BC425A"/>
    <w:rsid w:val="37C24A54"/>
    <w:rsid w:val="37C63FE1"/>
    <w:rsid w:val="37C96302"/>
    <w:rsid w:val="37CB0479"/>
    <w:rsid w:val="37D3042B"/>
    <w:rsid w:val="37D53AD0"/>
    <w:rsid w:val="37D60CCA"/>
    <w:rsid w:val="37D62258"/>
    <w:rsid w:val="37D72BF0"/>
    <w:rsid w:val="37D862C3"/>
    <w:rsid w:val="37DB0446"/>
    <w:rsid w:val="37DE35B6"/>
    <w:rsid w:val="37DE6136"/>
    <w:rsid w:val="37DF1CF4"/>
    <w:rsid w:val="37E311D3"/>
    <w:rsid w:val="37E54462"/>
    <w:rsid w:val="37E603F5"/>
    <w:rsid w:val="37E76798"/>
    <w:rsid w:val="37E821C3"/>
    <w:rsid w:val="37E83263"/>
    <w:rsid w:val="37E87083"/>
    <w:rsid w:val="37EA6C16"/>
    <w:rsid w:val="37EB6883"/>
    <w:rsid w:val="37ED50BF"/>
    <w:rsid w:val="37F06336"/>
    <w:rsid w:val="37F10FD8"/>
    <w:rsid w:val="37F30DCD"/>
    <w:rsid w:val="37F86459"/>
    <w:rsid w:val="37F87E08"/>
    <w:rsid w:val="37FE7CF4"/>
    <w:rsid w:val="38033706"/>
    <w:rsid w:val="38095AFA"/>
    <w:rsid w:val="380C102D"/>
    <w:rsid w:val="3810403D"/>
    <w:rsid w:val="38111388"/>
    <w:rsid w:val="38121C96"/>
    <w:rsid w:val="38184B0B"/>
    <w:rsid w:val="381C1FC2"/>
    <w:rsid w:val="381C2197"/>
    <w:rsid w:val="381C24FB"/>
    <w:rsid w:val="381D07E9"/>
    <w:rsid w:val="381F74DA"/>
    <w:rsid w:val="38201CE6"/>
    <w:rsid w:val="38223BD6"/>
    <w:rsid w:val="382573C4"/>
    <w:rsid w:val="3829749A"/>
    <w:rsid w:val="382B5E01"/>
    <w:rsid w:val="382C55F8"/>
    <w:rsid w:val="382E0B22"/>
    <w:rsid w:val="382F03B6"/>
    <w:rsid w:val="383031AF"/>
    <w:rsid w:val="38380036"/>
    <w:rsid w:val="3838311F"/>
    <w:rsid w:val="38397C6A"/>
    <w:rsid w:val="383A025F"/>
    <w:rsid w:val="383D5520"/>
    <w:rsid w:val="383E043B"/>
    <w:rsid w:val="384563C8"/>
    <w:rsid w:val="384A10A6"/>
    <w:rsid w:val="384B3071"/>
    <w:rsid w:val="384D7D4B"/>
    <w:rsid w:val="384E596A"/>
    <w:rsid w:val="385133D3"/>
    <w:rsid w:val="38517C12"/>
    <w:rsid w:val="385A02F6"/>
    <w:rsid w:val="385B149E"/>
    <w:rsid w:val="3865252F"/>
    <w:rsid w:val="386528AA"/>
    <w:rsid w:val="3865447B"/>
    <w:rsid w:val="3867592A"/>
    <w:rsid w:val="38693474"/>
    <w:rsid w:val="386A621E"/>
    <w:rsid w:val="386B0E24"/>
    <w:rsid w:val="386C309B"/>
    <w:rsid w:val="386F5385"/>
    <w:rsid w:val="386F7882"/>
    <w:rsid w:val="3872431A"/>
    <w:rsid w:val="3874097D"/>
    <w:rsid w:val="38776802"/>
    <w:rsid w:val="387A2E59"/>
    <w:rsid w:val="387D2B8A"/>
    <w:rsid w:val="387E68C1"/>
    <w:rsid w:val="3881389A"/>
    <w:rsid w:val="388624AD"/>
    <w:rsid w:val="388760E5"/>
    <w:rsid w:val="38892684"/>
    <w:rsid w:val="38893370"/>
    <w:rsid w:val="388B20F8"/>
    <w:rsid w:val="388B52AE"/>
    <w:rsid w:val="388D11E8"/>
    <w:rsid w:val="3891617B"/>
    <w:rsid w:val="38943267"/>
    <w:rsid w:val="38963172"/>
    <w:rsid w:val="389C56A2"/>
    <w:rsid w:val="38A16B47"/>
    <w:rsid w:val="38A50118"/>
    <w:rsid w:val="38A53ACF"/>
    <w:rsid w:val="38A6393D"/>
    <w:rsid w:val="38A67955"/>
    <w:rsid w:val="38AC78FA"/>
    <w:rsid w:val="38AD4198"/>
    <w:rsid w:val="38B02942"/>
    <w:rsid w:val="38B16CB8"/>
    <w:rsid w:val="38B22037"/>
    <w:rsid w:val="38C01C3B"/>
    <w:rsid w:val="38C44111"/>
    <w:rsid w:val="38C52D1C"/>
    <w:rsid w:val="38C71AA4"/>
    <w:rsid w:val="38CA0EAF"/>
    <w:rsid w:val="38CA796D"/>
    <w:rsid w:val="38CB64F2"/>
    <w:rsid w:val="38CC17E4"/>
    <w:rsid w:val="38CE4E96"/>
    <w:rsid w:val="38CE5A01"/>
    <w:rsid w:val="38D155B2"/>
    <w:rsid w:val="38D22F58"/>
    <w:rsid w:val="38D41661"/>
    <w:rsid w:val="38D45F3F"/>
    <w:rsid w:val="38D6348B"/>
    <w:rsid w:val="38D664FD"/>
    <w:rsid w:val="38E64746"/>
    <w:rsid w:val="38E86A77"/>
    <w:rsid w:val="38EB1919"/>
    <w:rsid w:val="38EB631B"/>
    <w:rsid w:val="38EC0024"/>
    <w:rsid w:val="38ED2760"/>
    <w:rsid w:val="38EE5228"/>
    <w:rsid w:val="38EE5673"/>
    <w:rsid w:val="38F00185"/>
    <w:rsid w:val="38F12EA6"/>
    <w:rsid w:val="38F52462"/>
    <w:rsid w:val="38F55454"/>
    <w:rsid w:val="38FA0657"/>
    <w:rsid w:val="38FC574E"/>
    <w:rsid w:val="38FD4424"/>
    <w:rsid w:val="390048BC"/>
    <w:rsid w:val="39022894"/>
    <w:rsid w:val="39026962"/>
    <w:rsid w:val="39043CCC"/>
    <w:rsid w:val="3906240B"/>
    <w:rsid w:val="390748CE"/>
    <w:rsid w:val="39085FA1"/>
    <w:rsid w:val="390F2D2A"/>
    <w:rsid w:val="3911091E"/>
    <w:rsid w:val="39151917"/>
    <w:rsid w:val="391A2F14"/>
    <w:rsid w:val="391F2D12"/>
    <w:rsid w:val="39227193"/>
    <w:rsid w:val="39237EB6"/>
    <w:rsid w:val="3926048C"/>
    <w:rsid w:val="39271442"/>
    <w:rsid w:val="39272C48"/>
    <w:rsid w:val="39277236"/>
    <w:rsid w:val="39286B5A"/>
    <w:rsid w:val="392F2FE8"/>
    <w:rsid w:val="3932110D"/>
    <w:rsid w:val="39327AA6"/>
    <w:rsid w:val="39335925"/>
    <w:rsid w:val="39346BDA"/>
    <w:rsid w:val="39362B6F"/>
    <w:rsid w:val="3936377C"/>
    <w:rsid w:val="39384DB8"/>
    <w:rsid w:val="393A35E4"/>
    <w:rsid w:val="393B78E5"/>
    <w:rsid w:val="393E4B36"/>
    <w:rsid w:val="393E52CD"/>
    <w:rsid w:val="393E5E48"/>
    <w:rsid w:val="394B5B83"/>
    <w:rsid w:val="394D7D75"/>
    <w:rsid w:val="394F07E2"/>
    <w:rsid w:val="39526BCA"/>
    <w:rsid w:val="39580983"/>
    <w:rsid w:val="39581830"/>
    <w:rsid w:val="39587F5E"/>
    <w:rsid w:val="395E2506"/>
    <w:rsid w:val="39613119"/>
    <w:rsid w:val="39641F82"/>
    <w:rsid w:val="396A5E6C"/>
    <w:rsid w:val="396F3E0C"/>
    <w:rsid w:val="39725971"/>
    <w:rsid w:val="397C2FE1"/>
    <w:rsid w:val="39841B27"/>
    <w:rsid w:val="3984496B"/>
    <w:rsid w:val="39883220"/>
    <w:rsid w:val="39884064"/>
    <w:rsid w:val="39891427"/>
    <w:rsid w:val="39893177"/>
    <w:rsid w:val="398956C6"/>
    <w:rsid w:val="398C7A35"/>
    <w:rsid w:val="3995299F"/>
    <w:rsid w:val="39962A7D"/>
    <w:rsid w:val="39964A8A"/>
    <w:rsid w:val="39965EB4"/>
    <w:rsid w:val="39976F4B"/>
    <w:rsid w:val="39994203"/>
    <w:rsid w:val="399966B9"/>
    <w:rsid w:val="399B3346"/>
    <w:rsid w:val="399D2894"/>
    <w:rsid w:val="399D36E6"/>
    <w:rsid w:val="399E6B3E"/>
    <w:rsid w:val="39A32E7D"/>
    <w:rsid w:val="39A51422"/>
    <w:rsid w:val="39A520A3"/>
    <w:rsid w:val="39A66488"/>
    <w:rsid w:val="39A76C82"/>
    <w:rsid w:val="39AC790A"/>
    <w:rsid w:val="39AD1739"/>
    <w:rsid w:val="39AF0D0E"/>
    <w:rsid w:val="39AF31D3"/>
    <w:rsid w:val="39B073E0"/>
    <w:rsid w:val="39B22305"/>
    <w:rsid w:val="39B47737"/>
    <w:rsid w:val="39B563DA"/>
    <w:rsid w:val="39B60304"/>
    <w:rsid w:val="39B7492C"/>
    <w:rsid w:val="39B834B2"/>
    <w:rsid w:val="39B86795"/>
    <w:rsid w:val="39B875C8"/>
    <w:rsid w:val="39BC3B6C"/>
    <w:rsid w:val="39BE1A36"/>
    <w:rsid w:val="39BE5EBB"/>
    <w:rsid w:val="39BF0C61"/>
    <w:rsid w:val="39C3713B"/>
    <w:rsid w:val="39C62106"/>
    <w:rsid w:val="39CB2CE5"/>
    <w:rsid w:val="39CD3846"/>
    <w:rsid w:val="39CF1213"/>
    <w:rsid w:val="39CF143E"/>
    <w:rsid w:val="39D76BF8"/>
    <w:rsid w:val="39D86FC9"/>
    <w:rsid w:val="39D9157E"/>
    <w:rsid w:val="39DA2245"/>
    <w:rsid w:val="39DF1EED"/>
    <w:rsid w:val="39E77249"/>
    <w:rsid w:val="39E8306D"/>
    <w:rsid w:val="39EA7965"/>
    <w:rsid w:val="39EC063F"/>
    <w:rsid w:val="39EC2BEE"/>
    <w:rsid w:val="39F270B3"/>
    <w:rsid w:val="39FA5D09"/>
    <w:rsid w:val="39FC0E8D"/>
    <w:rsid w:val="39FD07F7"/>
    <w:rsid w:val="39FE0637"/>
    <w:rsid w:val="3A0101F8"/>
    <w:rsid w:val="3A0336F7"/>
    <w:rsid w:val="3A0A2AB5"/>
    <w:rsid w:val="3A0C0A88"/>
    <w:rsid w:val="3A104127"/>
    <w:rsid w:val="3A124895"/>
    <w:rsid w:val="3A131D9F"/>
    <w:rsid w:val="3A132080"/>
    <w:rsid w:val="3A152CDE"/>
    <w:rsid w:val="3A18663A"/>
    <w:rsid w:val="3A1B0906"/>
    <w:rsid w:val="3A1E1610"/>
    <w:rsid w:val="3A1E2E9B"/>
    <w:rsid w:val="3A1E3F9C"/>
    <w:rsid w:val="3A235627"/>
    <w:rsid w:val="3A254833"/>
    <w:rsid w:val="3A2C63BB"/>
    <w:rsid w:val="3A2C7375"/>
    <w:rsid w:val="3A2F3093"/>
    <w:rsid w:val="3A3605C8"/>
    <w:rsid w:val="3A3610A8"/>
    <w:rsid w:val="3A381BC6"/>
    <w:rsid w:val="3A38610E"/>
    <w:rsid w:val="3A395AF1"/>
    <w:rsid w:val="3A414158"/>
    <w:rsid w:val="3A4405AD"/>
    <w:rsid w:val="3A4449C9"/>
    <w:rsid w:val="3A473EAA"/>
    <w:rsid w:val="3A486CA9"/>
    <w:rsid w:val="3A4A48AB"/>
    <w:rsid w:val="3A4F21D7"/>
    <w:rsid w:val="3A523285"/>
    <w:rsid w:val="3A55359F"/>
    <w:rsid w:val="3A5602E9"/>
    <w:rsid w:val="3A5620C2"/>
    <w:rsid w:val="3A563FEB"/>
    <w:rsid w:val="3A5B199F"/>
    <w:rsid w:val="3A5C03AC"/>
    <w:rsid w:val="3A5D4B28"/>
    <w:rsid w:val="3A5D73E3"/>
    <w:rsid w:val="3A5E21DF"/>
    <w:rsid w:val="3A5E61BB"/>
    <w:rsid w:val="3A5F16E8"/>
    <w:rsid w:val="3A5F1FCB"/>
    <w:rsid w:val="3A624523"/>
    <w:rsid w:val="3A660FD9"/>
    <w:rsid w:val="3A673754"/>
    <w:rsid w:val="3A69111E"/>
    <w:rsid w:val="3A6962CC"/>
    <w:rsid w:val="3A6D5D7D"/>
    <w:rsid w:val="3A720069"/>
    <w:rsid w:val="3A7320BA"/>
    <w:rsid w:val="3A74542A"/>
    <w:rsid w:val="3A782938"/>
    <w:rsid w:val="3A791A5E"/>
    <w:rsid w:val="3A802EC6"/>
    <w:rsid w:val="3A8103DD"/>
    <w:rsid w:val="3A8C150B"/>
    <w:rsid w:val="3A8D2404"/>
    <w:rsid w:val="3A8F07D5"/>
    <w:rsid w:val="3A91238C"/>
    <w:rsid w:val="3A91284B"/>
    <w:rsid w:val="3A9207B2"/>
    <w:rsid w:val="3A920E92"/>
    <w:rsid w:val="3A96377E"/>
    <w:rsid w:val="3A9E1AE9"/>
    <w:rsid w:val="3A9E4D77"/>
    <w:rsid w:val="3A9E6F9C"/>
    <w:rsid w:val="3A9F412B"/>
    <w:rsid w:val="3AA23AE7"/>
    <w:rsid w:val="3AA42CF6"/>
    <w:rsid w:val="3AA819EA"/>
    <w:rsid w:val="3AAB3972"/>
    <w:rsid w:val="3AAF3FE1"/>
    <w:rsid w:val="3AB74220"/>
    <w:rsid w:val="3ABA1967"/>
    <w:rsid w:val="3ABA260E"/>
    <w:rsid w:val="3ABA3BF1"/>
    <w:rsid w:val="3ABB0577"/>
    <w:rsid w:val="3ABF49AB"/>
    <w:rsid w:val="3AC12EE6"/>
    <w:rsid w:val="3AC34987"/>
    <w:rsid w:val="3AC3681F"/>
    <w:rsid w:val="3AC37B24"/>
    <w:rsid w:val="3AC93583"/>
    <w:rsid w:val="3AC9777B"/>
    <w:rsid w:val="3ACB6F1D"/>
    <w:rsid w:val="3ACC0001"/>
    <w:rsid w:val="3ACC4276"/>
    <w:rsid w:val="3AD47BFC"/>
    <w:rsid w:val="3AE01ADD"/>
    <w:rsid w:val="3AE03E54"/>
    <w:rsid w:val="3AE25DE5"/>
    <w:rsid w:val="3AE275A2"/>
    <w:rsid w:val="3AE341A3"/>
    <w:rsid w:val="3AE918C9"/>
    <w:rsid w:val="3AE93EB2"/>
    <w:rsid w:val="3AEB6118"/>
    <w:rsid w:val="3AF33520"/>
    <w:rsid w:val="3AF66579"/>
    <w:rsid w:val="3B02753F"/>
    <w:rsid w:val="3B0321C5"/>
    <w:rsid w:val="3B090622"/>
    <w:rsid w:val="3B0A6DCA"/>
    <w:rsid w:val="3B0B2F23"/>
    <w:rsid w:val="3B0C43E7"/>
    <w:rsid w:val="3B0C61EA"/>
    <w:rsid w:val="3B0E66EF"/>
    <w:rsid w:val="3B0E7BE2"/>
    <w:rsid w:val="3B0F14B0"/>
    <w:rsid w:val="3B0F1A3A"/>
    <w:rsid w:val="3B1022AD"/>
    <w:rsid w:val="3B131EB2"/>
    <w:rsid w:val="3B1D2CBB"/>
    <w:rsid w:val="3B1D4ADF"/>
    <w:rsid w:val="3B1E479A"/>
    <w:rsid w:val="3B227785"/>
    <w:rsid w:val="3B231FCB"/>
    <w:rsid w:val="3B282133"/>
    <w:rsid w:val="3B310425"/>
    <w:rsid w:val="3B324941"/>
    <w:rsid w:val="3B346891"/>
    <w:rsid w:val="3B362765"/>
    <w:rsid w:val="3B366374"/>
    <w:rsid w:val="3B373BE4"/>
    <w:rsid w:val="3B382859"/>
    <w:rsid w:val="3B3936E6"/>
    <w:rsid w:val="3B3A5A35"/>
    <w:rsid w:val="3B406D8A"/>
    <w:rsid w:val="3B416FA9"/>
    <w:rsid w:val="3B424545"/>
    <w:rsid w:val="3B425B9A"/>
    <w:rsid w:val="3B473508"/>
    <w:rsid w:val="3B474903"/>
    <w:rsid w:val="3B49276C"/>
    <w:rsid w:val="3B495A98"/>
    <w:rsid w:val="3B4B1E81"/>
    <w:rsid w:val="3B4B3D73"/>
    <w:rsid w:val="3B4E01BC"/>
    <w:rsid w:val="3B4E075C"/>
    <w:rsid w:val="3B4F0431"/>
    <w:rsid w:val="3B525889"/>
    <w:rsid w:val="3B542F34"/>
    <w:rsid w:val="3B555E05"/>
    <w:rsid w:val="3B5700EE"/>
    <w:rsid w:val="3B5C4BF8"/>
    <w:rsid w:val="3B5D324E"/>
    <w:rsid w:val="3B5E1617"/>
    <w:rsid w:val="3B5F4366"/>
    <w:rsid w:val="3B5F670A"/>
    <w:rsid w:val="3B627AE0"/>
    <w:rsid w:val="3B656327"/>
    <w:rsid w:val="3B6640DE"/>
    <w:rsid w:val="3B675488"/>
    <w:rsid w:val="3B680D89"/>
    <w:rsid w:val="3B691254"/>
    <w:rsid w:val="3B691AD2"/>
    <w:rsid w:val="3B694923"/>
    <w:rsid w:val="3B6C2E65"/>
    <w:rsid w:val="3B6D21FB"/>
    <w:rsid w:val="3B6F7B4A"/>
    <w:rsid w:val="3B713FA0"/>
    <w:rsid w:val="3B717DFE"/>
    <w:rsid w:val="3B787C13"/>
    <w:rsid w:val="3B7F0F65"/>
    <w:rsid w:val="3B842FF1"/>
    <w:rsid w:val="3B867B48"/>
    <w:rsid w:val="3B8810F4"/>
    <w:rsid w:val="3B883424"/>
    <w:rsid w:val="3B914B72"/>
    <w:rsid w:val="3B914EF6"/>
    <w:rsid w:val="3B9A6288"/>
    <w:rsid w:val="3B9C1EA7"/>
    <w:rsid w:val="3B9E56DC"/>
    <w:rsid w:val="3B9E59CF"/>
    <w:rsid w:val="3BA356A2"/>
    <w:rsid w:val="3BA46468"/>
    <w:rsid w:val="3BA64AD4"/>
    <w:rsid w:val="3BA87E76"/>
    <w:rsid w:val="3BAA2E0C"/>
    <w:rsid w:val="3BAB3F7E"/>
    <w:rsid w:val="3BAE09F6"/>
    <w:rsid w:val="3BAE5FAC"/>
    <w:rsid w:val="3BB25712"/>
    <w:rsid w:val="3BB55E1B"/>
    <w:rsid w:val="3BB56723"/>
    <w:rsid w:val="3BB63295"/>
    <w:rsid w:val="3BBC1E2E"/>
    <w:rsid w:val="3BC25141"/>
    <w:rsid w:val="3BC40A05"/>
    <w:rsid w:val="3BC45656"/>
    <w:rsid w:val="3BCA618B"/>
    <w:rsid w:val="3BCC66D0"/>
    <w:rsid w:val="3BCF49A0"/>
    <w:rsid w:val="3BD07D70"/>
    <w:rsid w:val="3BD279A4"/>
    <w:rsid w:val="3BD3519D"/>
    <w:rsid w:val="3BD65F4E"/>
    <w:rsid w:val="3BD75720"/>
    <w:rsid w:val="3BD760D1"/>
    <w:rsid w:val="3BD82B14"/>
    <w:rsid w:val="3BD95A30"/>
    <w:rsid w:val="3BDD28E9"/>
    <w:rsid w:val="3BDD7268"/>
    <w:rsid w:val="3BDF0520"/>
    <w:rsid w:val="3BDF0EF5"/>
    <w:rsid w:val="3BE31CBA"/>
    <w:rsid w:val="3BE529B2"/>
    <w:rsid w:val="3BE92981"/>
    <w:rsid w:val="3BEA6EB3"/>
    <w:rsid w:val="3BEE78C2"/>
    <w:rsid w:val="3BF25FCA"/>
    <w:rsid w:val="3BF32267"/>
    <w:rsid w:val="3BF57FCC"/>
    <w:rsid w:val="3BF6690C"/>
    <w:rsid w:val="3BF85439"/>
    <w:rsid w:val="3BFB532C"/>
    <w:rsid w:val="3BFF5502"/>
    <w:rsid w:val="3BFF7D5C"/>
    <w:rsid w:val="3C055388"/>
    <w:rsid w:val="3C075C11"/>
    <w:rsid w:val="3C0972D1"/>
    <w:rsid w:val="3C0B4729"/>
    <w:rsid w:val="3C0C41D9"/>
    <w:rsid w:val="3C0F1363"/>
    <w:rsid w:val="3C0F1C12"/>
    <w:rsid w:val="3C0F5A1B"/>
    <w:rsid w:val="3C153A08"/>
    <w:rsid w:val="3C166BD5"/>
    <w:rsid w:val="3C171F5A"/>
    <w:rsid w:val="3C177A07"/>
    <w:rsid w:val="3C18126C"/>
    <w:rsid w:val="3C1A68B8"/>
    <w:rsid w:val="3C1A6CD7"/>
    <w:rsid w:val="3C1F3918"/>
    <w:rsid w:val="3C1F7C3C"/>
    <w:rsid w:val="3C2105FF"/>
    <w:rsid w:val="3C2456F5"/>
    <w:rsid w:val="3C2605D1"/>
    <w:rsid w:val="3C280BEF"/>
    <w:rsid w:val="3C2A0E0F"/>
    <w:rsid w:val="3C2D7215"/>
    <w:rsid w:val="3C31784D"/>
    <w:rsid w:val="3C325179"/>
    <w:rsid w:val="3C342CB7"/>
    <w:rsid w:val="3C3B3EA2"/>
    <w:rsid w:val="3C3E782A"/>
    <w:rsid w:val="3C420BBD"/>
    <w:rsid w:val="3C492407"/>
    <w:rsid w:val="3C4B259E"/>
    <w:rsid w:val="3C4B7616"/>
    <w:rsid w:val="3C4F3F08"/>
    <w:rsid w:val="3C567099"/>
    <w:rsid w:val="3C571A77"/>
    <w:rsid w:val="3C5A13EE"/>
    <w:rsid w:val="3C5D293A"/>
    <w:rsid w:val="3C5D517A"/>
    <w:rsid w:val="3C5E1AEE"/>
    <w:rsid w:val="3C5F4C83"/>
    <w:rsid w:val="3C6326EB"/>
    <w:rsid w:val="3C6449D4"/>
    <w:rsid w:val="3C652428"/>
    <w:rsid w:val="3C66428B"/>
    <w:rsid w:val="3C6666A9"/>
    <w:rsid w:val="3C673BD3"/>
    <w:rsid w:val="3C6761BD"/>
    <w:rsid w:val="3C692406"/>
    <w:rsid w:val="3C6D2D06"/>
    <w:rsid w:val="3C767612"/>
    <w:rsid w:val="3C7845C0"/>
    <w:rsid w:val="3C7C6460"/>
    <w:rsid w:val="3C7D04F1"/>
    <w:rsid w:val="3C7E144E"/>
    <w:rsid w:val="3C7E6EC6"/>
    <w:rsid w:val="3C811E69"/>
    <w:rsid w:val="3C8318B6"/>
    <w:rsid w:val="3C861C2C"/>
    <w:rsid w:val="3C8B3F8B"/>
    <w:rsid w:val="3C8D1F5B"/>
    <w:rsid w:val="3C8F7316"/>
    <w:rsid w:val="3C9356CB"/>
    <w:rsid w:val="3C9606C2"/>
    <w:rsid w:val="3C9B39A8"/>
    <w:rsid w:val="3CA459E1"/>
    <w:rsid w:val="3CA52FDE"/>
    <w:rsid w:val="3CA72EC4"/>
    <w:rsid w:val="3CAC5F7D"/>
    <w:rsid w:val="3CAC7CA6"/>
    <w:rsid w:val="3CAD4EB2"/>
    <w:rsid w:val="3CB2067F"/>
    <w:rsid w:val="3CB52AF5"/>
    <w:rsid w:val="3CBC29EE"/>
    <w:rsid w:val="3CBC3993"/>
    <w:rsid w:val="3CC16300"/>
    <w:rsid w:val="3CC724DA"/>
    <w:rsid w:val="3CC86CCC"/>
    <w:rsid w:val="3CCD3959"/>
    <w:rsid w:val="3CD154B9"/>
    <w:rsid w:val="3CD42E77"/>
    <w:rsid w:val="3CD467D8"/>
    <w:rsid w:val="3CD61AFE"/>
    <w:rsid w:val="3CD90F48"/>
    <w:rsid w:val="3CDC4122"/>
    <w:rsid w:val="3CEB64AC"/>
    <w:rsid w:val="3CEF6B9C"/>
    <w:rsid w:val="3CF3617C"/>
    <w:rsid w:val="3CF631EF"/>
    <w:rsid w:val="3CF65FB9"/>
    <w:rsid w:val="3CF736D1"/>
    <w:rsid w:val="3CF772CF"/>
    <w:rsid w:val="3CF80924"/>
    <w:rsid w:val="3CF86391"/>
    <w:rsid w:val="3D027444"/>
    <w:rsid w:val="3D11712D"/>
    <w:rsid w:val="3D14593B"/>
    <w:rsid w:val="3D151C81"/>
    <w:rsid w:val="3D154375"/>
    <w:rsid w:val="3D1617E6"/>
    <w:rsid w:val="3D1E55D0"/>
    <w:rsid w:val="3D2227F4"/>
    <w:rsid w:val="3D224565"/>
    <w:rsid w:val="3D232D48"/>
    <w:rsid w:val="3D2422D4"/>
    <w:rsid w:val="3D290DF9"/>
    <w:rsid w:val="3D2A6700"/>
    <w:rsid w:val="3D2B4063"/>
    <w:rsid w:val="3D341FFF"/>
    <w:rsid w:val="3D354433"/>
    <w:rsid w:val="3D382E9A"/>
    <w:rsid w:val="3D383FFF"/>
    <w:rsid w:val="3D3B6765"/>
    <w:rsid w:val="3D3E497C"/>
    <w:rsid w:val="3D43130B"/>
    <w:rsid w:val="3D446AE1"/>
    <w:rsid w:val="3D461992"/>
    <w:rsid w:val="3D4D337F"/>
    <w:rsid w:val="3D4F4B82"/>
    <w:rsid w:val="3D515CA1"/>
    <w:rsid w:val="3D520549"/>
    <w:rsid w:val="3D567B31"/>
    <w:rsid w:val="3D57713F"/>
    <w:rsid w:val="3D580470"/>
    <w:rsid w:val="3D593F25"/>
    <w:rsid w:val="3D5E16BB"/>
    <w:rsid w:val="3D607294"/>
    <w:rsid w:val="3D607E80"/>
    <w:rsid w:val="3D613CE4"/>
    <w:rsid w:val="3D6322CB"/>
    <w:rsid w:val="3D6D4B05"/>
    <w:rsid w:val="3D704CF9"/>
    <w:rsid w:val="3D711779"/>
    <w:rsid w:val="3D725BE4"/>
    <w:rsid w:val="3D727B66"/>
    <w:rsid w:val="3D770817"/>
    <w:rsid w:val="3D770DA3"/>
    <w:rsid w:val="3D7A6218"/>
    <w:rsid w:val="3D7D0A0F"/>
    <w:rsid w:val="3D846D07"/>
    <w:rsid w:val="3D847457"/>
    <w:rsid w:val="3D886A91"/>
    <w:rsid w:val="3D8F0290"/>
    <w:rsid w:val="3D927146"/>
    <w:rsid w:val="3D962926"/>
    <w:rsid w:val="3DA0607C"/>
    <w:rsid w:val="3DA164F8"/>
    <w:rsid w:val="3DA233E8"/>
    <w:rsid w:val="3DA31942"/>
    <w:rsid w:val="3DAC3FE7"/>
    <w:rsid w:val="3DAC435E"/>
    <w:rsid w:val="3DAE690E"/>
    <w:rsid w:val="3DB30FC8"/>
    <w:rsid w:val="3DB6476A"/>
    <w:rsid w:val="3DBF2EBB"/>
    <w:rsid w:val="3DC03F47"/>
    <w:rsid w:val="3DC91AF3"/>
    <w:rsid w:val="3DCC238F"/>
    <w:rsid w:val="3DCE36B3"/>
    <w:rsid w:val="3DD15C25"/>
    <w:rsid w:val="3DD17BBE"/>
    <w:rsid w:val="3DD61437"/>
    <w:rsid w:val="3DD86A9B"/>
    <w:rsid w:val="3DDB5BAA"/>
    <w:rsid w:val="3DE649BB"/>
    <w:rsid w:val="3DE865CE"/>
    <w:rsid w:val="3DEB4A20"/>
    <w:rsid w:val="3DF17C0D"/>
    <w:rsid w:val="3DF20D81"/>
    <w:rsid w:val="3DF33931"/>
    <w:rsid w:val="3DF42EB0"/>
    <w:rsid w:val="3E004625"/>
    <w:rsid w:val="3E01223B"/>
    <w:rsid w:val="3E062E7D"/>
    <w:rsid w:val="3E063A50"/>
    <w:rsid w:val="3E08105D"/>
    <w:rsid w:val="3E113D8A"/>
    <w:rsid w:val="3E1242E3"/>
    <w:rsid w:val="3E134A0D"/>
    <w:rsid w:val="3E137756"/>
    <w:rsid w:val="3E1602A9"/>
    <w:rsid w:val="3E165B8B"/>
    <w:rsid w:val="3E193239"/>
    <w:rsid w:val="3E1A79B5"/>
    <w:rsid w:val="3E212A77"/>
    <w:rsid w:val="3E225425"/>
    <w:rsid w:val="3E22568A"/>
    <w:rsid w:val="3E263FAB"/>
    <w:rsid w:val="3E274FB5"/>
    <w:rsid w:val="3E2913C7"/>
    <w:rsid w:val="3E2D7CEC"/>
    <w:rsid w:val="3E2E34D6"/>
    <w:rsid w:val="3E2E4150"/>
    <w:rsid w:val="3E2F3B0E"/>
    <w:rsid w:val="3E324F76"/>
    <w:rsid w:val="3E352A83"/>
    <w:rsid w:val="3E38233A"/>
    <w:rsid w:val="3E383748"/>
    <w:rsid w:val="3E3B6A60"/>
    <w:rsid w:val="3E3D78EB"/>
    <w:rsid w:val="3E3E04D6"/>
    <w:rsid w:val="3E3E2C2F"/>
    <w:rsid w:val="3E3E7246"/>
    <w:rsid w:val="3E407169"/>
    <w:rsid w:val="3E412892"/>
    <w:rsid w:val="3E413872"/>
    <w:rsid w:val="3E452D27"/>
    <w:rsid w:val="3E46436B"/>
    <w:rsid w:val="3E4654B4"/>
    <w:rsid w:val="3E4A7D11"/>
    <w:rsid w:val="3E4F5BBD"/>
    <w:rsid w:val="3E513738"/>
    <w:rsid w:val="3E553357"/>
    <w:rsid w:val="3E5834DA"/>
    <w:rsid w:val="3E5A152A"/>
    <w:rsid w:val="3E5A3954"/>
    <w:rsid w:val="3E5D2903"/>
    <w:rsid w:val="3E5F59EC"/>
    <w:rsid w:val="3E615A6E"/>
    <w:rsid w:val="3E620C79"/>
    <w:rsid w:val="3E682881"/>
    <w:rsid w:val="3E686F2B"/>
    <w:rsid w:val="3E69116A"/>
    <w:rsid w:val="3E6A09DF"/>
    <w:rsid w:val="3E6A5F63"/>
    <w:rsid w:val="3E6B74A7"/>
    <w:rsid w:val="3E71194D"/>
    <w:rsid w:val="3E735705"/>
    <w:rsid w:val="3E78047B"/>
    <w:rsid w:val="3E796BA7"/>
    <w:rsid w:val="3E7A4673"/>
    <w:rsid w:val="3E7A4892"/>
    <w:rsid w:val="3E7A6E5D"/>
    <w:rsid w:val="3E7A7ECB"/>
    <w:rsid w:val="3E803B26"/>
    <w:rsid w:val="3E80496F"/>
    <w:rsid w:val="3E831B58"/>
    <w:rsid w:val="3E85067D"/>
    <w:rsid w:val="3E874A14"/>
    <w:rsid w:val="3E877629"/>
    <w:rsid w:val="3E896F62"/>
    <w:rsid w:val="3E8B0A32"/>
    <w:rsid w:val="3E8B5B37"/>
    <w:rsid w:val="3E8E13D4"/>
    <w:rsid w:val="3E910EA6"/>
    <w:rsid w:val="3E98627E"/>
    <w:rsid w:val="3E994B44"/>
    <w:rsid w:val="3E9D5725"/>
    <w:rsid w:val="3E9E5F37"/>
    <w:rsid w:val="3E9F73FA"/>
    <w:rsid w:val="3EA313E1"/>
    <w:rsid w:val="3EA35546"/>
    <w:rsid w:val="3EA5348A"/>
    <w:rsid w:val="3EA548B4"/>
    <w:rsid w:val="3EA846BF"/>
    <w:rsid w:val="3EAF3CA0"/>
    <w:rsid w:val="3EB019F5"/>
    <w:rsid w:val="3EB02E13"/>
    <w:rsid w:val="3EB03EF7"/>
    <w:rsid w:val="3EB10DBB"/>
    <w:rsid w:val="3EB632E5"/>
    <w:rsid w:val="3EB83771"/>
    <w:rsid w:val="3EBA79EC"/>
    <w:rsid w:val="3EBD6A71"/>
    <w:rsid w:val="3EC062E6"/>
    <w:rsid w:val="3EC07C8A"/>
    <w:rsid w:val="3EC35039"/>
    <w:rsid w:val="3EC449D4"/>
    <w:rsid w:val="3EC877DC"/>
    <w:rsid w:val="3ECA27C6"/>
    <w:rsid w:val="3ED1721A"/>
    <w:rsid w:val="3ED763BA"/>
    <w:rsid w:val="3EDB3D4D"/>
    <w:rsid w:val="3EDE263C"/>
    <w:rsid w:val="3EEA6969"/>
    <w:rsid w:val="3EEE0DA9"/>
    <w:rsid w:val="3EEF4F85"/>
    <w:rsid w:val="3EEF6A08"/>
    <w:rsid w:val="3EF04A2D"/>
    <w:rsid w:val="3EF06179"/>
    <w:rsid w:val="3EF138CC"/>
    <w:rsid w:val="3EF22090"/>
    <w:rsid w:val="3EF439A0"/>
    <w:rsid w:val="3EF56B18"/>
    <w:rsid w:val="3EF603D9"/>
    <w:rsid w:val="3EF80A91"/>
    <w:rsid w:val="3EFA6C6E"/>
    <w:rsid w:val="3EFB5DDC"/>
    <w:rsid w:val="3EFE316B"/>
    <w:rsid w:val="3F001804"/>
    <w:rsid w:val="3F0152C8"/>
    <w:rsid w:val="3F024BFC"/>
    <w:rsid w:val="3F051F26"/>
    <w:rsid w:val="3F054E1C"/>
    <w:rsid w:val="3F06241D"/>
    <w:rsid w:val="3F076969"/>
    <w:rsid w:val="3F0A537A"/>
    <w:rsid w:val="3F1067C0"/>
    <w:rsid w:val="3F1170E8"/>
    <w:rsid w:val="3F133926"/>
    <w:rsid w:val="3F165F27"/>
    <w:rsid w:val="3F187CB6"/>
    <w:rsid w:val="3F1B6D7C"/>
    <w:rsid w:val="3F1D6B7B"/>
    <w:rsid w:val="3F22008E"/>
    <w:rsid w:val="3F2344FC"/>
    <w:rsid w:val="3F251CF8"/>
    <w:rsid w:val="3F281E7E"/>
    <w:rsid w:val="3F284452"/>
    <w:rsid w:val="3F2F2A60"/>
    <w:rsid w:val="3F317D3D"/>
    <w:rsid w:val="3F3C5D65"/>
    <w:rsid w:val="3F3D4E08"/>
    <w:rsid w:val="3F3D608D"/>
    <w:rsid w:val="3F3E34D2"/>
    <w:rsid w:val="3F420597"/>
    <w:rsid w:val="3F4209E1"/>
    <w:rsid w:val="3F434694"/>
    <w:rsid w:val="3F4654D6"/>
    <w:rsid w:val="3F481985"/>
    <w:rsid w:val="3F4874E3"/>
    <w:rsid w:val="3F4973BD"/>
    <w:rsid w:val="3F4C57EF"/>
    <w:rsid w:val="3F4D43D5"/>
    <w:rsid w:val="3F525A06"/>
    <w:rsid w:val="3F54627F"/>
    <w:rsid w:val="3F555903"/>
    <w:rsid w:val="3F5628A2"/>
    <w:rsid w:val="3F5751CD"/>
    <w:rsid w:val="3F581487"/>
    <w:rsid w:val="3F591257"/>
    <w:rsid w:val="3F5932A8"/>
    <w:rsid w:val="3F6039D5"/>
    <w:rsid w:val="3F626917"/>
    <w:rsid w:val="3F631882"/>
    <w:rsid w:val="3F640AD5"/>
    <w:rsid w:val="3F6525B0"/>
    <w:rsid w:val="3F6902D3"/>
    <w:rsid w:val="3F6A7005"/>
    <w:rsid w:val="3F6C5E88"/>
    <w:rsid w:val="3F6D2111"/>
    <w:rsid w:val="3F6E143F"/>
    <w:rsid w:val="3F7B57BB"/>
    <w:rsid w:val="3F7B74F0"/>
    <w:rsid w:val="3F7C1EC2"/>
    <w:rsid w:val="3F7C2FB3"/>
    <w:rsid w:val="3F8073EA"/>
    <w:rsid w:val="3F816AD6"/>
    <w:rsid w:val="3F8253CC"/>
    <w:rsid w:val="3F877ADF"/>
    <w:rsid w:val="3F8951F2"/>
    <w:rsid w:val="3F8A3A2A"/>
    <w:rsid w:val="3F8A64BB"/>
    <w:rsid w:val="3F8B0C33"/>
    <w:rsid w:val="3F8D0033"/>
    <w:rsid w:val="3F8D6F18"/>
    <w:rsid w:val="3F9050BC"/>
    <w:rsid w:val="3F906A1E"/>
    <w:rsid w:val="3F9115F7"/>
    <w:rsid w:val="3F93586E"/>
    <w:rsid w:val="3F98330A"/>
    <w:rsid w:val="3F987CAB"/>
    <w:rsid w:val="3F993CD9"/>
    <w:rsid w:val="3F9B4A13"/>
    <w:rsid w:val="3F9C2AD1"/>
    <w:rsid w:val="3F9D7469"/>
    <w:rsid w:val="3F9F559C"/>
    <w:rsid w:val="3F9F67E0"/>
    <w:rsid w:val="3FA21C22"/>
    <w:rsid w:val="3FA330D9"/>
    <w:rsid w:val="3FA361D1"/>
    <w:rsid w:val="3FA550A3"/>
    <w:rsid w:val="3FA55B9D"/>
    <w:rsid w:val="3FAF4569"/>
    <w:rsid w:val="3FB2277B"/>
    <w:rsid w:val="3FC2590C"/>
    <w:rsid w:val="3FC25B13"/>
    <w:rsid w:val="3FC82107"/>
    <w:rsid w:val="3FC86CA8"/>
    <w:rsid w:val="3FC96D45"/>
    <w:rsid w:val="3FCB2D46"/>
    <w:rsid w:val="3FCC5053"/>
    <w:rsid w:val="3FCE739E"/>
    <w:rsid w:val="3FCF5002"/>
    <w:rsid w:val="3FCF76E2"/>
    <w:rsid w:val="3FD14F66"/>
    <w:rsid w:val="3FD36FFA"/>
    <w:rsid w:val="3FD40A8C"/>
    <w:rsid w:val="3FD422C4"/>
    <w:rsid w:val="3FDA1A36"/>
    <w:rsid w:val="3FDA4BFE"/>
    <w:rsid w:val="3FDB5C17"/>
    <w:rsid w:val="3FDC5296"/>
    <w:rsid w:val="3FE32B27"/>
    <w:rsid w:val="3FE3656B"/>
    <w:rsid w:val="3FE6357B"/>
    <w:rsid w:val="3FE67F52"/>
    <w:rsid w:val="3FE756BB"/>
    <w:rsid w:val="3FEA3E1E"/>
    <w:rsid w:val="3FF12096"/>
    <w:rsid w:val="3FF34491"/>
    <w:rsid w:val="3FF34AC7"/>
    <w:rsid w:val="3FF43934"/>
    <w:rsid w:val="3FF61536"/>
    <w:rsid w:val="3FF8173F"/>
    <w:rsid w:val="3FF83425"/>
    <w:rsid w:val="3FF83F84"/>
    <w:rsid w:val="3FF90371"/>
    <w:rsid w:val="3FF93306"/>
    <w:rsid w:val="3FF955DA"/>
    <w:rsid w:val="3FFC6A81"/>
    <w:rsid w:val="40001FEE"/>
    <w:rsid w:val="40007587"/>
    <w:rsid w:val="400238AF"/>
    <w:rsid w:val="400476EF"/>
    <w:rsid w:val="40073B63"/>
    <w:rsid w:val="40074305"/>
    <w:rsid w:val="40081B1E"/>
    <w:rsid w:val="400C3301"/>
    <w:rsid w:val="40122CFA"/>
    <w:rsid w:val="401732FD"/>
    <w:rsid w:val="401C6513"/>
    <w:rsid w:val="401F5B3D"/>
    <w:rsid w:val="401F5DD2"/>
    <w:rsid w:val="401F70EF"/>
    <w:rsid w:val="40266725"/>
    <w:rsid w:val="40271963"/>
    <w:rsid w:val="402A43C9"/>
    <w:rsid w:val="402D4BF1"/>
    <w:rsid w:val="402F5721"/>
    <w:rsid w:val="403B5BE9"/>
    <w:rsid w:val="403C1AA7"/>
    <w:rsid w:val="403E4102"/>
    <w:rsid w:val="403F48E2"/>
    <w:rsid w:val="403F5EB1"/>
    <w:rsid w:val="404021EF"/>
    <w:rsid w:val="404139C5"/>
    <w:rsid w:val="4048196D"/>
    <w:rsid w:val="40483DF9"/>
    <w:rsid w:val="40490DCA"/>
    <w:rsid w:val="404A57C1"/>
    <w:rsid w:val="404A773F"/>
    <w:rsid w:val="405041D0"/>
    <w:rsid w:val="40511D86"/>
    <w:rsid w:val="40565EE2"/>
    <w:rsid w:val="405B39BA"/>
    <w:rsid w:val="405B58AF"/>
    <w:rsid w:val="4061061E"/>
    <w:rsid w:val="40611093"/>
    <w:rsid w:val="40614C31"/>
    <w:rsid w:val="40617FD4"/>
    <w:rsid w:val="406801CC"/>
    <w:rsid w:val="406C321E"/>
    <w:rsid w:val="406E09A3"/>
    <w:rsid w:val="406F06FC"/>
    <w:rsid w:val="407041A9"/>
    <w:rsid w:val="407913E8"/>
    <w:rsid w:val="407A5DF2"/>
    <w:rsid w:val="407C7E56"/>
    <w:rsid w:val="40815423"/>
    <w:rsid w:val="40863C23"/>
    <w:rsid w:val="408C19E4"/>
    <w:rsid w:val="408D28A5"/>
    <w:rsid w:val="408D2DF4"/>
    <w:rsid w:val="40914365"/>
    <w:rsid w:val="40914ED8"/>
    <w:rsid w:val="4091581D"/>
    <w:rsid w:val="40916A27"/>
    <w:rsid w:val="40950888"/>
    <w:rsid w:val="40974AB8"/>
    <w:rsid w:val="40977C2D"/>
    <w:rsid w:val="40996D7E"/>
    <w:rsid w:val="409D1C34"/>
    <w:rsid w:val="40A14FA3"/>
    <w:rsid w:val="40A32254"/>
    <w:rsid w:val="40A35A86"/>
    <w:rsid w:val="40A86BF9"/>
    <w:rsid w:val="40AA0A90"/>
    <w:rsid w:val="40AA5D54"/>
    <w:rsid w:val="40AD7207"/>
    <w:rsid w:val="40AF2F79"/>
    <w:rsid w:val="40B0438F"/>
    <w:rsid w:val="40B170DC"/>
    <w:rsid w:val="40B639A9"/>
    <w:rsid w:val="40B86408"/>
    <w:rsid w:val="40B92598"/>
    <w:rsid w:val="40B92D72"/>
    <w:rsid w:val="40BB0CBF"/>
    <w:rsid w:val="40C00B1B"/>
    <w:rsid w:val="40C17C59"/>
    <w:rsid w:val="40C2069C"/>
    <w:rsid w:val="40CA4177"/>
    <w:rsid w:val="40CD6F0A"/>
    <w:rsid w:val="40CF1057"/>
    <w:rsid w:val="40CF3B5C"/>
    <w:rsid w:val="40D7593C"/>
    <w:rsid w:val="40D87815"/>
    <w:rsid w:val="40DC4D30"/>
    <w:rsid w:val="40DE400D"/>
    <w:rsid w:val="40DF6EDF"/>
    <w:rsid w:val="40E6254D"/>
    <w:rsid w:val="40F45611"/>
    <w:rsid w:val="40F772EA"/>
    <w:rsid w:val="40F81AEB"/>
    <w:rsid w:val="40FA3516"/>
    <w:rsid w:val="40FF0EE5"/>
    <w:rsid w:val="4100276C"/>
    <w:rsid w:val="4107732A"/>
    <w:rsid w:val="410D69AC"/>
    <w:rsid w:val="41103416"/>
    <w:rsid w:val="4111773E"/>
    <w:rsid w:val="41140732"/>
    <w:rsid w:val="411651FB"/>
    <w:rsid w:val="411B6F26"/>
    <w:rsid w:val="412334B0"/>
    <w:rsid w:val="41264196"/>
    <w:rsid w:val="412A6926"/>
    <w:rsid w:val="412B1CBB"/>
    <w:rsid w:val="412C59EA"/>
    <w:rsid w:val="41336C85"/>
    <w:rsid w:val="41360E1C"/>
    <w:rsid w:val="41364AA2"/>
    <w:rsid w:val="41386161"/>
    <w:rsid w:val="413B4BC5"/>
    <w:rsid w:val="413C3FD5"/>
    <w:rsid w:val="413D3945"/>
    <w:rsid w:val="413E5712"/>
    <w:rsid w:val="41410DFB"/>
    <w:rsid w:val="4145181B"/>
    <w:rsid w:val="41475A67"/>
    <w:rsid w:val="414C018F"/>
    <w:rsid w:val="414F2480"/>
    <w:rsid w:val="414F3518"/>
    <w:rsid w:val="414F6C9E"/>
    <w:rsid w:val="4152323F"/>
    <w:rsid w:val="41530A9B"/>
    <w:rsid w:val="415403D1"/>
    <w:rsid w:val="41544F17"/>
    <w:rsid w:val="4155125D"/>
    <w:rsid w:val="41567EA4"/>
    <w:rsid w:val="415770BF"/>
    <w:rsid w:val="41582A9A"/>
    <w:rsid w:val="41583A12"/>
    <w:rsid w:val="415B65F1"/>
    <w:rsid w:val="4168640F"/>
    <w:rsid w:val="416C518E"/>
    <w:rsid w:val="416E5837"/>
    <w:rsid w:val="416F7820"/>
    <w:rsid w:val="41700331"/>
    <w:rsid w:val="41714FB6"/>
    <w:rsid w:val="4173417F"/>
    <w:rsid w:val="41745329"/>
    <w:rsid w:val="4174762D"/>
    <w:rsid w:val="41760A90"/>
    <w:rsid w:val="417714DF"/>
    <w:rsid w:val="417E1C47"/>
    <w:rsid w:val="417E56EC"/>
    <w:rsid w:val="41801CA4"/>
    <w:rsid w:val="4181033B"/>
    <w:rsid w:val="418677AA"/>
    <w:rsid w:val="41873BCC"/>
    <w:rsid w:val="41897EC1"/>
    <w:rsid w:val="418B3F20"/>
    <w:rsid w:val="418D7AA6"/>
    <w:rsid w:val="418E4B84"/>
    <w:rsid w:val="418F68D4"/>
    <w:rsid w:val="41915462"/>
    <w:rsid w:val="419226E9"/>
    <w:rsid w:val="41965EEA"/>
    <w:rsid w:val="41986C6D"/>
    <w:rsid w:val="419F2F00"/>
    <w:rsid w:val="41A05EB7"/>
    <w:rsid w:val="41A970CC"/>
    <w:rsid w:val="41B23F03"/>
    <w:rsid w:val="41B72249"/>
    <w:rsid w:val="41B72AB2"/>
    <w:rsid w:val="41BC6135"/>
    <w:rsid w:val="41BC6C24"/>
    <w:rsid w:val="41BD7E4B"/>
    <w:rsid w:val="41C04416"/>
    <w:rsid w:val="41C04936"/>
    <w:rsid w:val="41C059CD"/>
    <w:rsid w:val="41C065D7"/>
    <w:rsid w:val="41C1108C"/>
    <w:rsid w:val="41C83DA0"/>
    <w:rsid w:val="41C843A2"/>
    <w:rsid w:val="41C86951"/>
    <w:rsid w:val="41C92C30"/>
    <w:rsid w:val="41CB06DB"/>
    <w:rsid w:val="41CE0773"/>
    <w:rsid w:val="41CF63C4"/>
    <w:rsid w:val="41D1710F"/>
    <w:rsid w:val="41D33923"/>
    <w:rsid w:val="41D3611B"/>
    <w:rsid w:val="41D64826"/>
    <w:rsid w:val="41D74DE7"/>
    <w:rsid w:val="41DE01C7"/>
    <w:rsid w:val="41E27CCE"/>
    <w:rsid w:val="41E3220A"/>
    <w:rsid w:val="41E81243"/>
    <w:rsid w:val="41E84846"/>
    <w:rsid w:val="41E9036D"/>
    <w:rsid w:val="41F1381B"/>
    <w:rsid w:val="41F57C05"/>
    <w:rsid w:val="41F604FB"/>
    <w:rsid w:val="41F851BF"/>
    <w:rsid w:val="41FC0035"/>
    <w:rsid w:val="41FC664F"/>
    <w:rsid w:val="41FD1900"/>
    <w:rsid w:val="41FD7E2A"/>
    <w:rsid w:val="41FF4D5B"/>
    <w:rsid w:val="42005411"/>
    <w:rsid w:val="42042FF8"/>
    <w:rsid w:val="42084862"/>
    <w:rsid w:val="420C765B"/>
    <w:rsid w:val="420D104D"/>
    <w:rsid w:val="420E542D"/>
    <w:rsid w:val="4210237A"/>
    <w:rsid w:val="42116983"/>
    <w:rsid w:val="4212642F"/>
    <w:rsid w:val="42152F30"/>
    <w:rsid w:val="421B452D"/>
    <w:rsid w:val="421B4618"/>
    <w:rsid w:val="4225483F"/>
    <w:rsid w:val="42257E20"/>
    <w:rsid w:val="4227344E"/>
    <w:rsid w:val="4227668E"/>
    <w:rsid w:val="422A188F"/>
    <w:rsid w:val="422D2FFD"/>
    <w:rsid w:val="422D451C"/>
    <w:rsid w:val="422D6B9C"/>
    <w:rsid w:val="423446C6"/>
    <w:rsid w:val="423552E7"/>
    <w:rsid w:val="42380450"/>
    <w:rsid w:val="423E6BD9"/>
    <w:rsid w:val="423F57D7"/>
    <w:rsid w:val="42432908"/>
    <w:rsid w:val="42435A22"/>
    <w:rsid w:val="424961B9"/>
    <w:rsid w:val="424A11CF"/>
    <w:rsid w:val="424A66BE"/>
    <w:rsid w:val="424B0E48"/>
    <w:rsid w:val="425E0108"/>
    <w:rsid w:val="42623387"/>
    <w:rsid w:val="42632762"/>
    <w:rsid w:val="42637056"/>
    <w:rsid w:val="426B4382"/>
    <w:rsid w:val="426C0DF8"/>
    <w:rsid w:val="426C2B00"/>
    <w:rsid w:val="426E506F"/>
    <w:rsid w:val="42732404"/>
    <w:rsid w:val="427B4117"/>
    <w:rsid w:val="427C08C3"/>
    <w:rsid w:val="427C4CBE"/>
    <w:rsid w:val="427C760F"/>
    <w:rsid w:val="427D7740"/>
    <w:rsid w:val="42806990"/>
    <w:rsid w:val="428546DB"/>
    <w:rsid w:val="42857966"/>
    <w:rsid w:val="428A1AE8"/>
    <w:rsid w:val="428C3289"/>
    <w:rsid w:val="428C3E4F"/>
    <w:rsid w:val="428E5877"/>
    <w:rsid w:val="428E62C2"/>
    <w:rsid w:val="428F35C1"/>
    <w:rsid w:val="4291067C"/>
    <w:rsid w:val="429168C1"/>
    <w:rsid w:val="429572F3"/>
    <w:rsid w:val="429A10B4"/>
    <w:rsid w:val="429A5F6C"/>
    <w:rsid w:val="429C3576"/>
    <w:rsid w:val="429E5575"/>
    <w:rsid w:val="42A0243A"/>
    <w:rsid w:val="42A076F6"/>
    <w:rsid w:val="42A36FB8"/>
    <w:rsid w:val="42A7657A"/>
    <w:rsid w:val="42A76880"/>
    <w:rsid w:val="42A938E7"/>
    <w:rsid w:val="42A94B4F"/>
    <w:rsid w:val="42A973F9"/>
    <w:rsid w:val="42AE1A05"/>
    <w:rsid w:val="42AF1B2A"/>
    <w:rsid w:val="42AF41D5"/>
    <w:rsid w:val="42AF5CBA"/>
    <w:rsid w:val="42B033CC"/>
    <w:rsid w:val="42B0448A"/>
    <w:rsid w:val="42B06E60"/>
    <w:rsid w:val="42B11B0B"/>
    <w:rsid w:val="42B26492"/>
    <w:rsid w:val="42B27237"/>
    <w:rsid w:val="42B33AA9"/>
    <w:rsid w:val="42B557AA"/>
    <w:rsid w:val="42B850ED"/>
    <w:rsid w:val="42BA0E65"/>
    <w:rsid w:val="42C222D7"/>
    <w:rsid w:val="42C5518A"/>
    <w:rsid w:val="42C75836"/>
    <w:rsid w:val="42CA2204"/>
    <w:rsid w:val="42CF155F"/>
    <w:rsid w:val="42D5345A"/>
    <w:rsid w:val="42D7218F"/>
    <w:rsid w:val="42D740AC"/>
    <w:rsid w:val="42D951A6"/>
    <w:rsid w:val="42D95E97"/>
    <w:rsid w:val="42DD15B7"/>
    <w:rsid w:val="42E0419B"/>
    <w:rsid w:val="42E1078A"/>
    <w:rsid w:val="42E1162A"/>
    <w:rsid w:val="42E21119"/>
    <w:rsid w:val="42E840BA"/>
    <w:rsid w:val="42EA174A"/>
    <w:rsid w:val="42F160DF"/>
    <w:rsid w:val="42F303F2"/>
    <w:rsid w:val="42F6063B"/>
    <w:rsid w:val="42F92F01"/>
    <w:rsid w:val="42F94E7C"/>
    <w:rsid w:val="42F973EA"/>
    <w:rsid w:val="42F97D4B"/>
    <w:rsid w:val="42FB44DA"/>
    <w:rsid w:val="42FC5718"/>
    <w:rsid w:val="42FD201A"/>
    <w:rsid w:val="42FE6F5E"/>
    <w:rsid w:val="43027505"/>
    <w:rsid w:val="4303030D"/>
    <w:rsid w:val="430515C8"/>
    <w:rsid w:val="43064C6B"/>
    <w:rsid w:val="430664B8"/>
    <w:rsid w:val="43075FE5"/>
    <w:rsid w:val="430839ED"/>
    <w:rsid w:val="430C081D"/>
    <w:rsid w:val="430F394C"/>
    <w:rsid w:val="431527F3"/>
    <w:rsid w:val="43185DBF"/>
    <w:rsid w:val="431C1009"/>
    <w:rsid w:val="431D0126"/>
    <w:rsid w:val="432100AC"/>
    <w:rsid w:val="43235668"/>
    <w:rsid w:val="432A0EC5"/>
    <w:rsid w:val="432A2943"/>
    <w:rsid w:val="432B3D51"/>
    <w:rsid w:val="432B6713"/>
    <w:rsid w:val="432D21A5"/>
    <w:rsid w:val="432D4C5E"/>
    <w:rsid w:val="432F0FFB"/>
    <w:rsid w:val="432F1D67"/>
    <w:rsid w:val="43313CE4"/>
    <w:rsid w:val="433172DD"/>
    <w:rsid w:val="43360FEB"/>
    <w:rsid w:val="433761D2"/>
    <w:rsid w:val="433B2F45"/>
    <w:rsid w:val="433F5188"/>
    <w:rsid w:val="43432C09"/>
    <w:rsid w:val="43457AC3"/>
    <w:rsid w:val="434C29EA"/>
    <w:rsid w:val="434C4830"/>
    <w:rsid w:val="434D3150"/>
    <w:rsid w:val="434D4003"/>
    <w:rsid w:val="435025DF"/>
    <w:rsid w:val="4350302A"/>
    <w:rsid w:val="4354198B"/>
    <w:rsid w:val="435455A7"/>
    <w:rsid w:val="43574906"/>
    <w:rsid w:val="435936B3"/>
    <w:rsid w:val="435A7EBA"/>
    <w:rsid w:val="435B59EE"/>
    <w:rsid w:val="435D743F"/>
    <w:rsid w:val="435E4AE9"/>
    <w:rsid w:val="435F1DAE"/>
    <w:rsid w:val="43602E3E"/>
    <w:rsid w:val="43603276"/>
    <w:rsid w:val="436314FD"/>
    <w:rsid w:val="43675468"/>
    <w:rsid w:val="436A24AA"/>
    <w:rsid w:val="436B4949"/>
    <w:rsid w:val="436C0AEB"/>
    <w:rsid w:val="436C250B"/>
    <w:rsid w:val="436E0EC8"/>
    <w:rsid w:val="4375682E"/>
    <w:rsid w:val="437864C9"/>
    <w:rsid w:val="437E027A"/>
    <w:rsid w:val="437F248D"/>
    <w:rsid w:val="43817BA8"/>
    <w:rsid w:val="438566A5"/>
    <w:rsid w:val="43894A08"/>
    <w:rsid w:val="4389702C"/>
    <w:rsid w:val="438C1219"/>
    <w:rsid w:val="438D50DE"/>
    <w:rsid w:val="438F45AA"/>
    <w:rsid w:val="43901ABD"/>
    <w:rsid w:val="43911B97"/>
    <w:rsid w:val="43924DA4"/>
    <w:rsid w:val="43927D34"/>
    <w:rsid w:val="43936C76"/>
    <w:rsid w:val="43942D73"/>
    <w:rsid w:val="43956F29"/>
    <w:rsid w:val="439574C0"/>
    <w:rsid w:val="439B6224"/>
    <w:rsid w:val="439E0812"/>
    <w:rsid w:val="439E18B0"/>
    <w:rsid w:val="43A64354"/>
    <w:rsid w:val="43A768E9"/>
    <w:rsid w:val="43AE27CB"/>
    <w:rsid w:val="43B14F00"/>
    <w:rsid w:val="43B16C8B"/>
    <w:rsid w:val="43B67413"/>
    <w:rsid w:val="43B90EB4"/>
    <w:rsid w:val="43B934DD"/>
    <w:rsid w:val="43BB0EFB"/>
    <w:rsid w:val="43BB381D"/>
    <w:rsid w:val="43BE4985"/>
    <w:rsid w:val="43BF194D"/>
    <w:rsid w:val="43C1314B"/>
    <w:rsid w:val="43C21C51"/>
    <w:rsid w:val="43C4557E"/>
    <w:rsid w:val="43C57076"/>
    <w:rsid w:val="43C64477"/>
    <w:rsid w:val="43C966A9"/>
    <w:rsid w:val="43CA538C"/>
    <w:rsid w:val="43CF1905"/>
    <w:rsid w:val="43D03761"/>
    <w:rsid w:val="43D2437E"/>
    <w:rsid w:val="43D32988"/>
    <w:rsid w:val="43D5603E"/>
    <w:rsid w:val="43D67F21"/>
    <w:rsid w:val="43D73447"/>
    <w:rsid w:val="43DD12AF"/>
    <w:rsid w:val="43DE1630"/>
    <w:rsid w:val="43E10534"/>
    <w:rsid w:val="43E15191"/>
    <w:rsid w:val="43E210FC"/>
    <w:rsid w:val="43E45D64"/>
    <w:rsid w:val="43E45F41"/>
    <w:rsid w:val="43E61F4C"/>
    <w:rsid w:val="43E653DC"/>
    <w:rsid w:val="43E859E1"/>
    <w:rsid w:val="43E9237E"/>
    <w:rsid w:val="43EC087D"/>
    <w:rsid w:val="43EE7B2B"/>
    <w:rsid w:val="43F14A9F"/>
    <w:rsid w:val="43F23261"/>
    <w:rsid w:val="43F40DE2"/>
    <w:rsid w:val="43F42636"/>
    <w:rsid w:val="43F50000"/>
    <w:rsid w:val="43F60D93"/>
    <w:rsid w:val="43F62E9C"/>
    <w:rsid w:val="43F959BD"/>
    <w:rsid w:val="43FE4248"/>
    <w:rsid w:val="44047A0A"/>
    <w:rsid w:val="44092444"/>
    <w:rsid w:val="440943A4"/>
    <w:rsid w:val="440E1135"/>
    <w:rsid w:val="440F51E1"/>
    <w:rsid w:val="44111FD5"/>
    <w:rsid w:val="44115F9B"/>
    <w:rsid w:val="44133845"/>
    <w:rsid w:val="441402FB"/>
    <w:rsid w:val="441E0EE8"/>
    <w:rsid w:val="441F394B"/>
    <w:rsid w:val="442053E3"/>
    <w:rsid w:val="44214BDA"/>
    <w:rsid w:val="44226657"/>
    <w:rsid w:val="442868BE"/>
    <w:rsid w:val="44291B91"/>
    <w:rsid w:val="442E7AD1"/>
    <w:rsid w:val="443141BE"/>
    <w:rsid w:val="44371B81"/>
    <w:rsid w:val="4438446B"/>
    <w:rsid w:val="443A5C15"/>
    <w:rsid w:val="443B4DE2"/>
    <w:rsid w:val="44421112"/>
    <w:rsid w:val="44442398"/>
    <w:rsid w:val="44470D3A"/>
    <w:rsid w:val="444A6190"/>
    <w:rsid w:val="444A7FC7"/>
    <w:rsid w:val="444B6759"/>
    <w:rsid w:val="444D1CAF"/>
    <w:rsid w:val="444D6D43"/>
    <w:rsid w:val="444E0EB1"/>
    <w:rsid w:val="444E3969"/>
    <w:rsid w:val="44526098"/>
    <w:rsid w:val="44570B72"/>
    <w:rsid w:val="445723C0"/>
    <w:rsid w:val="44574A2A"/>
    <w:rsid w:val="445755DB"/>
    <w:rsid w:val="445840DF"/>
    <w:rsid w:val="445917DD"/>
    <w:rsid w:val="445A2900"/>
    <w:rsid w:val="44604547"/>
    <w:rsid w:val="44613003"/>
    <w:rsid w:val="44617677"/>
    <w:rsid w:val="446308C0"/>
    <w:rsid w:val="44663EE6"/>
    <w:rsid w:val="446848E4"/>
    <w:rsid w:val="446D2838"/>
    <w:rsid w:val="446D741B"/>
    <w:rsid w:val="446F7150"/>
    <w:rsid w:val="4471425B"/>
    <w:rsid w:val="44720AE3"/>
    <w:rsid w:val="44773D6D"/>
    <w:rsid w:val="44791D88"/>
    <w:rsid w:val="447A7E91"/>
    <w:rsid w:val="447E11AE"/>
    <w:rsid w:val="44877EC5"/>
    <w:rsid w:val="448A181B"/>
    <w:rsid w:val="448E5015"/>
    <w:rsid w:val="448F4618"/>
    <w:rsid w:val="449045B1"/>
    <w:rsid w:val="44915BF6"/>
    <w:rsid w:val="44991472"/>
    <w:rsid w:val="449A76F8"/>
    <w:rsid w:val="449C26AA"/>
    <w:rsid w:val="449C4CC6"/>
    <w:rsid w:val="449E2B1E"/>
    <w:rsid w:val="449F3491"/>
    <w:rsid w:val="44A05432"/>
    <w:rsid w:val="44A16BA8"/>
    <w:rsid w:val="44A21CDC"/>
    <w:rsid w:val="44A25BB4"/>
    <w:rsid w:val="44A35712"/>
    <w:rsid w:val="44A6179B"/>
    <w:rsid w:val="44A75419"/>
    <w:rsid w:val="44A8467F"/>
    <w:rsid w:val="44AA444C"/>
    <w:rsid w:val="44AA6CD5"/>
    <w:rsid w:val="44AC5D7C"/>
    <w:rsid w:val="44AD374C"/>
    <w:rsid w:val="44AD5863"/>
    <w:rsid w:val="44B00772"/>
    <w:rsid w:val="44B141C0"/>
    <w:rsid w:val="44B2661B"/>
    <w:rsid w:val="44BA479B"/>
    <w:rsid w:val="44BA514C"/>
    <w:rsid w:val="44C12DD3"/>
    <w:rsid w:val="44C609E0"/>
    <w:rsid w:val="44C72F5C"/>
    <w:rsid w:val="44C812DB"/>
    <w:rsid w:val="44CC4893"/>
    <w:rsid w:val="44CC62D7"/>
    <w:rsid w:val="44CF069D"/>
    <w:rsid w:val="44D36491"/>
    <w:rsid w:val="44D41426"/>
    <w:rsid w:val="44DB3FF8"/>
    <w:rsid w:val="44DB4337"/>
    <w:rsid w:val="44DD348D"/>
    <w:rsid w:val="44DE4275"/>
    <w:rsid w:val="44E249CF"/>
    <w:rsid w:val="44E36945"/>
    <w:rsid w:val="44E37E80"/>
    <w:rsid w:val="44E92476"/>
    <w:rsid w:val="44EB6B1E"/>
    <w:rsid w:val="44EC6956"/>
    <w:rsid w:val="44EE6424"/>
    <w:rsid w:val="44F05737"/>
    <w:rsid w:val="44F32EB2"/>
    <w:rsid w:val="44F47C4C"/>
    <w:rsid w:val="44F602C6"/>
    <w:rsid w:val="44F62737"/>
    <w:rsid w:val="44F71EFD"/>
    <w:rsid w:val="44FF00EB"/>
    <w:rsid w:val="44FF0B65"/>
    <w:rsid w:val="450058BB"/>
    <w:rsid w:val="45063969"/>
    <w:rsid w:val="4507479C"/>
    <w:rsid w:val="450B32D2"/>
    <w:rsid w:val="450B6F62"/>
    <w:rsid w:val="450E7C74"/>
    <w:rsid w:val="4512220D"/>
    <w:rsid w:val="451258D7"/>
    <w:rsid w:val="45135919"/>
    <w:rsid w:val="45164DB2"/>
    <w:rsid w:val="45184106"/>
    <w:rsid w:val="45196317"/>
    <w:rsid w:val="451B031A"/>
    <w:rsid w:val="451B48F0"/>
    <w:rsid w:val="451D2AA9"/>
    <w:rsid w:val="45201861"/>
    <w:rsid w:val="452071D6"/>
    <w:rsid w:val="45237C17"/>
    <w:rsid w:val="452645A3"/>
    <w:rsid w:val="45267AD1"/>
    <w:rsid w:val="452A245C"/>
    <w:rsid w:val="452A2470"/>
    <w:rsid w:val="452C0980"/>
    <w:rsid w:val="452D7BFD"/>
    <w:rsid w:val="45335202"/>
    <w:rsid w:val="453D7321"/>
    <w:rsid w:val="453F2625"/>
    <w:rsid w:val="453F3821"/>
    <w:rsid w:val="45494F34"/>
    <w:rsid w:val="454A06E5"/>
    <w:rsid w:val="454A39AE"/>
    <w:rsid w:val="454C7D4D"/>
    <w:rsid w:val="454E7E2F"/>
    <w:rsid w:val="455417E9"/>
    <w:rsid w:val="4554454A"/>
    <w:rsid w:val="455A06AD"/>
    <w:rsid w:val="455D08CE"/>
    <w:rsid w:val="455F37DF"/>
    <w:rsid w:val="45632BCA"/>
    <w:rsid w:val="45645A12"/>
    <w:rsid w:val="45665A8C"/>
    <w:rsid w:val="45682543"/>
    <w:rsid w:val="456A418D"/>
    <w:rsid w:val="456A55E0"/>
    <w:rsid w:val="456C5B1A"/>
    <w:rsid w:val="456E4EDF"/>
    <w:rsid w:val="45710A83"/>
    <w:rsid w:val="4571335F"/>
    <w:rsid w:val="457156B9"/>
    <w:rsid w:val="4573302C"/>
    <w:rsid w:val="45741BFB"/>
    <w:rsid w:val="45745F93"/>
    <w:rsid w:val="45763666"/>
    <w:rsid w:val="4582656F"/>
    <w:rsid w:val="45836D64"/>
    <w:rsid w:val="4585221C"/>
    <w:rsid w:val="4585533A"/>
    <w:rsid w:val="458A0FC3"/>
    <w:rsid w:val="458B0BE7"/>
    <w:rsid w:val="45940E6B"/>
    <w:rsid w:val="459419C8"/>
    <w:rsid w:val="459676B5"/>
    <w:rsid w:val="45973B8E"/>
    <w:rsid w:val="4598372E"/>
    <w:rsid w:val="4598478C"/>
    <w:rsid w:val="459A57B1"/>
    <w:rsid w:val="459C09E8"/>
    <w:rsid w:val="459D0E8B"/>
    <w:rsid w:val="459F3852"/>
    <w:rsid w:val="45A3084C"/>
    <w:rsid w:val="45A363A6"/>
    <w:rsid w:val="45A94B02"/>
    <w:rsid w:val="45B30C9D"/>
    <w:rsid w:val="45C00A6E"/>
    <w:rsid w:val="45C13C05"/>
    <w:rsid w:val="45C17F3B"/>
    <w:rsid w:val="45C277EF"/>
    <w:rsid w:val="45C34929"/>
    <w:rsid w:val="45C34E0F"/>
    <w:rsid w:val="45C442B0"/>
    <w:rsid w:val="45C45D1E"/>
    <w:rsid w:val="45C624CA"/>
    <w:rsid w:val="45C93B14"/>
    <w:rsid w:val="45CA17B7"/>
    <w:rsid w:val="45CD3E33"/>
    <w:rsid w:val="45CF1113"/>
    <w:rsid w:val="45D27DAB"/>
    <w:rsid w:val="45D729FC"/>
    <w:rsid w:val="45D902CA"/>
    <w:rsid w:val="45D97E92"/>
    <w:rsid w:val="45DA27AE"/>
    <w:rsid w:val="45DB1E5D"/>
    <w:rsid w:val="45DB35A8"/>
    <w:rsid w:val="45DB7806"/>
    <w:rsid w:val="45EA65C3"/>
    <w:rsid w:val="45EC3BA9"/>
    <w:rsid w:val="45ED0FB0"/>
    <w:rsid w:val="45ED5FE1"/>
    <w:rsid w:val="45F12973"/>
    <w:rsid w:val="45F13A36"/>
    <w:rsid w:val="46050C32"/>
    <w:rsid w:val="46074342"/>
    <w:rsid w:val="460847D7"/>
    <w:rsid w:val="460B71D6"/>
    <w:rsid w:val="460D3887"/>
    <w:rsid w:val="460F22E3"/>
    <w:rsid w:val="461008FA"/>
    <w:rsid w:val="46101164"/>
    <w:rsid w:val="461248D1"/>
    <w:rsid w:val="46127D1E"/>
    <w:rsid w:val="46156475"/>
    <w:rsid w:val="46181D62"/>
    <w:rsid w:val="461B44C5"/>
    <w:rsid w:val="46251EAA"/>
    <w:rsid w:val="46256D31"/>
    <w:rsid w:val="46265B4E"/>
    <w:rsid w:val="4627448B"/>
    <w:rsid w:val="462A00B0"/>
    <w:rsid w:val="462C0840"/>
    <w:rsid w:val="462C7917"/>
    <w:rsid w:val="462D194E"/>
    <w:rsid w:val="462E4A74"/>
    <w:rsid w:val="462F4231"/>
    <w:rsid w:val="462F50E4"/>
    <w:rsid w:val="4633110A"/>
    <w:rsid w:val="46351CEC"/>
    <w:rsid w:val="4639690C"/>
    <w:rsid w:val="463B5B7D"/>
    <w:rsid w:val="463F620E"/>
    <w:rsid w:val="464054C5"/>
    <w:rsid w:val="4642743A"/>
    <w:rsid w:val="46435E26"/>
    <w:rsid w:val="46436721"/>
    <w:rsid w:val="46457C6E"/>
    <w:rsid w:val="464B297D"/>
    <w:rsid w:val="464C4BB1"/>
    <w:rsid w:val="464E3C5D"/>
    <w:rsid w:val="464F0A25"/>
    <w:rsid w:val="464F7D86"/>
    <w:rsid w:val="46524D2F"/>
    <w:rsid w:val="46540CA4"/>
    <w:rsid w:val="465519FF"/>
    <w:rsid w:val="4659000B"/>
    <w:rsid w:val="465962A4"/>
    <w:rsid w:val="46597135"/>
    <w:rsid w:val="465B6B84"/>
    <w:rsid w:val="465B76EC"/>
    <w:rsid w:val="46697C23"/>
    <w:rsid w:val="466B1E95"/>
    <w:rsid w:val="466D3137"/>
    <w:rsid w:val="466D4E77"/>
    <w:rsid w:val="46713857"/>
    <w:rsid w:val="4674136E"/>
    <w:rsid w:val="467657F9"/>
    <w:rsid w:val="46782F47"/>
    <w:rsid w:val="467830C8"/>
    <w:rsid w:val="467D48EA"/>
    <w:rsid w:val="467E5625"/>
    <w:rsid w:val="46817374"/>
    <w:rsid w:val="46843C64"/>
    <w:rsid w:val="468477E7"/>
    <w:rsid w:val="4685178A"/>
    <w:rsid w:val="468764EB"/>
    <w:rsid w:val="468937D3"/>
    <w:rsid w:val="468B027F"/>
    <w:rsid w:val="468C239F"/>
    <w:rsid w:val="468C2DA9"/>
    <w:rsid w:val="468E73C7"/>
    <w:rsid w:val="46912243"/>
    <w:rsid w:val="46920AC3"/>
    <w:rsid w:val="469726FC"/>
    <w:rsid w:val="469A348A"/>
    <w:rsid w:val="46A73126"/>
    <w:rsid w:val="46A775F4"/>
    <w:rsid w:val="46A830DA"/>
    <w:rsid w:val="46AB24CF"/>
    <w:rsid w:val="46B10CA5"/>
    <w:rsid w:val="46B123E4"/>
    <w:rsid w:val="46B26C18"/>
    <w:rsid w:val="46B27EBA"/>
    <w:rsid w:val="46B803E8"/>
    <w:rsid w:val="46BE7044"/>
    <w:rsid w:val="46BF24C7"/>
    <w:rsid w:val="46C44060"/>
    <w:rsid w:val="46C60825"/>
    <w:rsid w:val="46C729DB"/>
    <w:rsid w:val="46CF2BAA"/>
    <w:rsid w:val="46D14CC5"/>
    <w:rsid w:val="46E60196"/>
    <w:rsid w:val="46E93F6A"/>
    <w:rsid w:val="46EB6831"/>
    <w:rsid w:val="46F004D2"/>
    <w:rsid w:val="46F2081B"/>
    <w:rsid w:val="46F5246C"/>
    <w:rsid w:val="46F64CE1"/>
    <w:rsid w:val="46F77125"/>
    <w:rsid w:val="46F915C4"/>
    <w:rsid w:val="46FA674B"/>
    <w:rsid w:val="46FC37FA"/>
    <w:rsid w:val="47002194"/>
    <w:rsid w:val="47022917"/>
    <w:rsid w:val="470348B8"/>
    <w:rsid w:val="47052291"/>
    <w:rsid w:val="47052CCA"/>
    <w:rsid w:val="4709259A"/>
    <w:rsid w:val="470A34EE"/>
    <w:rsid w:val="470D01AB"/>
    <w:rsid w:val="470D12E5"/>
    <w:rsid w:val="471864C9"/>
    <w:rsid w:val="471B7D7A"/>
    <w:rsid w:val="471D173B"/>
    <w:rsid w:val="47226571"/>
    <w:rsid w:val="47247E84"/>
    <w:rsid w:val="472557A0"/>
    <w:rsid w:val="4726315C"/>
    <w:rsid w:val="4729778E"/>
    <w:rsid w:val="472A6EBC"/>
    <w:rsid w:val="472E44DC"/>
    <w:rsid w:val="472E6606"/>
    <w:rsid w:val="473208AC"/>
    <w:rsid w:val="47330096"/>
    <w:rsid w:val="47336D1E"/>
    <w:rsid w:val="4734113C"/>
    <w:rsid w:val="473810DF"/>
    <w:rsid w:val="473B3BD5"/>
    <w:rsid w:val="47407038"/>
    <w:rsid w:val="47431D9C"/>
    <w:rsid w:val="47432296"/>
    <w:rsid w:val="474442F6"/>
    <w:rsid w:val="4746589D"/>
    <w:rsid w:val="474C1C1D"/>
    <w:rsid w:val="474D3F3C"/>
    <w:rsid w:val="474E0704"/>
    <w:rsid w:val="47543DAB"/>
    <w:rsid w:val="47575552"/>
    <w:rsid w:val="47585AC3"/>
    <w:rsid w:val="47596A19"/>
    <w:rsid w:val="475A520D"/>
    <w:rsid w:val="475E5072"/>
    <w:rsid w:val="476475F1"/>
    <w:rsid w:val="47647E66"/>
    <w:rsid w:val="476516AD"/>
    <w:rsid w:val="47672D63"/>
    <w:rsid w:val="476C5532"/>
    <w:rsid w:val="476D5031"/>
    <w:rsid w:val="476E35EF"/>
    <w:rsid w:val="47702E9F"/>
    <w:rsid w:val="4771071A"/>
    <w:rsid w:val="47721B70"/>
    <w:rsid w:val="47755B96"/>
    <w:rsid w:val="47781F25"/>
    <w:rsid w:val="477838BD"/>
    <w:rsid w:val="47793116"/>
    <w:rsid w:val="477B507B"/>
    <w:rsid w:val="477D19A2"/>
    <w:rsid w:val="47802397"/>
    <w:rsid w:val="478153F6"/>
    <w:rsid w:val="4787018F"/>
    <w:rsid w:val="478D6B48"/>
    <w:rsid w:val="47901C5B"/>
    <w:rsid w:val="47902B1C"/>
    <w:rsid w:val="47914C73"/>
    <w:rsid w:val="47986BD3"/>
    <w:rsid w:val="479A1981"/>
    <w:rsid w:val="479B7BE8"/>
    <w:rsid w:val="47A016FA"/>
    <w:rsid w:val="47A648CD"/>
    <w:rsid w:val="47A66166"/>
    <w:rsid w:val="47A81DFB"/>
    <w:rsid w:val="47A97C20"/>
    <w:rsid w:val="47AD5948"/>
    <w:rsid w:val="47AF04DE"/>
    <w:rsid w:val="47AF281E"/>
    <w:rsid w:val="47B20DD2"/>
    <w:rsid w:val="47B50E02"/>
    <w:rsid w:val="47B953E4"/>
    <w:rsid w:val="47BB36B5"/>
    <w:rsid w:val="47BE2D12"/>
    <w:rsid w:val="47C3661E"/>
    <w:rsid w:val="47C4505B"/>
    <w:rsid w:val="47C47DB0"/>
    <w:rsid w:val="47C52B6B"/>
    <w:rsid w:val="47CA5B82"/>
    <w:rsid w:val="47CD163B"/>
    <w:rsid w:val="47CF3D0B"/>
    <w:rsid w:val="47D12960"/>
    <w:rsid w:val="47D13C4B"/>
    <w:rsid w:val="47D161AD"/>
    <w:rsid w:val="47D16D58"/>
    <w:rsid w:val="47D61EED"/>
    <w:rsid w:val="47D762AF"/>
    <w:rsid w:val="47DB1C3E"/>
    <w:rsid w:val="47DC7F95"/>
    <w:rsid w:val="47DD4876"/>
    <w:rsid w:val="47E15A4D"/>
    <w:rsid w:val="47E3271B"/>
    <w:rsid w:val="47E41861"/>
    <w:rsid w:val="47E95B17"/>
    <w:rsid w:val="47ED5839"/>
    <w:rsid w:val="47ED6A7E"/>
    <w:rsid w:val="47EE267A"/>
    <w:rsid w:val="47F36FD4"/>
    <w:rsid w:val="47F4736B"/>
    <w:rsid w:val="47F64E4A"/>
    <w:rsid w:val="47F6777D"/>
    <w:rsid w:val="47F7594F"/>
    <w:rsid w:val="47FB2A76"/>
    <w:rsid w:val="47FE0516"/>
    <w:rsid w:val="48014699"/>
    <w:rsid w:val="48027536"/>
    <w:rsid w:val="48062B15"/>
    <w:rsid w:val="480735D2"/>
    <w:rsid w:val="48074C8A"/>
    <w:rsid w:val="480A710D"/>
    <w:rsid w:val="480F6290"/>
    <w:rsid w:val="481443D4"/>
    <w:rsid w:val="48153C92"/>
    <w:rsid w:val="481941E2"/>
    <w:rsid w:val="481D2E7C"/>
    <w:rsid w:val="481E4D86"/>
    <w:rsid w:val="48211454"/>
    <w:rsid w:val="48226093"/>
    <w:rsid w:val="4824360A"/>
    <w:rsid w:val="482C2CAA"/>
    <w:rsid w:val="482D407D"/>
    <w:rsid w:val="483111B8"/>
    <w:rsid w:val="48331254"/>
    <w:rsid w:val="48335FF8"/>
    <w:rsid w:val="48347986"/>
    <w:rsid w:val="48353EFD"/>
    <w:rsid w:val="48377212"/>
    <w:rsid w:val="483A6E6B"/>
    <w:rsid w:val="483A7A3C"/>
    <w:rsid w:val="48410BBC"/>
    <w:rsid w:val="484302FB"/>
    <w:rsid w:val="48451FBA"/>
    <w:rsid w:val="484627C4"/>
    <w:rsid w:val="484B2605"/>
    <w:rsid w:val="484C0768"/>
    <w:rsid w:val="484C75F2"/>
    <w:rsid w:val="4854064F"/>
    <w:rsid w:val="48551998"/>
    <w:rsid w:val="48576D3B"/>
    <w:rsid w:val="485E0551"/>
    <w:rsid w:val="48650A43"/>
    <w:rsid w:val="48677399"/>
    <w:rsid w:val="48697684"/>
    <w:rsid w:val="486C4786"/>
    <w:rsid w:val="486D3BC5"/>
    <w:rsid w:val="48764AC6"/>
    <w:rsid w:val="487E008A"/>
    <w:rsid w:val="487F48F7"/>
    <w:rsid w:val="488133B9"/>
    <w:rsid w:val="488D1DED"/>
    <w:rsid w:val="488D2C76"/>
    <w:rsid w:val="488E2B78"/>
    <w:rsid w:val="4890571E"/>
    <w:rsid w:val="4895219D"/>
    <w:rsid w:val="48952EC9"/>
    <w:rsid w:val="48961A2D"/>
    <w:rsid w:val="48980B5A"/>
    <w:rsid w:val="48985405"/>
    <w:rsid w:val="489D0A49"/>
    <w:rsid w:val="489E7A05"/>
    <w:rsid w:val="48A6583E"/>
    <w:rsid w:val="48A82CED"/>
    <w:rsid w:val="48AA54D8"/>
    <w:rsid w:val="48AC69EB"/>
    <w:rsid w:val="48AF7B10"/>
    <w:rsid w:val="48B23137"/>
    <w:rsid w:val="48BA13ED"/>
    <w:rsid w:val="48BD6512"/>
    <w:rsid w:val="48C54CC4"/>
    <w:rsid w:val="48C5751D"/>
    <w:rsid w:val="48C6620D"/>
    <w:rsid w:val="48C94CDB"/>
    <w:rsid w:val="48C96881"/>
    <w:rsid w:val="48CC613F"/>
    <w:rsid w:val="48CC6E44"/>
    <w:rsid w:val="48CD21A8"/>
    <w:rsid w:val="48CD39A4"/>
    <w:rsid w:val="48CD61FD"/>
    <w:rsid w:val="48DA1699"/>
    <w:rsid w:val="48DA4C55"/>
    <w:rsid w:val="48DF5182"/>
    <w:rsid w:val="48DF7C88"/>
    <w:rsid w:val="48E24C72"/>
    <w:rsid w:val="48E43B0D"/>
    <w:rsid w:val="48E70247"/>
    <w:rsid w:val="48E846A4"/>
    <w:rsid w:val="48EB621C"/>
    <w:rsid w:val="48F03833"/>
    <w:rsid w:val="48F614D5"/>
    <w:rsid w:val="48F7048A"/>
    <w:rsid w:val="48F90A8B"/>
    <w:rsid w:val="48FC5DE4"/>
    <w:rsid w:val="49004581"/>
    <w:rsid w:val="49007097"/>
    <w:rsid w:val="490361AB"/>
    <w:rsid w:val="490556D3"/>
    <w:rsid w:val="49076526"/>
    <w:rsid w:val="49090450"/>
    <w:rsid w:val="49092D98"/>
    <w:rsid w:val="490D2DCE"/>
    <w:rsid w:val="490F28B6"/>
    <w:rsid w:val="490F6052"/>
    <w:rsid w:val="49137497"/>
    <w:rsid w:val="491C59F4"/>
    <w:rsid w:val="491E6998"/>
    <w:rsid w:val="49233187"/>
    <w:rsid w:val="49241D2D"/>
    <w:rsid w:val="492543D3"/>
    <w:rsid w:val="49296357"/>
    <w:rsid w:val="492B4EEF"/>
    <w:rsid w:val="493007B4"/>
    <w:rsid w:val="49326C89"/>
    <w:rsid w:val="49344E51"/>
    <w:rsid w:val="493675BE"/>
    <w:rsid w:val="49384C01"/>
    <w:rsid w:val="493D65F6"/>
    <w:rsid w:val="494021AF"/>
    <w:rsid w:val="49407DED"/>
    <w:rsid w:val="49426FD0"/>
    <w:rsid w:val="49435961"/>
    <w:rsid w:val="494854D9"/>
    <w:rsid w:val="494B6C4C"/>
    <w:rsid w:val="494D658F"/>
    <w:rsid w:val="49540C44"/>
    <w:rsid w:val="49560C34"/>
    <w:rsid w:val="4957717C"/>
    <w:rsid w:val="49583D75"/>
    <w:rsid w:val="495F2766"/>
    <w:rsid w:val="49600D27"/>
    <w:rsid w:val="4962126A"/>
    <w:rsid w:val="49652F7B"/>
    <w:rsid w:val="49672298"/>
    <w:rsid w:val="4969138F"/>
    <w:rsid w:val="49695A57"/>
    <w:rsid w:val="49697B56"/>
    <w:rsid w:val="496D01DF"/>
    <w:rsid w:val="496F5ED0"/>
    <w:rsid w:val="497057D2"/>
    <w:rsid w:val="49715D75"/>
    <w:rsid w:val="497258CD"/>
    <w:rsid w:val="49736B9C"/>
    <w:rsid w:val="497434BB"/>
    <w:rsid w:val="49796F62"/>
    <w:rsid w:val="49803C92"/>
    <w:rsid w:val="49825093"/>
    <w:rsid w:val="49832632"/>
    <w:rsid w:val="498A43F2"/>
    <w:rsid w:val="498B5EC7"/>
    <w:rsid w:val="498F2A5D"/>
    <w:rsid w:val="49902920"/>
    <w:rsid w:val="49922114"/>
    <w:rsid w:val="4996273D"/>
    <w:rsid w:val="499D4820"/>
    <w:rsid w:val="49A04A87"/>
    <w:rsid w:val="49A4062D"/>
    <w:rsid w:val="49A57AF1"/>
    <w:rsid w:val="49A8548A"/>
    <w:rsid w:val="49AA5407"/>
    <w:rsid w:val="49AB6A40"/>
    <w:rsid w:val="49AD3759"/>
    <w:rsid w:val="49AF7901"/>
    <w:rsid w:val="49B409B2"/>
    <w:rsid w:val="49B628BB"/>
    <w:rsid w:val="49B74D78"/>
    <w:rsid w:val="49BB48A4"/>
    <w:rsid w:val="49BE419C"/>
    <w:rsid w:val="49C21A34"/>
    <w:rsid w:val="49C54F5D"/>
    <w:rsid w:val="49C6117A"/>
    <w:rsid w:val="49C77D49"/>
    <w:rsid w:val="49CC09F7"/>
    <w:rsid w:val="49CE697B"/>
    <w:rsid w:val="49D36556"/>
    <w:rsid w:val="49D4655E"/>
    <w:rsid w:val="49D62EE3"/>
    <w:rsid w:val="49DA2882"/>
    <w:rsid w:val="49DA664E"/>
    <w:rsid w:val="49DC6B43"/>
    <w:rsid w:val="49DC70D8"/>
    <w:rsid w:val="49DF568B"/>
    <w:rsid w:val="49E078DD"/>
    <w:rsid w:val="49E32113"/>
    <w:rsid w:val="49E331A5"/>
    <w:rsid w:val="49E34C38"/>
    <w:rsid w:val="49E713E7"/>
    <w:rsid w:val="49E7758A"/>
    <w:rsid w:val="49E905A3"/>
    <w:rsid w:val="49EA14C7"/>
    <w:rsid w:val="49F2321F"/>
    <w:rsid w:val="49F3532E"/>
    <w:rsid w:val="49F84F2F"/>
    <w:rsid w:val="49F94FFC"/>
    <w:rsid w:val="49FA471C"/>
    <w:rsid w:val="49FB5863"/>
    <w:rsid w:val="4A010A43"/>
    <w:rsid w:val="4A0215D7"/>
    <w:rsid w:val="4A031B00"/>
    <w:rsid w:val="4A0335F4"/>
    <w:rsid w:val="4A0477AC"/>
    <w:rsid w:val="4A062BE2"/>
    <w:rsid w:val="4A067681"/>
    <w:rsid w:val="4A0A5A5E"/>
    <w:rsid w:val="4A0B32D9"/>
    <w:rsid w:val="4A0B4278"/>
    <w:rsid w:val="4A0B59F3"/>
    <w:rsid w:val="4A0E79CA"/>
    <w:rsid w:val="4A1243E2"/>
    <w:rsid w:val="4A1B1491"/>
    <w:rsid w:val="4A20214B"/>
    <w:rsid w:val="4A21733A"/>
    <w:rsid w:val="4A2231B7"/>
    <w:rsid w:val="4A247722"/>
    <w:rsid w:val="4A281305"/>
    <w:rsid w:val="4A296BBD"/>
    <w:rsid w:val="4A2A0647"/>
    <w:rsid w:val="4A2A204F"/>
    <w:rsid w:val="4A2A402A"/>
    <w:rsid w:val="4A2A551A"/>
    <w:rsid w:val="4A2B7B46"/>
    <w:rsid w:val="4A2E487F"/>
    <w:rsid w:val="4A2F7CCF"/>
    <w:rsid w:val="4A351B6D"/>
    <w:rsid w:val="4A38592F"/>
    <w:rsid w:val="4A3B71AB"/>
    <w:rsid w:val="4A4167A5"/>
    <w:rsid w:val="4A423A7A"/>
    <w:rsid w:val="4A4A439F"/>
    <w:rsid w:val="4A4B3391"/>
    <w:rsid w:val="4A514588"/>
    <w:rsid w:val="4A564886"/>
    <w:rsid w:val="4A58325F"/>
    <w:rsid w:val="4A5A5897"/>
    <w:rsid w:val="4A5C0F0C"/>
    <w:rsid w:val="4A5C7C00"/>
    <w:rsid w:val="4A5D0EE4"/>
    <w:rsid w:val="4A5E2910"/>
    <w:rsid w:val="4A5E7D2E"/>
    <w:rsid w:val="4A614C2D"/>
    <w:rsid w:val="4A6315A8"/>
    <w:rsid w:val="4A6537B7"/>
    <w:rsid w:val="4A6C0D91"/>
    <w:rsid w:val="4A7411B1"/>
    <w:rsid w:val="4A775E1C"/>
    <w:rsid w:val="4A7A0A45"/>
    <w:rsid w:val="4A7A75FA"/>
    <w:rsid w:val="4A7E3207"/>
    <w:rsid w:val="4A820975"/>
    <w:rsid w:val="4A826B80"/>
    <w:rsid w:val="4A830182"/>
    <w:rsid w:val="4A837295"/>
    <w:rsid w:val="4A8738AC"/>
    <w:rsid w:val="4A8A3823"/>
    <w:rsid w:val="4A8C7560"/>
    <w:rsid w:val="4A8E7A40"/>
    <w:rsid w:val="4A8F73DC"/>
    <w:rsid w:val="4A9266A3"/>
    <w:rsid w:val="4A92698B"/>
    <w:rsid w:val="4A936DFB"/>
    <w:rsid w:val="4A9435B7"/>
    <w:rsid w:val="4A9526F8"/>
    <w:rsid w:val="4A9904F0"/>
    <w:rsid w:val="4A9D3722"/>
    <w:rsid w:val="4AA07380"/>
    <w:rsid w:val="4AA33D89"/>
    <w:rsid w:val="4AA430DE"/>
    <w:rsid w:val="4AA47BF1"/>
    <w:rsid w:val="4AA51DFF"/>
    <w:rsid w:val="4AA72AA3"/>
    <w:rsid w:val="4AA922F6"/>
    <w:rsid w:val="4AAE3EA5"/>
    <w:rsid w:val="4AB057EF"/>
    <w:rsid w:val="4AB145DA"/>
    <w:rsid w:val="4AB2395D"/>
    <w:rsid w:val="4AB56068"/>
    <w:rsid w:val="4AB62699"/>
    <w:rsid w:val="4AB719E1"/>
    <w:rsid w:val="4AB76BD1"/>
    <w:rsid w:val="4AB76CCF"/>
    <w:rsid w:val="4AB91B6B"/>
    <w:rsid w:val="4ABA5191"/>
    <w:rsid w:val="4ABC04D1"/>
    <w:rsid w:val="4ABD2EA4"/>
    <w:rsid w:val="4ABE6803"/>
    <w:rsid w:val="4AC06F02"/>
    <w:rsid w:val="4AC31A8F"/>
    <w:rsid w:val="4AC36343"/>
    <w:rsid w:val="4ACA31A4"/>
    <w:rsid w:val="4ACD5F26"/>
    <w:rsid w:val="4ACF334E"/>
    <w:rsid w:val="4AD15556"/>
    <w:rsid w:val="4AD50FC4"/>
    <w:rsid w:val="4AD52CE0"/>
    <w:rsid w:val="4AD933DC"/>
    <w:rsid w:val="4ADA4930"/>
    <w:rsid w:val="4ADE3C92"/>
    <w:rsid w:val="4AE04D5B"/>
    <w:rsid w:val="4AE24547"/>
    <w:rsid w:val="4AE37323"/>
    <w:rsid w:val="4AE55B00"/>
    <w:rsid w:val="4AE56070"/>
    <w:rsid w:val="4AE61793"/>
    <w:rsid w:val="4AE713A1"/>
    <w:rsid w:val="4AEB2AB7"/>
    <w:rsid w:val="4AEE0418"/>
    <w:rsid w:val="4AEE13AC"/>
    <w:rsid w:val="4AEE41D9"/>
    <w:rsid w:val="4AF110D8"/>
    <w:rsid w:val="4AF2479D"/>
    <w:rsid w:val="4AF70CA5"/>
    <w:rsid w:val="4AFB07E1"/>
    <w:rsid w:val="4AFE111E"/>
    <w:rsid w:val="4B010D84"/>
    <w:rsid w:val="4B010DA7"/>
    <w:rsid w:val="4B01388A"/>
    <w:rsid w:val="4B017362"/>
    <w:rsid w:val="4B0212D7"/>
    <w:rsid w:val="4B060270"/>
    <w:rsid w:val="4B0B42D2"/>
    <w:rsid w:val="4B0C6638"/>
    <w:rsid w:val="4B14260F"/>
    <w:rsid w:val="4B151303"/>
    <w:rsid w:val="4B173919"/>
    <w:rsid w:val="4B177537"/>
    <w:rsid w:val="4B1A2C82"/>
    <w:rsid w:val="4B1C3609"/>
    <w:rsid w:val="4B1E5EDC"/>
    <w:rsid w:val="4B1F1859"/>
    <w:rsid w:val="4B20268C"/>
    <w:rsid w:val="4B2225FB"/>
    <w:rsid w:val="4B253239"/>
    <w:rsid w:val="4B262398"/>
    <w:rsid w:val="4B265BDB"/>
    <w:rsid w:val="4B2B0E3F"/>
    <w:rsid w:val="4B2D5ACB"/>
    <w:rsid w:val="4B2F73BD"/>
    <w:rsid w:val="4B336BFD"/>
    <w:rsid w:val="4B376622"/>
    <w:rsid w:val="4B383A07"/>
    <w:rsid w:val="4B3840A4"/>
    <w:rsid w:val="4B3A5AB0"/>
    <w:rsid w:val="4B421260"/>
    <w:rsid w:val="4B4400D3"/>
    <w:rsid w:val="4B477ADF"/>
    <w:rsid w:val="4B4B00AC"/>
    <w:rsid w:val="4B4B19C3"/>
    <w:rsid w:val="4B51097A"/>
    <w:rsid w:val="4B52797A"/>
    <w:rsid w:val="4B5727F9"/>
    <w:rsid w:val="4B5A6F8C"/>
    <w:rsid w:val="4B5B6742"/>
    <w:rsid w:val="4B5C0CE9"/>
    <w:rsid w:val="4B5E62E4"/>
    <w:rsid w:val="4B5F20D3"/>
    <w:rsid w:val="4B624AA9"/>
    <w:rsid w:val="4B6452BE"/>
    <w:rsid w:val="4B667DDC"/>
    <w:rsid w:val="4B6B6D43"/>
    <w:rsid w:val="4B6E5744"/>
    <w:rsid w:val="4B6F44F5"/>
    <w:rsid w:val="4B724622"/>
    <w:rsid w:val="4B73143D"/>
    <w:rsid w:val="4B762487"/>
    <w:rsid w:val="4B776E31"/>
    <w:rsid w:val="4B7E3A71"/>
    <w:rsid w:val="4B856EEB"/>
    <w:rsid w:val="4B862373"/>
    <w:rsid w:val="4B894D95"/>
    <w:rsid w:val="4B8A0F10"/>
    <w:rsid w:val="4B8D6EB3"/>
    <w:rsid w:val="4B8E0773"/>
    <w:rsid w:val="4B9376CD"/>
    <w:rsid w:val="4B9444ED"/>
    <w:rsid w:val="4B963B31"/>
    <w:rsid w:val="4B9761E7"/>
    <w:rsid w:val="4B980DD0"/>
    <w:rsid w:val="4B99245B"/>
    <w:rsid w:val="4B9A0771"/>
    <w:rsid w:val="4B9F405C"/>
    <w:rsid w:val="4BA17535"/>
    <w:rsid w:val="4BA61464"/>
    <w:rsid w:val="4BAB6053"/>
    <w:rsid w:val="4BB050A5"/>
    <w:rsid w:val="4BB07825"/>
    <w:rsid w:val="4BB2372B"/>
    <w:rsid w:val="4BB752CB"/>
    <w:rsid w:val="4BB95EC5"/>
    <w:rsid w:val="4BC0223A"/>
    <w:rsid w:val="4BC030EF"/>
    <w:rsid w:val="4BC13445"/>
    <w:rsid w:val="4BC226BA"/>
    <w:rsid w:val="4BC511DE"/>
    <w:rsid w:val="4BC90E1B"/>
    <w:rsid w:val="4BC934F3"/>
    <w:rsid w:val="4BCA308E"/>
    <w:rsid w:val="4BD16C25"/>
    <w:rsid w:val="4BD20C2A"/>
    <w:rsid w:val="4BD240FA"/>
    <w:rsid w:val="4BD26B6A"/>
    <w:rsid w:val="4BD303F5"/>
    <w:rsid w:val="4BDC009E"/>
    <w:rsid w:val="4BDE053D"/>
    <w:rsid w:val="4BE134B1"/>
    <w:rsid w:val="4BE60D6F"/>
    <w:rsid w:val="4BE67298"/>
    <w:rsid w:val="4BE7123E"/>
    <w:rsid w:val="4BE73EB8"/>
    <w:rsid w:val="4BEA5A65"/>
    <w:rsid w:val="4BEA767A"/>
    <w:rsid w:val="4BEE1593"/>
    <w:rsid w:val="4BF04C73"/>
    <w:rsid w:val="4BF1372A"/>
    <w:rsid w:val="4BF151CF"/>
    <w:rsid w:val="4BF16C8D"/>
    <w:rsid w:val="4BF2471B"/>
    <w:rsid w:val="4BF60330"/>
    <w:rsid w:val="4BF60DCE"/>
    <w:rsid w:val="4BF65F21"/>
    <w:rsid w:val="4BF97FB1"/>
    <w:rsid w:val="4BFB75EE"/>
    <w:rsid w:val="4C00006D"/>
    <w:rsid w:val="4C000B6C"/>
    <w:rsid w:val="4C015CE5"/>
    <w:rsid w:val="4C0A7B0C"/>
    <w:rsid w:val="4C0B2CBC"/>
    <w:rsid w:val="4C0C6B0E"/>
    <w:rsid w:val="4C16155A"/>
    <w:rsid w:val="4C1621F8"/>
    <w:rsid w:val="4C172D7F"/>
    <w:rsid w:val="4C1A1591"/>
    <w:rsid w:val="4C1C493F"/>
    <w:rsid w:val="4C2532AB"/>
    <w:rsid w:val="4C255EF5"/>
    <w:rsid w:val="4C291688"/>
    <w:rsid w:val="4C2A156F"/>
    <w:rsid w:val="4C2D72FE"/>
    <w:rsid w:val="4C2E459D"/>
    <w:rsid w:val="4C2F0032"/>
    <w:rsid w:val="4C381771"/>
    <w:rsid w:val="4C3B1E0A"/>
    <w:rsid w:val="4C3B5880"/>
    <w:rsid w:val="4C3C6A4A"/>
    <w:rsid w:val="4C427382"/>
    <w:rsid w:val="4C4348C5"/>
    <w:rsid w:val="4C4A4FB6"/>
    <w:rsid w:val="4C52335A"/>
    <w:rsid w:val="4C577725"/>
    <w:rsid w:val="4C5858A6"/>
    <w:rsid w:val="4C5A2841"/>
    <w:rsid w:val="4C681932"/>
    <w:rsid w:val="4C687B84"/>
    <w:rsid w:val="4C6C7A3E"/>
    <w:rsid w:val="4C6D3754"/>
    <w:rsid w:val="4C6E709B"/>
    <w:rsid w:val="4C6F2CC0"/>
    <w:rsid w:val="4C6F496A"/>
    <w:rsid w:val="4C6F65E4"/>
    <w:rsid w:val="4C737586"/>
    <w:rsid w:val="4C7B0BBA"/>
    <w:rsid w:val="4C894A05"/>
    <w:rsid w:val="4C8B77E6"/>
    <w:rsid w:val="4C8C4227"/>
    <w:rsid w:val="4C8E331F"/>
    <w:rsid w:val="4C910569"/>
    <w:rsid w:val="4C910DFD"/>
    <w:rsid w:val="4C926B4C"/>
    <w:rsid w:val="4C9427CE"/>
    <w:rsid w:val="4C956F98"/>
    <w:rsid w:val="4C965495"/>
    <w:rsid w:val="4C986D45"/>
    <w:rsid w:val="4C9A637A"/>
    <w:rsid w:val="4C9D4D80"/>
    <w:rsid w:val="4C9E1F1E"/>
    <w:rsid w:val="4CA82907"/>
    <w:rsid w:val="4CA83735"/>
    <w:rsid w:val="4CAB4883"/>
    <w:rsid w:val="4CAB7731"/>
    <w:rsid w:val="4CB21FA7"/>
    <w:rsid w:val="4CB3256C"/>
    <w:rsid w:val="4CB40331"/>
    <w:rsid w:val="4CB746BF"/>
    <w:rsid w:val="4CB81A40"/>
    <w:rsid w:val="4CB85169"/>
    <w:rsid w:val="4CBC4E53"/>
    <w:rsid w:val="4CC000E4"/>
    <w:rsid w:val="4CC07B16"/>
    <w:rsid w:val="4CC164D4"/>
    <w:rsid w:val="4CC80C36"/>
    <w:rsid w:val="4CCA4766"/>
    <w:rsid w:val="4CCC7A70"/>
    <w:rsid w:val="4CCE31DB"/>
    <w:rsid w:val="4CD14249"/>
    <w:rsid w:val="4CD32969"/>
    <w:rsid w:val="4CD35852"/>
    <w:rsid w:val="4CD4750B"/>
    <w:rsid w:val="4CD83D84"/>
    <w:rsid w:val="4CDC509B"/>
    <w:rsid w:val="4CDE39A2"/>
    <w:rsid w:val="4CDF7762"/>
    <w:rsid w:val="4CE73126"/>
    <w:rsid w:val="4CEC25AC"/>
    <w:rsid w:val="4CEC60D8"/>
    <w:rsid w:val="4CEE0BA4"/>
    <w:rsid w:val="4CEF2F11"/>
    <w:rsid w:val="4CF10612"/>
    <w:rsid w:val="4CF17CA6"/>
    <w:rsid w:val="4CF4222C"/>
    <w:rsid w:val="4CF55F37"/>
    <w:rsid w:val="4CF65190"/>
    <w:rsid w:val="4CFE4243"/>
    <w:rsid w:val="4CFE6C06"/>
    <w:rsid w:val="4D002568"/>
    <w:rsid w:val="4D023782"/>
    <w:rsid w:val="4D0364BD"/>
    <w:rsid w:val="4D05593B"/>
    <w:rsid w:val="4D0572A2"/>
    <w:rsid w:val="4D0A503F"/>
    <w:rsid w:val="4D0C53D4"/>
    <w:rsid w:val="4D0F0C4E"/>
    <w:rsid w:val="4D0F3D0F"/>
    <w:rsid w:val="4D133F11"/>
    <w:rsid w:val="4D136AB1"/>
    <w:rsid w:val="4D145E90"/>
    <w:rsid w:val="4D164C16"/>
    <w:rsid w:val="4D1C0985"/>
    <w:rsid w:val="4D213356"/>
    <w:rsid w:val="4D236208"/>
    <w:rsid w:val="4D2770F7"/>
    <w:rsid w:val="4D2F197D"/>
    <w:rsid w:val="4D345882"/>
    <w:rsid w:val="4D3A0331"/>
    <w:rsid w:val="4D3C4C3E"/>
    <w:rsid w:val="4D3E7FE3"/>
    <w:rsid w:val="4D3F4C44"/>
    <w:rsid w:val="4D402C3B"/>
    <w:rsid w:val="4D4170E0"/>
    <w:rsid w:val="4D423D94"/>
    <w:rsid w:val="4D423F8D"/>
    <w:rsid w:val="4D4602DE"/>
    <w:rsid w:val="4D467EC5"/>
    <w:rsid w:val="4D4A3BF2"/>
    <w:rsid w:val="4D4D3AC4"/>
    <w:rsid w:val="4D50781C"/>
    <w:rsid w:val="4D5105F0"/>
    <w:rsid w:val="4D5224A2"/>
    <w:rsid w:val="4D54739D"/>
    <w:rsid w:val="4D574836"/>
    <w:rsid w:val="4D59305D"/>
    <w:rsid w:val="4D5C4AF2"/>
    <w:rsid w:val="4D5C6457"/>
    <w:rsid w:val="4D5D520F"/>
    <w:rsid w:val="4D5E0FB1"/>
    <w:rsid w:val="4D5E6F67"/>
    <w:rsid w:val="4D625031"/>
    <w:rsid w:val="4D6361C4"/>
    <w:rsid w:val="4D6457F8"/>
    <w:rsid w:val="4D6461E5"/>
    <w:rsid w:val="4D710C2A"/>
    <w:rsid w:val="4D72559D"/>
    <w:rsid w:val="4D742BDE"/>
    <w:rsid w:val="4D770DF5"/>
    <w:rsid w:val="4D780DED"/>
    <w:rsid w:val="4D783DF7"/>
    <w:rsid w:val="4D824D55"/>
    <w:rsid w:val="4D835FD1"/>
    <w:rsid w:val="4D856E14"/>
    <w:rsid w:val="4D864324"/>
    <w:rsid w:val="4D8717F2"/>
    <w:rsid w:val="4D896004"/>
    <w:rsid w:val="4D897BAD"/>
    <w:rsid w:val="4D8C2360"/>
    <w:rsid w:val="4D8C522A"/>
    <w:rsid w:val="4D8D7058"/>
    <w:rsid w:val="4D8F64FE"/>
    <w:rsid w:val="4D935985"/>
    <w:rsid w:val="4D957F1B"/>
    <w:rsid w:val="4D961F92"/>
    <w:rsid w:val="4D963E19"/>
    <w:rsid w:val="4D990EEA"/>
    <w:rsid w:val="4D9A0E92"/>
    <w:rsid w:val="4D9B3D1A"/>
    <w:rsid w:val="4D9F68DC"/>
    <w:rsid w:val="4DA307D9"/>
    <w:rsid w:val="4DA40AC8"/>
    <w:rsid w:val="4DA63329"/>
    <w:rsid w:val="4DA64DE9"/>
    <w:rsid w:val="4DA6779F"/>
    <w:rsid w:val="4DAA7A30"/>
    <w:rsid w:val="4DAA7D6B"/>
    <w:rsid w:val="4DAC7B7F"/>
    <w:rsid w:val="4DAD1503"/>
    <w:rsid w:val="4DAF5E9D"/>
    <w:rsid w:val="4DB11B7A"/>
    <w:rsid w:val="4DB710BB"/>
    <w:rsid w:val="4DB81286"/>
    <w:rsid w:val="4DBB2845"/>
    <w:rsid w:val="4DBE4C5F"/>
    <w:rsid w:val="4DBE6A0F"/>
    <w:rsid w:val="4DBE7BD3"/>
    <w:rsid w:val="4DBE7FE3"/>
    <w:rsid w:val="4DC10516"/>
    <w:rsid w:val="4DC21824"/>
    <w:rsid w:val="4DC226E8"/>
    <w:rsid w:val="4DC50522"/>
    <w:rsid w:val="4DC64075"/>
    <w:rsid w:val="4DC92195"/>
    <w:rsid w:val="4DCB03CA"/>
    <w:rsid w:val="4DCD6596"/>
    <w:rsid w:val="4DCF0CC7"/>
    <w:rsid w:val="4DD1703B"/>
    <w:rsid w:val="4DD5457B"/>
    <w:rsid w:val="4DD87F15"/>
    <w:rsid w:val="4DDB00CE"/>
    <w:rsid w:val="4DDB722B"/>
    <w:rsid w:val="4DDC3FBA"/>
    <w:rsid w:val="4DDD08D5"/>
    <w:rsid w:val="4DDF18EE"/>
    <w:rsid w:val="4DE06B5B"/>
    <w:rsid w:val="4DE558EE"/>
    <w:rsid w:val="4DE60D60"/>
    <w:rsid w:val="4DF01B93"/>
    <w:rsid w:val="4DF3560C"/>
    <w:rsid w:val="4DF5660E"/>
    <w:rsid w:val="4DFA18D9"/>
    <w:rsid w:val="4DFA2CD8"/>
    <w:rsid w:val="4E024E30"/>
    <w:rsid w:val="4E046CBF"/>
    <w:rsid w:val="4E0C4687"/>
    <w:rsid w:val="4E0D6A99"/>
    <w:rsid w:val="4E0F2691"/>
    <w:rsid w:val="4E0F73EB"/>
    <w:rsid w:val="4E146074"/>
    <w:rsid w:val="4E180330"/>
    <w:rsid w:val="4E184F3A"/>
    <w:rsid w:val="4E197E03"/>
    <w:rsid w:val="4E1D18F4"/>
    <w:rsid w:val="4E2103EC"/>
    <w:rsid w:val="4E2147E1"/>
    <w:rsid w:val="4E2C180C"/>
    <w:rsid w:val="4E317C56"/>
    <w:rsid w:val="4E321ADB"/>
    <w:rsid w:val="4E353250"/>
    <w:rsid w:val="4E3934F1"/>
    <w:rsid w:val="4E3B2F5F"/>
    <w:rsid w:val="4E3E1774"/>
    <w:rsid w:val="4E4405F7"/>
    <w:rsid w:val="4E462BDB"/>
    <w:rsid w:val="4E4706FF"/>
    <w:rsid w:val="4E472DE4"/>
    <w:rsid w:val="4E490E91"/>
    <w:rsid w:val="4E4C6106"/>
    <w:rsid w:val="4E5056C3"/>
    <w:rsid w:val="4E541DBF"/>
    <w:rsid w:val="4E583DAE"/>
    <w:rsid w:val="4E584769"/>
    <w:rsid w:val="4E5B2518"/>
    <w:rsid w:val="4E5B2789"/>
    <w:rsid w:val="4E5B5139"/>
    <w:rsid w:val="4E5C14E8"/>
    <w:rsid w:val="4E5D0C0D"/>
    <w:rsid w:val="4E5F23DD"/>
    <w:rsid w:val="4E6030DF"/>
    <w:rsid w:val="4E604F48"/>
    <w:rsid w:val="4E670D00"/>
    <w:rsid w:val="4E683AAC"/>
    <w:rsid w:val="4E68777D"/>
    <w:rsid w:val="4E6D1A6A"/>
    <w:rsid w:val="4E6E257E"/>
    <w:rsid w:val="4E6F3733"/>
    <w:rsid w:val="4E702E0F"/>
    <w:rsid w:val="4E707558"/>
    <w:rsid w:val="4E7115F6"/>
    <w:rsid w:val="4E7343AB"/>
    <w:rsid w:val="4E736343"/>
    <w:rsid w:val="4E79774F"/>
    <w:rsid w:val="4E831F19"/>
    <w:rsid w:val="4E891A50"/>
    <w:rsid w:val="4E8B7F4C"/>
    <w:rsid w:val="4E903BBE"/>
    <w:rsid w:val="4E931FAF"/>
    <w:rsid w:val="4E963C99"/>
    <w:rsid w:val="4E9B303E"/>
    <w:rsid w:val="4EA04C05"/>
    <w:rsid w:val="4EA45F3C"/>
    <w:rsid w:val="4EA63C77"/>
    <w:rsid w:val="4EA73F0F"/>
    <w:rsid w:val="4EA831BC"/>
    <w:rsid w:val="4EA84268"/>
    <w:rsid w:val="4EA85BFE"/>
    <w:rsid w:val="4EA97909"/>
    <w:rsid w:val="4EAA7FE0"/>
    <w:rsid w:val="4EAF703B"/>
    <w:rsid w:val="4EB106F4"/>
    <w:rsid w:val="4EB319ED"/>
    <w:rsid w:val="4EB36A88"/>
    <w:rsid w:val="4EB8094F"/>
    <w:rsid w:val="4EB9116F"/>
    <w:rsid w:val="4EBA0C2B"/>
    <w:rsid w:val="4EBB653A"/>
    <w:rsid w:val="4EBD3989"/>
    <w:rsid w:val="4EC70B92"/>
    <w:rsid w:val="4EC84A57"/>
    <w:rsid w:val="4ED351D4"/>
    <w:rsid w:val="4ED572E1"/>
    <w:rsid w:val="4EE118A7"/>
    <w:rsid w:val="4EE23498"/>
    <w:rsid w:val="4EE23C1E"/>
    <w:rsid w:val="4EE34D0E"/>
    <w:rsid w:val="4EE43B82"/>
    <w:rsid w:val="4EE65E96"/>
    <w:rsid w:val="4EE81D24"/>
    <w:rsid w:val="4EE90788"/>
    <w:rsid w:val="4EEA5B50"/>
    <w:rsid w:val="4EEB26DC"/>
    <w:rsid w:val="4EEF1BEC"/>
    <w:rsid w:val="4EF03CEE"/>
    <w:rsid w:val="4EF7109C"/>
    <w:rsid w:val="4EF87191"/>
    <w:rsid w:val="4EFC114C"/>
    <w:rsid w:val="4EFD19E2"/>
    <w:rsid w:val="4EFF592D"/>
    <w:rsid w:val="4F030297"/>
    <w:rsid w:val="4F0364BE"/>
    <w:rsid w:val="4F0819F7"/>
    <w:rsid w:val="4F086736"/>
    <w:rsid w:val="4F0B725E"/>
    <w:rsid w:val="4F0C4DBB"/>
    <w:rsid w:val="4F16653C"/>
    <w:rsid w:val="4F1D6013"/>
    <w:rsid w:val="4F217222"/>
    <w:rsid w:val="4F227E78"/>
    <w:rsid w:val="4F245D6F"/>
    <w:rsid w:val="4F280209"/>
    <w:rsid w:val="4F292066"/>
    <w:rsid w:val="4F2A722C"/>
    <w:rsid w:val="4F2C20D9"/>
    <w:rsid w:val="4F2C30EB"/>
    <w:rsid w:val="4F31021C"/>
    <w:rsid w:val="4F312505"/>
    <w:rsid w:val="4F325F35"/>
    <w:rsid w:val="4F3517EA"/>
    <w:rsid w:val="4F352FCE"/>
    <w:rsid w:val="4F354A1E"/>
    <w:rsid w:val="4F381A8F"/>
    <w:rsid w:val="4F3A5808"/>
    <w:rsid w:val="4F4114C2"/>
    <w:rsid w:val="4F416356"/>
    <w:rsid w:val="4F4178B9"/>
    <w:rsid w:val="4F4325DB"/>
    <w:rsid w:val="4F454E8F"/>
    <w:rsid w:val="4F4904CF"/>
    <w:rsid w:val="4F4E7B24"/>
    <w:rsid w:val="4F501DF8"/>
    <w:rsid w:val="4F5910DA"/>
    <w:rsid w:val="4F593462"/>
    <w:rsid w:val="4F6007F8"/>
    <w:rsid w:val="4F60540E"/>
    <w:rsid w:val="4F677115"/>
    <w:rsid w:val="4F6958BC"/>
    <w:rsid w:val="4F6E725F"/>
    <w:rsid w:val="4F702FD7"/>
    <w:rsid w:val="4F714BD1"/>
    <w:rsid w:val="4F76643C"/>
    <w:rsid w:val="4F791990"/>
    <w:rsid w:val="4F7B7E6F"/>
    <w:rsid w:val="4F7D68A1"/>
    <w:rsid w:val="4F7E1023"/>
    <w:rsid w:val="4F803F38"/>
    <w:rsid w:val="4F86248E"/>
    <w:rsid w:val="4F8E2E7F"/>
    <w:rsid w:val="4F8E4CA8"/>
    <w:rsid w:val="4F8F699A"/>
    <w:rsid w:val="4F9C1546"/>
    <w:rsid w:val="4F9C16A9"/>
    <w:rsid w:val="4F9C3AC0"/>
    <w:rsid w:val="4F9D5785"/>
    <w:rsid w:val="4F9E1107"/>
    <w:rsid w:val="4FA55C43"/>
    <w:rsid w:val="4FA62C07"/>
    <w:rsid w:val="4FA639ED"/>
    <w:rsid w:val="4FAA38E1"/>
    <w:rsid w:val="4FAB0695"/>
    <w:rsid w:val="4FAF4BEF"/>
    <w:rsid w:val="4FB40067"/>
    <w:rsid w:val="4FB61599"/>
    <w:rsid w:val="4FB8672C"/>
    <w:rsid w:val="4FBD464B"/>
    <w:rsid w:val="4FBD727C"/>
    <w:rsid w:val="4FBE517F"/>
    <w:rsid w:val="4FCC2CDA"/>
    <w:rsid w:val="4FCF6F29"/>
    <w:rsid w:val="4FD55621"/>
    <w:rsid w:val="4FD64A2E"/>
    <w:rsid w:val="4FD71B2F"/>
    <w:rsid w:val="4FD74D1B"/>
    <w:rsid w:val="4FD7539F"/>
    <w:rsid w:val="4FD76206"/>
    <w:rsid w:val="4FDB79AB"/>
    <w:rsid w:val="4FDD65F6"/>
    <w:rsid w:val="4FE01EAD"/>
    <w:rsid w:val="4FE6060D"/>
    <w:rsid w:val="4FE91E91"/>
    <w:rsid w:val="4FEB1DB9"/>
    <w:rsid w:val="4FF17F69"/>
    <w:rsid w:val="4FF2708D"/>
    <w:rsid w:val="4FF70CC5"/>
    <w:rsid w:val="4FF97471"/>
    <w:rsid w:val="4FFE2B39"/>
    <w:rsid w:val="4FFE434F"/>
    <w:rsid w:val="4FFE76BD"/>
    <w:rsid w:val="4FFF78F3"/>
    <w:rsid w:val="50000F53"/>
    <w:rsid w:val="50022D12"/>
    <w:rsid w:val="50044B55"/>
    <w:rsid w:val="5009058F"/>
    <w:rsid w:val="500E2941"/>
    <w:rsid w:val="500E69AC"/>
    <w:rsid w:val="50107625"/>
    <w:rsid w:val="5018638A"/>
    <w:rsid w:val="501E0142"/>
    <w:rsid w:val="501E4D8B"/>
    <w:rsid w:val="501F554B"/>
    <w:rsid w:val="50245FA2"/>
    <w:rsid w:val="50275A4A"/>
    <w:rsid w:val="50292CA3"/>
    <w:rsid w:val="502A331B"/>
    <w:rsid w:val="502A339D"/>
    <w:rsid w:val="502B715E"/>
    <w:rsid w:val="50300293"/>
    <w:rsid w:val="503036D6"/>
    <w:rsid w:val="50356D6B"/>
    <w:rsid w:val="503A35E5"/>
    <w:rsid w:val="503B5F34"/>
    <w:rsid w:val="503C22F4"/>
    <w:rsid w:val="503F6ED3"/>
    <w:rsid w:val="50443805"/>
    <w:rsid w:val="50451F3A"/>
    <w:rsid w:val="50455DB5"/>
    <w:rsid w:val="504B29FB"/>
    <w:rsid w:val="504F3AA0"/>
    <w:rsid w:val="50503A3E"/>
    <w:rsid w:val="505446A7"/>
    <w:rsid w:val="5055503F"/>
    <w:rsid w:val="5056532E"/>
    <w:rsid w:val="5057334D"/>
    <w:rsid w:val="505A02AC"/>
    <w:rsid w:val="505C2A2A"/>
    <w:rsid w:val="505C3A3C"/>
    <w:rsid w:val="505F4DFA"/>
    <w:rsid w:val="5060061F"/>
    <w:rsid w:val="5064066A"/>
    <w:rsid w:val="50644208"/>
    <w:rsid w:val="50667BE7"/>
    <w:rsid w:val="506757C9"/>
    <w:rsid w:val="50675F04"/>
    <w:rsid w:val="50677134"/>
    <w:rsid w:val="50691FB3"/>
    <w:rsid w:val="506E0C31"/>
    <w:rsid w:val="506E1947"/>
    <w:rsid w:val="5071244D"/>
    <w:rsid w:val="50722D7F"/>
    <w:rsid w:val="50734326"/>
    <w:rsid w:val="507373A8"/>
    <w:rsid w:val="50745D5D"/>
    <w:rsid w:val="50767D49"/>
    <w:rsid w:val="507B1010"/>
    <w:rsid w:val="5080064E"/>
    <w:rsid w:val="50815D12"/>
    <w:rsid w:val="50881A2F"/>
    <w:rsid w:val="508A2397"/>
    <w:rsid w:val="508B41E7"/>
    <w:rsid w:val="508B5B37"/>
    <w:rsid w:val="508C6425"/>
    <w:rsid w:val="50922785"/>
    <w:rsid w:val="50953913"/>
    <w:rsid w:val="509D475A"/>
    <w:rsid w:val="50A078EC"/>
    <w:rsid w:val="50A234B0"/>
    <w:rsid w:val="50A25654"/>
    <w:rsid w:val="50A454F9"/>
    <w:rsid w:val="50A61BD5"/>
    <w:rsid w:val="50AB5363"/>
    <w:rsid w:val="50AD6935"/>
    <w:rsid w:val="50AE16EE"/>
    <w:rsid w:val="50AF30C6"/>
    <w:rsid w:val="50AF7B2F"/>
    <w:rsid w:val="50B25872"/>
    <w:rsid w:val="50B332A5"/>
    <w:rsid w:val="50B43385"/>
    <w:rsid w:val="50B5051F"/>
    <w:rsid w:val="50B6614D"/>
    <w:rsid w:val="50B8037D"/>
    <w:rsid w:val="50BB0523"/>
    <w:rsid w:val="50BB7C40"/>
    <w:rsid w:val="50C47798"/>
    <w:rsid w:val="50C9621D"/>
    <w:rsid w:val="50C96BB7"/>
    <w:rsid w:val="50D0185E"/>
    <w:rsid w:val="50D40C23"/>
    <w:rsid w:val="50D628BF"/>
    <w:rsid w:val="50D77086"/>
    <w:rsid w:val="50DC4483"/>
    <w:rsid w:val="50DF2586"/>
    <w:rsid w:val="50DF7594"/>
    <w:rsid w:val="50E06CB8"/>
    <w:rsid w:val="50E10F85"/>
    <w:rsid w:val="50E17396"/>
    <w:rsid w:val="50EB5BBE"/>
    <w:rsid w:val="50EC0CFA"/>
    <w:rsid w:val="50F04BF1"/>
    <w:rsid w:val="50F220F6"/>
    <w:rsid w:val="50F447F6"/>
    <w:rsid w:val="50F6715B"/>
    <w:rsid w:val="50F7455D"/>
    <w:rsid w:val="50FA3576"/>
    <w:rsid w:val="50FC6D8B"/>
    <w:rsid w:val="50FE1680"/>
    <w:rsid w:val="50FF6C41"/>
    <w:rsid w:val="51003FA1"/>
    <w:rsid w:val="5105685B"/>
    <w:rsid w:val="51061CFE"/>
    <w:rsid w:val="5107383C"/>
    <w:rsid w:val="51076B59"/>
    <w:rsid w:val="5108407D"/>
    <w:rsid w:val="510A581F"/>
    <w:rsid w:val="510B4D07"/>
    <w:rsid w:val="510C2C67"/>
    <w:rsid w:val="510D02A0"/>
    <w:rsid w:val="510D390E"/>
    <w:rsid w:val="5110210C"/>
    <w:rsid w:val="51102769"/>
    <w:rsid w:val="511173EF"/>
    <w:rsid w:val="51197EFB"/>
    <w:rsid w:val="5120011B"/>
    <w:rsid w:val="512130E5"/>
    <w:rsid w:val="51236638"/>
    <w:rsid w:val="51287979"/>
    <w:rsid w:val="512B1242"/>
    <w:rsid w:val="512B5A0A"/>
    <w:rsid w:val="512B5E85"/>
    <w:rsid w:val="513174A7"/>
    <w:rsid w:val="513C1DD1"/>
    <w:rsid w:val="513D507C"/>
    <w:rsid w:val="513F5D8A"/>
    <w:rsid w:val="514D5C03"/>
    <w:rsid w:val="514E7501"/>
    <w:rsid w:val="515150AB"/>
    <w:rsid w:val="515608C5"/>
    <w:rsid w:val="51566098"/>
    <w:rsid w:val="51587126"/>
    <w:rsid w:val="51593D96"/>
    <w:rsid w:val="51612138"/>
    <w:rsid w:val="51681B37"/>
    <w:rsid w:val="51734565"/>
    <w:rsid w:val="517631C7"/>
    <w:rsid w:val="51774DB4"/>
    <w:rsid w:val="517862DB"/>
    <w:rsid w:val="51790B97"/>
    <w:rsid w:val="5179117C"/>
    <w:rsid w:val="517F5754"/>
    <w:rsid w:val="517F7502"/>
    <w:rsid w:val="5181508E"/>
    <w:rsid w:val="5186564C"/>
    <w:rsid w:val="51876EC8"/>
    <w:rsid w:val="51877591"/>
    <w:rsid w:val="51886873"/>
    <w:rsid w:val="51895880"/>
    <w:rsid w:val="51897ADA"/>
    <w:rsid w:val="518A6350"/>
    <w:rsid w:val="518B38D3"/>
    <w:rsid w:val="518B7E86"/>
    <w:rsid w:val="518C4783"/>
    <w:rsid w:val="518E0E90"/>
    <w:rsid w:val="518F324C"/>
    <w:rsid w:val="519011EC"/>
    <w:rsid w:val="51913293"/>
    <w:rsid w:val="51932FAD"/>
    <w:rsid w:val="51944855"/>
    <w:rsid w:val="51966543"/>
    <w:rsid w:val="519759FD"/>
    <w:rsid w:val="5198152D"/>
    <w:rsid w:val="51A0772B"/>
    <w:rsid w:val="51A10EB8"/>
    <w:rsid w:val="51A935A4"/>
    <w:rsid w:val="51AC506D"/>
    <w:rsid w:val="51B037FC"/>
    <w:rsid w:val="51B03E6A"/>
    <w:rsid w:val="51B129DF"/>
    <w:rsid w:val="51B22E96"/>
    <w:rsid w:val="51B2487B"/>
    <w:rsid w:val="51B54A88"/>
    <w:rsid w:val="51BE5AF5"/>
    <w:rsid w:val="51BF17E7"/>
    <w:rsid w:val="51BF41A1"/>
    <w:rsid w:val="51C07B1A"/>
    <w:rsid w:val="51C45EE0"/>
    <w:rsid w:val="51CA69DE"/>
    <w:rsid w:val="51CF0430"/>
    <w:rsid w:val="51D1374B"/>
    <w:rsid w:val="51D40D2E"/>
    <w:rsid w:val="51D55AB8"/>
    <w:rsid w:val="51DE0DEB"/>
    <w:rsid w:val="51E24794"/>
    <w:rsid w:val="51E5197A"/>
    <w:rsid w:val="51E72118"/>
    <w:rsid w:val="51E92E1B"/>
    <w:rsid w:val="51F24EC7"/>
    <w:rsid w:val="51F4202F"/>
    <w:rsid w:val="51F81106"/>
    <w:rsid w:val="51F8315B"/>
    <w:rsid w:val="52004282"/>
    <w:rsid w:val="52005A07"/>
    <w:rsid w:val="52034E92"/>
    <w:rsid w:val="5205264B"/>
    <w:rsid w:val="52081224"/>
    <w:rsid w:val="52093D7A"/>
    <w:rsid w:val="520A2EAB"/>
    <w:rsid w:val="520D08F9"/>
    <w:rsid w:val="520D3B5B"/>
    <w:rsid w:val="520D54CF"/>
    <w:rsid w:val="520E6E0C"/>
    <w:rsid w:val="520F7406"/>
    <w:rsid w:val="52124412"/>
    <w:rsid w:val="521554F7"/>
    <w:rsid w:val="52176C91"/>
    <w:rsid w:val="521E291A"/>
    <w:rsid w:val="521F0CE5"/>
    <w:rsid w:val="52237E3D"/>
    <w:rsid w:val="52293618"/>
    <w:rsid w:val="522A1BDE"/>
    <w:rsid w:val="522D63FC"/>
    <w:rsid w:val="52305170"/>
    <w:rsid w:val="52345602"/>
    <w:rsid w:val="523548E0"/>
    <w:rsid w:val="52357315"/>
    <w:rsid w:val="523701EA"/>
    <w:rsid w:val="523742D0"/>
    <w:rsid w:val="52375DDA"/>
    <w:rsid w:val="523E600B"/>
    <w:rsid w:val="5245312D"/>
    <w:rsid w:val="52462D96"/>
    <w:rsid w:val="52474763"/>
    <w:rsid w:val="52481128"/>
    <w:rsid w:val="52491EAE"/>
    <w:rsid w:val="52493EDA"/>
    <w:rsid w:val="5249506F"/>
    <w:rsid w:val="524A395C"/>
    <w:rsid w:val="524F57CA"/>
    <w:rsid w:val="524F6012"/>
    <w:rsid w:val="52504240"/>
    <w:rsid w:val="52524E99"/>
    <w:rsid w:val="52541CA2"/>
    <w:rsid w:val="525462FC"/>
    <w:rsid w:val="52554D3C"/>
    <w:rsid w:val="525B3CFF"/>
    <w:rsid w:val="525C142B"/>
    <w:rsid w:val="525F37F0"/>
    <w:rsid w:val="52606C95"/>
    <w:rsid w:val="526101CE"/>
    <w:rsid w:val="526160CB"/>
    <w:rsid w:val="52626C5A"/>
    <w:rsid w:val="52636A49"/>
    <w:rsid w:val="52652009"/>
    <w:rsid w:val="52671AF8"/>
    <w:rsid w:val="52682FC1"/>
    <w:rsid w:val="526D37F6"/>
    <w:rsid w:val="52742367"/>
    <w:rsid w:val="527654BD"/>
    <w:rsid w:val="527A5F1B"/>
    <w:rsid w:val="527E176A"/>
    <w:rsid w:val="527F6F49"/>
    <w:rsid w:val="5285323E"/>
    <w:rsid w:val="528613D1"/>
    <w:rsid w:val="5287106C"/>
    <w:rsid w:val="528A7016"/>
    <w:rsid w:val="52906443"/>
    <w:rsid w:val="52911193"/>
    <w:rsid w:val="529278EE"/>
    <w:rsid w:val="5293270C"/>
    <w:rsid w:val="52944461"/>
    <w:rsid w:val="529856CD"/>
    <w:rsid w:val="529B653C"/>
    <w:rsid w:val="529D34AC"/>
    <w:rsid w:val="52A00B6F"/>
    <w:rsid w:val="52A04EE9"/>
    <w:rsid w:val="52A176C7"/>
    <w:rsid w:val="52A21840"/>
    <w:rsid w:val="52A33F39"/>
    <w:rsid w:val="52A462B0"/>
    <w:rsid w:val="52A66D10"/>
    <w:rsid w:val="52A9483A"/>
    <w:rsid w:val="52AA2CA4"/>
    <w:rsid w:val="52AD5545"/>
    <w:rsid w:val="52B01305"/>
    <w:rsid w:val="52B04AA5"/>
    <w:rsid w:val="52B30F99"/>
    <w:rsid w:val="52B60925"/>
    <w:rsid w:val="52B6356F"/>
    <w:rsid w:val="52B9451C"/>
    <w:rsid w:val="52BA5378"/>
    <w:rsid w:val="52BB27AC"/>
    <w:rsid w:val="52C04529"/>
    <w:rsid w:val="52C5188C"/>
    <w:rsid w:val="52C57E0A"/>
    <w:rsid w:val="52C64BA8"/>
    <w:rsid w:val="52CB356C"/>
    <w:rsid w:val="52CC5182"/>
    <w:rsid w:val="52D16462"/>
    <w:rsid w:val="52D6722B"/>
    <w:rsid w:val="52D832B5"/>
    <w:rsid w:val="52DA544A"/>
    <w:rsid w:val="52DB29B8"/>
    <w:rsid w:val="52DD04EF"/>
    <w:rsid w:val="52DD713B"/>
    <w:rsid w:val="52E033B1"/>
    <w:rsid w:val="52E27037"/>
    <w:rsid w:val="52E27D7D"/>
    <w:rsid w:val="52E53B3F"/>
    <w:rsid w:val="52E53DD7"/>
    <w:rsid w:val="52E755CA"/>
    <w:rsid w:val="52E874C6"/>
    <w:rsid w:val="52E91C09"/>
    <w:rsid w:val="52EB2ADA"/>
    <w:rsid w:val="52EB5F7E"/>
    <w:rsid w:val="52EC061A"/>
    <w:rsid w:val="52F05F8B"/>
    <w:rsid w:val="52F22936"/>
    <w:rsid w:val="52F37F7C"/>
    <w:rsid w:val="52F449C9"/>
    <w:rsid w:val="52FD4C7D"/>
    <w:rsid w:val="530043CA"/>
    <w:rsid w:val="5305001C"/>
    <w:rsid w:val="53055B76"/>
    <w:rsid w:val="53057EC9"/>
    <w:rsid w:val="53062113"/>
    <w:rsid w:val="53071048"/>
    <w:rsid w:val="53077CA5"/>
    <w:rsid w:val="530F3ED3"/>
    <w:rsid w:val="53103E45"/>
    <w:rsid w:val="53110694"/>
    <w:rsid w:val="53121F4E"/>
    <w:rsid w:val="53164666"/>
    <w:rsid w:val="53172E57"/>
    <w:rsid w:val="531A6034"/>
    <w:rsid w:val="531D6B94"/>
    <w:rsid w:val="531E66F5"/>
    <w:rsid w:val="532246FE"/>
    <w:rsid w:val="53232FAC"/>
    <w:rsid w:val="53233AFF"/>
    <w:rsid w:val="532358A7"/>
    <w:rsid w:val="532370CB"/>
    <w:rsid w:val="53246B24"/>
    <w:rsid w:val="53251E40"/>
    <w:rsid w:val="5326355A"/>
    <w:rsid w:val="53267F75"/>
    <w:rsid w:val="53291D9A"/>
    <w:rsid w:val="532E5C60"/>
    <w:rsid w:val="532F5784"/>
    <w:rsid w:val="5333389E"/>
    <w:rsid w:val="533472B4"/>
    <w:rsid w:val="533802B0"/>
    <w:rsid w:val="533C1AC2"/>
    <w:rsid w:val="533C29EB"/>
    <w:rsid w:val="533E4E87"/>
    <w:rsid w:val="5349505E"/>
    <w:rsid w:val="534F749A"/>
    <w:rsid w:val="53541439"/>
    <w:rsid w:val="535449BE"/>
    <w:rsid w:val="53575AA3"/>
    <w:rsid w:val="535A49A5"/>
    <w:rsid w:val="535D1FBC"/>
    <w:rsid w:val="535D4EAE"/>
    <w:rsid w:val="535D5CC5"/>
    <w:rsid w:val="535E0A8A"/>
    <w:rsid w:val="535E2397"/>
    <w:rsid w:val="536128DE"/>
    <w:rsid w:val="536742CC"/>
    <w:rsid w:val="53676D18"/>
    <w:rsid w:val="536A2C05"/>
    <w:rsid w:val="536F6815"/>
    <w:rsid w:val="53715845"/>
    <w:rsid w:val="5372473F"/>
    <w:rsid w:val="53742986"/>
    <w:rsid w:val="53755060"/>
    <w:rsid w:val="53762B81"/>
    <w:rsid w:val="537978CF"/>
    <w:rsid w:val="537B1BB1"/>
    <w:rsid w:val="537D061F"/>
    <w:rsid w:val="537E1A3B"/>
    <w:rsid w:val="538103E7"/>
    <w:rsid w:val="538509A9"/>
    <w:rsid w:val="538639B1"/>
    <w:rsid w:val="53880F69"/>
    <w:rsid w:val="538E65C1"/>
    <w:rsid w:val="53922EF7"/>
    <w:rsid w:val="539C64F4"/>
    <w:rsid w:val="539D5FA9"/>
    <w:rsid w:val="539F7C71"/>
    <w:rsid w:val="53A60BA8"/>
    <w:rsid w:val="53A743A4"/>
    <w:rsid w:val="53A8257D"/>
    <w:rsid w:val="53AD6898"/>
    <w:rsid w:val="53AF7A59"/>
    <w:rsid w:val="53B10062"/>
    <w:rsid w:val="53B476FF"/>
    <w:rsid w:val="53B53959"/>
    <w:rsid w:val="53B66053"/>
    <w:rsid w:val="53B70141"/>
    <w:rsid w:val="53B73924"/>
    <w:rsid w:val="53BE14E8"/>
    <w:rsid w:val="53BE57A1"/>
    <w:rsid w:val="53C0331C"/>
    <w:rsid w:val="53C06877"/>
    <w:rsid w:val="53C10D5C"/>
    <w:rsid w:val="53C44B1A"/>
    <w:rsid w:val="53CD3918"/>
    <w:rsid w:val="53CF51AB"/>
    <w:rsid w:val="53D3304A"/>
    <w:rsid w:val="53D352E6"/>
    <w:rsid w:val="53D505EF"/>
    <w:rsid w:val="53D61877"/>
    <w:rsid w:val="53D766AF"/>
    <w:rsid w:val="53DA423D"/>
    <w:rsid w:val="53E13C75"/>
    <w:rsid w:val="53E279B5"/>
    <w:rsid w:val="53E30BE0"/>
    <w:rsid w:val="53E341A7"/>
    <w:rsid w:val="53E50447"/>
    <w:rsid w:val="53E71813"/>
    <w:rsid w:val="53E73654"/>
    <w:rsid w:val="53EA5A87"/>
    <w:rsid w:val="53EC07DA"/>
    <w:rsid w:val="53EE61B7"/>
    <w:rsid w:val="53F54759"/>
    <w:rsid w:val="53F6468C"/>
    <w:rsid w:val="53FB7825"/>
    <w:rsid w:val="53FC5908"/>
    <w:rsid w:val="54002583"/>
    <w:rsid w:val="540A7ECF"/>
    <w:rsid w:val="540E09B9"/>
    <w:rsid w:val="540F054F"/>
    <w:rsid w:val="54103DD4"/>
    <w:rsid w:val="54104215"/>
    <w:rsid w:val="54123FF7"/>
    <w:rsid w:val="54150E7E"/>
    <w:rsid w:val="541B2F5B"/>
    <w:rsid w:val="541B3CC4"/>
    <w:rsid w:val="54207519"/>
    <w:rsid w:val="542520B4"/>
    <w:rsid w:val="5426635A"/>
    <w:rsid w:val="542D6B2D"/>
    <w:rsid w:val="542E1A5D"/>
    <w:rsid w:val="543534D1"/>
    <w:rsid w:val="54391ECB"/>
    <w:rsid w:val="54396EBE"/>
    <w:rsid w:val="543C3DD0"/>
    <w:rsid w:val="5440186A"/>
    <w:rsid w:val="54425644"/>
    <w:rsid w:val="544441DF"/>
    <w:rsid w:val="54461191"/>
    <w:rsid w:val="544D5CD8"/>
    <w:rsid w:val="545F144A"/>
    <w:rsid w:val="5463310B"/>
    <w:rsid w:val="546341FB"/>
    <w:rsid w:val="54642BCA"/>
    <w:rsid w:val="54750B59"/>
    <w:rsid w:val="5475382D"/>
    <w:rsid w:val="547642F7"/>
    <w:rsid w:val="547A27C4"/>
    <w:rsid w:val="547A48F8"/>
    <w:rsid w:val="547F22D8"/>
    <w:rsid w:val="54815C87"/>
    <w:rsid w:val="54840B3F"/>
    <w:rsid w:val="54860203"/>
    <w:rsid w:val="54863D42"/>
    <w:rsid w:val="54874D2A"/>
    <w:rsid w:val="54876A43"/>
    <w:rsid w:val="54891439"/>
    <w:rsid w:val="548B0D85"/>
    <w:rsid w:val="548C0CEF"/>
    <w:rsid w:val="548C12C1"/>
    <w:rsid w:val="548C16B2"/>
    <w:rsid w:val="54935398"/>
    <w:rsid w:val="54954FC0"/>
    <w:rsid w:val="54977EEA"/>
    <w:rsid w:val="54980D2D"/>
    <w:rsid w:val="549A316E"/>
    <w:rsid w:val="549F523F"/>
    <w:rsid w:val="549F6090"/>
    <w:rsid w:val="54A203AA"/>
    <w:rsid w:val="54A32783"/>
    <w:rsid w:val="54A46F58"/>
    <w:rsid w:val="54A76C80"/>
    <w:rsid w:val="54A83508"/>
    <w:rsid w:val="54A95E9D"/>
    <w:rsid w:val="54AA0902"/>
    <w:rsid w:val="54AB40D2"/>
    <w:rsid w:val="54AD5D40"/>
    <w:rsid w:val="54AE00FE"/>
    <w:rsid w:val="54B009C5"/>
    <w:rsid w:val="54B01609"/>
    <w:rsid w:val="54B03471"/>
    <w:rsid w:val="54B06227"/>
    <w:rsid w:val="54BA467E"/>
    <w:rsid w:val="54BB383D"/>
    <w:rsid w:val="54C1081F"/>
    <w:rsid w:val="54C37AFE"/>
    <w:rsid w:val="54C91812"/>
    <w:rsid w:val="54D12267"/>
    <w:rsid w:val="54D659A5"/>
    <w:rsid w:val="54DA328B"/>
    <w:rsid w:val="54DB539D"/>
    <w:rsid w:val="54DC700E"/>
    <w:rsid w:val="54DF34A6"/>
    <w:rsid w:val="54E505A3"/>
    <w:rsid w:val="54E61646"/>
    <w:rsid w:val="54E82550"/>
    <w:rsid w:val="54E8428B"/>
    <w:rsid w:val="54EB6E3B"/>
    <w:rsid w:val="54EC08AB"/>
    <w:rsid w:val="54EC6C66"/>
    <w:rsid w:val="54EF0214"/>
    <w:rsid w:val="54F7294B"/>
    <w:rsid w:val="54F904D6"/>
    <w:rsid w:val="54F92092"/>
    <w:rsid w:val="54F94FB8"/>
    <w:rsid w:val="54FC7F2F"/>
    <w:rsid w:val="54FD3AAB"/>
    <w:rsid w:val="54FE05A2"/>
    <w:rsid w:val="550026F3"/>
    <w:rsid w:val="5503044A"/>
    <w:rsid w:val="550653F2"/>
    <w:rsid w:val="55067F3A"/>
    <w:rsid w:val="55101524"/>
    <w:rsid w:val="55122D9F"/>
    <w:rsid w:val="55124F26"/>
    <w:rsid w:val="5513091A"/>
    <w:rsid w:val="55155149"/>
    <w:rsid w:val="551A4DC8"/>
    <w:rsid w:val="551F1C27"/>
    <w:rsid w:val="55205FDE"/>
    <w:rsid w:val="55207626"/>
    <w:rsid w:val="552109A7"/>
    <w:rsid w:val="55215CEB"/>
    <w:rsid w:val="55231592"/>
    <w:rsid w:val="55275C92"/>
    <w:rsid w:val="552A691D"/>
    <w:rsid w:val="552B300E"/>
    <w:rsid w:val="552C3484"/>
    <w:rsid w:val="552D4D5E"/>
    <w:rsid w:val="552F009A"/>
    <w:rsid w:val="552F108E"/>
    <w:rsid w:val="5533583F"/>
    <w:rsid w:val="55344AA7"/>
    <w:rsid w:val="55387C97"/>
    <w:rsid w:val="553A2C6B"/>
    <w:rsid w:val="553E5213"/>
    <w:rsid w:val="55415C4D"/>
    <w:rsid w:val="5546419D"/>
    <w:rsid w:val="55496AAC"/>
    <w:rsid w:val="554A3265"/>
    <w:rsid w:val="554A7B4E"/>
    <w:rsid w:val="554D1966"/>
    <w:rsid w:val="55517DC1"/>
    <w:rsid w:val="555A0C0E"/>
    <w:rsid w:val="555B55B7"/>
    <w:rsid w:val="555D2250"/>
    <w:rsid w:val="556328A1"/>
    <w:rsid w:val="556A6CFF"/>
    <w:rsid w:val="556D10E1"/>
    <w:rsid w:val="556D4EFF"/>
    <w:rsid w:val="55702D78"/>
    <w:rsid w:val="5572786B"/>
    <w:rsid w:val="557502C4"/>
    <w:rsid w:val="55766E6E"/>
    <w:rsid w:val="55791EA9"/>
    <w:rsid w:val="557A2342"/>
    <w:rsid w:val="557B4F26"/>
    <w:rsid w:val="557D7719"/>
    <w:rsid w:val="557E03CA"/>
    <w:rsid w:val="557E6182"/>
    <w:rsid w:val="558025D6"/>
    <w:rsid w:val="5580576A"/>
    <w:rsid w:val="558167EB"/>
    <w:rsid w:val="55831021"/>
    <w:rsid w:val="55832828"/>
    <w:rsid w:val="55866C75"/>
    <w:rsid w:val="558C5D39"/>
    <w:rsid w:val="559025A9"/>
    <w:rsid w:val="55912D02"/>
    <w:rsid w:val="5591481E"/>
    <w:rsid w:val="55944763"/>
    <w:rsid w:val="559A33E2"/>
    <w:rsid w:val="559E46BC"/>
    <w:rsid w:val="559F1AE0"/>
    <w:rsid w:val="55A40318"/>
    <w:rsid w:val="55AC1291"/>
    <w:rsid w:val="55B10AB3"/>
    <w:rsid w:val="55B141AE"/>
    <w:rsid w:val="55B87604"/>
    <w:rsid w:val="55BC70E3"/>
    <w:rsid w:val="55BD0515"/>
    <w:rsid w:val="55BE3408"/>
    <w:rsid w:val="55BF10BB"/>
    <w:rsid w:val="55C12EFE"/>
    <w:rsid w:val="55C33503"/>
    <w:rsid w:val="55C43A6D"/>
    <w:rsid w:val="55C5279D"/>
    <w:rsid w:val="55CB0B45"/>
    <w:rsid w:val="55D621E3"/>
    <w:rsid w:val="55D766B3"/>
    <w:rsid w:val="55DA26EE"/>
    <w:rsid w:val="55DC2C54"/>
    <w:rsid w:val="55DC413C"/>
    <w:rsid w:val="55E0618A"/>
    <w:rsid w:val="55E52F3F"/>
    <w:rsid w:val="55E82FC9"/>
    <w:rsid w:val="55EB7E69"/>
    <w:rsid w:val="55ED09B7"/>
    <w:rsid w:val="55F22FE4"/>
    <w:rsid w:val="55F35663"/>
    <w:rsid w:val="55F6724E"/>
    <w:rsid w:val="55F860B4"/>
    <w:rsid w:val="55FC5927"/>
    <w:rsid w:val="56026953"/>
    <w:rsid w:val="560672D8"/>
    <w:rsid w:val="5607307F"/>
    <w:rsid w:val="560C2B0E"/>
    <w:rsid w:val="560C7C75"/>
    <w:rsid w:val="560F1944"/>
    <w:rsid w:val="56116B96"/>
    <w:rsid w:val="56151E85"/>
    <w:rsid w:val="561659A8"/>
    <w:rsid w:val="56167959"/>
    <w:rsid w:val="561A1E51"/>
    <w:rsid w:val="56222892"/>
    <w:rsid w:val="56243838"/>
    <w:rsid w:val="562F00C3"/>
    <w:rsid w:val="56307C21"/>
    <w:rsid w:val="5637465C"/>
    <w:rsid w:val="56382AF3"/>
    <w:rsid w:val="563A1D2D"/>
    <w:rsid w:val="563D643E"/>
    <w:rsid w:val="563E0379"/>
    <w:rsid w:val="56443E4F"/>
    <w:rsid w:val="56457DB1"/>
    <w:rsid w:val="564754BF"/>
    <w:rsid w:val="5651282D"/>
    <w:rsid w:val="56530C3C"/>
    <w:rsid w:val="56532AA2"/>
    <w:rsid w:val="56557AA7"/>
    <w:rsid w:val="565A6FAE"/>
    <w:rsid w:val="565D3695"/>
    <w:rsid w:val="565E4F9F"/>
    <w:rsid w:val="565F5964"/>
    <w:rsid w:val="56602CF9"/>
    <w:rsid w:val="5661438B"/>
    <w:rsid w:val="56640307"/>
    <w:rsid w:val="56660B41"/>
    <w:rsid w:val="566627A4"/>
    <w:rsid w:val="5667482A"/>
    <w:rsid w:val="566B273B"/>
    <w:rsid w:val="566E223B"/>
    <w:rsid w:val="56725F6F"/>
    <w:rsid w:val="5676236B"/>
    <w:rsid w:val="56777E21"/>
    <w:rsid w:val="567800FD"/>
    <w:rsid w:val="567C7B7C"/>
    <w:rsid w:val="5681559F"/>
    <w:rsid w:val="56815ACA"/>
    <w:rsid w:val="56830D7B"/>
    <w:rsid w:val="56885DF8"/>
    <w:rsid w:val="568E138E"/>
    <w:rsid w:val="5694135E"/>
    <w:rsid w:val="569C2596"/>
    <w:rsid w:val="569D62EC"/>
    <w:rsid w:val="569F0117"/>
    <w:rsid w:val="569F38CC"/>
    <w:rsid w:val="56A81045"/>
    <w:rsid w:val="56A812A9"/>
    <w:rsid w:val="56AB6FEB"/>
    <w:rsid w:val="56AC14BF"/>
    <w:rsid w:val="56B459E7"/>
    <w:rsid w:val="56B56E6A"/>
    <w:rsid w:val="56B72543"/>
    <w:rsid w:val="56BA1CD6"/>
    <w:rsid w:val="56BD08C4"/>
    <w:rsid w:val="56BF0354"/>
    <w:rsid w:val="56BF103F"/>
    <w:rsid w:val="56C609F4"/>
    <w:rsid w:val="56C649F9"/>
    <w:rsid w:val="56C77321"/>
    <w:rsid w:val="56CF05F7"/>
    <w:rsid w:val="56D0702A"/>
    <w:rsid w:val="56D17863"/>
    <w:rsid w:val="56D45149"/>
    <w:rsid w:val="56D71B8E"/>
    <w:rsid w:val="56D8321F"/>
    <w:rsid w:val="56D90149"/>
    <w:rsid w:val="56DC5A53"/>
    <w:rsid w:val="56E346BD"/>
    <w:rsid w:val="56F94902"/>
    <w:rsid w:val="56FC0E19"/>
    <w:rsid w:val="56FC33A3"/>
    <w:rsid w:val="57014A64"/>
    <w:rsid w:val="57047A2A"/>
    <w:rsid w:val="57050988"/>
    <w:rsid w:val="570549BD"/>
    <w:rsid w:val="57072BD8"/>
    <w:rsid w:val="570A2782"/>
    <w:rsid w:val="570E037A"/>
    <w:rsid w:val="570E2112"/>
    <w:rsid w:val="571650CE"/>
    <w:rsid w:val="57172725"/>
    <w:rsid w:val="571C731B"/>
    <w:rsid w:val="57200BDB"/>
    <w:rsid w:val="57204676"/>
    <w:rsid w:val="5722593A"/>
    <w:rsid w:val="57230E7B"/>
    <w:rsid w:val="57231C25"/>
    <w:rsid w:val="5724270A"/>
    <w:rsid w:val="5729108D"/>
    <w:rsid w:val="5729186D"/>
    <w:rsid w:val="572B6D33"/>
    <w:rsid w:val="572D0106"/>
    <w:rsid w:val="572D0BCB"/>
    <w:rsid w:val="5730129E"/>
    <w:rsid w:val="5738309B"/>
    <w:rsid w:val="573B6229"/>
    <w:rsid w:val="573D0632"/>
    <w:rsid w:val="573E138D"/>
    <w:rsid w:val="574053DD"/>
    <w:rsid w:val="5744575B"/>
    <w:rsid w:val="57476390"/>
    <w:rsid w:val="5748075A"/>
    <w:rsid w:val="574D37D2"/>
    <w:rsid w:val="57584D33"/>
    <w:rsid w:val="575A005E"/>
    <w:rsid w:val="5761732B"/>
    <w:rsid w:val="576206A9"/>
    <w:rsid w:val="57655762"/>
    <w:rsid w:val="5768462B"/>
    <w:rsid w:val="576C0601"/>
    <w:rsid w:val="576C2E26"/>
    <w:rsid w:val="577431D4"/>
    <w:rsid w:val="577472FC"/>
    <w:rsid w:val="5778605C"/>
    <w:rsid w:val="577C032F"/>
    <w:rsid w:val="578035AF"/>
    <w:rsid w:val="5780637F"/>
    <w:rsid w:val="57826FBD"/>
    <w:rsid w:val="57844348"/>
    <w:rsid w:val="57846980"/>
    <w:rsid w:val="578778BB"/>
    <w:rsid w:val="57893228"/>
    <w:rsid w:val="578A2ACA"/>
    <w:rsid w:val="578C3B2F"/>
    <w:rsid w:val="578D69B7"/>
    <w:rsid w:val="578F06BB"/>
    <w:rsid w:val="578F7D81"/>
    <w:rsid w:val="579455A3"/>
    <w:rsid w:val="57954D31"/>
    <w:rsid w:val="57956157"/>
    <w:rsid w:val="57A14C65"/>
    <w:rsid w:val="57A365BA"/>
    <w:rsid w:val="57A504D8"/>
    <w:rsid w:val="57A557E8"/>
    <w:rsid w:val="57AA1B19"/>
    <w:rsid w:val="57AA5321"/>
    <w:rsid w:val="57B1691C"/>
    <w:rsid w:val="57B21192"/>
    <w:rsid w:val="57B40121"/>
    <w:rsid w:val="57B632C9"/>
    <w:rsid w:val="57BC6526"/>
    <w:rsid w:val="57BE512E"/>
    <w:rsid w:val="57C02ECC"/>
    <w:rsid w:val="57C06AC6"/>
    <w:rsid w:val="57C2283E"/>
    <w:rsid w:val="57C93911"/>
    <w:rsid w:val="57C9790E"/>
    <w:rsid w:val="57CA425B"/>
    <w:rsid w:val="57CC7594"/>
    <w:rsid w:val="57CD09B2"/>
    <w:rsid w:val="57CF0A9D"/>
    <w:rsid w:val="57D13339"/>
    <w:rsid w:val="57D37863"/>
    <w:rsid w:val="57D61D7E"/>
    <w:rsid w:val="57DC7F73"/>
    <w:rsid w:val="57DD0571"/>
    <w:rsid w:val="57DD47DC"/>
    <w:rsid w:val="57E66F99"/>
    <w:rsid w:val="57E94E73"/>
    <w:rsid w:val="57EE1B22"/>
    <w:rsid w:val="57EE4A4F"/>
    <w:rsid w:val="57F102AF"/>
    <w:rsid w:val="57F13E10"/>
    <w:rsid w:val="57F356E2"/>
    <w:rsid w:val="57F91161"/>
    <w:rsid w:val="57F975EF"/>
    <w:rsid w:val="57F97676"/>
    <w:rsid w:val="57FA2037"/>
    <w:rsid w:val="57FA6187"/>
    <w:rsid w:val="57FB11E4"/>
    <w:rsid w:val="57FD2672"/>
    <w:rsid w:val="57FE3992"/>
    <w:rsid w:val="57FF165E"/>
    <w:rsid w:val="57FF779C"/>
    <w:rsid w:val="58052024"/>
    <w:rsid w:val="580A4668"/>
    <w:rsid w:val="580B15D9"/>
    <w:rsid w:val="58114217"/>
    <w:rsid w:val="58117FD1"/>
    <w:rsid w:val="58123541"/>
    <w:rsid w:val="581D1822"/>
    <w:rsid w:val="5820606F"/>
    <w:rsid w:val="58230761"/>
    <w:rsid w:val="5826708C"/>
    <w:rsid w:val="5827330C"/>
    <w:rsid w:val="5827709F"/>
    <w:rsid w:val="582C646F"/>
    <w:rsid w:val="58307FD2"/>
    <w:rsid w:val="583B7786"/>
    <w:rsid w:val="583F408D"/>
    <w:rsid w:val="58402F4C"/>
    <w:rsid w:val="58473C05"/>
    <w:rsid w:val="584C5B18"/>
    <w:rsid w:val="584F0CD3"/>
    <w:rsid w:val="584F3B75"/>
    <w:rsid w:val="5854674E"/>
    <w:rsid w:val="58584CE4"/>
    <w:rsid w:val="585B2BBE"/>
    <w:rsid w:val="585D2137"/>
    <w:rsid w:val="585D23DB"/>
    <w:rsid w:val="585E353C"/>
    <w:rsid w:val="585F5E3A"/>
    <w:rsid w:val="58620DA0"/>
    <w:rsid w:val="586252C7"/>
    <w:rsid w:val="586D7B10"/>
    <w:rsid w:val="586E1700"/>
    <w:rsid w:val="58721998"/>
    <w:rsid w:val="58727E11"/>
    <w:rsid w:val="58764E3F"/>
    <w:rsid w:val="58797795"/>
    <w:rsid w:val="587B2BDD"/>
    <w:rsid w:val="587D5819"/>
    <w:rsid w:val="587D6349"/>
    <w:rsid w:val="587F1198"/>
    <w:rsid w:val="588036FB"/>
    <w:rsid w:val="588049C5"/>
    <w:rsid w:val="588221FD"/>
    <w:rsid w:val="58822DAE"/>
    <w:rsid w:val="58827796"/>
    <w:rsid w:val="588A55FC"/>
    <w:rsid w:val="588B21FA"/>
    <w:rsid w:val="588B6AC3"/>
    <w:rsid w:val="588E495A"/>
    <w:rsid w:val="588E4DA6"/>
    <w:rsid w:val="588F36C2"/>
    <w:rsid w:val="58905F13"/>
    <w:rsid w:val="5893725D"/>
    <w:rsid w:val="58940678"/>
    <w:rsid w:val="589502E7"/>
    <w:rsid w:val="58960DDB"/>
    <w:rsid w:val="58976421"/>
    <w:rsid w:val="589A1A15"/>
    <w:rsid w:val="589C308F"/>
    <w:rsid w:val="589E636B"/>
    <w:rsid w:val="58A07AD7"/>
    <w:rsid w:val="58A12EE5"/>
    <w:rsid w:val="58A6778E"/>
    <w:rsid w:val="58AA6530"/>
    <w:rsid w:val="58AB4E57"/>
    <w:rsid w:val="58AD32B7"/>
    <w:rsid w:val="58B43CF3"/>
    <w:rsid w:val="58B9157F"/>
    <w:rsid w:val="58BA32F5"/>
    <w:rsid w:val="58C00B31"/>
    <w:rsid w:val="58C168EF"/>
    <w:rsid w:val="58C252F3"/>
    <w:rsid w:val="58C27FAF"/>
    <w:rsid w:val="58C72B84"/>
    <w:rsid w:val="58C8064E"/>
    <w:rsid w:val="58CA2BB6"/>
    <w:rsid w:val="58CD6F98"/>
    <w:rsid w:val="58CE125E"/>
    <w:rsid w:val="58CF5213"/>
    <w:rsid w:val="58D17E41"/>
    <w:rsid w:val="58D459FB"/>
    <w:rsid w:val="58D53DD9"/>
    <w:rsid w:val="58DA2BA4"/>
    <w:rsid w:val="58DB0920"/>
    <w:rsid w:val="58DC431F"/>
    <w:rsid w:val="58E16F32"/>
    <w:rsid w:val="58E35EA4"/>
    <w:rsid w:val="58E9099D"/>
    <w:rsid w:val="58EA16BD"/>
    <w:rsid w:val="58F06A48"/>
    <w:rsid w:val="58F41801"/>
    <w:rsid w:val="58FC45FB"/>
    <w:rsid w:val="58FC6723"/>
    <w:rsid w:val="58FE6062"/>
    <w:rsid w:val="590002B0"/>
    <w:rsid w:val="59012283"/>
    <w:rsid w:val="5901734E"/>
    <w:rsid w:val="59042D1D"/>
    <w:rsid w:val="5905135D"/>
    <w:rsid w:val="5907038F"/>
    <w:rsid w:val="5908530E"/>
    <w:rsid w:val="59095E98"/>
    <w:rsid w:val="590A6040"/>
    <w:rsid w:val="590D032B"/>
    <w:rsid w:val="59134F3B"/>
    <w:rsid w:val="59135A3E"/>
    <w:rsid w:val="591756B5"/>
    <w:rsid w:val="59181E83"/>
    <w:rsid w:val="591A7A45"/>
    <w:rsid w:val="591B3341"/>
    <w:rsid w:val="591C764D"/>
    <w:rsid w:val="591F385A"/>
    <w:rsid w:val="59203C9E"/>
    <w:rsid w:val="59215342"/>
    <w:rsid w:val="59220F83"/>
    <w:rsid w:val="592579D7"/>
    <w:rsid w:val="59272C34"/>
    <w:rsid w:val="5927334D"/>
    <w:rsid w:val="59280AFA"/>
    <w:rsid w:val="59283A5F"/>
    <w:rsid w:val="592B5AD6"/>
    <w:rsid w:val="592B61C1"/>
    <w:rsid w:val="593065AF"/>
    <w:rsid w:val="59325A49"/>
    <w:rsid w:val="593E2A08"/>
    <w:rsid w:val="593E5EF4"/>
    <w:rsid w:val="59431288"/>
    <w:rsid w:val="59442B47"/>
    <w:rsid w:val="59461CD4"/>
    <w:rsid w:val="5947751C"/>
    <w:rsid w:val="594850A2"/>
    <w:rsid w:val="594918BF"/>
    <w:rsid w:val="594B2CC6"/>
    <w:rsid w:val="594D15CA"/>
    <w:rsid w:val="594F7F1D"/>
    <w:rsid w:val="59520481"/>
    <w:rsid w:val="59527BF2"/>
    <w:rsid w:val="59571529"/>
    <w:rsid w:val="595C3BB1"/>
    <w:rsid w:val="595C70E1"/>
    <w:rsid w:val="595F1E39"/>
    <w:rsid w:val="595F2C1F"/>
    <w:rsid w:val="5961772D"/>
    <w:rsid w:val="596A47EA"/>
    <w:rsid w:val="596D44E9"/>
    <w:rsid w:val="596E4CCC"/>
    <w:rsid w:val="59715284"/>
    <w:rsid w:val="59734F35"/>
    <w:rsid w:val="597749B9"/>
    <w:rsid w:val="59782636"/>
    <w:rsid w:val="597A09C3"/>
    <w:rsid w:val="597B0410"/>
    <w:rsid w:val="597C7720"/>
    <w:rsid w:val="597F64EF"/>
    <w:rsid w:val="5982706A"/>
    <w:rsid w:val="5984115F"/>
    <w:rsid w:val="59843CDB"/>
    <w:rsid w:val="59850156"/>
    <w:rsid w:val="598B2969"/>
    <w:rsid w:val="598C013F"/>
    <w:rsid w:val="598D1577"/>
    <w:rsid w:val="59902D18"/>
    <w:rsid w:val="59924E85"/>
    <w:rsid w:val="59936C70"/>
    <w:rsid w:val="5995638D"/>
    <w:rsid w:val="59960E84"/>
    <w:rsid w:val="59976438"/>
    <w:rsid w:val="59997F9C"/>
    <w:rsid w:val="599D7038"/>
    <w:rsid w:val="599E4BE5"/>
    <w:rsid w:val="59A37D5E"/>
    <w:rsid w:val="59A5070B"/>
    <w:rsid w:val="59A73AE8"/>
    <w:rsid w:val="59A82363"/>
    <w:rsid w:val="59AB08C6"/>
    <w:rsid w:val="59AC1698"/>
    <w:rsid w:val="59AD5F6F"/>
    <w:rsid w:val="59B222D8"/>
    <w:rsid w:val="59BA71AC"/>
    <w:rsid w:val="59BC1DD2"/>
    <w:rsid w:val="59BE6564"/>
    <w:rsid w:val="59C11F18"/>
    <w:rsid w:val="59C31921"/>
    <w:rsid w:val="59C40F67"/>
    <w:rsid w:val="59C424C1"/>
    <w:rsid w:val="59C522EC"/>
    <w:rsid w:val="59C807A6"/>
    <w:rsid w:val="59C82A6B"/>
    <w:rsid w:val="59C947CA"/>
    <w:rsid w:val="59C977FF"/>
    <w:rsid w:val="59CB441B"/>
    <w:rsid w:val="59D0265A"/>
    <w:rsid w:val="59D04E10"/>
    <w:rsid w:val="59D32C9E"/>
    <w:rsid w:val="59D44183"/>
    <w:rsid w:val="59D51E6C"/>
    <w:rsid w:val="59D8364F"/>
    <w:rsid w:val="59D979CB"/>
    <w:rsid w:val="59DB20E4"/>
    <w:rsid w:val="59DF4BED"/>
    <w:rsid w:val="59E22D24"/>
    <w:rsid w:val="59E30E7E"/>
    <w:rsid w:val="59E51E95"/>
    <w:rsid w:val="59E54238"/>
    <w:rsid w:val="59E74401"/>
    <w:rsid w:val="59EC5A2D"/>
    <w:rsid w:val="59ED4A50"/>
    <w:rsid w:val="59EE4A63"/>
    <w:rsid w:val="59EF2ADB"/>
    <w:rsid w:val="59F035EB"/>
    <w:rsid w:val="59F10043"/>
    <w:rsid w:val="59F22DF4"/>
    <w:rsid w:val="59F4339F"/>
    <w:rsid w:val="59F56D5B"/>
    <w:rsid w:val="59FC223D"/>
    <w:rsid w:val="59FC5FDE"/>
    <w:rsid w:val="59FF0EC6"/>
    <w:rsid w:val="5A001EE4"/>
    <w:rsid w:val="5A040AB8"/>
    <w:rsid w:val="5A04713E"/>
    <w:rsid w:val="5A063896"/>
    <w:rsid w:val="5A066E1D"/>
    <w:rsid w:val="5A094020"/>
    <w:rsid w:val="5A0C6BEB"/>
    <w:rsid w:val="5A173E1D"/>
    <w:rsid w:val="5A185799"/>
    <w:rsid w:val="5A201171"/>
    <w:rsid w:val="5A2450EA"/>
    <w:rsid w:val="5A253502"/>
    <w:rsid w:val="5A292D04"/>
    <w:rsid w:val="5A315A59"/>
    <w:rsid w:val="5A360E14"/>
    <w:rsid w:val="5A371615"/>
    <w:rsid w:val="5A396072"/>
    <w:rsid w:val="5A3A5E82"/>
    <w:rsid w:val="5A3F40DC"/>
    <w:rsid w:val="5A457D98"/>
    <w:rsid w:val="5A480393"/>
    <w:rsid w:val="5A4912B6"/>
    <w:rsid w:val="5A49198F"/>
    <w:rsid w:val="5A497BA8"/>
    <w:rsid w:val="5A503DF4"/>
    <w:rsid w:val="5A503E14"/>
    <w:rsid w:val="5A527EA2"/>
    <w:rsid w:val="5A544D38"/>
    <w:rsid w:val="5A552C2F"/>
    <w:rsid w:val="5A575467"/>
    <w:rsid w:val="5A58128B"/>
    <w:rsid w:val="5A5E0A8E"/>
    <w:rsid w:val="5A5F0C3F"/>
    <w:rsid w:val="5A5F16B6"/>
    <w:rsid w:val="5A62339F"/>
    <w:rsid w:val="5A6311BC"/>
    <w:rsid w:val="5A6653CA"/>
    <w:rsid w:val="5A6B3445"/>
    <w:rsid w:val="5A6C00DB"/>
    <w:rsid w:val="5A6C6925"/>
    <w:rsid w:val="5A72202A"/>
    <w:rsid w:val="5A737D05"/>
    <w:rsid w:val="5A757545"/>
    <w:rsid w:val="5A796FCF"/>
    <w:rsid w:val="5A7D0A71"/>
    <w:rsid w:val="5A7F251C"/>
    <w:rsid w:val="5A7F297F"/>
    <w:rsid w:val="5A804F0B"/>
    <w:rsid w:val="5A865A92"/>
    <w:rsid w:val="5A865DA5"/>
    <w:rsid w:val="5A870E04"/>
    <w:rsid w:val="5A8B20D1"/>
    <w:rsid w:val="5A8F2A0E"/>
    <w:rsid w:val="5A8F76B7"/>
    <w:rsid w:val="5A906702"/>
    <w:rsid w:val="5A9472E4"/>
    <w:rsid w:val="5A990AB3"/>
    <w:rsid w:val="5A9929E8"/>
    <w:rsid w:val="5A9F021A"/>
    <w:rsid w:val="5AA40F42"/>
    <w:rsid w:val="5AA64564"/>
    <w:rsid w:val="5AAC25AA"/>
    <w:rsid w:val="5AAE293A"/>
    <w:rsid w:val="5AAE2F66"/>
    <w:rsid w:val="5AB87373"/>
    <w:rsid w:val="5AB92BDA"/>
    <w:rsid w:val="5ABA1121"/>
    <w:rsid w:val="5ABE2E45"/>
    <w:rsid w:val="5AC5414D"/>
    <w:rsid w:val="5AC62645"/>
    <w:rsid w:val="5ACA0796"/>
    <w:rsid w:val="5ACA3C5E"/>
    <w:rsid w:val="5ACD5782"/>
    <w:rsid w:val="5AD1000A"/>
    <w:rsid w:val="5ADD4BD7"/>
    <w:rsid w:val="5AE7290C"/>
    <w:rsid w:val="5AED45FF"/>
    <w:rsid w:val="5AEE008F"/>
    <w:rsid w:val="5AEE61C5"/>
    <w:rsid w:val="5AF54891"/>
    <w:rsid w:val="5AFA6E64"/>
    <w:rsid w:val="5AFB6A11"/>
    <w:rsid w:val="5AFB71A0"/>
    <w:rsid w:val="5AFC0697"/>
    <w:rsid w:val="5AFF5CDA"/>
    <w:rsid w:val="5B037EB8"/>
    <w:rsid w:val="5B041F38"/>
    <w:rsid w:val="5B04316E"/>
    <w:rsid w:val="5B0A553A"/>
    <w:rsid w:val="5B1017B1"/>
    <w:rsid w:val="5B120867"/>
    <w:rsid w:val="5B1478C6"/>
    <w:rsid w:val="5B153A5A"/>
    <w:rsid w:val="5B157129"/>
    <w:rsid w:val="5B160ACB"/>
    <w:rsid w:val="5B1A5ACF"/>
    <w:rsid w:val="5B1C5E7E"/>
    <w:rsid w:val="5B1C78C4"/>
    <w:rsid w:val="5B1E5E4A"/>
    <w:rsid w:val="5B2140DC"/>
    <w:rsid w:val="5B240AD2"/>
    <w:rsid w:val="5B26337C"/>
    <w:rsid w:val="5B295D3D"/>
    <w:rsid w:val="5B2A225C"/>
    <w:rsid w:val="5B2C5F8D"/>
    <w:rsid w:val="5B311CB1"/>
    <w:rsid w:val="5B315A25"/>
    <w:rsid w:val="5B3247DF"/>
    <w:rsid w:val="5B345E2C"/>
    <w:rsid w:val="5B395E6A"/>
    <w:rsid w:val="5B3E2E83"/>
    <w:rsid w:val="5B4249F8"/>
    <w:rsid w:val="5B452A60"/>
    <w:rsid w:val="5B4C636F"/>
    <w:rsid w:val="5B4F6213"/>
    <w:rsid w:val="5B50470B"/>
    <w:rsid w:val="5B5555AE"/>
    <w:rsid w:val="5B576DF3"/>
    <w:rsid w:val="5B586A33"/>
    <w:rsid w:val="5B5B701F"/>
    <w:rsid w:val="5B5E4630"/>
    <w:rsid w:val="5B5F3995"/>
    <w:rsid w:val="5B6B23C9"/>
    <w:rsid w:val="5B6F045C"/>
    <w:rsid w:val="5B721E3D"/>
    <w:rsid w:val="5B79724F"/>
    <w:rsid w:val="5B7D7376"/>
    <w:rsid w:val="5B816E8B"/>
    <w:rsid w:val="5B823D2F"/>
    <w:rsid w:val="5B833223"/>
    <w:rsid w:val="5B86522F"/>
    <w:rsid w:val="5B871801"/>
    <w:rsid w:val="5B8A4A60"/>
    <w:rsid w:val="5B8D06FE"/>
    <w:rsid w:val="5B8F2876"/>
    <w:rsid w:val="5B97487F"/>
    <w:rsid w:val="5B9B4B48"/>
    <w:rsid w:val="5B9B7F7D"/>
    <w:rsid w:val="5BA109BC"/>
    <w:rsid w:val="5BA13A5F"/>
    <w:rsid w:val="5BA51BD8"/>
    <w:rsid w:val="5BA80E5E"/>
    <w:rsid w:val="5BA931C1"/>
    <w:rsid w:val="5BAC704A"/>
    <w:rsid w:val="5BB53CC3"/>
    <w:rsid w:val="5BB54DCF"/>
    <w:rsid w:val="5BB72287"/>
    <w:rsid w:val="5BB74DAD"/>
    <w:rsid w:val="5BB771FE"/>
    <w:rsid w:val="5BB87120"/>
    <w:rsid w:val="5BBE25B6"/>
    <w:rsid w:val="5BBF1E75"/>
    <w:rsid w:val="5BC30F2C"/>
    <w:rsid w:val="5BC613E9"/>
    <w:rsid w:val="5BCA2498"/>
    <w:rsid w:val="5BCC0F2B"/>
    <w:rsid w:val="5BCC1D74"/>
    <w:rsid w:val="5BCC20FE"/>
    <w:rsid w:val="5BCE63D6"/>
    <w:rsid w:val="5BCF7326"/>
    <w:rsid w:val="5BD44B6E"/>
    <w:rsid w:val="5BE0566F"/>
    <w:rsid w:val="5BE43CDA"/>
    <w:rsid w:val="5BE70260"/>
    <w:rsid w:val="5BE865EB"/>
    <w:rsid w:val="5BEA46EF"/>
    <w:rsid w:val="5BEA623B"/>
    <w:rsid w:val="5BED59B0"/>
    <w:rsid w:val="5BEE2ECE"/>
    <w:rsid w:val="5BEE507C"/>
    <w:rsid w:val="5BF1046E"/>
    <w:rsid w:val="5BF14C3E"/>
    <w:rsid w:val="5BF45B0A"/>
    <w:rsid w:val="5BF618ED"/>
    <w:rsid w:val="5BF635EA"/>
    <w:rsid w:val="5BF7781C"/>
    <w:rsid w:val="5BF87ACE"/>
    <w:rsid w:val="5BF907F8"/>
    <w:rsid w:val="5BF9592C"/>
    <w:rsid w:val="5BFA1B11"/>
    <w:rsid w:val="5BFE0506"/>
    <w:rsid w:val="5BFE42B3"/>
    <w:rsid w:val="5BFE62B3"/>
    <w:rsid w:val="5C00385B"/>
    <w:rsid w:val="5C03044A"/>
    <w:rsid w:val="5C0441FB"/>
    <w:rsid w:val="5C0C2E62"/>
    <w:rsid w:val="5C0C6447"/>
    <w:rsid w:val="5C0F4D19"/>
    <w:rsid w:val="5C130C79"/>
    <w:rsid w:val="5C147D25"/>
    <w:rsid w:val="5C1B37CA"/>
    <w:rsid w:val="5C1E079B"/>
    <w:rsid w:val="5C215192"/>
    <w:rsid w:val="5C23293A"/>
    <w:rsid w:val="5C24410B"/>
    <w:rsid w:val="5C253952"/>
    <w:rsid w:val="5C2603C5"/>
    <w:rsid w:val="5C28240E"/>
    <w:rsid w:val="5C286009"/>
    <w:rsid w:val="5C2E697F"/>
    <w:rsid w:val="5C2F5822"/>
    <w:rsid w:val="5C2F5C52"/>
    <w:rsid w:val="5C3155B5"/>
    <w:rsid w:val="5C334D3D"/>
    <w:rsid w:val="5C384236"/>
    <w:rsid w:val="5C385132"/>
    <w:rsid w:val="5C3B5A47"/>
    <w:rsid w:val="5C3B74DB"/>
    <w:rsid w:val="5C3F65AF"/>
    <w:rsid w:val="5C4032A9"/>
    <w:rsid w:val="5C4917E5"/>
    <w:rsid w:val="5C4A098B"/>
    <w:rsid w:val="5C4D2B08"/>
    <w:rsid w:val="5C517C55"/>
    <w:rsid w:val="5C540540"/>
    <w:rsid w:val="5C577C82"/>
    <w:rsid w:val="5C593F34"/>
    <w:rsid w:val="5C5C302B"/>
    <w:rsid w:val="5C61539B"/>
    <w:rsid w:val="5C6308D2"/>
    <w:rsid w:val="5C642C52"/>
    <w:rsid w:val="5C661D13"/>
    <w:rsid w:val="5C665A65"/>
    <w:rsid w:val="5C6744B7"/>
    <w:rsid w:val="5C6D51F4"/>
    <w:rsid w:val="5C6E02ED"/>
    <w:rsid w:val="5C6E7921"/>
    <w:rsid w:val="5C6F3B6F"/>
    <w:rsid w:val="5C702DE4"/>
    <w:rsid w:val="5C704D5E"/>
    <w:rsid w:val="5C7165E1"/>
    <w:rsid w:val="5C763BF7"/>
    <w:rsid w:val="5C7A5F7C"/>
    <w:rsid w:val="5C7B6722"/>
    <w:rsid w:val="5C7F454B"/>
    <w:rsid w:val="5C805A22"/>
    <w:rsid w:val="5C813191"/>
    <w:rsid w:val="5C8360D9"/>
    <w:rsid w:val="5C861A51"/>
    <w:rsid w:val="5C891119"/>
    <w:rsid w:val="5C893CE9"/>
    <w:rsid w:val="5C95304B"/>
    <w:rsid w:val="5C9E112F"/>
    <w:rsid w:val="5CA35762"/>
    <w:rsid w:val="5CA37DC7"/>
    <w:rsid w:val="5CA4379A"/>
    <w:rsid w:val="5CA65722"/>
    <w:rsid w:val="5CA97AEC"/>
    <w:rsid w:val="5CAE4C4B"/>
    <w:rsid w:val="5CAE5FFB"/>
    <w:rsid w:val="5CAE7B60"/>
    <w:rsid w:val="5CAF3DCF"/>
    <w:rsid w:val="5CB22FB1"/>
    <w:rsid w:val="5CB24416"/>
    <w:rsid w:val="5CB309A7"/>
    <w:rsid w:val="5CB44D6D"/>
    <w:rsid w:val="5CBE2E26"/>
    <w:rsid w:val="5CBF29C3"/>
    <w:rsid w:val="5CC114B9"/>
    <w:rsid w:val="5CC4662C"/>
    <w:rsid w:val="5CC86BA8"/>
    <w:rsid w:val="5CCB05EF"/>
    <w:rsid w:val="5CCB5CF1"/>
    <w:rsid w:val="5CCD6079"/>
    <w:rsid w:val="5CCE13AD"/>
    <w:rsid w:val="5CD23A79"/>
    <w:rsid w:val="5CD31E0A"/>
    <w:rsid w:val="5CD67CC9"/>
    <w:rsid w:val="5CD74C87"/>
    <w:rsid w:val="5CDA2C87"/>
    <w:rsid w:val="5CDB0FC7"/>
    <w:rsid w:val="5CDB505D"/>
    <w:rsid w:val="5CDD488F"/>
    <w:rsid w:val="5CDF3436"/>
    <w:rsid w:val="5CE37E74"/>
    <w:rsid w:val="5CE648D9"/>
    <w:rsid w:val="5CE966D7"/>
    <w:rsid w:val="5CEB61C9"/>
    <w:rsid w:val="5CEB6695"/>
    <w:rsid w:val="5CF0745A"/>
    <w:rsid w:val="5CF32E71"/>
    <w:rsid w:val="5CF3416B"/>
    <w:rsid w:val="5CF722B4"/>
    <w:rsid w:val="5CF74D38"/>
    <w:rsid w:val="5CF87C7A"/>
    <w:rsid w:val="5CFA350C"/>
    <w:rsid w:val="5CFB2497"/>
    <w:rsid w:val="5CFC327E"/>
    <w:rsid w:val="5CFD4515"/>
    <w:rsid w:val="5CFE49A6"/>
    <w:rsid w:val="5D020C12"/>
    <w:rsid w:val="5D021DA8"/>
    <w:rsid w:val="5D0546C0"/>
    <w:rsid w:val="5D083620"/>
    <w:rsid w:val="5D0D3759"/>
    <w:rsid w:val="5D1836E2"/>
    <w:rsid w:val="5D1B139C"/>
    <w:rsid w:val="5D1D51DF"/>
    <w:rsid w:val="5D1E30BD"/>
    <w:rsid w:val="5D247DBF"/>
    <w:rsid w:val="5D265730"/>
    <w:rsid w:val="5D28579A"/>
    <w:rsid w:val="5D2A6697"/>
    <w:rsid w:val="5D324D53"/>
    <w:rsid w:val="5D3441CE"/>
    <w:rsid w:val="5D375FE1"/>
    <w:rsid w:val="5D396270"/>
    <w:rsid w:val="5D3E149F"/>
    <w:rsid w:val="5D426176"/>
    <w:rsid w:val="5D522E26"/>
    <w:rsid w:val="5D5630BB"/>
    <w:rsid w:val="5D564F1A"/>
    <w:rsid w:val="5D573A29"/>
    <w:rsid w:val="5D593244"/>
    <w:rsid w:val="5D5B7EFD"/>
    <w:rsid w:val="5D5E00BE"/>
    <w:rsid w:val="5D610403"/>
    <w:rsid w:val="5D631BF8"/>
    <w:rsid w:val="5D641CA2"/>
    <w:rsid w:val="5D663697"/>
    <w:rsid w:val="5D6761A3"/>
    <w:rsid w:val="5D711989"/>
    <w:rsid w:val="5D715060"/>
    <w:rsid w:val="5D7260E9"/>
    <w:rsid w:val="5D764528"/>
    <w:rsid w:val="5D771436"/>
    <w:rsid w:val="5D7D1757"/>
    <w:rsid w:val="5D7F1D9A"/>
    <w:rsid w:val="5D821BBA"/>
    <w:rsid w:val="5D8331B0"/>
    <w:rsid w:val="5D833B39"/>
    <w:rsid w:val="5D8A0C9C"/>
    <w:rsid w:val="5D8B3FBF"/>
    <w:rsid w:val="5D8C6183"/>
    <w:rsid w:val="5D8D4C1F"/>
    <w:rsid w:val="5D8D7B1F"/>
    <w:rsid w:val="5D921148"/>
    <w:rsid w:val="5D935A84"/>
    <w:rsid w:val="5D9D6A39"/>
    <w:rsid w:val="5D9E2989"/>
    <w:rsid w:val="5DA07BBF"/>
    <w:rsid w:val="5DAF144F"/>
    <w:rsid w:val="5DB01627"/>
    <w:rsid w:val="5DB104FF"/>
    <w:rsid w:val="5DB324CA"/>
    <w:rsid w:val="5DB671BA"/>
    <w:rsid w:val="5DB8226D"/>
    <w:rsid w:val="5DB87B3F"/>
    <w:rsid w:val="5DBC0969"/>
    <w:rsid w:val="5DBC5524"/>
    <w:rsid w:val="5DBF3D1C"/>
    <w:rsid w:val="5DBF57D6"/>
    <w:rsid w:val="5DC6721C"/>
    <w:rsid w:val="5DC76DB3"/>
    <w:rsid w:val="5DCB0BC0"/>
    <w:rsid w:val="5DCB3073"/>
    <w:rsid w:val="5DCB3A83"/>
    <w:rsid w:val="5DCB5E0B"/>
    <w:rsid w:val="5DCD658A"/>
    <w:rsid w:val="5DD25F5E"/>
    <w:rsid w:val="5DD4544E"/>
    <w:rsid w:val="5DD6261F"/>
    <w:rsid w:val="5DD82146"/>
    <w:rsid w:val="5DE5640D"/>
    <w:rsid w:val="5DE71962"/>
    <w:rsid w:val="5DEB4806"/>
    <w:rsid w:val="5DEC5BE3"/>
    <w:rsid w:val="5DF0057B"/>
    <w:rsid w:val="5DF53122"/>
    <w:rsid w:val="5DF60CD4"/>
    <w:rsid w:val="5DF64961"/>
    <w:rsid w:val="5DF72158"/>
    <w:rsid w:val="5DF9535F"/>
    <w:rsid w:val="5DFA7DCE"/>
    <w:rsid w:val="5DFD3578"/>
    <w:rsid w:val="5E007E70"/>
    <w:rsid w:val="5E014D34"/>
    <w:rsid w:val="5E0654DA"/>
    <w:rsid w:val="5E0F09D1"/>
    <w:rsid w:val="5E1015A3"/>
    <w:rsid w:val="5E122D1C"/>
    <w:rsid w:val="5E1251CA"/>
    <w:rsid w:val="5E153EDA"/>
    <w:rsid w:val="5E153F47"/>
    <w:rsid w:val="5E166335"/>
    <w:rsid w:val="5E197373"/>
    <w:rsid w:val="5E24505E"/>
    <w:rsid w:val="5E260754"/>
    <w:rsid w:val="5E272E70"/>
    <w:rsid w:val="5E276E97"/>
    <w:rsid w:val="5E343176"/>
    <w:rsid w:val="5E350391"/>
    <w:rsid w:val="5E3873B6"/>
    <w:rsid w:val="5E3C23CB"/>
    <w:rsid w:val="5E40485E"/>
    <w:rsid w:val="5E465F6C"/>
    <w:rsid w:val="5E4C328D"/>
    <w:rsid w:val="5E522324"/>
    <w:rsid w:val="5E547CF9"/>
    <w:rsid w:val="5E5578DF"/>
    <w:rsid w:val="5E571452"/>
    <w:rsid w:val="5E590B12"/>
    <w:rsid w:val="5E590DB0"/>
    <w:rsid w:val="5E5F29CC"/>
    <w:rsid w:val="5E615CF9"/>
    <w:rsid w:val="5E6942FA"/>
    <w:rsid w:val="5E6B3FB5"/>
    <w:rsid w:val="5E6C197B"/>
    <w:rsid w:val="5E6C78AD"/>
    <w:rsid w:val="5E7200C7"/>
    <w:rsid w:val="5E733F54"/>
    <w:rsid w:val="5E79177D"/>
    <w:rsid w:val="5E7D487F"/>
    <w:rsid w:val="5E7F4927"/>
    <w:rsid w:val="5E813FC2"/>
    <w:rsid w:val="5E842047"/>
    <w:rsid w:val="5E846E07"/>
    <w:rsid w:val="5E8819C0"/>
    <w:rsid w:val="5E8B2C1C"/>
    <w:rsid w:val="5E8D2FA7"/>
    <w:rsid w:val="5E911BCF"/>
    <w:rsid w:val="5E91760B"/>
    <w:rsid w:val="5E920DD9"/>
    <w:rsid w:val="5E9749CE"/>
    <w:rsid w:val="5E9D0C44"/>
    <w:rsid w:val="5E9E787A"/>
    <w:rsid w:val="5EA749A6"/>
    <w:rsid w:val="5EA9747A"/>
    <w:rsid w:val="5EAA1862"/>
    <w:rsid w:val="5EAB107C"/>
    <w:rsid w:val="5EAB7A6C"/>
    <w:rsid w:val="5EAE71FB"/>
    <w:rsid w:val="5EAF0662"/>
    <w:rsid w:val="5EB037F3"/>
    <w:rsid w:val="5EB42E97"/>
    <w:rsid w:val="5EB45D13"/>
    <w:rsid w:val="5EB70D45"/>
    <w:rsid w:val="5EB827D5"/>
    <w:rsid w:val="5EB94450"/>
    <w:rsid w:val="5EB94A36"/>
    <w:rsid w:val="5EBA03BF"/>
    <w:rsid w:val="5EC24374"/>
    <w:rsid w:val="5EC53ADD"/>
    <w:rsid w:val="5EC54E79"/>
    <w:rsid w:val="5EC72E46"/>
    <w:rsid w:val="5EC82920"/>
    <w:rsid w:val="5ECE37B2"/>
    <w:rsid w:val="5ECE3876"/>
    <w:rsid w:val="5ED13B84"/>
    <w:rsid w:val="5ED2016D"/>
    <w:rsid w:val="5ED6607C"/>
    <w:rsid w:val="5ED83C4B"/>
    <w:rsid w:val="5EDB352A"/>
    <w:rsid w:val="5EE40323"/>
    <w:rsid w:val="5EE935FC"/>
    <w:rsid w:val="5EF02F98"/>
    <w:rsid w:val="5EF42AA8"/>
    <w:rsid w:val="5EF46039"/>
    <w:rsid w:val="5EF602A9"/>
    <w:rsid w:val="5F011C2B"/>
    <w:rsid w:val="5F013C4C"/>
    <w:rsid w:val="5F067D65"/>
    <w:rsid w:val="5F0726CC"/>
    <w:rsid w:val="5F094EE1"/>
    <w:rsid w:val="5F0A632E"/>
    <w:rsid w:val="5F0A6961"/>
    <w:rsid w:val="5F0C5646"/>
    <w:rsid w:val="5F0E064D"/>
    <w:rsid w:val="5F0F48E6"/>
    <w:rsid w:val="5F133388"/>
    <w:rsid w:val="5F14079E"/>
    <w:rsid w:val="5F1B2FA7"/>
    <w:rsid w:val="5F1B5057"/>
    <w:rsid w:val="5F1D4CC3"/>
    <w:rsid w:val="5F1E7A2E"/>
    <w:rsid w:val="5F1F0305"/>
    <w:rsid w:val="5F1F2324"/>
    <w:rsid w:val="5F213E3B"/>
    <w:rsid w:val="5F224A74"/>
    <w:rsid w:val="5F226D7F"/>
    <w:rsid w:val="5F2913F5"/>
    <w:rsid w:val="5F2B3C00"/>
    <w:rsid w:val="5F2D1078"/>
    <w:rsid w:val="5F2E044E"/>
    <w:rsid w:val="5F2E347F"/>
    <w:rsid w:val="5F2F5BFC"/>
    <w:rsid w:val="5F314D24"/>
    <w:rsid w:val="5F3543B4"/>
    <w:rsid w:val="5F3853D1"/>
    <w:rsid w:val="5F3B530E"/>
    <w:rsid w:val="5F410DB8"/>
    <w:rsid w:val="5F4252C2"/>
    <w:rsid w:val="5F45504E"/>
    <w:rsid w:val="5F486CFA"/>
    <w:rsid w:val="5F4B4F03"/>
    <w:rsid w:val="5F4C1C5B"/>
    <w:rsid w:val="5F500E16"/>
    <w:rsid w:val="5F510D33"/>
    <w:rsid w:val="5F540631"/>
    <w:rsid w:val="5F544EC5"/>
    <w:rsid w:val="5F580348"/>
    <w:rsid w:val="5F587009"/>
    <w:rsid w:val="5F5B5406"/>
    <w:rsid w:val="5F60236F"/>
    <w:rsid w:val="5F61145F"/>
    <w:rsid w:val="5F640C49"/>
    <w:rsid w:val="5F681F1D"/>
    <w:rsid w:val="5F685E6B"/>
    <w:rsid w:val="5F6B361D"/>
    <w:rsid w:val="5F6C0D00"/>
    <w:rsid w:val="5F6C1746"/>
    <w:rsid w:val="5F6D7F9B"/>
    <w:rsid w:val="5F6E607C"/>
    <w:rsid w:val="5F703B52"/>
    <w:rsid w:val="5F7071CA"/>
    <w:rsid w:val="5F753ABB"/>
    <w:rsid w:val="5F790C0F"/>
    <w:rsid w:val="5F79383A"/>
    <w:rsid w:val="5F8261BE"/>
    <w:rsid w:val="5F830D22"/>
    <w:rsid w:val="5F86603F"/>
    <w:rsid w:val="5F8B116D"/>
    <w:rsid w:val="5F8C7182"/>
    <w:rsid w:val="5F8F4C49"/>
    <w:rsid w:val="5F9A4EC6"/>
    <w:rsid w:val="5F9D66AA"/>
    <w:rsid w:val="5F9E76ED"/>
    <w:rsid w:val="5FA00073"/>
    <w:rsid w:val="5FA05A73"/>
    <w:rsid w:val="5FA232FA"/>
    <w:rsid w:val="5FA74D31"/>
    <w:rsid w:val="5FAA7C6F"/>
    <w:rsid w:val="5FAF36A8"/>
    <w:rsid w:val="5FB14795"/>
    <w:rsid w:val="5FB26929"/>
    <w:rsid w:val="5FB42312"/>
    <w:rsid w:val="5FB72D03"/>
    <w:rsid w:val="5FBA204D"/>
    <w:rsid w:val="5FC06FB3"/>
    <w:rsid w:val="5FC23405"/>
    <w:rsid w:val="5FC35BCC"/>
    <w:rsid w:val="5FC972D9"/>
    <w:rsid w:val="5FCB5EB9"/>
    <w:rsid w:val="5FCD0DEA"/>
    <w:rsid w:val="5FD04F36"/>
    <w:rsid w:val="5FD15ECD"/>
    <w:rsid w:val="5FD259F9"/>
    <w:rsid w:val="5FD338BA"/>
    <w:rsid w:val="5FD73531"/>
    <w:rsid w:val="5FD845D1"/>
    <w:rsid w:val="5FDC6039"/>
    <w:rsid w:val="5FDC788C"/>
    <w:rsid w:val="5FDD6D3D"/>
    <w:rsid w:val="5FDF7124"/>
    <w:rsid w:val="5FE7608D"/>
    <w:rsid w:val="5FE85B6D"/>
    <w:rsid w:val="5FEA1F78"/>
    <w:rsid w:val="5FF6182B"/>
    <w:rsid w:val="5FF778FC"/>
    <w:rsid w:val="5FFE5079"/>
    <w:rsid w:val="5FFE5FB8"/>
    <w:rsid w:val="600310B9"/>
    <w:rsid w:val="600D03CE"/>
    <w:rsid w:val="600F029F"/>
    <w:rsid w:val="60102FF2"/>
    <w:rsid w:val="60163727"/>
    <w:rsid w:val="601841A2"/>
    <w:rsid w:val="60224035"/>
    <w:rsid w:val="6022573E"/>
    <w:rsid w:val="60263930"/>
    <w:rsid w:val="60265228"/>
    <w:rsid w:val="60295233"/>
    <w:rsid w:val="602B00D4"/>
    <w:rsid w:val="602F217A"/>
    <w:rsid w:val="602F2258"/>
    <w:rsid w:val="60303049"/>
    <w:rsid w:val="603464A0"/>
    <w:rsid w:val="60357CDF"/>
    <w:rsid w:val="60384EC8"/>
    <w:rsid w:val="60391CA9"/>
    <w:rsid w:val="603B26AB"/>
    <w:rsid w:val="603E59E8"/>
    <w:rsid w:val="603F4278"/>
    <w:rsid w:val="60407744"/>
    <w:rsid w:val="60417DEB"/>
    <w:rsid w:val="60457440"/>
    <w:rsid w:val="60473FA7"/>
    <w:rsid w:val="604837CF"/>
    <w:rsid w:val="604B5081"/>
    <w:rsid w:val="604D5183"/>
    <w:rsid w:val="604D74B2"/>
    <w:rsid w:val="6052146D"/>
    <w:rsid w:val="60526016"/>
    <w:rsid w:val="60527608"/>
    <w:rsid w:val="60546313"/>
    <w:rsid w:val="60554D01"/>
    <w:rsid w:val="6055501A"/>
    <w:rsid w:val="60557E94"/>
    <w:rsid w:val="60562031"/>
    <w:rsid w:val="60563641"/>
    <w:rsid w:val="605723FE"/>
    <w:rsid w:val="605A0A19"/>
    <w:rsid w:val="605C0CAA"/>
    <w:rsid w:val="605D641F"/>
    <w:rsid w:val="60601FDE"/>
    <w:rsid w:val="60614ADD"/>
    <w:rsid w:val="606326E4"/>
    <w:rsid w:val="606534F3"/>
    <w:rsid w:val="60682F2D"/>
    <w:rsid w:val="60697CAB"/>
    <w:rsid w:val="606C12D8"/>
    <w:rsid w:val="607320DD"/>
    <w:rsid w:val="60787CC6"/>
    <w:rsid w:val="60794EFA"/>
    <w:rsid w:val="607C4475"/>
    <w:rsid w:val="607C6712"/>
    <w:rsid w:val="6081336F"/>
    <w:rsid w:val="60813DAD"/>
    <w:rsid w:val="608640C7"/>
    <w:rsid w:val="608B6200"/>
    <w:rsid w:val="608C11B6"/>
    <w:rsid w:val="608E7F63"/>
    <w:rsid w:val="609746D5"/>
    <w:rsid w:val="609E13F3"/>
    <w:rsid w:val="60A26796"/>
    <w:rsid w:val="60A32AE1"/>
    <w:rsid w:val="60AD14F1"/>
    <w:rsid w:val="60AD62CC"/>
    <w:rsid w:val="60AE5373"/>
    <w:rsid w:val="60B03269"/>
    <w:rsid w:val="60B0455A"/>
    <w:rsid w:val="60B5245E"/>
    <w:rsid w:val="60B715C8"/>
    <w:rsid w:val="60B975A7"/>
    <w:rsid w:val="60BA16B8"/>
    <w:rsid w:val="60BA4572"/>
    <w:rsid w:val="60BC4720"/>
    <w:rsid w:val="60BF187B"/>
    <w:rsid w:val="60BF3EDE"/>
    <w:rsid w:val="60CB0C4F"/>
    <w:rsid w:val="60CB3F45"/>
    <w:rsid w:val="60CD31BF"/>
    <w:rsid w:val="60CD6996"/>
    <w:rsid w:val="60CF1AFD"/>
    <w:rsid w:val="60D10038"/>
    <w:rsid w:val="60D14B17"/>
    <w:rsid w:val="60D15D31"/>
    <w:rsid w:val="60D27D9B"/>
    <w:rsid w:val="60D70105"/>
    <w:rsid w:val="60D85290"/>
    <w:rsid w:val="60DC666B"/>
    <w:rsid w:val="60DC6B40"/>
    <w:rsid w:val="60DD2F84"/>
    <w:rsid w:val="60DD4245"/>
    <w:rsid w:val="60DF6465"/>
    <w:rsid w:val="60DF6ADA"/>
    <w:rsid w:val="60E2490D"/>
    <w:rsid w:val="60E455D3"/>
    <w:rsid w:val="60E5134B"/>
    <w:rsid w:val="60E667AB"/>
    <w:rsid w:val="60E7004C"/>
    <w:rsid w:val="60EC56CE"/>
    <w:rsid w:val="60EE100D"/>
    <w:rsid w:val="60EE3E99"/>
    <w:rsid w:val="60F1255B"/>
    <w:rsid w:val="60F902F1"/>
    <w:rsid w:val="61000435"/>
    <w:rsid w:val="61036331"/>
    <w:rsid w:val="610405B8"/>
    <w:rsid w:val="61056465"/>
    <w:rsid w:val="610A162D"/>
    <w:rsid w:val="610D6258"/>
    <w:rsid w:val="610E50CF"/>
    <w:rsid w:val="6113099A"/>
    <w:rsid w:val="61152283"/>
    <w:rsid w:val="61152E2E"/>
    <w:rsid w:val="61156038"/>
    <w:rsid w:val="611F3693"/>
    <w:rsid w:val="61207F9A"/>
    <w:rsid w:val="61214A26"/>
    <w:rsid w:val="61232D1B"/>
    <w:rsid w:val="61235EB8"/>
    <w:rsid w:val="61242904"/>
    <w:rsid w:val="61255CCC"/>
    <w:rsid w:val="6128188D"/>
    <w:rsid w:val="61291022"/>
    <w:rsid w:val="612D1F8E"/>
    <w:rsid w:val="612E3913"/>
    <w:rsid w:val="612E51DD"/>
    <w:rsid w:val="61332D71"/>
    <w:rsid w:val="613476E0"/>
    <w:rsid w:val="6136745C"/>
    <w:rsid w:val="613D50E4"/>
    <w:rsid w:val="613D6A10"/>
    <w:rsid w:val="613E225F"/>
    <w:rsid w:val="613E2994"/>
    <w:rsid w:val="61442F51"/>
    <w:rsid w:val="61447E20"/>
    <w:rsid w:val="61455A57"/>
    <w:rsid w:val="614750A1"/>
    <w:rsid w:val="61493688"/>
    <w:rsid w:val="614B51C3"/>
    <w:rsid w:val="614B662B"/>
    <w:rsid w:val="614E1056"/>
    <w:rsid w:val="614F17BD"/>
    <w:rsid w:val="614F442B"/>
    <w:rsid w:val="61543D8E"/>
    <w:rsid w:val="61551667"/>
    <w:rsid w:val="615656CC"/>
    <w:rsid w:val="61583890"/>
    <w:rsid w:val="615914B0"/>
    <w:rsid w:val="615B04EA"/>
    <w:rsid w:val="61621A68"/>
    <w:rsid w:val="61636509"/>
    <w:rsid w:val="61667A0C"/>
    <w:rsid w:val="6169534D"/>
    <w:rsid w:val="61697404"/>
    <w:rsid w:val="616A0468"/>
    <w:rsid w:val="616A6A54"/>
    <w:rsid w:val="616B2B7B"/>
    <w:rsid w:val="616F5870"/>
    <w:rsid w:val="61717B03"/>
    <w:rsid w:val="61721D83"/>
    <w:rsid w:val="61736AD3"/>
    <w:rsid w:val="61750BBE"/>
    <w:rsid w:val="61755D08"/>
    <w:rsid w:val="617946B7"/>
    <w:rsid w:val="617A153A"/>
    <w:rsid w:val="617E6773"/>
    <w:rsid w:val="61800291"/>
    <w:rsid w:val="61856EFD"/>
    <w:rsid w:val="618E4412"/>
    <w:rsid w:val="61914D61"/>
    <w:rsid w:val="619A5E1C"/>
    <w:rsid w:val="619B2470"/>
    <w:rsid w:val="619B6BFC"/>
    <w:rsid w:val="619C1E94"/>
    <w:rsid w:val="619E73A5"/>
    <w:rsid w:val="619F599E"/>
    <w:rsid w:val="619F7775"/>
    <w:rsid w:val="61A12EDF"/>
    <w:rsid w:val="61A151CF"/>
    <w:rsid w:val="61A40AB6"/>
    <w:rsid w:val="61AD1BA1"/>
    <w:rsid w:val="61AE54CE"/>
    <w:rsid w:val="61B12FBB"/>
    <w:rsid w:val="61B301C0"/>
    <w:rsid w:val="61B3596D"/>
    <w:rsid w:val="61B65297"/>
    <w:rsid w:val="61B82B4E"/>
    <w:rsid w:val="61B9258E"/>
    <w:rsid w:val="61BB129B"/>
    <w:rsid w:val="61BC2B74"/>
    <w:rsid w:val="61BC5EB6"/>
    <w:rsid w:val="61C100D1"/>
    <w:rsid w:val="61C13BC2"/>
    <w:rsid w:val="61C176C2"/>
    <w:rsid w:val="61C96577"/>
    <w:rsid w:val="61CA03E4"/>
    <w:rsid w:val="61CC6D7B"/>
    <w:rsid w:val="61CC7529"/>
    <w:rsid w:val="61CF63F3"/>
    <w:rsid w:val="61D10E1F"/>
    <w:rsid w:val="61D205F4"/>
    <w:rsid w:val="61D770D4"/>
    <w:rsid w:val="61D92C97"/>
    <w:rsid w:val="61DC4AB9"/>
    <w:rsid w:val="61DE5EDD"/>
    <w:rsid w:val="61DF2EE7"/>
    <w:rsid w:val="61E46C9A"/>
    <w:rsid w:val="61E575AD"/>
    <w:rsid w:val="61E97715"/>
    <w:rsid w:val="61EC296B"/>
    <w:rsid w:val="61EC5A29"/>
    <w:rsid w:val="61F0010E"/>
    <w:rsid w:val="61F061FA"/>
    <w:rsid w:val="61F06EAF"/>
    <w:rsid w:val="61F11509"/>
    <w:rsid w:val="61F270A1"/>
    <w:rsid w:val="61FD0FD9"/>
    <w:rsid w:val="61FD79F9"/>
    <w:rsid w:val="61FF3248"/>
    <w:rsid w:val="62012652"/>
    <w:rsid w:val="62111F76"/>
    <w:rsid w:val="621164BE"/>
    <w:rsid w:val="62121B9F"/>
    <w:rsid w:val="6213536D"/>
    <w:rsid w:val="62136B46"/>
    <w:rsid w:val="62166E82"/>
    <w:rsid w:val="62172ED0"/>
    <w:rsid w:val="6217398D"/>
    <w:rsid w:val="621810B5"/>
    <w:rsid w:val="621A6523"/>
    <w:rsid w:val="621B3354"/>
    <w:rsid w:val="621D6631"/>
    <w:rsid w:val="622223DD"/>
    <w:rsid w:val="62234110"/>
    <w:rsid w:val="62266C8F"/>
    <w:rsid w:val="62281AAE"/>
    <w:rsid w:val="622D2E80"/>
    <w:rsid w:val="622E7601"/>
    <w:rsid w:val="622F77F4"/>
    <w:rsid w:val="6232376D"/>
    <w:rsid w:val="62326C70"/>
    <w:rsid w:val="62327D00"/>
    <w:rsid w:val="623368B4"/>
    <w:rsid w:val="62345AE0"/>
    <w:rsid w:val="62355886"/>
    <w:rsid w:val="623611EB"/>
    <w:rsid w:val="62377985"/>
    <w:rsid w:val="623818BE"/>
    <w:rsid w:val="623877E3"/>
    <w:rsid w:val="623B0843"/>
    <w:rsid w:val="623B1B1B"/>
    <w:rsid w:val="623C78A9"/>
    <w:rsid w:val="623F3D94"/>
    <w:rsid w:val="624233B2"/>
    <w:rsid w:val="624243AC"/>
    <w:rsid w:val="62435967"/>
    <w:rsid w:val="62465639"/>
    <w:rsid w:val="624C1C13"/>
    <w:rsid w:val="624D6C96"/>
    <w:rsid w:val="624E1D8C"/>
    <w:rsid w:val="624E6E00"/>
    <w:rsid w:val="62507412"/>
    <w:rsid w:val="62512606"/>
    <w:rsid w:val="62514E5B"/>
    <w:rsid w:val="62535233"/>
    <w:rsid w:val="62563BD7"/>
    <w:rsid w:val="6258068B"/>
    <w:rsid w:val="6258766E"/>
    <w:rsid w:val="625B4411"/>
    <w:rsid w:val="625B7B17"/>
    <w:rsid w:val="625E003D"/>
    <w:rsid w:val="62611035"/>
    <w:rsid w:val="626349AF"/>
    <w:rsid w:val="626C4A76"/>
    <w:rsid w:val="626E3E68"/>
    <w:rsid w:val="626E46FF"/>
    <w:rsid w:val="626E692A"/>
    <w:rsid w:val="6270755D"/>
    <w:rsid w:val="62753385"/>
    <w:rsid w:val="627574A7"/>
    <w:rsid w:val="62772719"/>
    <w:rsid w:val="627802FC"/>
    <w:rsid w:val="62785672"/>
    <w:rsid w:val="627B5F73"/>
    <w:rsid w:val="627D5728"/>
    <w:rsid w:val="627D689B"/>
    <w:rsid w:val="627E1E58"/>
    <w:rsid w:val="627E206E"/>
    <w:rsid w:val="628506F0"/>
    <w:rsid w:val="6287244C"/>
    <w:rsid w:val="628770E5"/>
    <w:rsid w:val="62896A91"/>
    <w:rsid w:val="628A03FC"/>
    <w:rsid w:val="628B00A2"/>
    <w:rsid w:val="628C09C7"/>
    <w:rsid w:val="628F40DF"/>
    <w:rsid w:val="62920AB4"/>
    <w:rsid w:val="6292476C"/>
    <w:rsid w:val="629534DC"/>
    <w:rsid w:val="629771C2"/>
    <w:rsid w:val="629E1335"/>
    <w:rsid w:val="629F013B"/>
    <w:rsid w:val="629F60B9"/>
    <w:rsid w:val="62A41849"/>
    <w:rsid w:val="62A42D9E"/>
    <w:rsid w:val="62AA773C"/>
    <w:rsid w:val="62AB2F53"/>
    <w:rsid w:val="62AB5E2A"/>
    <w:rsid w:val="62AD76D9"/>
    <w:rsid w:val="62B01A05"/>
    <w:rsid w:val="62B25993"/>
    <w:rsid w:val="62B33B9F"/>
    <w:rsid w:val="62B40FD5"/>
    <w:rsid w:val="62B843CD"/>
    <w:rsid w:val="62B852EE"/>
    <w:rsid w:val="62BA7203"/>
    <w:rsid w:val="62BF00E5"/>
    <w:rsid w:val="62C2363F"/>
    <w:rsid w:val="62C42780"/>
    <w:rsid w:val="62C6537F"/>
    <w:rsid w:val="62C86052"/>
    <w:rsid w:val="62CD5D42"/>
    <w:rsid w:val="62CE33E4"/>
    <w:rsid w:val="62D03E02"/>
    <w:rsid w:val="62D83C1B"/>
    <w:rsid w:val="62D91866"/>
    <w:rsid w:val="62DD677E"/>
    <w:rsid w:val="62E44CD0"/>
    <w:rsid w:val="62E902AE"/>
    <w:rsid w:val="62EC366C"/>
    <w:rsid w:val="62EE33A5"/>
    <w:rsid w:val="62FB5DD5"/>
    <w:rsid w:val="62FD7408"/>
    <w:rsid w:val="63015F73"/>
    <w:rsid w:val="630336B9"/>
    <w:rsid w:val="63040006"/>
    <w:rsid w:val="631061C0"/>
    <w:rsid w:val="63112EC5"/>
    <w:rsid w:val="631458E7"/>
    <w:rsid w:val="63157E35"/>
    <w:rsid w:val="6318066B"/>
    <w:rsid w:val="631C2DE5"/>
    <w:rsid w:val="6321472B"/>
    <w:rsid w:val="632273B0"/>
    <w:rsid w:val="63281CF2"/>
    <w:rsid w:val="632C317C"/>
    <w:rsid w:val="633050B1"/>
    <w:rsid w:val="633B2068"/>
    <w:rsid w:val="633C5EC4"/>
    <w:rsid w:val="633F12CF"/>
    <w:rsid w:val="63464D2B"/>
    <w:rsid w:val="6348715F"/>
    <w:rsid w:val="634C4666"/>
    <w:rsid w:val="634C500F"/>
    <w:rsid w:val="634D5141"/>
    <w:rsid w:val="634E6ED0"/>
    <w:rsid w:val="634F6AC2"/>
    <w:rsid w:val="63553CA4"/>
    <w:rsid w:val="63556098"/>
    <w:rsid w:val="63563C38"/>
    <w:rsid w:val="63595CB4"/>
    <w:rsid w:val="63601FBD"/>
    <w:rsid w:val="63623CDC"/>
    <w:rsid w:val="63641F85"/>
    <w:rsid w:val="63682814"/>
    <w:rsid w:val="63686570"/>
    <w:rsid w:val="636970D6"/>
    <w:rsid w:val="636D7A34"/>
    <w:rsid w:val="636F6A0B"/>
    <w:rsid w:val="63732B49"/>
    <w:rsid w:val="63732C3E"/>
    <w:rsid w:val="637A5D7B"/>
    <w:rsid w:val="637A7FA7"/>
    <w:rsid w:val="637B0797"/>
    <w:rsid w:val="637E666A"/>
    <w:rsid w:val="638265D8"/>
    <w:rsid w:val="63852ADB"/>
    <w:rsid w:val="638652F6"/>
    <w:rsid w:val="63893EB7"/>
    <w:rsid w:val="63913B0F"/>
    <w:rsid w:val="63940FA3"/>
    <w:rsid w:val="639461E6"/>
    <w:rsid w:val="639500B7"/>
    <w:rsid w:val="63953FB7"/>
    <w:rsid w:val="63975D58"/>
    <w:rsid w:val="6399194E"/>
    <w:rsid w:val="639B5675"/>
    <w:rsid w:val="639D7CBB"/>
    <w:rsid w:val="639E4E67"/>
    <w:rsid w:val="63A829BF"/>
    <w:rsid w:val="63A90196"/>
    <w:rsid w:val="63AA2DF8"/>
    <w:rsid w:val="63AB0C37"/>
    <w:rsid w:val="63AF7176"/>
    <w:rsid w:val="63B25CB4"/>
    <w:rsid w:val="63B6069C"/>
    <w:rsid w:val="63BD4B2B"/>
    <w:rsid w:val="63C0084D"/>
    <w:rsid w:val="63C36ECD"/>
    <w:rsid w:val="63C51369"/>
    <w:rsid w:val="63C90AB0"/>
    <w:rsid w:val="63C945DB"/>
    <w:rsid w:val="63C95A6C"/>
    <w:rsid w:val="63CA646A"/>
    <w:rsid w:val="63CB6250"/>
    <w:rsid w:val="63CC1CDB"/>
    <w:rsid w:val="63CD131A"/>
    <w:rsid w:val="63D141F4"/>
    <w:rsid w:val="63D170E5"/>
    <w:rsid w:val="63D311F3"/>
    <w:rsid w:val="63D43F2B"/>
    <w:rsid w:val="63D64757"/>
    <w:rsid w:val="63EA0CD3"/>
    <w:rsid w:val="63EB2C6D"/>
    <w:rsid w:val="63ED3B95"/>
    <w:rsid w:val="63EF30C8"/>
    <w:rsid w:val="63F471E7"/>
    <w:rsid w:val="63F562AA"/>
    <w:rsid w:val="63F957C8"/>
    <w:rsid w:val="63FA58E9"/>
    <w:rsid w:val="63FA664B"/>
    <w:rsid w:val="63FD511B"/>
    <w:rsid w:val="63FE23A5"/>
    <w:rsid w:val="640054D1"/>
    <w:rsid w:val="64035BE9"/>
    <w:rsid w:val="64043452"/>
    <w:rsid w:val="640639AC"/>
    <w:rsid w:val="640A7F6D"/>
    <w:rsid w:val="6415698F"/>
    <w:rsid w:val="641C56BF"/>
    <w:rsid w:val="64221251"/>
    <w:rsid w:val="6422465A"/>
    <w:rsid w:val="64235BB7"/>
    <w:rsid w:val="64260812"/>
    <w:rsid w:val="64267AC6"/>
    <w:rsid w:val="64293D66"/>
    <w:rsid w:val="642B3E56"/>
    <w:rsid w:val="642E6F74"/>
    <w:rsid w:val="642F2514"/>
    <w:rsid w:val="64303087"/>
    <w:rsid w:val="643300A0"/>
    <w:rsid w:val="64357A1E"/>
    <w:rsid w:val="643618C7"/>
    <w:rsid w:val="64393652"/>
    <w:rsid w:val="64393C7E"/>
    <w:rsid w:val="643979E4"/>
    <w:rsid w:val="643B5B06"/>
    <w:rsid w:val="643D572C"/>
    <w:rsid w:val="644122C9"/>
    <w:rsid w:val="644553A7"/>
    <w:rsid w:val="64473F5B"/>
    <w:rsid w:val="644840CB"/>
    <w:rsid w:val="644C1378"/>
    <w:rsid w:val="644F2252"/>
    <w:rsid w:val="6450168A"/>
    <w:rsid w:val="64561D34"/>
    <w:rsid w:val="64571CFE"/>
    <w:rsid w:val="645750BF"/>
    <w:rsid w:val="64586BD9"/>
    <w:rsid w:val="645F0CA8"/>
    <w:rsid w:val="646628A7"/>
    <w:rsid w:val="646678BC"/>
    <w:rsid w:val="646A4041"/>
    <w:rsid w:val="646D2593"/>
    <w:rsid w:val="6473108B"/>
    <w:rsid w:val="64740A1C"/>
    <w:rsid w:val="64757058"/>
    <w:rsid w:val="64766D22"/>
    <w:rsid w:val="647B48FE"/>
    <w:rsid w:val="647C03BF"/>
    <w:rsid w:val="647E0600"/>
    <w:rsid w:val="647F7A80"/>
    <w:rsid w:val="6481300B"/>
    <w:rsid w:val="64820488"/>
    <w:rsid w:val="64836BEC"/>
    <w:rsid w:val="648476D2"/>
    <w:rsid w:val="64851189"/>
    <w:rsid w:val="64862AB5"/>
    <w:rsid w:val="64866915"/>
    <w:rsid w:val="64887A01"/>
    <w:rsid w:val="648A6CB8"/>
    <w:rsid w:val="648C0FFC"/>
    <w:rsid w:val="648F3AA8"/>
    <w:rsid w:val="649034AC"/>
    <w:rsid w:val="649106C8"/>
    <w:rsid w:val="64923598"/>
    <w:rsid w:val="64946153"/>
    <w:rsid w:val="64987975"/>
    <w:rsid w:val="649D0EF1"/>
    <w:rsid w:val="649F6671"/>
    <w:rsid w:val="64A35161"/>
    <w:rsid w:val="64A446C1"/>
    <w:rsid w:val="64A70DF2"/>
    <w:rsid w:val="64A77044"/>
    <w:rsid w:val="64A849B7"/>
    <w:rsid w:val="64A8567D"/>
    <w:rsid w:val="64A92113"/>
    <w:rsid w:val="64B5360F"/>
    <w:rsid w:val="64B67C17"/>
    <w:rsid w:val="64B70592"/>
    <w:rsid w:val="64C23318"/>
    <w:rsid w:val="64C52C53"/>
    <w:rsid w:val="64CB017F"/>
    <w:rsid w:val="64CC4F0C"/>
    <w:rsid w:val="64D137CB"/>
    <w:rsid w:val="64D310A6"/>
    <w:rsid w:val="64D3285D"/>
    <w:rsid w:val="64D76C08"/>
    <w:rsid w:val="64DE12B9"/>
    <w:rsid w:val="64DE181E"/>
    <w:rsid w:val="64E250A7"/>
    <w:rsid w:val="64F04632"/>
    <w:rsid w:val="64F31A67"/>
    <w:rsid w:val="64F37E41"/>
    <w:rsid w:val="64F8151B"/>
    <w:rsid w:val="64FC0433"/>
    <w:rsid w:val="64FC064F"/>
    <w:rsid w:val="64FD2CFA"/>
    <w:rsid w:val="64FF6A3E"/>
    <w:rsid w:val="65017949"/>
    <w:rsid w:val="65056F2E"/>
    <w:rsid w:val="650642AE"/>
    <w:rsid w:val="65067188"/>
    <w:rsid w:val="65067276"/>
    <w:rsid w:val="65075D34"/>
    <w:rsid w:val="65085EAA"/>
    <w:rsid w:val="65091AAC"/>
    <w:rsid w:val="650E0BDF"/>
    <w:rsid w:val="65110594"/>
    <w:rsid w:val="651574A6"/>
    <w:rsid w:val="65212EC6"/>
    <w:rsid w:val="652511AB"/>
    <w:rsid w:val="65273CE0"/>
    <w:rsid w:val="652810B6"/>
    <w:rsid w:val="65282444"/>
    <w:rsid w:val="652835C0"/>
    <w:rsid w:val="652C1DBE"/>
    <w:rsid w:val="652C62E3"/>
    <w:rsid w:val="652C6E01"/>
    <w:rsid w:val="652D4B56"/>
    <w:rsid w:val="652F2C5A"/>
    <w:rsid w:val="652F6E54"/>
    <w:rsid w:val="6538572D"/>
    <w:rsid w:val="65394932"/>
    <w:rsid w:val="653C50AB"/>
    <w:rsid w:val="653D2DA3"/>
    <w:rsid w:val="65424E85"/>
    <w:rsid w:val="6546685C"/>
    <w:rsid w:val="654A26D8"/>
    <w:rsid w:val="654A49D6"/>
    <w:rsid w:val="654C2D69"/>
    <w:rsid w:val="654E67DA"/>
    <w:rsid w:val="654F0E15"/>
    <w:rsid w:val="65517808"/>
    <w:rsid w:val="655318DF"/>
    <w:rsid w:val="65537F6C"/>
    <w:rsid w:val="65554C66"/>
    <w:rsid w:val="6557194C"/>
    <w:rsid w:val="65572A85"/>
    <w:rsid w:val="6558728B"/>
    <w:rsid w:val="655A6851"/>
    <w:rsid w:val="655B2A47"/>
    <w:rsid w:val="655B6E58"/>
    <w:rsid w:val="656164B1"/>
    <w:rsid w:val="656949D4"/>
    <w:rsid w:val="656D335A"/>
    <w:rsid w:val="65704CA9"/>
    <w:rsid w:val="65710EFD"/>
    <w:rsid w:val="657443FC"/>
    <w:rsid w:val="65747D21"/>
    <w:rsid w:val="65754049"/>
    <w:rsid w:val="65794089"/>
    <w:rsid w:val="657E1FC1"/>
    <w:rsid w:val="658635A3"/>
    <w:rsid w:val="65866B03"/>
    <w:rsid w:val="658675D6"/>
    <w:rsid w:val="658A7F2E"/>
    <w:rsid w:val="658D6818"/>
    <w:rsid w:val="658E3BC4"/>
    <w:rsid w:val="658F4B24"/>
    <w:rsid w:val="6591031E"/>
    <w:rsid w:val="65927369"/>
    <w:rsid w:val="659426D6"/>
    <w:rsid w:val="659451DC"/>
    <w:rsid w:val="659605FB"/>
    <w:rsid w:val="659833E4"/>
    <w:rsid w:val="659902E6"/>
    <w:rsid w:val="65993081"/>
    <w:rsid w:val="659E5C9F"/>
    <w:rsid w:val="65A13A93"/>
    <w:rsid w:val="65A24BC0"/>
    <w:rsid w:val="65A32EB5"/>
    <w:rsid w:val="65A5523E"/>
    <w:rsid w:val="65A702A8"/>
    <w:rsid w:val="65A73734"/>
    <w:rsid w:val="65A8180A"/>
    <w:rsid w:val="65A833DA"/>
    <w:rsid w:val="65A84E79"/>
    <w:rsid w:val="65AC197F"/>
    <w:rsid w:val="65B01F28"/>
    <w:rsid w:val="65B36E89"/>
    <w:rsid w:val="65B73D7D"/>
    <w:rsid w:val="65B84B4C"/>
    <w:rsid w:val="65B87625"/>
    <w:rsid w:val="65BB0388"/>
    <w:rsid w:val="65BF0141"/>
    <w:rsid w:val="65C00521"/>
    <w:rsid w:val="65C12A97"/>
    <w:rsid w:val="65C317A3"/>
    <w:rsid w:val="65C93E54"/>
    <w:rsid w:val="65CB435F"/>
    <w:rsid w:val="65CB443A"/>
    <w:rsid w:val="65D340D7"/>
    <w:rsid w:val="65D74082"/>
    <w:rsid w:val="65D75E79"/>
    <w:rsid w:val="65D843D3"/>
    <w:rsid w:val="65DB7271"/>
    <w:rsid w:val="65DD6613"/>
    <w:rsid w:val="65DE42DE"/>
    <w:rsid w:val="65DF6773"/>
    <w:rsid w:val="65E022E2"/>
    <w:rsid w:val="65F06766"/>
    <w:rsid w:val="65F3331D"/>
    <w:rsid w:val="65F3495D"/>
    <w:rsid w:val="65F86CBC"/>
    <w:rsid w:val="65FA1CCC"/>
    <w:rsid w:val="65FB3C97"/>
    <w:rsid w:val="65FE0C70"/>
    <w:rsid w:val="65FE6FF5"/>
    <w:rsid w:val="65FF7AA6"/>
    <w:rsid w:val="66035D38"/>
    <w:rsid w:val="66065B95"/>
    <w:rsid w:val="660B0455"/>
    <w:rsid w:val="66111A32"/>
    <w:rsid w:val="66126B8D"/>
    <w:rsid w:val="66153762"/>
    <w:rsid w:val="66154481"/>
    <w:rsid w:val="66176767"/>
    <w:rsid w:val="661B1BCF"/>
    <w:rsid w:val="661B6A82"/>
    <w:rsid w:val="66281CC3"/>
    <w:rsid w:val="662B70D7"/>
    <w:rsid w:val="662F2D45"/>
    <w:rsid w:val="66312E2B"/>
    <w:rsid w:val="663220D8"/>
    <w:rsid w:val="6634390E"/>
    <w:rsid w:val="6637091A"/>
    <w:rsid w:val="663E5B7F"/>
    <w:rsid w:val="66422075"/>
    <w:rsid w:val="66426302"/>
    <w:rsid w:val="66434BC3"/>
    <w:rsid w:val="66443C77"/>
    <w:rsid w:val="664D043F"/>
    <w:rsid w:val="664E0737"/>
    <w:rsid w:val="664E152A"/>
    <w:rsid w:val="664E527A"/>
    <w:rsid w:val="664F41FD"/>
    <w:rsid w:val="66544BF7"/>
    <w:rsid w:val="66575A56"/>
    <w:rsid w:val="665A1838"/>
    <w:rsid w:val="665A3324"/>
    <w:rsid w:val="665E3732"/>
    <w:rsid w:val="66617907"/>
    <w:rsid w:val="6662597E"/>
    <w:rsid w:val="66633711"/>
    <w:rsid w:val="66646DBD"/>
    <w:rsid w:val="66667F68"/>
    <w:rsid w:val="666A21C6"/>
    <w:rsid w:val="666F5117"/>
    <w:rsid w:val="66700A12"/>
    <w:rsid w:val="66701F38"/>
    <w:rsid w:val="667B039A"/>
    <w:rsid w:val="667C3953"/>
    <w:rsid w:val="667D23D7"/>
    <w:rsid w:val="667D6A1C"/>
    <w:rsid w:val="667F2B83"/>
    <w:rsid w:val="6687665F"/>
    <w:rsid w:val="668F1114"/>
    <w:rsid w:val="6690426F"/>
    <w:rsid w:val="6692316E"/>
    <w:rsid w:val="66944097"/>
    <w:rsid w:val="66944571"/>
    <w:rsid w:val="6696173B"/>
    <w:rsid w:val="669A2DA9"/>
    <w:rsid w:val="669E24FD"/>
    <w:rsid w:val="669E4476"/>
    <w:rsid w:val="66A03469"/>
    <w:rsid w:val="66A20497"/>
    <w:rsid w:val="66A2109C"/>
    <w:rsid w:val="66A21782"/>
    <w:rsid w:val="66A77173"/>
    <w:rsid w:val="66A84A8A"/>
    <w:rsid w:val="66AB6E66"/>
    <w:rsid w:val="66AC2E1F"/>
    <w:rsid w:val="66AD6911"/>
    <w:rsid w:val="66AF0077"/>
    <w:rsid w:val="66B07D06"/>
    <w:rsid w:val="66B167BD"/>
    <w:rsid w:val="66B76593"/>
    <w:rsid w:val="66B81B78"/>
    <w:rsid w:val="66B91549"/>
    <w:rsid w:val="66BE152B"/>
    <w:rsid w:val="66BE454B"/>
    <w:rsid w:val="66BF08D3"/>
    <w:rsid w:val="66C02BFB"/>
    <w:rsid w:val="66C400B0"/>
    <w:rsid w:val="66C631C4"/>
    <w:rsid w:val="66C8504F"/>
    <w:rsid w:val="66CC5EDC"/>
    <w:rsid w:val="66D0175B"/>
    <w:rsid w:val="66D3451E"/>
    <w:rsid w:val="66D71874"/>
    <w:rsid w:val="66D76BE3"/>
    <w:rsid w:val="66D96C69"/>
    <w:rsid w:val="66DE2AC5"/>
    <w:rsid w:val="66E77BCB"/>
    <w:rsid w:val="66E804CE"/>
    <w:rsid w:val="66EB6361"/>
    <w:rsid w:val="66ED5A4E"/>
    <w:rsid w:val="66EE05C2"/>
    <w:rsid w:val="66F1153E"/>
    <w:rsid w:val="66F14CED"/>
    <w:rsid w:val="66F347C2"/>
    <w:rsid w:val="66F74533"/>
    <w:rsid w:val="66FD6FD3"/>
    <w:rsid w:val="66FF63E7"/>
    <w:rsid w:val="670267B3"/>
    <w:rsid w:val="67044395"/>
    <w:rsid w:val="67046B1A"/>
    <w:rsid w:val="67063087"/>
    <w:rsid w:val="67065C43"/>
    <w:rsid w:val="67076DAF"/>
    <w:rsid w:val="67077743"/>
    <w:rsid w:val="67097888"/>
    <w:rsid w:val="670B3DCF"/>
    <w:rsid w:val="67120B0B"/>
    <w:rsid w:val="671775CB"/>
    <w:rsid w:val="67185726"/>
    <w:rsid w:val="671B5AC7"/>
    <w:rsid w:val="67233DA9"/>
    <w:rsid w:val="6725229E"/>
    <w:rsid w:val="67281B80"/>
    <w:rsid w:val="672C62F1"/>
    <w:rsid w:val="672F2353"/>
    <w:rsid w:val="673033D3"/>
    <w:rsid w:val="67347DA4"/>
    <w:rsid w:val="673634AD"/>
    <w:rsid w:val="67370C72"/>
    <w:rsid w:val="673821D5"/>
    <w:rsid w:val="673C5F52"/>
    <w:rsid w:val="673E504C"/>
    <w:rsid w:val="67414C3C"/>
    <w:rsid w:val="674403B9"/>
    <w:rsid w:val="67446DCC"/>
    <w:rsid w:val="67450352"/>
    <w:rsid w:val="67452010"/>
    <w:rsid w:val="674B7FFB"/>
    <w:rsid w:val="67514D62"/>
    <w:rsid w:val="67547144"/>
    <w:rsid w:val="6754752E"/>
    <w:rsid w:val="675524B4"/>
    <w:rsid w:val="67597347"/>
    <w:rsid w:val="675C355A"/>
    <w:rsid w:val="67660DE6"/>
    <w:rsid w:val="67673DB5"/>
    <w:rsid w:val="67674F82"/>
    <w:rsid w:val="676A4395"/>
    <w:rsid w:val="676B7A40"/>
    <w:rsid w:val="676E5C69"/>
    <w:rsid w:val="676F11D5"/>
    <w:rsid w:val="676F2541"/>
    <w:rsid w:val="6771125B"/>
    <w:rsid w:val="67757527"/>
    <w:rsid w:val="67760F4F"/>
    <w:rsid w:val="6779193D"/>
    <w:rsid w:val="677B0414"/>
    <w:rsid w:val="677B083A"/>
    <w:rsid w:val="677C710D"/>
    <w:rsid w:val="677E05E4"/>
    <w:rsid w:val="677E1A8F"/>
    <w:rsid w:val="677F3A3C"/>
    <w:rsid w:val="678078AD"/>
    <w:rsid w:val="67836BDB"/>
    <w:rsid w:val="6784199D"/>
    <w:rsid w:val="678D5027"/>
    <w:rsid w:val="678D5106"/>
    <w:rsid w:val="678F39DE"/>
    <w:rsid w:val="67921CA0"/>
    <w:rsid w:val="679835FD"/>
    <w:rsid w:val="67987C3D"/>
    <w:rsid w:val="679900DA"/>
    <w:rsid w:val="679B7247"/>
    <w:rsid w:val="679C14F1"/>
    <w:rsid w:val="679E07C6"/>
    <w:rsid w:val="679E2E72"/>
    <w:rsid w:val="679F34A7"/>
    <w:rsid w:val="67A243B9"/>
    <w:rsid w:val="67A563E9"/>
    <w:rsid w:val="67A6307C"/>
    <w:rsid w:val="67A64B1E"/>
    <w:rsid w:val="67A8786A"/>
    <w:rsid w:val="67A909C3"/>
    <w:rsid w:val="67AA4E89"/>
    <w:rsid w:val="67AC3A7D"/>
    <w:rsid w:val="67B00A63"/>
    <w:rsid w:val="67B02F86"/>
    <w:rsid w:val="67B114ED"/>
    <w:rsid w:val="67B37F7F"/>
    <w:rsid w:val="67B538AE"/>
    <w:rsid w:val="67B805CF"/>
    <w:rsid w:val="67B96F35"/>
    <w:rsid w:val="67C5379F"/>
    <w:rsid w:val="67CA4386"/>
    <w:rsid w:val="67CD7150"/>
    <w:rsid w:val="67D10B9C"/>
    <w:rsid w:val="67D25AB4"/>
    <w:rsid w:val="67D612B3"/>
    <w:rsid w:val="67D70A29"/>
    <w:rsid w:val="67D87514"/>
    <w:rsid w:val="67DF0A23"/>
    <w:rsid w:val="67E37C9E"/>
    <w:rsid w:val="67E62ACA"/>
    <w:rsid w:val="67E92F45"/>
    <w:rsid w:val="67E94456"/>
    <w:rsid w:val="67EA4464"/>
    <w:rsid w:val="67EA593C"/>
    <w:rsid w:val="67EC7E69"/>
    <w:rsid w:val="67EF53F5"/>
    <w:rsid w:val="67F17E0B"/>
    <w:rsid w:val="67F3004F"/>
    <w:rsid w:val="67F36D1A"/>
    <w:rsid w:val="67F36F5C"/>
    <w:rsid w:val="67F53FC8"/>
    <w:rsid w:val="67F7322A"/>
    <w:rsid w:val="67F73EB5"/>
    <w:rsid w:val="67F82529"/>
    <w:rsid w:val="67FB5062"/>
    <w:rsid w:val="67FC7C35"/>
    <w:rsid w:val="68006EFF"/>
    <w:rsid w:val="680321BC"/>
    <w:rsid w:val="68051A2B"/>
    <w:rsid w:val="6807566D"/>
    <w:rsid w:val="68077DF9"/>
    <w:rsid w:val="68084E41"/>
    <w:rsid w:val="680A3788"/>
    <w:rsid w:val="680A6AA5"/>
    <w:rsid w:val="680B1DC8"/>
    <w:rsid w:val="680C60B3"/>
    <w:rsid w:val="680E2F36"/>
    <w:rsid w:val="68121128"/>
    <w:rsid w:val="68154BEC"/>
    <w:rsid w:val="681D0AF2"/>
    <w:rsid w:val="681D521E"/>
    <w:rsid w:val="681E22E4"/>
    <w:rsid w:val="68264723"/>
    <w:rsid w:val="68271250"/>
    <w:rsid w:val="6829279C"/>
    <w:rsid w:val="682A5B2C"/>
    <w:rsid w:val="682C0E2D"/>
    <w:rsid w:val="682D2256"/>
    <w:rsid w:val="682D7E4D"/>
    <w:rsid w:val="68334662"/>
    <w:rsid w:val="68344467"/>
    <w:rsid w:val="683C069A"/>
    <w:rsid w:val="683E1A6D"/>
    <w:rsid w:val="684A6E8D"/>
    <w:rsid w:val="684E4C3B"/>
    <w:rsid w:val="684F4DF1"/>
    <w:rsid w:val="68522762"/>
    <w:rsid w:val="68541A0D"/>
    <w:rsid w:val="685500F8"/>
    <w:rsid w:val="6855620F"/>
    <w:rsid w:val="6859176A"/>
    <w:rsid w:val="685E738A"/>
    <w:rsid w:val="68630AA0"/>
    <w:rsid w:val="686716E8"/>
    <w:rsid w:val="6868146A"/>
    <w:rsid w:val="68686F8D"/>
    <w:rsid w:val="6869150C"/>
    <w:rsid w:val="68691FA6"/>
    <w:rsid w:val="686964F5"/>
    <w:rsid w:val="686B5959"/>
    <w:rsid w:val="686F2514"/>
    <w:rsid w:val="68700B0D"/>
    <w:rsid w:val="68715CA9"/>
    <w:rsid w:val="687433D5"/>
    <w:rsid w:val="687460E8"/>
    <w:rsid w:val="687B1E20"/>
    <w:rsid w:val="687B654F"/>
    <w:rsid w:val="687D644E"/>
    <w:rsid w:val="68817B6A"/>
    <w:rsid w:val="68892900"/>
    <w:rsid w:val="688A3F04"/>
    <w:rsid w:val="688B4B9E"/>
    <w:rsid w:val="688C6B52"/>
    <w:rsid w:val="688D2BBF"/>
    <w:rsid w:val="68927DC1"/>
    <w:rsid w:val="68981844"/>
    <w:rsid w:val="689A389B"/>
    <w:rsid w:val="689D337A"/>
    <w:rsid w:val="68A32D7D"/>
    <w:rsid w:val="68A52111"/>
    <w:rsid w:val="68A6500E"/>
    <w:rsid w:val="68A6502A"/>
    <w:rsid w:val="68A761C6"/>
    <w:rsid w:val="68A76544"/>
    <w:rsid w:val="68AC5B18"/>
    <w:rsid w:val="68B44C6D"/>
    <w:rsid w:val="68B7189A"/>
    <w:rsid w:val="68B75894"/>
    <w:rsid w:val="68B76844"/>
    <w:rsid w:val="68BA4E6C"/>
    <w:rsid w:val="68BC0481"/>
    <w:rsid w:val="68BD66D8"/>
    <w:rsid w:val="68C0267A"/>
    <w:rsid w:val="68C074E9"/>
    <w:rsid w:val="68C11E75"/>
    <w:rsid w:val="68C56718"/>
    <w:rsid w:val="68C879AD"/>
    <w:rsid w:val="68CE0C94"/>
    <w:rsid w:val="68CF698B"/>
    <w:rsid w:val="68D301A9"/>
    <w:rsid w:val="68D4106C"/>
    <w:rsid w:val="68D44A3B"/>
    <w:rsid w:val="68D57C16"/>
    <w:rsid w:val="68DA0E46"/>
    <w:rsid w:val="68DB7A30"/>
    <w:rsid w:val="68DF0569"/>
    <w:rsid w:val="68E1552E"/>
    <w:rsid w:val="68E30A1E"/>
    <w:rsid w:val="68E40FE8"/>
    <w:rsid w:val="68E423D6"/>
    <w:rsid w:val="68E657DF"/>
    <w:rsid w:val="68EA25C6"/>
    <w:rsid w:val="68F42853"/>
    <w:rsid w:val="68F4387F"/>
    <w:rsid w:val="68F97228"/>
    <w:rsid w:val="68FB1104"/>
    <w:rsid w:val="68FC0C9D"/>
    <w:rsid w:val="68FE4C41"/>
    <w:rsid w:val="6901503B"/>
    <w:rsid w:val="69046EB2"/>
    <w:rsid w:val="69072139"/>
    <w:rsid w:val="69080BA7"/>
    <w:rsid w:val="690B386C"/>
    <w:rsid w:val="690C687E"/>
    <w:rsid w:val="69117181"/>
    <w:rsid w:val="69133C03"/>
    <w:rsid w:val="69157049"/>
    <w:rsid w:val="691645AD"/>
    <w:rsid w:val="691720B5"/>
    <w:rsid w:val="691816E8"/>
    <w:rsid w:val="691A42A9"/>
    <w:rsid w:val="691C028A"/>
    <w:rsid w:val="691E201D"/>
    <w:rsid w:val="692109E6"/>
    <w:rsid w:val="69215250"/>
    <w:rsid w:val="69286353"/>
    <w:rsid w:val="69293D04"/>
    <w:rsid w:val="692A5EA3"/>
    <w:rsid w:val="692D5C38"/>
    <w:rsid w:val="69362BF6"/>
    <w:rsid w:val="693645BE"/>
    <w:rsid w:val="69377EB5"/>
    <w:rsid w:val="69380E48"/>
    <w:rsid w:val="693A6EB9"/>
    <w:rsid w:val="693E052C"/>
    <w:rsid w:val="69484925"/>
    <w:rsid w:val="694C27B0"/>
    <w:rsid w:val="69536378"/>
    <w:rsid w:val="695527BF"/>
    <w:rsid w:val="695C038F"/>
    <w:rsid w:val="695F2186"/>
    <w:rsid w:val="695F27C6"/>
    <w:rsid w:val="695F2C30"/>
    <w:rsid w:val="69622B0D"/>
    <w:rsid w:val="6967586B"/>
    <w:rsid w:val="696957BB"/>
    <w:rsid w:val="69706866"/>
    <w:rsid w:val="697228FA"/>
    <w:rsid w:val="69724E14"/>
    <w:rsid w:val="69733349"/>
    <w:rsid w:val="69735746"/>
    <w:rsid w:val="69767DA5"/>
    <w:rsid w:val="69781F2D"/>
    <w:rsid w:val="6979175C"/>
    <w:rsid w:val="697C1812"/>
    <w:rsid w:val="697D3CE8"/>
    <w:rsid w:val="697E40EB"/>
    <w:rsid w:val="697F3B8C"/>
    <w:rsid w:val="698227D6"/>
    <w:rsid w:val="69825B6B"/>
    <w:rsid w:val="6983520B"/>
    <w:rsid w:val="6985393A"/>
    <w:rsid w:val="698777AF"/>
    <w:rsid w:val="69883157"/>
    <w:rsid w:val="698C7D52"/>
    <w:rsid w:val="698E5C0C"/>
    <w:rsid w:val="69947E46"/>
    <w:rsid w:val="69953EB2"/>
    <w:rsid w:val="69967F49"/>
    <w:rsid w:val="699762C9"/>
    <w:rsid w:val="699809CD"/>
    <w:rsid w:val="69981676"/>
    <w:rsid w:val="699871BB"/>
    <w:rsid w:val="69992CD3"/>
    <w:rsid w:val="69A0515F"/>
    <w:rsid w:val="69A44E21"/>
    <w:rsid w:val="69AF2940"/>
    <w:rsid w:val="69B11B77"/>
    <w:rsid w:val="69B55846"/>
    <w:rsid w:val="69B70DE6"/>
    <w:rsid w:val="69B97B85"/>
    <w:rsid w:val="69BB0EA3"/>
    <w:rsid w:val="69BE3132"/>
    <w:rsid w:val="69C03A0B"/>
    <w:rsid w:val="69C51F1F"/>
    <w:rsid w:val="69C97C6D"/>
    <w:rsid w:val="69CF1D34"/>
    <w:rsid w:val="69D149F4"/>
    <w:rsid w:val="69D40498"/>
    <w:rsid w:val="69D752E6"/>
    <w:rsid w:val="69D846E3"/>
    <w:rsid w:val="69D94687"/>
    <w:rsid w:val="69D975FB"/>
    <w:rsid w:val="69DA3CA1"/>
    <w:rsid w:val="69DD04F3"/>
    <w:rsid w:val="69DE6DA5"/>
    <w:rsid w:val="69E145B4"/>
    <w:rsid w:val="69E63014"/>
    <w:rsid w:val="69E63C3F"/>
    <w:rsid w:val="69EE0C4A"/>
    <w:rsid w:val="69FA3BD8"/>
    <w:rsid w:val="69FC1871"/>
    <w:rsid w:val="69FE61B2"/>
    <w:rsid w:val="69FF347E"/>
    <w:rsid w:val="6A0376A9"/>
    <w:rsid w:val="6A0419BA"/>
    <w:rsid w:val="6A0523B2"/>
    <w:rsid w:val="6A0744F9"/>
    <w:rsid w:val="6A0772B1"/>
    <w:rsid w:val="6A08343B"/>
    <w:rsid w:val="6A0B2D20"/>
    <w:rsid w:val="6A0B3BB0"/>
    <w:rsid w:val="6A101611"/>
    <w:rsid w:val="6A1205FA"/>
    <w:rsid w:val="6A121E55"/>
    <w:rsid w:val="6A125906"/>
    <w:rsid w:val="6A127362"/>
    <w:rsid w:val="6A1456FA"/>
    <w:rsid w:val="6A1629C0"/>
    <w:rsid w:val="6A1642D6"/>
    <w:rsid w:val="6A1928F3"/>
    <w:rsid w:val="6A1933D3"/>
    <w:rsid w:val="6A1B098B"/>
    <w:rsid w:val="6A1E4511"/>
    <w:rsid w:val="6A2201FF"/>
    <w:rsid w:val="6A267795"/>
    <w:rsid w:val="6A28297C"/>
    <w:rsid w:val="6A295DF0"/>
    <w:rsid w:val="6A2A02EC"/>
    <w:rsid w:val="6A2E22A3"/>
    <w:rsid w:val="6A2E5B68"/>
    <w:rsid w:val="6A3022B5"/>
    <w:rsid w:val="6A323639"/>
    <w:rsid w:val="6A340AA7"/>
    <w:rsid w:val="6A347350"/>
    <w:rsid w:val="6A3473F1"/>
    <w:rsid w:val="6A360D60"/>
    <w:rsid w:val="6A36255A"/>
    <w:rsid w:val="6A3D039F"/>
    <w:rsid w:val="6A3D398B"/>
    <w:rsid w:val="6A3E376A"/>
    <w:rsid w:val="6A40456D"/>
    <w:rsid w:val="6A407913"/>
    <w:rsid w:val="6A41397D"/>
    <w:rsid w:val="6A4140F8"/>
    <w:rsid w:val="6A426267"/>
    <w:rsid w:val="6A433D9F"/>
    <w:rsid w:val="6A470791"/>
    <w:rsid w:val="6A472827"/>
    <w:rsid w:val="6A4751A8"/>
    <w:rsid w:val="6A4906A2"/>
    <w:rsid w:val="6A4920FD"/>
    <w:rsid w:val="6A4A7786"/>
    <w:rsid w:val="6A4B337E"/>
    <w:rsid w:val="6A4C76CF"/>
    <w:rsid w:val="6A577151"/>
    <w:rsid w:val="6A5F34DE"/>
    <w:rsid w:val="6A6130FA"/>
    <w:rsid w:val="6A653DF1"/>
    <w:rsid w:val="6A6D45F2"/>
    <w:rsid w:val="6A6D488B"/>
    <w:rsid w:val="6A6E7D76"/>
    <w:rsid w:val="6A6F4666"/>
    <w:rsid w:val="6A7050EE"/>
    <w:rsid w:val="6A707D58"/>
    <w:rsid w:val="6A7122F6"/>
    <w:rsid w:val="6A7375EB"/>
    <w:rsid w:val="6A780565"/>
    <w:rsid w:val="6A7D5B05"/>
    <w:rsid w:val="6A7E429A"/>
    <w:rsid w:val="6A7E56D8"/>
    <w:rsid w:val="6A814175"/>
    <w:rsid w:val="6A84423B"/>
    <w:rsid w:val="6A855117"/>
    <w:rsid w:val="6A870E81"/>
    <w:rsid w:val="6A8A0CF4"/>
    <w:rsid w:val="6A8D2838"/>
    <w:rsid w:val="6A8D36DA"/>
    <w:rsid w:val="6A8F4802"/>
    <w:rsid w:val="6A8F5526"/>
    <w:rsid w:val="6A902328"/>
    <w:rsid w:val="6A924790"/>
    <w:rsid w:val="6A935813"/>
    <w:rsid w:val="6A94483F"/>
    <w:rsid w:val="6A9450E3"/>
    <w:rsid w:val="6A9544B3"/>
    <w:rsid w:val="6A964A9D"/>
    <w:rsid w:val="6A986F44"/>
    <w:rsid w:val="6A9A4F55"/>
    <w:rsid w:val="6AA45C64"/>
    <w:rsid w:val="6AA46670"/>
    <w:rsid w:val="6AA52237"/>
    <w:rsid w:val="6AAE4E82"/>
    <w:rsid w:val="6AAE756A"/>
    <w:rsid w:val="6AB015B8"/>
    <w:rsid w:val="6AB624FC"/>
    <w:rsid w:val="6AB651A5"/>
    <w:rsid w:val="6AB665FC"/>
    <w:rsid w:val="6AB66FC7"/>
    <w:rsid w:val="6AB818B0"/>
    <w:rsid w:val="6AB82F20"/>
    <w:rsid w:val="6AB97523"/>
    <w:rsid w:val="6ABB3DBD"/>
    <w:rsid w:val="6ABC16A0"/>
    <w:rsid w:val="6ABE3582"/>
    <w:rsid w:val="6AC564D3"/>
    <w:rsid w:val="6AC62028"/>
    <w:rsid w:val="6AC67093"/>
    <w:rsid w:val="6AC70F94"/>
    <w:rsid w:val="6AC834D4"/>
    <w:rsid w:val="6ACB4F62"/>
    <w:rsid w:val="6ACB6D61"/>
    <w:rsid w:val="6ACD4341"/>
    <w:rsid w:val="6ACF53D8"/>
    <w:rsid w:val="6AD0608F"/>
    <w:rsid w:val="6AD2507A"/>
    <w:rsid w:val="6AD33D4F"/>
    <w:rsid w:val="6AD42215"/>
    <w:rsid w:val="6AD63B77"/>
    <w:rsid w:val="6AD7023F"/>
    <w:rsid w:val="6ADA17BB"/>
    <w:rsid w:val="6ADD6CFC"/>
    <w:rsid w:val="6ADD7472"/>
    <w:rsid w:val="6ADE44B2"/>
    <w:rsid w:val="6AE36E4D"/>
    <w:rsid w:val="6AE738BC"/>
    <w:rsid w:val="6AEB7C2E"/>
    <w:rsid w:val="6AF13BE7"/>
    <w:rsid w:val="6AF33F1D"/>
    <w:rsid w:val="6AF428B7"/>
    <w:rsid w:val="6AF750C0"/>
    <w:rsid w:val="6AFA3EFC"/>
    <w:rsid w:val="6AFE4BD7"/>
    <w:rsid w:val="6B010B39"/>
    <w:rsid w:val="6B0756E8"/>
    <w:rsid w:val="6B0C2E41"/>
    <w:rsid w:val="6B0C4581"/>
    <w:rsid w:val="6B103401"/>
    <w:rsid w:val="6B1247F9"/>
    <w:rsid w:val="6B1532D7"/>
    <w:rsid w:val="6B1619F4"/>
    <w:rsid w:val="6B1C73E9"/>
    <w:rsid w:val="6B1E5B3D"/>
    <w:rsid w:val="6B1E7A66"/>
    <w:rsid w:val="6B2027B9"/>
    <w:rsid w:val="6B22664D"/>
    <w:rsid w:val="6B2601FA"/>
    <w:rsid w:val="6B27230E"/>
    <w:rsid w:val="6B285323"/>
    <w:rsid w:val="6B2C2F36"/>
    <w:rsid w:val="6B2C4B33"/>
    <w:rsid w:val="6B2D2FFF"/>
    <w:rsid w:val="6B324A82"/>
    <w:rsid w:val="6B32518D"/>
    <w:rsid w:val="6B345B57"/>
    <w:rsid w:val="6B370474"/>
    <w:rsid w:val="6B3709F5"/>
    <w:rsid w:val="6B3B0D88"/>
    <w:rsid w:val="6B415DB9"/>
    <w:rsid w:val="6B433A99"/>
    <w:rsid w:val="6B45035E"/>
    <w:rsid w:val="6B486805"/>
    <w:rsid w:val="6B4C1617"/>
    <w:rsid w:val="6B4E2552"/>
    <w:rsid w:val="6B555870"/>
    <w:rsid w:val="6B584B58"/>
    <w:rsid w:val="6B5B4072"/>
    <w:rsid w:val="6B5B5C25"/>
    <w:rsid w:val="6B5B6E91"/>
    <w:rsid w:val="6B5B737B"/>
    <w:rsid w:val="6B5D1949"/>
    <w:rsid w:val="6B61176B"/>
    <w:rsid w:val="6B640529"/>
    <w:rsid w:val="6B640681"/>
    <w:rsid w:val="6B6461F8"/>
    <w:rsid w:val="6B6543D6"/>
    <w:rsid w:val="6B661A81"/>
    <w:rsid w:val="6B67752D"/>
    <w:rsid w:val="6B6B194C"/>
    <w:rsid w:val="6B6B63F1"/>
    <w:rsid w:val="6B733A68"/>
    <w:rsid w:val="6B742137"/>
    <w:rsid w:val="6B753528"/>
    <w:rsid w:val="6B7A14CA"/>
    <w:rsid w:val="6B7C4D14"/>
    <w:rsid w:val="6B7E1F2A"/>
    <w:rsid w:val="6B7E4876"/>
    <w:rsid w:val="6B80354C"/>
    <w:rsid w:val="6B8D7213"/>
    <w:rsid w:val="6B900695"/>
    <w:rsid w:val="6B914EFC"/>
    <w:rsid w:val="6B980574"/>
    <w:rsid w:val="6B9B0301"/>
    <w:rsid w:val="6BA0003E"/>
    <w:rsid w:val="6BA27C8F"/>
    <w:rsid w:val="6BA90B8E"/>
    <w:rsid w:val="6BA95E67"/>
    <w:rsid w:val="6BAA0DE6"/>
    <w:rsid w:val="6BAA5838"/>
    <w:rsid w:val="6BAC3782"/>
    <w:rsid w:val="6BAC6743"/>
    <w:rsid w:val="6BAE2139"/>
    <w:rsid w:val="6BAE7FBC"/>
    <w:rsid w:val="6BB40DC4"/>
    <w:rsid w:val="6BB61FA3"/>
    <w:rsid w:val="6BB70A3B"/>
    <w:rsid w:val="6BB86227"/>
    <w:rsid w:val="6BBA58A1"/>
    <w:rsid w:val="6BBB5A2B"/>
    <w:rsid w:val="6BBE4C73"/>
    <w:rsid w:val="6BBF6286"/>
    <w:rsid w:val="6BC01077"/>
    <w:rsid w:val="6BC074AE"/>
    <w:rsid w:val="6BC61B39"/>
    <w:rsid w:val="6BCC710C"/>
    <w:rsid w:val="6BD06ED9"/>
    <w:rsid w:val="6BD12270"/>
    <w:rsid w:val="6BD53A07"/>
    <w:rsid w:val="6BD76F3B"/>
    <w:rsid w:val="6BD87F55"/>
    <w:rsid w:val="6BE07937"/>
    <w:rsid w:val="6BE529A4"/>
    <w:rsid w:val="6BE61591"/>
    <w:rsid w:val="6BE64C49"/>
    <w:rsid w:val="6BE8335D"/>
    <w:rsid w:val="6BE929C6"/>
    <w:rsid w:val="6BEB3552"/>
    <w:rsid w:val="6BEC7D5C"/>
    <w:rsid w:val="6BF265FE"/>
    <w:rsid w:val="6BF47E4F"/>
    <w:rsid w:val="6BF60054"/>
    <w:rsid w:val="6BF8186A"/>
    <w:rsid w:val="6BFC283C"/>
    <w:rsid w:val="6BFC682C"/>
    <w:rsid w:val="6BFE736B"/>
    <w:rsid w:val="6C06002F"/>
    <w:rsid w:val="6C0A3AA5"/>
    <w:rsid w:val="6C0C2D36"/>
    <w:rsid w:val="6C0F23A8"/>
    <w:rsid w:val="6C13382D"/>
    <w:rsid w:val="6C13641D"/>
    <w:rsid w:val="6C1C7F30"/>
    <w:rsid w:val="6C1D2CB6"/>
    <w:rsid w:val="6C2110E2"/>
    <w:rsid w:val="6C217E49"/>
    <w:rsid w:val="6C222FCD"/>
    <w:rsid w:val="6C276A33"/>
    <w:rsid w:val="6C2A5535"/>
    <w:rsid w:val="6C2C2C28"/>
    <w:rsid w:val="6C2F2C51"/>
    <w:rsid w:val="6C333CFB"/>
    <w:rsid w:val="6C340A53"/>
    <w:rsid w:val="6C372119"/>
    <w:rsid w:val="6C380C77"/>
    <w:rsid w:val="6C403AED"/>
    <w:rsid w:val="6C4433CA"/>
    <w:rsid w:val="6C470226"/>
    <w:rsid w:val="6C4B463F"/>
    <w:rsid w:val="6C4C7579"/>
    <w:rsid w:val="6C4F7B81"/>
    <w:rsid w:val="6C513DA6"/>
    <w:rsid w:val="6C572752"/>
    <w:rsid w:val="6C5A508C"/>
    <w:rsid w:val="6C5F30AA"/>
    <w:rsid w:val="6C62194C"/>
    <w:rsid w:val="6C63509E"/>
    <w:rsid w:val="6C642611"/>
    <w:rsid w:val="6C656CDE"/>
    <w:rsid w:val="6C6665C9"/>
    <w:rsid w:val="6C684363"/>
    <w:rsid w:val="6C69711A"/>
    <w:rsid w:val="6C6A26E7"/>
    <w:rsid w:val="6C701163"/>
    <w:rsid w:val="6C703F68"/>
    <w:rsid w:val="6C78471F"/>
    <w:rsid w:val="6C793A4A"/>
    <w:rsid w:val="6C7A7857"/>
    <w:rsid w:val="6C7B6D88"/>
    <w:rsid w:val="6C7C5136"/>
    <w:rsid w:val="6C81247A"/>
    <w:rsid w:val="6C852DFC"/>
    <w:rsid w:val="6C857657"/>
    <w:rsid w:val="6C8578D2"/>
    <w:rsid w:val="6C870F69"/>
    <w:rsid w:val="6C944351"/>
    <w:rsid w:val="6C950857"/>
    <w:rsid w:val="6C995257"/>
    <w:rsid w:val="6C9A38D9"/>
    <w:rsid w:val="6CA65C74"/>
    <w:rsid w:val="6CA7396A"/>
    <w:rsid w:val="6CA83893"/>
    <w:rsid w:val="6CAF2D7D"/>
    <w:rsid w:val="6CB06CB1"/>
    <w:rsid w:val="6CB255AB"/>
    <w:rsid w:val="6CB26586"/>
    <w:rsid w:val="6CB55585"/>
    <w:rsid w:val="6CB601EE"/>
    <w:rsid w:val="6CB773A1"/>
    <w:rsid w:val="6CB851D9"/>
    <w:rsid w:val="6CBA4537"/>
    <w:rsid w:val="6CBE335E"/>
    <w:rsid w:val="6CC64922"/>
    <w:rsid w:val="6CC8453C"/>
    <w:rsid w:val="6CC846F3"/>
    <w:rsid w:val="6CD200E9"/>
    <w:rsid w:val="6CD20375"/>
    <w:rsid w:val="6CD6265A"/>
    <w:rsid w:val="6CD66592"/>
    <w:rsid w:val="6CD700EB"/>
    <w:rsid w:val="6CDE15E0"/>
    <w:rsid w:val="6CE4437D"/>
    <w:rsid w:val="6CE57659"/>
    <w:rsid w:val="6CE663E6"/>
    <w:rsid w:val="6CE8304F"/>
    <w:rsid w:val="6CE95D1F"/>
    <w:rsid w:val="6CEC01D2"/>
    <w:rsid w:val="6CEC5BAE"/>
    <w:rsid w:val="6CF368F5"/>
    <w:rsid w:val="6CF37610"/>
    <w:rsid w:val="6CF51041"/>
    <w:rsid w:val="6CFB07B3"/>
    <w:rsid w:val="6CFB0914"/>
    <w:rsid w:val="6D0221B7"/>
    <w:rsid w:val="6D035AD8"/>
    <w:rsid w:val="6D045962"/>
    <w:rsid w:val="6D0517A7"/>
    <w:rsid w:val="6D06067F"/>
    <w:rsid w:val="6D0A1512"/>
    <w:rsid w:val="6D0B288F"/>
    <w:rsid w:val="6D0C660D"/>
    <w:rsid w:val="6D0D0BB4"/>
    <w:rsid w:val="6D102FC1"/>
    <w:rsid w:val="6D1B6789"/>
    <w:rsid w:val="6D1F0378"/>
    <w:rsid w:val="6D221EF0"/>
    <w:rsid w:val="6D262AC2"/>
    <w:rsid w:val="6D286AF9"/>
    <w:rsid w:val="6D2956F6"/>
    <w:rsid w:val="6D297996"/>
    <w:rsid w:val="6D2B578F"/>
    <w:rsid w:val="6D324B75"/>
    <w:rsid w:val="6D3934C6"/>
    <w:rsid w:val="6D3B10A8"/>
    <w:rsid w:val="6D3C0603"/>
    <w:rsid w:val="6D402264"/>
    <w:rsid w:val="6D402944"/>
    <w:rsid w:val="6D410E6E"/>
    <w:rsid w:val="6D414740"/>
    <w:rsid w:val="6D415367"/>
    <w:rsid w:val="6D4B4D92"/>
    <w:rsid w:val="6D4C60A5"/>
    <w:rsid w:val="6D4C694D"/>
    <w:rsid w:val="6D4F54EA"/>
    <w:rsid w:val="6D501B8D"/>
    <w:rsid w:val="6D507121"/>
    <w:rsid w:val="6D587149"/>
    <w:rsid w:val="6D59661C"/>
    <w:rsid w:val="6D5A0C79"/>
    <w:rsid w:val="6D5A5E71"/>
    <w:rsid w:val="6D5C33D5"/>
    <w:rsid w:val="6D5D5584"/>
    <w:rsid w:val="6D5E0628"/>
    <w:rsid w:val="6D6323ED"/>
    <w:rsid w:val="6D633A30"/>
    <w:rsid w:val="6D644C0C"/>
    <w:rsid w:val="6D6632FC"/>
    <w:rsid w:val="6D692F90"/>
    <w:rsid w:val="6D6A50B2"/>
    <w:rsid w:val="6D6D7E6D"/>
    <w:rsid w:val="6D723F8F"/>
    <w:rsid w:val="6D732AC9"/>
    <w:rsid w:val="6D742ABA"/>
    <w:rsid w:val="6D7579D2"/>
    <w:rsid w:val="6D7966F9"/>
    <w:rsid w:val="6D8856A0"/>
    <w:rsid w:val="6D8952AE"/>
    <w:rsid w:val="6D8B38D9"/>
    <w:rsid w:val="6D8E4CAB"/>
    <w:rsid w:val="6D8F0E18"/>
    <w:rsid w:val="6D9030D3"/>
    <w:rsid w:val="6D942F3E"/>
    <w:rsid w:val="6D953B20"/>
    <w:rsid w:val="6D954DF4"/>
    <w:rsid w:val="6D98104E"/>
    <w:rsid w:val="6D9914F3"/>
    <w:rsid w:val="6D992588"/>
    <w:rsid w:val="6D994677"/>
    <w:rsid w:val="6D9970B3"/>
    <w:rsid w:val="6D997113"/>
    <w:rsid w:val="6D9B1668"/>
    <w:rsid w:val="6D9E0C13"/>
    <w:rsid w:val="6DA230A1"/>
    <w:rsid w:val="6DA277FA"/>
    <w:rsid w:val="6DA36526"/>
    <w:rsid w:val="6DA37ECA"/>
    <w:rsid w:val="6DA44E51"/>
    <w:rsid w:val="6DA877E7"/>
    <w:rsid w:val="6DAB4DC7"/>
    <w:rsid w:val="6DAC58E7"/>
    <w:rsid w:val="6DAD4833"/>
    <w:rsid w:val="6DB30027"/>
    <w:rsid w:val="6DB64B76"/>
    <w:rsid w:val="6DBB5211"/>
    <w:rsid w:val="6DBC4486"/>
    <w:rsid w:val="6DC10ACC"/>
    <w:rsid w:val="6DC20A4A"/>
    <w:rsid w:val="6DC33EF3"/>
    <w:rsid w:val="6DC933F7"/>
    <w:rsid w:val="6DCB3A62"/>
    <w:rsid w:val="6DCC7690"/>
    <w:rsid w:val="6DCD36F7"/>
    <w:rsid w:val="6DCF6855"/>
    <w:rsid w:val="6DD12575"/>
    <w:rsid w:val="6DD16218"/>
    <w:rsid w:val="6DD31308"/>
    <w:rsid w:val="6DD31400"/>
    <w:rsid w:val="6DD46BCF"/>
    <w:rsid w:val="6DD47EF4"/>
    <w:rsid w:val="6DDB74A2"/>
    <w:rsid w:val="6DDC45AF"/>
    <w:rsid w:val="6DDC6B25"/>
    <w:rsid w:val="6DDF784E"/>
    <w:rsid w:val="6DE34A57"/>
    <w:rsid w:val="6DE45176"/>
    <w:rsid w:val="6DE4548A"/>
    <w:rsid w:val="6DE5536A"/>
    <w:rsid w:val="6DEB756B"/>
    <w:rsid w:val="6DF02B61"/>
    <w:rsid w:val="6DF75950"/>
    <w:rsid w:val="6DFC0D15"/>
    <w:rsid w:val="6DFE2F86"/>
    <w:rsid w:val="6E0077C5"/>
    <w:rsid w:val="6E020281"/>
    <w:rsid w:val="6E043142"/>
    <w:rsid w:val="6E050A65"/>
    <w:rsid w:val="6E054DDB"/>
    <w:rsid w:val="6E076A2C"/>
    <w:rsid w:val="6E08019D"/>
    <w:rsid w:val="6E086A84"/>
    <w:rsid w:val="6E0B60BC"/>
    <w:rsid w:val="6E0E0B6F"/>
    <w:rsid w:val="6E11552E"/>
    <w:rsid w:val="6E131EC9"/>
    <w:rsid w:val="6E1533C2"/>
    <w:rsid w:val="6E1A79B6"/>
    <w:rsid w:val="6E1B27B0"/>
    <w:rsid w:val="6E1C7EA2"/>
    <w:rsid w:val="6E1F328C"/>
    <w:rsid w:val="6E1F5E9D"/>
    <w:rsid w:val="6E265B5B"/>
    <w:rsid w:val="6E2A3BAC"/>
    <w:rsid w:val="6E2D05D3"/>
    <w:rsid w:val="6E2D17C4"/>
    <w:rsid w:val="6E2F1519"/>
    <w:rsid w:val="6E305383"/>
    <w:rsid w:val="6E346754"/>
    <w:rsid w:val="6E35508D"/>
    <w:rsid w:val="6E3942A6"/>
    <w:rsid w:val="6E3A43B9"/>
    <w:rsid w:val="6E3C5272"/>
    <w:rsid w:val="6E3C695C"/>
    <w:rsid w:val="6E3E31C1"/>
    <w:rsid w:val="6E40191B"/>
    <w:rsid w:val="6E404F96"/>
    <w:rsid w:val="6E421FD0"/>
    <w:rsid w:val="6E425AB3"/>
    <w:rsid w:val="6E431F91"/>
    <w:rsid w:val="6E444037"/>
    <w:rsid w:val="6E451E27"/>
    <w:rsid w:val="6E45254C"/>
    <w:rsid w:val="6E472E02"/>
    <w:rsid w:val="6E4928C6"/>
    <w:rsid w:val="6E4A5F9F"/>
    <w:rsid w:val="6E4C2A0A"/>
    <w:rsid w:val="6E4C2FD1"/>
    <w:rsid w:val="6E531D18"/>
    <w:rsid w:val="6E54520F"/>
    <w:rsid w:val="6E54543C"/>
    <w:rsid w:val="6E560032"/>
    <w:rsid w:val="6E566059"/>
    <w:rsid w:val="6E5737E4"/>
    <w:rsid w:val="6E573B28"/>
    <w:rsid w:val="6E5D0115"/>
    <w:rsid w:val="6E5D4C17"/>
    <w:rsid w:val="6E5D5CFA"/>
    <w:rsid w:val="6E610709"/>
    <w:rsid w:val="6E611AAA"/>
    <w:rsid w:val="6E637DD2"/>
    <w:rsid w:val="6E684CC1"/>
    <w:rsid w:val="6E684E65"/>
    <w:rsid w:val="6E6E3D22"/>
    <w:rsid w:val="6E6F32C4"/>
    <w:rsid w:val="6E714E46"/>
    <w:rsid w:val="6E732864"/>
    <w:rsid w:val="6E7B14EF"/>
    <w:rsid w:val="6E7B67AA"/>
    <w:rsid w:val="6E813C40"/>
    <w:rsid w:val="6E816D74"/>
    <w:rsid w:val="6E8177B5"/>
    <w:rsid w:val="6E846DF4"/>
    <w:rsid w:val="6E8811FF"/>
    <w:rsid w:val="6E8E00B7"/>
    <w:rsid w:val="6E9267F7"/>
    <w:rsid w:val="6E932E45"/>
    <w:rsid w:val="6E947EA4"/>
    <w:rsid w:val="6E954D6E"/>
    <w:rsid w:val="6E9719D3"/>
    <w:rsid w:val="6E973F61"/>
    <w:rsid w:val="6E9B76B4"/>
    <w:rsid w:val="6E9E2147"/>
    <w:rsid w:val="6EA163F5"/>
    <w:rsid w:val="6EA2262A"/>
    <w:rsid w:val="6EA30DF3"/>
    <w:rsid w:val="6EA7723A"/>
    <w:rsid w:val="6EA80A9E"/>
    <w:rsid w:val="6EAB316E"/>
    <w:rsid w:val="6EAC7541"/>
    <w:rsid w:val="6EAD3F31"/>
    <w:rsid w:val="6EAF2038"/>
    <w:rsid w:val="6EB02117"/>
    <w:rsid w:val="6EB032B3"/>
    <w:rsid w:val="6EB16A61"/>
    <w:rsid w:val="6EB2703C"/>
    <w:rsid w:val="6EB5235D"/>
    <w:rsid w:val="6EBB2680"/>
    <w:rsid w:val="6EBD7464"/>
    <w:rsid w:val="6EBF6614"/>
    <w:rsid w:val="6EC070E5"/>
    <w:rsid w:val="6EC91708"/>
    <w:rsid w:val="6EC93EDE"/>
    <w:rsid w:val="6ECC157B"/>
    <w:rsid w:val="6ECC5791"/>
    <w:rsid w:val="6ECC58ED"/>
    <w:rsid w:val="6ECD58F9"/>
    <w:rsid w:val="6ECF48DB"/>
    <w:rsid w:val="6EDD7C0F"/>
    <w:rsid w:val="6EDE19A6"/>
    <w:rsid w:val="6EE114AF"/>
    <w:rsid w:val="6EE25037"/>
    <w:rsid w:val="6EE3033A"/>
    <w:rsid w:val="6EE467CD"/>
    <w:rsid w:val="6EE8372C"/>
    <w:rsid w:val="6EEA019F"/>
    <w:rsid w:val="6EEF5477"/>
    <w:rsid w:val="6EF17DEC"/>
    <w:rsid w:val="6EF41F64"/>
    <w:rsid w:val="6EF67624"/>
    <w:rsid w:val="6EF70E24"/>
    <w:rsid w:val="6EFA06B8"/>
    <w:rsid w:val="6EFA671D"/>
    <w:rsid w:val="6EFC4E2C"/>
    <w:rsid w:val="6EFC4F57"/>
    <w:rsid w:val="6EFC5B0C"/>
    <w:rsid w:val="6F001D7B"/>
    <w:rsid w:val="6F054937"/>
    <w:rsid w:val="6F064074"/>
    <w:rsid w:val="6F080964"/>
    <w:rsid w:val="6F0A0648"/>
    <w:rsid w:val="6F0A34C2"/>
    <w:rsid w:val="6F0B6421"/>
    <w:rsid w:val="6F0C0561"/>
    <w:rsid w:val="6F0F047D"/>
    <w:rsid w:val="6F0F4072"/>
    <w:rsid w:val="6F1277AF"/>
    <w:rsid w:val="6F146796"/>
    <w:rsid w:val="6F1658B1"/>
    <w:rsid w:val="6F177EF1"/>
    <w:rsid w:val="6F1B0B22"/>
    <w:rsid w:val="6F1B4441"/>
    <w:rsid w:val="6F1B5297"/>
    <w:rsid w:val="6F1E43A6"/>
    <w:rsid w:val="6F1F0DD4"/>
    <w:rsid w:val="6F1F746A"/>
    <w:rsid w:val="6F251BFC"/>
    <w:rsid w:val="6F285504"/>
    <w:rsid w:val="6F290C21"/>
    <w:rsid w:val="6F336B50"/>
    <w:rsid w:val="6F344737"/>
    <w:rsid w:val="6F3B6F8F"/>
    <w:rsid w:val="6F3C3411"/>
    <w:rsid w:val="6F3F1121"/>
    <w:rsid w:val="6F441354"/>
    <w:rsid w:val="6F467246"/>
    <w:rsid w:val="6F471115"/>
    <w:rsid w:val="6F4B46DF"/>
    <w:rsid w:val="6F4E612F"/>
    <w:rsid w:val="6F520D8B"/>
    <w:rsid w:val="6F5850C7"/>
    <w:rsid w:val="6F596849"/>
    <w:rsid w:val="6F5D7020"/>
    <w:rsid w:val="6F611AA4"/>
    <w:rsid w:val="6F614293"/>
    <w:rsid w:val="6F630C97"/>
    <w:rsid w:val="6F65642D"/>
    <w:rsid w:val="6F667E90"/>
    <w:rsid w:val="6F67621F"/>
    <w:rsid w:val="6F693A71"/>
    <w:rsid w:val="6F6D4AA4"/>
    <w:rsid w:val="6F6D7BC5"/>
    <w:rsid w:val="6F6E603B"/>
    <w:rsid w:val="6F700889"/>
    <w:rsid w:val="6F711411"/>
    <w:rsid w:val="6F713749"/>
    <w:rsid w:val="6F71599A"/>
    <w:rsid w:val="6F7273D7"/>
    <w:rsid w:val="6F744797"/>
    <w:rsid w:val="6F7C4D29"/>
    <w:rsid w:val="6F7C5FB9"/>
    <w:rsid w:val="6F7F4FDA"/>
    <w:rsid w:val="6F894856"/>
    <w:rsid w:val="6F8C7554"/>
    <w:rsid w:val="6F8E4486"/>
    <w:rsid w:val="6F8F1EA7"/>
    <w:rsid w:val="6F932B01"/>
    <w:rsid w:val="6F957E91"/>
    <w:rsid w:val="6F9E4746"/>
    <w:rsid w:val="6FA72C68"/>
    <w:rsid w:val="6FA80F2D"/>
    <w:rsid w:val="6FA928C6"/>
    <w:rsid w:val="6FAB36E8"/>
    <w:rsid w:val="6FAB5CDE"/>
    <w:rsid w:val="6FAC17A7"/>
    <w:rsid w:val="6FAF5F91"/>
    <w:rsid w:val="6FB13FCA"/>
    <w:rsid w:val="6FB36912"/>
    <w:rsid w:val="6FB47E2F"/>
    <w:rsid w:val="6FB57002"/>
    <w:rsid w:val="6FB9727A"/>
    <w:rsid w:val="6FBD0995"/>
    <w:rsid w:val="6FBD2FCE"/>
    <w:rsid w:val="6FBE2553"/>
    <w:rsid w:val="6FBF2F50"/>
    <w:rsid w:val="6FCB01D0"/>
    <w:rsid w:val="6FCC0C02"/>
    <w:rsid w:val="6FCE112B"/>
    <w:rsid w:val="6FCE1C7C"/>
    <w:rsid w:val="6FD17D1B"/>
    <w:rsid w:val="6FD64C81"/>
    <w:rsid w:val="6FD806D2"/>
    <w:rsid w:val="6FD956FB"/>
    <w:rsid w:val="6FDB01EE"/>
    <w:rsid w:val="6FDB5F8B"/>
    <w:rsid w:val="6FE91E55"/>
    <w:rsid w:val="6FEB6AD3"/>
    <w:rsid w:val="6FF125BF"/>
    <w:rsid w:val="6FF208AA"/>
    <w:rsid w:val="6FF26B0B"/>
    <w:rsid w:val="6FFB0243"/>
    <w:rsid w:val="6FFB6D5C"/>
    <w:rsid w:val="6FFC08C9"/>
    <w:rsid w:val="6FFE7D95"/>
    <w:rsid w:val="700101C9"/>
    <w:rsid w:val="700311C6"/>
    <w:rsid w:val="70037C15"/>
    <w:rsid w:val="70041EA1"/>
    <w:rsid w:val="70076E09"/>
    <w:rsid w:val="700C5674"/>
    <w:rsid w:val="700D2BD5"/>
    <w:rsid w:val="700E5A5A"/>
    <w:rsid w:val="700E7B00"/>
    <w:rsid w:val="7013431B"/>
    <w:rsid w:val="701B325C"/>
    <w:rsid w:val="701E1E22"/>
    <w:rsid w:val="701E59DA"/>
    <w:rsid w:val="701F2A63"/>
    <w:rsid w:val="701F5621"/>
    <w:rsid w:val="70237A09"/>
    <w:rsid w:val="70277E9C"/>
    <w:rsid w:val="702820CB"/>
    <w:rsid w:val="702C664F"/>
    <w:rsid w:val="702E4CB2"/>
    <w:rsid w:val="702E716A"/>
    <w:rsid w:val="702F5572"/>
    <w:rsid w:val="70336CAE"/>
    <w:rsid w:val="70343ED9"/>
    <w:rsid w:val="703662AF"/>
    <w:rsid w:val="7037546E"/>
    <w:rsid w:val="703A140C"/>
    <w:rsid w:val="703B3944"/>
    <w:rsid w:val="70413FBB"/>
    <w:rsid w:val="7045236D"/>
    <w:rsid w:val="70487CF9"/>
    <w:rsid w:val="704B361D"/>
    <w:rsid w:val="704F7B15"/>
    <w:rsid w:val="70523E05"/>
    <w:rsid w:val="70535AEC"/>
    <w:rsid w:val="7056587A"/>
    <w:rsid w:val="70582A4E"/>
    <w:rsid w:val="70595AF0"/>
    <w:rsid w:val="705C3753"/>
    <w:rsid w:val="705F6047"/>
    <w:rsid w:val="70606D86"/>
    <w:rsid w:val="70613B9A"/>
    <w:rsid w:val="70614748"/>
    <w:rsid w:val="70660A3A"/>
    <w:rsid w:val="706775D7"/>
    <w:rsid w:val="706C4B21"/>
    <w:rsid w:val="706C6547"/>
    <w:rsid w:val="70762E93"/>
    <w:rsid w:val="70795C3D"/>
    <w:rsid w:val="707D5A59"/>
    <w:rsid w:val="707F5860"/>
    <w:rsid w:val="707F6F2F"/>
    <w:rsid w:val="70800ABC"/>
    <w:rsid w:val="708145F0"/>
    <w:rsid w:val="70840E49"/>
    <w:rsid w:val="70857070"/>
    <w:rsid w:val="708610D0"/>
    <w:rsid w:val="708C2B29"/>
    <w:rsid w:val="708D4ADB"/>
    <w:rsid w:val="708F4275"/>
    <w:rsid w:val="709206F3"/>
    <w:rsid w:val="70945E5B"/>
    <w:rsid w:val="70951B96"/>
    <w:rsid w:val="709C4151"/>
    <w:rsid w:val="709F6018"/>
    <w:rsid w:val="70A203E9"/>
    <w:rsid w:val="70A25471"/>
    <w:rsid w:val="70A40548"/>
    <w:rsid w:val="70A41417"/>
    <w:rsid w:val="70A5621E"/>
    <w:rsid w:val="70A9598B"/>
    <w:rsid w:val="70AA155F"/>
    <w:rsid w:val="70AB402B"/>
    <w:rsid w:val="70AC56E7"/>
    <w:rsid w:val="70AE4712"/>
    <w:rsid w:val="70B0372E"/>
    <w:rsid w:val="70B2306D"/>
    <w:rsid w:val="70BA0DD5"/>
    <w:rsid w:val="70BB66D9"/>
    <w:rsid w:val="70BC286C"/>
    <w:rsid w:val="70BE6942"/>
    <w:rsid w:val="70BF6D6C"/>
    <w:rsid w:val="70BF7DE7"/>
    <w:rsid w:val="70C162C7"/>
    <w:rsid w:val="70C25013"/>
    <w:rsid w:val="70C41399"/>
    <w:rsid w:val="70C70C4E"/>
    <w:rsid w:val="70CA338D"/>
    <w:rsid w:val="70D13EC9"/>
    <w:rsid w:val="70D253FD"/>
    <w:rsid w:val="70D9199C"/>
    <w:rsid w:val="70D934E3"/>
    <w:rsid w:val="70D94A29"/>
    <w:rsid w:val="70DA60AB"/>
    <w:rsid w:val="70DB40D7"/>
    <w:rsid w:val="70E132FF"/>
    <w:rsid w:val="70E53F5D"/>
    <w:rsid w:val="70E63C74"/>
    <w:rsid w:val="70E76A1A"/>
    <w:rsid w:val="70E83423"/>
    <w:rsid w:val="70F04063"/>
    <w:rsid w:val="70F25AEA"/>
    <w:rsid w:val="70F36131"/>
    <w:rsid w:val="70F5617C"/>
    <w:rsid w:val="70FA1B16"/>
    <w:rsid w:val="70FB4D50"/>
    <w:rsid w:val="70FE577E"/>
    <w:rsid w:val="71033854"/>
    <w:rsid w:val="710805D7"/>
    <w:rsid w:val="710A56D2"/>
    <w:rsid w:val="710B46CD"/>
    <w:rsid w:val="710E2C80"/>
    <w:rsid w:val="710E7A93"/>
    <w:rsid w:val="710F511C"/>
    <w:rsid w:val="710F66AA"/>
    <w:rsid w:val="711234F6"/>
    <w:rsid w:val="7114649F"/>
    <w:rsid w:val="71165FD9"/>
    <w:rsid w:val="711845D1"/>
    <w:rsid w:val="711C0C2C"/>
    <w:rsid w:val="711C252F"/>
    <w:rsid w:val="711E7411"/>
    <w:rsid w:val="7121447C"/>
    <w:rsid w:val="712658C4"/>
    <w:rsid w:val="712C26FC"/>
    <w:rsid w:val="712C2B9C"/>
    <w:rsid w:val="712E483D"/>
    <w:rsid w:val="713200A4"/>
    <w:rsid w:val="71324139"/>
    <w:rsid w:val="7134173D"/>
    <w:rsid w:val="71373C3D"/>
    <w:rsid w:val="713752AB"/>
    <w:rsid w:val="71392DF3"/>
    <w:rsid w:val="713D1537"/>
    <w:rsid w:val="713E28BC"/>
    <w:rsid w:val="713F564D"/>
    <w:rsid w:val="71434C23"/>
    <w:rsid w:val="7145341C"/>
    <w:rsid w:val="714661A8"/>
    <w:rsid w:val="714754D2"/>
    <w:rsid w:val="71486C8E"/>
    <w:rsid w:val="714C32DB"/>
    <w:rsid w:val="714C4BB4"/>
    <w:rsid w:val="7150344E"/>
    <w:rsid w:val="715042C2"/>
    <w:rsid w:val="71540961"/>
    <w:rsid w:val="715772D6"/>
    <w:rsid w:val="71585890"/>
    <w:rsid w:val="71615FE4"/>
    <w:rsid w:val="71657C30"/>
    <w:rsid w:val="716A5579"/>
    <w:rsid w:val="716D1C63"/>
    <w:rsid w:val="7175058A"/>
    <w:rsid w:val="717571EC"/>
    <w:rsid w:val="71757A16"/>
    <w:rsid w:val="7179632E"/>
    <w:rsid w:val="71805F6D"/>
    <w:rsid w:val="718273CC"/>
    <w:rsid w:val="718276B7"/>
    <w:rsid w:val="71891519"/>
    <w:rsid w:val="718967DC"/>
    <w:rsid w:val="718B579D"/>
    <w:rsid w:val="718B5C5F"/>
    <w:rsid w:val="719B0843"/>
    <w:rsid w:val="719D200A"/>
    <w:rsid w:val="719E1D8C"/>
    <w:rsid w:val="719F4894"/>
    <w:rsid w:val="71A004CD"/>
    <w:rsid w:val="71A16BC9"/>
    <w:rsid w:val="71A63F1C"/>
    <w:rsid w:val="71A655FC"/>
    <w:rsid w:val="71A7321A"/>
    <w:rsid w:val="71A861A9"/>
    <w:rsid w:val="71AB4DA7"/>
    <w:rsid w:val="71AC1474"/>
    <w:rsid w:val="71AD7CC7"/>
    <w:rsid w:val="71B06C24"/>
    <w:rsid w:val="71B46D9E"/>
    <w:rsid w:val="71B538A4"/>
    <w:rsid w:val="71BA0011"/>
    <w:rsid w:val="71BF6817"/>
    <w:rsid w:val="71C070B9"/>
    <w:rsid w:val="71C5756B"/>
    <w:rsid w:val="71C716DA"/>
    <w:rsid w:val="71C7381E"/>
    <w:rsid w:val="71D4649E"/>
    <w:rsid w:val="71D507E3"/>
    <w:rsid w:val="71D87B98"/>
    <w:rsid w:val="71DF2FC1"/>
    <w:rsid w:val="71E05697"/>
    <w:rsid w:val="71E05C67"/>
    <w:rsid w:val="71E125CD"/>
    <w:rsid w:val="71E236BB"/>
    <w:rsid w:val="71E45020"/>
    <w:rsid w:val="71E8030F"/>
    <w:rsid w:val="71EA3A04"/>
    <w:rsid w:val="71EA3EA0"/>
    <w:rsid w:val="71EC540D"/>
    <w:rsid w:val="71F118FE"/>
    <w:rsid w:val="71F13BE0"/>
    <w:rsid w:val="71F52AC2"/>
    <w:rsid w:val="71F96ED0"/>
    <w:rsid w:val="71FC1ED9"/>
    <w:rsid w:val="71FD35A7"/>
    <w:rsid w:val="71FD5EFF"/>
    <w:rsid w:val="72043DE1"/>
    <w:rsid w:val="720712F0"/>
    <w:rsid w:val="72086C91"/>
    <w:rsid w:val="72090E31"/>
    <w:rsid w:val="720B0135"/>
    <w:rsid w:val="720B01D8"/>
    <w:rsid w:val="720D5A53"/>
    <w:rsid w:val="72100F11"/>
    <w:rsid w:val="72113E6B"/>
    <w:rsid w:val="721276C2"/>
    <w:rsid w:val="72130863"/>
    <w:rsid w:val="72165E16"/>
    <w:rsid w:val="72171CA2"/>
    <w:rsid w:val="721C1E0B"/>
    <w:rsid w:val="722B6536"/>
    <w:rsid w:val="7230020C"/>
    <w:rsid w:val="7234778F"/>
    <w:rsid w:val="72355724"/>
    <w:rsid w:val="72361A07"/>
    <w:rsid w:val="72392A72"/>
    <w:rsid w:val="723971E6"/>
    <w:rsid w:val="723A1831"/>
    <w:rsid w:val="723D3A45"/>
    <w:rsid w:val="723E3050"/>
    <w:rsid w:val="7241546A"/>
    <w:rsid w:val="72455D81"/>
    <w:rsid w:val="72490927"/>
    <w:rsid w:val="724920B6"/>
    <w:rsid w:val="72507F39"/>
    <w:rsid w:val="7251506B"/>
    <w:rsid w:val="72566B4F"/>
    <w:rsid w:val="72585114"/>
    <w:rsid w:val="725C7AA4"/>
    <w:rsid w:val="725E3CB8"/>
    <w:rsid w:val="725F6385"/>
    <w:rsid w:val="726649EB"/>
    <w:rsid w:val="72684AB5"/>
    <w:rsid w:val="726C4C68"/>
    <w:rsid w:val="726E0BC0"/>
    <w:rsid w:val="72724B59"/>
    <w:rsid w:val="72730387"/>
    <w:rsid w:val="7275169E"/>
    <w:rsid w:val="727642A1"/>
    <w:rsid w:val="72791A12"/>
    <w:rsid w:val="72792B30"/>
    <w:rsid w:val="727C53E4"/>
    <w:rsid w:val="727D533F"/>
    <w:rsid w:val="727D7F16"/>
    <w:rsid w:val="72824319"/>
    <w:rsid w:val="72842772"/>
    <w:rsid w:val="72843956"/>
    <w:rsid w:val="7286251B"/>
    <w:rsid w:val="728A5F00"/>
    <w:rsid w:val="728C0CC6"/>
    <w:rsid w:val="72927EBD"/>
    <w:rsid w:val="72930546"/>
    <w:rsid w:val="72937AA8"/>
    <w:rsid w:val="72956E0F"/>
    <w:rsid w:val="729612E8"/>
    <w:rsid w:val="72980EEB"/>
    <w:rsid w:val="72996809"/>
    <w:rsid w:val="72A1683D"/>
    <w:rsid w:val="72A51309"/>
    <w:rsid w:val="72A602DA"/>
    <w:rsid w:val="72A61F54"/>
    <w:rsid w:val="72A626D2"/>
    <w:rsid w:val="72A87631"/>
    <w:rsid w:val="72B017B9"/>
    <w:rsid w:val="72B05BA1"/>
    <w:rsid w:val="72B3013C"/>
    <w:rsid w:val="72B31F37"/>
    <w:rsid w:val="72B33777"/>
    <w:rsid w:val="72B57D1D"/>
    <w:rsid w:val="72B72E1E"/>
    <w:rsid w:val="72BA162E"/>
    <w:rsid w:val="72BB2750"/>
    <w:rsid w:val="72BB539E"/>
    <w:rsid w:val="72BC0503"/>
    <w:rsid w:val="72BC5654"/>
    <w:rsid w:val="72BC6995"/>
    <w:rsid w:val="72BE6B4E"/>
    <w:rsid w:val="72BF2A63"/>
    <w:rsid w:val="72C263C9"/>
    <w:rsid w:val="72C54B39"/>
    <w:rsid w:val="72C964B4"/>
    <w:rsid w:val="72CA3B57"/>
    <w:rsid w:val="72CC10B6"/>
    <w:rsid w:val="72CE1F49"/>
    <w:rsid w:val="72CE59FE"/>
    <w:rsid w:val="72D21533"/>
    <w:rsid w:val="72D43106"/>
    <w:rsid w:val="72D973C0"/>
    <w:rsid w:val="72DA436C"/>
    <w:rsid w:val="72DB610A"/>
    <w:rsid w:val="72DD00D4"/>
    <w:rsid w:val="72DD7CE7"/>
    <w:rsid w:val="72E50C16"/>
    <w:rsid w:val="72E63D1F"/>
    <w:rsid w:val="72EA1602"/>
    <w:rsid w:val="72ED556C"/>
    <w:rsid w:val="72EE0EB5"/>
    <w:rsid w:val="72F052DE"/>
    <w:rsid w:val="72F666AA"/>
    <w:rsid w:val="72F84F0E"/>
    <w:rsid w:val="72F8751F"/>
    <w:rsid w:val="72FA761C"/>
    <w:rsid w:val="730255D0"/>
    <w:rsid w:val="73026341"/>
    <w:rsid w:val="7304021C"/>
    <w:rsid w:val="73093180"/>
    <w:rsid w:val="73117892"/>
    <w:rsid w:val="7314097E"/>
    <w:rsid w:val="7315042D"/>
    <w:rsid w:val="73155DC7"/>
    <w:rsid w:val="73170C9C"/>
    <w:rsid w:val="73172586"/>
    <w:rsid w:val="73200474"/>
    <w:rsid w:val="73226F65"/>
    <w:rsid w:val="7323022A"/>
    <w:rsid w:val="73244059"/>
    <w:rsid w:val="7326434F"/>
    <w:rsid w:val="73274A5A"/>
    <w:rsid w:val="73285E21"/>
    <w:rsid w:val="732C0180"/>
    <w:rsid w:val="732E26DE"/>
    <w:rsid w:val="732E6B82"/>
    <w:rsid w:val="7330662D"/>
    <w:rsid w:val="73324D9E"/>
    <w:rsid w:val="7336039A"/>
    <w:rsid w:val="733A0AAE"/>
    <w:rsid w:val="733C6694"/>
    <w:rsid w:val="733F0D8F"/>
    <w:rsid w:val="73403296"/>
    <w:rsid w:val="734231A5"/>
    <w:rsid w:val="73462432"/>
    <w:rsid w:val="734720F8"/>
    <w:rsid w:val="73480A85"/>
    <w:rsid w:val="734A37EF"/>
    <w:rsid w:val="734B03DF"/>
    <w:rsid w:val="734B7734"/>
    <w:rsid w:val="734B77D3"/>
    <w:rsid w:val="734D4442"/>
    <w:rsid w:val="734F77F8"/>
    <w:rsid w:val="73506E68"/>
    <w:rsid w:val="73544F4C"/>
    <w:rsid w:val="735639BF"/>
    <w:rsid w:val="735848BE"/>
    <w:rsid w:val="73591E51"/>
    <w:rsid w:val="735F4FE0"/>
    <w:rsid w:val="7362201C"/>
    <w:rsid w:val="73630676"/>
    <w:rsid w:val="73633B03"/>
    <w:rsid w:val="7364136F"/>
    <w:rsid w:val="73647975"/>
    <w:rsid w:val="7365283D"/>
    <w:rsid w:val="736A6DBA"/>
    <w:rsid w:val="736B4D4D"/>
    <w:rsid w:val="736D4121"/>
    <w:rsid w:val="73705B4F"/>
    <w:rsid w:val="73732452"/>
    <w:rsid w:val="73772B09"/>
    <w:rsid w:val="73794ECD"/>
    <w:rsid w:val="737A24C2"/>
    <w:rsid w:val="737C5CFE"/>
    <w:rsid w:val="737C78ED"/>
    <w:rsid w:val="73811A9F"/>
    <w:rsid w:val="73816CB2"/>
    <w:rsid w:val="73835C4B"/>
    <w:rsid w:val="738677C1"/>
    <w:rsid w:val="7387368E"/>
    <w:rsid w:val="738A025C"/>
    <w:rsid w:val="738B4A4B"/>
    <w:rsid w:val="738B5B15"/>
    <w:rsid w:val="738F312B"/>
    <w:rsid w:val="739252E3"/>
    <w:rsid w:val="73996BE3"/>
    <w:rsid w:val="739D084E"/>
    <w:rsid w:val="739D1454"/>
    <w:rsid w:val="73A12F31"/>
    <w:rsid w:val="73A26A7D"/>
    <w:rsid w:val="73A75E93"/>
    <w:rsid w:val="73AC0B41"/>
    <w:rsid w:val="73AD075C"/>
    <w:rsid w:val="73B159E0"/>
    <w:rsid w:val="73BA25AC"/>
    <w:rsid w:val="73BD2BD0"/>
    <w:rsid w:val="73BE53C3"/>
    <w:rsid w:val="73BE562F"/>
    <w:rsid w:val="73C023EB"/>
    <w:rsid w:val="73C346EF"/>
    <w:rsid w:val="73C8221E"/>
    <w:rsid w:val="73C9035E"/>
    <w:rsid w:val="73CA0DD1"/>
    <w:rsid w:val="73CD2556"/>
    <w:rsid w:val="73CD26E1"/>
    <w:rsid w:val="73CE1DB8"/>
    <w:rsid w:val="73CE6057"/>
    <w:rsid w:val="73CF3EC1"/>
    <w:rsid w:val="73CF782A"/>
    <w:rsid w:val="73D56C91"/>
    <w:rsid w:val="73D609D1"/>
    <w:rsid w:val="73D66388"/>
    <w:rsid w:val="73D70421"/>
    <w:rsid w:val="73D72D6F"/>
    <w:rsid w:val="73D72D76"/>
    <w:rsid w:val="73DD0E66"/>
    <w:rsid w:val="73E10AE6"/>
    <w:rsid w:val="73E2290D"/>
    <w:rsid w:val="73E415BD"/>
    <w:rsid w:val="73E46F9F"/>
    <w:rsid w:val="73E703F4"/>
    <w:rsid w:val="73EC18E6"/>
    <w:rsid w:val="73EC640A"/>
    <w:rsid w:val="73F11AAC"/>
    <w:rsid w:val="73F211C9"/>
    <w:rsid w:val="73F545BB"/>
    <w:rsid w:val="73F56E0E"/>
    <w:rsid w:val="73F9444D"/>
    <w:rsid w:val="73FB6A64"/>
    <w:rsid w:val="73FC13DF"/>
    <w:rsid w:val="73FF08CF"/>
    <w:rsid w:val="7402495F"/>
    <w:rsid w:val="740C3E40"/>
    <w:rsid w:val="740D2C3B"/>
    <w:rsid w:val="74137BED"/>
    <w:rsid w:val="741E72C6"/>
    <w:rsid w:val="741F002B"/>
    <w:rsid w:val="74223602"/>
    <w:rsid w:val="74225189"/>
    <w:rsid w:val="74253169"/>
    <w:rsid w:val="74253D00"/>
    <w:rsid w:val="742731EB"/>
    <w:rsid w:val="742765C9"/>
    <w:rsid w:val="742C30C1"/>
    <w:rsid w:val="7430528B"/>
    <w:rsid w:val="743243FE"/>
    <w:rsid w:val="74325189"/>
    <w:rsid w:val="74332C31"/>
    <w:rsid w:val="74353A48"/>
    <w:rsid w:val="74374088"/>
    <w:rsid w:val="74383409"/>
    <w:rsid w:val="7439278E"/>
    <w:rsid w:val="743C603D"/>
    <w:rsid w:val="744019D6"/>
    <w:rsid w:val="7441563F"/>
    <w:rsid w:val="744651BA"/>
    <w:rsid w:val="744651CD"/>
    <w:rsid w:val="74466838"/>
    <w:rsid w:val="7449748B"/>
    <w:rsid w:val="744C2F6B"/>
    <w:rsid w:val="74504D95"/>
    <w:rsid w:val="7452093F"/>
    <w:rsid w:val="74553339"/>
    <w:rsid w:val="74597830"/>
    <w:rsid w:val="745A5E80"/>
    <w:rsid w:val="745B435A"/>
    <w:rsid w:val="745D6DDC"/>
    <w:rsid w:val="745E6FF3"/>
    <w:rsid w:val="74607DA7"/>
    <w:rsid w:val="74627647"/>
    <w:rsid w:val="746622E4"/>
    <w:rsid w:val="746821B0"/>
    <w:rsid w:val="74694A46"/>
    <w:rsid w:val="746A3DD5"/>
    <w:rsid w:val="746E5CAF"/>
    <w:rsid w:val="746F1740"/>
    <w:rsid w:val="747212D1"/>
    <w:rsid w:val="74722C60"/>
    <w:rsid w:val="74741CDF"/>
    <w:rsid w:val="747566C9"/>
    <w:rsid w:val="747B1FEA"/>
    <w:rsid w:val="747B2EED"/>
    <w:rsid w:val="747D01AA"/>
    <w:rsid w:val="747F2A4C"/>
    <w:rsid w:val="747F4559"/>
    <w:rsid w:val="747F7469"/>
    <w:rsid w:val="7483789B"/>
    <w:rsid w:val="74841499"/>
    <w:rsid w:val="7484187D"/>
    <w:rsid w:val="748922C2"/>
    <w:rsid w:val="748A1283"/>
    <w:rsid w:val="748C4FA0"/>
    <w:rsid w:val="748D2CCE"/>
    <w:rsid w:val="748E1F74"/>
    <w:rsid w:val="74916068"/>
    <w:rsid w:val="749377BC"/>
    <w:rsid w:val="7497290E"/>
    <w:rsid w:val="74977D24"/>
    <w:rsid w:val="74986C70"/>
    <w:rsid w:val="749C51ED"/>
    <w:rsid w:val="74A13471"/>
    <w:rsid w:val="74A3517D"/>
    <w:rsid w:val="74A457DE"/>
    <w:rsid w:val="74AA0F9A"/>
    <w:rsid w:val="74B17705"/>
    <w:rsid w:val="74B61363"/>
    <w:rsid w:val="74B705B0"/>
    <w:rsid w:val="74B906DA"/>
    <w:rsid w:val="74B92160"/>
    <w:rsid w:val="74BC3895"/>
    <w:rsid w:val="74BC3CE6"/>
    <w:rsid w:val="74BF5C09"/>
    <w:rsid w:val="74BF74BA"/>
    <w:rsid w:val="74C17342"/>
    <w:rsid w:val="74C27162"/>
    <w:rsid w:val="74C40172"/>
    <w:rsid w:val="74C45400"/>
    <w:rsid w:val="74C71DE3"/>
    <w:rsid w:val="74C940A1"/>
    <w:rsid w:val="74CE26E2"/>
    <w:rsid w:val="74CF13B0"/>
    <w:rsid w:val="74D079C5"/>
    <w:rsid w:val="74D24B74"/>
    <w:rsid w:val="74D379E1"/>
    <w:rsid w:val="74D61BC8"/>
    <w:rsid w:val="74D76614"/>
    <w:rsid w:val="74DB62DB"/>
    <w:rsid w:val="74DC6A53"/>
    <w:rsid w:val="74E05A36"/>
    <w:rsid w:val="74E46ABD"/>
    <w:rsid w:val="74E60F92"/>
    <w:rsid w:val="74F13466"/>
    <w:rsid w:val="74F301C2"/>
    <w:rsid w:val="74F80234"/>
    <w:rsid w:val="74F8393F"/>
    <w:rsid w:val="74FA4152"/>
    <w:rsid w:val="74FD4A5E"/>
    <w:rsid w:val="74FE0F72"/>
    <w:rsid w:val="74FE320A"/>
    <w:rsid w:val="750108DD"/>
    <w:rsid w:val="750258D7"/>
    <w:rsid w:val="75052316"/>
    <w:rsid w:val="75093403"/>
    <w:rsid w:val="750B22EA"/>
    <w:rsid w:val="750C3118"/>
    <w:rsid w:val="75112E68"/>
    <w:rsid w:val="75136EFF"/>
    <w:rsid w:val="75155C46"/>
    <w:rsid w:val="751D2C88"/>
    <w:rsid w:val="751D420A"/>
    <w:rsid w:val="751E5CC1"/>
    <w:rsid w:val="751E690A"/>
    <w:rsid w:val="752145AA"/>
    <w:rsid w:val="75221A05"/>
    <w:rsid w:val="752231FE"/>
    <w:rsid w:val="75245508"/>
    <w:rsid w:val="75246200"/>
    <w:rsid w:val="75262F5E"/>
    <w:rsid w:val="75284200"/>
    <w:rsid w:val="75285314"/>
    <w:rsid w:val="75286165"/>
    <w:rsid w:val="752952EB"/>
    <w:rsid w:val="752A1C42"/>
    <w:rsid w:val="752B6CB3"/>
    <w:rsid w:val="752E2E69"/>
    <w:rsid w:val="7536035E"/>
    <w:rsid w:val="75385A96"/>
    <w:rsid w:val="753B6CFC"/>
    <w:rsid w:val="753F6D7D"/>
    <w:rsid w:val="75434E2F"/>
    <w:rsid w:val="754834D4"/>
    <w:rsid w:val="7549560E"/>
    <w:rsid w:val="754A4031"/>
    <w:rsid w:val="754A63FA"/>
    <w:rsid w:val="754B220A"/>
    <w:rsid w:val="754C1FDF"/>
    <w:rsid w:val="754C32EF"/>
    <w:rsid w:val="754C7D8D"/>
    <w:rsid w:val="754D3905"/>
    <w:rsid w:val="754E0E32"/>
    <w:rsid w:val="75513346"/>
    <w:rsid w:val="75552838"/>
    <w:rsid w:val="755643E0"/>
    <w:rsid w:val="75573270"/>
    <w:rsid w:val="75595538"/>
    <w:rsid w:val="75625330"/>
    <w:rsid w:val="756D555B"/>
    <w:rsid w:val="75705F95"/>
    <w:rsid w:val="7570680E"/>
    <w:rsid w:val="75722D56"/>
    <w:rsid w:val="757530F6"/>
    <w:rsid w:val="757765BE"/>
    <w:rsid w:val="757A2C3A"/>
    <w:rsid w:val="757D4FA5"/>
    <w:rsid w:val="757E5E9D"/>
    <w:rsid w:val="757F44C7"/>
    <w:rsid w:val="758350C2"/>
    <w:rsid w:val="75867ED3"/>
    <w:rsid w:val="758D7824"/>
    <w:rsid w:val="75905B9E"/>
    <w:rsid w:val="75921871"/>
    <w:rsid w:val="75932CCC"/>
    <w:rsid w:val="75940CF0"/>
    <w:rsid w:val="75957C88"/>
    <w:rsid w:val="75994786"/>
    <w:rsid w:val="759B2B10"/>
    <w:rsid w:val="759B3ACE"/>
    <w:rsid w:val="759B64B5"/>
    <w:rsid w:val="759B75AD"/>
    <w:rsid w:val="759D7F51"/>
    <w:rsid w:val="759F3EF7"/>
    <w:rsid w:val="759F4E8E"/>
    <w:rsid w:val="759F6388"/>
    <w:rsid w:val="75A01508"/>
    <w:rsid w:val="75A4719B"/>
    <w:rsid w:val="75A57CEF"/>
    <w:rsid w:val="75A66EA3"/>
    <w:rsid w:val="75A708BD"/>
    <w:rsid w:val="75AA186D"/>
    <w:rsid w:val="75AA2512"/>
    <w:rsid w:val="75AB5500"/>
    <w:rsid w:val="75B15221"/>
    <w:rsid w:val="75B23DEB"/>
    <w:rsid w:val="75B3213E"/>
    <w:rsid w:val="75B53C6D"/>
    <w:rsid w:val="75B8234D"/>
    <w:rsid w:val="75B859D0"/>
    <w:rsid w:val="75BC34B6"/>
    <w:rsid w:val="75BC4E88"/>
    <w:rsid w:val="75BE3C46"/>
    <w:rsid w:val="75BF4A61"/>
    <w:rsid w:val="75C36658"/>
    <w:rsid w:val="75C51F6C"/>
    <w:rsid w:val="75C76E00"/>
    <w:rsid w:val="75CA2E5B"/>
    <w:rsid w:val="75CA5770"/>
    <w:rsid w:val="75CF4942"/>
    <w:rsid w:val="75CF6591"/>
    <w:rsid w:val="75D32AF0"/>
    <w:rsid w:val="75D53F1E"/>
    <w:rsid w:val="75D63FFE"/>
    <w:rsid w:val="75D810A1"/>
    <w:rsid w:val="75D92DD5"/>
    <w:rsid w:val="75DA282B"/>
    <w:rsid w:val="75DA5344"/>
    <w:rsid w:val="75DD30AF"/>
    <w:rsid w:val="75DE28D2"/>
    <w:rsid w:val="75E25C51"/>
    <w:rsid w:val="75E95492"/>
    <w:rsid w:val="75EB25BF"/>
    <w:rsid w:val="75EC034A"/>
    <w:rsid w:val="75FB031C"/>
    <w:rsid w:val="76011F4A"/>
    <w:rsid w:val="76073A8E"/>
    <w:rsid w:val="760A2DD4"/>
    <w:rsid w:val="76100AC8"/>
    <w:rsid w:val="76123486"/>
    <w:rsid w:val="76146659"/>
    <w:rsid w:val="761835A9"/>
    <w:rsid w:val="7618678B"/>
    <w:rsid w:val="761D154C"/>
    <w:rsid w:val="76204EEF"/>
    <w:rsid w:val="76220DF4"/>
    <w:rsid w:val="76254F6A"/>
    <w:rsid w:val="76264D50"/>
    <w:rsid w:val="76266077"/>
    <w:rsid w:val="762D3121"/>
    <w:rsid w:val="762F50EB"/>
    <w:rsid w:val="7636315A"/>
    <w:rsid w:val="763666CB"/>
    <w:rsid w:val="7637425D"/>
    <w:rsid w:val="763B463E"/>
    <w:rsid w:val="763B5EAA"/>
    <w:rsid w:val="763C15B6"/>
    <w:rsid w:val="763C6AC7"/>
    <w:rsid w:val="763E7E1D"/>
    <w:rsid w:val="76424FBE"/>
    <w:rsid w:val="764306EF"/>
    <w:rsid w:val="764500F2"/>
    <w:rsid w:val="7645377C"/>
    <w:rsid w:val="7645769D"/>
    <w:rsid w:val="764C210C"/>
    <w:rsid w:val="76502DD4"/>
    <w:rsid w:val="7650410A"/>
    <w:rsid w:val="76563337"/>
    <w:rsid w:val="765A7645"/>
    <w:rsid w:val="765D7C32"/>
    <w:rsid w:val="765F3F80"/>
    <w:rsid w:val="765F7530"/>
    <w:rsid w:val="76610DB3"/>
    <w:rsid w:val="76621CFC"/>
    <w:rsid w:val="76622CB6"/>
    <w:rsid w:val="76622E8E"/>
    <w:rsid w:val="76650D15"/>
    <w:rsid w:val="766740A1"/>
    <w:rsid w:val="766A7EB7"/>
    <w:rsid w:val="766C2087"/>
    <w:rsid w:val="76705F0C"/>
    <w:rsid w:val="76727AA2"/>
    <w:rsid w:val="767570D4"/>
    <w:rsid w:val="76782D11"/>
    <w:rsid w:val="767915E6"/>
    <w:rsid w:val="76796294"/>
    <w:rsid w:val="767A68D1"/>
    <w:rsid w:val="767B3E8C"/>
    <w:rsid w:val="76851986"/>
    <w:rsid w:val="76861E36"/>
    <w:rsid w:val="768B7AD1"/>
    <w:rsid w:val="768E2EBE"/>
    <w:rsid w:val="768E4E3E"/>
    <w:rsid w:val="769370EE"/>
    <w:rsid w:val="76945EE6"/>
    <w:rsid w:val="76946912"/>
    <w:rsid w:val="769D2585"/>
    <w:rsid w:val="76A22C56"/>
    <w:rsid w:val="76A24BC3"/>
    <w:rsid w:val="76A515B5"/>
    <w:rsid w:val="76A56B45"/>
    <w:rsid w:val="76AF6189"/>
    <w:rsid w:val="76B178AE"/>
    <w:rsid w:val="76B31406"/>
    <w:rsid w:val="76B54DAA"/>
    <w:rsid w:val="76B600C1"/>
    <w:rsid w:val="76B7749B"/>
    <w:rsid w:val="76BD0099"/>
    <w:rsid w:val="76BD27DA"/>
    <w:rsid w:val="76BD67E7"/>
    <w:rsid w:val="76BD6CD4"/>
    <w:rsid w:val="76BE28AC"/>
    <w:rsid w:val="76C05737"/>
    <w:rsid w:val="76C41720"/>
    <w:rsid w:val="76CD399F"/>
    <w:rsid w:val="76D13049"/>
    <w:rsid w:val="76D157FF"/>
    <w:rsid w:val="76D87345"/>
    <w:rsid w:val="76D936DC"/>
    <w:rsid w:val="76DA32A9"/>
    <w:rsid w:val="76E25AA2"/>
    <w:rsid w:val="76E46FCC"/>
    <w:rsid w:val="76E4756C"/>
    <w:rsid w:val="76E714B1"/>
    <w:rsid w:val="76E842DB"/>
    <w:rsid w:val="76EA04BD"/>
    <w:rsid w:val="76EE0575"/>
    <w:rsid w:val="76EE58AD"/>
    <w:rsid w:val="76EF3DEE"/>
    <w:rsid w:val="76EF4B7B"/>
    <w:rsid w:val="76F549A8"/>
    <w:rsid w:val="76FC704E"/>
    <w:rsid w:val="76FF0B78"/>
    <w:rsid w:val="770C1961"/>
    <w:rsid w:val="770F3EF6"/>
    <w:rsid w:val="77107440"/>
    <w:rsid w:val="7713277F"/>
    <w:rsid w:val="771518D3"/>
    <w:rsid w:val="77152863"/>
    <w:rsid w:val="77190122"/>
    <w:rsid w:val="771927D0"/>
    <w:rsid w:val="77207A79"/>
    <w:rsid w:val="77215FA8"/>
    <w:rsid w:val="772169B7"/>
    <w:rsid w:val="772223CE"/>
    <w:rsid w:val="77266FE7"/>
    <w:rsid w:val="772848A0"/>
    <w:rsid w:val="772B7954"/>
    <w:rsid w:val="77303BA0"/>
    <w:rsid w:val="773334B2"/>
    <w:rsid w:val="77336AA0"/>
    <w:rsid w:val="77346E88"/>
    <w:rsid w:val="77347BB3"/>
    <w:rsid w:val="77373CAB"/>
    <w:rsid w:val="7739787A"/>
    <w:rsid w:val="773A1095"/>
    <w:rsid w:val="77414EDD"/>
    <w:rsid w:val="774557C6"/>
    <w:rsid w:val="774951C0"/>
    <w:rsid w:val="774D615E"/>
    <w:rsid w:val="7750368C"/>
    <w:rsid w:val="77560455"/>
    <w:rsid w:val="775919C0"/>
    <w:rsid w:val="7759643A"/>
    <w:rsid w:val="775A5C04"/>
    <w:rsid w:val="775D3F1B"/>
    <w:rsid w:val="7760783E"/>
    <w:rsid w:val="77667502"/>
    <w:rsid w:val="77674632"/>
    <w:rsid w:val="77692691"/>
    <w:rsid w:val="776A2ADA"/>
    <w:rsid w:val="776E2AD3"/>
    <w:rsid w:val="776E3C95"/>
    <w:rsid w:val="7770634A"/>
    <w:rsid w:val="7771421E"/>
    <w:rsid w:val="77737AD7"/>
    <w:rsid w:val="77754D6F"/>
    <w:rsid w:val="7776232F"/>
    <w:rsid w:val="77766FE8"/>
    <w:rsid w:val="77773222"/>
    <w:rsid w:val="77784179"/>
    <w:rsid w:val="77817631"/>
    <w:rsid w:val="7785692E"/>
    <w:rsid w:val="778B1DFE"/>
    <w:rsid w:val="778C2824"/>
    <w:rsid w:val="7793469A"/>
    <w:rsid w:val="77937C49"/>
    <w:rsid w:val="77951FE1"/>
    <w:rsid w:val="779551F6"/>
    <w:rsid w:val="779805D4"/>
    <w:rsid w:val="779B2E87"/>
    <w:rsid w:val="779C51EE"/>
    <w:rsid w:val="779C726C"/>
    <w:rsid w:val="779F080F"/>
    <w:rsid w:val="77A32AF5"/>
    <w:rsid w:val="77A802AF"/>
    <w:rsid w:val="77A862F1"/>
    <w:rsid w:val="77A86DF8"/>
    <w:rsid w:val="77A9528F"/>
    <w:rsid w:val="77AB3E28"/>
    <w:rsid w:val="77B01DAD"/>
    <w:rsid w:val="77B1285F"/>
    <w:rsid w:val="77B14772"/>
    <w:rsid w:val="77B33945"/>
    <w:rsid w:val="77B45EFF"/>
    <w:rsid w:val="77B70519"/>
    <w:rsid w:val="77B8645C"/>
    <w:rsid w:val="77BF509E"/>
    <w:rsid w:val="77C108D5"/>
    <w:rsid w:val="77C1275B"/>
    <w:rsid w:val="77C23131"/>
    <w:rsid w:val="77C3148E"/>
    <w:rsid w:val="77C44D68"/>
    <w:rsid w:val="77CD2F41"/>
    <w:rsid w:val="77CE088D"/>
    <w:rsid w:val="77CF7615"/>
    <w:rsid w:val="77D16DC4"/>
    <w:rsid w:val="77D306F7"/>
    <w:rsid w:val="77D56E69"/>
    <w:rsid w:val="77E57F0B"/>
    <w:rsid w:val="77E61FFD"/>
    <w:rsid w:val="77E97581"/>
    <w:rsid w:val="77EA5555"/>
    <w:rsid w:val="77EA6A14"/>
    <w:rsid w:val="77EB10F2"/>
    <w:rsid w:val="77EC16E5"/>
    <w:rsid w:val="77EE4EDF"/>
    <w:rsid w:val="77EE6A34"/>
    <w:rsid w:val="77EF03CA"/>
    <w:rsid w:val="77F3360E"/>
    <w:rsid w:val="77F33B98"/>
    <w:rsid w:val="77F47954"/>
    <w:rsid w:val="77F73CE8"/>
    <w:rsid w:val="77FB320A"/>
    <w:rsid w:val="77FC0F59"/>
    <w:rsid w:val="77FE2CFB"/>
    <w:rsid w:val="77FF0DFC"/>
    <w:rsid w:val="78000AED"/>
    <w:rsid w:val="78003E7B"/>
    <w:rsid w:val="780069CE"/>
    <w:rsid w:val="780103C1"/>
    <w:rsid w:val="780113AB"/>
    <w:rsid w:val="780239C6"/>
    <w:rsid w:val="78025B06"/>
    <w:rsid w:val="78080340"/>
    <w:rsid w:val="780A3963"/>
    <w:rsid w:val="780C0FA4"/>
    <w:rsid w:val="780D166A"/>
    <w:rsid w:val="780D62E4"/>
    <w:rsid w:val="780E349C"/>
    <w:rsid w:val="78114144"/>
    <w:rsid w:val="78122E38"/>
    <w:rsid w:val="78143510"/>
    <w:rsid w:val="78155518"/>
    <w:rsid w:val="78160F31"/>
    <w:rsid w:val="78162870"/>
    <w:rsid w:val="781D31DA"/>
    <w:rsid w:val="781E1EAC"/>
    <w:rsid w:val="781F1653"/>
    <w:rsid w:val="78202CFD"/>
    <w:rsid w:val="782241D9"/>
    <w:rsid w:val="78246C1A"/>
    <w:rsid w:val="78261554"/>
    <w:rsid w:val="782904CF"/>
    <w:rsid w:val="782B48EA"/>
    <w:rsid w:val="782D34EB"/>
    <w:rsid w:val="783363DF"/>
    <w:rsid w:val="783764D9"/>
    <w:rsid w:val="783A2124"/>
    <w:rsid w:val="784952E3"/>
    <w:rsid w:val="784A37BF"/>
    <w:rsid w:val="784A56E3"/>
    <w:rsid w:val="784B7C21"/>
    <w:rsid w:val="785160EB"/>
    <w:rsid w:val="785311C3"/>
    <w:rsid w:val="785504F4"/>
    <w:rsid w:val="78552F74"/>
    <w:rsid w:val="78567F83"/>
    <w:rsid w:val="7857124A"/>
    <w:rsid w:val="78585FC2"/>
    <w:rsid w:val="785869D5"/>
    <w:rsid w:val="785B0CE6"/>
    <w:rsid w:val="785C22A1"/>
    <w:rsid w:val="785C3F61"/>
    <w:rsid w:val="785D4DFC"/>
    <w:rsid w:val="785D6F57"/>
    <w:rsid w:val="785F5230"/>
    <w:rsid w:val="785F735D"/>
    <w:rsid w:val="7866182E"/>
    <w:rsid w:val="78693A97"/>
    <w:rsid w:val="78721A73"/>
    <w:rsid w:val="78740ECF"/>
    <w:rsid w:val="78746F65"/>
    <w:rsid w:val="787A7B41"/>
    <w:rsid w:val="787B4880"/>
    <w:rsid w:val="787D2B5C"/>
    <w:rsid w:val="787D46C7"/>
    <w:rsid w:val="787E30C0"/>
    <w:rsid w:val="787E6C89"/>
    <w:rsid w:val="787F2F98"/>
    <w:rsid w:val="788018F4"/>
    <w:rsid w:val="78801C2E"/>
    <w:rsid w:val="788102DC"/>
    <w:rsid w:val="78823220"/>
    <w:rsid w:val="788B08E5"/>
    <w:rsid w:val="788C4780"/>
    <w:rsid w:val="788D4DA2"/>
    <w:rsid w:val="78904927"/>
    <w:rsid w:val="789468AA"/>
    <w:rsid w:val="789705A4"/>
    <w:rsid w:val="789919B5"/>
    <w:rsid w:val="78A2778E"/>
    <w:rsid w:val="78A60B62"/>
    <w:rsid w:val="78A832D2"/>
    <w:rsid w:val="78AA4ACC"/>
    <w:rsid w:val="78B70C2B"/>
    <w:rsid w:val="78B82234"/>
    <w:rsid w:val="78C053D6"/>
    <w:rsid w:val="78C2141E"/>
    <w:rsid w:val="78C253BA"/>
    <w:rsid w:val="78C25DE3"/>
    <w:rsid w:val="78C357ED"/>
    <w:rsid w:val="78C50A86"/>
    <w:rsid w:val="78C7366F"/>
    <w:rsid w:val="78CC6F23"/>
    <w:rsid w:val="78D12396"/>
    <w:rsid w:val="78D14E14"/>
    <w:rsid w:val="78D34DCF"/>
    <w:rsid w:val="78D4623D"/>
    <w:rsid w:val="78D9133E"/>
    <w:rsid w:val="78DC2E26"/>
    <w:rsid w:val="78DC76B2"/>
    <w:rsid w:val="78E37C29"/>
    <w:rsid w:val="78E511EE"/>
    <w:rsid w:val="78E51B04"/>
    <w:rsid w:val="78E71E09"/>
    <w:rsid w:val="78E809BA"/>
    <w:rsid w:val="78E92503"/>
    <w:rsid w:val="78EA0077"/>
    <w:rsid w:val="78EB5694"/>
    <w:rsid w:val="78EC72C3"/>
    <w:rsid w:val="78EF2702"/>
    <w:rsid w:val="78FB5FA6"/>
    <w:rsid w:val="7904685F"/>
    <w:rsid w:val="790C47B4"/>
    <w:rsid w:val="790C7B75"/>
    <w:rsid w:val="791244F6"/>
    <w:rsid w:val="79150207"/>
    <w:rsid w:val="791712C7"/>
    <w:rsid w:val="79174289"/>
    <w:rsid w:val="791B7E5C"/>
    <w:rsid w:val="791C30E4"/>
    <w:rsid w:val="79290F37"/>
    <w:rsid w:val="792E045B"/>
    <w:rsid w:val="792E168A"/>
    <w:rsid w:val="79302DB4"/>
    <w:rsid w:val="793060A0"/>
    <w:rsid w:val="7933660B"/>
    <w:rsid w:val="79365A8F"/>
    <w:rsid w:val="793723CD"/>
    <w:rsid w:val="793831F9"/>
    <w:rsid w:val="793B765D"/>
    <w:rsid w:val="793C77B3"/>
    <w:rsid w:val="79403D77"/>
    <w:rsid w:val="79404DE3"/>
    <w:rsid w:val="794249E0"/>
    <w:rsid w:val="7944745A"/>
    <w:rsid w:val="79455537"/>
    <w:rsid w:val="79485CAD"/>
    <w:rsid w:val="794B7FDB"/>
    <w:rsid w:val="794E7466"/>
    <w:rsid w:val="795310F0"/>
    <w:rsid w:val="795918BF"/>
    <w:rsid w:val="7959636B"/>
    <w:rsid w:val="795B2E47"/>
    <w:rsid w:val="795C61F7"/>
    <w:rsid w:val="795C735C"/>
    <w:rsid w:val="795D282A"/>
    <w:rsid w:val="795D5ACB"/>
    <w:rsid w:val="795D7A67"/>
    <w:rsid w:val="79600F95"/>
    <w:rsid w:val="7961052E"/>
    <w:rsid w:val="796254D7"/>
    <w:rsid w:val="79667D36"/>
    <w:rsid w:val="7969279E"/>
    <w:rsid w:val="79694B38"/>
    <w:rsid w:val="796A4721"/>
    <w:rsid w:val="796A5D78"/>
    <w:rsid w:val="796C624D"/>
    <w:rsid w:val="797352EE"/>
    <w:rsid w:val="7974097A"/>
    <w:rsid w:val="79741C08"/>
    <w:rsid w:val="79742C52"/>
    <w:rsid w:val="7975134B"/>
    <w:rsid w:val="79767FFC"/>
    <w:rsid w:val="797712CC"/>
    <w:rsid w:val="7979172B"/>
    <w:rsid w:val="797C4DA7"/>
    <w:rsid w:val="797D64E8"/>
    <w:rsid w:val="79821102"/>
    <w:rsid w:val="7983016B"/>
    <w:rsid w:val="79836B17"/>
    <w:rsid w:val="7984574E"/>
    <w:rsid w:val="798515D3"/>
    <w:rsid w:val="798533BD"/>
    <w:rsid w:val="7986046E"/>
    <w:rsid w:val="798647AE"/>
    <w:rsid w:val="798A6070"/>
    <w:rsid w:val="798B058C"/>
    <w:rsid w:val="798B7A66"/>
    <w:rsid w:val="798C2D00"/>
    <w:rsid w:val="798E3ABB"/>
    <w:rsid w:val="798F5B58"/>
    <w:rsid w:val="798F6C9F"/>
    <w:rsid w:val="7995382F"/>
    <w:rsid w:val="79954F0C"/>
    <w:rsid w:val="79955265"/>
    <w:rsid w:val="799C581E"/>
    <w:rsid w:val="79A36A44"/>
    <w:rsid w:val="79A6173C"/>
    <w:rsid w:val="79A63514"/>
    <w:rsid w:val="79AE6327"/>
    <w:rsid w:val="79B078D8"/>
    <w:rsid w:val="79B431BC"/>
    <w:rsid w:val="79B80D45"/>
    <w:rsid w:val="79C40321"/>
    <w:rsid w:val="79C869EA"/>
    <w:rsid w:val="79C94B4B"/>
    <w:rsid w:val="79CD6233"/>
    <w:rsid w:val="79D149CE"/>
    <w:rsid w:val="79D33FDF"/>
    <w:rsid w:val="79D91733"/>
    <w:rsid w:val="79D938A4"/>
    <w:rsid w:val="79DA45DE"/>
    <w:rsid w:val="79DA756D"/>
    <w:rsid w:val="79DB3ABD"/>
    <w:rsid w:val="79DC5BB2"/>
    <w:rsid w:val="79DC7E1C"/>
    <w:rsid w:val="79E03A56"/>
    <w:rsid w:val="79E116C3"/>
    <w:rsid w:val="79E3167F"/>
    <w:rsid w:val="79E41D48"/>
    <w:rsid w:val="79E53C96"/>
    <w:rsid w:val="79E56079"/>
    <w:rsid w:val="79E70B47"/>
    <w:rsid w:val="79EF2C5B"/>
    <w:rsid w:val="79F06638"/>
    <w:rsid w:val="79F11200"/>
    <w:rsid w:val="79F20023"/>
    <w:rsid w:val="79F32313"/>
    <w:rsid w:val="79F3466B"/>
    <w:rsid w:val="79F37792"/>
    <w:rsid w:val="79F64305"/>
    <w:rsid w:val="79F67EF0"/>
    <w:rsid w:val="79F75659"/>
    <w:rsid w:val="79F85AD2"/>
    <w:rsid w:val="79F91114"/>
    <w:rsid w:val="79FD2E0A"/>
    <w:rsid w:val="79FD629E"/>
    <w:rsid w:val="7A004319"/>
    <w:rsid w:val="7A0154C7"/>
    <w:rsid w:val="7A020420"/>
    <w:rsid w:val="7A04168A"/>
    <w:rsid w:val="7A074C74"/>
    <w:rsid w:val="7A081108"/>
    <w:rsid w:val="7A081EF5"/>
    <w:rsid w:val="7A0D129F"/>
    <w:rsid w:val="7A0D1CC7"/>
    <w:rsid w:val="7A0F0165"/>
    <w:rsid w:val="7A0F0945"/>
    <w:rsid w:val="7A10786F"/>
    <w:rsid w:val="7A1366E8"/>
    <w:rsid w:val="7A17390D"/>
    <w:rsid w:val="7A177611"/>
    <w:rsid w:val="7A186762"/>
    <w:rsid w:val="7A1A2001"/>
    <w:rsid w:val="7A1C5F19"/>
    <w:rsid w:val="7A1F6757"/>
    <w:rsid w:val="7A20439B"/>
    <w:rsid w:val="7A235413"/>
    <w:rsid w:val="7A275CD3"/>
    <w:rsid w:val="7A300401"/>
    <w:rsid w:val="7A337D1C"/>
    <w:rsid w:val="7A38686E"/>
    <w:rsid w:val="7A3A3020"/>
    <w:rsid w:val="7A3E1F6B"/>
    <w:rsid w:val="7A423A14"/>
    <w:rsid w:val="7A424F07"/>
    <w:rsid w:val="7A44022D"/>
    <w:rsid w:val="7A46397D"/>
    <w:rsid w:val="7A496B9E"/>
    <w:rsid w:val="7A497D07"/>
    <w:rsid w:val="7A4E310B"/>
    <w:rsid w:val="7A510226"/>
    <w:rsid w:val="7A51551F"/>
    <w:rsid w:val="7A540C70"/>
    <w:rsid w:val="7A550538"/>
    <w:rsid w:val="7A562688"/>
    <w:rsid w:val="7A58313B"/>
    <w:rsid w:val="7A59680F"/>
    <w:rsid w:val="7A5C3FD5"/>
    <w:rsid w:val="7A60442E"/>
    <w:rsid w:val="7A6210BB"/>
    <w:rsid w:val="7A625262"/>
    <w:rsid w:val="7A66442C"/>
    <w:rsid w:val="7A6809D3"/>
    <w:rsid w:val="7A6A7412"/>
    <w:rsid w:val="7A6B246A"/>
    <w:rsid w:val="7A6D228F"/>
    <w:rsid w:val="7A6E1922"/>
    <w:rsid w:val="7A6E19A1"/>
    <w:rsid w:val="7A6F3C64"/>
    <w:rsid w:val="7A7008FD"/>
    <w:rsid w:val="7A742E4E"/>
    <w:rsid w:val="7A78354D"/>
    <w:rsid w:val="7A7B3555"/>
    <w:rsid w:val="7A7C15F3"/>
    <w:rsid w:val="7A7E3116"/>
    <w:rsid w:val="7A7E7F2D"/>
    <w:rsid w:val="7A801E00"/>
    <w:rsid w:val="7A8073FD"/>
    <w:rsid w:val="7A8122C8"/>
    <w:rsid w:val="7A83735A"/>
    <w:rsid w:val="7A8525EA"/>
    <w:rsid w:val="7A8B7A6D"/>
    <w:rsid w:val="7A8C20EC"/>
    <w:rsid w:val="7A920303"/>
    <w:rsid w:val="7A936EE8"/>
    <w:rsid w:val="7A962F16"/>
    <w:rsid w:val="7A9670D7"/>
    <w:rsid w:val="7A976512"/>
    <w:rsid w:val="7A983686"/>
    <w:rsid w:val="7A990DFE"/>
    <w:rsid w:val="7A9B7743"/>
    <w:rsid w:val="7A9D0CE8"/>
    <w:rsid w:val="7A9D5CDD"/>
    <w:rsid w:val="7AA008BF"/>
    <w:rsid w:val="7AA01750"/>
    <w:rsid w:val="7AA9175C"/>
    <w:rsid w:val="7AAB2530"/>
    <w:rsid w:val="7AAF00E7"/>
    <w:rsid w:val="7AB441D5"/>
    <w:rsid w:val="7AB8650B"/>
    <w:rsid w:val="7AB92029"/>
    <w:rsid w:val="7ABE0452"/>
    <w:rsid w:val="7AC0116C"/>
    <w:rsid w:val="7AC36F7D"/>
    <w:rsid w:val="7AC53928"/>
    <w:rsid w:val="7AC96B3F"/>
    <w:rsid w:val="7ACB66CA"/>
    <w:rsid w:val="7AD24042"/>
    <w:rsid w:val="7AD33C59"/>
    <w:rsid w:val="7AD94348"/>
    <w:rsid w:val="7AD96201"/>
    <w:rsid w:val="7ADB30C3"/>
    <w:rsid w:val="7ADB3F7C"/>
    <w:rsid w:val="7ADE4F4C"/>
    <w:rsid w:val="7AE13380"/>
    <w:rsid w:val="7AE23E17"/>
    <w:rsid w:val="7AE278C7"/>
    <w:rsid w:val="7AE87351"/>
    <w:rsid w:val="7AE87439"/>
    <w:rsid w:val="7AEF5FDF"/>
    <w:rsid w:val="7AF00DB4"/>
    <w:rsid w:val="7AF3046A"/>
    <w:rsid w:val="7AF33363"/>
    <w:rsid w:val="7AF5196F"/>
    <w:rsid w:val="7AF663AB"/>
    <w:rsid w:val="7AF66C73"/>
    <w:rsid w:val="7AF83136"/>
    <w:rsid w:val="7AFA2F2A"/>
    <w:rsid w:val="7AFB25AC"/>
    <w:rsid w:val="7AFD40A1"/>
    <w:rsid w:val="7AFD7CFE"/>
    <w:rsid w:val="7AFE66B2"/>
    <w:rsid w:val="7B013002"/>
    <w:rsid w:val="7B013CDD"/>
    <w:rsid w:val="7B05319D"/>
    <w:rsid w:val="7B066978"/>
    <w:rsid w:val="7B101571"/>
    <w:rsid w:val="7B114DBF"/>
    <w:rsid w:val="7B134FFD"/>
    <w:rsid w:val="7B171648"/>
    <w:rsid w:val="7B1819E7"/>
    <w:rsid w:val="7B211F55"/>
    <w:rsid w:val="7B247ADC"/>
    <w:rsid w:val="7B275A68"/>
    <w:rsid w:val="7B28050C"/>
    <w:rsid w:val="7B2806CE"/>
    <w:rsid w:val="7B293BD3"/>
    <w:rsid w:val="7B2B5CBF"/>
    <w:rsid w:val="7B2D7A9F"/>
    <w:rsid w:val="7B2E3DEE"/>
    <w:rsid w:val="7B342DC6"/>
    <w:rsid w:val="7B34311F"/>
    <w:rsid w:val="7B345A1B"/>
    <w:rsid w:val="7B3620E8"/>
    <w:rsid w:val="7B394B98"/>
    <w:rsid w:val="7B3A2568"/>
    <w:rsid w:val="7B3D35E8"/>
    <w:rsid w:val="7B3F335C"/>
    <w:rsid w:val="7B407557"/>
    <w:rsid w:val="7B46002A"/>
    <w:rsid w:val="7B4934B7"/>
    <w:rsid w:val="7B4A0483"/>
    <w:rsid w:val="7B4A346F"/>
    <w:rsid w:val="7B4E750F"/>
    <w:rsid w:val="7B503C31"/>
    <w:rsid w:val="7B511F2F"/>
    <w:rsid w:val="7B51623D"/>
    <w:rsid w:val="7B5B674F"/>
    <w:rsid w:val="7B5C72B4"/>
    <w:rsid w:val="7B614326"/>
    <w:rsid w:val="7B6267BA"/>
    <w:rsid w:val="7B632C26"/>
    <w:rsid w:val="7B643141"/>
    <w:rsid w:val="7B6469D0"/>
    <w:rsid w:val="7B66237D"/>
    <w:rsid w:val="7B6714B3"/>
    <w:rsid w:val="7B682200"/>
    <w:rsid w:val="7B6B67E4"/>
    <w:rsid w:val="7B6F0D44"/>
    <w:rsid w:val="7B76116A"/>
    <w:rsid w:val="7B774BF1"/>
    <w:rsid w:val="7B7D4EB6"/>
    <w:rsid w:val="7B8451AE"/>
    <w:rsid w:val="7B84600B"/>
    <w:rsid w:val="7B851555"/>
    <w:rsid w:val="7B85417F"/>
    <w:rsid w:val="7B87064B"/>
    <w:rsid w:val="7B8944C9"/>
    <w:rsid w:val="7B8C36F5"/>
    <w:rsid w:val="7B8D35B1"/>
    <w:rsid w:val="7B8D3B25"/>
    <w:rsid w:val="7B952BBB"/>
    <w:rsid w:val="7B9856BA"/>
    <w:rsid w:val="7B9A088B"/>
    <w:rsid w:val="7B9B2968"/>
    <w:rsid w:val="7BA61D8C"/>
    <w:rsid w:val="7BA66D12"/>
    <w:rsid w:val="7BA8187D"/>
    <w:rsid w:val="7BA842FC"/>
    <w:rsid w:val="7BB16C95"/>
    <w:rsid w:val="7BB36BFC"/>
    <w:rsid w:val="7BB77F53"/>
    <w:rsid w:val="7BBB0D55"/>
    <w:rsid w:val="7BBE16E9"/>
    <w:rsid w:val="7BC57BA4"/>
    <w:rsid w:val="7BC76F7A"/>
    <w:rsid w:val="7BC83AEF"/>
    <w:rsid w:val="7BC9071C"/>
    <w:rsid w:val="7BCB1B35"/>
    <w:rsid w:val="7BD13261"/>
    <w:rsid w:val="7BD421A6"/>
    <w:rsid w:val="7BD450C5"/>
    <w:rsid w:val="7BD51432"/>
    <w:rsid w:val="7BD66969"/>
    <w:rsid w:val="7BD87934"/>
    <w:rsid w:val="7BDE19DF"/>
    <w:rsid w:val="7BE106A3"/>
    <w:rsid w:val="7BE40BB6"/>
    <w:rsid w:val="7BE86B7B"/>
    <w:rsid w:val="7BED25F2"/>
    <w:rsid w:val="7BEE59D3"/>
    <w:rsid w:val="7BF24B26"/>
    <w:rsid w:val="7BF27542"/>
    <w:rsid w:val="7BF65538"/>
    <w:rsid w:val="7BF90F24"/>
    <w:rsid w:val="7BFB309E"/>
    <w:rsid w:val="7BFB3BF3"/>
    <w:rsid w:val="7BFF0538"/>
    <w:rsid w:val="7C02790B"/>
    <w:rsid w:val="7C0820DB"/>
    <w:rsid w:val="7C08326F"/>
    <w:rsid w:val="7C0C43DB"/>
    <w:rsid w:val="7C0F1753"/>
    <w:rsid w:val="7C127334"/>
    <w:rsid w:val="7C135F1E"/>
    <w:rsid w:val="7C144705"/>
    <w:rsid w:val="7C1548DF"/>
    <w:rsid w:val="7C175324"/>
    <w:rsid w:val="7C183205"/>
    <w:rsid w:val="7C1A6DD0"/>
    <w:rsid w:val="7C1D1951"/>
    <w:rsid w:val="7C214D28"/>
    <w:rsid w:val="7C2519D4"/>
    <w:rsid w:val="7C263C5F"/>
    <w:rsid w:val="7C357EF5"/>
    <w:rsid w:val="7C373897"/>
    <w:rsid w:val="7C396D1B"/>
    <w:rsid w:val="7C3B2037"/>
    <w:rsid w:val="7C3C3EC4"/>
    <w:rsid w:val="7C3E1BE4"/>
    <w:rsid w:val="7C3E56E8"/>
    <w:rsid w:val="7C3F0858"/>
    <w:rsid w:val="7C417F25"/>
    <w:rsid w:val="7C437462"/>
    <w:rsid w:val="7C4617C2"/>
    <w:rsid w:val="7C465214"/>
    <w:rsid w:val="7C4822C5"/>
    <w:rsid w:val="7C492337"/>
    <w:rsid w:val="7C4961E4"/>
    <w:rsid w:val="7C4A5941"/>
    <w:rsid w:val="7C4C2BED"/>
    <w:rsid w:val="7C570EF7"/>
    <w:rsid w:val="7C571D10"/>
    <w:rsid w:val="7C5961DB"/>
    <w:rsid w:val="7C5A7004"/>
    <w:rsid w:val="7C5C3E40"/>
    <w:rsid w:val="7C6058BE"/>
    <w:rsid w:val="7C623036"/>
    <w:rsid w:val="7C68549E"/>
    <w:rsid w:val="7C6929D9"/>
    <w:rsid w:val="7C6C179F"/>
    <w:rsid w:val="7C70134E"/>
    <w:rsid w:val="7C724943"/>
    <w:rsid w:val="7C731EF4"/>
    <w:rsid w:val="7C754444"/>
    <w:rsid w:val="7C762E33"/>
    <w:rsid w:val="7C793002"/>
    <w:rsid w:val="7C7D6467"/>
    <w:rsid w:val="7C827C53"/>
    <w:rsid w:val="7C842F39"/>
    <w:rsid w:val="7C8500E7"/>
    <w:rsid w:val="7C885555"/>
    <w:rsid w:val="7C897E2D"/>
    <w:rsid w:val="7C8A0659"/>
    <w:rsid w:val="7C8C34C2"/>
    <w:rsid w:val="7C8C4DFC"/>
    <w:rsid w:val="7C914409"/>
    <w:rsid w:val="7C921D0A"/>
    <w:rsid w:val="7C921F30"/>
    <w:rsid w:val="7C924E58"/>
    <w:rsid w:val="7C931BEA"/>
    <w:rsid w:val="7C99232B"/>
    <w:rsid w:val="7C9E50EB"/>
    <w:rsid w:val="7CA60E13"/>
    <w:rsid w:val="7CA73B62"/>
    <w:rsid w:val="7CA9382F"/>
    <w:rsid w:val="7CB366FC"/>
    <w:rsid w:val="7CB56EF2"/>
    <w:rsid w:val="7CBB62AD"/>
    <w:rsid w:val="7CBC6FAC"/>
    <w:rsid w:val="7CBF4F60"/>
    <w:rsid w:val="7CC12D41"/>
    <w:rsid w:val="7CC7080D"/>
    <w:rsid w:val="7CC7607D"/>
    <w:rsid w:val="7CC77E2B"/>
    <w:rsid w:val="7CCB22A2"/>
    <w:rsid w:val="7CCD26CF"/>
    <w:rsid w:val="7CCD6A45"/>
    <w:rsid w:val="7CCE3FDE"/>
    <w:rsid w:val="7CCF0A8E"/>
    <w:rsid w:val="7CCF3759"/>
    <w:rsid w:val="7CD13082"/>
    <w:rsid w:val="7CD17CAD"/>
    <w:rsid w:val="7CD267D0"/>
    <w:rsid w:val="7CD50259"/>
    <w:rsid w:val="7CD744DD"/>
    <w:rsid w:val="7CD85482"/>
    <w:rsid w:val="7CDA03B2"/>
    <w:rsid w:val="7CDE27CD"/>
    <w:rsid w:val="7CE52D60"/>
    <w:rsid w:val="7CE62EAE"/>
    <w:rsid w:val="7CE74FD7"/>
    <w:rsid w:val="7CE821E8"/>
    <w:rsid w:val="7CEA58C8"/>
    <w:rsid w:val="7CEC017E"/>
    <w:rsid w:val="7CF010AC"/>
    <w:rsid w:val="7CFE1606"/>
    <w:rsid w:val="7D03643D"/>
    <w:rsid w:val="7D0559DD"/>
    <w:rsid w:val="7D0A353B"/>
    <w:rsid w:val="7D0E0779"/>
    <w:rsid w:val="7D0E3565"/>
    <w:rsid w:val="7D1028C7"/>
    <w:rsid w:val="7D14264E"/>
    <w:rsid w:val="7D14634D"/>
    <w:rsid w:val="7D162F4F"/>
    <w:rsid w:val="7D1838B8"/>
    <w:rsid w:val="7D1B3CD3"/>
    <w:rsid w:val="7D1F7E82"/>
    <w:rsid w:val="7D20002D"/>
    <w:rsid w:val="7D2335B6"/>
    <w:rsid w:val="7D257168"/>
    <w:rsid w:val="7D280220"/>
    <w:rsid w:val="7D290D7E"/>
    <w:rsid w:val="7D294FC1"/>
    <w:rsid w:val="7D2A2A4B"/>
    <w:rsid w:val="7D2B7A94"/>
    <w:rsid w:val="7D2C004B"/>
    <w:rsid w:val="7D2D0C1A"/>
    <w:rsid w:val="7D326AA1"/>
    <w:rsid w:val="7D3614CE"/>
    <w:rsid w:val="7D3634EC"/>
    <w:rsid w:val="7D3766AA"/>
    <w:rsid w:val="7D3E172D"/>
    <w:rsid w:val="7D412320"/>
    <w:rsid w:val="7D414749"/>
    <w:rsid w:val="7D4255DE"/>
    <w:rsid w:val="7D434B61"/>
    <w:rsid w:val="7D4827E2"/>
    <w:rsid w:val="7D523199"/>
    <w:rsid w:val="7D567BC5"/>
    <w:rsid w:val="7D574AB6"/>
    <w:rsid w:val="7D5B4CCC"/>
    <w:rsid w:val="7D5B7B11"/>
    <w:rsid w:val="7D5D305F"/>
    <w:rsid w:val="7D5E396C"/>
    <w:rsid w:val="7D644CA2"/>
    <w:rsid w:val="7D680034"/>
    <w:rsid w:val="7D687AFA"/>
    <w:rsid w:val="7D690CA4"/>
    <w:rsid w:val="7D6A32F1"/>
    <w:rsid w:val="7D710A8D"/>
    <w:rsid w:val="7D746FF5"/>
    <w:rsid w:val="7D767623"/>
    <w:rsid w:val="7D7A3789"/>
    <w:rsid w:val="7D7A37B0"/>
    <w:rsid w:val="7D7A6D7A"/>
    <w:rsid w:val="7D7B2DAF"/>
    <w:rsid w:val="7D7F2275"/>
    <w:rsid w:val="7D8D3A46"/>
    <w:rsid w:val="7D9212F4"/>
    <w:rsid w:val="7D960D81"/>
    <w:rsid w:val="7D970AEA"/>
    <w:rsid w:val="7D973A8E"/>
    <w:rsid w:val="7D9A5566"/>
    <w:rsid w:val="7D9B0E5C"/>
    <w:rsid w:val="7D9C6AF9"/>
    <w:rsid w:val="7DA44D3F"/>
    <w:rsid w:val="7DA75D88"/>
    <w:rsid w:val="7DA84080"/>
    <w:rsid w:val="7DA939D5"/>
    <w:rsid w:val="7DA959EE"/>
    <w:rsid w:val="7DAA4F90"/>
    <w:rsid w:val="7DAB7A3E"/>
    <w:rsid w:val="7DAC798B"/>
    <w:rsid w:val="7DAD52A3"/>
    <w:rsid w:val="7DB109BE"/>
    <w:rsid w:val="7DB134DA"/>
    <w:rsid w:val="7DB13CEB"/>
    <w:rsid w:val="7DB60878"/>
    <w:rsid w:val="7DBA747C"/>
    <w:rsid w:val="7DBA7990"/>
    <w:rsid w:val="7DBB1263"/>
    <w:rsid w:val="7DBB6EF0"/>
    <w:rsid w:val="7DBC7B82"/>
    <w:rsid w:val="7DC161B3"/>
    <w:rsid w:val="7DC56DA1"/>
    <w:rsid w:val="7DC77936"/>
    <w:rsid w:val="7DCC1FE2"/>
    <w:rsid w:val="7DCF787A"/>
    <w:rsid w:val="7DD01DDD"/>
    <w:rsid w:val="7DD71264"/>
    <w:rsid w:val="7DDC2D85"/>
    <w:rsid w:val="7DDD56E0"/>
    <w:rsid w:val="7DDE5CEA"/>
    <w:rsid w:val="7DE55B94"/>
    <w:rsid w:val="7DF0352C"/>
    <w:rsid w:val="7DF04AD1"/>
    <w:rsid w:val="7DF3295E"/>
    <w:rsid w:val="7DF36DAD"/>
    <w:rsid w:val="7DF46549"/>
    <w:rsid w:val="7DF76B21"/>
    <w:rsid w:val="7DFB6179"/>
    <w:rsid w:val="7DFD15FB"/>
    <w:rsid w:val="7DFE223D"/>
    <w:rsid w:val="7DFE782D"/>
    <w:rsid w:val="7DFE7C67"/>
    <w:rsid w:val="7DFF35F5"/>
    <w:rsid w:val="7DFF3A8C"/>
    <w:rsid w:val="7E0527E5"/>
    <w:rsid w:val="7E064D7D"/>
    <w:rsid w:val="7E0A7C86"/>
    <w:rsid w:val="7E0C2ECD"/>
    <w:rsid w:val="7E0C52E5"/>
    <w:rsid w:val="7E0E2E22"/>
    <w:rsid w:val="7E1023EB"/>
    <w:rsid w:val="7E17679C"/>
    <w:rsid w:val="7E187CA0"/>
    <w:rsid w:val="7E1C1A51"/>
    <w:rsid w:val="7E1E79AD"/>
    <w:rsid w:val="7E207292"/>
    <w:rsid w:val="7E236E12"/>
    <w:rsid w:val="7E283A36"/>
    <w:rsid w:val="7E2A2AA1"/>
    <w:rsid w:val="7E2B05CF"/>
    <w:rsid w:val="7E2C7D99"/>
    <w:rsid w:val="7E2D1F30"/>
    <w:rsid w:val="7E3176B5"/>
    <w:rsid w:val="7E320B69"/>
    <w:rsid w:val="7E324724"/>
    <w:rsid w:val="7E326113"/>
    <w:rsid w:val="7E3617D2"/>
    <w:rsid w:val="7E37359E"/>
    <w:rsid w:val="7E383061"/>
    <w:rsid w:val="7E391D4B"/>
    <w:rsid w:val="7E3D5CDC"/>
    <w:rsid w:val="7E3E6534"/>
    <w:rsid w:val="7E406B52"/>
    <w:rsid w:val="7E487FAE"/>
    <w:rsid w:val="7E4952E6"/>
    <w:rsid w:val="7E4C5F39"/>
    <w:rsid w:val="7E4E28B6"/>
    <w:rsid w:val="7E52721B"/>
    <w:rsid w:val="7E540A67"/>
    <w:rsid w:val="7E577EC0"/>
    <w:rsid w:val="7E591276"/>
    <w:rsid w:val="7E5A11E3"/>
    <w:rsid w:val="7E5A31A3"/>
    <w:rsid w:val="7E5C6747"/>
    <w:rsid w:val="7E5E656D"/>
    <w:rsid w:val="7E5F01CB"/>
    <w:rsid w:val="7E5F1C22"/>
    <w:rsid w:val="7E616729"/>
    <w:rsid w:val="7E646727"/>
    <w:rsid w:val="7E6876F1"/>
    <w:rsid w:val="7E707601"/>
    <w:rsid w:val="7E721D1F"/>
    <w:rsid w:val="7E722226"/>
    <w:rsid w:val="7E734E5A"/>
    <w:rsid w:val="7E784A80"/>
    <w:rsid w:val="7E7A010F"/>
    <w:rsid w:val="7E7B5B32"/>
    <w:rsid w:val="7E7E09BD"/>
    <w:rsid w:val="7E7E24FB"/>
    <w:rsid w:val="7E805601"/>
    <w:rsid w:val="7E853F27"/>
    <w:rsid w:val="7E871D92"/>
    <w:rsid w:val="7E8F6A62"/>
    <w:rsid w:val="7E975FFF"/>
    <w:rsid w:val="7E98761A"/>
    <w:rsid w:val="7E9A36ED"/>
    <w:rsid w:val="7E9A7DB5"/>
    <w:rsid w:val="7E9D7C41"/>
    <w:rsid w:val="7EA23735"/>
    <w:rsid w:val="7EA65C6B"/>
    <w:rsid w:val="7EA66620"/>
    <w:rsid w:val="7EA70103"/>
    <w:rsid w:val="7EA93453"/>
    <w:rsid w:val="7EA9748C"/>
    <w:rsid w:val="7EAA3473"/>
    <w:rsid w:val="7EAB4410"/>
    <w:rsid w:val="7EAE3C1F"/>
    <w:rsid w:val="7EB22415"/>
    <w:rsid w:val="7EB44DD4"/>
    <w:rsid w:val="7EB47CBA"/>
    <w:rsid w:val="7EB47F15"/>
    <w:rsid w:val="7EBA3292"/>
    <w:rsid w:val="7EBA3E20"/>
    <w:rsid w:val="7EBB2F86"/>
    <w:rsid w:val="7EBE0AEB"/>
    <w:rsid w:val="7EC03BF0"/>
    <w:rsid w:val="7EC3786F"/>
    <w:rsid w:val="7EC55A96"/>
    <w:rsid w:val="7ECC46AC"/>
    <w:rsid w:val="7ED056BB"/>
    <w:rsid w:val="7ED14FC8"/>
    <w:rsid w:val="7ED3531E"/>
    <w:rsid w:val="7ED4727F"/>
    <w:rsid w:val="7ED65D87"/>
    <w:rsid w:val="7ED67ADA"/>
    <w:rsid w:val="7ED76F88"/>
    <w:rsid w:val="7EDB31BE"/>
    <w:rsid w:val="7EDE76AE"/>
    <w:rsid w:val="7EE046C6"/>
    <w:rsid w:val="7EE67555"/>
    <w:rsid w:val="7EEA692C"/>
    <w:rsid w:val="7EEB07CE"/>
    <w:rsid w:val="7EF32DF7"/>
    <w:rsid w:val="7EF64DC9"/>
    <w:rsid w:val="7EF72EB6"/>
    <w:rsid w:val="7EF938B3"/>
    <w:rsid w:val="7EF944E8"/>
    <w:rsid w:val="7EFC6E7C"/>
    <w:rsid w:val="7EFF63D7"/>
    <w:rsid w:val="7EFF7D90"/>
    <w:rsid w:val="7F015E8D"/>
    <w:rsid w:val="7F0264F0"/>
    <w:rsid w:val="7F034138"/>
    <w:rsid w:val="7F05224C"/>
    <w:rsid w:val="7F08297D"/>
    <w:rsid w:val="7F0C47C2"/>
    <w:rsid w:val="7F0D6FB3"/>
    <w:rsid w:val="7F107FD7"/>
    <w:rsid w:val="7F164779"/>
    <w:rsid w:val="7F1758A7"/>
    <w:rsid w:val="7F1760B5"/>
    <w:rsid w:val="7F1A735D"/>
    <w:rsid w:val="7F1C2CE6"/>
    <w:rsid w:val="7F1C3A63"/>
    <w:rsid w:val="7F1E1EE9"/>
    <w:rsid w:val="7F1E483B"/>
    <w:rsid w:val="7F1F2C94"/>
    <w:rsid w:val="7F225FF2"/>
    <w:rsid w:val="7F2437A5"/>
    <w:rsid w:val="7F25058E"/>
    <w:rsid w:val="7F251081"/>
    <w:rsid w:val="7F297580"/>
    <w:rsid w:val="7F2C3D96"/>
    <w:rsid w:val="7F303A79"/>
    <w:rsid w:val="7F363E6E"/>
    <w:rsid w:val="7F380575"/>
    <w:rsid w:val="7F3D16A4"/>
    <w:rsid w:val="7F402B5E"/>
    <w:rsid w:val="7F412D6A"/>
    <w:rsid w:val="7F417CE5"/>
    <w:rsid w:val="7F4C4618"/>
    <w:rsid w:val="7F4F0673"/>
    <w:rsid w:val="7F507D15"/>
    <w:rsid w:val="7F54345F"/>
    <w:rsid w:val="7F552893"/>
    <w:rsid w:val="7F552BBF"/>
    <w:rsid w:val="7F570504"/>
    <w:rsid w:val="7F5A541F"/>
    <w:rsid w:val="7F664237"/>
    <w:rsid w:val="7F665D16"/>
    <w:rsid w:val="7F680BB6"/>
    <w:rsid w:val="7F682F57"/>
    <w:rsid w:val="7F6905D5"/>
    <w:rsid w:val="7F696FF9"/>
    <w:rsid w:val="7F6C5BA9"/>
    <w:rsid w:val="7F6D193F"/>
    <w:rsid w:val="7F716735"/>
    <w:rsid w:val="7F72309C"/>
    <w:rsid w:val="7F78140F"/>
    <w:rsid w:val="7F7818B1"/>
    <w:rsid w:val="7F7B63CC"/>
    <w:rsid w:val="7F7D28FB"/>
    <w:rsid w:val="7F803CB7"/>
    <w:rsid w:val="7F822FE3"/>
    <w:rsid w:val="7F83107B"/>
    <w:rsid w:val="7F8364EC"/>
    <w:rsid w:val="7F8653F4"/>
    <w:rsid w:val="7F876014"/>
    <w:rsid w:val="7F8909D3"/>
    <w:rsid w:val="7F8936B8"/>
    <w:rsid w:val="7F904F09"/>
    <w:rsid w:val="7F9058E8"/>
    <w:rsid w:val="7F934E5D"/>
    <w:rsid w:val="7FA56960"/>
    <w:rsid w:val="7FA57DB0"/>
    <w:rsid w:val="7FA81745"/>
    <w:rsid w:val="7FAA005D"/>
    <w:rsid w:val="7FAA3564"/>
    <w:rsid w:val="7FAA6042"/>
    <w:rsid w:val="7FAB6E33"/>
    <w:rsid w:val="7FAC6F1D"/>
    <w:rsid w:val="7FAE7344"/>
    <w:rsid w:val="7FB053AD"/>
    <w:rsid w:val="7FB35AB3"/>
    <w:rsid w:val="7FB36571"/>
    <w:rsid w:val="7FB453DB"/>
    <w:rsid w:val="7FB55FA3"/>
    <w:rsid w:val="7FB55FEC"/>
    <w:rsid w:val="7FB70F9E"/>
    <w:rsid w:val="7FBE2591"/>
    <w:rsid w:val="7FC12847"/>
    <w:rsid w:val="7FC80122"/>
    <w:rsid w:val="7FC87D6C"/>
    <w:rsid w:val="7FD50AB1"/>
    <w:rsid w:val="7FD521BA"/>
    <w:rsid w:val="7FD770CE"/>
    <w:rsid w:val="7FDA25FE"/>
    <w:rsid w:val="7FDD3CC6"/>
    <w:rsid w:val="7FE00316"/>
    <w:rsid w:val="7FE42AA2"/>
    <w:rsid w:val="7FE577E0"/>
    <w:rsid w:val="7FE63B66"/>
    <w:rsid w:val="7FE82930"/>
    <w:rsid w:val="7FF026F9"/>
    <w:rsid w:val="7FF148B1"/>
    <w:rsid w:val="7FF16F3F"/>
    <w:rsid w:val="7FF31C0E"/>
    <w:rsid w:val="7FF35AC4"/>
    <w:rsid w:val="7FF53F45"/>
    <w:rsid w:val="7FF56B6E"/>
    <w:rsid w:val="7FF74110"/>
    <w:rsid w:val="7FF86C32"/>
    <w:rsid w:val="7FFC0A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semiHidden="0" w:name="heading 3"/>
    <w:lsdException w:qFormat="1" w:unhideWhenUsed="0" w:uiPriority="0"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adjustRightInd w:val="0"/>
      <w:snapToGrid w:val="0"/>
      <w:spacing w:after="200"/>
    </w:pPr>
    <w:rPr>
      <w:rFonts w:ascii="Tahoma" w:hAnsi="Tahoma" w:eastAsia="微软雅黑" w:cstheme="minorBidi"/>
      <w:sz w:val="22"/>
      <w:szCs w:val="22"/>
      <w:lang w:val="en-US" w:eastAsia="zh-CN" w:bidi="ar-SA"/>
    </w:rPr>
  </w:style>
  <w:style w:type="paragraph" w:styleId="2">
    <w:name w:val="heading 1"/>
    <w:basedOn w:val="1"/>
    <w:next w:val="1"/>
    <w:link w:val="34"/>
    <w:autoRedefine/>
    <w:qFormat/>
    <w:uiPriority w:val="9"/>
    <w:pPr>
      <w:adjustRightInd/>
      <w:snapToGrid/>
      <w:spacing w:before="100" w:beforeAutospacing="1" w:after="100" w:afterAutospacing="1"/>
      <w:outlineLvl w:val="0"/>
    </w:pPr>
    <w:rPr>
      <w:rFonts w:ascii="宋体" w:hAnsi="宋体" w:eastAsia="宋体" w:cs="宋体"/>
      <w:b/>
      <w:bCs/>
      <w:kern w:val="36"/>
      <w:sz w:val="48"/>
      <w:szCs w:val="48"/>
    </w:rPr>
  </w:style>
  <w:style w:type="paragraph" w:styleId="3">
    <w:name w:val="heading 3"/>
    <w:basedOn w:val="1"/>
    <w:next w:val="1"/>
    <w:autoRedefine/>
    <w:unhideWhenUsed/>
    <w:qFormat/>
    <w:uiPriority w:val="9"/>
    <w:pPr>
      <w:spacing w:before="100" w:beforeAutospacing="1" w:after="100" w:afterAutospacing="1"/>
      <w:outlineLvl w:val="2"/>
    </w:pPr>
    <w:rPr>
      <w:rFonts w:hint="eastAsia" w:ascii="宋体" w:hAnsi="宋体" w:eastAsia="宋体" w:cs="Times New Roman"/>
      <w:b/>
      <w:sz w:val="27"/>
      <w:szCs w:val="27"/>
    </w:rPr>
  </w:style>
  <w:style w:type="paragraph" w:styleId="4">
    <w:name w:val="heading 4"/>
    <w:basedOn w:val="1"/>
    <w:next w:val="1"/>
    <w:autoRedefine/>
    <w:qFormat/>
    <w:uiPriority w:val="0"/>
    <w:pPr>
      <w:keepNext/>
      <w:spacing w:before="240" w:after="60"/>
      <w:outlineLvl w:val="3"/>
    </w:pPr>
    <w:rPr>
      <w:b/>
      <w:bCs/>
      <w:sz w:val="28"/>
      <w:szCs w:val="28"/>
    </w:rPr>
  </w:style>
  <w:style w:type="character" w:default="1" w:styleId="19">
    <w:name w:val="Default Paragraph Font"/>
    <w:autoRedefine/>
    <w:semiHidden/>
    <w:unhideWhenUsed/>
    <w:qFormat/>
    <w:uiPriority w:val="1"/>
  </w:style>
  <w:style w:type="table" w:default="1" w:styleId="15">
    <w:name w:val="Normal Table"/>
    <w:autoRedefine/>
    <w:semiHidden/>
    <w:unhideWhenUsed/>
    <w:qFormat/>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5">
    <w:name w:val="annotation text"/>
    <w:basedOn w:val="1"/>
    <w:autoRedefine/>
    <w:unhideWhenUsed/>
    <w:qFormat/>
    <w:uiPriority w:val="99"/>
  </w:style>
  <w:style w:type="paragraph" w:styleId="6">
    <w:name w:val="toc 3"/>
    <w:basedOn w:val="1"/>
    <w:next w:val="1"/>
    <w:autoRedefine/>
    <w:unhideWhenUsed/>
    <w:qFormat/>
    <w:uiPriority w:val="39"/>
    <w:pPr>
      <w:ind w:left="840" w:leftChars="400"/>
    </w:pPr>
  </w:style>
  <w:style w:type="paragraph" w:styleId="7">
    <w:name w:val="Balloon Text"/>
    <w:basedOn w:val="1"/>
    <w:link w:val="27"/>
    <w:autoRedefine/>
    <w:unhideWhenUsed/>
    <w:qFormat/>
    <w:uiPriority w:val="99"/>
    <w:pPr>
      <w:spacing w:after="0"/>
    </w:pPr>
    <w:rPr>
      <w:sz w:val="18"/>
      <w:szCs w:val="18"/>
    </w:rPr>
  </w:style>
  <w:style w:type="paragraph" w:styleId="8">
    <w:name w:val="footer"/>
    <w:basedOn w:val="1"/>
    <w:link w:val="26"/>
    <w:autoRedefine/>
    <w:unhideWhenUsed/>
    <w:qFormat/>
    <w:uiPriority w:val="99"/>
    <w:pPr>
      <w:tabs>
        <w:tab w:val="center" w:pos="4153"/>
        <w:tab w:val="right" w:pos="8306"/>
      </w:tabs>
    </w:pPr>
    <w:rPr>
      <w:sz w:val="18"/>
      <w:szCs w:val="18"/>
    </w:rPr>
  </w:style>
  <w:style w:type="paragraph" w:styleId="9">
    <w:name w:val="header"/>
    <w:basedOn w:val="1"/>
    <w:link w:val="25"/>
    <w:autoRedefine/>
    <w:unhideWhenUsed/>
    <w:qFormat/>
    <w:uiPriority w:val="99"/>
    <w:pPr>
      <w:pBdr>
        <w:bottom w:val="single" w:color="auto" w:sz="6" w:space="1"/>
      </w:pBdr>
      <w:tabs>
        <w:tab w:val="center" w:pos="4153"/>
        <w:tab w:val="right" w:pos="8306"/>
      </w:tabs>
      <w:jc w:val="center"/>
    </w:pPr>
    <w:rPr>
      <w:sz w:val="18"/>
      <w:szCs w:val="18"/>
    </w:rPr>
  </w:style>
  <w:style w:type="paragraph" w:styleId="10">
    <w:name w:val="toc 1"/>
    <w:basedOn w:val="1"/>
    <w:next w:val="1"/>
    <w:autoRedefine/>
    <w:unhideWhenUsed/>
    <w:qFormat/>
    <w:uiPriority w:val="39"/>
  </w:style>
  <w:style w:type="paragraph" w:styleId="11">
    <w:name w:val="toc 4"/>
    <w:basedOn w:val="1"/>
    <w:next w:val="1"/>
    <w:autoRedefine/>
    <w:unhideWhenUsed/>
    <w:qFormat/>
    <w:uiPriority w:val="39"/>
    <w:pPr>
      <w:ind w:left="1260" w:leftChars="600"/>
    </w:pPr>
  </w:style>
  <w:style w:type="paragraph" w:styleId="12">
    <w:name w:val="toc 2"/>
    <w:basedOn w:val="1"/>
    <w:next w:val="1"/>
    <w:autoRedefine/>
    <w:unhideWhenUsed/>
    <w:qFormat/>
    <w:uiPriority w:val="39"/>
    <w:pPr>
      <w:ind w:left="420" w:leftChars="200"/>
    </w:pPr>
  </w:style>
  <w:style w:type="paragraph" w:styleId="13">
    <w:name w:val="HTML Preformatted"/>
    <w:basedOn w:val="1"/>
    <w:link w:val="43"/>
    <w:autoRedefine/>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napToGrid/>
      <w:spacing w:after="0"/>
    </w:pPr>
    <w:rPr>
      <w:rFonts w:ascii="宋体" w:hAnsi="宋体" w:eastAsia="宋体" w:cs="宋体"/>
      <w:sz w:val="24"/>
      <w:szCs w:val="24"/>
    </w:rPr>
  </w:style>
  <w:style w:type="paragraph" w:styleId="14">
    <w:name w:val="Normal (Web)"/>
    <w:basedOn w:val="1"/>
    <w:autoRedefine/>
    <w:unhideWhenUsed/>
    <w:qFormat/>
    <w:uiPriority w:val="99"/>
    <w:pPr>
      <w:spacing w:beforeAutospacing="1" w:after="0" w:afterAutospacing="1"/>
    </w:pPr>
    <w:rPr>
      <w:rFonts w:cs="Times New Roman"/>
      <w:sz w:val="24"/>
    </w:rPr>
  </w:style>
  <w:style w:type="table" w:styleId="16">
    <w:name w:val="Table Grid"/>
    <w:basedOn w:val="15"/>
    <w:autoRedefine/>
    <w:qFormat/>
    <w:uiPriority w:val="59"/>
    <w:rPr>
      <w:rFonts w:eastAsiaTheme="minorEastAsia"/>
      <w:kern w:val="2"/>
      <w:sz w:val="21"/>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17">
    <w:name w:val="Light List Accent 3"/>
    <w:basedOn w:val="15"/>
    <w:autoRedefine/>
    <w:qFormat/>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18">
    <w:name w:val="Light List Accent 6"/>
    <w:basedOn w:val="15"/>
    <w:autoRedefine/>
    <w:qFormat/>
    <w:uiPriority w:val="61"/>
    <w:rPr>
      <w:rFonts w:eastAsiaTheme="minorEastAsia"/>
      <w:kern w:val="2"/>
      <w:sz w:val="21"/>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character" w:styleId="20">
    <w:name w:val="Strong"/>
    <w:basedOn w:val="19"/>
    <w:autoRedefine/>
    <w:qFormat/>
    <w:uiPriority w:val="22"/>
    <w:rPr>
      <w:b/>
    </w:rPr>
  </w:style>
  <w:style w:type="character" w:styleId="21">
    <w:name w:val="FollowedHyperlink"/>
    <w:basedOn w:val="19"/>
    <w:autoRedefine/>
    <w:unhideWhenUsed/>
    <w:qFormat/>
    <w:uiPriority w:val="99"/>
    <w:rPr>
      <w:color w:val="800080"/>
      <w:u w:val="single"/>
    </w:rPr>
  </w:style>
  <w:style w:type="character" w:styleId="22">
    <w:name w:val="Emphasis"/>
    <w:basedOn w:val="19"/>
    <w:autoRedefine/>
    <w:qFormat/>
    <w:uiPriority w:val="20"/>
    <w:rPr>
      <w:i/>
    </w:rPr>
  </w:style>
  <w:style w:type="character" w:styleId="23">
    <w:name w:val="Hyperlink"/>
    <w:basedOn w:val="19"/>
    <w:autoRedefine/>
    <w:unhideWhenUsed/>
    <w:qFormat/>
    <w:uiPriority w:val="99"/>
    <w:rPr>
      <w:color w:val="0000FF" w:themeColor="hyperlink"/>
      <w:u w:val="single"/>
      <w14:textFill>
        <w14:solidFill>
          <w14:schemeClr w14:val="hlink"/>
        </w14:solidFill>
      </w14:textFill>
    </w:rPr>
  </w:style>
  <w:style w:type="character" w:styleId="24">
    <w:name w:val="annotation reference"/>
    <w:basedOn w:val="19"/>
    <w:autoRedefine/>
    <w:semiHidden/>
    <w:unhideWhenUsed/>
    <w:qFormat/>
    <w:uiPriority w:val="99"/>
    <w:rPr>
      <w:sz w:val="21"/>
      <w:szCs w:val="21"/>
    </w:rPr>
  </w:style>
  <w:style w:type="character" w:customStyle="1" w:styleId="25">
    <w:name w:val="页眉 字符"/>
    <w:basedOn w:val="19"/>
    <w:link w:val="9"/>
    <w:autoRedefine/>
    <w:qFormat/>
    <w:uiPriority w:val="99"/>
    <w:rPr>
      <w:rFonts w:ascii="Tahoma" w:hAnsi="Tahoma"/>
      <w:sz w:val="18"/>
      <w:szCs w:val="18"/>
    </w:rPr>
  </w:style>
  <w:style w:type="character" w:customStyle="1" w:styleId="26">
    <w:name w:val="页脚 字符"/>
    <w:basedOn w:val="19"/>
    <w:link w:val="8"/>
    <w:autoRedefine/>
    <w:qFormat/>
    <w:uiPriority w:val="99"/>
    <w:rPr>
      <w:rFonts w:ascii="Tahoma" w:hAnsi="Tahoma"/>
      <w:sz w:val="18"/>
      <w:szCs w:val="18"/>
    </w:rPr>
  </w:style>
  <w:style w:type="character" w:customStyle="1" w:styleId="27">
    <w:name w:val="批注框文本 字符"/>
    <w:basedOn w:val="19"/>
    <w:link w:val="7"/>
    <w:autoRedefine/>
    <w:semiHidden/>
    <w:qFormat/>
    <w:uiPriority w:val="99"/>
    <w:rPr>
      <w:rFonts w:ascii="Tahoma" w:hAnsi="Tahoma"/>
      <w:sz w:val="18"/>
      <w:szCs w:val="18"/>
    </w:rPr>
  </w:style>
  <w:style w:type="paragraph" w:customStyle="1" w:styleId="28">
    <w:name w:val="Normal_1"/>
    <w:autoRedefine/>
    <w:qFormat/>
    <w:uiPriority w:val="0"/>
    <w:pPr>
      <w:spacing w:before="120" w:after="240"/>
      <w:jc w:val="both"/>
    </w:pPr>
    <w:rPr>
      <w:rFonts w:ascii="Calibri" w:hAnsi="Calibri" w:eastAsia="Calibri" w:cs="Times New Roman"/>
      <w:sz w:val="22"/>
      <w:szCs w:val="22"/>
      <w:lang w:val="ru-RU" w:eastAsia="en-US" w:bidi="ar-SA"/>
    </w:rPr>
  </w:style>
  <w:style w:type="paragraph" w:customStyle="1" w:styleId="29">
    <w:name w:val="列出段落1"/>
    <w:basedOn w:val="1"/>
    <w:autoRedefine/>
    <w:qFormat/>
    <w:uiPriority w:val="34"/>
    <w:pPr>
      <w:ind w:firstLine="420" w:firstLineChars="200"/>
    </w:pPr>
  </w:style>
  <w:style w:type="table" w:customStyle="1" w:styleId="30">
    <w:name w:val="无格式表格 11"/>
    <w:basedOn w:val="15"/>
    <w:autoRedefine/>
    <w:qFormat/>
    <w:uiPriority w:val="41"/>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table" w:customStyle="1" w:styleId="31">
    <w:name w:val="无格式表格 12"/>
    <w:basedOn w:val="15"/>
    <w:autoRedefine/>
    <w:qFormat/>
    <w:uiPriority w:val="41"/>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paragraph" w:customStyle="1" w:styleId="32">
    <w:name w:val="Normal_4"/>
    <w:autoRedefine/>
    <w:qFormat/>
    <w:uiPriority w:val="0"/>
    <w:pPr>
      <w:spacing w:before="120" w:after="240"/>
      <w:jc w:val="both"/>
    </w:pPr>
    <w:rPr>
      <w:rFonts w:ascii="Calibri" w:hAnsi="Calibri" w:eastAsia="Calibri" w:cs="Times New Roman"/>
      <w:sz w:val="22"/>
      <w:szCs w:val="22"/>
      <w:lang w:val="ru-RU" w:eastAsia="en-US" w:bidi="ar-SA"/>
    </w:rPr>
  </w:style>
  <w:style w:type="character" w:customStyle="1" w:styleId="33">
    <w:name w:val="copied"/>
    <w:basedOn w:val="19"/>
    <w:autoRedefine/>
    <w:qFormat/>
    <w:uiPriority w:val="0"/>
  </w:style>
  <w:style w:type="character" w:customStyle="1" w:styleId="34">
    <w:name w:val="标题 1 字符"/>
    <w:basedOn w:val="19"/>
    <w:link w:val="2"/>
    <w:autoRedefine/>
    <w:qFormat/>
    <w:uiPriority w:val="9"/>
    <w:rPr>
      <w:rFonts w:ascii="宋体" w:hAnsi="宋体" w:eastAsia="宋体" w:cs="宋体"/>
      <w:b/>
      <w:bCs/>
      <w:kern w:val="36"/>
      <w:sz w:val="48"/>
      <w:szCs w:val="48"/>
    </w:rPr>
  </w:style>
  <w:style w:type="character" w:customStyle="1" w:styleId="35">
    <w:name w:val="apple-converted-space"/>
    <w:basedOn w:val="19"/>
    <w:autoRedefine/>
    <w:qFormat/>
    <w:uiPriority w:val="0"/>
  </w:style>
  <w:style w:type="character" w:customStyle="1" w:styleId="36">
    <w:name w:val="hit_inf"/>
    <w:basedOn w:val="19"/>
    <w:autoRedefine/>
    <w:qFormat/>
    <w:uiPriority w:val="0"/>
  </w:style>
  <w:style w:type="character" w:customStyle="1" w:styleId="37">
    <w:name w:val="hit_org"/>
    <w:basedOn w:val="19"/>
    <w:autoRedefine/>
    <w:qFormat/>
    <w:uiPriority w:val="0"/>
  </w:style>
  <w:style w:type="character" w:customStyle="1" w:styleId="38">
    <w:name w:val="hit_syn"/>
    <w:basedOn w:val="19"/>
    <w:autoRedefine/>
    <w:qFormat/>
    <w:uiPriority w:val="0"/>
  </w:style>
  <w:style w:type="character" w:customStyle="1" w:styleId="39">
    <w:name w:val="highlight"/>
    <w:basedOn w:val="19"/>
    <w:autoRedefine/>
    <w:qFormat/>
    <w:uiPriority w:val="0"/>
  </w:style>
  <w:style w:type="paragraph" w:customStyle="1" w:styleId="40">
    <w:name w:val="修订1"/>
    <w:autoRedefine/>
    <w:hidden/>
    <w:semiHidden/>
    <w:qFormat/>
    <w:uiPriority w:val="99"/>
    <w:rPr>
      <w:rFonts w:ascii="Tahoma" w:hAnsi="Tahoma" w:eastAsia="微软雅黑" w:cstheme="minorBidi"/>
      <w:sz w:val="22"/>
      <w:szCs w:val="22"/>
      <w:lang w:val="en-US" w:eastAsia="zh-CN" w:bidi="ar-SA"/>
    </w:rPr>
  </w:style>
  <w:style w:type="character" w:customStyle="1" w:styleId="41">
    <w:name w:val="font21"/>
    <w:basedOn w:val="19"/>
    <w:autoRedefine/>
    <w:qFormat/>
    <w:uiPriority w:val="0"/>
    <w:rPr>
      <w:rFonts w:hint="default" w:ascii="Arial" w:hAnsi="Arial" w:cs="Arial"/>
      <w:color w:val="000000"/>
      <w:sz w:val="20"/>
      <w:szCs w:val="20"/>
      <w:u w:val="none"/>
    </w:rPr>
  </w:style>
  <w:style w:type="paragraph" w:customStyle="1" w:styleId="42">
    <w:name w:val="列出段落2"/>
    <w:basedOn w:val="1"/>
    <w:autoRedefine/>
    <w:unhideWhenUsed/>
    <w:qFormat/>
    <w:uiPriority w:val="99"/>
    <w:pPr>
      <w:ind w:firstLine="420" w:firstLineChars="200"/>
    </w:pPr>
  </w:style>
  <w:style w:type="character" w:customStyle="1" w:styleId="43">
    <w:name w:val="HTML 预设格式 字符"/>
    <w:basedOn w:val="19"/>
    <w:link w:val="13"/>
    <w:autoRedefine/>
    <w:semiHidden/>
    <w:qFormat/>
    <w:uiPriority w:val="99"/>
    <w:rPr>
      <w:rFonts w:ascii="宋体" w:hAnsi="宋体" w:eastAsia="宋体" w:cs="宋体"/>
      <w:sz w:val="24"/>
      <w:szCs w:val="24"/>
    </w:rPr>
  </w:style>
  <w:style w:type="paragraph" w:customStyle="1" w:styleId="44">
    <w:name w:val="列出段落3"/>
    <w:basedOn w:val="1"/>
    <w:autoRedefine/>
    <w:qFormat/>
    <w:uiPriority w:val="99"/>
    <w:pPr>
      <w:ind w:firstLine="420" w:firstLineChars="200"/>
    </w:pPr>
  </w:style>
  <w:style w:type="character" w:customStyle="1" w:styleId="45">
    <w:name w:val="fontstyle01"/>
    <w:basedOn w:val="19"/>
    <w:autoRedefine/>
    <w:qFormat/>
    <w:uiPriority w:val="0"/>
    <w:rPr>
      <w:rFonts w:ascii="宋体" w:hAnsi="宋体" w:eastAsia="宋体" w:cs="宋体"/>
      <w:color w:val="000000"/>
      <w:sz w:val="22"/>
      <w:szCs w:val="22"/>
    </w:rPr>
  </w:style>
  <w:style w:type="character" w:customStyle="1" w:styleId="46">
    <w:name w:val="fontstyle21"/>
    <w:basedOn w:val="19"/>
    <w:autoRedefine/>
    <w:qFormat/>
    <w:uiPriority w:val="0"/>
    <w:rPr>
      <w:rFonts w:ascii="TimesNewRomanPSMT" w:hAnsi="TimesNewRomanPSMT" w:eastAsia="TimesNewRomanPSMT" w:cs="TimesNewRomanPSMT"/>
      <w:color w:val="000000"/>
      <w:sz w:val="22"/>
      <w:szCs w:val="22"/>
    </w:rPr>
  </w:style>
  <w:style w:type="character" w:customStyle="1" w:styleId="47">
    <w:name w:val="fontstyle31"/>
    <w:basedOn w:val="19"/>
    <w:autoRedefine/>
    <w:qFormat/>
    <w:uiPriority w:val="0"/>
    <w:rPr>
      <w:rFonts w:ascii="ArialUnicodeMS" w:hAnsi="ArialUnicodeMS" w:eastAsia="ArialUnicodeMS" w:cs="ArialUnicodeMS"/>
      <w:color w:val="538CD5"/>
      <w:sz w:val="32"/>
      <w:szCs w:val="32"/>
    </w:rPr>
  </w:style>
  <w:style w:type="character" w:customStyle="1" w:styleId="48">
    <w:name w:val="fontstyle41"/>
    <w:basedOn w:val="19"/>
    <w:autoRedefine/>
    <w:qFormat/>
    <w:uiPriority w:val="0"/>
    <w:rPr>
      <w:rFonts w:ascii="TimesNewRomanPS-ItalicMT" w:hAnsi="TimesNewRomanPS-ItalicMT" w:eastAsia="TimesNewRomanPS-ItalicMT" w:cs="TimesNewRomanPS-ItalicMT"/>
      <w:i/>
      <w:color w:val="000000"/>
      <w:sz w:val="22"/>
      <w:szCs w:val="22"/>
    </w:rPr>
  </w:style>
  <w:style w:type="character" w:customStyle="1" w:styleId="49">
    <w:name w:val="fontstyle11"/>
    <w:basedOn w:val="19"/>
    <w:autoRedefine/>
    <w:qFormat/>
    <w:uiPriority w:val="0"/>
    <w:rPr>
      <w:rFonts w:ascii="TimesNewRomanPSMT" w:hAnsi="TimesNewRomanPSMT" w:eastAsia="TimesNewRomanPSMT" w:cs="TimesNewRomanPSMT"/>
      <w:color w:val="000000"/>
      <w:sz w:val="20"/>
      <w:szCs w:val="20"/>
    </w:rPr>
  </w:style>
  <w:style w:type="paragraph" w:customStyle="1" w:styleId="50">
    <w:name w:val="EndNote Bibliography"/>
    <w:basedOn w:val="1"/>
    <w:autoRedefine/>
    <w:qFormat/>
    <w:uiPriority w:val="0"/>
    <w:rPr>
      <w:rFonts w:cs="Tahoma"/>
    </w:rPr>
  </w:style>
  <w:style w:type="character" w:customStyle="1" w:styleId="51">
    <w:name w:val="font01"/>
    <w:basedOn w:val="19"/>
    <w:autoRedefine/>
    <w:qFormat/>
    <w:uiPriority w:val="0"/>
    <w:rPr>
      <w:rFonts w:hint="eastAsia" w:ascii="Arial Unicode MS" w:hAnsi="Arial Unicode MS" w:eastAsia="Arial Unicode MS" w:cs="Arial Unicode MS"/>
      <w:color w:val="404040"/>
      <w:sz w:val="16"/>
      <w:szCs w:val="16"/>
      <w:u w:val="none"/>
    </w:rPr>
  </w:style>
  <w:style w:type="character" w:customStyle="1" w:styleId="52">
    <w:name w:val="font11"/>
    <w:basedOn w:val="19"/>
    <w:autoRedefine/>
    <w:qFormat/>
    <w:uiPriority w:val="0"/>
    <w:rPr>
      <w:rFonts w:hint="eastAsia" w:ascii="Arial Unicode MS" w:hAnsi="Arial Unicode MS" w:eastAsia="Arial Unicode MS" w:cs="Arial Unicode MS"/>
      <w:color w:val="262626"/>
      <w:sz w:val="16"/>
      <w:szCs w:val="16"/>
      <w:u w:val="none"/>
    </w:rPr>
  </w:style>
  <w:style w:type="paragraph" w:customStyle="1" w:styleId="53">
    <w:name w:val="列出段落4"/>
    <w:basedOn w:val="1"/>
    <w:autoRedefine/>
    <w:qFormat/>
    <w:uiPriority w:val="99"/>
    <w:pPr>
      <w:ind w:firstLine="420" w:firstLineChars="200"/>
    </w:pPr>
  </w:style>
  <w:style w:type="paragraph" w:customStyle="1" w:styleId="54">
    <w:name w:val="Default"/>
    <w:autoRedefine/>
    <w:unhideWhenUsed/>
    <w:qFormat/>
    <w:uiPriority w:val="99"/>
    <w:pPr>
      <w:widowControl w:val="0"/>
      <w:autoSpaceDE w:val="0"/>
      <w:autoSpaceDN w:val="0"/>
      <w:adjustRightInd w:val="0"/>
    </w:pPr>
    <w:rPr>
      <w:rFonts w:hint="eastAsia" w:ascii="宋体" w:hAnsi="宋体" w:eastAsia="宋体" w:cs="Times New Roman"/>
      <w:color w:val="000000"/>
      <w:sz w:val="24"/>
      <w:lang w:val="en-US" w:eastAsia="zh-CN" w:bidi="ar-SA"/>
    </w:rPr>
  </w:style>
  <w:style w:type="paragraph" w:styleId="55">
    <w:name w:val="List Paragraph"/>
    <w:basedOn w:val="1"/>
    <w:autoRedefine/>
    <w:unhideWhenUsed/>
    <w:qFormat/>
    <w:uiPriority w:val="99"/>
    <w:pPr>
      <w:ind w:firstLine="420" w:firstLineChars="200"/>
    </w:pPr>
  </w:style>
  <w:style w:type="character" w:customStyle="1" w:styleId="56">
    <w:name w:val="font31"/>
    <w:basedOn w:val="19"/>
    <w:autoRedefine/>
    <w:qFormat/>
    <w:uiPriority w:val="0"/>
    <w:rPr>
      <w:rFonts w:hint="default" w:ascii="Calibri" w:hAnsi="Calibri" w:cs="Calibri"/>
      <w:color w:val="000000"/>
      <w:sz w:val="21"/>
      <w:szCs w:val="21"/>
      <w:u w:val="none"/>
    </w:rPr>
  </w:style>
  <w:style w:type="paragraph" w:customStyle="1" w:styleId="57">
    <w:name w:val="WPSOffice手动目录 1"/>
    <w:autoRedefine/>
    <w:qFormat/>
    <w:uiPriority w:val="0"/>
    <w:rPr>
      <w:rFonts w:ascii="Times New Roman" w:hAnsi="Times New Roman" w:eastAsia="宋体" w:cs="Times New Roman"/>
      <w:lang w:val="en-US" w:eastAsia="zh-CN" w:bidi="ar-SA"/>
    </w:rPr>
  </w:style>
  <w:style w:type="character" w:customStyle="1" w:styleId="58">
    <w:name w:val="10"/>
    <w:basedOn w:val="19"/>
    <w:qFormat/>
    <w:uiPriority w:val="0"/>
    <w:rPr>
      <w:rFonts w:hint="default" w:ascii="Times New Roman" w:hAnsi="Times New Roman" w:cs="Times New Roman"/>
    </w:rPr>
  </w:style>
  <w:style w:type="character" w:customStyle="1" w:styleId="59">
    <w:name w:val="15"/>
    <w:basedOn w:val="19"/>
    <w:qFormat/>
    <w:uiPriority w:val="0"/>
    <w:rPr>
      <w:rFonts w:hint="default" w:ascii="Times New Roman" w:hAnsi="Times New Roman" w:cs="Times New Roman"/>
      <w:color w:val="800080"/>
      <w:u w:val="single"/>
    </w:rPr>
  </w:style>
  <w:style w:type="character" w:customStyle="1" w:styleId="60">
    <w:name w:val="16"/>
    <w:basedOn w:val="19"/>
    <w:qFormat/>
    <w:uiPriority w:val="0"/>
    <w:rPr>
      <w:rFonts w:hint="default" w:ascii="Times New Roman" w:hAnsi="Times New Roman" w:cs="Times New Roman"/>
      <w:color w:val="0000FF"/>
      <w:u w:val="single"/>
    </w:rPr>
  </w:style>
</w:styles>
</file>

<file path=word/_rels/comments.xml.rels><?xml version="1.0" encoding="UTF-8"?><Relationships xmlns="http://schemas.openxmlformats.org/package/2006/relationships"><Relationship Id="rId9" Type="http://schemas.openxmlformats.org/officeDocument/2006/relationships/image" Target="media/image9.png"/><Relationship Id="rId8" Type="http://schemas.openxmlformats.org/officeDocument/2006/relationships/image" Target="media/image8.png"/><Relationship Id="rId7" Type="http://schemas.openxmlformats.org/officeDocument/2006/relationships/image" Target="media/image7.png"/><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image" Target="media/image4.png"/><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_rels/document.xml.rels><?xml version="1.0" encoding="UTF-8"?><Relationships xmlns="http://schemas.openxmlformats.org/package/2006/relationships"><Relationship Id="rId9" Type="http://schemas.openxmlformats.org/officeDocument/2006/relationships/header" Target="header2.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1.xml"/><Relationship Id="rId55" Type="http://schemas.microsoft.com/office/2011/relationships/people" Target="people.xml"/><Relationship Id="rId54" Type="http://schemas.openxmlformats.org/officeDocument/2006/relationships/fontTable" Target="fontTable.xml"/><Relationship Id="rId53" Type="http://schemas.openxmlformats.org/officeDocument/2006/relationships/customXml" Target="../customXml/item2.xml"/><Relationship Id="rId52" Type="http://schemas.openxmlformats.org/officeDocument/2006/relationships/numbering" Target="numbering.xml"/><Relationship Id="rId51" Type="http://schemas.openxmlformats.org/officeDocument/2006/relationships/customXml" Target="../customXml/item1.xml"/><Relationship Id="rId50" Type="http://schemas.openxmlformats.org/officeDocument/2006/relationships/image" Target="media/image47.jpeg"/><Relationship Id="rId5" Type="http://schemas.openxmlformats.org/officeDocument/2006/relationships/footnotes" Target="footnotes.xml"/><Relationship Id="rId49" Type="http://schemas.openxmlformats.org/officeDocument/2006/relationships/image" Target="media/image46.png"/><Relationship Id="rId48" Type="http://schemas.openxmlformats.org/officeDocument/2006/relationships/image" Target="media/image45.png"/><Relationship Id="rId47" Type="http://schemas.openxmlformats.org/officeDocument/2006/relationships/image" Target="media/image44.png"/><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jpeg"/><Relationship Id="rId41" Type="http://schemas.openxmlformats.org/officeDocument/2006/relationships/image" Target="media/image38.png"/><Relationship Id="rId40" Type="http://schemas.openxmlformats.org/officeDocument/2006/relationships/image" Target="media/image37.png"/><Relationship Id="rId4" Type="http://schemas.microsoft.com/office/2011/relationships/commentsExtended" Target="commentsExtended.xml"/><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comments" Target="comments.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theme" Target="theme/theme1.xml"/><Relationship Id="rId16" Type="http://schemas.openxmlformats.org/officeDocument/2006/relationships/footer" Target="footer5.xml"/><Relationship Id="rId15" Type="http://schemas.openxmlformats.org/officeDocument/2006/relationships/header" Target="header6.xml"/><Relationship Id="rId14" Type="http://schemas.openxmlformats.org/officeDocument/2006/relationships/header" Target="header5.xml"/><Relationship Id="rId13" Type="http://schemas.openxmlformats.org/officeDocument/2006/relationships/header" Target="header4.xml"/><Relationship Id="rId12" Type="http://schemas.openxmlformats.org/officeDocument/2006/relationships/footer" Target="footer4.xml"/><Relationship Id="rId11" Type="http://schemas.openxmlformats.org/officeDocument/2006/relationships/header" Target="header3.xml"/><Relationship Id="rId10" Type="http://schemas.openxmlformats.org/officeDocument/2006/relationships/footer" Target="footer3.xml"/><Relationship Id="rId1" Type="http://schemas.openxmlformats.org/officeDocument/2006/relationships/styles" Target="styles.xml"/></Relationships>
</file>

<file path=word/_rels/header2.xml.rels><?xml version="1.0" encoding="UTF-8"?><Relationships xmlns="http://schemas.openxmlformats.org/package/2006/relationships"><Relationship Id="rId2" Type="http://schemas.openxmlformats.org/officeDocument/2006/relationships/image" Target="media/image11.png"/><Relationship Id="rId1" Type="http://schemas.openxmlformats.org/officeDocument/2006/relationships/image" Target="media/image10.png"/></Relationships>
</file>

<file path=word/_rels/header3.xml.rels><?xml version="1.0" encoding="UTF-8"?><Relationships xmlns="http://schemas.openxmlformats.org/package/2006/relationships"><Relationship Id="rId2" Type="http://schemas.openxmlformats.org/officeDocument/2006/relationships/image" Target="media/image13.png"/><Relationship Id="rId1" Type="http://schemas.openxmlformats.org/officeDocument/2006/relationships/image" Target="media/image12.png"/></Relationships>
</file>

<file path=word/_rels/header5.xml.rels><?xml version="1.0" encoding="UTF-8"?><Relationships xmlns="http://schemas.openxmlformats.org/package/2006/relationships"><Relationship Id="rId1" Type="http://schemas.openxmlformats.org/officeDocument/2006/relationships/image" Target="media/image14.png"/></Relationships>
</file>

<file path=word/_rels/header6.xml.rels><?xml version="1.0" encoding="UTF-8"?><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DAA9108-2FB1-42BF-B3A1-50C1F34BF052}">
  <ds:schemaRefs/>
</ds:datastoreItem>
</file>

<file path=docProps/app.xml><?xml version="1.0" encoding="utf-8"?>
<Properties xmlns="http://schemas.openxmlformats.org/officeDocument/2006/extended-properties" xmlns:vt="http://schemas.openxmlformats.org/officeDocument/2006/docPropsVTypes">
  <Template>Normal.dotm</Template>
  <Pages>86</Pages>
  <Words>10027</Words>
  <Characters>13975</Characters>
  <Lines>1</Lines>
  <Paragraphs>1</Paragraphs>
  <TotalTime>5</TotalTime>
  <ScaleCrop>false</ScaleCrop>
  <LinksUpToDate>false</LinksUpToDate>
  <CharactersWithSpaces>14576</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2016-09-02T06:59:00Z</dcterms:created>
  <dc:creator>Wonzer</dc:creator>
  <cp:lastModifiedBy>依米</cp:lastModifiedBy>
  <cp:lastPrinted>2016-10-03T08:25:00Z</cp:lastPrinted>
  <dcterms:modified xsi:type="dcterms:W3CDTF">2025-12-10T03:06:21Z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C4498A3B6DE54574AE125B71F8EA08A7_13</vt:lpwstr>
  </property>
  <property fmtid="{D5CDD505-2E9C-101B-9397-08002B2CF9AE}" pid="4" name="KSOTemplateDocerSaveRecord">
    <vt:lpwstr>eyJoZGlkIjoiNmE3MWExZjUzOTdiZTZmYTQ0YzczNDk5ZWVhNjlkMjkiLCJ1c2VySWQiOiI3MjkyNTAyOTcifQ==</vt:lpwstr>
  </property>
</Properties>
</file>