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TP53</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c.844C&gt;T</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p.R282W</w:t>
            </w:r>
          </w:p>
          <w:p w14:paraId="254474C2">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KRAS</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c.34G&gt;A</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p.G12S</w:t>
            </w:r>
          </w:p>
          <w:p w14:paraId="5E9B62D0">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ATM</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c.6874C&gt;T</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p.Q2292*</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未检出</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immune_negative_result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 immune_hyperprogression_result }}</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64A9A75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61EF29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5BB72B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6CB61D8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default" w:ascii="微软雅黑" w:hAnsi="微软雅黑"/>
                <w:bCs/>
                <w:kern w:val="2"/>
                <w:sz w:val="20"/>
                <w:szCs w:val="20"/>
              </w:rPr>
              <w:t>c.34G&gt;A</w:t>
            </w:r>
            <w:r>
              <w:rPr>
                <w:rFonts w:hint="eastAsia" w:ascii="微软雅黑" w:hAnsi="微软雅黑"/>
                <w:bCs/>
                <w:kern w:val="2"/>
                <w:sz w:val="20"/>
                <w:szCs w:val="20"/>
                <w:lang w:eastAsia="zh-CN"/>
              </w:rPr>
              <w:t>，</w:t>
            </w:r>
            <w:r>
              <w:rPr>
                <w:rFonts w:hint="default" w:ascii="微软雅黑" w:hAnsi="微软雅黑"/>
                <w:bCs/>
                <w:kern w:val="2"/>
                <w:sz w:val="20"/>
                <w:szCs w:val="20"/>
              </w:rPr>
              <w:t>p.G12S</w:t>
            </w:r>
            <w:r>
              <w:commentReference w:id="19"/>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02F4128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keepNext w:val="0"/>
              <w:keepLines w:val="0"/>
              <w:widowControl/>
              <w:suppressLineNumbers w:val="0"/>
              <w:spacing w:before="0" w:beforeAutospacing="0" w:after="0" w:afterAutospacing="0"/>
              <w:ind w:left="0" w:right="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未检出</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B5F0AD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3B3BE5B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36E113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E0BBD0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86E895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7CBC174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bCs/>
                <w:kern w:val="2"/>
                <w:sz w:val="20"/>
                <w:szCs w:val="20"/>
              </w:rPr>
              <w:t>未检出</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0D9C06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ED987E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759CD7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C6A9A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24A0243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7B05F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6.5</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低</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微卫星稳定（MSS）型。</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