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highlight w:val="yellow"/>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highlight w:val="yellow"/>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highlight w:val="yellow"/>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highlight w:val="yellow"/>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headerReference w:type="first" r:id="rId56"/>
          <w:headerReference w:type="even" r:id="rId57"/>
          <w:footerReference w:type="default" r:id="rId58"/>
          <w:footerReference w:type="first" r:id="rId59"/>
          <w:footerReference w:type="even" r:id="rId60"/>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highlight w:val="yellow"/>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highlight w:val="yellow"/>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highlight w:val="yellow"/>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highlight w:val="yellow"/>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highlight w:val="yellow"/>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highlight w:val="yellow"/>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rPr>
                <w:highlight w:val="cyan"/>
              </w:rP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highlight w:val="yellow"/>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highlight w:val="yellow"/>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highlight w:val="yellow"/>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highlight w:val="yellow"/>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highlight w:val="yellow"/>
              </w:rPr>
              <w:t>{{ row.caution_drugs }}</w:t>
            </w:r>
          </w:p>
        </w:tc>
      </w:tr>
      <w:tr>
        <w:trPr>
          <w:trHeight w:val="0" w:hRule="auto"/>
        </w:trPr>
        <w:tc>
          <w:tcPr>
            <w:tcW w:w="0" w:type="auto"/>
          </w:tcPr>
          <w:p>
            <w:r>
              <w:rPr>
                <w:highlight w:val="cyan"/>
              </w:rP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highlight w:val="yellow"/>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highlight w:val="yellow"/>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highlight w:val="yellow"/>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highlight w:val="yellow"/>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highlight w:val="yellow"/>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highlight w:val="yellow"/>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highlight w:val="yellow"/>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TP53</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c.844C&gt;T</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p.R282W</w:t>
            </w:r>
          </w:p>
          <w:p w14:paraId="254474C2">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KRAS</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c.34G&gt;A</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p.G12S</w:t>
            </w:r>
          </w:p>
          <w:p w14:paraId="5E9B62D0">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ATM</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c.6874C&gt;T</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p.Q2292*</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未检出</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highlight w:val="yellow"/>
              </w:rPr>
              <w:t>{{ immune_negative_result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rPr>
                <w:highlight w:val="cyan"/>
              </w:rP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highlight w:val="yellow"/>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highlight w:val="yellow"/>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highlight w:val="yellow"/>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highlight w:val="yellow"/>
              </w:rPr>
              <w:t>{{ row.caution_drugs }}</w:t>
            </w:r>
          </w:p>
        </w:tc>
      </w:tr>
      <w:tr>
        <w:trPr>
          <w:trHeight w:val="0" w:hRule="auto"/>
        </w:trPr>
        <w:tc>
          <w:tcPr>
            <w:tcW w:w="0" w:type="auto"/>
          </w:tcPr>
          <w:p>
            <w:r>
              <w:rPr>
                <w:highlight w:val="cyan"/>
              </w:rPr>
              <w:t>{%tr endfor %}</w:t>
            </w:r>
          </w:p>
        </w:tc>
      </w:tr>
      <w:tr>
        <w:trPr>
          <w:trHeight w:val="0" w:hRule="auto"/>
        </w:trPr>
        <w:tc>
          <w:tcPr>
            <w:tcW w:w="0" w:type="auto"/>
          </w:tcPr>
          <w:p>
            <w:r>
              <w:rPr>
                <w:highlight w:val="cyan"/>
              </w:rP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highlight w:val="yellow"/>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highlight w:val="yellow"/>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highlight w:val="yellow"/>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rPr>
                <w:highlight w:val="cyan"/>
              </w:rP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w:tr w14:paraId="3905A6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0CB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EGFR</w:t>
            </w:r>
          </w:p>
        </w:tc>
        <w:tc>
          <w:tcPr>
            <w:tcW w:w="2277" w:type="dxa"/>
            <w:vAlign w:val="center"/>
          </w:tcPr>
          <w:p w14:paraId="2B7E663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外显子18</w:t>
            </w:r>
          </w:p>
        </w:tc>
        <w:tc>
          <w:tcPr>
            <w:tcW w:w="4386" w:type="dxa"/>
            <w:vAlign w:val="center"/>
          </w:tcPr>
          <w:p w14:paraId="11675E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highlight w:val="yellow"/>
              </w:rPr>
              <w:t>{{ immune_hyperprogression_result }}</w:t>
            </w:r>
          </w:p>
        </w:tc>
      </w:tr>
      <w:tr w14:paraId="0BC23F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EFB00C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64A9A75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外显子19</w:t>
            </w:r>
          </w:p>
        </w:tc>
        <w:tc>
          <w:tcPr>
            <w:tcW w:w="4386" w:type="dxa"/>
            <w:vAlign w:val="center"/>
          </w:tcPr>
          <w:p w14:paraId="7ABFD0B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73E64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5D1B98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561EF29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外显子20</w:t>
            </w:r>
          </w:p>
        </w:tc>
        <w:tc>
          <w:tcPr>
            <w:tcW w:w="4386" w:type="dxa"/>
            <w:vAlign w:val="center"/>
          </w:tcPr>
          <w:p w14:paraId="12D8551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48847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065672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15BB72B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外显子21</w:t>
            </w:r>
          </w:p>
        </w:tc>
        <w:tc>
          <w:tcPr>
            <w:tcW w:w="4386" w:type="dxa"/>
            <w:vAlign w:val="center"/>
          </w:tcPr>
          <w:p w14:paraId="28BFDD7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F8C33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5AC988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KRAS</w:t>
            </w:r>
          </w:p>
        </w:tc>
        <w:tc>
          <w:tcPr>
            <w:tcW w:w="2277" w:type="dxa"/>
            <w:vAlign w:val="center"/>
          </w:tcPr>
          <w:p w14:paraId="60073A2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外显子2</w:t>
            </w:r>
          </w:p>
        </w:tc>
        <w:tc>
          <w:tcPr>
            <w:tcW w:w="4386" w:type="dxa"/>
            <w:vAlign w:val="center"/>
          </w:tcPr>
          <w:p w14:paraId="6CB61D8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default" w:ascii="微软雅黑" w:hAnsi="微软雅黑"/>
                <w:bCs/>
                <w:kern w:val="2"/>
                <w:sz w:val="20"/>
                <w:szCs w:val="20"/>
              </w:rPr>
              <w:t>c.34G&gt;A</w:t>
            </w:r>
            <w:r>
              <w:rPr>
                <w:rFonts w:hint="eastAsia" w:ascii="微软雅黑" w:hAnsi="微软雅黑"/>
                <w:bCs/>
                <w:kern w:val="2"/>
                <w:sz w:val="20"/>
                <w:szCs w:val="20"/>
                <w:lang w:eastAsia="zh-CN"/>
              </w:rPr>
              <w:t>，</w:t>
            </w:r>
            <w:r>
              <w:rPr>
                <w:rFonts w:hint="default" w:ascii="微软雅黑" w:hAnsi="微软雅黑"/>
                <w:bCs/>
                <w:kern w:val="2"/>
                <w:sz w:val="20"/>
                <w:szCs w:val="20"/>
              </w:rPr>
              <w:t>p.G12S</w:t>
            </w:r>
            <w:r>
              <w:commentReference w:id="19"/>
            </w:r>
          </w:p>
        </w:tc>
      </w:tr>
      <w:tr w14:paraId="489258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0" w:hRule="atLeast"/>
        </w:trPr>
        <w:tc>
          <w:tcPr>
            <w:tcW w:w="1738" w:type="dxa"/>
            <w:vMerge w:val="continue"/>
            <w:vAlign w:val="center"/>
          </w:tcPr>
          <w:p w14:paraId="33D101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02F4128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外显子3</w:t>
            </w:r>
          </w:p>
        </w:tc>
        <w:tc>
          <w:tcPr>
            <w:tcW w:w="4386" w:type="dxa"/>
            <w:vAlign w:val="center"/>
          </w:tcPr>
          <w:p w14:paraId="5E6FCBAF">
            <w:pPr>
              <w:keepNext w:val="0"/>
              <w:keepLines w:val="0"/>
              <w:widowControl/>
              <w:suppressLineNumbers w:val="0"/>
              <w:spacing w:before="0" w:beforeAutospacing="0" w:after="0" w:afterAutospacing="0"/>
              <w:ind w:left="0" w:right="0"/>
              <w:jc w:val="center"/>
              <w:rPr>
                <w:rFonts w:hint="eastAsia" w:ascii="微软雅黑" w:hAnsi="微软雅黑" w:eastAsia="微软雅黑"/>
                <w:bCs/>
                <w:kern w:val="2"/>
                <w:sz w:val="20"/>
                <w:szCs w:val="20"/>
                <w:lang w:eastAsia="zh-CN"/>
              </w:rPr>
            </w:pPr>
            <w:r>
              <w:rPr>
                <w:rFonts w:hint="eastAsia" w:ascii="微软雅黑" w:hAnsi="微软雅黑" w:cs="微软雅黑"/>
                <w:bCs/>
                <w:kern w:val="2"/>
                <w:sz w:val="20"/>
                <w:szCs w:val="20"/>
              </w:rPr>
              <w:t>未检出</w:t>
            </w:r>
          </w:p>
        </w:tc>
      </w:tr>
      <w:tr w14:paraId="3B8BC4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55A2BA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1B5F0AD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外显子4</w:t>
            </w:r>
          </w:p>
        </w:tc>
        <w:tc>
          <w:tcPr>
            <w:tcW w:w="4386" w:type="dxa"/>
            <w:vAlign w:val="center"/>
          </w:tcPr>
          <w:p w14:paraId="0D812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ALK</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2F30A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695188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ROS1</w:t>
            </w:r>
          </w:p>
        </w:tc>
        <w:tc>
          <w:tcPr>
            <w:tcW w:w="2277" w:type="dxa"/>
            <w:vAlign w:val="center"/>
          </w:tcPr>
          <w:p w14:paraId="439A9F9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19A8DF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46D54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CCFFC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RET</w:t>
            </w:r>
          </w:p>
        </w:tc>
        <w:tc>
          <w:tcPr>
            <w:tcW w:w="2277" w:type="dxa"/>
            <w:vAlign w:val="center"/>
          </w:tcPr>
          <w:p w14:paraId="59CCAAB4">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4AF6DEB4">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99A72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A9894F">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ERBB2</w:t>
            </w:r>
          </w:p>
          <w:p w14:paraId="01A57C50">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（HER2）</w:t>
            </w:r>
          </w:p>
        </w:tc>
        <w:tc>
          <w:tcPr>
            <w:tcW w:w="2277" w:type="dxa"/>
            <w:vAlign w:val="center"/>
          </w:tcPr>
          <w:p w14:paraId="045E17D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突变</w:t>
            </w:r>
          </w:p>
        </w:tc>
        <w:tc>
          <w:tcPr>
            <w:tcW w:w="4386" w:type="dxa"/>
            <w:vAlign w:val="center"/>
          </w:tcPr>
          <w:p w14:paraId="5DBBEE60">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C4A22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0C19DE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3B3BE5BD">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1B3752D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DA306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5B4102E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PIK3CA</w:t>
            </w:r>
          </w:p>
        </w:tc>
        <w:tc>
          <w:tcPr>
            <w:tcW w:w="2277" w:type="dxa"/>
            <w:vAlign w:val="center"/>
          </w:tcPr>
          <w:p w14:paraId="2054ABC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外显子10</w:t>
            </w:r>
          </w:p>
        </w:tc>
        <w:tc>
          <w:tcPr>
            <w:tcW w:w="4386" w:type="dxa"/>
            <w:vAlign w:val="center"/>
          </w:tcPr>
          <w:p w14:paraId="593A7EB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97098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20D573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36E1133">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外显子21</w:t>
            </w:r>
          </w:p>
        </w:tc>
        <w:tc>
          <w:tcPr>
            <w:tcW w:w="4386" w:type="dxa"/>
            <w:vAlign w:val="center"/>
          </w:tcPr>
          <w:p w14:paraId="054C0C6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6DACCA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68896F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MET</w:t>
            </w:r>
          </w:p>
        </w:tc>
        <w:tc>
          <w:tcPr>
            <w:tcW w:w="2277" w:type="dxa"/>
            <w:vAlign w:val="center"/>
          </w:tcPr>
          <w:p w14:paraId="5C5B295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外显子14跳跃</w:t>
            </w:r>
          </w:p>
        </w:tc>
        <w:tc>
          <w:tcPr>
            <w:tcW w:w="4386" w:type="dxa"/>
            <w:vAlign w:val="center"/>
          </w:tcPr>
          <w:p w14:paraId="3FD52B3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2CD60C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1AC115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5E0BBD0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36C3A18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51DC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D22D57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NRAS</w:t>
            </w:r>
          </w:p>
        </w:tc>
        <w:tc>
          <w:tcPr>
            <w:tcW w:w="2277" w:type="dxa"/>
            <w:vAlign w:val="center"/>
          </w:tcPr>
          <w:p w14:paraId="67DAB08D">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外显子2</w:t>
            </w:r>
          </w:p>
        </w:tc>
        <w:tc>
          <w:tcPr>
            <w:tcW w:w="4386" w:type="dxa"/>
            <w:vAlign w:val="center"/>
          </w:tcPr>
          <w:p w14:paraId="1CD5B43E">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741B04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834DF79">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086E895D">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外显子3</w:t>
            </w:r>
          </w:p>
        </w:tc>
        <w:tc>
          <w:tcPr>
            <w:tcW w:w="4386" w:type="dxa"/>
            <w:vAlign w:val="center"/>
          </w:tcPr>
          <w:p w14:paraId="0D1D0EF2">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158C95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158163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7CBC174E">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外显子4</w:t>
            </w:r>
          </w:p>
        </w:tc>
        <w:tc>
          <w:tcPr>
            <w:tcW w:w="4386" w:type="dxa"/>
            <w:vAlign w:val="center"/>
          </w:tcPr>
          <w:p w14:paraId="5B04EFC7">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6EEF11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72E130C">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BRAF</w:t>
            </w:r>
          </w:p>
        </w:tc>
        <w:tc>
          <w:tcPr>
            <w:tcW w:w="2277" w:type="dxa"/>
            <w:vAlign w:val="center"/>
          </w:tcPr>
          <w:p w14:paraId="17BD81F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密码子600</w:t>
            </w:r>
          </w:p>
        </w:tc>
        <w:tc>
          <w:tcPr>
            <w:tcW w:w="4386" w:type="dxa"/>
            <w:vAlign w:val="center"/>
          </w:tcPr>
          <w:p w14:paraId="2CA03303">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微软雅黑"/>
                <w:bCs/>
                <w:kern w:val="2"/>
                <w:sz w:val="20"/>
                <w:szCs w:val="20"/>
              </w:rPr>
              <w:t>未检出</w:t>
            </w:r>
          </w:p>
        </w:tc>
      </w:tr>
      <w:tr w14:paraId="77F2A2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B38CBE4">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FGFR1/2/3</w:t>
            </w:r>
          </w:p>
        </w:tc>
        <w:tc>
          <w:tcPr>
            <w:tcW w:w="2277" w:type="dxa"/>
            <w:vAlign w:val="center"/>
          </w:tcPr>
          <w:p w14:paraId="194B96D8">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2FA6FF3">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7FE385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7ACCDF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40D9C06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32DBC162">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031BF1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FEDB4D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NTRK1/2/3</w:t>
            </w:r>
          </w:p>
        </w:tc>
        <w:tc>
          <w:tcPr>
            <w:tcW w:w="2277" w:type="dxa"/>
            <w:vAlign w:val="center"/>
          </w:tcPr>
          <w:p w14:paraId="4C8DA5A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3F07844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73959D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61EDF6C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KIT</w:t>
            </w:r>
          </w:p>
        </w:tc>
        <w:tc>
          <w:tcPr>
            <w:tcW w:w="2277" w:type="dxa"/>
            <w:vAlign w:val="center"/>
          </w:tcPr>
          <w:p w14:paraId="377CF42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外显子9</w:t>
            </w:r>
          </w:p>
        </w:tc>
        <w:tc>
          <w:tcPr>
            <w:tcW w:w="4386" w:type="dxa"/>
            <w:vAlign w:val="center"/>
          </w:tcPr>
          <w:p w14:paraId="4988092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2D06A8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C548F7E">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0ED987E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外显子11</w:t>
            </w:r>
          </w:p>
        </w:tc>
        <w:tc>
          <w:tcPr>
            <w:tcW w:w="4386" w:type="dxa"/>
            <w:vAlign w:val="center"/>
          </w:tcPr>
          <w:p w14:paraId="0D0B201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65DCE4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1CD4AFA">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4759CD7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外显子13</w:t>
            </w:r>
          </w:p>
        </w:tc>
        <w:tc>
          <w:tcPr>
            <w:tcW w:w="4386" w:type="dxa"/>
            <w:vAlign w:val="center"/>
          </w:tcPr>
          <w:p w14:paraId="636B071D">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1F0ED3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152D777">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7C6A9A0">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外显子17</w:t>
            </w:r>
          </w:p>
        </w:tc>
        <w:tc>
          <w:tcPr>
            <w:tcW w:w="4386" w:type="dxa"/>
            <w:vAlign w:val="center"/>
          </w:tcPr>
          <w:p w14:paraId="6D13147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00F1B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FE0A3B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PDGFRA</w:t>
            </w:r>
          </w:p>
        </w:tc>
        <w:tc>
          <w:tcPr>
            <w:tcW w:w="2277" w:type="dxa"/>
            <w:vAlign w:val="center"/>
          </w:tcPr>
          <w:p w14:paraId="2153BFE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外显子12</w:t>
            </w:r>
          </w:p>
        </w:tc>
        <w:tc>
          <w:tcPr>
            <w:tcW w:w="4386" w:type="dxa"/>
            <w:vAlign w:val="center"/>
          </w:tcPr>
          <w:p w14:paraId="07D53F7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00977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8206AFA">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24A0243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外显子14</w:t>
            </w:r>
          </w:p>
        </w:tc>
        <w:tc>
          <w:tcPr>
            <w:tcW w:w="4386" w:type="dxa"/>
            <w:vAlign w:val="center"/>
          </w:tcPr>
          <w:p w14:paraId="303441B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C598F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0C9C06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77B05F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外显子18</w:t>
            </w:r>
          </w:p>
        </w:tc>
        <w:tc>
          <w:tcPr>
            <w:tcW w:w="4386" w:type="dxa"/>
            <w:vAlign w:val="center"/>
          </w:tcPr>
          <w:p w14:paraId="7377F74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724A9E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78BF744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BRCA1/2</w:t>
            </w:r>
          </w:p>
        </w:tc>
        <w:tc>
          <w:tcPr>
            <w:tcW w:w="2277" w:type="dxa"/>
            <w:vAlign w:val="center"/>
          </w:tcPr>
          <w:p w14:paraId="70CE5BF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613DC2E2">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未检出</w:t>
            </w:r>
          </w:p>
        </w:tc>
      </w:tr>
      <w:tr w14:paraId="2F1E12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3AA720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微软雅黑"/>
                <w:kern w:val="2"/>
                <w:sz w:val="20"/>
                <w:szCs w:val="20"/>
              </w:rPr>
              <w:t>IDH1/2</w:t>
            </w:r>
          </w:p>
        </w:tc>
        <w:tc>
          <w:tcPr>
            <w:tcW w:w="2277" w:type="dxa"/>
            <w:vAlign w:val="center"/>
          </w:tcPr>
          <w:p w14:paraId="397ACD7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310B010">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未检出</w:t>
            </w:r>
          </w:p>
        </w:tc>
      </w:tr>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6.5</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低</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微卫星稳定（MSS）型。</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未检出有害变异</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c.34G&gt;A，p.G12S</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TP53：c.844C&gt;T，p.R282W</w:t>
            </w:r>
          </w:p>
          <w:p w14:paraId="36EBCC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KRAS：c.34G&gt;A，p.G12S</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ATM：c.6874C&gt;T，p.Q2292*</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243891A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c.844C&gt;T，p.R282W；67.29%</w:t>
      </w:r>
      <w:r>
        <w:commentReference w:id="25"/>
      </w:r>
    </w:p>
    <w:p w14:paraId="50CD55D4">
      <w:pPr>
        <w:spacing w:after="0"/>
      </w:pPr>
      <w:r>
        <w:rPr>
          <w:rFonts w:ascii="微软雅黑" w:hAnsi="微软雅黑" w:cs="微软雅黑"/>
          <w:b/>
        </w:rPr>
        <w:t>基因简介：</w:t>
      </w:r>
    </w:p>
    <w:p w14:paraId="6C0691F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3C1CACC8">
      <w:pPr>
        <w:spacing w:after="0"/>
      </w:pPr>
      <w:r>
        <w:rPr>
          <w:rFonts w:ascii="微软雅黑" w:hAnsi="微软雅黑" w:cs="微软雅黑"/>
          <w:b/>
        </w:rPr>
        <w:t>基因变异说明：</w:t>
      </w:r>
    </w:p>
    <w:p w14:paraId="62D2B214">
      <w:pPr>
        <w:spacing w:after="0"/>
        <w:ind w:firstLine="400"/>
        <w:jc w:val="both"/>
        <w:rPr>
          <w:rFonts w:ascii="微软雅黑" w:hAnsi="微软雅黑" w:cs="微软雅黑"/>
          <w:sz w:val="21"/>
        </w:rPr>
      </w:pPr>
      <w:commentRangeStart w:id="26"/>
      <w:r>
        <w:rPr>
          <w:rFonts w:hint="eastAsia" w:ascii="微软雅黑" w:hAnsi="微软雅黑" w:cs="微软雅黑"/>
          <w:sz w:val="21"/>
        </w:rPr>
        <w:t>该样本检出TP53基因c.844C&gt;T，p.R282W错义突变，第844位核苷酸由C突变为T，导致相应蛋白序列中第282位氨基酸由精氨酸突变为色氨酸，此突变在样本中的突变丰度为67.29%。</w:t>
      </w:r>
      <w:commentRangeEnd w:id="26"/>
      <w:r>
        <w:commentReference w:id="26"/>
      </w:r>
    </w:p>
    <w:p w14:paraId="4643BAA1">
      <w:pPr>
        <w:spacing w:after="0"/>
      </w:pPr>
      <w:r>
        <w:rPr>
          <w:rFonts w:ascii="微软雅黑" w:hAnsi="微软雅黑" w:cs="微软雅黑"/>
          <w:b/>
        </w:rPr>
        <w:t xml:space="preserve">基因变异解析： </w:t>
      </w:r>
    </w:p>
    <w:p w14:paraId="4DFF7FB7">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w:t>
      </w:r>
      <w:commentRangeStart w:id="27"/>
      <w:r>
        <w:rPr>
          <w:rFonts w:hint="eastAsia" w:ascii="微软雅黑" w:hAnsi="微软雅黑" w:cs="微软雅黑"/>
          <w:sz w:val="21"/>
        </w:rPr>
        <w:t>该样本检出的p.R282W 突变位于DNA结合结构域</w:t>
      </w:r>
      <w:r>
        <w:rPr>
          <w:rFonts w:hint="eastAsia" w:ascii="微软雅黑" w:hAnsi="微软雅黑" w:cs="微软雅黑"/>
          <w:sz w:val="21"/>
          <w:lang w:eastAsia="zh-CN"/>
        </w:rPr>
        <w:t>，</w:t>
      </w:r>
      <w:r>
        <w:rPr>
          <w:rFonts w:hint="eastAsia" w:ascii="微软雅黑" w:hAnsi="微软雅黑" w:cs="微软雅黑"/>
          <w:sz w:val="21"/>
        </w:rPr>
        <w:t>研究表明，该突变抑制 AMPK 信号传导，导致细胞侵袭性生长，促进小鼠模型中的肿瘤发展[24857548]。</w:t>
      </w:r>
      <w:commentRangeEnd w:id="27"/>
      <w:r>
        <w:commentReference w:id="27"/>
      </w:r>
    </w:p>
    <w:p w14:paraId="403D4904">
      <w:pPr>
        <w:spacing w:after="0"/>
        <w:ind w:firstLine="400"/>
        <w:jc w:val="both"/>
        <w:rPr>
          <w:rFonts w:hint="eastAsia" w:ascii="微软雅黑" w:hAnsi="微软雅黑" w:cs="微软雅黑"/>
          <w:b/>
          <w:color w:val="FF0000"/>
          <w:sz w:val="24"/>
          <w:u w:val="single"/>
        </w:rPr>
      </w:pPr>
      <w:commentRangeStart w:id="28"/>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commentRangeEnd w:id="28"/>
      <w:r>
        <w:commentReference w:id="28"/>
      </w:r>
    </w:p>
    <w:p w14:paraId="2013150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KRAS</w:t>
      </w:r>
      <w:r>
        <w:rPr>
          <w:rFonts w:ascii="微软雅黑" w:hAnsi="微软雅黑" w:cs="微软雅黑"/>
          <w:b/>
          <w:color w:val="FF0000"/>
          <w:sz w:val="24"/>
          <w:u w:val="single"/>
        </w:rPr>
        <w:t>：</w:t>
      </w:r>
      <w:r>
        <w:rPr>
          <w:rFonts w:hint="eastAsia" w:ascii="微软雅黑" w:hAnsi="微软雅黑" w:cs="微软雅黑"/>
          <w:b/>
          <w:color w:val="FF0000"/>
          <w:sz w:val="24"/>
          <w:u w:val="single"/>
        </w:rPr>
        <w:t>c.34G&gt;A，p.G12S；46.29%</w:t>
      </w:r>
    </w:p>
    <w:p w14:paraId="41D8986D">
      <w:pPr>
        <w:spacing w:after="0"/>
      </w:pPr>
      <w:r>
        <w:rPr>
          <w:rFonts w:ascii="微软雅黑" w:hAnsi="微软雅黑" w:cs="微软雅黑"/>
          <w:b/>
        </w:rPr>
        <w:t>基因简介：</w:t>
      </w:r>
    </w:p>
    <w:p w14:paraId="0A1BA969">
      <w:pPr>
        <w:spacing w:after="0"/>
        <w:ind w:firstLine="400"/>
        <w:jc w:val="both"/>
        <w:rPr>
          <w:rFonts w:ascii="微软雅黑" w:hAnsi="微软雅黑" w:cs="微软雅黑"/>
          <w:sz w:val="21"/>
        </w:rPr>
      </w:pPr>
      <w:r>
        <w:rPr>
          <w:rFonts w:hint="eastAsia" w:ascii="微软雅黑" w:hAnsi="微软雅黑" w:cs="微软雅黑"/>
          <w:sz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EGFR-TKIs的作用。KRAS突变可以导致肺癌、黏蛋白腺瘤、胰腺导管癌和结肠癌等多种恶性肿瘤。KRAS基因被激活最常见的方式是点突变，多发生在N端的第12、13、61和146密码子，其中以第12密码子突变最常见。不同突变位点对P21蛋白的活化机制不同，第12密码子突变可以减弱P21内在的GTP酶活性，并使细胞凋亡减少，细胞间接触抑制减弱。RAS家族基因在癌症中没有可用的药物直接拮抗靶点，主要影响信号通路上下游靶点药物的使用效果，突变主要导致EGFR靶药和BRAF靶药的耐药性。</w:t>
      </w:r>
    </w:p>
    <w:p w14:paraId="2A5782EA">
      <w:pPr>
        <w:spacing w:after="0"/>
      </w:pPr>
      <w:r>
        <w:rPr>
          <w:rFonts w:ascii="微软雅黑" w:hAnsi="微软雅黑" w:cs="微软雅黑"/>
          <w:b/>
        </w:rPr>
        <w:t>基因变异说明：</w:t>
      </w:r>
    </w:p>
    <w:p w14:paraId="4CF37066">
      <w:pPr>
        <w:spacing w:after="0"/>
        <w:ind w:firstLine="400"/>
        <w:jc w:val="both"/>
        <w:rPr>
          <w:rFonts w:ascii="微软雅黑" w:hAnsi="微软雅黑" w:cs="微软雅黑"/>
          <w:sz w:val="21"/>
        </w:rPr>
      </w:pPr>
      <w:r>
        <w:rPr>
          <w:rFonts w:hint="eastAsia" w:ascii="微软雅黑" w:hAnsi="微软雅黑" w:cs="微软雅黑"/>
          <w:sz w:val="21"/>
        </w:rPr>
        <w:t>该样本检出KRAS基因c.34G&gt;A，p.G12S错义突变，第34位核苷酸由G突变为A，导致相应蛋白序列中第12位氨基酸由甘氨酸突变为丝氨酸，此突变在样本中的突变丰度为46.29%。</w:t>
      </w:r>
    </w:p>
    <w:p w14:paraId="64CDA2B2">
      <w:pPr>
        <w:spacing w:after="0"/>
      </w:pPr>
      <w:r>
        <w:rPr>
          <w:rFonts w:ascii="微软雅黑" w:hAnsi="微软雅黑" w:cs="微软雅黑"/>
          <w:b/>
        </w:rPr>
        <w:t xml:space="preserve">基因变异解析： </w:t>
      </w:r>
    </w:p>
    <w:p w14:paraId="45791A43">
      <w:pPr>
        <w:spacing w:after="0"/>
        <w:ind w:firstLine="400"/>
        <w:jc w:val="both"/>
        <w:rPr>
          <w:rFonts w:hint="eastAsia" w:ascii="微软雅黑" w:hAnsi="微软雅黑" w:cs="微软雅黑"/>
          <w:sz w:val="21"/>
        </w:rPr>
      </w:pPr>
      <w:r>
        <w:rPr>
          <w:rFonts w:hint="eastAsia" w:ascii="微软雅黑" w:hAnsi="微软雅黑" w:cs="微软雅黑"/>
          <w:sz w:val="21"/>
        </w:rPr>
        <w:t>KRAS基因编码的蛋白全长为189个氨基酸，主要包含RAS结构域（1-166位氨基酸）。该样本检出的p.G12</w:t>
      </w:r>
      <w:r>
        <w:rPr>
          <w:rFonts w:hint="eastAsia" w:ascii="微软雅黑" w:hAnsi="微软雅黑" w:cs="微软雅黑"/>
          <w:sz w:val="21"/>
          <w:lang w:val="en-US" w:eastAsia="zh-CN"/>
        </w:rPr>
        <w:t>S</w:t>
      </w:r>
      <w:r>
        <w:rPr>
          <w:rFonts w:hint="eastAsia" w:ascii="微软雅黑" w:hAnsi="微软雅黑" w:cs="微软雅黑"/>
          <w:sz w:val="21"/>
        </w:rPr>
        <w:t>突变位于上述结构域</w:t>
      </w:r>
      <w:r>
        <w:rPr>
          <w:rFonts w:hint="eastAsia" w:ascii="微软雅黑" w:hAnsi="微软雅黑" w:cs="微软雅黑"/>
          <w:sz w:val="21"/>
          <w:lang w:val="en-US" w:eastAsia="zh-CN"/>
        </w:rPr>
        <w:t>之</w:t>
      </w:r>
      <w:r>
        <w:rPr>
          <w:rFonts w:hint="eastAsia" w:ascii="微软雅黑" w:hAnsi="微软雅黑" w:cs="微软雅黑"/>
          <w:sz w:val="21"/>
        </w:rPr>
        <w:t>内，为已知激活突变，对蛋白功能有重要影响。</w:t>
      </w:r>
    </w:p>
    <w:p w14:paraId="05B21F6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KRAS突变在人体肿瘤发生过程中起着重要的作用，并在胰腺癌、甲状腺癌、结直肠癌和肺癌中普遍存在[23066310]。研究显示，大约有35%-45%的结直肠癌患者携带原癌基因KRAS的突变。常见的KRAS突变多发生在N端第12、13、61和第146号密码子。这些突变会导致KRAS蛋白处于激活状态，并激活下游的信号通路，且已被证实是anti-EGFR抗体药物（如西妥昔单抗、帕尼单抗）耐药的标志[20100961]。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6E8559E3">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APC：c.4348C&gt;T，p.R1450*；41.12%</w:t>
      </w:r>
    </w:p>
    <w:p w14:paraId="20B44021">
      <w:pPr>
        <w:spacing w:after="0"/>
      </w:pPr>
      <w:r>
        <w:rPr>
          <w:rFonts w:ascii="微软雅黑" w:hAnsi="微软雅黑" w:cs="微软雅黑"/>
          <w:b/>
        </w:rPr>
        <w:t>基因简介：</w:t>
      </w:r>
    </w:p>
    <w:p w14:paraId="38BA68E0">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37D81575">
      <w:pPr>
        <w:spacing w:after="0"/>
      </w:pPr>
      <w:r>
        <w:rPr>
          <w:rFonts w:ascii="微软雅黑" w:hAnsi="微软雅黑" w:cs="微软雅黑"/>
          <w:b/>
        </w:rPr>
        <w:t>基因变异说明：</w:t>
      </w:r>
    </w:p>
    <w:p w14:paraId="5DB70BD0">
      <w:pPr>
        <w:spacing w:after="0"/>
        <w:ind w:firstLine="400"/>
        <w:jc w:val="both"/>
        <w:rPr>
          <w:rFonts w:ascii="微软雅黑" w:hAnsi="微软雅黑" w:cs="微软雅黑"/>
          <w:sz w:val="21"/>
        </w:rPr>
      </w:pPr>
      <w:r>
        <w:rPr>
          <w:rFonts w:hint="eastAsia" w:ascii="微软雅黑" w:hAnsi="微软雅黑" w:cs="微软雅黑"/>
          <w:sz w:val="21"/>
        </w:rPr>
        <w:t>该样本检出APC基因c.4348C&gt;T，p.R1450*无义突变，第4348位核苷酸由C突变为T，导致相应蛋白序列中第1450位氨基酸由精氨酸突变为终止密码子，此突变在样本中的突变丰度为41.12%。</w:t>
      </w:r>
    </w:p>
    <w:p w14:paraId="40C2F624">
      <w:pPr>
        <w:spacing w:after="0"/>
      </w:pPr>
      <w:r>
        <w:rPr>
          <w:rFonts w:ascii="微软雅黑" w:hAnsi="微软雅黑" w:cs="微软雅黑"/>
          <w:b/>
        </w:rPr>
        <w:t xml:space="preserve">基因变异解析： </w:t>
      </w:r>
    </w:p>
    <w:p w14:paraId="3E7C71F6">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R1450*突变导致蛋白翻译提前终止，产生截短的蛋白，可能导致蛋白功能缺失。</w:t>
      </w:r>
    </w:p>
    <w:p w14:paraId="4C034EC9">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664D8C6F">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APC：c.2387_2388del，p.Y796Wfs*2；37.52%</w:t>
      </w:r>
    </w:p>
    <w:p w14:paraId="07F959AF">
      <w:pPr>
        <w:spacing w:after="0"/>
      </w:pPr>
      <w:r>
        <w:rPr>
          <w:rFonts w:ascii="微软雅黑" w:hAnsi="微软雅黑" w:cs="微软雅黑"/>
          <w:b/>
        </w:rPr>
        <w:t>基因简介：</w:t>
      </w:r>
    </w:p>
    <w:p w14:paraId="2321AE8A">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716B65A7">
      <w:pPr>
        <w:spacing w:after="0"/>
      </w:pPr>
      <w:r>
        <w:rPr>
          <w:rFonts w:ascii="微软雅黑" w:hAnsi="微软雅黑" w:cs="微软雅黑"/>
          <w:b/>
        </w:rPr>
        <w:t>基因变异说明：</w:t>
      </w:r>
    </w:p>
    <w:p w14:paraId="4339EAC3">
      <w:pPr>
        <w:spacing w:after="0"/>
        <w:ind w:firstLine="400"/>
        <w:jc w:val="both"/>
        <w:rPr>
          <w:rFonts w:ascii="微软雅黑" w:hAnsi="微软雅黑" w:cs="微软雅黑"/>
          <w:sz w:val="21"/>
        </w:rPr>
      </w:pPr>
      <w:r>
        <w:rPr>
          <w:rFonts w:hint="eastAsia" w:ascii="微软雅黑" w:hAnsi="微软雅黑" w:cs="微软雅黑"/>
          <w:sz w:val="21"/>
        </w:rPr>
        <w:t>该样本检出APC基因c.2387_2388del，p.Y796Wfs*2碱基缺失引起的移码突变，第2387位至第2388位核苷酸缺失，导致相应蛋白序列中第796位氨基酸由酪氨酸突变为色氨酸，并开始发生移码，于此后第2位氨基酸处翻译终止，此突变在样本中的突变丰度为37.52%。</w:t>
      </w:r>
    </w:p>
    <w:p w14:paraId="547DAF2E">
      <w:pPr>
        <w:spacing w:after="0"/>
      </w:pPr>
      <w:r>
        <w:rPr>
          <w:rFonts w:ascii="微软雅黑" w:hAnsi="微软雅黑" w:cs="微软雅黑"/>
          <w:b/>
        </w:rPr>
        <w:t xml:space="preserve">基因变异解析： </w:t>
      </w:r>
    </w:p>
    <w:p w14:paraId="0DB53F77">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Y796Wfs*2突变导致蛋白翻译提前终止，产生截短的蛋白，可能导致蛋白功能缺失。</w:t>
      </w:r>
    </w:p>
    <w:p w14:paraId="455FFDDD">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503F804B">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c.4930G&gt;T，p.G1644*；22.15%</w:t>
      </w:r>
    </w:p>
    <w:p w14:paraId="6FFBAC27">
      <w:pPr>
        <w:spacing w:after="0"/>
      </w:pPr>
      <w:r>
        <w:rPr>
          <w:rFonts w:ascii="微软雅黑" w:hAnsi="微软雅黑" w:cs="微软雅黑"/>
          <w:b/>
        </w:rPr>
        <w:t>基因简介：</w:t>
      </w:r>
    </w:p>
    <w:p w14:paraId="48F51615">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 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5702E89C">
      <w:pPr>
        <w:spacing w:after="0"/>
      </w:pPr>
      <w:r>
        <w:rPr>
          <w:rFonts w:ascii="微软雅黑" w:hAnsi="微软雅黑" w:cs="微软雅黑"/>
          <w:b/>
        </w:rPr>
        <w:t>基因变异说明：</w:t>
      </w:r>
    </w:p>
    <w:p w14:paraId="6139506B">
      <w:pPr>
        <w:spacing w:after="0"/>
        <w:ind w:firstLine="400"/>
        <w:jc w:val="both"/>
        <w:rPr>
          <w:rFonts w:ascii="微软雅黑" w:hAnsi="微软雅黑" w:cs="微软雅黑"/>
          <w:sz w:val="21"/>
        </w:rPr>
      </w:pPr>
      <w:r>
        <w:rPr>
          <w:rFonts w:hint="eastAsia" w:ascii="微软雅黑" w:hAnsi="微软雅黑" w:cs="微软雅黑"/>
          <w:sz w:val="21"/>
        </w:rPr>
        <w:t>该样本检出SETD2基因c.4930G&gt;T，p.G1644*无义突变，第4930位核苷酸由G突变为T，导致相应蛋白序列中第1644位氨基酸由甘氨酸突变为终止密码子，此突变在样本中的突变丰度为22.15%。</w:t>
      </w:r>
    </w:p>
    <w:p w14:paraId="638F7D83">
      <w:pPr>
        <w:spacing w:after="0"/>
      </w:pPr>
      <w:r>
        <w:rPr>
          <w:rFonts w:ascii="微软雅黑" w:hAnsi="微软雅黑" w:cs="微软雅黑"/>
          <w:b/>
        </w:rPr>
        <w:t xml:space="preserve">基因变异解析： </w:t>
      </w:r>
    </w:p>
    <w:p w14:paraId="0BF9D77D">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p.G1644*</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6C5D8E05">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02C2BA7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EPHA2：c.153+2T&gt;C；3.33%</w:t>
      </w:r>
    </w:p>
    <w:p w14:paraId="31DFD8D9">
      <w:pPr>
        <w:spacing w:after="0"/>
      </w:pPr>
      <w:r>
        <w:rPr>
          <w:rFonts w:ascii="微软雅黑" w:hAnsi="微软雅黑" w:cs="微软雅黑"/>
          <w:b/>
        </w:rPr>
        <w:t>基因简介：</w:t>
      </w:r>
    </w:p>
    <w:p w14:paraId="7A2AC3E0">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EPHA2是EPH亚家族的成员之一，编码蛋白含有一个976个氨基酸多肽，相对分子质量为130000，为膜结合Ⅰ型糖蛋白。研究表明，EPHA2广泛高表达于许多肿瘤组织中，包括乳腺癌、脑癌、前列腺癌、非小细胞肺癌和结肠癌等[28165374]。对大肠癌的研究发现，EPHA2在癌组织中高表达，并与肿瘤组织血管形成呈正相关。EPHA2能促进肿瘤血管内皮细胞的迁移，并通过影响细胞骨架、基质粘附和细胞粘附而促进毛细血管结构的形成。EPHA2在内皮和卵巢癌细胞中的过表达与涉及血管发生和侵袭的关键因素密切相关。这些结果表明EPHA2过表达的患者的临床结局通常较差[17154180]。</w:t>
      </w:r>
    </w:p>
    <w:p w14:paraId="55922ACA">
      <w:pPr>
        <w:spacing w:after="0"/>
      </w:pPr>
      <w:r>
        <w:rPr>
          <w:rFonts w:ascii="微软雅黑" w:hAnsi="微软雅黑" w:cs="微软雅黑"/>
          <w:b/>
        </w:rPr>
        <w:t>基因变异说明：</w:t>
      </w:r>
    </w:p>
    <w:p w14:paraId="0DD5ECB4">
      <w:pPr>
        <w:spacing w:after="0"/>
        <w:ind w:firstLine="400"/>
        <w:jc w:val="both"/>
        <w:rPr>
          <w:rFonts w:ascii="微软雅黑" w:hAnsi="微软雅黑" w:cs="微软雅黑"/>
          <w:sz w:val="21"/>
        </w:rPr>
      </w:pPr>
      <w:r>
        <w:rPr>
          <w:rFonts w:hint="eastAsia" w:ascii="微软雅黑" w:hAnsi="微软雅黑" w:cs="微软雅黑"/>
          <w:sz w:val="21"/>
        </w:rPr>
        <w:t>该样本检出EPHA2基因c.153+2T&gt;C剪接突变，第153位核苷酸下游第2位核苷酸由T突变为C，此突变在样本中的突变丰度为3.33%。</w:t>
      </w:r>
    </w:p>
    <w:p w14:paraId="6467F40F">
      <w:pPr>
        <w:spacing w:after="0"/>
      </w:pPr>
      <w:r>
        <w:rPr>
          <w:rFonts w:ascii="微软雅黑" w:hAnsi="微软雅黑" w:cs="微软雅黑"/>
          <w:b/>
        </w:rPr>
        <w:t xml:space="preserve">基因变异解析： </w:t>
      </w:r>
    </w:p>
    <w:p w14:paraId="6B1957D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yellow"/>
        </w:rPr>
      </w:pPr>
      <w:r>
        <w:rPr>
          <w:rFonts w:hint="eastAsia" w:ascii="微软雅黑" w:hAnsi="微软雅黑" w:cs="Arial Unicode MS"/>
          <w:kern w:val="2"/>
          <w:sz w:val="21"/>
          <w:szCs w:val="21"/>
          <w:highlight w:val="none"/>
        </w:rPr>
        <w:t>EPHA2基因编码的蛋白</w:t>
      </w:r>
      <w:r>
        <w:rPr>
          <w:rFonts w:hint="eastAsia" w:ascii="微软雅黑" w:hAnsi="微软雅黑" w:cs="Arial Unicode MS"/>
          <w:kern w:val="2"/>
          <w:sz w:val="21"/>
          <w:szCs w:val="21"/>
          <w:highlight w:val="none"/>
          <w:lang w:val="en-US" w:eastAsia="zh-CN"/>
        </w:rPr>
        <w:t>全长为976个氨基酸，</w:t>
      </w:r>
      <w:r>
        <w:rPr>
          <w:rFonts w:hint="eastAsia" w:ascii="微软雅黑" w:hAnsi="微软雅黑" w:cs="Arial Unicode MS"/>
          <w:kern w:val="2"/>
          <w:sz w:val="21"/>
          <w:szCs w:val="21"/>
          <w:highlight w:val="none"/>
        </w:rPr>
        <w:t>主要包含1个信号肽区域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1-24位氨基酸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、1个胞外配体结合结构域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28-201位氨基酸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、1个跨膜结构域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536-558位氨基酸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、2个FN3结构域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329-419位氨基酸和436-516位氨基酸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、1个酪氨酸激酶结构域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613-871位氨基酸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以及1个SAM结构域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901-968位氨基酸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。该样本检出的</w:t>
      </w:r>
      <w:r>
        <w:rPr>
          <w:rFonts w:hint="eastAsia" w:ascii="微软雅黑" w:hAnsi="微软雅黑" w:cs="微软雅黑"/>
          <w:sz w:val="21"/>
        </w:rPr>
        <w:t>c.153+2T&gt;C突变位于内含子与外显子交界处，可能导致mRNA剪接异常，进而导致蛋白功能缺失</w:t>
      </w:r>
      <w:r>
        <w:rPr>
          <w:rFonts w:hint="eastAsia" w:ascii="微软雅黑" w:hAnsi="微软雅黑" w:cs="微软雅黑"/>
          <w:sz w:val="21"/>
          <w:lang w:eastAsia="zh-CN"/>
        </w:rPr>
        <w:t>。</w:t>
      </w:r>
    </w:p>
    <w:p w14:paraId="3ECEB9B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人类EPHA2在前列腺癌、肺癌、食管癌、结直肠癌、宫颈癌、卵巢癌、乳腺癌和皮肤癌中大量表达</w:t>
      </w:r>
      <w:r>
        <w:rPr>
          <w:rFonts w:hint="eastAsia" w:ascii="微软雅黑" w:hAnsi="微软雅黑" w:cs="Arial Unicode MS"/>
          <w:kern w:val="2"/>
          <w:sz w:val="21"/>
          <w:szCs w:val="21"/>
          <w:highlight w:val="none"/>
          <w:lang w:val="en-US" w:eastAsia="zh-CN"/>
        </w:rPr>
        <w:t>[28966234]</w:t>
      </w:r>
      <w:r>
        <w:rPr>
          <w:rFonts w:hint="eastAsia" w:ascii="微软雅黑" w:hAnsi="微软雅黑" w:cs="Arial Unicode MS"/>
          <w:kern w:val="2"/>
          <w:sz w:val="21"/>
          <w:szCs w:val="21"/>
          <w:highlight w:val="none"/>
        </w:rPr>
        <w:t>。有研究表明，EphA2的表达与临床分期及淋巴结转移密切相关。EphA2可与VEGF结合作为判断NSCLC恶性程度及预后的指标，及早期诊断指标和治疗的新靶点</w:t>
      </w:r>
      <w:r>
        <w:rPr>
          <w:rFonts w:hint="eastAsia" w:ascii="微软雅黑" w:hAnsi="微软雅黑" w:cs="Arial Unicode MS"/>
          <w:kern w:val="2"/>
          <w:sz w:val="21"/>
          <w:szCs w:val="21"/>
          <w:highlight w:val="none"/>
          <w:lang w:val="en-US" w:eastAsia="zh-CN"/>
        </w:rPr>
        <w:t>[19531623]</w:t>
      </w:r>
      <w:r>
        <w:rPr>
          <w:rFonts w:hint="eastAsia" w:ascii="微软雅黑" w:hAnsi="微软雅黑" w:cs="Arial Unicode MS"/>
          <w:kern w:val="2"/>
          <w:sz w:val="21"/>
          <w:szCs w:val="21"/>
          <w:highlight w:val="none"/>
        </w:rPr>
        <w:t>。</w:t>
      </w:r>
      <w:r>
        <w:rPr>
          <w:rFonts w:hint="eastAsia" w:ascii="微软雅黑" w:hAnsi="微软雅黑" w:cs="微软雅黑"/>
          <w:sz w:val="21"/>
          <w:highlight w:val="none"/>
          <w:lang w:eastAsia="zh-CN"/>
        </w:rPr>
        <w:t>但是，目前该样本检出的突变在</w:t>
      </w:r>
      <w:r>
        <w:rPr>
          <w:rFonts w:hint="eastAsia" w:ascii="微软雅黑" w:hAnsi="微软雅黑" w:cs="微软雅黑"/>
          <w:sz w:val="21"/>
          <w:highlight w:val="none"/>
          <w:lang w:val="en-US" w:eastAsia="zh-CN"/>
        </w:rPr>
        <w:t>结直肠癌</w:t>
      </w:r>
      <w:r>
        <w:rPr>
          <w:rFonts w:hint="eastAsia" w:ascii="微软雅黑" w:hAnsi="微软雅黑" w:cs="微软雅黑"/>
          <w:sz w:val="21"/>
          <w:highlight w:val="none"/>
          <w:lang w:eastAsia="zh-CN"/>
        </w:rPr>
        <w:t>中的具体临床意义</w:t>
      </w:r>
      <w:r>
        <w:rPr>
          <w:rFonts w:hint="eastAsia" w:ascii="微软雅黑" w:hAnsi="微软雅黑" w:cs="微软雅黑"/>
          <w:sz w:val="21"/>
          <w:highlight w:val="none"/>
          <w:lang w:val="en-US" w:eastAsia="zh-CN"/>
        </w:rPr>
        <w:t>有待明确</w:t>
      </w:r>
      <w:r>
        <w:rPr>
          <w:rFonts w:hint="eastAsia" w:ascii="微软雅黑" w:hAnsi="微软雅黑" w:cs="微软雅黑"/>
          <w:sz w:val="21"/>
          <w:highlight w:val="none"/>
          <w:lang w:eastAsia="zh-CN"/>
        </w:rPr>
        <w:t>。</w:t>
      </w:r>
    </w:p>
    <w:p w14:paraId="25D23E08">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FANCI：c.2879G&gt;A，p.R960Q；2.18%</w:t>
      </w:r>
    </w:p>
    <w:p w14:paraId="07618F6F">
      <w:pPr>
        <w:spacing w:after="0"/>
      </w:pPr>
      <w:r>
        <w:rPr>
          <w:rFonts w:ascii="微软雅黑" w:hAnsi="微软雅黑" w:cs="微软雅黑"/>
          <w:b/>
        </w:rPr>
        <w:t>基因简介：</w:t>
      </w:r>
    </w:p>
    <w:p w14:paraId="21EB173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beforeLines="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FANCI基因是范可尼贫血互补组（FANC）的成员之一，其他成员还包括FANCA、FANCB、FANCC、FANCD1（也称为BRCA2）、FANCD2、FANCE、FANCF、FANCG、FANCJ（也称为BRIP1）、FANCL、FANCM和FANCN（也称为PALB2）[GeneCards]。FANCI基因编码的蛋白在DNA修复中起作用。目前，已在甲状腺癌、结肠癌和皮肤癌等癌症中观察到FANCI基因的错义突变、同义突变、无义突变、移码插入和移码缺失。</w:t>
      </w:r>
    </w:p>
    <w:p w14:paraId="6F490BB4">
      <w:pPr>
        <w:spacing w:after="0"/>
      </w:pPr>
      <w:r>
        <w:rPr>
          <w:rFonts w:ascii="微软雅黑" w:hAnsi="微软雅黑" w:cs="微软雅黑"/>
          <w:b/>
        </w:rPr>
        <w:t>基因变异说明：</w:t>
      </w:r>
    </w:p>
    <w:p w14:paraId="7B4E2C5E">
      <w:pPr>
        <w:spacing w:after="0"/>
        <w:ind w:firstLine="400"/>
        <w:jc w:val="both"/>
        <w:rPr>
          <w:rFonts w:ascii="微软雅黑" w:hAnsi="微软雅黑" w:cs="微软雅黑"/>
          <w:sz w:val="21"/>
        </w:rPr>
      </w:pPr>
      <w:r>
        <w:rPr>
          <w:rFonts w:hint="eastAsia" w:ascii="微软雅黑" w:hAnsi="微软雅黑" w:cs="微软雅黑"/>
          <w:sz w:val="21"/>
        </w:rPr>
        <w:t>该样本检出FANCI基因c.2879G&gt;A，p.R960Q错义突变，第2879位核苷酸由G突变为A，导致相应蛋白序列中第960位氨基酸由精氨酸突变为谷氨酰胺，此突变在样本中的突变丰度为2.18%。</w:t>
      </w:r>
    </w:p>
    <w:p w14:paraId="272A8761">
      <w:pPr>
        <w:spacing w:after="0"/>
      </w:pPr>
      <w:r>
        <w:rPr>
          <w:rFonts w:ascii="微软雅黑" w:hAnsi="微软雅黑" w:cs="微软雅黑"/>
          <w:b/>
        </w:rPr>
        <w:t xml:space="preserve">基因变异解析： </w:t>
      </w:r>
    </w:p>
    <w:p w14:paraId="6F0D52AD">
      <w:pPr>
        <w:spacing w:after="0"/>
        <w:ind w:firstLine="420" w:firstLineChars="200"/>
        <w:jc w:val="both"/>
        <w:outlineLvl w:val="9"/>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FANCI基因编码的蛋白全长为1328个氨基酸，主要包含多个低复杂度区域。该样本检出的</w:t>
      </w:r>
      <w:r>
        <w:rPr>
          <w:rFonts w:hint="eastAsia" w:ascii="微软雅黑" w:hAnsi="微软雅黑" w:cs="微软雅黑"/>
          <w:sz w:val="21"/>
        </w:rPr>
        <w:t>p.R960Q</w:t>
      </w:r>
      <w:r>
        <w:rPr>
          <w:rFonts w:hint="eastAsia" w:ascii="微软雅黑" w:hAnsi="微软雅黑" w:eastAsia="微软雅黑" w:cs="微软雅黑"/>
          <w:sz w:val="21"/>
          <w:highlight w:val="none"/>
        </w:rPr>
        <w:t>突变</w:t>
      </w:r>
      <w:r>
        <w:rPr>
          <w:rFonts w:hint="eastAsia" w:ascii="微软雅黑" w:hAnsi="微软雅黑" w:cs="微软雅黑"/>
          <w:sz w:val="21"/>
          <w:highlight w:val="none"/>
          <w:lang w:val="en-US" w:eastAsia="zh-CN"/>
        </w:rPr>
        <w:t>位于上述结构域之外，对蛋白功能的影响未知</w:t>
      </w:r>
      <w:r>
        <w:rPr>
          <w:rFonts w:hint="eastAsia" w:ascii="微软雅黑" w:hAnsi="微软雅黑" w:eastAsia="微软雅黑" w:cs="微软雅黑"/>
          <w:sz w:val="21"/>
          <w:highlight w:val="none"/>
        </w:rPr>
        <w:t>。</w:t>
      </w:r>
    </w:p>
    <w:p w14:paraId="778A9581">
      <w:pPr>
        <w:spacing w:after="0"/>
        <w:ind w:firstLine="400"/>
        <w:jc w:val="both"/>
        <w:rPr>
          <w:rFonts w:hint="eastAsia" w:ascii="微软雅黑" w:hAnsi="微软雅黑" w:cs="微软雅黑"/>
          <w:sz w:val="21"/>
        </w:rPr>
      </w:pPr>
      <w:r>
        <w:rPr>
          <w:rFonts w:hint="eastAsia" w:ascii="微软雅黑" w:hAnsi="微软雅黑" w:eastAsia="微软雅黑" w:cs="微软雅黑"/>
          <w:sz w:val="21"/>
        </w:rPr>
        <w:t>有研究表明，FANCI是FA途径的第二个单泛素化成员，FANCI功能缺失可导致AKT的自发磷酸化和活化[27097374]。另有研究表明，FANCI基因编码的蛋白在DNA修复中起重要作用，FANCI功能缺失可增强肿瘤对PARP抑制剂的敏感性[27022037，Abstract IA25]。研究显示，DNA修复基因包含FANCI</w:t>
      </w:r>
      <w:r>
        <w:rPr>
          <w:rFonts w:hint="eastAsia" w:ascii="微软雅黑" w:hAnsi="微软雅黑" w:cs="微软雅黑"/>
          <w:sz w:val="21"/>
          <w:lang w:eastAsia="zh-CN"/>
        </w:rPr>
        <w:t>，</w:t>
      </w:r>
      <w:r>
        <w:rPr>
          <w:rFonts w:hint="eastAsia" w:ascii="微软雅黑" w:hAnsi="微软雅黑" w:eastAsia="微软雅黑" w:cs="微软雅黑"/>
          <w:sz w:val="21"/>
        </w:rPr>
        <w:t>DNA修复基因突变与免疫治疗临床获益相关[30262796</w:t>
      </w:r>
      <w:r>
        <w:rPr>
          <w:rFonts w:hint="eastAsia" w:ascii="微软雅黑" w:hAnsi="微软雅黑" w:cs="微软雅黑"/>
          <w:sz w:val="21"/>
          <w:lang w:eastAsia="zh-CN"/>
        </w:rPr>
        <w:t>，</w:t>
      </w:r>
      <w:r>
        <w:rPr>
          <w:rFonts w:hint="eastAsia" w:ascii="微软雅黑" w:hAnsi="微软雅黑" w:eastAsia="微软雅黑" w:cs="微软雅黑"/>
          <w:sz w:val="21"/>
        </w:rPr>
        <w:t>31658756]。</w:t>
      </w:r>
      <w:r>
        <w:rPr>
          <w:rFonts w:hint="eastAsia" w:ascii="微软雅黑" w:hAnsi="微软雅黑" w:cs="微软雅黑"/>
          <w:sz w:val="21"/>
        </w:rPr>
        <w:t>但是，目前该样本检出的突变在</w:t>
      </w:r>
      <w:r>
        <w:rPr>
          <w:rFonts w:hint="eastAsia" w:ascii="微软雅黑" w:hAnsi="微软雅黑" w:cs="微软雅黑"/>
          <w:sz w:val="21"/>
          <w:lang w:val="en-US" w:eastAsia="zh-CN"/>
        </w:rPr>
        <w:t>结直肠癌</w:t>
      </w:r>
      <w:r>
        <w:rPr>
          <w:rFonts w:hint="eastAsia" w:ascii="微软雅黑" w:hAnsi="微软雅黑" w:cs="微软雅黑"/>
          <w:sz w:val="21"/>
        </w:rPr>
        <w:t>中的具体临床意义</w:t>
      </w:r>
      <w:r>
        <w:rPr>
          <w:rFonts w:hint="eastAsia" w:ascii="微软雅黑" w:hAnsi="微软雅黑" w:cs="微软雅黑"/>
          <w:sz w:val="21"/>
          <w:lang w:val="en-US" w:eastAsia="zh-CN"/>
        </w:rPr>
        <w:t>未明</w:t>
      </w:r>
      <w:r>
        <w:rPr>
          <w:rFonts w:hint="eastAsia" w:ascii="微软雅黑" w:hAnsi="微软雅黑" w:cs="微软雅黑"/>
          <w:sz w:val="21"/>
        </w:rPr>
        <w:t xml:space="preserve">。  </w:t>
      </w:r>
    </w:p>
    <w:p w14:paraId="549E46B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ATM</w:t>
      </w:r>
      <w:r>
        <w:rPr>
          <w:rFonts w:ascii="微软雅黑" w:hAnsi="微软雅黑" w:cs="微软雅黑"/>
          <w:b/>
          <w:color w:val="FF0000"/>
          <w:sz w:val="24"/>
          <w:u w:val="single"/>
        </w:rPr>
        <w:t>：</w:t>
      </w:r>
      <w:r>
        <w:rPr>
          <w:rFonts w:hint="eastAsia" w:ascii="微软雅黑" w:hAnsi="微软雅黑" w:cs="微软雅黑"/>
          <w:b/>
          <w:color w:val="FF0000"/>
          <w:sz w:val="24"/>
          <w:u w:val="single"/>
        </w:rPr>
        <w:t>c.6874C&gt;T，p.Q2292*；0.53%</w:t>
      </w:r>
    </w:p>
    <w:p w14:paraId="2E2EF9CF">
      <w:pPr>
        <w:spacing w:after="0"/>
      </w:pPr>
      <w:r>
        <w:rPr>
          <w:rFonts w:ascii="微软雅黑" w:hAnsi="微软雅黑" w:cs="微软雅黑"/>
          <w:b/>
        </w:rPr>
        <w:t>基因简介：</w:t>
      </w:r>
    </w:p>
    <w:p w14:paraId="7959DFC2">
      <w:pPr>
        <w:spacing w:after="0"/>
        <w:ind w:firstLine="400"/>
        <w:jc w:val="both"/>
        <w:rPr>
          <w:rFonts w:ascii="微软雅黑" w:hAnsi="微软雅黑" w:cs="微软雅黑"/>
          <w:sz w:val="21"/>
        </w:rPr>
      </w:pPr>
      <w:r>
        <w:rPr>
          <w:rFonts w:hint="eastAsia" w:ascii="微软雅黑" w:hAnsi="微软雅黑" w:cs="微软雅黑"/>
          <w:sz w:val="21"/>
        </w:rPr>
        <w:t>ATM 基因编码的蛋白属于PI3/PI4 激酶家族。ATM蛋白是重要的细胞循环检查点激酶，可调控一系列下游蛋白，包括抑癌基因蛋白P53、BRCA1，检测点激酶CHK2、RAD17 和 RAD9，以及DNA修复蛋白NBS1。ATM以及相关的蛋白激酶ATR是细胞循环调控点检测信号的主要蛋白，对于保持基因组的稳定性以及DNA 损伤修复起重要作用。ATM基因在人类恶性肿瘤发展过程中起重要作用。ATM基因是已知的肿瘤抑制基因，ATM基因的突变与共济失调毛细血管扩张（一种常染色体隐性遗传疾病）相关[7792600]。在不吸烟的肺癌患者中，ATM基因的多态性与肺癌的发生和发展密切相关[20004998]。ATM基因突变在肺癌和结直肠癌中频繁发生[25079552，22810696]。</w:t>
      </w:r>
    </w:p>
    <w:p w14:paraId="6887040A">
      <w:pPr>
        <w:spacing w:after="0"/>
      </w:pPr>
      <w:r>
        <w:rPr>
          <w:rFonts w:ascii="微软雅黑" w:hAnsi="微软雅黑" w:cs="微软雅黑"/>
          <w:b/>
        </w:rPr>
        <w:t>基因变异说明：</w:t>
      </w:r>
    </w:p>
    <w:p w14:paraId="094B12BA">
      <w:pPr>
        <w:spacing w:after="0"/>
        <w:ind w:firstLine="400"/>
        <w:jc w:val="both"/>
        <w:rPr>
          <w:rFonts w:ascii="微软雅黑" w:hAnsi="微软雅黑" w:cs="微软雅黑"/>
          <w:sz w:val="21"/>
        </w:rPr>
      </w:pPr>
      <w:r>
        <w:rPr>
          <w:rFonts w:hint="eastAsia" w:ascii="微软雅黑" w:hAnsi="微软雅黑" w:cs="微软雅黑"/>
          <w:sz w:val="21"/>
        </w:rPr>
        <w:t>该样本检出ATM基因c.6874C&gt;T，p.Q2292*无义突变，第6874位核苷酸由C突变为T，导致相应蛋白序列中第2292位氨基酸由谷氨酰胺突变为终止密码子，此突变在样本中的突变丰度为0.53%。</w:t>
      </w:r>
    </w:p>
    <w:p w14:paraId="5C8E6402">
      <w:pPr>
        <w:spacing w:after="0"/>
      </w:pPr>
      <w:r>
        <w:rPr>
          <w:rFonts w:ascii="微软雅黑" w:hAnsi="微软雅黑" w:cs="微软雅黑"/>
          <w:b/>
        </w:rPr>
        <w:t xml:space="preserve">基因变异解析： </w:t>
      </w:r>
    </w:p>
    <w:p w14:paraId="1A8E21F5">
      <w:pPr>
        <w:spacing w:after="0"/>
        <w:ind w:firstLine="400"/>
        <w:jc w:val="both"/>
        <w:rPr>
          <w:rFonts w:hint="eastAsia" w:ascii="微软雅黑" w:hAnsi="微软雅黑" w:cs="微软雅黑"/>
          <w:sz w:val="21"/>
        </w:rPr>
      </w:pPr>
      <w:r>
        <w:rPr>
          <w:rFonts w:hint="eastAsia" w:ascii="微软雅黑" w:hAnsi="微软雅黑" w:cs="微软雅黑"/>
          <w:sz w:val="21"/>
        </w:rPr>
        <w:t>ATM基因编码的蛋白全长为3056个氨基酸，主要包含TAN结构域（5-166位氨基酸）以及FAT结构域（2096-2489位氨基酸）。该样本检出的p.Q2292*突变导致蛋白翻译提前终止，产生截短的蛋白，可能导致蛋白功能缺失。</w:t>
      </w:r>
    </w:p>
    <w:p w14:paraId="46713F95">
      <w:pPr>
        <w:spacing w:after="0"/>
        <w:ind w:firstLine="400"/>
        <w:jc w:val="both"/>
        <w:rPr>
          <w:rFonts w:ascii="Wingdings" w:hAnsi="Wingdings" w:eastAsia="Wingdings" w:cs="Wingdings"/>
          <w:sz w:val="24"/>
        </w:rPr>
      </w:pPr>
      <w:r>
        <w:rPr>
          <w:rFonts w:hint="eastAsia" w:ascii="微软雅黑" w:hAnsi="微软雅黑" w:cs="微软雅黑"/>
          <w:sz w:val="21"/>
        </w:rPr>
        <w:t>ATM缺陷细胞会导致DNA损伤的积累及基因组的不稳定进而引起肿瘤发生。因此，该样本检出的突变可能与疾病的发生发展相关。</w:t>
      </w:r>
    </w:p>
    <w:p w14:paraId="482D37E4">
      <w:pPr>
        <w:spacing w:after="0"/>
        <w:rPr>
          <w:rFonts w:ascii="微软雅黑" w:hAnsi="微软雅黑" w:cs="微软雅黑"/>
          <w:b/>
        </w:rPr>
      </w:pP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0398D7AE">
      <w:pPr>
        <w:numPr>
          <w:ilvl w:val="1"/>
          <w:numId w:val="9"/>
        </w:numPr>
        <w:spacing w:before="200"/>
        <w:rPr>
          <w:rFonts w:ascii="微软雅黑" w:hAnsi="微软雅黑"/>
          <w:b/>
          <w:sz w:val="24"/>
          <w:szCs w:val="24"/>
        </w:rPr>
      </w:pPr>
      <w:bookmarkStart w:id="179"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9"/>
    </w:p>
    <w:p w14:paraId="664E8FAE">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TP53：</w:t>
      </w:r>
      <w:r>
        <w:rPr>
          <w:rFonts w:hint="eastAsia" w:ascii="微软雅黑" w:hAnsi="微软雅黑" w:cs="微软雅黑"/>
          <w:b/>
          <w:color w:val="FF0000"/>
          <w:sz w:val="24"/>
          <w:u w:val="none"/>
        </w:rPr>
        <w:t>c.844C&gt;T，p.R282W</w:t>
      </w:r>
      <w:r>
        <w:rPr>
          <w:rStyle w:val="21"/>
          <w:rFonts w:hint="eastAsia" w:ascii="微软雅黑" w:hAnsi="微软雅黑" w:cs="微软雅黑"/>
          <w:b/>
          <w:bCs/>
          <w:color w:val="FF0000"/>
          <w:sz w:val="24"/>
          <w:szCs w:val="24"/>
          <w:u w:val="none"/>
        </w:rPr>
        <w:t>突变相应靶向药物</w:t>
      </w:r>
    </w:p>
    <w:p w14:paraId="6B0CD9D9">
      <w:pPr>
        <w:numPr>
          <w:ilvl w:val="0"/>
          <w:numId w:val="12"/>
        </w:numPr>
        <w:spacing w:before="200"/>
        <w:ind w:left="420" w:hanging="42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6796071C">
      <w:pPr>
        <w:spacing w:after="0"/>
        <w:jc w:val="both"/>
        <w:rPr>
          <w:rFonts w:ascii="微软雅黑" w:hAnsi="微软雅黑" w:cs="Arial Unicode MS"/>
          <w:kern w:val="2"/>
          <w:sz w:val="21"/>
          <w:szCs w:val="21"/>
        </w:rPr>
      </w:pPr>
      <w:r>
        <w:rPr>
          <w:rFonts w:hint="eastAsia"/>
          <w:b/>
          <w:bCs/>
          <w:kern w:val="2"/>
        </w:rPr>
        <w:t>基因变异与药物关联分析：</w:t>
      </w:r>
    </w:p>
    <w:p w14:paraId="559722A6">
      <w:pPr>
        <w:spacing w:after="0"/>
        <w:ind w:firstLine="420" w:firstLineChars="200"/>
        <w:jc w:val="both"/>
        <w:rPr>
          <w:rFonts w:hint="eastAsia"/>
          <w:b/>
          <w:bCs/>
          <w:kern w:val="2"/>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EA22DF3">
      <w:pPr>
        <w:spacing w:after="0"/>
        <w:jc w:val="both"/>
        <w:rPr>
          <w:b/>
          <w:bCs/>
          <w:kern w:val="2"/>
        </w:rPr>
      </w:pPr>
      <w:r>
        <w:rPr>
          <w:rFonts w:hint="eastAsia"/>
          <w:b/>
          <w:bCs/>
          <w:kern w:val="2"/>
        </w:rPr>
        <w:t>药物疗效临床解析：</w:t>
      </w:r>
    </w:p>
    <w:p w14:paraId="3EEE2F85">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B3009E2">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58D35E07">
      <w:pPr>
        <w:spacing w:after="0"/>
        <w:jc w:val="both"/>
        <w:rPr>
          <w:rFonts w:ascii="微软雅黑" w:hAnsi="微软雅黑" w:cs="Arial Unicode MS"/>
          <w:kern w:val="2"/>
          <w:sz w:val="21"/>
          <w:szCs w:val="21"/>
        </w:rPr>
      </w:pPr>
      <w:r>
        <w:rPr>
          <w:rFonts w:hint="eastAsia"/>
          <w:b/>
          <w:bCs/>
          <w:kern w:val="2"/>
        </w:rPr>
        <w:t>基因变异与药物关联分析：</w:t>
      </w:r>
    </w:p>
    <w:p w14:paraId="6CF240B6">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37770A6E">
      <w:pPr>
        <w:spacing w:after="0"/>
        <w:jc w:val="both"/>
        <w:rPr>
          <w:rFonts w:hint="eastAsia"/>
          <w:b/>
          <w:bCs/>
          <w:kern w:val="2"/>
        </w:rPr>
      </w:pPr>
      <w:r>
        <w:rPr>
          <w:rFonts w:hint="eastAsia"/>
          <w:b/>
          <w:bCs/>
          <w:kern w:val="2"/>
        </w:rPr>
        <w:t>药物疗效临床解析：</w:t>
      </w:r>
    </w:p>
    <w:p w14:paraId="3AA0EC12">
      <w:pPr>
        <w:numPr>
          <w:ilvl w:val="-1"/>
          <w:numId w:val="0"/>
        </w:numPr>
        <w:spacing w:before="0" w:after="0"/>
        <w:ind w:left="0"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D5A6276">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4A16E274">
      <w:pPr>
        <w:spacing w:beforeLines="50" w:after="0"/>
        <w:jc w:val="both"/>
        <w:rPr>
          <w:b/>
          <w:bCs/>
          <w:kern w:val="2"/>
        </w:rPr>
      </w:pPr>
      <w:r>
        <w:rPr>
          <w:rFonts w:hint="eastAsia"/>
          <w:b/>
          <w:bCs/>
          <w:kern w:val="2"/>
        </w:rPr>
        <w:t>基因变异与药物关联分析：</w:t>
      </w:r>
    </w:p>
    <w:p w14:paraId="7831E2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微软雅黑"/>
          <w:sz w:val="21"/>
          <w:lang w:val="en-US" w:eastAsia="zh-CN"/>
        </w:rPr>
        <w:t>E</w:t>
      </w:r>
      <w:r>
        <w:rPr>
          <w:rFonts w:hint="eastAsia" w:ascii="微软雅黑" w:hAnsi="微软雅黑" w:cs="Arial Unicode MS"/>
          <w:kern w:val="2"/>
          <w:sz w:val="21"/>
          <w:szCs w:val="21"/>
          <w:lang w:eastAsia="zh-CN"/>
        </w:rPr>
        <w:t>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79A89B19">
      <w:pPr>
        <w:spacing w:after="0"/>
        <w:jc w:val="both"/>
        <w:rPr>
          <w:b/>
          <w:bCs/>
          <w:kern w:val="2"/>
        </w:rPr>
      </w:pPr>
      <w:r>
        <w:rPr>
          <w:rFonts w:hint="eastAsia"/>
          <w:b/>
          <w:bCs/>
          <w:kern w:val="2"/>
        </w:rPr>
        <w:t>药物疗效临床解析：</w:t>
      </w:r>
    </w:p>
    <w:p w14:paraId="1E878C79">
      <w:pPr>
        <w:keepNext w:val="0"/>
        <w:keepLines w:val="0"/>
        <w:pageBreakBefore w:val="0"/>
        <w:numPr>
          <w:ilvl w:val="-1"/>
          <w:numId w:val="0"/>
        </w:numPr>
        <w:kinsoku/>
        <w:wordWrap/>
        <w:overflowPunct/>
        <w:topLinePunct w:val="0"/>
        <w:autoSpaceDE/>
        <w:autoSpaceDN/>
        <w:bidi w:val="0"/>
        <w:spacing w:before="0" w:beforeLines="0" w:beforeAutospacing="0" w:after="0" w:afterLines="0"/>
        <w:ind w:left="0" w:firstLine="495"/>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49C18600">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KRAS：c.34G&gt;A，p.G12S突变相应靶向药物</w:t>
      </w:r>
    </w:p>
    <w:p w14:paraId="548AAB05">
      <w:pPr>
        <w:keepNext w:val="0"/>
        <w:keepLines w:val="0"/>
        <w:pageBreakBefore w:val="0"/>
        <w:widowControl/>
        <w:numPr>
          <w:ilvl w:val="0"/>
          <w:numId w:val="13"/>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val="en-US" w:eastAsia="zh-CN"/>
        </w:rPr>
        <w:t>贝美替尼+哌柏西利</w:t>
      </w:r>
      <w:r>
        <w:rPr>
          <w:rStyle w:val="21"/>
          <w:rFonts w:hint="eastAsia" w:ascii="微软雅黑" w:hAnsi="微软雅黑" w:cs="微软雅黑"/>
          <w:b/>
          <w:bCs/>
          <w:color w:val="0000FF"/>
          <w:kern w:val="0"/>
          <w:sz w:val="24"/>
          <w:szCs w:val="24"/>
          <w:highlight w:val="none"/>
          <w:u w:val="single"/>
          <w:lang w:eastAsia="zh-CN"/>
        </w:rPr>
        <w:t>（Binimetinib</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kern w:val="0"/>
          <w:sz w:val="24"/>
          <w:szCs w:val="24"/>
          <w:highlight w:val="none"/>
          <w:u w:val="single"/>
          <w:lang w:val="en-US" w:eastAsia="zh-CN"/>
        </w:rPr>
        <w:t>Futibatinib</w:t>
      </w:r>
      <w:r>
        <w:rPr>
          <w:rStyle w:val="21"/>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Binimetinib）</w:t>
      </w:r>
    </w:p>
    <w:p w14:paraId="3FB7CC16">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34710309">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stheme="minorBidi"/>
          <w:b w:val="0"/>
          <w:bCs w:val="0"/>
          <w:color w:val="auto"/>
          <w:kern w:val="1"/>
          <w:sz w:val="21"/>
          <w:szCs w:val="21"/>
          <w:highlight w:val="none"/>
          <w:u w:val="none"/>
          <w:lang w:eastAsia="zh-CN"/>
        </w:rPr>
        <w:t>贝美替尼（</w:t>
      </w:r>
      <w:r>
        <w:rPr>
          <w:rFonts w:hint="eastAsia" w:ascii="微软雅黑" w:hAnsi="微软雅黑"/>
          <w:color w:val="auto"/>
          <w:kern w:val="1"/>
          <w:sz w:val="21"/>
          <w:szCs w:val="21"/>
          <w:highlight w:val="none"/>
        </w:rPr>
        <w:t>MEK162</w:t>
      </w:r>
      <w:r>
        <w:rPr>
          <w:rFonts w:hint="eastAsia" w:ascii="微软雅黑" w:hAnsi="微软雅黑" w:cstheme="minorBidi"/>
          <w:b w:val="0"/>
          <w:bCs w:val="0"/>
          <w:color w:val="auto"/>
          <w:kern w:val="1"/>
          <w:sz w:val="21"/>
          <w:szCs w:val="21"/>
          <w:highlight w:val="none"/>
          <w:u w:val="none"/>
          <w:lang w:eastAsia="zh-CN"/>
        </w:rPr>
        <w:t>）</w:t>
      </w:r>
      <w:r>
        <w:rPr>
          <w:rFonts w:hint="eastAsia" w:ascii="微软雅黑" w:hAnsi="微软雅黑"/>
          <w:color w:val="auto"/>
          <w:kern w:val="1"/>
          <w:sz w:val="21"/>
          <w:szCs w:val="21"/>
          <w:highlight w:val="none"/>
        </w:rPr>
        <w:t>是MEK1/2的抑制剂，</w:t>
      </w:r>
      <w:r>
        <w:rPr>
          <w:rFonts w:hint="eastAsia" w:ascii="微软雅黑" w:hAnsi="微软雅黑"/>
          <w:color w:val="auto"/>
          <w:kern w:val="1"/>
          <w:sz w:val="21"/>
          <w:szCs w:val="21"/>
          <w:highlight w:val="none"/>
          <w:lang w:val="en-US" w:eastAsia="zh-CN"/>
        </w:rPr>
        <w:t>FDA批准</w:t>
      </w:r>
      <w:r>
        <w:rPr>
          <w:rFonts w:hint="eastAsia" w:ascii="微软雅黑" w:hAnsi="微软雅黑" w:cs="微软雅黑"/>
          <w:b w:val="0"/>
          <w:bCs w:val="0"/>
          <w:kern w:val="2"/>
          <w:sz w:val="21"/>
          <w:szCs w:val="24"/>
          <w:highlight w:val="none"/>
          <w:lang w:eastAsia="zh-CN"/>
        </w:rPr>
        <w:t>贝美替尼</w:t>
      </w:r>
      <w:r>
        <w:rPr>
          <w:rFonts w:hint="eastAsia" w:ascii="微软雅黑" w:hAnsi="微软雅黑" w:cs="微软雅黑"/>
          <w:kern w:val="2"/>
          <w:sz w:val="21"/>
          <w:szCs w:val="24"/>
          <w:highlight w:val="none"/>
        </w:rPr>
        <w:t>与</w:t>
      </w:r>
      <w:r>
        <w:rPr>
          <w:rFonts w:hint="eastAsia" w:ascii="微软雅黑" w:hAnsi="微软雅黑" w:cs="微软雅黑"/>
          <w:kern w:val="2"/>
          <w:sz w:val="21"/>
          <w:szCs w:val="24"/>
          <w:highlight w:val="none"/>
          <w:lang w:eastAsia="zh-CN"/>
        </w:rPr>
        <w:t>康奈非尼</w:t>
      </w:r>
      <w:r>
        <w:rPr>
          <w:rFonts w:hint="eastAsia" w:ascii="微软雅黑" w:hAnsi="微软雅黑" w:cs="微软雅黑"/>
          <w:kern w:val="2"/>
          <w:sz w:val="21"/>
          <w:szCs w:val="24"/>
          <w:highlight w:val="none"/>
        </w:rPr>
        <w:t>联合用于治疗BRAF V600E或V600K突变的不可切除或转移性黑色素瘤患者</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2D88D237">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18030D27">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b w:val="0"/>
          <w:bCs w:val="0"/>
          <w:color w:val="auto"/>
          <w:kern w:val="2"/>
          <w:sz w:val="21"/>
          <w:szCs w:val="21"/>
          <w:highlight w:val="none"/>
          <w:lang w:eastAsia="zh-CN"/>
        </w:rPr>
        <w:t>体内和体外研究显示，与</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或哌柏西利单一疗法相比，</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联合哌柏西利对具有</w:t>
      </w:r>
      <w:r>
        <w:rPr>
          <w:rFonts w:hint="eastAsia" w:ascii="微软雅黑" w:hAnsi="微软雅黑"/>
          <w:b w:val="0"/>
          <w:bCs w:val="0"/>
          <w:color w:val="auto"/>
          <w:kern w:val="2"/>
          <w:sz w:val="21"/>
          <w:szCs w:val="21"/>
          <w:highlight w:val="none"/>
          <w:lang w:val="en-US" w:eastAsia="zh-CN"/>
        </w:rPr>
        <w:t>KRAS突变的结直肠癌细胞系和异种移植模型具有显著的疗效[27167191]。</w:t>
      </w:r>
      <w:r>
        <w:rPr>
          <w:rFonts w:hint="eastAsia" w:ascii="微软雅黑" w:hAnsi="微软雅黑"/>
          <w:color w:val="auto"/>
          <w:kern w:val="1"/>
          <w:sz w:val="21"/>
          <w:szCs w:val="21"/>
          <w:highlight w:val="none"/>
          <w:lang w:eastAsia="zh-CN"/>
        </w:rPr>
        <w:t>一项临床Ⅰ期试验，旨在评估</w:t>
      </w:r>
      <w:r>
        <w:rPr>
          <w:rFonts w:hint="eastAsia" w:ascii="微软雅黑" w:hAnsi="微软雅黑" w:cs="微软雅黑"/>
          <w:b w:val="0"/>
          <w:bCs w:val="0"/>
          <w:kern w:val="2"/>
          <w:sz w:val="21"/>
          <w:szCs w:val="24"/>
          <w:highlight w:val="none"/>
          <w:lang w:eastAsia="zh-CN"/>
        </w:rPr>
        <w:t>贝美替尼联合mFOLFIRI</w:t>
      </w:r>
      <w:r>
        <w:rPr>
          <w:rFonts w:hint="eastAsia" w:ascii="微软雅黑" w:hAnsi="微软雅黑"/>
          <w:color w:val="auto"/>
          <w:kern w:val="1"/>
          <w:sz w:val="21"/>
          <w:szCs w:val="21"/>
          <w:highlight w:val="none"/>
        </w:rPr>
        <w:t>用于</w:t>
      </w:r>
      <w:r>
        <w:rPr>
          <w:rFonts w:hint="eastAsia" w:ascii="微软雅黑" w:hAnsi="微软雅黑"/>
          <w:color w:val="auto"/>
          <w:kern w:val="1"/>
          <w:sz w:val="21"/>
          <w:szCs w:val="21"/>
          <w:highlight w:val="none"/>
          <w:lang w:eastAsia="zh-CN"/>
        </w:rPr>
        <w:t>治疗</w:t>
      </w:r>
      <w:r>
        <w:rPr>
          <w:rFonts w:hint="eastAsia" w:ascii="微软雅黑" w:hAnsi="微软雅黑"/>
          <w:color w:val="auto"/>
          <w:kern w:val="1"/>
          <w:sz w:val="21"/>
          <w:szCs w:val="21"/>
          <w:highlight w:val="none"/>
        </w:rPr>
        <w:t>KRAS突变</w:t>
      </w:r>
      <w:r>
        <w:rPr>
          <w:rFonts w:hint="eastAsia" w:ascii="微软雅黑" w:hAnsi="微软雅黑"/>
          <w:color w:val="auto"/>
          <w:kern w:val="1"/>
          <w:sz w:val="21"/>
          <w:szCs w:val="21"/>
          <w:highlight w:val="none"/>
          <w:lang w:eastAsia="zh-CN"/>
        </w:rPr>
        <w:t>阳性</w:t>
      </w:r>
      <w:r>
        <w:rPr>
          <w:rFonts w:hint="eastAsia" w:ascii="微软雅黑" w:hAnsi="微软雅黑"/>
          <w:color w:val="auto"/>
          <w:kern w:val="1"/>
          <w:sz w:val="21"/>
          <w:szCs w:val="21"/>
          <w:highlight w:val="none"/>
        </w:rPr>
        <w:t>的结直肠癌的</w:t>
      </w:r>
      <w:r>
        <w:rPr>
          <w:rFonts w:hint="eastAsia" w:ascii="微软雅黑" w:hAnsi="微软雅黑"/>
          <w:color w:val="auto"/>
          <w:kern w:val="1"/>
          <w:sz w:val="21"/>
          <w:szCs w:val="21"/>
          <w:highlight w:val="none"/>
          <w:lang w:eastAsia="zh-CN"/>
        </w:rPr>
        <w:t>最大耐受剂量、反应率、临床获益率以及安全性，目前该</w:t>
      </w:r>
      <w:r>
        <w:rPr>
          <w:rFonts w:hint="eastAsia" w:ascii="微软雅黑" w:hAnsi="微软雅黑"/>
          <w:color w:val="auto"/>
          <w:kern w:val="1"/>
          <w:sz w:val="21"/>
          <w:szCs w:val="21"/>
          <w:highlight w:val="none"/>
        </w:rPr>
        <w:t>试验正在</w:t>
      </w:r>
      <w:r>
        <w:rPr>
          <w:rFonts w:hint="eastAsia" w:ascii="微软雅黑" w:hAnsi="微软雅黑"/>
          <w:color w:val="auto"/>
          <w:kern w:val="1"/>
          <w:sz w:val="21"/>
          <w:szCs w:val="21"/>
          <w:highlight w:val="none"/>
          <w:lang w:eastAsia="zh-CN"/>
        </w:rPr>
        <w:t>招募患者</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NCT02613650</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一项II期临床试验，旨在评估</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w:t>
      </w:r>
      <w:r>
        <w:rPr>
          <w:rFonts w:hint="eastAsia" w:ascii="微软雅黑" w:hAnsi="微软雅黑"/>
          <w:b w:val="0"/>
          <w:bCs w:val="0"/>
          <w:color w:val="auto"/>
          <w:kern w:val="2"/>
          <w:sz w:val="21"/>
          <w:szCs w:val="21"/>
          <w:highlight w:val="none"/>
          <w:lang w:val="en-US" w:eastAsia="zh-CN"/>
        </w:rPr>
        <w:t>用于治疗携带KRAS/NRAS突变的结直肠癌患者有效性，该试验正在开展，不招募患者[NCT03981614]。</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22D875B9">
      <w:pPr>
        <w:numPr>
          <w:ilvl w:val="0"/>
          <w:numId w:val="13"/>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p>
    <w:p w14:paraId="5674B73E">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489EA61D">
      <w:pPr>
        <w:spacing w:after="0"/>
        <w:ind w:firstLine="420" w:firstLineChars="200"/>
        <w:jc w:val="both"/>
        <w:outlineLvl w:val="9"/>
        <w:rPr>
          <w:rFonts w:hint="eastAsia" w:ascii="微软雅黑" w:hAnsi="微软雅黑"/>
          <w:color w:val="auto"/>
          <w:kern w:val="1"/>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643E36C">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43E636DA">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717DC756">
      <w:pPr>
        <w:keepNext w:val="0"/>
        <w:keepLines w:val="0"/>
        <w:pageBreakBefore w:val="0"/>
        <w:widowControl/>
        <w:kinsoku/>
        <w:wordWrap/>
        <w:overflowPunct/>
        <w:topLinePunct w:val="0"/>
        <w:autoSpaceDE/>
        <w:autoSpaceDN/>
        <w:bidi w:val="0"/>
        <w:adjustRightInd w:val="0"/>
        <w:snapToGrid w:val="0"/>
        <w:spacing w:before="0" w:beforeLines="-2147483648" w:after="0" w:afterLines="-2147483648"/>
        <w:ind w:firstLine="420" w:firstLineChars="200"/>
        <w:jc w:val="both"/>
        <w:textAlignment w:val="auto"/>
        <w:outlineLvl w:val="9"/>
        <w:rPr>
          <w:rFonts w:hint="eastAsia" w:ascii="微软雅黑" w:hAnsi="微软雅黑" w:eastAsia="微软雅黑" w:cs="Arial Unicode MS"/>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p>
    <w:p w14:paraId="118D290B">
      <w:pPr>
        <w:keepNext w:val="0"/>
        <w:keepLines w:val="0"/>
        <w:pageBreakBefore w:val="0"/>
        <w:widowControl/>
        <w:numPr>
          <w:ilvl w:val="0"/>
          <w:numId w:val="13"/>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、RMC-6236</w:t>
      </w:r>
    </w:p>
    <w:p w14:paraId="4DF2F53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204CA7FE">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r>
        <w:rPr>
          <w:rFonts w:hint="eastAsia" w:ascii="微软雅黑" w:hAnsi="微软雅黑" w:cs="Times New Roman"/>
          <w:b w:val="0"/>
          <w:bCs w:val="0"/>
          <w:color w:val="auto"/>
          <w:kern w:val="2"/>
          <w:sz w:val="21"/>
          <w:szCs w:val="21"/>
          <w:highlight w:val="none"/>
          <w:lang w:val="en-US" w:eastAsia="zh-CN"/>
        </w:rPr>
        <w:t>RMC-6236是一种泛KRAS抑制剂，目前处于临床期。</w:t>
      </w:r>
    </w:p>
    <w:p w14:paraId="742B958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1317366">
      <w:pPr>
        <w:numPr>
          <w:ilvl w:val="-1"/>
          <w:numId w:val="0"/>
        </w:numPr>
        <w:pBdr>
          <w:top w:val="none" w:color="auto" w:sz="0" w:space="0"/>
          <w:left w:val="none" w:color="auto" w:sz="0" w:space="0"/>
          <w:bottom w:val="none" w:color="auto" w:sz="0" w:space="0"/>
          <w:right w:val="none" w:color="auto" w:sz="0" w:space="0"/>
        </w:pBdr>
        <w:shd w:val="clear"/>
        <w:adjustRightInd/>
        <w:snapToGrid/>
        <w:spacing w:before="0" w:beforeLines="0" w:after="0" w:afterLines="0" w:line="240" w:lineRule="auto"/>
        <w:ind w:firstLine="420" w:firstLineChars="200"/>
        <w:jc w:val="both"/>
        <w:outlineLvl w:val="9"/>
        <w:rPr>
          <w:rFonts w:ascii="微软雅黑" w:hAnsi="微软雅黑" w:cs="微软雅黑"/>
          <w:color w:val="FF0000"/>
          <w:kern w:val="1"/>
          <w:sz w:val="21"/>
          <w:szCs w:val="21"/>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E32152A">
      <w:pPr>
        <w:numPr>
          <w:ilvl w:val="0"/>
          <w:numId w:val="14"/>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SETD2：c.4930G&gt;T，p.G1644*</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7AE381FA">
      <w:pPr>
        <w:numPr>
          <w:ilvl w:val="0"/>
          <w:numId w:val="12"/>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1999EA9B">
      <w:pPr>
        <w:spacing w:after="0"/>
        <w:jc w:val="both"/>
        <w:rPr>
          <w:b/>
          <w:bCs/>
          <w:kern w:val="2"/>
        </w:rPr>
      </w:pPr>
      <w:r>
        <w:rPr>
          <w:rFonts w:hint="eastAsia"/>
          <w:b/>
          <w:bCs/>
          <w:kern w:val="2"/>
        </w:rPr>
        <w:t>基因变异与药物关联分析：</w:t>
      </w:r>
    </w:p>
    <w:p w14:paraId="5AAE0313">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4930G&gt;T，p.G1644*无义突变，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67B4F192">
      <w:pPr>
        <w:spacing w:after="0"/>
        <w:jc w:val="both"/>
        <w:rPr>
          <w:b/>
          <w:bCs/>
          <w:kern w:val="2"/>
        </w:rPr>
      </w:pPr>
      <w:r>
        <w:rPr>
          <w:rFonts w:hint="eastAsia"/>
          <w:b/>
          <w:bCs/>
          <w:kern w:val="2"/>
        </w:rPr>
        <w:t>药物疗效临床解析：</w:t>
      </w:r>
    </w:p>
    <w:p w14:paraId="461A3A8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Cs/>
          <w:color w:val="auto"/>
          <w:kern w:val="2"/>
          <w:sz w:val="21"/>
          <w:szCs w:val="21"/>
          <w:lang w:val="en-US" w:eastAsia="zh-CN"/>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w:t>
      </w:r>
      <w:bookmarkStart w:id="180" w:name="OLE_LINK14"/>
      <w:r>
        <w:rPr>
          <w:rFonts w:hint="eastAsia" w:ascii="微软雅黑" w:hAnsi="微软雅黑" w:cs="Arial Unicode MS"/>
          <w:kern w:val="2"/>
          <w:sz w:val="21"/>
          <w:szCs w:val="21"/>
          <w:lang w:val="en-US" w:eastAsia="zh-CN"/>
        </w:rPr>
        <w:t>NCT03284385</w:t>
      </w:r>
      <w:bookmarkEnd w:id="180"/>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ATM</w:t>
      </w:r>
      <w:r>
        <w:rPr>
          <w:rFonts w:ascii="微软雅黑" w:hAnsi="微软雅黑" w:cs="微软雅黑"/>
          <w:b/>
          <w:color w:val="FF0000"/>
          <w:sz w:val="24"/>
        </w:rPr>
        <w:t>：</w:t>
      </w:r>
      <w:r>
        <w:rPr>
          <w:rFonts w:hint="eastAsia" w:ascii="微软雅黑" w:hAnsi="微软雅黑" w:cs="微软雅黑"/>
          <w:b/>
          <w:color w:val="FF0000"/>
          <w:sz w:val="24"/>
        </w:rPr>
        <w:t>c.6874C&gt;T，p.Q2292*</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3"/>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盐酸可泮利塞+奥拉帕利+度伐利尤单抗（Copanlisib+Olaparib+Durvalumab）、帕米帕利+替雷利珠单抗（Pamiparib+Tislelizumab）、芦卡帕利+阿替利珠单抗（Rucaparib+Atezolizumab）、他拉唑帕利+阿替利珠单抗（Talazoparib+Atezolizumab）、他拉唑帕利（Talazoparib）、AZD6738+奥拉帕利（Olaparib）、阿维鲁单抗+他拉唑帕利（Avelumab+Talazoparib）、LY2606368、奥拉帕利+帕博利珠单抗（Olaparib+Pembrolizumab）</w:t>
      </w:r>
    </w:p>
    <w:p w14:paraId="5CBBE8C1">
      <w:pPr>
        <w:spacing w:after="0"/>
        <w:jc w:val="both"/>
        <w:rPr>
          <w:rFonts w:hint="eastAsia"/>
          <w:b/>
          <w:bCs/>
          <w:kern w:val="2"/>
        </w:rPr>
      </w:pPr>
      <w:r>
        <w:rPr>
          <w:rFonts w:hint="eastAsia"/>
          <w:b/>
          <w:bCs/>
          <w:kern w:val="2"/>
        </w:rPr>
        <w:t>基因变异与药物关联分析：</w:t>
      </w:r>
    </w:p>
    <w:p w14:paraId="02A991C6">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该样本检出ATM基因c.6874C&gt;T，p.Q2292*无义突变，</w:t>
      </w:r>
      <w:r>
        <w:rPr>
          <w:rFonts w:hint="eastAsia" w:ascii="微软雅黑" w:hAnsi="微软雅黑" w:cs="Arial Unicode MS"/>
          <w:kern w:val="2"/>
          <w:sz w:val="21"/>
          <w:szCs w:val="21"/>
          <w:lang w:val="en-US" w:eastAsia="zh-CN"/>
        </w:rPr>
        <w:t>该突变导致蛋白翻译提前终止，产生截短的蛋白，可能导致蛋白功能缺失。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ATM是一个抑癌基因，编码PI3K/PI4K家族的一个蛋白激酶。ATM缺陷细胞会导致DNA损伤的积累及基因组的不稳定，进而引起肿瘤发生。临床研究发现，ATM缺陷型的前列腺癌或胃癌等肿瘤对PARP抑制剂敏感[26282658，26510020]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卵巢癌和前列腺癌的治疗。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阿维鲁单抗、LY2606368、盐酸可泮利塞、度伐利尤单抗、帕博利珠单抗、替雷利珠单抗、阿替利珠单抗、AZD6738。阿维鲁单抗是PD-L1抑制剂，已获FDA批准用于治疗默克细胞癌、尿路上皮癌患者。LY2606368是一种ATP竞争性CHK1抑制剂，目前正处于临床期。盐酸可泮利塞是一种PI3K抑制剂，已获FDA和NMPA批准用于治疗滤泡性淋巴瘤。度伐利尤单抗是一种PD-L1抑制剂，已获FDA和NMPA批准用于治疗非小细胞肺癌和小细胞肺癌患者。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替雷利珠单抗已获NMPA批准用于治疗经典型霍奇金淋巴瘤、尿路上皮癌、非小细胞肺癌、肝细胞癌患者。阿替利珠单抗已获FDA批准用于治疗尿路上皮癌、非小细胞癌、小细胞肺癌、肝细胞癌、黑色素瘤患者，已获NMPA批准用于治疗小细胞肺癌、肝细胞癌、非小细胞肺癌患者。AZD6738是一种新型的口服ATR抑制剂，目前正处于临床期。</w:t>
      </w:r>
    </w:p>
    <w:p w14:paraId="1B20A2B3">
      <w:pPr>
        <w:spacing w:after="0"/>
        <w:jc w:val="both"/>
        <w:rPr>
          <w:rFonts w:hint="eastAsia"/>
          <w:b/>
          <w:bCs/>
          <w:kern w:val="2"/>
        </w:rPr>
      </w:pPr>
      <w:r>
        <w:rPr>
          <w:rFonts w:hint="eastAsia"/>
          <w:b/>
          <w:bCs/>
          <w:kern w:val="2"/>
        </w:rPr>
        <w:t>药物疗效临床解析：</w:t>
      </w:r>
    </w:p>
    <w:p w14:paraId="306566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显示，奥拉帕利用于治疗携带DDR致病性突变（包括BRCA1、BRCA2、PALB2、ATM、CDK12、ATRX、CHEK1、CHEK2、FANCA、FANCF、FANCG、FANCI、FANCM、RAD50、WRN基因突变）的转移性去势抵抗性前列腺癌具有一定的抗肿瘤活性，目前该试验状态未知[2019 JCO Abstract 5005，NCT01682772]。一项II期临床试验，旨在评估奥拉帕利单药或奥拉帕利联合AZD6738用于治疗具有同源DNA修复基因突变（包括ATM、CHK2、MRN（MRE11/NBS1/RAD50）、CDKN2A/B 和 APOBEC）的肿瘤患者的有效性和安全性，目前该试验正在进行，不招募患者[NCT02576444]。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阿维鲁单抗联合他拉唑帕利 用于治疗具有BRCA或ATM 突变的实体瘤患者的II期临床试验正在进行，暂不招募患者[NCT03565991]。他拉唑帕利用于治疗具有ATM、BRCA1、BRCA2、PALB2、ATR基因突变的晚期恶性肿瘤患者的II期临床试验正在进行，暂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p>
    <w:p w14:paraId="769172EB">
      <w:pPr>
        <w:rPr>
          <w:rFonts w:ascii="微软雅黑" w:hAnsi="微软雅黑"/>
          <w:b/>
          <w:sz w:val="24"/>
          <w:szCs w:val="24"/>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1A383744">
      <w:pPr>
        <w:numPr>
          <w:ilvl w:val="0"/>
          <w:numId w:val="15"/>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：c.34G&gt;A，p.G12S</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77AECB33">
      <w:pPr>
        <w:numPr>
          <w:ilvl w:val="0"/>
          <w:numId w:val="16"/>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440C4DFE">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2D0E55D">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c.34G&gt;A</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6E48A892">
      <w:pPr>
        <w:spacing w:after="0"/>
        <w:ind w:firstLine="420" w:firstLineChars="200"/>
        <w:jc w:val="both"/>
        <w:outlineLvl w:val="9"/>
        <w:rPr>
          <w:rFonts w:hint="eastAsia"/>
          <w:color w:val="auto"/>
          <w:kern w:val="2"/>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1735227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220F974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31CDCF0A">
      <w:pPr>
        <w:adjustRightInd w:val="0"/>
        <w:snapToGrid w:val="0"/>
        <w:spacing w:after="0"/>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72E2E25E">
      <w:pPr>
        <w:keepNext w:val="0"/>
        <w:keepLines w:val="0"/>
        <w:pageBreakBefore w:val="0"/>
        <w:widowControl/>
        <w:numPr>
          <w:ilvl w:val="0"/>
          <w:numId w:val="13"/>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lang w:eastAsia="zh-CN"/>
        </w:rPr>
        <w:fldChar w:fldCharType="begin"/>
      </w:r>
      <w:r>
        <w:rPr>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t>依维莫司（Everolimus）</w:t>
      </w:r>
      <w:r>
        <w:rPr>
          <w:rFonts w:hint="eastAsia" w:ascii="微软雅黑" w:hAnsi="微软雅黑" w:cs="微软雅黑"/>
          <w:b/>
          <w:bCs/>
          <w:color w:val="0000FF"/>
          <w:sz w:val="24"/>
          <w:szCs w:val="24"/>
          <w:highlight w:val="none"/>
          <w:u w:val="single"/>
          <w:lang w:eastAsia="zh-CN"/>
        </w:rPr>
        <w:fldChar w:fldCharType="end"/>
      </w:r>
    </w:p>
    <w:p w14:paraId="0C399CE6">
      <w:pPr>
        <w:spacing w:after="0"/>
        <w:jc w:val="both"/>
        <w:rPr>
          <w:b/>
          <w:bCs/>
          <w:kern w:val="2"/>
          <w:highlight w:val="none"/>
        </w:rPr>
      </w:pPr>
      <w:r>
        <w:rPr>
          <w:rFonts w:hint="eastAsia"/>
          <w:b/>
          <w:bCs/>
          <w:kern w:val="2"/>
          <w:highlight w:val="none"/>
        </w:rPr>
        <w:t>基因变异与药物关联分析：</w:t>
      </w:r>
    </w:p>
    <w:p w14:paraId="3590D854">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cs="微软雅黑"/>
          <w:sz w:val="21"/>
        </w:rPr>
        <w:t>错义突变</w:t>
      </w:r>
      <w:r>
        <w:rPr>
          <w:rFonts w:hint="eastAsia" w:ascii="微软雅黑" w:hAnsi="微软雅黑" w:eastAsia="微软雅黑" w:cs="Arial Unicode MS"/>
          <w:color w:val="auto"/>
          <w:kern w:val="2"/>
          <w:sz w:val="21"/>
          <w:szCs w:val="21"/>
          <w:highlight w:val="none"/>
          <w:lang w:val="en-US" w:eastAsia="zh-CN"/>
        </w:rPr>
        <w:t>，为已知激活突变，对蛋白功能有重要影响。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highlight w:val="none"/>
          <w:lang w:val="en-US" w:eastAsia="zh-CN"/>
        </w:rPr>
        <w:t>因此，该患者</w:t>
      </w:r>
      <w:r>
        <w:rPr>
          <w:rFonts w:hint="eastAsia" w:ascii="微软雅黑" w:hAnsi="微软雅黑" w:cs="Arial Unicode MS"/>
          <w:kern w:val="2"/>
          <w:sz w:val="21"/>
          <w:szCs w:val="21"/>
          <w:highlight w:val="none"/>
        </w:rPr>
        <w:t>可能</w:t>
      </w:r>
      <w:r>
        <w:rPr>
          <w:rFonts w:hint="eastAsia" w:ascii="微软雅黑" w:hAnsi="微软雅黑" w:cs="Arial Unicode MS"/>
          <w:kern w:val="2"/>
          <w:sz w:val="21"/>
          <w:szCs w:val="21"/>
          <w:highlight w:val="none"/>
          <w:lang w:val="en-US" w:eastAsia="zh-CN"/>
        </w:rPr>
        <w:t>对依维莫司</w:t>
      </w:r>
      <w:r>
        <w:rPr>
          <w:rFonts w:hint="eastAsia" w:ascii="微软雅黑" w:hAnsi="微软雅黑" w:cs="Arial Unicode MS"/>
          <w:kern w:val="2"/>
          <w:sz w:val="21"/>
          <w:szCs w:val="21"/>
          <w:highlight w:val="none"/>
        </w:rPr>
        <w:t>的治疗</w:t>
      </w:r>
      <w:r>
        <w:rPr>
          <w:rFonts w:hint="eastAsia" w:ascii="微软雅黑" w:hAnsi="微软雅黑" w:cs="Arial Unicode MS"/>
          <w:kern w:val="2"/>
          <w:sz w:val="21"/>
          <w:szCs w:val="21"/>
          <w:highlight w:val="none"/>
          <w:lang w:eastAsia="zh-CN"/>
        </w:rPr>
        <w:t>负相关</w:t>
      </w:r>
      <w:r>
        <w:rPr>
          <w:rFonts w:hint="eastAsia" w:ascii="微软雅黑" w:hAnsi="微软雅黑" w:cs="Arial Unicode MS"/>
          <w:kern w:val="2"/>
          <w:sz w:val="21"/>
          <w:szCs w:val="21"/>
          <w:highlight w:val="none"/>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39EE1902">
      <w:pPr>
        <w:spacing w:after="0"/>
        <w:jc w:val="both"/>
        <w:rPr>
          <w:b/>
          <w:bCs/>
          <w:kern w:val="2"/>
          <w:highlight w:val="none"/>
        </w:rPr>
      </w:pPr>
      <w:r>
        <w:rPr>
          <w:rFonts w:hint="eastAsia"/>
          <w:b/>
          <w:bCs/>
          <w:kern w:val="2"/>
          <w:highlight w:val="none"/>
        </w:rPr>
        <w:t>药物疗效临床解析：</w:t>
      </w:r>
    </w:p>
    <w:p w14:paraId="3E3C5B8D">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 Id="rId56" Type="http://schemas.openxmlformats.org/officeDocument/2006/relationships/header" Target="header7.xml"/><Relationship Id="rId57" Type="http://schemas.openxmlformats.org/officeDocument/2006/relationships/header" Target="header8.xml"/><Relationship Id="rId58" Type="http://schemas.openxmlformats.org/officeDocument/2006/relationships/footer" Target="footer6.xml"/><Relationship Id="rId59" Type="http://schemas.openxmlformats.org/officeDocument/2006/relationships/footer" Target="footer7.xml"/><Relationship Id="rId60" Type="http://schemas.openxmlformats.org/officeDocument/2006/relationships/footer" Target="footer8.xml"/></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4.png"/></Relationships>
</file>

<file path=word/_rels/header6.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