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kK5BPYAAAACQEAAA8AAAAAAAAAAQAgAAAAIgAAAGRycy9kb3du&#10;cmV2LnhtbFBLAQIUABQAAAAIAIdO4kD08AHy/wEAAPgDAAAOAAAAAAAAAAEAIAAAACc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苏雨起</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9D5dzXAAAACQEAAA8AAAAAAAAAAQAgAAAAIgAAAGRy&#10;cy9kb3ducmV2LnhtbFBLAQIUABQAAAAIAIdO4kBRQxPdBgIAAAIEAAAOAAAAAAAAAAEAIAAAACYB&#10;AABkcnMvZTJvRG9jLnhtbFBLBQYAAAAABgAGAFkBAACeBQAAAAA=&#10;">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MLJY-</w:t>
      </w:r>
      <w:r>
        <w:rPr>
          <w:rFonts w:hint="eastAsia" w:ascii="微软雅黑" w:hAnsi="微软雅黑"/>
          <w:bCs/>
          <w:sz w:val="24"/>
          <w:szCs w:val="24"/>
          <w:lang w:eastAsia="zh-CN"/>
        </w:rPr>
        <w:t>LZ25</w:t>
      </w:r>
      <w:r>
        <w:rPr>
          <w:rFonts w:hint="eastAsia" w:ascii="微软雅黑" w:hAnsi="微软雅黑"/>
          <w:bCs/>
          <w:sz w:val="24"/>
          <w:szCs w:val="24"/>
          <w:lang w:val="en-US" w:eastAsia="zh-CN"/>
        </w:rPr>
        <w:t>8792</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&#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OtqVS1wAAAAkBAAAPAAAAAAAAAAEAIAAAACIAAABk&#10;cnMvZG93bnJldi54bWxQSwECFAAUAAAACACHTuJA4QBRIwcCAAACBAAADgAAAAAAAAABACAAAAAm&#10;AQAAZHJzL2Uyb0RvYy54bWxQSwUGAAAAAAYABgBZAQAAnwUAAAAA&#10;">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2025</w:t>
      </w:r>
      <w:r>
        <w:rPr>
          <w:rFonts w:hint="eastAsia" w:ascii="微软雅黑" w:hAnsi="微软雅黑"/>
          <w:bCs/>
          <w:sz w:val="24"/>
          <w:szCs w:val="24"/>
          <w:lang w:val="en-US" w:eastAsia="zh-CN"/>
        </w:rPr>
        <w:t>1121</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48kIIdgAAAAJAQAADwAAAAAAAAABACAAAAAiAAAAZHJzL2Rvd25y&#10;ZXYueG1sUEsBAhQAFAAAAAgAh07iQA/X74X+AQAA+AMAAA4AAAAAAAAAAQAgAAAAJwEAAGRycy9l&#10;Mm9Eb2MueG1sUEsFBgAAAAAGAAYAWQEAAJcFAAAAAA==&#10;">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2025</w:t>
      </w:r>
      <w:r>
        <w:rPr>
          <w:rFonts w:hint="eastAsia" w:ascii="微软雅黑" w:hAnsi="微软雅黑"/>
          <w:bCs/>
          <w:sz w:val="24"/>
          <w:szCs w:val="24"/>
          <w:lang w:val="en-US" w:eastAsia="zh-CN"/>
        </w:rPr>
        <w:t>1204</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苏雨起</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10;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ZMVD3AAAAAsBAAAPAAAAAAAA&#10;AAEAIAAAACIAAABkcnMvZG93bnJldi54bWxQSwECFAAUAAAACACHTuJA+SD4qUcCAAB5BAAADgAA&#10;AAAAAAABACAAAAArAQAAZHJzL2Uyb0RvYy54bWxQSwUGAAAAAAYABgBZAQAA5AUAAAAA&#10;">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苏雨起</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10;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z23QRdoAAAALAQAA&#10;DwAAAAAAAAABACAAAAAiAAAAZHJzL2Rvd25yZXYueG1sUEsBAhQAFAAAAAgAh07iQIW6ku40AwAA&#10;2wcAAA4AAAAAAAAAAQAgAAAAKQEAAGRycy9lMm9Eb2MueG1sUEsFBgAAAAAGAAYAWQEAAM8GAAAA&#10;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9/Fg&#10;recBAACxAwAADgAAAAAAAAABACAAAAAlAQAAZHJzL2Uyb0RvYy54bWxQSwUGAAAAAAYABgBZAQAA&#10;fgUAAAAA&#10;">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YTBG62AAAAAsBAAAPAAAAAAAAAAEAIAAAACIAAABkcnMvZG93bnJldi54bWxQ&#10;SwECFAAUAAAACACHTuJApVyj32kCAADRBAAADgAAAAAAAAABACAAAAAnAQAAZHJzL2Uyb0RvYy54&#10;bWxQSwUGAAAAAAYABgBZAQAAAgYAAAAA&#10;">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10;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RlKo2wAAAAsBAAAP&#10;AAAAAAAAAAEAIAAAACIAAABkcnMvZG93bnJldi54bWxQSwECFAAUAAAACACHTuJAtIJC4E4CAACE&#10;BAAADgAAAAAAAAABACAAAAAqAQAAZHJzL2Uyb0RvYy54bWxQSwUGAAAAAAYABgBZAQAA6gUAAAAA&#10;">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GJrNoM4AgAAWw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10Exm2QAAAAkBAAAPAAAAAAAAAAEAIAAAACIAAABkcnMvZG93bnJldi54bWxQ&#10;SwECFAAUAAAACACHTuJA/rL8kS8CAABPBAAADgAAAAAAAAABACAAAAAoAQAAZHJzL2Uyb0RvYy54&#10;bWxQSwUGAAAAAAYABgBZAQAAyQU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苏雨起</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组织</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男</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70</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乙状结肠癌</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LZ25</w:t>
            </w:r>
            <w:r>
              <w:rPr>
                <w:rFonts w:hint="eastAsia" w:ascii="微软雅黑" w:hAnsi="微软雅黑"/>
                <w:bCs/>
                <w:kern w:val="2"/>
                <w:sz w:val="24"/>
                <w:szCs w:val="24"/>
                <w:lang w:val="en-US" w:eastAsia="zh-CN"/>
              </w:rPr>
              <w:t>8792</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TP53</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c.844C&gt;T,</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p.R282W</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AZD1775（C）</w:t>
            </w:r>
          </w:p>
          <w:p w14:paraId="1072BD2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AZD1775+奥拉帕利（C）</w:t>
            </w:r>
            <w:r>
              <w:rPr>
                <w:rFonts w:hint="eastAsia" w:ascii="微软雅黑" w:hAnsi="微软雅黑" w:eastAsia="微软雅黑" w:cs="微软雅黑"/>
                <w:bCs/>
                <w:color w:val="0000FF"/>
                <w:kern w:val="2"/>
                <w:sz w:val="18"/>
                <w:szCs w:val="18"/>
                <w:u w:val="single"/>
                <w:lang w:val="en-US" w:eastAsia="zh-CN"/>
              </w:rPr>
              <w:br w:type="textWrapping"/>
            </w:r>
            <w:r>
              <w:rPr>
                <w:rFonts w:hint="eastAsia" w:ascii="微软雅黑" w:hAnsi="微软雅黑" w:eastAsia="微软雅黑" w:cs="微软雅黑"/>
                <w:bCs/>
                <w:color w:val="0000FF"/>
                <w:kern w:val="2"/>
                <w:sz w:val="18"/>
                <w:szCs w:val="18"/>
                <w:u w:val="single"/>
                <w:lang w:val="en-US" w:eastAsia="zh-CN"/>
              </w:rPr>
              <w:t>Alisertib（C）</w:t>
            </w:r>
          </w:p>
          <w:p w14:paraId="2A5425FC">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color w:val="0000FF"/>
                <w:kern w:val="2"/>
                <w:sz w:val="18"/>
                <w:szCs w:val="18"/>
                <w:u w:val="single"/>
                <w:lang w:val="en-US" w:eastAsia="zh-CN"/>
              </w:rPr>
              <w:t>Alisertib+AZD1775（C）</w:t>
            </w:r>
            <w:r>
              <w:rPr>
                <w:rFonts w:hint="eastAsia" w:ascii="微软雅黑" w:hAnsi="微软雅黑" w:eastAsia="微软雅黑" w:cs="微软雅黑"/>
                <w:bCs/>
                <w:color w:val="0000FF"/>
                <w:kern w:val="2"/>
                <w:sz w:val="18"/>
                <w:szCs w:val="18"/>
                <w:u w:val="single"/>
                <w:lang w:val="en-US" w:eastAsia="zh-CN"/>
              </w:rPr>
              <w:br w:type="textWrapping"/>
            </w:r>
            <w:r>
              <w:rPr>
                <w:rFonts w:hint="eastAsia" w:ascii="微软雅黑" w:hAnsi="微软雅黑" w:eastAsia="微软雅黑" w:cs="微软雅黑"/>
                <w:bCs/>
                <w:color w:val="0000FF"/>
                <w:kern w:val="2"/>
                <w:sz w:val="18"/>
                <w:szCs w:val="18"/>
                <w:u w:val="single"/>
                <w:lang w:val="en-US" w:eastAsia="zh-CN"/>
              </w:rPr>
              <w:t>Eprenetapopt（C）</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w:t>
            </w:r>
          </w:p>
        </w:tc>
      </w:tr>
      <w:tr w14:paraId="6212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1BF66EF8">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KRAS</w:t>
            </w:r>
          </w:p>
        </w:tc>
        <w:tc>
          <w:tcPr>
            <w:tcW w:w="1758" w:type="dxa"/>
            <w:shd w:val="clear" w:color="auto" w:fill="auto"/>
            <w:vAlign w:val="center"/>
          </w:tcPr>
          <w:p w14:paraId="0628305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c.34G&gt;A,</w:t>
            </w:r>
          </w:p>
          <w:p w14:paraId="776C7C56">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p.G12S</w:t>
            </w:r>
          </w:p>
        </w:tc>
        <w:tc>
          <w:tcPr>
            <w:tcW w:w="3530" w:type="dxa"/>
            <w:shd w:val="clear" w:color="auto" w:fill="auto"/>
            <w:vAlign w:val="center"/>
          </w:tcPr>
          <w:p w14:paraId="2107A747">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司美替尼（C） </w:t>
            </w:r>
          </w:p>
          <w:p w14:paraId="3EDCFB1A">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曲美替尼+Navitoclax（C） </w:t>
            </w:r>
          </w:p>
          <w:p w14:paraId="1156294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帕尼单抗+曲美替尼（C） </w:t>
            </w:r>
          </w:p>
          <w:p w14:paraId="429390B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highlight w:val="none"/>
                <w:u w:val="single"/>
                <w:lang w:val="en-US" w:eastAsia="zh-CN"/>
              </w:rPr>
              <w:t>贝美替尼</w:t>
            </w:r>
            <w:r>
              <w:rPr>
                <w:rFonts w:hint="eastAsia" w:ascii="微软雅黑" w:hAnsi="微软雅黑" w:cs="微软雅黑"/>
                <w:bCs/>
                <w:color w:val="0000FF"/>
                <w:kern w:val="2"/>
                <w:sz w:val="18"/>
                <w:szCs w:val="18"/>
                <w:u w:val="single"/>
              </w:rPr>
              <w:t xml:space="preserve">+哌柏西利（C） </w:t>
            </w:r>
          </w:p>
          <w:p w14:paraId="7D44305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BI 1701963（C） </w:t>
            </w:r>
          </w:p>
          <w:p w14:paraId="065A63B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BI 1701963+曲美替尼（C） </w:t>
            </w:r>
          </w:p>
          <w:p w14:paraId="12401258">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PD0325901+哌柏西利（C） </w:t>
            </w:r>
          </w:p>
          <w:p w14:paraId="3785048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奈拉替尼+曲美替尼（C） </w:t>
            </w:r>
          </w:p>
          <w:p w14:paraId="37E88F4A">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highlight w:val="none"/>
                <w:u w:val="single"/>
                <w:lang w:val="en-US" w:eastAsia="zh-CN"/>
              </w:rPr>
              <w:t>福巴替尼</w:t>
            </w:r>
            <w:r>
              <w:rPr>
                <w:rFonts w:hint="default" w:ascii="微软雅黑" w:hAnsi="微软雅黑" w:cs="微软雅黑"/>
                <w:bCs/>
                <w:color w:val="0000FF"/>
                <w:kern w:val="2"/>
                <w:sz w:val="18"/>
                <w:szCs w:val="18"/>
                <w:highlight w:val="none"/>
                <w:u w:val="single"/>
                <w:lang w:val="en-US" w:eastAsia="zh-CN"/>
              </w:rPr>
              <w:t>+</w:t>
            </w:r>
            <w:r>
              <w:rPr>
                <w:rFonts w:hint="eastAsia" w:ascii="微软雅黑" w:hAnsi="微软雅黑" w:cs="微软雅黑"/>
                <w:bCs/>
                <w:color w:val="0000FF"/>
                <w:kern w:val="2"/>
                <w:sz w:val="18"/>
                <w:szCs w:val="18"/>
                <w:highlight w:val="none"/>
                <w:u w:val="single"/>
                <w:lang w:val="en-US" w:eastAsia="zh-CN"/>
              </w:rPr>
              <w:t>贝美替尼</w:t>
            </w:r>
            <w:r>
              <w:rPr>
                <w:rFonts w:hint="eastAsia" w:ascii="微软雅黑" w:hAnsi="微软雅黑" w:cs="微软雅黑"/>
                <w:bCs/>
                <w:color w:val="0000FF"/>
                <w:kern w:val="2"/>
                <w:sz w:val="18"/>
                <w:szCs w:val="18"/>
                <w:u w:val="single"/>
              </w:rPr>
              <w:t>（C） Defactinib+</w:t>
            </w:r>
            <w:r>
              <w:rPr>
                <w:rFonts w:hint="eastAsia" w:ascii="微软雅黑" w:hAnsi="微软雅黑" w:cs="微软雅黑"/>
                <w:bCs/>
                <w:color w:val="0000FF"/>
                <w:kern w:val="2"/>
                <w:sz w:val="18"/>
                <w:szCs w:val="18"/>
                <w:u w:val="single"/>
                <w:lang w:eastAsia="zh-CN"/>
              </w:rPr>
              <w:t>Avutometinib</w:t>
            </w:r>
            <w:r>
              <w:rPr>
                <w:rFonts w:hint="eastAsia" w:ascii="微软雅黑" w:hAnsi="微软雅黑" w:cs="微软雅黑"/>
                <w:bCs/>
                <w:color w:val="0000FF"/>
                <w:kern w:val="2"/>
                <w:sz w:val="18"/>
                <w:szCs w:val="18"/>
                <w:u w:val="single"/>
              </w:rPr>
              <w:t xml:space="preserve">（C） </w:t>
            </w:r>
          </w:p>
          <w:p w14:paraId="7227C53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w:t>
            </w:r>
            <w:r>
              <w:rPr>
                <w:rFonts w:hint="eastAsia" w:ascii="微软雅黑" w:hAnsi="微软雅黑" w:cs="微软雅黑"/>
                <w:bCs/>
                <w:color w:val="0000FF"/>
                <w:kern w:val="2"/>
                <w:sz w:val="18"/>
                <w:szCs w:val="18"/>
                <w:u w:val="single"/>
                <w:lang w:eastAsia="zh-CN"/>
              </w:rPr>
              <w:t>Avutometinib</w:t>
            </w:r>
            <w:r>
              <w:rPr>
                <w:rFonts w:hint="eastAsia" w:ascii="微软雅黑" w:hAnsi="微软雅黑" w:cs="微软雅黑"/>
                <w:bCs/>
                <w:color w:val="0000FF"/>
                <w:kern w:val="2"/>
                <w:sz w:val="18"/>
                <w:szCs w:val="18"/>
                <w:u w:val="single"/>
              </w:rPr>
              <w:t>（C）</w:t>
            </w:r>
          </w:p>
          <w:p w14:paraId="5C9C2CB6">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lang w:eastAsia="zh-CN"/>
              </w:rPr>
              <w:t>RMC-6236</w:t>
            </w:r>
            <w:r>
              <w:rPr>
                <w:rFonts w:hint="eastAsia" w:ascii="微软雅黑" w:hAnsi="微软雅黑" w:cs="微软雅黑"/>
                <w:bCs/>
                <w:color w:val="0000FF"/>
                <w:kern w:val="2"/>
                <w:sz w:val="18"/>
                <w:szCs w:val="18"/>
                <w:u w:val="single"/>
              </w:rPr>
              <w:t xml:space="preserve">（C） </w:t>
            </w:r>
          </w:p>
          <w:p w14:paraId="69C830E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PD0325901（D）</w:t>
            </w:r>
          </w:p>
        </w:tc>
        <w:tc>
          <w:tcPr>
            <w:tcW w:w="1837" w:type="dxa"/>
            <w:shd w:val="clear" w:color="auto" w:fill="auto"/>
            <w:vAlign w:val="center"/>
          </w:tcPr>
          <w:p w14:paraId="4AAEE3E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（A）</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p>
          <w:p w14:paraId="59FF2DA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帕尼单抗</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Style w:val="23"/>
                <w:rFonts w:hint="eastAsia" w:ascii="微软雅黑" w:hAnsi="微软雅黑" w:cs="微软雅黑"/>
                <w:b w:val="0"/>
                <w:bCs/>
                <w:color w:val="0000FF"/>
                <w:kern w:val="2"/>
                <w:sz w:val="18"/>
                <w:szCs w:val="18"/>
                <w:highlight w:val="none"/>
                <w:vertAlign w:val="baseline"/>
                <w:lang w:val="en-US" w:eastAsia="zh-CN" w:bidi="ar-SA"/>
              </w:rPr>
              <w:t>（A）</w:t>
            </w:r>
          </w:p>
          <w:p w14:paraId="5EA9BD3E">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Times New Roman"/>
                <w:bCs/>
                <w:color w:val="0000FF"/>
                <w:kern w:val="2"/>
                <w:sz w:val="18"/>
                <w:szCs w:val="18"/>
                <w:u w:val="single"/>
                <w:lang w:val="en-US" w:eastAsia="zh-CN" w:bidi="ar-SA"/>
              </w:rPr>
            </w:pP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依维莫司</w:t>
            </w:r>
            <w:r>
              <w:rPr>
                <w:rStyle w:val="23"/>
                <w:rFonts w:hint="eastAsia" w:ascii="微软雅黑" w:hAnsi="微软雅黑" w:cs="微软雅黑"/>
                <w:b w:val="0"/>
                <w:bCs/>
                <w:color w:val="0000FF"/>
                <w:kern w:val="2"/>
                <w:sz w:val="18"/>
                <w:szCs w:val="18"/>
                <w:highlight w:val="none"/>
                <w:vertAlign w:val="baseline"/>
                <w:lang w:val="en-US" w:eastAsia="zh-CN" w:bidi="ar-SA"/>
              </w:rPr>
              <w:t>（C）</w:t>
            </w:r>
          </w:p>
        </w:tc>
      </w:tr>
      <w:tr w14:paraId="28BE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2BD1A644">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SETD2</w:t>
            </w:r>
          </w:p>
        </w:tc>
        <w:tc>
          <w:tcPr>
            <w:tcW w:w="1758" w:type="dxa"/>
            <w:shd w:val="clear" w:color="auto" w:fill="auto"/>
            <w:vAlign w:val="center"/>
          </w:tcPr>
          <w:p w14:paraId="1ED33B7D">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c.4930G&gt;T,</w:t>
            </w:r>
          </w:p>
          <w:p w14:paraId="760FE82B">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p.G1644*</w:t>
            </w:r>
          </w:p>
        </w:tc>
        <w:tc>
          <w:tcPr>
            <w:tcW w:w="3530" w:type="dxa"/>
            <w:shd w:val="clear" w:color="auto" w:fill="auto"/>
            <w:vAlign w:val="center"/>
          </w:tcPr>
          <w:p w14:paraId="77563DF2">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
              </w:rPr>
              <w:t>AZD1775（C）</w:t>
            </w:r>
          </w:p>
        </w:tc>
        <w:tc>
          <w:tcPr>
            <w:tcW w:w="1837" w:type="dxa"/>
            <w:shd w:val="clear" w:color="auto" w:fill="auto"/>
            <w:vAlign w:val="center"/>
          </w:tcPr>
          <w:p w14:paraId="3A4CE3C8">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4B7A6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1170" w:type="dxa"/>
            <w:shd w:val="clear" w:color="auto" w:fill="auto"/>
            <w:vAlign w:val="center"/>
          </w:tcPr>
          <w:p w14:paraId="6F1C943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ATM</w:t>
            </w:r>
          </w:p>
        </w:tc>
        <w:tc>
          <w:tcPr>
            <w:tcW w:w="1758" w:type="dxa"/>
            <w:shd w:val="clear" w:color="auto" w:fill="auto"/>
            <w:vAlign w:val="center"/>
          </w:tcPr>
          <w:p w14:paraId="162AB352">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c.6874C&gt;T,</w:t>
            </w:r>
          </w:p>
          <w:p w14:paraId="018A6AE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p.Q2292*</w:t>
            </w:r>
          </w:p>
        </w:tc>
        <w:tc>
          <w:tcPr>
            <w:tcW w:w="3530" w:type="dxa"/>
            <w:shd w:val="clear" w:color="auto" w:fill="auto"/>
            <w:vAlign w:val="center"/>
          </w:tcPr>
          <w:p w14:paraId="42C5ADCB">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18"/>
                <w:szCs w:val="18"/>
                <w:u w:val="single"/>
              </w:rPr>
            </w:pPr>
            <w:r>
              <w:rPr>
                <w:rFonts w:hint="eastAsia" w:ascii="微软雅黑" w:hAnsi="微软雅黑"/>
                <w:bCs/>
                <w:color w:val="0000FF"/>
                <w:kern w:val="2"/>
                <w:sz w:val="18"/>
                <w:szCs w:val="18"/>
                <w:u w:val="single"/>
              </w:rPr>
              <w:t>奥拉帕利（C）</w:t>
            </w:r>
          </w:p>
          <w:p w14:paraId="1EBB342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芦卡帕利（C）</w:t>
            </w:r>
          </w:p>
          <w:p w14:paraId="2B1E5E9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尼拉帕利（C）</w:t>
            </w:r>
          </w:p>
          <w:p w14:paraId="09400D5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他拉唑帕利（C）</w:t>
            </w:r>
          </w:p>
          <w:p w14:paraId="6677FB4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AZD6738+奥拉帕利（C）</w:t>
            </w:r>
          </w:p>
          <w:p w14:paraId="0353CCE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阿维鲁单抗+他拉唑帕利（C）</w:t>
            </w:r>
          </w:p>
          <w:p w14:paraId="1AAAAF9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LY2606368（C）</w:t>
            </w:r>
          </w:p>
          <w:p w14:paraId="33A6CC7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盐酸可泮利塞+奥拉帕利+度伐利尤单抗（C）</w:t>
            </w:r>
          </w:p>
          <w:p w14:paraId="01B394A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奥拉帕利+帕博利珠单抗（C）</w:t>
            </w:r>
          </w:p>
          <w:p w14:paraId="65F4C0E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帕米帕利+替雷利珠单抗（C）</w:t>
            </w:r>
          </w:p>
          <w:p w14:paraId="25A0832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sz w:val="18"/>
                <w:szCs w:val="18"/>
              </w:rPr>
            </w:pPr>
            <w:r>
              <w:rPr>
                <w:rFonts w:hint="eastAsia" w:ascii="微软雅黑" w:hAnsi="微软雅黑"/>
                <w:bCs/>
                <w:color w:val="0000FF"/>
                <w:kern w:val="2"/>
                <w:sz w:val="18"/>
                <w:szCs w:val="18"/>
                <w:u w:val="single"/>
              </w:rPr>
              <w:t>芦卡帕利+阿替利珠单抗（C）</w:t>
            </w:r>
          </w:p>
          <w:p w14:paraId="43AF673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Tahoma" w:hAnsi="Tahoma" w:eastAsia="微软雅黑" w:cstheme="minorBidi"/>
                <w:kern w:val="0"/>
                <w:sz w:val="18"/>
                <w:szCs w:val="18"/>
                <w:lang w:val="en-US" w:eastAsia="zh-CN" w:bidi="ar-SA"/>
              </w:rPr>
            </w:pPr>
            <w:r>
              <w:rPr>
                <w:rFonts w:hint="eastAsia" w:ascii="微软雅黑" w:hAnsi="微软雅黑"/>
                <w:bCs/>
                <w:color w:val="0000FF"/>
                <w:kern w:val="2"/>
                <w:sz w:val="18"/>
                <w:szCs w:val="18"/>
                <w:u w:val="single"/>
              </w:rPr>
              <w:t>他拉唑帕利+阿替利珠单抗（C）</w:t>
            </w:r>
          </w:p>
        </w:tc>
        <w:tc>
          <w:tcPr>
            <w:tcW w:w="1837" w:type="dxa"/>
            <w:shd w:val="clear" w:color="auto" w:fill="auto"/>
            <w:vAlign w:val="center"/>
          </w:tcPr>
          <w:p w14:paraId="503D7A3F">
            <w:pPr>
              <w:keepNext w:val="0"/>
              <w:keepLines w:val="0"/>
              <w:widowControl/>
              <w:suppressLineNumbers w:val="0"/>
              <w:spacing w:before="0" w:beforeAutospacing="0" w:after="0" w:afterAutospacing="0" w:line="240" w:lineRule="atLeast"/>
              <w:ind w:left="0" w:right="0"/>
              <w:jc w:val="center"/>
              <w:rPr>
                <w:rFonts w:hint="eastAsia" w:ascii="微软雅黑" w:hAnsi="微软雅黑" w:eastAsia="微软雅黑" w:cs="Times New Roman"/>
                <w:bCs/>
                <w:color w:val="0000FF"/>
                <w:kern w:val="2"/>
                <w:sz w:val="18"/>
                <w:szCs w:val="18"/>
                <w:u w:val="single"/>
                <w:lang w:val="en-US" w:eastAsia="zh-CN" w:bidi="ar-SA"/>
              </w:rPr>
            </w:pPr>
            <w:r>
              <w:rPr>
                <w:rFonts w:hint="eastAsia" w:ascii="微软雅黑" w:hAnsi="微软雅黑"/>
                <w:bCs/>
                <w:kern w:val="2"/>
                <w:sz w:val="18"/>
                <w:szCs w:val="18"/>
              </w:rPr>
              <w:t>--</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8</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4</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6.5</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L</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10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微卫星稳定型，MSS</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3</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TP53</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c.844C&gt;T</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p.R282W</w:t>
            </w:r>
          </w:p>
          <w:p w14:paraId="254474C2">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KRAS</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c.34G&gt;A</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p.G12S</w:t>
            </w:r>
          </w:p>
          <w:p w14:paraId="5E9B62D0">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ATM</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c.6874C&gt;T</w:t>
            </w:r>
            <w:r>
              <w:rPr>
                <w:rFonts w:hint="eastAsia" w:ascii="微软雅黑" w:hAnsi="微软雅黑" w:cs="微软雅黑"/>
                <w:bCs/>
                <w:kern w:val="2"/>
                <w:sz w:val="18"/>
                <w:szCs w:val="18"/>
                <w:lang w:eastAsia="zh-CN" w:bidi="ar"/>
              </w:rPr>
              <w:t>，</w:t>
            </w:r>
            <w:r>
              <w:rPr>
                <w:rFonts w:hint="eastAsia" w:ascii="微软雅黑" w:hAnsi="微软雅黑" w:eastAsia="微软雅黑" w:cs="微软雅黑"/>
                <w:bCs/>
                <w:kern w:val="2"/>
                <w:sz w:val="18"/>
                <w:szCs w:val="18"/>
                <w:lang w:eastAsia="zh-CN" w:bidi="ar"/>
              </w:rPr>
              <w:t>p.Q2292*</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未检出</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未检出</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TP53</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NM_000546.6</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17</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8</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c.844C&gt;T,</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p.R282W</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点突变</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67.29</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AZD1775（C）</w:t>
            </w:r>
          </w:p>
          <w:p w14:paraId="1E39C94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AZD1775+奥拉帕利（C）</w:t>
            </w:r>
            <w:r>
              <w:rPr>
                <w:rFonts w:hint="eastAsia" w:ascii="微软雅黑" w:hAnsi="微软雅黑" w:eastAsia="微软雅黑" w:cs="微软雅黑"/>
                <w:bCs/>
                <w:color w:val="0000FF"/>
                <w:kern w:val="2"/>
                <w:sz w:val="18"/>
                <w:szCs w:val="18"/>
                <w:u w:val="single"/>
                <w:lang w:val="en-US" w:eastAsia="zh-CN"/>
              </w:rPr>
              <w:br w:type="textWrapping"/>
            </w:r>
            <w:r>
              <w:rPr>
                <w:rFonts w:hint="eastAsia" w:ascii="微软雅黑" w:hAnsi="微软雅黑" w:eastAsia="微软雅黑" w:cs="微软雅黑"/>
                <w:bCs/>
                <w:color w:val="0000FF"/>
                <w:kern w:val="2"/>
                <w:sz w:val="18"/>
                <w:szCs w:val="18"/>
                <w:u w:val="single"/>
                <w:lang w:val="en-US" w:eastAsia="zh-CN"/>
              </w:rPr>
              <w:t>Alisertib（C）</w:t>
            </w:r>
          </w:p>
          <w:p w14:paraId="0B7A0236">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color w:val="0000FF"/>
                <w:kern w:val="2"/>
                <w:sz w:val="18"/>
                <w:szCs w:val="18"/>
                <w:u w:val="single"/>
                <w:lang w:val="en-US" w:eastAsia="zh-CN"/>
              </w:rPr>
              <w:t>Alisertib+AZD1775（C）</w:t>
            </w:r>
            <w:r>
              <w:rPr>
                <w:rFonts w:hint="eastAsia" w:ascii="微软雅黑" w:hAnsi="微软雅黑" w:eastAsia="微软雅黑" w:cs="微软雅黑"/>
                <w:bCs/>
                <w:color w:val="0000FF"/>
                <w:kern w:val="2"/>
                <w:sz w:val="18"/>
                <w:szCs w:val="18"/>
                <w:u w:val="single"/>
                <w:lang w:val="en-US" w:eastAsia="zh-CN"/>
              </w:rPr>
              <w:br w:type="textWrapping"/>
            </w:r>
            <w:r>
              <w:rPr>
                <w:rFonts w:hint="eastAsia" w:ascii="微软雅黑" w:hAnsi="微软雅黑" w:eastAsia="微软雅黑" w:cs="微软雅黑"/>
                <w:bCs/>
                <w:color w:val="0000FF"/>
                <w:kern w:val="2"/>
                <w:sz w:val="18"/>
                <w:szCs w:val="18"/>
                <w:u w:val="single"/>
                <w:lang w:val="en-US" w:eastAsia="zh-CN"/>
              </w:rPr>
              <w:t>Eprenetapopt（C）</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w:t>
            </w:r>
          </w:p>
        </w:tc>
      </w:tr>
      <w:tr w14:paraId="0031E2A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48DE8E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KRAS</w:t>
            </w:r>
          </w:p>
        </w:tc>
        <w:tc>
          <w:tcPr>
            <w:tcW w:w="870" w:type="dxa"/>
            <w:tcBorders>
              <w:tl2br w:val="nil"/>
              <w:tr2bl w:val="nil"/>
            </w:tcBorders>
            <w:vAlign w:val="center"/>
          </w:tcPr>
          <w:p w14:paraId="60E6FD3D">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NM_004985.5</w:t>
            </w:r>
          </w:p>
        </w:tc>
        <w:tc>
          <w:tcPr>
            <w:tcW w:w="495" w:type="dxa"/>
            <w:tcBorders>
              <w:tl2br w:val="nil"/>
              <w:tr2bl w:val="nil"/>
            </w:tcBorders>
            <w:vAlign w:val="center"/>
          </w:tcPr>
          <w:p w14:paraId="394B9A1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12</w:t>
            </w:r>
          </w:p>
        </w:tc>
        <w:tc>
          <w:tcPr>
            <w:tcW w:w="450" w:type="dxa"/>
            <w:tcBorders>
              <w:tl2br w:val="nil"/>
              <w:tr2bl w:val="nil"/>
            </w:tcBorders>
            <w:vAlign w:val="center"/>
          </w:tcPr>
          <w:p w14:paraId="52D2498C">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2</w:t>
            </w:r>
          </w:p>
        </w:tc>
        <w:tc>
          <w:tcPr>
            <w:tcW w:w="1294" w:type="dxa"/>
            <w:tcBorders>
              <w:tl2br w:val="nil"/>
              <w:tr2bl w:val="nil"/>
            </w:tcBorders>
            <w:vAlign w:val="center"/>
          </w:tcPr>
          <w:p w14:paraId="08E8BEC9">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c.34G&gt;A,</w:t>
            </w:r>
          </w:p>
          <w:p w14:paraId="1BA8349E">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p.G12S</w:t>
            </w:r>
          </w:p>
        </w:tc>
        <w:tc>
          <w:tcPr>
            <w:tcW w:w="686" w:type="dxa"/>
            <w:tcBorders>
              <w:tl2br w:val="nil"/>
              <w:tr2bl w:val="nil"/>
            </w:tcBorders>
            <w:vAlign w:val="center"/>
          </w:tcPr>
          <w:p w14:paraId="44BB5A80">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点突变</w:t>
            </w:r>
          </w:p>
        </w:tc>
        <w:tc>
          <w:tcPr>
            <w:tcW w:w="696" w:type="dxa"/>
            <w:tcBorders>
              <w:tl2br w:val="nil"/>
              <w:tr2bl w:val="nil"/>
            </w:tcBorders>
            <w:vAlign w:val="center"/>
          </w:tcPr>
          <w:p w14:paraId="54F86869">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46.29</w:t>
            </w:r>
          </w:p>
        </w:tc>
        <w:tc>
          <w:tcPr>
            <w:tcW w:w="2469" w:type="dxa"/>
            <w:tcBorders>
              <w:tl2br w:val="nil"/>
              <w:tr2bl w:val="nil"/>
            </w:tcBorders>
            <w:shd w:val="clear" w:color="auto" w:fill="auto"/>
            <w:vAlign w:val="center"/>
          </w:tcPr>
          <w:p w14:paraId="4CCFE1CD">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司美替尼（C） </w:t>
            </w:r>
          </w:p>
          <w:p w14:paraId="4247144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曲美替尼+Navitoclax（C） </w:t>
            </w:r>
          </w:p>
          <w:p w14:paraId="0A01852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帕尼单抗+曲美替尼（C） </w:t>
            </w:r>
          </w:p>
          <w:p w14:paraId="722C825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highlight w:val="none"/>
                <w:u w:val="single"/>
                <w:lang w:val="en-US" w:eastAsia="zh-CN"/>
              </w:rPr>
              <w:t>贝美替尼</w:t>
            </w:r>
            <w:r>
              <w:rPr>
                <w:rFonts w:hint="eastAsia" w:ascii="微软雅黑" w:hAnsi="微软雅黑" w:cs="微软雅黑"/>
                <w:bCs/>
                <w:color w:val="0000FF"/>
                <w:kern w:val="2"/>
                <w:sz w:val="18"/>
                <w:szCs w:val="18"/>
                <w:u w:val="single"/>
              </w:rPr>
              <w:t xml:space="preserve">+哌柏西利（C） </w:t>
            </w:r>
          </w:p>
          <w:p w14:paraId="19EED85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BI 1701963（C） </w:t>
            </w:r>
          </w:p>
          <w:p w14:paraId="1375BEF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BI 1701963+曲美替尼（C） </w:t>
            </w:r>
          </w:p>
          <w:p w14:paraId="71F66C7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PD0325901+哌柏西利（C） </w:t>
            </w:r>
          </w:p>
          <w:p w14:paraId="59AF979E">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 xml:space="preserve">奈拉替尼+曲美替尼（C） </w:t>
            </w:r>
          </w:p>
          <w:p w14:paraId="1B4CF15E">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highlight w:val="none"/>
                <w:u w:val="single"/>
                <w:lang w:val="en-US" w:eastAsia="zh-CN"/>
              </w:rPr>
              <w:t>福巴替尼</w:t>
            </w:r>
            <w:r>
              <w:rPr>
                <w:rFonts w:hint="default" w:ascii="微软雅黑" w:hAnsi="微软雅黑" w:cs="微软雅黑"/>
                <w:bCs/>
                <w:color w:val="0000FF"/>
                <w:kern w:val="2"/>
                <w:sz w:val="18"/>
                <w:szCs w:val="18"/>
                <w:highlight w:val="none"/>
                <w:u w:val="single"/>
                <w:lang w:val="en-US" w:eastAsia="zh-CN"/>
              </w:rPr>
              <w:t>+</w:t>
            </w:r>
            <w:r>
              <w:rPr>
                <w:rFonts w:hint="eastAsia" w:ascii="微软雅黑" w:hAnsi="微软雅黑" w:cs="微软雅黑"/>
                <w:bCs/>
                <w:color w:val="0000FF"/>
                <w:kern w:val="2"/>
                <w:sz w:val="18"/>
                <w:szCs w:val="18"/>
                <w:highlight w:val="none"/>
                <w:u w:val="single"/>
                <w:lang w:val="en-US" w:eastAsia="zh-CN"/>
              </w:rPr>
              <w:t>贝美替尼</w:t>
            </w:r>
            <w:r>
              <w:rPr>
                <w:rFonts w:hint="eastAsia" w:ascii="微软雅黑" w:hAnsi="微软雅黑" w:cs="微软雅黑"/>
                <w:bCs/>
                <w:color w:val="0000FF"/>
                <w:kern w:val="2"/>
                <w:sz w:val="18"/>
                <w:szCs w:val="18"/>
                <w:u w:val="single"/>
              </w:rPr>
              <w:t>（C） Defactinib+</w:t>
            </w:r>
            <w:r>
              <w:rPr>
                <w:rFonts w:hint="eastAsia" w:ascii="微软雅黑" w:hAnsi="微软雅黑" w:cs="微软雅黑"/>
                <w:bCs/>
                <w:color w:val="0000FF"/>
                <w:kern w:val="2"/>
                <w:sz w:val="18"/>
                <w:szCs w:val="18"/>
                <w:u w:val="single"/>
                <w:lang w:eastAsia="zh-CN"/>
              </w:rPr>
              <w:t>Avutometinib</w:t>
            </w:r>
            <w:r>
              <w:rPr>
                <w:rFonts w:hint="eastAsia" w:ascii="微软雅黑" w:hAnsi="微软雅黑" w:cs="微软雅黑"/>
                <w:bCs/>
                <w:color w:val="0000FF"/>
                <w:kern w:val="2"/>
                <w:sz w:val="18"/>
                <w:szCs w:val="18"/>
                <w:u w:val="single"/>
              </w:rPr>
              <w:t xml:space="preserve">（C） </w:t>
            </w:r>
          </w:p>
          <w:p w14:paraId="09079CD7">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rPr>
              <w:t>依维莫司+</w:t>
            </w:r>
            <w:r>
              <w:rPr>
                <w:rFonts w:hint="eastAsia" w:ascii="微软雅黑" w:hAnsi="微软雅黑" w:cs="微软雅黑"/>
                <w:bCs/>
                <w:color w:val="0000FF"/>
                <w:kern w:val="2"/>
                <w:sz w:val="18"/>
                <w:szCs w:val="18"/>
                <w:u w:val="single"/>
                <w:lang w:eastAsia="zh-CN"/>
              </w:rPr>
              <w:t>Avutometinib</w:t>
            </w:r>
            <w:r>
              <w:rPr>
                <w:rFonts w:hint="eastAsia" w:ascii="微软雅黑" w:hAnsi="微软雅黑" w:cs="微软雅黑"/>
                <w:bCs/>
                <w:color w:val="0000FF"/>
                <w:kern w:val="2"/>
                <w:sz w:val="18"/>
                <w:szCs w:val="18"/>
                <w:u w:val="single"/>
              </w:rPr>
              <w:t>（C）</w:t>
            </w:r>
          </w:p>
          <w:p w14:paraId="71FD26B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cs="微软雅黑"/>
                <w:bCs/>
                <w:color w:val="0000FF"/>
                <w:kern w:val="2"/>
                <w:sz w:val="18"/>
                <w:szCs w:val="18"/>
                <w:u w:val="single"/>
              </w:rPr>
            </w:pPr>
            <w:r>
              <w:rPr>
                <w:rFonts w:hint="eastAsia" w:ascii="微软雅黑" w:hAnsi="微软雅黑" w:cs="微软雅黑"/>
                <w:bCs/>
                <w:color w:val="0000FF"/>
                <w:kern w:val="2"/>
                <w:sz w:val="18"/>
                <w:szCs w:val="18"/>
                <w:u w:val="single"/>
                <w:lang w:eastAsia="zh-CN"/>
              </w:rPr>
              <w:t>RMC-6236</w:t>
            </w:r>
            <w:r>
              <w:rPr>
                <w:rFonts w:hint="eastAsia" w:ascii="微软雅黑" w:hAnsi="微软雅黑" w:cs="微软雅黑"/>
                <w:bCs/>
                <w:color w:val="0000FF"/>
                <w:kern w:val="2"/>
                <w:sz w:val="18"/>
                <w:szCs w:val="18"/>
                <w:u w:val="single"/>
              </w:rPr>
              <w:t xml:space="preserve">（C） </w:t>
            </w:r>
          </w:p>
          <w:p w14:paraId="121223BD">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eastAsia="微软雅黑" w:cs="Times New Roman"/>
                <w:bCs/>
                <w:color w:val="0000FF"/>
                <w:kern w:val="2"/>
                <w:sz w:val="2"/>
                <w:szCs w:val="2"/>
                <w:u w:val="single"/>
                <w:lang w:val="en-US" w:eastAsia="zh-CN" w:bidi="ar-SA"/>
              </w:rPr>
            </w:pPr>
            <w:r>
              <w:rPr>
                <w:rFonts w:hint="eastAsia" w:ascii="微软雅黑" w:hAnsi="微软雅黑" w:cs="微软雅黑"/>
                <w:bCs/>
                <w:color w:val="0000FF"/>
                <w:kern w:val="2"/>
                <w:sz w:val="18"/>
                <w:szCs w:val="18"/>
                <w:u w:val="single"/>
              </w:rPr>
              <w:t>PD0325901（D）</w:t>
            </w:r>
          </w:p>
        </w:tc>
        <w:tc>
          <w:tcPr>
            <w:tcW w:w="1442" w:type="dxa"/>
            <w:tcBorders>
              <w:tl2br w:val="nil"/>
              <w:tr2bl w:val="nil"/>
            </w:tcBorders>
            <w:shd w:val="clear" w:color="auto" w:fill="auto"/>
            <w:vAlign w:val="center"/>
          </w:tcPr>
          <w:p w14:paraId="6A337C2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西妥昔单抗</w:t>
            </w:r>
            <w:r>
              <w:rPr>
                <w:rStyle w:val="23"/>
                <w:rFonts w:hint="eastAsia" w:ascii="微软雅黑" w:hAnsi="微软雅黑" w:cs="微软雅黑"/>
                <w:b w:val="0"/>
                <w:bCs/>
                <w:color w:val="0000FF"/>
                <w:kern w:val="2"/>
                <w:sz w:val="18"/>
                <w:szCs w:val="18"/>
                <w:highlight w:val="none"/>
                <w:vertAlign w:val="baseline"/>
                <w:lang w:val="en-US" w:eastAsia="zh-CN" w:bidi="ar-SA"/>
              </w:rPr>
              <w:t>（A）</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p>
          <w:p w14:paraId="60ACD4C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eastAsia="微软雅黑" w:cs="微软雅黑"/>
                <w:b w:val="0"/>
                <w:bCs/>
                <w:color w:val="0000FF"/>
                <w:kern w:val="2"/>
                <w:sz w:val="18"/>
                <w:szCs w:val="18"/>
                <w:highlight w:val="none"/>
                <w:u w:val="single"/>
                <w:vertAlign w:val="baseline"/>
                <w:lang w:val="en-US" w:eastAsia="zh-CN" w:bidi="ar-SA"/>
              </w:rPr>
            </w:pP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begin"/>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instrText xml:space="preserve"> HYPERLINK \l "西妥昔单抗" </w:instrTex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separate"/>
            </w: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帕尼单抗</w:t>
            </w:r>
            <w:r>
              <w:rPr>
                <w:rFonts w:hint="eastAsia" w:ascii="微软雅黑" w:hAnsi="微软雅黑" w:eastAsia="微软雅黑" w:cs="微软雅黑"/>
                <w:b w:val="0"/>
                <w:bCs/>
                <w:color w:val="0000FF"/>
                <w:kern w:val="2"/>
                <w:sz w:val="18"/>
                <w:szCs w:val="18"/>
                <w:highlight w:val="none"/>
                <w:u w:val="single"/>
                <w:vertAlign w:val="baseline"/>
                <w:lang w:val="en-US" w:eastAsia="zh-CN" w:bidi="ar-SA"/>
              </w:rPr>
              <w:fldChar w:fldCharType="end"/>
            </w:r>
            <w:r>
              <w:rPr>
                <w:rStyle w:val="23"/>
                <w:rFonts w:hint="eastAsia" w:ascii="微软雅黑" w:hAnsi="微软雅黑" w:cs="微软雅黑"/>
                <w:b w:val="0"/>
                <w:bCs/>
                <w:color w:val="0000FF"/>
                <w:kern w:val="2"/>
                <w:sz w:val="18"/>
                <w:szCs w:val="18"/>
                <w:highlight w:val="none"/>
                <w:vertAlign w:val="baseline"/>
                <w:lang w:val="en-US" w:eastAsia="zh-CN" w:bidi="ar-SA"/>
              </w:rPr>
              <w:t>（A）</w:t>
            </w:r>
          </w:p>
          <w:p w14:paraId="5C2DEEB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eastAsia="微软雅黑" w:cs="Times New Roman"/>
                <w:bCs/>
                <w:color w:val="0000FF"/>
                <w:kern w:val="2"/>
                <w:sz w:val="2"/>
                <w:szCs w:val="2"/>
                <w:u w:val="single"/>
                <w:lang w:val="en-US" w:eastAsia="zh-CN" w:bidi="ar-SA"/>
              </w:rPr>
            </w:pPr>
            <w:r>
              <w:rPr>
                <w:rStyle w:val="23"/>
                <w:rFonts w:hint="eastAsia" w:ascii="微软雅黑" w:hAnsi="微软雅黑" w:eastAsia="微软雅黑" w:cs="微软雅黑"/>
                <w:b w:val="0"/>
                <w:bCs/>
                <w:color w:val="0000FF"/>
                <w:kern w:val="2"/>
                <w:sz w:val="18"/>
                <w:szCs w:val="18"/>
                <w:highlight w:val="none"/>
                <w:vertAlign w:val="baseline"/>
                <w:lang w:val="en-US" w:eastAsia="zh-CN" w:bidi="ar-SA"/>
              </w:rPr>
              <w:t>依维莫司</w:t>
            </w:r>
            <w:r>
              <w:rPr>
                <w:rStyle w:val="23"/>
                <w:rFonts w:hint="eastAsia" w:ascii="微软雅黑" w:hAnsi="微软雅黑" w:cs="微软雅黑"/>
                <w:b w:val="0"/>
                <w:bCs/>
                <w:color w:val="0000FF"/>
                <w:kern w:val="2"/>
                <w:sz w:val="18"/>
                <w:szCs w:val="18"/>
                <w:highlight w:val="none"/>
                <w:vertAlign w:val="baseline"/>
                <w:lang w:val="en-US" w:eastAsia="zh-CN" w:bidi="ar-SA"/>
              </w:rPr>
              <w:t>（C）</w:t>
            </w:r>
          </w:p>
        </w:tc>
      </w:tr>
      <w:tr w14:paraId="31E9B01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vMerge w:val="restart"/>
            <w:tcBorders>
              <w:tl2br w:val="nil"/>
              <w:tr2bl w:val="nil"/>
            </w:tcBorders>
            <w:vAlign w:val="center"/>
          </w:tcPr>
          <w:p w14:paraId="4757757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APC</w:t>
            </w:r>
          </w:p>
        </w:tc>
        <w:tc>
          <w:tcPr>
            <w:tcW w:w="870" w:type="dxa"/>
            <w:vMerge w:val="restart"/>
            <w:tcBorders>
              <w:tl2br w:val="nil"/>
              <w:tr2bl w:val="nil"/>
            </w:tcBorders>
            <w:vAlign w:val="center"/>
          </w:tcPr>
          <w:p w14:paraId="0312DEC9">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NM_000038.6</w:t>
            </w:r>
          </w:p>
        </w:tc>
        <w:tc>
          <w:tcPr>
            <w:tcW w:w="495" w:type="dxa"/>
            <w:vMerge w:val="restart"/>
            <w:tcBorders>
              <w:tl2br w:val="nil"/>
              <w:tr2bl w:val="nil"/>
            </w:tcBorders>
            <w:vAlign w:val="center"/>
          </w:tcPr>
          <w:p w14:paraId="1887806C">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5</w:t>
            </w:r>
          </w:p>
        </w:tc>
        <w:tc>
          <w:tcPr>
            <w:tcW w:w="450" w:type="dxa"/>
            <w:vMerge w:val="restart"/>
            <w:tcBorders>
              <w:tl2br w:val="nil"/>
              <w:tr2bl w:val="nil"/>
            </w:tcBorders>
            <w:vAlign w:val="center"/>
          </w:tcPr>
          <w:p w14:paraId="6CAB61E1">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16</w:t>
            </w:r>
          </w:p>
        </w:tc>
        <w:tc>
          <w:tcPr>
            <w:tcW w:w="1294" w:type="dxa"/>
            <w:tcBorders>
              <w:tl2br w:val="nil"/>
              <w:tr2bl w:val="nil"/>
            </w:tcBorders>
            <w:vAlign w:val="center"/>
          </w:tcPr>
          <w:p w14:paraId="708E1202">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c.4348C&gt;T,</w:t>
            </w:r>
          </w:p>
          <w:p w14:paraId="16F28FF2">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p.R1450*</w:t>
            </w:r>
          </w:p>
        </w:tc>
        <w:tc>
          <w:tcPr>
            <w:tcW w:w="686" w:type="dxa"/>
            <w:tcBorders>
              <w:tl2br w:val="nil"/>
              <w:tr2bl w:val="nil"/>
            </w:tcBorders>
            <w:vAlign w:val="center"/>
          </w:tcPr>
          <w:p w14:paraId="22277840">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点突变</w:t>
            </w:r>
          </w:p>
        </w:tc>
        <w:tc>
          <w:tcPr>
            <w:tcW w:w="696" w:type="dxa"/>
            <w:tcBorders>
              <w:tl2br w:val="nil"/>
              <w:tr2bl w:val="nil"/>
            </w:tcBorders>
            <w:vAlign w:val="center"/>
          </w:tcPr>
          <w:p w14:paraId="6FA958E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41.12</w:t>
            </w:r>
          </w:p>
        </w:tc>
        <w:tc>
          <w:tcPr>
            <w:tcW w:w="2469" w:type="dxa"/>
            <w:vMerge w:val="restart"/>
            <w:tcBorders>
              <w:tl2br w:val="nil"/>
              <w:tr2bl w:val="nil"/>
            </w:tcBorders>
            <w:vAlign w:val="center"/>
          </w:tcPr>
          <w:p w14:paraId="2C91DA9F">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r>
              <w:rPr>
                <w:rFonts w:hint="eastAsia" w:ascii="微软雅黑" w:hAnsi="微软雅黑"/>
                <w:bCs/>
                <w:kern w:val="2"/>
                <w:sz w:val="18"/>
                <w:szCs w:val="18"/>
              </w:rPr>
              <w:t>--</w:t>
            </w:r>
          </w:p>
        </w:tc>
        <w:tc>
          <w:tcPr>
            <w:tcW w:w="1442" w:type="dxa"/>
            <w:vMerge w:val="restart"/>
            <w:tcBorders>
              <w:tl2br w:val="nil"/>
              <w:tr2bl w:val="nil"/>
            </w:tcBorders>
            <w:vAlign w:val="center"/>
          </w:tcPr>
          <w:p w14:paraId="205017E3">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r>
              <w:rPr>
                <w:rFonts w:hint="eastAsia" w:ascii="微软雅黑" w:hAnsi="微软雅黑"/>
                <w:bCs/>
                <w:kern w:val="2"/>
                <w:sz w:val="18"/>
                <w:szCs w:val="18"/>
              </w:rPr>
              <w:t>--</w:t>
            </w:r>
          </w:p>
        </w:tc>
      </w:tr>
      <w:tr w14:paraId="3F135BB6">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vMerge w:val="continue"/>
            <w:tcBorders>
              <w:tl2br w:val="nil"/>
              <w:tr2bl w:val="nil"/>
            </w:tcBorders>
            <w:vAlign w:val="center"/>
          </w:tcPr>
          <w:p w14:paraId="088D361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p>
        </w:tc>
        <w:tc>
          <w:tcPr>
            <w:tcW w:w="870" w:type="dxa"/>
            <w:vMerge w:val="continue"/>
            <w:tcBorders>
              <w:tl2br w:val="nil"/>
              <w:tr2bl w:val="nil"/>
            </w:tcBorders>
            <w:vAlign w:val="center"/>
          </w:tcPr>
          <w:p w14:paraId="27DDF46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p>
        </w:tc>
        <w:tc>
          <w:tcPr>
            <w:tcW w:w="495" w:type="dxa"/>
            <w:vMerge w:val="continue"/>
            <w:tcBorders>
              <w:tl2br w:val="nil"/>
              <w:tr2bl w:val="nil"/>
            </w:tcBorders>
            <w:vAlign w:val="center"/>
          </w:tcPr>
          <w:p w14:paraId="7314BBB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p>
        </w:tc>
        <w:tc>
          <w:tcPr>
            <w:tcW w:w="450" w:type="dxa"/>
            <w:vMerge w:val="continue"/>
            <w:tcBorders>
              <w:tl2br w:val="nil"/>
              <w:tr2bl w:val="nil"/>
            </w:tcBorders>
            <w:vAlign w:val="center"/>
          </w:tcPr>
          <w:p w14:paraId="6D4EA3FD">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p>
        </w:tc>
        <w:tc>
          <w:tcPr>
            <w:tcW w:w="1294" w:type="dxa"/>
            <w:tcBorders>
              <w:tl2br w:val="nil"/>
              <w:tr2bl w:val="nil"/>
            </w:tcBorders>
            <w:vAlign w:val="center"/>
          </w:tcPr>
          <w:p w14:paraId="729EBA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c.2387_2388del,</w:t>
            </w:r>
          </w:p>
          <w:p w14:paraId="5327BC0D">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p.Y796Wfs*2</w:t>
            </w:r>
          </w:p>
        </w:tc>
        <w:tc>
          <w:tcPr>
            <w:tcW w:w="686" w:type="dxa"/>
            <w:tcBorders>
              <w:tl2br w:val="nil"/>
              <w:tr2bl w:val="nil"/>
            </w:tcBorders>
            <w:vAlign w:val="center"/>
          </w:tcPr>
          <w:p w14:paraId="7C273EB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缺失突变</w:t>
            </w:r>
          </w:p>
        </w:tc>
        <w:tc>
          <w:tcPr>
            <w:tcW w:w="696" w:type="dxa"/>
            <w:tcBorders>
              <w:tl2br w:val="nil"/>
              <w:tr2bl w:val="nil"/>
            </w:tcBorders>
            <w:vAlign w:val="center"/>
          </w:tcPr>
          <w:p w14:paraId="6C37E7C1">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37.52</w:t>
            </w:r>
          </w:p>
        </w:tc>
        <w:tc>
          <w:tcPr>
            <w:tcW w:w="2469" w:type="dxa"/>
            <w:vMerge w:val="continue"/>
            <w:tcBorders>
              <w:tl2br w:val="nil"/>
              <w:tr2bl w:val="nil"/>
            </w:tcBorders>
            <w:vAlign w:val="center"/>
          </w:tcPr>
          <w:p w14:paraId="4A420852">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p>
        </w:tc>
        <w:tc>
          <w:tcPr>
            <w:tcW w:w="1442" w:type="dxa"/>
            <w:vMerge w:val="continue"/>
            <w:tcBorders>
              <w:tl2br w:val="nil"/>
              <w:tr2bl w:val="nil"/>
            </w:tcBorders>
            <w:vAlign w:val="center"/>
          </w:tcPr>
          <w:p w14:paraId="2FFD16E1">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p>
        </w:tc>
      </w:tr>
      <w:tr w14:paraId="5AAD9849">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4FE033D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SETD2</w:t>
            </w:r>
          </w:p>
        </w:tc>
        <w:tc>
          <w:tcPr>
            <w:tcW w:w="870" w:type="dxa"/>
            <w:tcBorders>
              <w:tl2br w:val="nil"/>
              <w:tr2bl w:val="nil"/>
            </w:tcBorders>
            <w:vAlign w:val="center"/>
          </w:tcPr>
          <w:p w14:paraId="5F58D5C5">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NM_014159.7</w:t>
            </w:r>
          </w:p>
        </w:tc>
        <w:tc>
          <w:tcPr>
            <w:tcW w:w="495" w:type="dxa"/>
            <w:tcBorders>
              <w:tl2br w:val="nil"/>
              <w:tr2bl w:val="nil"/>
            </w:tcBorders>
            <w:vAlign w:val="center"/>
          </w:tcPr>
          <w:p w14:paraId="06766D41">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3</w:t>
            </w:r>
          </w:p>
        </w:tc>
        <w:tc>
          <w:tcPr>
            <w:tcW w:w="450" w:type="dxa"/>
            <w:tcBorders>
              <w:tl2br w:val="nil"/>
              <w:tr2bl w:val="nil"/>
            </w:tcBorders>
            <w:vAlign w:val="center"/>
          </w:tcPr>
          <w:p w14:paraId="7BB6337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8</w:t>
            </w:r>
          </w:p>
        </w:tc>
        <w:tc>
          <w:tcPr>
            <w:tcW w:w="1294" w:type="dxa"/>
            <w:tcBorders>
              <w:tl2br w:val="nil"/>
              <w:tr2bl w:val="nil"/>
            </w:tcBorders>
            <w:vAlign w:val="center"/>
          </w:tcPr>
          <w:p w14:paraId="4F3F5B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c.4930G&gt;T,</w:t>
            </w:r>
          </w:p>
          <w:p w14:paraId="22D2C89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p.G1644*</w:t>
            </w:r>
          </w:p>
        </w:tc>
        <w:tc>
          <w:tcPr>
            <w:tcW w:w="686" w:type="dxa"/>
            <w:tcBorders>
              <w:tl2br w:val="nil"/>
              <w:tr2bl w:val="nil"/>
            </w:tcBorders>
            <w:vAlign w:val="center"/>
          </w:tcPr>
          <w:p w14:paraId="322E4628">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点突变</w:t>
            </w:r>
          </w:p>
        </w:tc>
        <w:tc>
          <w:tcPr>
            <w:tcW w:w="696" w:type="dxa"/>
            <w:tcBorders>
              <w:tl2br w:val="nil"/>
              <w:tr2bl w:val="nil"/>
            </w:tcBorders>
            <w:vAlign w:val="center"/>
          </w:tcPr>
          <w:p w14:paraId="508AE050">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22.15</w:t>
            </w:r>
          </w:p>
        </w:tc>
        <w:tc>
          <w:tcPr>
            <w:tcW w:w="2469" w:type="dxa"/>
            <w:tcBorders>
              <w:tl2br w:val="nil"/>
              <w:tr2bl w:val="nil"/>
            </w:tcBorders>
            <w:shd w:val="clear" w:color="auto" w:fill="auto"/>
            <w:vAlign w:val="center"/>
          </w:tcPr>
          <w:p w14:paraId="048FF52F">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 w:val="0"/>
                <w:bCs/>
                <w:color w:val="0000FF"/>
                <w:kern w:val="2"/>
                <w:sz w:val="18"/>
                <w:szCs w:val="18"/>
                <w:highlight w:val="none"/>
                <w:u w:val="single"/>
                <w:lang w:val="en-US" w:eastAsia="zh-CN" w:bidi="ar"/>
              </w:rPr>
              <w:t>AZD1775（C）</w:t>
            </w:r>
          </w:p>
        </w:tc>
        <w:tc>
          <w:tcPr>
            <w:tcW w:w="1442" w:type="dxa"/>
            <w:tcBorders>
              <w:tl2br w:val="nil"/>
              <w:tr2bl w:val="nil"/>
            </w:tcBorders>
            <w:shd w:val="clear" w:color="auto" w:fill="auto"/>
            <w:vAlign w:val="center"/>
          </w:tcPr>
          <w:p w14:paraId="506D8122">
            <w:pPr>
              <w:keepNext w:val="0"/>
              <w:keepLines w:val="0"/>
              <w:widowControl/>
              <w:suppressLineNumbers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微软雅黑"/>
                <w:bCs/>
                <w:color w:val="auto"/>
                <w:kern w:val="2"/>
                <w:sz w:val="18"/>
                <w:szCs w:val="18"/>
                <w:lang w:val="en-US" w:eastAsia="zh-CN" w:bidi="ar-SA"/>
              </w:rPr>
            </w:pPr>
            <w:r>
              <w:rPr>
                <w:rFonts w:hint="eastAsia" w:ascii="微软雅黑" w:hAnsi="微软雅黑" w:eastAsia="微软雅黑" w:cs="微软雅黑"/>
                <w:bCs/>
                <w:color w:val="auto"/>
                <w:kern w:val="2"/>
                <w:sz w:val="18"/>
                <w:szCs w:val="18"/>
                <w:lang w:val="en-US" w:eastAsia="zh-CN"/>
              </w:rPr>
              <w:t>--</w:t>
            </w:r>
          </w:p>
        </w:tc>
      </w:tr>
      <w:tr w14:paraId="6C221AE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ED95C1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EPHA2</w:t>
            </w:r>
          </w:p>
        </w:tc>
        <w:tc>
          <w:tcPr>
            <w:tcW w:w="870" w:type="dxa"/>
            <w:tcBorders>
              <w:tl2br w:val="nil"/>
              <w:tr2bl w:val="nil"/>
            </w:tcBorders>
            <w:vAlign w:val="center"/>
          </w:tcPr>
          <w:p w14:paraId="22FEFA18">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NM_004431.5</w:t>
            </w:r>
          </w:p>
        </w:tc>
        <w:tc>
          <w:tcPr>
            <w:tcW w:w="495" w:type="dxa"/>
            <w:tcBorders>
              <w:tl2br w:val="nil"/>
              <w:tr2bl w:val="nil"/>
            </w:tcBorders>
            <w:vAlign w:val="center"/>
          </w:tcPr>
          <w:p w14:paraId="7D8D7DA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1</w:t>
            </w:r>
          </w:p>
        </w:tc>
        <w:tc>
          <w:tcPr>
            <w:tcW w:w="450" w:type="dxa"/>
            <w:tcBorders>
              <w:tl2br w:val="nil"/>
              <w:tr2bl w:val="nil"/>
            </w:tcBorders>
            <w:vAlign w:val="center"/>
          </w:tcPr>
          <w:p w14:paraId="678328F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内含子2</w:t>
            </w:r>
          </w:p>
        </w:tc>
        <w:tc>
          <w:tcPr>
            <w:tcW w:w="1294" w:type="dxa"/>
            <w:tcBorders>
              <w:tl2br w:val="nil"/>
              <w:tr2bl w:val="nil"/>
            </w:tcBorders>
            <w:vAlign w:val="center"/>
          </w:tcPr>
          <w:p w14:paraId="7A870DE2">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c.153+2T&gt;C</w:t>
            </w:r>
          </w:p>
        </w:tc>
        <w:tc>
          <w:tcPr>
            <w:tcW w:w="686" w:type="dxa"/>
            <w:tcBorders>
              <w:tl2br w:val="nil"/>
              <w:tr2bl w:val="nil"/>
            </w:tcBorders>
            <w:vAlign w:val="center"/>
          </w:tcPr>
          <w:p w14:paraId="6B63864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点突变</w:t>
            </w:r>
          </w:p>
        </w:tc>
        <w:tc>
          <w:tcPr>
            <w:tcW w:w="696" w:type="dxa"/>
            <w:tcBorders>
              <w:tl2br w:val="nil"/>
              <w:tr2bl w:val="nil"/>
            </w:tcBorders>
            <w:vAlign w:val="center"/>
          </w:tcPr>
          <w:p w14:paraId="2035B471">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3.33</w:t>
            </w:r>
          </w:p>
        </w:tc>
        <w:tc>
          <w:tcPr>
            <w:tcW w:w="2469" w:type="dxa"/>
            <w:tcBorders>
              <w:tl2br w:val="nil"/>
              <w:tr2bl w:val="nil"/>
            </w:tcBorders>
            <w:vAlign w:val="center"/>
          </w:tcPr>
          <w:p w14:paraId="2D85CA0D">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r>
              <w:rPr>
                <w:rFonts w:hint="eastAsia" w:ascii="微软雅黑" w:hAnsi="微软雅黑"/>
                <w:bCs/>
                <w:kern w:val="2"/>
                <w:sz w:val="18"/>
                <w:szCs w:val="18"/>
              </w:rPr>
              <w:t>--</w:t>
            </w:r>
          </w:p>
        </w:tc>
        <w:tc>
          <w:tcPr>
            <w:tcW w:w="1442" w:type="dxa"/>
            <w:tcBorders>
              <w:tl2br w:val="nil"/>
              <w:tr2bl w:val="nil"/>
            </w:tcBorders>
            <w:vAlign w:val="center"/>
          </w:tcPr>
          <w:p w14:paraId="5F61284B">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r>
              <w:rPr>
                <w:rFonts w:hint="eastAsia" w:ascii="微软雅黑" w:hAnsi="微软雅黑"/>
                <w:bCs/>
                <w:kern w:val="2"/>
                <w:sz w:val="18"/>
                <w:szCs w:val="18"/>
              </w:rPr>
              <w:t>--</w:t>
            </w:r>
          </w:p>
        </w:tc>
      </w:tr>
      <w:tr w14:paraId="33F3C17A">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379" w:hRule="atLeast"/>
          <w:jc w:val="center"/>
        </w:trPr>
        <w:tc>
          <w:tcPr>
            <w:tcW w:w="1143" w:type="dxa"/>
            <w:tcBorders>
              <w:tl2br w:val="nil"/>
              <w:tr2bl w:val="nil"/>
            </w:tcBorders>
            <w:vAlign w:val="center"/>
          </w:tcPr>
          <w:p w14:paraId="55F1796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FANCI</w:t>
            </w:r>
          </w:p>
        </w:tc>
        <w:tc>
          <w:tcPr>
            <w:tcW w:w="870" w:type="dxa"/>
            <w:tcBorders>
              <w:tl2br w:val="nil"/>
              <w:tr2bl w:val="nil"/>
            </w:tcBorders>
            <w:vAlign w:val="center"/>
          </w:tcPr>
          <w:p w14:paraId="21031BBE">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NM_001113378.2</w:t>
            </w:r>
          </w:p>
        </w:tc>
        <w:tc>
          <w:tcPr>
            <w:tcW w:w="495" w:type="dxa"/>
            <w:tcBorders>
              <w:tl2br w:val="nil"/>
              <w:tr2bl w:val="nil"/>
            </w:tcBorders>
            <w:vAlign w:val="center"/>
          </w:tcPr>
          <w:p w14:paraId="1CE536A0">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15</w:t>
            </w:r>
          </w:p>
        </w:tc>
        <w:tc>
          <w:tcPr>
            <w:tcW w:w="450" w:type="dxa"/>
            <w:tcBorders>
              <w:tl2br w:val="nil"/>
              <w:tr2bl w:val="nil"/>
            </w:tcBorders>
            <w:vAlign w:val="center"/>
          </w:tcPr>
          <w:p w14:paraId="2DCB7901">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26</w:t>
            </w:r>
          </w:p>
        </w:tc>
        <w:tc>
          <w:tcPr>
            <w:tcW w:w="1294" w:type="dxa"/>
            <w:tcBorders>
              <w:tl2br w:val="nil"/>
              <w:tr2bl w:val="nil"/>
            </w:tcBorders>
            <w:vAlign w:val="center"/>
          </w:tcPr>
          <w:p w14:paraId="04E09714">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c.2879G&gt;A,</w:t>
            </w:r>
          </w:p>
          <w:p w14:paraId="11E35032">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p.R960Q</w:t>
            </w:r>
          </w:p>
        </w:tc>
        <w:tc>
          <w:tcPr>
            <w:tcW w:w="686" w:type="dxa"/>
            <w:tcBorders>
              <w:tl2br w:val="nil"/>
              <w:tr2bl w:val="nil"/>
            </w:tcBorders>
            <w:vAlign w:val="center"/>
          </w:tcPr>
          <w:p w14:paraId="583035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点突变</w:t>
            </w:r>
          </w:p>
        </w:tc>
        <w:tc>
          <w:tcPr>
            <w:tcW w:w="696" w:type="dxa"/>
            <w:tcBorders>
              <w:tl2br w:val="nil"/>
              <w:tr2bl w:val="nil"/>
            </w:tcBorders>
            <w:vAlign w:val="center"/>
          </w:tcPr>
          <w:p w14:paraId="5C074758">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2.18</w:t>
            </w:r>
          </w:p>
        </w:tc>
        <w:tc>
          <w:tcPr>
            <w:tcW w:w="2469" w:type="dxa"/>
            <w:tcBorders>
              <w:tl2br w:val="nil"/>
              <w:tr2bl w:val="nil"/>
            </w:tcBorders>
            <w:vAlign w:val="center"/>
          </w:tcPr>
          <w:p w14:paraId="711E3D2C">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r>
              <w:rPr>
                <w:rFonts w:hint="eastAsia" w:ascii="微软雅黑" w:hAnsi="微软雅黑"/>
                <w:bCs/>
                <w:kern w:val="2"/>
                <w:sz w:val="18"/>
                <w:szCs w:val="18"/>
              </w:rPr>
              <w:t>--</w:t>
            </w:r>
          </w:p>
        </w:tc>
        <w:tc>
          <w:tcPr>
            <w:tcW w:w="1442" w:type="dxa"/>
            <w:tcBorders>
              <w:tl2br w:val="nil"/>
              <w:tr2bl w:val="nil"/>
            </w:tcBorders>
            <w:vAlign w:val="center"/>
          </w:tcPr>
          <w:p w14:paraId="3286C0C4">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r>
              <w:rPr>
                <w:rFonts w:hint="eastAsia" w:ascii="微软雅黑" w:hAnsi="微软雅黑"/>
                <w:bCs/>
                <w:kern w:val="2"/>
                <w:sz w:val="18"/>
                <w:szCs w:val="18"/>
              </w:rPr>
              <w:t>--</w:t>
            </w:r>
          </w:p>
        </w:tc>
      </w:tr>
      <w:tr w14:paraId="2D81C16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41E1418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ATM</w:t>
            </w:r>
          </w:p>
        </w:tc>
        <w:tc>
          <w:tcPr>
            <w:tcW w:w="870" w:type="dxa"/>
            <w:tcBorders>
              <w:tl2br w:val="nil"/>
              <w:tr2bl w:val="nil"/>
            </w:tcBorders>
            <w:vAlign w:val="center"/>
          </w:tcPr>
          <w:p w14:paraId="12F54E7E">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NM_000051.4</w:t>
            </w:r>
          </w:p>
        </w:tc>
        <w:tc>
          <w:tcPr>
            <w:tcW w:w="495" w:type="dxa"/>
            <w:tcBorders>
              <w:tl2br w:val="nil"/>
              <w:tr2bl w:val="nil"/>
            </w:tcBorders>
            <w:vAlign w:val="center"/>
          </w:tcPr>
          <w:p w14:paraId="5A49307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11</w:t>
            </w:r>
          </w:p>
        </w:tc>
        <w:tc>
          <w:tcPr>
            <w:tcW w:w="450" w:type="dxa"/>
            <w:tcBorders>
              <w:tl2br w:val="nil"/>
              <w:tr2bl w:val="nil"/>
            </w:tcBorders>
            <w:vAlign w:val="center"/>
          </w:tcPr>
          <w:p w14:paraId="2977D274">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47</w:t>
            </w:r>
          </w:p>
        </w:tc>
        <w:tc>
          <w:tcPr>
            <w:tcW w:w="1294" w:type="dxa"/>
            <w:tcBorders>
              <w:tl2br w:val="nil"/>
              <w:tr2bl w:val="nil"/>
            </w:tcBorders>
            <w:vAlign w:val="center"/>
          </w:tcPr>
          <w:p w14:paraId="01767CA9">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c.6874C&gt;T,</w:t>
            </w:r>
          </w:p>
          <w:p w14:paraId="52B3D6E2">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p.Q2292*</w:t>
            </w:r>
          </w:p>
        </w:tc>
        <w:tc>
          <w:tcPr>
            <w:tcW w:w="686" w:type="dxa"/>
            <w:tcBorders>
              <w:tl2br w:val="nil"/>
              <w:tr2bl w:val="nil"/>
            </w:tcBorders>
            <w:vAlign w:val="center"/>
          </w:tcPr>
          <w:p w14:paraId="59BA529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点突变</w:t>
            </w:r>
          </w:p>
        </w:tc>
        <w:tc>
          <w:tcPr>
            <w:tcW w:w="696" w:type="dxa"/>
            <w:tcBorders>
              <w:tl2br w:val="nil"/>
              <w:tr2bl w:val="nil"/>
            </w:tcBorders>
            <w:vAlign w:val="center"/>
          </w:tcPr>
          <w:p w14:paraId="23765734">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0.53</w:t>
            </w:r>
          </w:p>
        </w:tc>
        <w:tc>
          <w:tcPr>
            <w:tcW w:w="2469" w:type="dxa"/>
            <w:tcBorders>
              <w:tl2br w:val="nil"/>
              <w:tr2bl w:val="nil"/>
            </w:tcBorders>
            <w:vAlign w:val="center"/>
          </w:tcPr>
          <w:p w14:paraId="6712319D">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r>
              <w:rPr>
                <w:rFonts w:hint="eastAsia" w:ascii="微软雅黑" w:hAnsi="微软雅黑"/>
                <w:bCs/>
                <w:color w:val="0000FF"/>
                <w:kern w:val="2"/>
                <w:sz w:val="18"/>
                <w:szCs w:val="18"/>
                <w:u w:val="single"/>
              </w:rPr>
              <w:t>奥拉帕利（C）</w:t>
            </w:r>
          </w:p>
          <w:p w14:paraId="771E6A1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芦卡帕利（C）</w:t>
            </w:r>
          </w:p>
          <w:p w14:paraId="113ECD4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尼拉帕利（C）</w:t>
            </w:r>
          </w:p>
          <w:p w14:paraId="5F5DE7D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他拉唑帕利（C）</w:t>
            </w:r>
          </w:p>
          <w:p w14:paraId="0B367FE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AZD6738+奥拉帕利（C）</w:t>
            </w:r>
          </w:p>
          <w:p w14:paraId="2EC5140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阿维鲁单抗+他拉唑帕利（C）</w:t>
            </w:r>
          </w:p>
          <w:p w14:paraId="422A8B3D">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LY2606368（C）</w:t>
            </w:r>
          </w:p>
          <w:p w14:paraId="1CD6762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盐酸可泮利塞+奥拉帕利+度伐利尤单抗（C）</w:t>
            </w:r>
          </w:p>
          <w:p w14:paraId="6B308DC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奥拉帕利+帕博利珠单抗（C）</w:t>
            </w:r>
          </w:p>
          <w:p w14:paraId="216DA2C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帕米帕利+替雷利珠单抗（C）</w:t>
            </w:r>
          </w:p>
          <w:p w14:paraId="2597365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芦卡帕利+阿替利珠单抗（C）</w:t>
            </w:r>
          </w:p>
          <w:p w14:paraId="28B93CBE">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kern w:val="0"/>
              </w:rPr>
            </w:pPr>
            <w:r>
              <w:rPr>
                <w:rFonts w:hint="eastAsia" w:ascii="微软雅黑" w:hAnsi="微软雅黑"/>
                <w:bCs/>
                <w:color w:val="0000FF"/>
                <w:kern w:val="2"/>
                <w:sz w:val="18"/>
                <w:szCs w:val="18"/>
                <w:u w:val="single"/>
              </w:rPr>
              <w:t>他拉唑帕利+阿替利珠单抗（C）</w:t>
            </w:r>
          </w:p>
        </w:tc>
        <w:tc>
          <w:tcPr>
            <w:tcW w:w="1442" w:type="dxa"/>
            <w:tcBorders>
              <w:tl2br w:val="nil"/>
              <w:tr2bl w:val="nil"/>
            </w:tcBorders>
            <w:vAlign w:val="center"/>
          </w:tcPr>
          <w:p w14:paraId="44CB1890">
            <w:pPr>
              <w:keepNext w:val="0"/>
              <w:keepLines w:val="0"/>
              <w:widowControl/>
              <w:suppressLineNumbers w:val="0"/>
              <w:spacing w:before="0" w:beforeAutospacing="0" w:after="0" w:afterAutospacing="0" w:line="240" w:lineRule="atLeast"/>
              <w:ind w:left="0" w:right="0"/>
              <w:jc w:val="center"/>
              <w:rPr>
                <w:rFonts w:hint="default" w:ascii="微软雅黑" w:hAnsi="微软雅黑" w:cs="Times New Roman"/>
                <w:bCs/>
                <w:color w:val="0000FF"/>
                <w:kern w:val="2"/>
                <w:sz w:val="2"/>
                <w:szCs w:val="2"/>
                <w:u w:val="single"/>
              </w:rPr>
            </w:pPr>
            <w:r>
              <w:rPr>
                <w:rFonts w:hint="eastAsia" w:ascii="微软雅黑" w:hAnsi="微软雅黑"/>
                <w:bCs/>
                <w:kern w:val="2"/>
                <w:sz w:val="18"/>
                <w:szCs w:val="18"/>
              </w:rPr>
              <w:t>--</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BRAF</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NM_004333.4</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7</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594D4D2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2CC74AC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ERBB2</w:t>
            </w:r>
          </w:p>
        </w:tc>
        <w:tc>
          <w:tcPr>
            <w:tcW w:w="870" w:type="dxa"/>
            <w:tcBorders>
              <w:tl2br w:val="nil"/>
              <w:tr2bl w:val="nil"/>
            </w:tcBorders>
            <w:vAlign w:val="center"/>
          </w:tcPr>
          <w:p w14:paraId="63B73AA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NM_004448.3</w:t>
            </w:r>
          </w:p>
        </w:tc>
        <w:tc>
          <w:tcPr>
            <w:tcW w:w="495" w:type="dxa"/>
            <w:tcBorders>
              <w:tl2br w:val="nil"/>
              <w:tr2bl w:val="nil"/>
            </w:tcBorders>
            <w:vAlign w:val="center"/>
          </w:tcPr>
          <w:p w14:paraId="10A40D7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17</w:t>
            </w:r>
          </w:p>
        </w:tc>
        <w:tc>
          <w:tcPr>
            <w:tcW w:w="450" w:type="dxa"/>
            <w:tcBorders>
              <w:tl2br w:val="nil"/>
              <w:tr2bl w:val="nil"/>
            </w:tcBorders>
            <w:vAlign w:val="center"/>
          </w:tcPr>
          <w:p w14:paraId="133896E1">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452C78E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14DA320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1AB3A99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036EE39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44FE7A7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3B25364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D867D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FBXW7</w:t>
            </w:r>
          </w:p>
        </w:tc>
        <w:tc>
          <w:tcPr>
            <w:tcW w:w="870" w:type="dxa"/>
            <w:tcBorders>
              <w:tl2br w:val="nil"/>
              <w:tr2bl w:val="nil"/>
            </w:tcBorders>
            <w:vAlign w:val="center"/>
          </w:tcPr>
          <w:p w14:paraId="59AF4F9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NM_001349798.2</w:t>
            </w:r>
          </w:p>
        </w:tc>
        <w:tc>
          <w:tcPr>
            <w:tcW w:w="495" w:type="dxa"/>
            <w:tcBorders>
              <w:tl2br w:val="nil"/>
              <w:tr2bl w:val="nil"/>
            </w:tcBorders>
            <w:vAlign w:val="center"/>
          </w:tcPr>
          <w:p w14:paraId="2C36EE59">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4</w:t>
            </w:r>
          </w:p>
        </w:tc>
        <w:tc>
          <w:tcPr>
            <w:tcW w:w="450" w:type="dxa"/>
            <w:tcBorders>
              <w:tl2br w:val="nil"/>
              <w:tr2bl w:val="nil"/>
            </w:tcBorders>
            <w:vAlign w:val="center"/>
          </w:tcPr>
          <w:p w14:paraId="71C253A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5FF28B6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31BF379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40AFA76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28352FB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03A00024">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2E55E6A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42911E2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MLH1</w:t>
            </w:r>
          </w:p>
        </w:tc>
        <w:tc>
          <w:tcPr>
            <w:tcW w:w="870" w:type="dxa"/>
            <w:tcBorders>
              <w:tl2br w:val="nil"/>
              <w:tr2bl w:val="nil"/>
            </w:tcBorders>
            <w:vAlign w:val="center"/>
          </w:tcPr>
          <w:p w14:paraId="6E986B3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NM_000249.4</w:t>
            </w:r>
          </w:p>
        </w:tc>
        <w:tc>
          <w:tcPr>
            <w:tcW w:w="495" w:type="dxa"/>
            <w:tcBorders>
              <w:tl2br w:val="nil"/>
              <w:tr2bl w:val="nil"/>
            </w:tcBorders>
            <w:vAlign w:val="center"/>
          </w:tcPr>
          <w:p w14:paraId="34C2D279">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3</w:t>
            </w:r>
          </w:p>
        </w:tc>
        <w:tc>
          <w:tcPr>
            <w:tcW w:w="450" w:type="dxa"/>
            <w:tcBorders>
              <w:tl2br w:val="nil"/>
              <w:tr2bl w:val="nil"/>
            </w:tcBorders>
            <w:vAlign w:val="center"/>
          </w:tcPr>
          <w:p w14:paraId="2301DBC4">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29F6792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191A3D2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21C04A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9B5671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34BD23D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785C579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22A38A7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MSH2</w:t>
            </w:r>
          </w:p>
        </w:tc>
        <w:tc>
          <w:tcPr>
            <w:tcW w:w="870" w:type="dxa"/>
            <w:tcBorders>
              <w:tl2br w:val="nil"/>
              <w:tr2bl w:val="nil"/>
            </w:tcBorders>
            <w:vAlign w:val="center"/>
          </w:tcPr>
          <w:p w14:paraId="0E047AE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NM_000251.3</w:t>
            </w:r>
          </w:p>
        </w:tc>
        <w:tc>
          <w:tcPr>
            <w:tcW w:w="495" w:type="dxa"/>
            <w:tcBorders>
              <w:tl2br w:val="nil"/>
              <w:tr2bl w:val="nil"/>
            </w:tcBorders>
            <w:vAlign w:val="center"/>
          </w:tcPr>
          <w:p w14:paraId="4534F6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2</w:t>
            </w:r>
          </w:p>
        </w:tc>
        <w:tc>
          <w:tcPr>
            <w:tcW w:w="450" w:type="dxa"/>
            <w:tcBorders>
              <w:tl2br w:val="nil"/>
              <w:tr2bl w:val="nil"/>
            </w:tcBorders>
            <w:vAlign w:val="center"/>
          </w:tcPr>
          <w:p w14:paraId="23D0F27D">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7E19822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01B047F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3280A111">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7CEC561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2CD2A2D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15E8A92F">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67520884">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MSH6</w:t>
            </w:r>
          </w:p>
        </w:tc>
        <w:tc>
          <w:tcPr>
            <w:tcW w:w="870" w:type="dxa"/>
            <w:tcBorders>
              <w:tl2br w:val="nil"/>
              <w:tr2bl w:val="nil"/>
            </w:tcBorders>
            <w:vAlign w:val="center"/>
          </w:tcPr>
          <w:p w14:paraId="6C9D5DB0">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NM_000179.3</w:t>
            </w:r>
          </w:p>
        </w:tc>
        <w:tc>
          <w:tcPr>
            <w:tcW w:w="495" w:type="dxa"/>
            <w:tcBorders>
              <w:tl2br w:val="nil"/>
              <w:tr2bl w:val="nil"/>
            </w:tcBorders>
            <w:vAlign w:val="center"/>
          </w:tcPr>
          <w:p w14:paraId="596CDD5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2</w:t>
            </w:r>
          </w:p>
        </w:tc>
        <w:tc>
          <w:tcPr>
            <w:tcW w:w="450" w:type="dxa"/>
            <w:tcBorders>
              <w:tl2br w:val="nil"/>
              <w:tr2bl w:val="nil"/>
            </w:tcBorders>
            <w:vAlign w:val="center"/>
          </w:tcPr>
          <w:p w14:paraId="160BB251">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368B1F7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5E607DE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3619392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02DF284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AB597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74F943B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4946C3B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NF1</w:t>
            </w:r>
          </w:p>
        </w:tc>
        <w:tc>
          <w:tcPr>
            <w:tcW w:w="870" w:type="dxa"/>
            <w:tcBorders>
              <w:tl2br w:val="nil"/>
              <w:tr2bl w:val="nil"/>
            </w:tcBorders>
            <w:vAlign w:val="center"/>
          </w:tcPr>
          <w:p w14:paraId="7AFAE68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NM_000267.3</w:t>
            </w:r>
          </w:p>
        </w:tc>
        <w:tc>
          <w:tcPr>
            <w:tcW w:w="495" w:type="dxa"/>
            <w:tcBorders>
              <w:tl2br w:val="nil"/>
              <w:tr2bl w:val="nil"/>
            </w:tcBorders>
            <w:vAlign w:val="center"/>
          </w:tcPr>
          <w:p w14:paraId="3BD96B6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17</w:t>
            </w:r>
          </w:p>
        </w:tc>
        <w:tc>
          <w:tcPr>
            <w:tcW w:w="450" w:type="dxa"/>
            <w:tcBorders>
              <w:tl2br w:val="nil"/>
              <w:tr2bl w:val="nil"/>
            </w:tcBorders>
            <w:vAlign w:val="center"/>
          </w:tcPr>
          <w:p w14:paraId="5E10EF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1F01A773">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135A8243">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7E929EA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244F49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3E017A1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29057F7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1FBDDE9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NRAS</w:t>
            </w:r>
          </w:p>
        </w:tc>
        <w:tc>
          <w:tcPr>
            <w:tcW w:w="870" w:type="dxa"/>
            <w:tcBorders>
              <w:tl2br w:val="nil"/>
              <w:tr2bl w:val="nil"/>
            </w:tcBorders>
            <w:vAlign w:val="center"/>
          </w:tcPr>
          <w:p w14:paraId="249137A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NM_002524.4</w:t>
            </w:r>
          </w:p>
        </w:tc>
        <w:tc>
          <w:tcPr>
            <w:tcW w:w="495" w:type="dxa"/>
            <w:tcBorders>
              <w:tl2br w:val="nil"/>
              <w:tr2bl w:val="nil"/>
            </w:tcBorders>
            <w:vAlign w:val="center"/>
          </w:tcPr>
          <w:p w14:paraId="5FA9774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1</w:t>
            </w:r>
          </w:p>
        </w:tc>
        <w:tc>
          <w:tcPr>
            <w:tcW w:w="450" w:type="dxa"/>
            <w:tcBorders>
              <w:tl2br w:val="nil"/>
              <w:tr2bl w:val="nil"/>
            </w:tcBorders>
            <w:vAlign w:val="center"/>
          </w:tcPr>
          <w:p w14:paraId="651B8A8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4A992494">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8E7614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BF788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705BEF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0D9F457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6B3E0D9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1B644C6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NTRK1</w:t>
            </w:r>
          </w:p>
        </w:tc>
        <w:tc>
          <w:tcPr>
            <w:tcW w:w="870" w:type="dxa"/>
            <w:tcBorders>
              <w:tl2br w:val="nil"/>
              <w:tr2bl w:val="nil"/>
            </w:tcBorders>
            <w:vAlign w:val="center"/>
          </w:tcPr>
          <w:p w14:paraId="3DBCF24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NM_001007792.1</w:t>
            </w:r>
          </w:p>
        </w:tc>
        <w:tc>
          <w:tcPr>
            <w:tcW w:w="495" w:type="dxa"/>
            <w:tcBorders>
              <w:tl2br w:val="nil"/>
              <w:tr2bl w:val="nil"/>
            </w:tcBorders>
            <w:vAlign w:val="center"/>
          </w:tcPr>
          <w:p w14:paraId="3569049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1</w:t>
            </w:r>
          </w:p>
        </w:tc>
        <w:tc>
          <w:tcPr>
            <w:tcW w:w="450" w:type="dxa"/>
            <w:tcBorders>
              <w:tl2br w:val="nil"/>
              <w:tr2bl w:val="nil"/>
            </w:tcBorders>
            <w:vAlign w:val="center"/>
          </w:tcPr>
          <w:p w14:paraId="5CE4C46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1ABB6B2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796A3244">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7FA0B01D">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182858A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1EB50C9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1FAD21D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11CE65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NTRK2</w:t>
            </w:r>
          </w:p>
        </w:tc>
        <w:tc>
          <w:tcPr>
            <w:tcW w:w="870" w:type="dxa"/>
            <w:tcBorders>
              <w:tl2br w:val="nil"/>
              <w:tr2bl w:val="nil"/>
            </w:tcBorders>
            <w:vAlign w:val="center"/>
          </w:tcPr>
          <w:p w14:paraId="2FD3306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NM_006180.4</w:t>
            </w:r>
          </w:p>
        </w:tc>
        <w:tc>
          <w:tcPr>
            <w:tcW w:w="495" w:type="dxa"/>
            <w:tcBorders>
              <w:tl2br w:val="nil"/>
              <w:tr2bl w:val="nil"/>
            </w:tcBorders>
            <w:vAlign w:val="center"/>
          </w:tcPr>
          <w:p w14:paraId="4F902FB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9</w:t>
            </w:r>
          </w:p>
        </w:tc>
        <w:tc>
          <w:tcPr>
            <w:tcW w:w="450" w:type="dxa"/>
            <w:tcBorders>
              <w:tl2br w:val="nil"/>
              <w:tr2bl w:val="nil"/>
            </w:tcBorders>
            <w:vAlign w:val="center"/>
          </w:tcPr>
          <w:p w14:paraId="7B6614A1">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1E63CEE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793DD7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536A1244">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49DF1C94">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49388DFD">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72C835E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39F05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NTRK3</w:t>
            </w:r>
          </w:p>
        </w:tc>
        <w:tc>
          <w:tcPr>
            <w:tcW w:w="870" w:type="dxa"/>
            <w:tcBorders>
              <w:tl2br w:val="nil"/>
              <w:tr2bl w:val="nil"/>
            </w:tcBorders>
            <w:vAlign w:val="center"/>
          </w:tcPr>
          <w:p w14:paraId="11058EF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NM_001012338.2</w:t>
            </w:r>
          </w:p>
        </w:tc>
        <w:tc>
          <w:tcPr>
            <w:tcW w:w="495" w:type="dxa"/>
            <w:tcBorders>
              <w:tl2br w:val="nil"/>
              <w:tr2bl w:val="nil"/>
            </w:tcBorders>
            <w:vAlign w:val="center"/>
          </w:tcPr>
          <w:p w14:paraId="59BF922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15</w:t>
            </w:r>
          </w:p>
        </w:tc>
        <w:tc>
          <w:tcPr>
            <w:tcW w:w="450" w:type="dxa"/>
            <w:tcBorders>
              <w:tl2br w:val="nil"/>
              <w:tr2bl w:val="nil"/>
            </w:tcBorders>
            <w:vAlign w:val="center"/>
          </w:tcPr>
          <w:p w14:paraId="79C243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7A758E6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3A4D865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37592DC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7894EE5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739EEC7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0C02EFAE">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2C1B2BF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PIK3CA</w:t>
            </w:r>
          </w:p>
        </w:tc>
        <w:tc>
          <w:tcPr>
            <w:tcW w:w="870" w:type="dxa"/>
            <w:tcBorders>
              <w:tl2br w:val="nil"/>
              <w:tr2bl w:val="nil"/>
            </w:tcBorders>
            <w:vAlign w:val="center"/>
          </w:tcPr>
          <w:p w14:paraId="594E56D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NM_006218.4</w:t>
            </w:r>
          </w:p>
        </w:tc>
        <w:tc>
          <w:tcPr>
            <w:tcW w:w="495" w:type="dxa"/>
            <w:tcBorders>
              <w:tl2br w:val="nil"/>
              <w:tr2bl w:val="nil"/>
            </w:tcBorders>
            <w:vAlign w:val="center"/>
          </w:tcPr>
          <w:p w14:paraId="0886BB3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3</w:t>
            </w:r>
          </w:p>
        </w:tc>
        <w:tc>
          <w:tcPr>
            <w:tcW w:w="450" w:type="dxa"/>
            <w:tcBorders>
              <w:tl2br w:val="nil"/>
              <w:tr2bl w:val="nil"/>
            </w:tcBorders>
            <w:vAlign w:val="center"/>
          </w:tcPr>
          <w:p w14:paraId="0E29739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10CF2FE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64417B21">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77A3F91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2639EA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BCB752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706BC13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514E4D33">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PMS2</w:t>
            </w:r>
          </w:p>
        </w:tc>
        <w:tc>
          <w:tcPr>
            <w:tcW w:w="870" w:type="dxa"/>
            <w:tcBorders>
              <w:tl2br w:val="nil"/>
              <w:tr2bl w:val="nil"/>
            </w:tcBorders>
            <w:vAlign w:val="center"/>
          </w:tcPr>
          <w:p w14:paraId="5A5562F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NM_000535.7</w:t>
            </w:r>
          </w:p>
        </w:tc>
        <w:tc>
          <w:tcPr>
            <w:tcW w:w="495" w:type="dxa"/>
            <w:tcBorders>
              <w:tl2br w:val="nil"/>
              <w:tr2bl w:val="nil"/>
            </w:tcBorders>
            <w:vAlign w:val="center"/>
          </w:tcPr>
          <w:p w14:paraId="54D128C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7</w:t>
            </w:r>
          </w:p>
        </w:tc>
        <w:tc>
          <w:tcPr>
            <w:tcW w:w="450" w:type="dxa"/>
            <w:tcBorders>
              <w:tl2br w:val="nil"/>
              <w:tr2bl w:val="nil"/>
            </w:tcBorders>
            <w:vAlign w:val="center"/>
          </w:tcPr>
          <w:p w14:paraId="63722EE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7AC49A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502DB37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727B137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68D8CA8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70ED584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799BC4E7">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26622D31">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SMAD4</w:t>
            </w:r>
          </w:p>
        </w:tc>
        <w:tc>
          <w:tcPr>
            <w:tcW w:w="870" w:type="dxa"/>
            <w:tcBorders>
              <w:tl2br w:val="nil"/>
              <w:tr2bl w:val="nil"/>
            </w:tcBorders>
            <w:vAlign w:val="center"/>
          </w:tcPr>
          <w:p w14:paraId="0B896A7C">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NM_005359.6</w:t>
            </w:r>
          </w:p>
        </w:tc>
        <w:tc>
          <w:tcPr>
            <w:tcW w:w="495" w:type="dxa"/>
            <w:tcBorders>
              <w:tl2br w:val="nil"/>
              <w:tr2bl w:val="nil"/>
            </w:tcBorders>
            <w:vAlign w:val="center"/>
          </w:tcPr>
          <w:p w14:paraId="0EAB124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18</w:t>
            </w:r>
          </w:p>
        </w:tc>
        <w:tc>
          <w:tcPr>
            <w:tcW w:w="450" w:type="dxa"/>
            <w:tcBorders>
              <w:tl2br w:val="nil"/>
              <w:tr2bl w:val="nil"/>
            </w:tcBorders>
            <w:vAlign w:val="center"/>
          </w:tcPr>
          <w:p w14:paraId="4AF52AA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38ABE57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05E3B56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29187920">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128B58A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1AF694D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4FE7E004">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2679314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SMARCA4</w:t>
            </w:r>
          </w:p>
        </w:tc>
        <w:tc>
          <w:tcPr>
            <w:tcW w:w="870" w:type="dxa"/>
            <w:tcBorders>
              <w:tl2br w:val="nil"/>
              <w:tr2bl w:val="nil"/>
            </w:tcBorders>
            <w:vAlign w:val="center"/>
          </w:tcPr>
          <w:p w14:paraId="4B6E1C7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NM_001128849.3</w:t>
            </w:r>
          </w:p>
        </w:tc>
        <w:tc>
          <w:tcPr>
            <w:tcW w:w="495" w:type="dxa"/>
            <w:tcBorders>
              <w:tl2br w:val="nil"/>
              <w:tr2bl w:val="nil"/>
            </w:tcBorders>
            <w:vAlign w:val="center"/>
          </w:tcPr>
          <w:p w14:paraId="2948E33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19</w:t>
            </w:r>
          </w:p>
        </w:tc>
        <w:tc>
          <w:tcPr>
            <w:tcW w:w="450" w:type="dxa"/>
            <w:tcBorders>
              <w:tl2br w:val="nil"/>
              <w:tr2bl w:val="nil"/>
            </w:tcBorders>
            <w:vAlign w:val="center"/>
          </w:tcPr>
          <w:p w14:paraId="0F19AB5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7732DC8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588F4671">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700D1DF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450840A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682908A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099D811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46A7DC13">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TCF7L2</w:t>
            </w:r>
          </w:p>
        </w:tc>
        <w:tc>
          <w:tcPr>
            <w:tcW w:w="870" w:type="dxa"/>
            <w:tcBorders>
              <w:tl2br w:val="nil"/>
              <w:tr2bl w:val="nil"/>
            </w:tcBorders>
            <w:vAlign w:val="center"/>
          </w:tcPr>
          <w:p w14:paraId="5D09142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NM_001146274.2</w:t>
            </w:r>
          </w:p>
        </w:tc>
        <w:tc>
          <w:tcPr>
            <w:tcW w:w="495" w:type="dxa"/>
            <w:tcBorders>
              <w:tl2br w:val="nil"/>
              <w:tr2bl w:val="nil"/>
            </w:tcBorders>
            <w:vAlign w:val="center"/>
          </w:tcPr>
          <w:p w14:paraId="4BA65CF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10</w:t>
            </w:r>
          </w:p>
        </w:tc>
        <w:tc>
          <w:tcPr>
            <w:tcW w:w="450" w:type="dxa"/>
            <w:tcBorders>
              <w:tl2br w:val="nil"/>
              <w:tr2bl w:val="nil"/>
            </w:tcBorders>
            <w:vAlign w:val="center"/>
          </w:tcPr>
          <w:p w14:paraId="156CA183">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644551B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E6C13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0571BE2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1BEA83E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65D2A1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14:paraId="724E658B">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61CE52F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default" w:ascii="微软雅黑" w:hAnsi="微软雅黑" w:cs="微软雅黑"/>
                <w:bCs/>
                <w:kern w:val="2"/>
                <w:sz w:val="18"/>
                <w:szCs w:val="18"/>
              </w:rPr>
              <w:t>TSC1</w:t>
            </w:r>
          </w:p>
        </w:tc>
        <w:tc>
          <w:tcPr>
            <w:tcW w:w="870" w:type="dxa"/>
            <w:tcBorders>
              <w:tl2br w:val="nil"/>
              <w:tr2bl w:val="nil"/>
            </w:tcBorders>
            <w:vAlign w:val="center"/>
          </w:tcPr>
          <w:p w14:paraId="4C0A9C7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NM_000368.5</w:t>
            </w:r>
          </w:p>
        </w:tc>
        <w:tc>
          <w:tcPr>
            <w:tcW w:w="495" w:type="dxa"/>
            <w:tcBorders>
              <w:tl2br w:val="nil"/>
              <w:tr2bl w:val="nil"/>
            </w:tcBorders>
            <w:vAlign w:val="center"/>
          </w:tcPr>
          <w:p w14:paraId="6AAD7F4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9</w:t>
            </w:r>
          </w:p>
        </w:tc>
        <w:tc>
          <w:tcPr>
            <w:tcW w:w="450" w:type="dxa"/>
            <w:tcBorders>
              <w:tl2br w:val="nil"/>
              <w:tr2bl w:val="nil"/>
            </w:tcBorders>
            <w:vAlign w:val="center"/>
          </w:tcPr>
          <w:p w14:paraId="3980769D">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6C078E24">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1BD6592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03ACA8A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0915DDF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6C269EA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14:paraId="3905A6E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0CB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EGFR</w:t>
            </w:r>
          </w:p>
        </w:tc>
        <w:tc>
          <w:tcPr>
            <w:tcW w:w="2277" w:type="dxa"/>
            <w:vAlign w:val="center"/>
          </w:tcPr>
          <w:p w14:paraId="2B7E663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外显子18</w:t>
            </w:r>
          </w:p>
        </w:tc>
        <w:tc>
          <w:tcPr>
            <w:tcW w:w="4386" w:type="dxa"/>
            <w:vAlign w:val="center"/>
          </w:tcPr>
          <w:p w14:paraId="11675E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未检出</w:t>
            </w:r>
          </w:p>
        </w:tc>
      </w:tr>
      <w:tr w14:paraId="0BC23F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0EFB00C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64A9A75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外显子19</w:t>
            </w:r>
          </w:p>
        </w:tc>
        <w:tc>
          <w:tcPr>
            <w:tcW w:w="4386" w:type="dxa"/>
            <w:vAlign w:val="center"/>
          </w:tcPr>
          <w:p w14:paraId="7ABFD0B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73E643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5D1B98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61EF29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外显子20</w:t>
            </w:r>
          </w:p>
        </w:tc>
        <w:tc>
          <w:tcPr>
            <w:tcW w:w="4386" w:type="dxa"/>
            <w:vAlign w:val="center"/>
          </w:tcPr>
          <w:p w14:paraId="12D8551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488476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065672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5BB72B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bCs/>
                <w:kern w:val="2"/>
                <w:sz w:val="20"/>
                <w:szCs w:val="20"/>
              </w:rPr>
              <w:t>外显子21</w:t>
            </w:r>
          </w:p>
        </w:tc>
        <w:tc>
          <w:tcPr>
            <w:tcW w:w="4386" w:type="dxa"/>
            <w:vAlign w:val="center"/>
          </w:tcPr>
          <w:p w14:paraId="28BFDD7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F8C33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5AC988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KRAS</w:t>
            </w:r>
          </w:p>
        </w:tc>
        <w:tc>
          <w:tcPr>
            <w:tcW w:w="2277" w:type="dxa"/>
            <w:vAlign w:val="center"/>
          </w:tcPr>
          <w:p w14:paraId="60073A2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外显子2</w:t>
            </w:r>
          </w:p>
        </w:tc>
        <w:tc>
          <w:tcPr>
            <w:tcW w:w="4386" w:type="dxa"/>
            <w:vAlign w:val="center"/>
          </w:tcPr>
          <w:p w14:paraId="6CB61D8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default" w:ascii="微软雅黑" w:hAnsi="微软雅黑"/>
                <w:bCs/>
                <w:kern w:val="2"/>
                <w:sz w:val="20"/>
                <w:szCs w:val="20"/>
              </w:rPr>
              <w:t>c.34G&gt;A</w:t>
            </w:r>
            <w:r>
              <w:rPr>
                <w:rFonts w:hint="eastAsia" w:ascii="微软雅黑" w:hAnsi="微软雅黑"/>
                <w:bCs/>
                <w:kern w:val="2"/>
                <w:sz w:val="20"/>
                <w:szCs w:val="20"/>
                <w:lang w:eastAsia="zh-CN"/>
              </w:rPr>
              <w:t>，</w:t>
            </w:r>
            <w:r>
              <w:rPr>
                <w:rFonts w:hint="default" w:ascii="微软雅黑" w:hAnsi="微软雅黑"/>
                <w:bCs/>
                <w:kern w:val="2"/>
                <w:sz w:val="20"/>
                <w:szCs w:val="20"/>
              </w:rPr>
              <w:t>p.G12S</w:t>
            </w:r>
            <w:r>
              <w:commentReference w:id="19"/>
            </w:r>
          </w:p>
        </w:tc>
      </w:tr>
      <w:tr w14:paraId="4892586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0" w:hRule="atLeast"/>
        </w:trPr>
        <w:tc>
          <w:tcPr>
            <w:tcW w:w="1738" w:type="dxa"/>
            <w:vMerge w:val="continue"/>
            <w:vAlign w:val="center"/>
          </w:tcPr>
          <w:p w14:paraId="33D10137">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02F41283">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外显子3</w:t>
            </w:r>
          </w:p>
        </w:tc>
        <w:tc>
          <w:tcPr>
            <w:tcW w:w="4386" w:type="dxa"/>
            <w:vAlign w:val="center"/>
          </w:tcPr>
          <w:p w14:paraId="5E6FCBAF">
            <w:pPr>
              <w:keepNext w:val="0"/>
              <w:keepLines w:val="0"/>
              <w:widowControl/>
              <w:suppressLineNumbers w:val="0"/>
              <w:spacing w:before="0" w:beforeAutospacing="0" w:after="0" w:afterAutospacing="0"/>
              <w:ind w:left="0" w:right="0"/>
              <w:jc w:val="center"/>
              <w:rPr>
                <w:rFonts w:hint="eastAsia" w:ascii="微软雅黑" w:hAnsi="微软雅黑" w:eastAsia="微软雅黑"/>
                <w:bCs/>
                <w:kern w:val="2"/>
                <w:sz w:val="20"/>
                <w:szCs w:val="20"/>
                <w:lang w:eastAsia="zh-CN"/>
              </w:rPr>
            </w:pPr>
            <w:r>
              <w:rPr>
                <w:rFonts w:hint="eastAsia" w:ascii="微软雅黑" w:hAnsi="微软雅黑" w:cs="微软雅黑"/>
                <w:bCs/>
                <w:kern w:val="2"/>
                <w:sz w:val="20"/>
                <w:szCs w:val="20"/>
              </w:rPr>
              <w:t>未检出</w:t>
            </w:r>
          </w:p>
        </w:tc>
      </w:tr>
      <w:tr w14:paraId="3B8BC4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55A2BA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1B5F0AD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外显子4</w:t>
            </w:r>
          </w:p>
        </w:tc>
        <w:tc>
          <w:tcPr>
            <w:tcW w:w="4386" w:type="dxa"/>
            <w:vAlign w:val="center"/>
          </w:tcPr>
          <w:p w14:paraId="0D812F7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ALK</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2F30AA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2695188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ROS1</w:t>
            </w:r>
          </w:p>
        </w:tc>
        <w:tc>
          <w:tcPr>
            <w:tcW w:w="2277" w:type="dxa"/>
            <w:vAlign w:val="center"/>
          </w:tcPr>
          <w:p w14:paraId="439A9F9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019A8DF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46D54F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CCFFC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RET</w:t>
            </w:r>
          </w:p>
        </w:tc>
        <w:tc>
          <w:tcPr>
            <w:tcW w:w="2277" w:type="dxa"/>
            <w:vAlign w:val="center"/>
          </w:tcPr>
          <w:p w14:paraId="59CCAAB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4AF6DEB4">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99A72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CA9894F">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ERBB2</w:t>
            </w:r>
          </w:p>
          <w:p w14:paraId="01A57C50">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（HER2）</w:t>
            </w:r>
          </w:p>
        </w:tc>
        <w:tc>
          <w:tcPr>
            <w:tcW w:w="2277" w:type="dxa"/>
            <w:vAlign w:val="center"/>
          </w:tcPr>
          <w:p w14:paraId="045E17D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突变</w:t>
            </w:r>
          </w:p>
        </w:tc>
        <w:tc>
          <w:tcPr>
            <w:tcW w:w="4386" w:type="dxa"/>
            <w:vAlign w:val="center"/>
          </w:tcPr>
          <w:p w14:paraId="5DBBEE6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5C4A22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0C19DE6">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3B3BE5B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1B3752D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DA306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5B4102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PIK3CA</w:t>
            </w:r>
          </w:p>
        </w:tc>
        <w:tc>
          <w:tcPr>
            <w:tcW w:w="2277" w:type="dxa"/>
            <w:vAlign w:val="center"/>
          </w:tcPr>
          <w:p w14:paraId="2054ABC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外显子10</w:t>
            </w:r>
          </w:p>
        </w:tc>
        <w:tc>
          <w:tcPr>
            <w:tcW w:w="4386" w:type="dxa"/>
            <w:vAlign w:val="center"/>
          </w:tcPr>
          <w:p w14:paraId="593A7EB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970982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20D573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36E113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外显子21</w:t>
            </w:r>
          </w:p>
        </w:tc>
        <w:tc>
          <w:tcPr>
            <w:tcW w:w="4386" w:type="dxa"/>
            <w:vAlign w:val="center"/>
          </w:tcPr>
          <w:p w14:paraId="054C0C6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6DACCAC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68896F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MET</w:t>
            </w:r>
          </w:p>
        </w:tc>
        <w:tc>
          <w:tcPr>
            <w:tcW w:w="2277" w:type="dxa"/>
            <w:vAlign w:val="center"/>
          </w:tcPr>
          <w:p w14:paraId="5C5B295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外显子14跳跃</w:t>
            </w:r>
          </w:p>
        </w:tc>
        <w:tc>
          <w:tcPr>
            <w:tcW w:w="4386" w:type="dxa"/>
            <w:vAlign w:val="center"/>
          </w:tcPr>
          <w:p w14:paraId="3FD52B3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2CD60CA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71AC115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p>
        </w:tc>
        <w:tc>
          <w:tcPr>
            <w:tcW w:w="2277" w:type="dxa"/>
            <w:vAlign w:val="center"/>
          </w:tcPr>
          <w:p w14:paraId="5E0BBD0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扩增</w:t>
            </w:r>
          </w:p>
        </w:tc>
        <w:tc>
          <w:tcPr>
            <w:tcW w:w="4386" w:type="dxa"/>
            <w:vAlign w:val="center"/>
          </w:tcPr>
          <w:p w14:paraId="36C3A18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51DC47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1D22D5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NRAS</w:t>
            </w:r>
          </w:p>
        </w:tc>
        <w:tc>
          <w:tcPr>
            <w:tcW w:w="2277" w:type="dxa"/>
            <w:vAlign w:val="center"/>
          </w:tcPr>
          <w:p w14:paraId="67DAB08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外显子2</w:t>
            </w:r>
          </w:p>
        </w:tc>
        <w:tc>
          <w:tcPr>
            <w:tcW w:w="4386" w:type="dxa"/>
            <w:vAlign w:val="center"/>
          </w:tcPr>
          <w:p w14:paraId="1CD5B43E">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741B04B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834DF79">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86E895D">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外显子3</w:t>
            </w:r>
          </w:p>
        </w:tc>
        <w:tc>
          <w:tcPr>
            <w:tcW w:w="4386" w:type="dxa"/>
            <w:vAlign w:val="center"/>
          </w:tcPr>
          <w:p w14:paraId="0D1D0EF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158C952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4158163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7CBC174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外显子4</w:t>
            </w:r>
          </w:p>
        </w:tc>
        <w:tc>
          <w:tcPr>
            <w:tcW w:w="4386" w:type="dxa"/>
            <w:vAlign w:val="center"/>
          </w:tcPr>
          <w:p w14:paraId="5B04EFC7">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6EEF11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72E130C">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BRAF</w:t>
            </w:r>
          </w:p>
        </w:tc>
        <w:tc>
          <w:tcPr>
            <w:tcW w:w="2277" w:type="dxa"/>
            <w:vAlign w:val="center"/>
          </w:tcPr>
          <w:p w14:paraId="17BD81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密码子600</w:t>
            </w:r>
          </w:p>
        </w:tc>
        <w:tc>
          <w:tcPr>
            <w:tcW w:w="4386" w:type="dxa"/>
            <w:vAlign w:val="center"/>
          </w:tcPr>
          <w:p w14:paraId="2CA03303">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bCs/>
                <w:kern w:val="2"/>
                <w:sz w:val="20"/>
                <w:szCs w:val="20"/>
              </w:rPr>
              <w:t>未检出</w:t>
            </w:r>
          </w:p>
        </w:tc>
      </w:tr>
      <w:tr w14:paraId="77F2A2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4B38CBE4">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FGFR1/2/3</w:t>
            </w:r>
          </w:p>
        </w:tc>
        <w:tc>
          <w:tcPr>
            <w:tcW w:w="2277" w:type="dxa"/>
            <w:vAlign w:val="center"/>
          </w:tcPr>
          <w:p w14:paraId="194B96D8">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2FA6FF3">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7FE385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7ACCDF6">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0D9C06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融合</w:t>
            </w:r>
          </w:p>
        </w:tc>
        <w:tc>
          <w:tcPr>
            <w:tcW w:w="4386" w:type="dxa"/>
            <w:vAlign w:val="center"/>
          </w:tcPr>
          <w:p w14:paraId="32DBC162">
            <w:pPr>
              <w:keepNext w:val="0"/>
              <w:keepLines w:val="0"/>
              <w:widowControl/>
              <w:suppressLineNumbers w:val="0"/>
              <w:spacing w:before="0" w:beforeAutospacing="0" w:after="0" w:afterAutospacing="0"/>
              <w:ind w:left="0" w:right="0"/>
              <w:jc w:val="center"/>
              <w:rPr>
                <w:rFonts w:hint="default" w:ascii="微软雅黑" w:hAnsi="微软雅黑" w:cs="微软雅黑"/>
                <w:bCs/>
                <w:kern w:val="2"/>
                <w:sz w:val="20"/>
                <w:szCs w:val="20"/>
              </w:rPr>
            </w:pPr>
            <w:r>
              <w:rPr>
                <w:rFonts w:hint="eastAsia" w:ascii="微软雅黑" w:hAnsi="微软雅黑" w:cs="微软雅黑"/>
                <w:bCs/>
                <w:kern w:val="2"/>
                <w:sz w:val="20"/>
                <w:szCs w:val="20"/>
              </w:rPr>
              <w:t>未检出</w:t>
            </w:r>
          </w:p>
        </w:tc>
      </w:tr>
      <w:tr w14:paraId="031BF1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FEDB4D8">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NTRK1/2/3</w:t>
            </w:r>
          </w:p>
        </w:tc>
        <w:tc>
          <w:tcPr>
            <w:tcW w:w="2277" w:type="dxa"/>
            <w:vAlign w:val="center"/>
          </w:tcPr>
          <w:p w14:paraId="4C8DA5A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融合</w:t>
            </w:r>
          </w:p>
        </w:tc>
        <w:tc>
          <w:tcPr>
            <w:tcW w:w="4386" w:type="dxa"/>
            <w:vAlign w:val="center"/>
          </w:tcPr>
          <w:p w14:paraId="3F07844A">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73959D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61EDF6C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KIT</w:t>
            </w:r>
          </w:p>
        </w:tc>
        <w:tc>
          <w:tcPr>
            <w:tcW w:w="2277" w:type="dxa"/>
            <w:vAlign w:val="center"/>
          </w:tcPr>
          <w:p w14:paraId="377CF42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外显子9</w:t>
            </w:r>
          </w:p>
        </w:tc>
        <w:tc>
          <w:tcPr>
            <w:tcW w:w="4386" w:type="dxa"/>
            <w:vAlign w:val="center"/>
          </w:tcPr>
          <w:p w14:paraId="4988092F">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2D06A8B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3C548F7E">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0ED987EE">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外显子11</w:t>
            </w:r>
          </w:p>
        </w:tc>
        <w:tc>
          <w:tcPr>
            <w:tcW w:w="4386" w:type="dxa"/>
            <w:vAlign w:val="center"/>
          </w:tcPr>
          <w:p w14:paraId="0D0B201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65DCE4B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61CD4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4759CD7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外显子13</w:t>
            </w:r>
          </w:p>
        </w:tc>
        <w:tc>
          <w:tcPr>
            <w:tcW w:w="4386" w:type="dxa"/>
            <w:vAlign w:val="center"/>
          </w:tcPr>
          <w:p w14:paraId="636B071D">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1F0ED3E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1152D777">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C6A9A0">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外显子17</w:t>
            </w:r>
          </w:p>
        </w:tc>
        <w:tc>
          <w:tcPr>
            <w:tcW w:w="4386" w:type="dxa"/>
            <w:vAlign w:val="center"/>
          </w:tcPr>
          <w:p w14:paraId="6D13147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00F1B6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3FE0A3B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PDGFRA</w:t>
            </w:r>
          </w:p>
        </w:tc>
        <w:tc>
          <w:tcPr>
            <w:tcW w:w="2277" w:type="dxa"/>
            <w:vAlign w:val="center"/>
          </w:tcPr>
          <w:p w14:paraId="2153BFE1">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外显子12</w:t>
            </w:r>
          </w:p>
        </w:tc>
        <w:tc>
          <w:tcPr>
            <w:tcW w:w="4386" w:type="dxa"/>
            <w:vAlign w:val="center"/>
          </w:tcPr>
          <w:p w14:paraId="07D53F7B">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0009772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8206AFA">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24A02431">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外显子14</w:t>
            </w:r>
          </w:p>
        </w:tc>
        <w:tc>
          <w:tcPr>
            <w:tcW w:w="4386" w:type="dxa"/>
            <w:vAlign w:val="center"/>
          </w:tcPr>
          <w:p w14:paraId="303441B2">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3C598F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continue"/>
            <w:vAlign w:val="center"/>
          </w:tcPr>
          <w:p w14:paraId="20C9C06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p>
        </w:tc>
        <w:tc>
          <w:tcPr>
            <w:tcW w:w="2277" w:type="dxa"/>
            <w:vAlign w:val="center"/>
          </w:tcPr>
          <w:p w14:paraId="677B05F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外显子18</w:t>
            </w:r>
          </w:p>
        </w:tc>
        <w:tc>
          <w:tcPr>
            <w:tcW w:w="4386" w:type="dxa"/>
            <w:vAlign w:val="center"/>
          </w:tcPr>
          <w:p w14:paraId="7377F74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未检出</w:t>
            </w:r>
          </w:p>
        </w:tc>
      </w:tr>
      <w:tr w14:paraId="724A9E2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78BF744B">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BRCA1/2</w:t>
            </w:r>
          </w:p>
        </w:tc>
        <w:tc>
          <w:tcPr>
            <w:tcW w:w="2277" w:type="dxa"/>
            <w:vAlign w:val="center"/>
          </w:tcPr>
          <w:p w14:paraId="70CE5BF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613DC2E2">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未检出</w:t>
            </w:r>
          </w:p>
        </w:tc>
      </w:tr>
      <w:tr w14:paraId="2F1E12B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3AA7202">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微软雅黑"/>
                <w:kern w:val="2"/>
                <w:sz w:val="20"/>
                <w:szCs w:val="20"/>
              </w:rPr>
              <w:t>IDH1/2</w:t>
            </w:r>
          </w:p>
        </w:tc>
        <w:tc>
          <w:tcPr>
            <w:tcW w:w="2277" w:type="dxa"/>
            <w:vAlign w:val="center"/>
          </w:tcPr>
          <w:p w14:paraId="397ACD75">
            <w:pPr>
              <w:keepNext w:val="0"/>
              <w:keepLines w:val="0"/>
              <w:widowControl/>
              <w:suppressLineNumbers w:val="0"/>
              <w:spacing w:before="0" w:beforeAutospacing="0" w:after="0" w:afterAutospacing="0"/>
              <w:ind w:left="0" w:right="0"/>
              <w:jc w:val="center"/>
              <w:rPr>
                <w:rFonts w:hint="default" w:ascii="微软雅黑" w:hAnsi="微软雅黑" w:cs="Arial Unicode MS"/>
                <w:bCs/>
                <w:kern w:val="2"/>
                <w:sz w:val="20"/>
                <w:szCs w:val="20"/>
              </w:rPr>
            </w:pPr>
            <w:r>
              <w:rPr>
                <w:rFonts w:hint="eastAsia" w:ascii="微软雅黑" w:hAnsi="微软雅黑" w:cs="Arial Unicode MS"/>
                <w:bCs/>
                <w:kern w:val="2"/>
                <w:sz w:val="20"/>
                <w:szCs w:val="20"/>
              </w:rPr>
              <w:t>突变</w:t>
            </w:r>
          </w:p>
        </w:tc>
        <w:tc>
          <w:tcPr>
            <w:tcW w:w="4386" w:type="dxa"/>
            <w:vAlign w:val="center"/>
          </w:tcPr>
          <w:p w14:paraId="3310B010">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bCs/>
                <w:kern w:val="2"/>
                <w:sz w:val="20"/>
                <w:szCs w:val="20"/>
                <w:lang w:eastAsia="zh-CN"/>
              </w:rPr>
            </w:pPr>
            <w:r>
              <w:rPr>
                <w:rFonts w:hint="eastAsia" w:ascii="微软雅黑" w:hAnsi="微软雅黑" w:cs="微软雅黑"/>
                <w:bCs/>
                <w:kern w:val="2"/>
                <w:sz w:val="20"/>
                <w:szCs w:val="20"/>
              </w:rPr>
              <w:t>未检出</w:t>
            </w:r>
          </w:p>
        </w:tc>
      </w:tr>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6.5</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低</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微卫星稳定（MSS）型。</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未检出有害变异</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c.34G&gt;A，p.G12S</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TP53：c.844C&gt;T，p.R282W</w:t>
            </w:r>
          </w:p>
          <w:p w14:paraId="36EBC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KRAS：c.34G&gt;A，p.G12S</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ATM：c.6874C&gt;T，p.Q2292*</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未检出有害变异</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未检出有害变异</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未检出有害变异</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243891A8">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TP53</w:t>
      </w:r>
      <w:r>
        <w:rPr>
          <w:rFonts w:ascii="微软雅黑" w:hAnsi="微软雅黑" w:cs="微软雅黑"/>
          <w:b/>
          <w:color w:val="FF0000"/>
          <w:sz w:val="24"/>
          <w:u w:val="single"/>
        </w:rPr>
        <w:t>：</w:t>
      </w:r>
      <w:r>
        <w:rPr>
          <w:rFonts w:hint="eastAsia" w:ascii="微软雅黑" w:hAnsi="微软雅黑" w:cs="微软雅黑"/>
          <w:b/>
          <w:color w:val="FF0000"/>
          <w:sz w:val="24"/>
          <w:u w:val="single"/>
        </w:rPr>
        <w:t>c.844C&gt;T，p.R282W；67.29%</w:t>
      </w:r>
      <w:r>
        <w:commentReference w:id="25"/>
      </w:r>
    </w:p>
    <w:p w14:paraId="50CD55D4">
      <w:pPr>
        <w:spacing w:after="0"/>
      </w:pPr>
      <w:r>
        <w:rPr>
          <w:rFonts w:ascii="微软雅黑" w:hAnsi="微软雅黑" w:cs="微软雅黑"/>
          <w:b/>
        </w:rPr>
        <w:t>基因简介：</w:t>
      </w:r>
    </w:p>
    <w:p w14:paraId="6C0691F2">
      <w:pPr>
        <w:spacing w:after="0"/>
        <w:ind w:firstLine="400"/>
        <w:jc w:val="both"/>
        <w:rPr>
          <w:rFonts w:ascii="微软雅黑" w:hAnsi="微软雅黑" w:cs="微软雅黑"/>
          <w:sz w:val="21"/>
        </w:rPr>
      </w:pPr>
      <w:r>
        <w:rPr>
          <w:rFonts w:hint="eastAsia" w:ascii="微软雅黑" w:hAnsi="微软雅黑" w:cs="微软雅黑"/>
          <w:sz w:val="21"/>
        </w:rPr>
        <w:t>TP53基因是重要的抑癌基因之一，其编码蛋白为p53，大约有一半人类肿瘤呈现出TP53的失活突变，其余的恶性肿瘤中通过活化p53抑制因子、降低p53活化因子，使p53信号通路失活。p53通过其在细胞核中转录依赖和胞浆中转录不依赖两种途径发挥抑癌作用。p53作为转录因子可靶向结合特定的DNA序列，使与细胞周期停滞、凋亡、细胞代谢改变等功能相关的基因转录活化。除了细胞核内的活性，p53在胞浆中表现出转录非依赖的生物活性，研究表明细胞质中p53的活化有促进细胞凋亡的作用[19407794]。其作用机制为：DNA受损时，p53蛋白活化DNA修复蛋白并阻滞细胞生长周期的进行[22872685]。当细胞DNA受损严重不能修复时，p53蛋白与特定DNA结合，激活WAF1/CIP1等多种基因，启动细胞凋亡程序，抑制细胞分裂，从而避免携带异常遗传信息的细胞继续生长、分裂[21728981]。</w:t>
      </w:r>
    </w:p>
    <w:p w14:paraId="3C1CACC8">
      <w:pPr>
        <w:spacing w:after="0"/>
      </w:pPr>
      <w:r>
        <w:rPr>
          <w:rFonts w:ascii="微软雅黑" w:hAnsi="微软雅黑" w:cs="微软雅黑"/>
          <w:b/>
        </w:rPr>
        <w:t>基因变异说明：</w:t>
      </w:r>
    </w:p>
    <w:p w14:paraId="62D2B214">
      <w:pPr>
        <w:spacing w:after="0"/>
        <w:ind w:firstLine="400"/>
        <w:jc w:val="both"/>
        <w:rPr>
          <w:rFonts w:ascii="微软雅黑" w:hAnsi="微软雅黑" w:cs="微软雅黑"/>
          <w:sz w:val="21"/>
        </w:rPr>
      </w:pPr>
      <w:commentRangeStart w:id="26"/>
      <w:r>
        <w:rPr>
          <w:rFonts w:hint="eastAsia" w:ascii="微软雅黑" w:hAnsi="微软雅黑" w:cs="微软雅黑"/>
          <w:sz w:val="21"/>
        </w:rPr>
        <w:t>该样本检出TP53基因c.844C&gt;T，p.R282W错义突变，第844位核苷酸由C突变为T，导致相应蛋白序列中第282位氨基酸由精氨酸突变为色氨酸，此突变在样本中的突变丰度为67.29%。</w:t>
      </w:r>
      <w:commentRangeEnd w:id="26"/>
      <w:r>
        <w:commentReference w:id="26"/>
      </w:r>
    </w:p>
    <w:p w14:paraId="4643BAA1">
      <w:pPr>
        <w:spacing w:after="0"/>
      </w:pPr>
      <w:r>
        <w:rPr>
          <w:rFonts w:ascii="微软雅黑" w:hAnsi="微软雅黑" w:cs="微软雅黑"/>
          <w:b/>
        </w:rPr>
        <w:t xml:space="preserve">基因变异解析： </w:t>
      </w:r>
    </w:p>
    <w:p w14:paraId="4DFF7FB7">
      <w:pPr>
        <w:spacing w:after="0"/>
        <w:ind w:firstLine="400"/>
        <w:jc w:val="both"/>
        <w:rPr>
          <w:rFonts w:hint="eastAsia" w:ascii="微软雅黑" w:hAnsi="微软雅黑" w:cs="微软雅黑"/>
          <w:sz w:val="21"/>
        </w:rPr>
      </w:pPr>
      <w:r>
        <w:rPr>
          <w:rFonts w:hint="eastAsia" w:ascii="微软雅黑" w:hAnsi="微软雅黑" w:cs="微软雅黑"/>
          <w:sz w:val="21"/>
        </w:rPr>
        <w:t>TP53基因编码的蛋白p53全长393个氨基酸，包含3个结构域：反式激活结构域（5-29位氨基酸）、DNA结合结构域（95-289位氨基酸）和四聚化结构域（318-359位氨基酸）。根据报道TP53突变主要发生在175、245、248、273和282这五个热点突变密码子区[19810096，10612830，12619105]，而TP53基因的K132、C135、P151、V157、R158、Y163、V173、C176、H179、H193、Y205、Y220、Y234、M237、C238、S241、C242、M246、R249、G266、P278、R280、D281和E285也是较为常见的突变密码子区[19336573]。这些位点均处于p53蛋白的DNA结合结构域，均可能会对蛋白功能产生影响。</w:t>
      </w:r>
      <w:commentRangeStart w:id="27"/>
      <w:r>
        <w:rPr>
          <w:rFonts w:hint="eastAsia" w:ascii="微软雅黑" w:hAnsi="微软雅黑" w:cs="微软雅黑"/>
          <w:sz w:val="21"/>
        </w:rPr>
        <w:t>该样本检出的p.R282W 突变位于DNA结合结构域</w:t>
      </w:r>
      <w:r>
        <w:rPr>
          <w:rFonts w:hint="eastAsia" w:ascii="微软雅黑" w:hAnsi="微软雅黑" w:cs="微软雅黑"/>
          <w:sz w:val="21"/>
          <w:lang w:eastAsia="zh-CN"/>
        </w:rPr>
        <w:t>，</w:t>
      </w:r>
      <w:r>
        <w:rPr>
          <w:rFonts w:hint="eastAsia" w:ascii="微软雅黑" w:hAnsi="微软雅黑" w:cs="微软雅黑"/>
          <w:sz w:val="21"/>
        </w:rPr>
        <w:t>研究表明，该突变抑制 AMPK 信号传导，导致细胞侵袭性生长，促进小鼠模型中的肿瘤发展[24857548]。</w:t>
      </w:r>
      <w:commentRangeEnd w:id="27"/>
      <w:r>
        <w:commentReference w:id="27"/>
      </w:r>
    </w:p>
    <w:p w14:paraId="403D4904">
      <w:pPr>
        <w:spacing w:after="0"/>
        <w:ind w:firstLine="400"/>
        <w:jc w:val="both"/>
        <w:rPr>
          <w:rFonts w:hint="eastAsia" w:ascii="微软雅黑" w:hAnsi="微软雅黑" w:cs="微软雅黑"/>
          <w:b/>
          <w:color w:val="FF0000"/>
          <w:sz w:val="24"/>
          <w:u w:val="single"/>
        </w:rPr>
      </w:pPr>
      <w:commentRangeStart w:id="28"/>
      <w:r>
        <w:rPr>
          <w:rFonts w:hint="eastAsia" w:ascii="微软雅黑" w:hAnsi="微软雅黑" w:cs="微软雅黑"/>
          <w:sz w:val="21"/>
        </w:rPr>
        <w:t>一项研究在389名Ⅲ期结肠癌患者中检测TP53的突变状态，结果表明TP53的突变频率为33%[26425688]。在一项包含276个结直肠癌样本的分子突变分析研究中，发现165个非高频突变的结直肠癌样本中有59%检测到TP53突变，导致TP53信号通路失活[22810696]，说明TP53在结直肠癌的发生发展中具有重要作用。因此，该样本检出的突变可能与疾病的发生发展相关。</w:t>
      </w:r>
      <w:commentRangeEnd w:id="28"/>
      <w:r>
        <w:commentReference w:id="28"/>
      </w:r>
    </w:p>
    <w:p w14:paraId="20131506">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KRAS</w:t>
      </w:r>
      <w:r>
        <w:rPr>
          <w:rFonts w:ascii="微软雅黑" w:hAnsi="微软雅黑" w:cs="微软雅黑"/>
          <w:b/>
          <w:color w:val="FF0000"/>
          <w:sz w:val="24"/>
          <w:u w:val="single"/>
        </w:rPr>
        <w:t>：</w:t>
      </w:r>
      <w:r>
        <w:rPr>
          <w:rFonts w:hint="eastAsia" w:ascii="微软雅黑" w:hAnsi="微软雅黑" w:cs="微软雅黑"/>
          <w:b/>
          <w:color w:val="FF0000"/>
          <w:sz w:val="24"/>
          <w:u w:val="single"/>
        </w:rPr>
        <w:t>c.34G&gt;A，p.G12S；46.29%</w:t>
      </w:r>
    </w:p>
    <w:p w14:paraId="41D8986D">
      <w:pPr>
        <w:spacing w:after="0"/>
      </w:pPr>
      <w:r>
        <w:rPr>
          <w:rFonts w:ascii="微软雅黑" w:hAnsi="微软雅黑" w:cs="微软雅黑"/>
          <w:b/>
        </w:rPr>
        <w:t>基因简介：</w:t>
      </w:r>
    </w:p>
    <w:p w14:paraId="0A1BA969">
      <w:pPr>
        <w:spacing w:after="0"/>
        <w:ind w:firstLine="400"/>
        <w:jc w:val="both"/>
        <w:rPr>
          <w:rFonts w:ascii="微软雅黑" w:hAnsi="微软雅黑" w:cs="微软雅黑"/>
          <w:sz w:val="21"/>
        </w:rPr>
      </w:pPr>
      <w:r>
        <w:rPr>
          <w:rFonts w:hint="eastAsia" w:ascii="微软雅黑" w:hAnsi="微软雅黑" w:cs="微软雅黑"/>
          <w:sz w:val="21"/>
        </w:rPr>
        <w:t>KRAS基因是致癌基因，属于RAS基因家族成员，编码P21蛋白。该蛋白在MAPK信号通路中起作用，能够与GDP/GTP结合并促进GTP酶活性。当KRAS基因发生突变时不能被水解酶水解失活，而处于持续激活状态，引起RAF/MAPK的上调，传递多种生存通路信号，从而使细胞过度生长、增殖，抵抗EGFR-TKIs的作用。KRAS突变可以导致肺癌、黏蛋白腺瘤、胰腺导管癌和结肠癌等多种恶性肿瘤。KRAS基因被激活最常见的方式是点突变，多发生在N端的第12、13、61和146密码子，其中以第12密码子突变最常见。不同突变位点对P21蛋白的活化机制不同，第12密码子突变可以减弱P21内在的GTP酶活性，并使细胞凋亡减少，细胞间接触抑制减弱。RAS家族基因在癌症中没有可用的药物直接拮抗靶点，主要影响信号通路上下游靶点药物的使用效果，突变主要导致EGFR靶药和BRAF靶药的耐药性。</w:t>
      </w:r>
    </w:p>
    <w:p w14:paraId="2A5782EA">
      <w:pPr>
        <w:spacing w:after="0"/>
      </w:pPr>
      <w:r>
        <w:rPr>
          <w:rFonts w:ascii="微软雅黑" w:hAnsi="微软雅黑" w:cs="微软雅黑"/>
          <w:b/>
        </w:rPr>
        <w:t>基因变异说明：</w:t>
      </w:r>
    </w:p>
    <w:p w14:paraId="4CF37066">
      <w:pPr>
        <w:spacing w:after="0"/>
        <w:ind w:firstLine="400"/>
        <w:jc w:val="both"/>
        <w:rPr>
          <w:rFonts w:ascii="微软雅黑" w:hAnsi="微软雅黑" w:cs="微软雅黑"/>
          <w:sz w:val="21"/>
        </w:rPr>
      </w:pPr>
      <w:r>
        <w:rPr>
          <w:rFonts w:hint="eastAsia" w:ascii="微软雅黑" w:hAnsi="微软雅黑" w:cs="微软雅黑"/>
          <w:sz w:val="21"/>
        </w:rPr>
        <w:t>该样本检出KRAS基因c.34G&gt;A，p.G12S错义突变，第34位核苷酸由G突变为A，导致相应蛋白序列中第12位氨基酸由甘氨酸突变为丝氨酸，此突变在样本中的突变丰度为46.29%。</w:t>
      </w:r>
    </w:p>
    <w:p w14:paraId="64CDA2B2">
      <w:pPr>
        <w:spacing w:after="0"/>
      </w:pPr>
      <w:r>
        <w:rPr>
          <w:rFonts w:ascii="微软雅黑" w:hAnsi="微软雅黑" w:cs="微软雅黑"/>
          <w:b/>
        </w:rPr>
        <w:t xml:space="preserve">基因变异解析： </w:t>
      </w:r>
    </w:p>
    <w:p w14:paraId="45791A43">
      <w:pPr>
        <w:spacing w:after="0"/>
        <w:ind w:firstLine="400"/>
        <w:jc w:val="both"/>
        <w:rPr>
          <w:rFonts w:hint="eastAsia" w:ascii="微软雅黑" w:hAnsi="微软雅黑" w:cs="微软雅黑"/>
          <w:sz w:val="21"/>
        </w:rPr>
      </w:pPr>
      <w:r>
        <w:rPr>
          <w:rFonts w:hint="eastAsia" w:ascii="微软雅黑" w:hAnsi="微软雅黑" w:cs="微软雅黑"/>
          <w:sz w:val="21"/>
        </w:rPr>
        <w:t>KRAS基因编码的蛋白全长为189个氨基酸，主要包含RAS结构域（1-166位氨基酸）。该样本检出的p.G12</w:t>
      </w:r>
      <w:r>
        <w:rPr>
          <w:rFonts w:hint="eastAsia" w:ascii="微软雅黑" w:hAnsi="微软雅黑" w:cs="微软雅黑"/>
          <w:sz w:val="21"/>
          <w:lang w:val="en-US" w:eastAsia="zh-CN"/>
        </w:rPr>
        <w:t>S</w:t>
      </w:r>
      <w:r>
        <w:rPr>
          <w:rFonts w:hint="eastAsia" w:ascii="微软雅黑" w:hAnsi="微软雅黑" w:cs="微软雅黑"/>
          <w:sz w:val="21"/>
        </w:rPr>
        <w:t>突变位于上述结构域</w:t>
      </w:r>
      <w:r>
        <w:rPr>
          <w:rFonts w:hint="eastAsia" w:ascii="微软雅黑" w:hAnsi="微软雅黑" w:cs="微软雅黑"/>
          <w:sz w:val="21"/>
          <w:lang w:val="en-US" w:eastAsia="zh-CN"/>
        </w:rPr>
        <w:t>之</w:t>
      </w:r>
      <w:r>
        <w:rPr>
          <w:rFonts w:hint="eastAsia" w:ascii="微软雅黑" w:hAnsi="微软雅黑" w:cs="微软雅黑"/>
          <w:sz w:val="21"/>
        </w:rPr>
        <w:t>内，为已知激活突变，对蛋白功能有重要影响。</w:t>
      </w:r>
    </w:p>
    <w:p w14:paraId="05B21F62">
      <w:pPr>
        <w:spacing w:after="0"/>
        <w:ind w:firstLine="400"/>
        <w:jc w:val="both"/>
        <w:rPr>
          <w:rFonts w:hint="eastAsia" w:ascii="微软雅黑" w:hAnsi="微软雅黑" w:cs="微软雅黑"/>
          <w:b/>
          <w:color w:val="FF0000"/>
          <w:sz w:val="24"/>
          <w:u w:val="single"/>
        </w:rPr>
      </w:pPr>
      <w:r>
        <w:rPr>
          <w:rFonts w:hint="eastAsia" w:ascii="微软雅黑" w:hAnsi="微软雅黑" w:cs="微软雅黑"/>
          <w:sz w:val="21"/>
        </w:rPr>
        <w:t>KRAS突变在人体肿瘤发生过程中起着重要的作用，并在胰腺癌、甲状腺癌、结直肠癌和肺癌中普遍存在[23066310]。研究显示，大约有35%-45%的结直肠癌患者携带原癌基因KRAS的突变。常见的KRAS突变多发生在N端第12、13、61和第146号密码子。这些突变会导致KRAS蛋白处于激活状态，并激活下游的信号通路，且已被证实是anti-EGFR抗体药物（如西妥昔单抗、帕尼单抗）耐药的标志[20100961]。因此，该样本检出的突变可能与疾病的发生发展</w:t>
      </w:r>
      <w:r>
        <w:rPr>
          <w:rFonts w:hint="eastAsia" w:ascii="微软雅黑" w:hAnsi="微软雅黑" w:cs="微软雅黑"/>
          <w:sz w:val="21"/>
          <w:lang w:val="en-US" w:eastAsia="zh-CN"/>
        </w:rPr>
        <w:t>及用药</w:t>
      </w:r>
      <w:r>
        <w:rPr>
          <w:rFonts w:hint="eastAsia" w:ascii="微软雅黑" w:hAnsi="微软雅黑" w:cs="微软雅黑"/>
          <w:sz w:val="21"/>
        </w:rPr>
        <w:t>相关。</w:t>
      </w:r>
    </w:p>
    <w:p w14:paraId="6E8559E3">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APC：c.4348C&gt;T，p.R1450*；41.12%</w:t>
      </w:r>
    </w:p>
    <w:p w14:paraId="20B44021">
      <w:pPr>
        <w:spacing w:after="0"/>
      </w:pPr>
      <w:r>
        <w:rPr>
          <w:rFonts w:ascii="微软雅黑" w:hAnsi="微软雅黑" w:cs="微软雅黑"/>
          <w:b/>
        </w:rPr>
        <w:t>基因简介：</w:t>
      </w:r>
    </w:p>
    <w:p w14:paraId="38BA68E0">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37D81575">
      <w:pPr>
        <w:spacing w:after="0"/>
      </w:pPr>
      <w:r>
        <w:rPr>
          <w:rFonts w:ascii="微软雅黑" w:hAnsi="微软雅黑" w:cs="微软雅黑"/>
          <w:b/>
        </w:rPr>
        <w:t>基因变异说明：</w:t>
      </w:r>
    </w:p>
    <w:p w14:paraId="5DB70BD0">
      <w:pPr>
        <w:spacing w:after="0"/>
        <w:ind w:firstLine="400"/>
        <w:jc w:val="both"/>
        <w:rPr>
          <w:rFonts w:ascii="微软雅黑" w:hAnsi="微软雅黑" w:cs="微软雅黑"/>
          <w:sz w:val="21"/>
        </w:rPr>
      </w:pPr>
      <w:r>
        <w:rPr>
          <w:rFonts w:hint="eastAsia" w:ascii="微软雅黑" w:hAnsi="微软雅黑" w:cs="微软雅黑"/>
          <w:sz w:val="21"/>
        </w:rPr>
        <w:t>该样本检出APC基因c.4348C&gt;T，p.R1450*无义突变，第4348位核苷酸由C突变为T，导致相应蛋白序列中第1450位氨基酸由精氨酸突变为终止密码子，此突变在样本中的突变丰度为41.12%。</w:t>
      </w:r>
    </w:p>
    <w:p w14:paraId="40C2F624">
      <w:pPr>
        <w:spacing w:after="0"/>
      </w:pPr>
      <w:r>
        <w:rPr>
          <w:rFonts w:ascii="微软雅黑" w:hAnsi="微软雅黑" w:cs="微软雅黑"/>
          <w:b/>
        </w:rPr>
        <w:t xml:space="preserve">基因变异解析： </w:t>
      </w:r>
    </w:p>
    <w:p w14:paraId="3E7C71F6">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R1450*突变导致蛋白翻译提前终止，产生截短的蛋白，可能导致蛋白功能缺失。</w:t>
      </w:r>
    </w:p>
    <w:p w14:paraId="4C034EC9">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664D8C6F">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APC：c.2387_2388del，p.Y796Wfs*2；37.52%</w:t>
      </w:r>
    </w:p>
    <w:p w14:paraId="07F959AF">
      <w:pPr>
        <w:spacing w:after="0"/>
      </w:pPr>
      <w:r>
        <w:rPr>
          <w:rFonts w:ascii="微软雅黑" w:hAnsi="微软雅黑" w:cs="微软雅黑"/>
          <w:b/>
        </w:rPr>
        <w:t>基因简介：</w:t>
      </w:r>
    </w:p>
    <w:p w14:paraId="2321AE8A">
      <w:pPr>
        <w:spacing w:after="0"/>
        <w:ind w:firstLine="400"/>
        <w:jc w:val="both"/>
        <w:rPr>
          <w:rFonts w:ascii="微软雅黑" w:hAnsi="微软雅黑" w:cs="微软雅黑"/>
          <w:sz w:val="21"/>
        </w:rPr>
      </w:pPr>
      <w:r>
        <w:rPr>
          <w:rFonts w:hint="eastAsia" w:ascii="微软雅黑" w:hAnsi="微软雅黑" w:cs="微软雅黑"/>
          <w:sz w:val="21"/>
        </w:rPr>
        <w:t>APC基因能够编码肿瘤抑制蛋白，并在经典WNT信号通路中起拮抗作用，APC作为β-链蛋白（β-catenin）信号传导的负调节因子，与β-链蛋白的稳定性密切相关。β-链蛋白参与E-钙粘蛋白细胞粘附系统和Wnt信号传导途径[10959075]。APC基因突变导致其不能有效地与β-catenin、GSK-3β和Axin结合而形成复合物，失去了调节表达水平的能力，信号通路下游相关基因转录激活，从而导致细胞增殖异常和肿瘤的发生。研究显示，APC突变在胰腺癌、胃癌中也频繁发生，可能与其疾病的发生发展相关[1338691，12378616，1423316]。对APC的功能研究还发现APC通过其基本结构域与微管细胞骨架结合，参与细胞迁移过程。有助于微管网络的组装和重组，这与细胞分裂密切相关。APC可以间接调节肌动蛋白丝网络的组织，并因此影响细胞形态、极性和迁移[8033082，8698812]。APC-hDLG复合物形成在APC细胞周期阻断信号转导中起重要作用[10656683]。</w:t>
      </w:r>
    </w:p>
    <w:p w14:paraId="716B65A7">
      <w:pPr>
        <w:spacing w:after="0"/>
      </w:pPr>
      <w:r>
        <w:rPr>
          <w:rFonts w:ascii="微软雅黑" w:hAnsi="微软雅黑" w:cs="微软雅黑"/>
          <w:b/>
        </w:rPr>
        <w:t>基因变异说明：</w:t>
      </w:r>
    </w:p>
    <w:p w14:paraId="4339EAC3">
      <w:pPr>
        <w:spacing w:after="0"/>
        <w:ind w:firstLine="400"/>
        <w:jc w:val="both"/>
        <w:rPr>
          <w:rFonts w:ascii="微软雅黑" w:hAnsi="微软雅黑" w:cs="微软雅黑"/>
          <w:sz w:val="21"/>
        </w:rPr>
      </w:pPr>
      <w:r>
        <w:rPr>
          <w:rFonts w:hint="eastAsia" w:ascii="微软雅黑" w:hAnsi="微软雅黑" w:cs="微软雅黑"/>
          <w:sz w:val="21"/>
        </w:rPr>
        <w:t>该样本检出APC基因c.2387_2388del，p.Y796Wfs*2碱基缺失引起的移码突变，第2387位至第2388位核苷酸缺失，导致相应蛋白序列中第796位氨基酸由酪氨酸突变为色氨酸，并开始发生移码，于此后第2位氨基酸处翻译终止，此突变在样本中的突变丰度为37.52%。</w:t>
      </w:r>
    </w:p>
    <w:p w14:paraId="547DAF2E">
      <w:pPr>
        <w:spacing w:after="0"/>
      </w:pPr>
      <w:r>
        <w:rPr>
          <w:rFonts w:ascii="微软雅黑" w:hAnsi="微软雅黑" w:cs="微软雅黑"/>
          <w:b/>
        </w:rPr>
        <w:t xml:space="preserve">基因变异解析： </w:t>
      </w:r>
    </w:p>
    <w:p w14:paraId="0DB53F77">
      <w:pPr>
        <w:spacing w:after="0"/>
        <w:ind w:firstLine="400"/>
        <w:jc w:val="both"/>
        <w:rPr>
          <w:rFonts w:hint="eastAsia" w:ascii="微软雅黑" w:hAnsi="微软雅黑" w:cs="微软雅黑"/>
          <w:sz w:val="21"/>
        </w:rPr>
      </w:pPr>
      <w:r>
        <w:rPr>
          <w:rFonts w:hint="eastAsia" w:ascii="微软雅黑" w:hAnsi="微软雅黑" w:cs="微软雅黑"/>
          <w:sz w:val="21"/>
        </w:rPr>
        <w:t>APC基因编码的蛋白全长为2843个氨基酸，主要包含2个卷曲螺旋结构域（2-59位、1869-1893位氨基酸）、1个Suppressor_APC结构域（126-208位氨基酸）、6个ARM结构域（340-392位、459-510位、512-553位、556-597位、599-644位和649-689位氨基酸）、1个Armadillo/beta-catenin-like repeat结构域（691-731位氨基酸）、4个APC_15aa结构域、7个APC_crr结构域、3个SAMP结构域、1个APC基础结构域（2223-2579位氨基酸）以及1个EB-1结合结构域（2670-2843位氨基酸）。该样本检出的p.Y796Wfs*2突变导致蛋白翻译提前终止，产生截短的蛋白，可能导致蛋白功能缺失。</w:t>
      </w:r>
    </w:p>
    <w:p w14:paraId="455FFDDD">
      <w:pPr>
        <w:spacing w:after="0"/>
        <w:ind w:firstLine="400"/>
        <w:jc w:val="both"/>
        <w:rPr>
          <w:rFonts w:hint="eastAsia" w:ascii="微软雅黑" w:hAnsi="微软雅黑" w:cs="微软雅黑"/>
          <w:sz w:val="21"/>
        </w:rPr>
      </w:pPr>
      <w:r>
        <w:rPr>
          <w:rFonts w:hint="eastAsia" w:ascii="微软雅黑" w:hAnsi="微软雅黑" w:cs="微软雅黑"/>
          <w:sz w:val="21"/>
        </w:rPr>
        <w:t>APC作为看家基因，参与DNA修复，它的突变会导致DNA修复减缓，增加周边其它细胞突变的风险，从而促进癌症的进展[24200292]。有研究表明，结直肠癌患者存在APC基因缺失，从而导致Wnt信号通路失调和C-Myc的反式激活，是潜在的治疗靶点[18593890]。</w:t>
      </w:r>
      <w:r>
        <w:rPr>
          <w:rFonts w:hint="eastAsia" w:ascii="微软雅黑" w:hAnsi="微软雅黑" w:cs="Arial Unicode MS"/>
          <w:kern w:val="2"/>
          <w:sz w:val="21"/>
          <w:szCs w:val="21"/>
          <w:lang w:val="en-US" w:eastAsia="zh-CN"/>
        </w:rPr>
        <w:t>因此，该样本检出的突变可能与疾病的发生发展相关。</w:t>
      </w:r>
      <w:r>
        <w:rPr>
          <w:rFonts w:hint="eastAsia" w:ascii="微软雅黑" w:hAnsi="微软雅黑" w:cs="微软雅黑"/>
          <w:sz w:val="21"/>
        </w:rPr>
        <w:t xml:space="preserve">  </w:t>
      </w:r>
    </w:p>
    <w:p w14:paraId="503F804B">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SETD2</w:t>
      </w:r>
      <w:r>
        <w:rPr>
          <w:rFonts w:ascii="微软雅黑" w:hAnsi="微软雅黑" w:cs="微软雅黑"/>
          <w:b/>
          <w:color w:val="FF0000"/>
          <w:sz w:val="24"/>
          <w:u w:val="single"/>
        </w:rPr>
        <w:t>：</w:t>
      </w:r>
      <w:r>
        <w:rPr>
          <w:rFonts w:hint="eastAsia" w:ascii="微软雅黑" w:hAnsi="微软雅黑" w:cs="微软雅黑"/>
          <w:b/>
          <w:color w:val="FF0000"/>
          <w:sz w:val="24"/>
          <w:u w:val="single"/>
        </w:rPr>
        <w:t>c.4930G&gt;T，p.G1644*；22.15%</w:t>
      </w:r>
    </w:p>
    <w:p w14:paraId="6FFBAC27">
      <w:pPr>
        <w:spacing w:after="0"/>
      </w:pPr>
      <w:r>
        <w:rPr>
          <w:rFonts w:ascii="微软雅黑" w:hAnsi="微软雅黑" w:cs="微软雅黑"/>
          <w:b/>
        </w:rPr>
        <w:t>基因简介：</w:t>
      </w:r>
    </w:p>
    <w:p w14:paraId="48F51615">
      <w:pPr>
        <w:spacing w:after="0"/>
        <w:ind w:firstLine="420" w:firstLineChars="200"/>
        <w:jc w:val="both"/>
        <w:outlineLvl w:val="9"/>
        <w:rPr>
          <w:rFonts w:hint="eastAsia" w:ascii="微软雅黑" w:hAnsi="微软雅黑" w:cs="Arial Unicode MS"/>
          <w:kern w:val="2"/>
          <w:sz w:val="21"/>
          <w:szCs w:val="21"/>
        </w:rPr>
      </w:pPr>
      <w:r>
        <w:rPr>
          <w:rFonts w:hint="eastAsia" w:ascii="微软雅黑" w:hAnsi="微软雅黑" w:cs="Arial Unicode MS"/>
          <w:kern w:val="2"/>
          <w:sz w:val="21"/>
          <w:szCs w:val="21"/>
        </w:rPr>
        <w:t>SETD2基因又名KMT3A或HYPB，该基因编码的蛋白是一个含有SET结构域的组蛋白H3K36特异性三甲基转移酶，最早是由人造血干细胞分离的，也是与亨廷顿病的发病机制相关的蛋白[9700202]。在人体中，SETD2是H3K36唯一的三甲基转移酶，参与调节H3K36三甲基化过程（H3K36me3）[12730288</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18157086]。SETD2蛋白主要包含WW结构域和AWS-SET-postSET三联结构域，负责与H3K36的特异性结合发挥甲基转移酶活性；保守的低电荷区域( low charge region) ，被认为是富有谷氨酰胺和脯氨酸的转录激活结构域；SETD2通过羧基端与高度磷酸化的RNA聚合酶Ⅱ相结合[16118227</w:t>
      </w:r>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因此SETD2可能是组蛋白甲基化修饰与基因转录调控之间的桥梁。SETD2通过抑制转录起始、激活转录因子p53、参与DNA修复过程和对细胞凋亡基因的调节等防止肿瘤的发生。目前，已在肾透明细胞癌、结直肠癌、乳腺癌、急性淋巴细胞性白血病和晚期脑胶质细胞瘤等多种肿瘤中发现SETD2基因发生突变，而绝大多数突变导致H3K36me3水平降低，表明SETD2的突变导致其编码蛋白失活[20501857</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20944102</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24509477]。</w:t>
      </w:r>
    </w:p>
    <w:p w14:paraId="5702E89C">
      <w:pPr>
        <w:spacing w:after="0"/>
      </w:pPr>
      <w:r>
        <w:rPr>
          <w:rFonts w:ascii="微软雅黑" w:hAnsi="微软雅黑" w:cs="微软雅黑"/>
          <w:b/>
        </w:rPr>
        <w:t>基因变异说明：</w:t>
      </w:r>
    </w:p>
    <w:p w14:paraId="6139506B">
      <w:pPr>
        <w:spacing w:after="0"/>
        <w:ind w:firstLine="400"/>
        <w:jc w:val="both"/>
        <w:rPr>
          <w:rFonts w:ascii="微软雅黑" w:hAnsi="微软雅黑" w:cs="微软雅黑"/>
          <w:sz w:val="21"/>
        </w:rPr>
      </w:pPr>
      <w:r>
        <w:rPr>
          <w:rFonts w:hint="eastAsia" w:ascii="微软雅黑" w:hAnsi="微软雅黑" w:cs="微软雅黑"/>
          <w:sz w:val="21"/>
        </w:rPr>
        <w:t>该样本检出SETD2基因c.4930G&gt;T，p.G1644*无义突变，第4930位核苷酸由G突变为T，导致相应蛋白序列中第1644位氨基酸由甘氨酸突变为终止密码子，此突变在样本中的突变丰度为22.15%。</w:t>
      </w:r>
    </w:p>
    <w:p w14:paraId="638F7D83">
      <w:pPr>
        <w:spacing w:after="0"/>
      </w:pPr>
      <w:r>
        <w:rPr>
          <w:rFonts w:ascii="微软雅黑" w:hAnsi="微软雅黑" w:cs="微软雅黑"/>
          <w:b/>
        </w:rPr>
        <w:t xml:space="preserve">基因变异解析： </w:t>
      </w:r>
    </w:p>
    <w:p w14:paraId="0BF9D77D">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b w:val="0"/>
          <w:bCs w:val="0"/>
          <w:kern w:val="2"/>
          <w:sz w:val="21"/>
          <w:szCs w:val="21"/>
          <w:highlight w:val="none"/>
          <w:lang w:val="en-US" w:eastAsia="zh-CN"/>
        </w:rPr>
      </w:pPr>
      <w:r>
        <w:rPr>
          <w:rFonts w:hint="eastAsia" w:ascii="微软雅黑" w:hAnsi="微软雅黑" w:cs="Arial Unicode MS"/>
          <w:kern w:val="2"/>
          <w:sz w:val="21"/>
          <w:szCs w:val="21"/>
          <w:highlight w:val="none"/>
        </w:rPr>
        <w:t>SETD2</w:t>
      </w:r>
      <w:r>
        <w:rPr>
          <w:rFonts w:hint="eastAsia" w:ascii="微软雅黑" w:hAnsi="微软雅黑" w:cs="Arial Unicode MS"/>
          <w:kern w:val="2"/>
          <w:sz w:val="21"/>
          <w:szCs w:val="21"/>
          <w:highlight w:val="none"/>
          <w:lang w:eastAsia="zh-CN"/>
        </w:rPr>
        <w:t>基因编码的蛋</w:t>
      </w:r>
      <w:r>
        <w:rPr>
          <w:rFonts w:hint="eastAsia" w:ascii="微软雅黑" w:hAnsi="微软雅黑" w:cs="Arial Unicode MS"/>
          <w:kern w:val="2"/>
          <w:sz w:val="21"/>
          <w:szCs w:val="21"/>
          <w:lang w:eastAsia="zh-CN"/>
        </w:rPr>
        <w:t>白</w:t>
      </w:r>
      <w:r>
        <w:rPr>
          <w:rFonts w:hint="eastAsia" w:ascii="微软雅黑" w:hAnsi="微软雅黑" w:cs="Arial Unicode MS"/>
          <w:kern w:val="2"/>
          <w:sz w:val="21"/>
          <w:szCs w:val="21"/>
          <w:lang w:val="en-US" w:eastAsia="zh-CN"/>
        </w:rPr>
        <w:t>全长为2564个氨基酸，</w:t>
      </w:r>
      <w:r>
        <w:rPr>
          <w:rFonts w:hint="eastAsia" w:ascii="微软雅黑" w:hAnsi="微软雅黑" w:cs="Arial Unicode MS"/>
          <w:kern w:val="2"/>
          <w:sz w:val="21"/>
          <w:szCs w:val="21"/>
          <w:lang w:eastAsia="zh-CN"/>
        </w:rPr>
        <w:t>主要包含</w:t>
      </w:r>
      <w:r>
        <w:rPr>
          <w:rFonts w:hint="eastAsia" w:ascii="微软雅黑" w:hAnsi="微软雅黑" w:cs="Arial Unicode MS"/>
          <w:kern w:val="2"/>
          <w:sz w:val="21"/>
          <w:szCs w:val="21"/>
          <w:lang w:val="en-US" w:eastAsia="zh-CN"/>
        </w:rPr>
        <w:t>AWS结构域（第1494-1549位氨基酸）、SET结构域（第1550-1673位氨基酸）和SRI结构域（第2465-2559位氨基酸）。</w:t>
      </w:r>
      <w:r>
        <w:rPr>
          <w:rFonts w:hint="eastAsia" w:ascii="微软雅黑" w:hAnsi="微软雅黑" w:cs="Arial Unicode MS"/>
          <w:b w:val="0"/>
          <w:bCs w:val="0"/>
          <w:kern w:val="2"/>
          <w:sz w:val="21"/>
          <w:szCs w:val="21"/>
          <w:highlight w:val="none"/>
          <w:lang w:val="en-US" w:eastAsia="zh-CN"/>
        </w:rPr>
        <w:t>该样本检出的</w:t>
      </w:r>
      <w:r>
        <w:rPr>
          <w:rFonts w:hint="eastAsia" w:ascii="微软雅黑" w:hAnsi="微软雅黑" w:cs="微软雅黑"/>
          <w:sz w:val="21"/>
        </w:rPr>
        <w:t>p.G1644*</w:t>
      </w:r>
      <w:r>
        <w:rPr>
          <w:rFonts w:hint="eastAsia" w:ascii="微软雅黑" w:hAnsi="微软雅黑" w:cs="Arial Unicode MS"/>
          <w:kern w:val="2"/>
          <w:sz w:val="21"/>
          <w:szCs w:val="21"/>
          <w:highlight w:val="none"/>
          <w:lang w:eastAsia="zh-CN"/>
        </w:rPr>
        <w:t>突变导致蛋白翻译提前终止</w:t>
      </w:r>
      <w:r>
        <w:rPr>
          <w:rFonts w:hint="eastAsia" w:ascii="微软雅黑" w:hAnsi="微软雅黑" w:cs="Arial Unicode MS"/>
          <w:b w:val="0"/>
          <w:bCs w:val="0"/>
          <w:kern w:val="2"/>
          <w:sz w:val="21"/>
          <w:szCs w:val="21"/>
          <w:highlight w:val="none"/>
          <w:lang w:val="en-US" w:eastAsia="zh-CN"/>
        </w:rPr>
        <w:t>，产生截短的蛋白，可能导致蛋白功能缺失。</w:t>
      </w:r>
    </w:p>
    <w:p w14:paraId="6C5D8E05">
      <w:pPr>
        <w:numPr>
          <w:ilvl w:val="-1"/>
          <w:numId w:val="0"/>
        </w:numPr>
        <w:spacing w:before="0" w:beforeLines="-2147483648" w:after="0" w:afterLines="-2147483648"/>
        <w:ind w:left="0" w:leftChars="0" w:firstLine="420" w:firstLineChars="200"/>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lang w:val="en-US" w:eastAsia="zh-CN"/>
        </w:rPr>
        <w:t>有研究表明，SETD2缺失与WEE1抑制剂具有“合成致死”作用[29955114]。因此，该样本检出的突变可能与疾病的发生发展及用药相关。</w:t>
      </w:r>
    </w:p>
    <w:p w14:paraId="02C2BA7A">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EPHA2：c.153+2T&gt;C；3.33%</w:t>
      </w:r>
    </w:p>
    <w:p w14:paraId="31DFD8D9">
      <w:pPr>
        <w:spacing w:after="0"/>
      </w:pPr>
      <w:r>
        <w:rPr>
          <w:rFonts w:ascii="微软雅黑" w:hAnsi="微软雅黑" w:cs="微软雅黑"/>
          <w:b/>
        </w:rPr>
        <w:t>基因简介：</w:t>
      </w:r>
    </w:p>
    <w:p w14:paraId="7A2AC3E0">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EPHA2是EPH亚家族的成员之一，编码蛋白含有一个976个氨基酸多肽，相对分子质量为130000，为膜结合Ⅰ型糖蛋白。研究表明，EPHA2广泛高表达于许多肿瘤组织中，包括乳腺癌、脑癌、前列腺癌、非小细胞肺癌和结肠癌等[28165374]。对大肠癌的研究发现，EPHA2在癌组织中高表达，并与肿瘤组织血管形成呈正相关。EPHA2能促进肿瘤血管内皮细胞的迁移，并通过影响细胞骨架、基质粘附和细胞粘附而促进毛细血管结构的形成。EPHA2在内皮和卵巢癌细胞中的过表达与涉及血管发生和侵袭的关键因素密切相关。这些结果表明EPHA2过表达的患者的临床结局通常较差[17154180]。</w:t>
      </w:r>
    </w:p>
    <w:p w14:paraId="55922ACA">
      <w:pPr>
        <w:spacing w:after="0"/>
      </w:pPr>
      <w:r>
        <w:rPr>
          <w:rFonts w:ascii="微软雅黑" w:hAnsi="微软雅黑" w:cs="微软雅黑"/>
          <w:b/>
        </w:rPr>
        <w:t>基因变异说明：</w:t>
      </w:r>
    </w:p>
    <w:p w14:paraId="0DD5ECB4">
      <w:pPr>
        <w:spacing w:after="0"/>
        <w:ind w:firstLine="400"/>
        <w:jc w:val="both"/>
        <w:rPr>
          <w:rFonts w:ascii="微软雅黑" w:hAnsi="微软雅黑" w:cs="微软雅黑"/>
          <w:sz w:val="21"/>
        </w:rPr>
      </w:pPr>
      <w:r>
        <w:rPr>
          <w:rFonts w:hint="eastAsia" w:ascii="微软雅黑" w:hAnsi="微软雅黑" w:cs="微软雅黑"/>
          <w:sz w:val="21"/>
        </w:rPr>
        <w:t>该样本检出EPHA2基因c.153+2T&gt;C剪接突变，第153位核苷酸下游第2位核苷酸由T突变为C，此突变在样本中的突变丰度为3.33%。</w:t>
      </w:r>
    </w:p>
    <w:p w14:paraId="6467F40F">
      <w:pPr>
        <w:spacing w:after="0"/>
      </w:pPr>
      <w:r>
        <w:rPr>
          <w:rFonts w:ascii="微软雅黑" w:hAnsi="微软雅黑" w:cs="微软雅黑"/>
          <w:b/>
        </w:rPr>
        <w:t xml:space="preserve">基因变异解析： </w:t>
      </w:r>
    </w:p>
    <w:p w14:paraId="6B1957D5">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yellow"/>
        </w:rPr>
      </w:pPr>
      <w:r>
        <w:rPr>
          <w:rFonts w:hint="eastAsia" w:ascii="微软雅黑" w:hAnsi="微软雅黑" w:cs="Arial Unicode MS"/>
          <w:kern w:val="2"/>
          <w:sz w:val="21"/>
          <w:szCs w:val="21"/>
          <w:highlight w:val="none"/>
        </w:rPr>
        <w:t>EPHA2基因编码的蛋白</w:t>
      </w:r>
      <w:r>
        <w:rPr>
          <w:rFonts w:hint="eastAsia" w:ascii="微软雅黑" w:hAnsi="微软雅黑" w:cs="Arial Unicode MS"/>
          <w:kern w:val="2"/>
          <w:sz w:val="21"/>
          <w:szCs w:val="21"/>
          <w:highlight w:val="none"/>
          <w:lang w:val="en-US" w:eastAsia="zh-CN"/>
        </w:rPr>
        <w:t>全长为976个氨基酸，</w:t>
      </w:r>
      <w:r>
        <w:rPr>
          <w:rFonts w:hint="eastAsia" w:ascii="微软雅黑" w:hAnsi="微软雅黑" w:cs="Arial Unicode MS"/>
          <w:kern w:val="2"/>
          <w:sz w:val="21"/>
          <w:szCs w:val="21"/>
          <w:highlight w:val="none"/>
        </w:rPr>
        <w:t>主要包含1个信号肽区域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1-24位氨基酸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、1个胞外配体结合结构域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28-201位氨基酸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、1个跨膜结构域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536-558位氨基酸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、2个FN3结构域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329-419位氨基酸和436-516位氨基酸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、1个酪氨酸激酶结构域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613-871位氨基酸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以及1个SAM结构域</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lang w:val="en-US" w:eastAsia="zh-CN"/>
        </w:rPr>
        <w:t>901-968位氨基酸</w:t>
      </w:r>
      <w:r>
        <w:rPr>
          <w:rFonts w:hint="eastAsia" w:ascii="微软雅黑" w:hAnsi="微软雅黑" w:cs="Arial Unicode MS"/>
          <w:kern w:val="2"/>
          <w:sz w:val="21"/>
          <w:szCs w:val="21"/>
          <w:highlight w:val="none"/>
          <w:lang w:eastAsia="zh-CN"/>
        </w:rPr>
        <w:t>）</w:t>
      </w:r>
      <w:r>
        <w:rPr>
          <w:rFonts w:hint="eastAsia" w:ascii="微软雅黑" w:hAnsi="微软雅黑" w:cs="Arial Unicode MS"/>
          <w:kern w:val="2"/>
          <w:sz w:val="21"/>
          <w:szCs w:val="21"/>
          <w:highlight w:val="none"/>
        </w:rPr>
        <w:t>。该样本检出的</w:t>
      </w:r>
      <w:r>
        <w:rPr>
          <w:rFonts w:hint="eastAsia" w:ascii="微软雅黑" w:hAnsi="微软雅黑" w:cs="微软雅黑"/>
          <w:sz w:val="21"/>
        </w:rPr>
        <w:t>c.153+2T&gt;C突变位于内含子与外显子交界处，可能导致mRNA剪接异常，进而导致蛋白功能缺失</w:t>
      </w:r>
      <w:r>
        <w:rPr>
          <w:rFonts w:hint="eastAsia" w:ascii="微软雅黑" w:hAnsi="微软雅黑" w:cs="微软雅黑"/>
          <w:sz w:val="21"/>
          <w:lang w:eastAsia="zh-CN"/>
        </w:rPr>
        <w:t>。</w:t>
      </w:r>
    </w:p>
    <w:p w14:paraId="3ECEB9BF">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0" w:line="240" w:lineRule="auto"/>
        <w:ind w:firstLine="400"/>
        <w:jc w:val="both"/>
        <w:textAlignment w:val="auto"/>
        <w:rPr>
          <w:rFonts w:hint="eastAsia" w:ascii="微软雅黑" w:hAnsi="微软雅黑" w:cs="Arial Unicode MS"/>
          <w:kern w:val="2"/>
          <w:sz w:val="21"/>
          <w:szCs w:val="21"/>
          <w:highlight w:val="none"/>
        </w:rPr>
      </w:pPr>
      <w:r>
        <w:rPr>
          <w:rFonts w:hint="eastAsia" w:ascii="微软雅黑" w:hAnsi="微软雅黑" w:cs="Arial Unicode MS"/>
          <w:kern w:val="2"/>
          <w:sz w:val="21"/>
          <w:szCs w:val="21"/>
          <w:highlight w:val="none"/>
        </w:rPr>
        <w:t>人类EPHA2在前列腺癌、肺癌、食管癌、结直肠癌、宫颈癌、卵巢癌、乳腺癌和皮肤癌中大量表达</w:t>
      </w:r>
      <w:r>
        <w:rPr>
          <w:rFonts w:hint="eastAsia" w:ascii="微软雅黑" w:hAnsi="微软雅黑" w:cs="Arial Unicode MS"/>
          <w:kern w:val="2"/>
          <w:sz w:val="21"/>
          <w:szCs w:val="21"/>
          <w:highlight w:val="none"/>
          <w:lang w:val="en-US" w:eastAsia="zh-CN"/>
        </w:rPr>
        <w:t>[28966234]</w:t>
      </w:r>
      <w:r>
        <w:rPr>
          <w:rFonts w:hint="eastAsia" w:ascii="微软雅黑" w:hAnsi="微软雅黑" w:cs="Arial Unicode MS"/>
          <w:kern w:val="2"/>
          <w:sz w:val="21"/>
          <w:szCs w:val="21"/>
          <w:highlight w:val="none"/>
        </w:rPr>
        <w:t>。有研究表明，EphA2的表达与临床分期及淋巴结转移密切相关。EphA2可与VEGF结合作为判断NSCLC恶性程度及预后的指标，及早期诊断指标和治疗的新靶点</w:t>
      </w:r>
      <w:r>
        <w:rPr>
          <w:rFonts w:hint="eastAsia" w:ascii="微软雅黑" w:hAnsi="微软雅黑" w:cs="Arial Unicode MS"/>
          <w:kern w:val="2"/>
          <w:sz w:val="21"/>
          <w:szCs w:val="21"/>
          <w:highlight w:val="none"/>
          <w:lang w:val="en-US" w:eastAsia="zh-CN"/>
        </w:rPr>
        <w:t>[19531623]</w:t>
      </w:r>
      <w:r>
        <w:rPr>
          <w:rFonts w:hint="eastAsia" w:ascii="微软雅黑" w:hAnsi="微软雅黑" w:cs="Arial Unicode MS"/>
          <w:kern w:val="2"/>
          <w:sz w:val="21"/>
          <w:szCs w:val="21"/>
          <w:highlight w:val="none"/>
        </w:rPr>
        <w:t>。</w:t>
      </w:r>
      <w:r>
        <w:rPr>
          <w:rFonts w:hint="eastAsia" w:ascii="微软雅黑" w:hAnsi="微软雅黑" w:cs="微软雅黑"/>
          <w:sz w:val="21"/>
          <w:highlight w:val="none"/>
          <w:lang w:eastAsia="zh-CN"/>
        </w:rPr>
        <w:t>但是，目前该样本检出的突变在</w:t>
      </w:r>
      <w:r>
        <w:rPr>
          <w:rFonts w:hint="eastAsia" w:ascii="微软雅黑" w:hAnsi="微软雅黑" w:cs="微软雅黑"/>
          <w:sz w:val="21"/>
          <w:highlight w:val="none"/>
          <w:lang w:val="en-US" w:eastAsia="zh-CN"/>
        </w:rPr>
        <w:t>结直肠癌</w:t>
      </w:r>
      <w:r>
        <w:rPr>
          <w:rFonts w:hint="eastAsia" w:ascii="微软雅黑" w:hAnsi="微软雅黑" w:cs="微软雅黑"/>
          <w:sz w:val="21"/>
          <w:highlight w:val="none"/>
          <w:lang w:eastAsia="zh-CN"/>
        </w:rPr>
        <w:t>中的具体临床意义</w:t>
      </w:r>
      <w:r>
        <w:rPr>
          <w:rFonts w:hint="eastAsia" w:ascii="微软雅黑" w:hAnsi="微软雅黑" w:cs="微软雅黑"/>
          <w:sz w:val="21"/>
          <w:highlight w:val="none"/>
          <w:lang w:val="en-US" w:eastAsia="zh-CN"/>
        </w:rPr>
        <w:t>有待明确</w:t>
      </w:r>
      <w:r>
        <w:rPr>
          <w:rFonts w:hint="eastAsia" w:ascii="微软雅黑" w:hAnsi="微软雅黑" w:cs="微软雅黑"/>
          <w:sz w:val="21"/>
          <w:highlight w:val="none"/>
          <w:lang w:eastAsia="zh-CN"/>
        </w:rPr>
        <w:t>。</w:t>
      </w:r>
    </w:p>
    <w:p w14:paraId="25D23E08">
      <w:pPr>
        <w:spacing w:before="200"/>
        <w:jc w:val="both"/>
        <w:rPr>
          <w:rFonts w:ascii="微软雅黑" w:hAnsi="微软雅黑" w:cs="微软雅黑"/>
          <w:sz w:val="21"/>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cs="微软雅黑"/>
          <w:b/>
          <w:color w:val="0000FF"/>
          <w:sz w:val="24"/>
          <w:u w:val="single"/>
        </w:rPr>
        <w:t>FANCI：c.2879G&gt;A，p.R960Q；2.18%</w:t>
      </w:r>
    </w:p>
    <w:p w14:paraId="07618F6F">
      <w:pPr>
        <w:spacing w:after="0"/>
      </w:pPr>
      <w:r>
        <w:rPr>
          <w:rFonts w:ascii="微软雅黑" w:hAnsi="微软雅黑" w:cs="微软雅黑"/>
          <w:b/>
        </w:rPr>
        <w:t>基因简介：</w:t>
      </w:r>
    </w:p>
    <w:p w14:paraId="21EB1736">
      <w:pPr>
        <w:keepNext w:val="0"/>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beforeLines="0" w:after="0" w:line="240" w:lineRule="auto"/>
        <w:ind w:firstLine="400"/>
        <w:jc w:val="both"/>
        <w:textAlignment w:val="auto"/>
        <w:rPr>
          <w:rFonts w:ascii="微软雅黑" w:hAnsi="微软雅黑" w:eastAsia="微软雅黑" w:cs="微软雅黑"/>
          <w:sz w:val="21"/>
        </w:rPr>
      </w:pPr>
      <w:r>
        <w:rPr>
          <w:rFonts w:hint="eastAsia" w:ascii="微软雅黑" w:hAnsi="微软雅黑" w:eastAsia="微软雅黑" w:cs="微软雅黑"/>
          <w:sz w:val="21"/>
        </w:rPr>
        <w:t>FANCI基因是范可尼贫血互补组（FANC）的成员之一，其他成员还包括FANCA、FANCB、FANCC、FANCD1（也称为BRCA2）、FANCD2、FANCE、FANCF、FANCG、FANCJ（也称为BRIP1）、FANCL、FANCM和FANCN（也称为PALB2）[GeneCards]。FANCI基因编码的蛋白在DNA修复中起作用。目前，已在甲状腺癌、结肠癌和皮肤癌等癌症中观察到FANCI基因的错义突变、同义突变、无义突变、移码插入和移码缺失。</w:t>
      </w:r>
    </w:p>
    <w:p w14:paraId="6F490BB4">
      <w:pPr>
        <w:spacing w:after="0"/>
      </w:pPr>
      <w:r>
        <w:rPr>
          <w:rFonts w:ascii="微软雅黑" w:hAnsi="微软雅黑" w:cs="微软雅黑"/>
          <w:b/>
        </w:rPr>
        <w:t>基因变异说明：</w:t>
      </w:r>
    </w:p>
    <w:p w14:paraId="7B4E2C5E">
      <w:pPr>
        <w:spacing w:after="0"/>
        <w:ind w:firstLine="400"/>
        <w:jc w:val="both"/>
        <w:rPr>
          <w:rFonts w:ascii="微软雅黑" w:hAnsi="微软雅黑" w:cs="微软雅黑"/>
          <w:sz w:val="21"/>
        </w:rPr>
      </w:pPr>
      <w:r>
        <w:rPr>
          <w:rFonts w:hint="eastAsia" w:ascii="微软雅黑" w:hAnsi="微软雅黑" w:cs="微软雅黑"/>
          <w:sz w:val="21"/>
        </w:rPr>
        <w:t>该样本检出FANCI基因c.2879G&gt;A，p.R960Q错义突变，第2879位核苷酸由G突变为A，导致相应蛋白序列中第960位氨基酸由精氨酸突变为谷氨酰胺，此突变在样本中的突变丰度为2.18%。</w:t>
      </w:r>
    </w:p>
    <w:p w14:paraId="272A8761">
      <w:pPr>
        <w:spacing w:after="0"/>
      </w:pPr>
      <w:r>
        <w:rPr>
          <w:rFonts w:ascii="微软雅黑" w:hAnsi="微软雅黑" w:cs="微软雅黑"/>
          <w:b/>
        </w:rPr>
        <w:t xml:space="preserve">基因变异解析： </w:t>
      </w:r>
    </w:p>
    <w:p w14:paraId="6F0D52AD">
      <w:pPr>
        <w:spacing w:after="0"/>
        <w:ind w:firstLine="420" w:firstLineChars="200"/>
        <w:jc w:val="both"/>
        <w:outlineLvl w:val="9"/>
        <w:rPr>
          <w:rFonts w:hint="eastAsia" w:ascii="微软雅黑" w:hAnsi="微软雅黑" w:eastAsia="微软雅黑" w:cs="微软雅黑"/>
          <w:sz w:val="21"/>
          <w:highlight w:val="none"/>
        </w:rPr>
      </w:pPr>
      <w:r>
        <w:rPr>
          <w:rFonts w:hint="eastAsia" w:ascii="微软雅黑" w:hAnsi="微软雅黑" w:eastAsia="微软雅黑" w:cs="微软雅黑"/>
          <w:sz w:val="21"/>
          <w:highlight w:val="none"/>
        </w:rPr>
        <w:t>FANCI基因编码的蛋白全长为1328个氨基酸，主要包含多个低复杂度区域。该样本检出的</w:t>
      </w:r>
      <w:r>
        <w:rPr>
          <w:rFonts w:hint="eastAsia" w:ascii="微软雅黑" w:hAnsi="微软雅黑" w:cs="微软雅黑"/>
          <w:sz w:val="21"/>
        </w:rPr>
        <w:t>p.R960Q</w:t>
      </w:r>
      <w:r>
        <w:rPr>
          <w:rFonts w:hint="eastAsia" w:ascii="微软雅黑" w:hAnsi="微软雅黑" w:eastAsia="微软雅黑" w:cs="微软雅黑"/>
          <w:sz w:val="21"/>
          <w:highlight w:val="none"/>
        </w:rPr>
        <w:t>突变</w:t>
      </w:r>
      <w:r>
        <w:rPr>
          <w:rFonts w:hint="eastAsia" w:ascii="微软雅黑" w:hAnsi="微软雅黑" w:cs="微软雅黑"/>
          <w:sz w:val="21"/>
          <w:highlight w:val="none"/>
          <w:lang w:val="en-US" w:eastAsia="zh-CN"/>
        </w:rPr>
        <w:t>位于上述结构域之外，对蛋白功能的影响未知</w:t>
      </w:r>
      <w:r>
        <w:rPr>
          <w:rFonts w:hint="eastAsia" w:ascii="微软雅黑" w:hAnsi="微软雅黑" w:eastAsia="微软雅黑" w:cs="微软雅黑"/>
          <w:sz w:val="21"/>
          <w:highlight w:val="none"/>
        </w:rPr>
        <w:t>。</w:t>
      </w:r>
    </w:p>
    <w:p w14:paraId="778A9581">
      <w:pPr>
        <w:spacing w:after="0"/>
        <w:ind w:firstLine="400"/>
        <w:jc w:val="both"/>
        <w:rPr>
          <w:rFonts w:hint="eastAsia" w:ascii="微软雅黑" w:hAnsi="微软雅黑" w:cs="微软雅黑"/>
          <w:sz w:val="21"/>
        </w:rPr>
      </w:pPr>
      <w:r>
        <w:rPr>
          <w:rFonts w:hint="eastAsia" w:ascii="微软雅黑" w:hAnsi="微软雅黑" w:eastAsia="微软雅黑" w:cs="微软雅黑"/>
          <w:sz w:val="21"/>
        </w:rPr>
        <w:t>有研究表明，FANCI是FA途径的第二个单泛素化成员，FANCI功能缺失可导致AKT的自发磷酸化和活化[27097374]。另有研究表明，FANCI基因编码的蛋白在DNA修复中起重要作用，FANCI功能缺失可增强肿瘤对PARP抑制剂的敏感性[27022037，Abstract IA25]。研究显示，DNA修复基因包含FANCI</w:t>
      </w:r>
      <w:r>
        <w:rPr>
          <w:rFonts w:hint="eastAsia" w:ascii="微软雅黑" w:hAnsi="微软雅黑" w:cs="微软雅黑"/>
          <w:sz w:val="21"/>
          <w:lang w:eastAsia="zh-CN"/>
        </w:rPr>
        <w:t>，</w:t>
      </w:r>
      <w:r>
        <w:rPr>
          <w:rFonts w:hint="eastAsia" w:ascii="微软雅黑" w:hAnsi="微软雅黑" w:eastAsia="微软雅黑" w:cs="微软雅黑"/>
          <w:sz w:val="21"/>
        </w:rPr>
        <w:t>DNA修复基因突变与免疫治疗临床获益相关[30262796</w:t>
      </w:r>
      <w:r>
        <w:rPr>
          <w:rFonts w:hint="eastAsia" w:ascii="微软雅黑" w:hAnsi="微软雅黑" w:cs="微软雅黑"/>
          <w:sz w:val="21"/>
          <w:lang w:eastAsia="zh-CN"/>
        </w:rPr>
        <w:t>，</w:t>
      </w:r>
      <w:r>
        <w:rPr>
          <w:rFonts w:hint="eastAsia" w:ascii="微软雅黑" w:hAnsi="微软雅黑" w:eastAsia="微软雅黑" w:cs="微软雅黑"/>
          <w:sz w:val="21"/>
        </w:rPr>
        <w:t>31658756]。</w:t>
      </w:r>
      <w:r>
        <w:rPr>
          <w:rFonts w:hint="eastAsia" w:ascii="微软雅黑" w:hAnsi="微软雅黑" w:cs="微软雅黑"/>
          <w:sz w:val="21"/>
        </w:rPr>
        <w:t>但是，目前该样本检出的突变在</w:t>
      </w:r>
      <w:r>
        <w:rPr>
          <w:rFonts w:hint="eastAsia" w:ascii="微软雅黑" w:hAnsi="微软雅黑" w:cs="微软雅黑"/>
          <w:sz w:val="21"/>
          <w:lang w:val="en-US" w:eastAsia="zh-CN"/>
        </w:rPr>
        <w:t>结直肠癌</w:t>
      </w:r>
      <w:r>
        <w:rPr>
          <w:rFonts w:hint="eastAsia" w:ascii="微软雅黑" w:hAnsi="微软雅黑" w:cs="微软雅黑"/>
          <w:sz w:val="21"/>
        </w:rPr>
        <w:t>中的具体临床意义</w:t>
      </w:r>
      <w:r>
        <w:rPr>
          <w:rFonts w:hint="eastAsia" w:ascii="微软雅黑" w:hAnsi="微软雅黑" w:cs="微软雅黑"/>
          <w:sz w:val="21"/>
          <w:lang w:val="en-US" w:eastAsia="zh-CN"/>
        </w:rPr>
        <w:t>未明</w:t>
      </w:r>
      <w:r>
        <w:rPr>
          <w:rFonts w:hint="eastAsia" w:ascii="微软雅黑" w:hAnsi="微软雅黑" w:cs="微软雅黑"/>
          <w:sz w:val="21"/>
        </w:rPr>
        <w:t xml:space="preserve">。  </w:t>
      </w:r>
    </w:p>
    <w:p w14:paraId="549E46BA">
      <w:pPr>
        <w:spacing w:before="200"/>
        <w:jc w:val="both"/>
        <w:rPr>
          <w:rFonts w:hint="eastAsia" w:ascii="微软雅黑" w:hAnsi="微软雅黑" w:cs="微软雅黑"/>
          <w:b/>
          <w:color w:val="FF0000"/>
          <w:sz w:val="24"/>
          <w:u w:val="single"/>
        </w:rPr>
      </w:pPr>
      <w:r>
        <w:rPr>
          <w:rFonts w:ascii="Wingdings" w:hAnsi="Wingdings" w:eastAsia="Wingdings" w:cs="Wingdings"/>
          <w:sz w:val="24"/>
        </w:rPr>
        <w:t>u</w:t>
      </w:r>
      <w:r>
        <w:rPr>
          <w:rFonts w:hint="eastAsia" w:ascii="Wingdings" w:hAnsi="Wingdings" w:eastAsia="宋体" w:cs="Wingdings"/>
          <w:sz w:val="24"/>
        </w:rPr>
        <w:t xml:space="preserve"> </w:t>
      </w:r>
      <w:r>
        <w:rPr>
          <w:rFonts w:hint="eastAsia" w:ascii="微软雅黑" w:hAnsi="微软雅黑" w:eastAsia="宋体" w:cs="微软雅黑"/>
          <w:b/>
          <w:color w:val="FF0000"/>
          <w:sz w:val="24"/>
          <w:u w:val="single"/>
        </w:rPr>
        <w:t>ATM</w:t>
      </w:r>
      <w:r>
        <w:rPr>
          <w:rFonts w:ascii="微软雅黑" w:hAnsi="微软雅黑" w:cs="微软雅黑"/>
          <w:b/>
          <w:color w:val="FF0000"/>
          <w:sz w:val="24"/>
          <w:u w:val="single"/>
        </w:rPr>
        <w:t>：</w:t>
      </w:r>
      <w:r>
        <w:rPr>
          <w:rFonts w:hint="eastAsia" w:ascii="微软雅黑" w:hAnsi="微软雅黑" w:cs="微软雅黑"/>
          <w:b/>
          <w:color w:val="FF0000"/>
          <w:sz w:val="24"/>
          <w:u w:val="single"/>
        </w:rPr>
        <w:t>c.6874C&gt;T，p.Q2292*；0.53%</w:t>
      </w:r>
    </w:p>
    <w:p w14:paraId="2E2EF9CF">
      <w:pPr>
        <w:spacing w:after="0"/>
      </w:pPr>
      <w:r>
        <w:rPr>
          <w:rFonts w:ascii="微软雅黑" w:hAnsi="微软雅黑" w:cs="微软雅黑"/>
          <w:b/>
        </w:rPr>
        <w:t>基因简介：</w:t>
      </w:r>
    </w:p>
    <w:p w14:paraId="7959DFC2">
      <w:pPr>
        <w:spacing w:after="0"/>
        <w:ind w:firstLine="400"/>
        <w:jc w:val="both"/>
        <w:rPr>
          <w:rFonts w:ascii="微软雅黑" w:hAnsi="微软雅黑" w:cs="微软雅黑"/>
          <w:sz w:val="21"/>
        </w:rPr>
      </w:pPr>
      <w:r>
        <w:rPr>
          <w:rFonts w:hint="eastAsia" w:ascii="微软雅黑" w:hAnsi="微软雅黑" w:cs="微软雅黑"/>
          <w:sz w:val="21"/>
        </w:rPr>
        <w:t>ATM 基因编码的蛋白属于PI3/PI4 激酶家族。ATM蛋白是重要的细胞循环检查点激酶，可调控一系列下游蛋白，包括抑癌基因蛋白P53、BRCA1，检测点激酶CHK2、RAD17 和 RAD9，以及DNA修复蛋白NBS1。ATM以及相关的蛋白激酶ATR是细胞循环调控点检测信号的主要蛋白，对于保持基因组的稳定性以及DNA 损伤修复起重要作用。ATM基因在人类恶性肿瘤发展过程中起重要作用。ATM基因是已知的肿瘤抑制基因，ATM基因的突变与共济失调毛细血管扩张（一种常染色体隐性遗传疾病）相关[7792600]。在不吸烟的肺癌患者中，ATM基因的多态性与肺癌的发生和发展密切相关[20004998]。ATM基因突变在肺癌和结直肠癌中频繁发生[25079552，22810696]。</w:t>
      </w:r>
    </w:p>
    <w:p w14:paraId="6887040A">
      <w:pPr>
        <w:spacing w:after="0"/>
      </w:pPr>
      <w:r>
        <w:rPr>
          <w:rFonts w:ascii="微软雅黑" w:hAnsi="微软雅黑" w:cs="微软雅黑"/>
          <w:b/>
        </w:rPr>
        <w:t>基因变异说明：</w:t>
      </w:r>
    </w:p>
    <w:p w14:paraId="094B12BA">
      <w:pPr>
        <w:spacing w:after="0"/>
        <w:ind w:firstLine="400"/>
        <w:jc w:val="both"/>
        <w:rPr>
          <w:rFonts w:ascii="微软雅黑" w:hAnsi="微软雅黑" w:cs="微软雅黑"/>
          <w:sz w:val="21"/>
        </w:rPr>
      </w:pPr>
      <w:r>
        <w:rPr>
          <w:rFonts w:hint="eastAsia" w:ascii="微软雅黑" w:hAnsi="微软雅黑" w:cs="微软雅黑"/>
          <w:sz w:val="21"/>
        </w:rPr>
        <w:t>该样本检出ATM基因c.6874C&gt;T，p.Q2292*无义突变，第6874位核苷酸由C突变为T，导致相应蛋白序列中第2292位氨基酸由谷氨酰胺突变为终止密码子，此突变在样本中的突变丰度为0.53%。</w:t>
      </w:r>
    </w:p>
    <w:p w14:paraId="5C8E6402">
      <w:pPr>
        <w:spacing w:after="0"/>
      </w:pPr>
      <w:r>
        <w:rPr>
          <w:rFonts w:ascii="微软雅黑" w:hAnsi="微软雅黑" w:cs="微软雅黑"/>
          <w:b/>
        </w:rPr>
        <w:t xml:space="preserve">基因变异解析： </w:t>
      </w:r>
    </w:p>
    <w:p w14:paraId="1A8E21F5">
      <w:pPr>
        <w:spacing w:after="0"/>
        <w:ind w:firstLine="400"/>
        <w:jc w:val="both"/>
        <w:rPr>
          <w:rFonts w:hint="eastAsia" w:ascii="微软雅黑" w:hAnsi="微软雅黑" w:cs="微软雅黑"/>
          <w:sz w:val="21"/>
        </w:rPr>
      </w:pPr>
      <w:r>
        <w:rPr>
          <w:rFonts w:hint="eastAsia" w:ascii="微软雅黑" w:hAnsi="微软雅黑" w:cs="微软雅黑"/>
          <w:sz w:val="21"/>
        </w:rPr>
        <w:t>ATM基因编码的蛋白全长为3056个氨基酸，主要包含TAN结构域（5-166位氨基酸）以及FAT结构域（2096-2489位氨基酸）。该样本检出的p.Q2292*突变导致蛋白翻译提前终止，产生截短的蛋白，可能导致蛋白功能缺失。</w:t>
      </w:r>
    </w:p>
    <w:p w14:paraId="46713F95">
      <w:pPr>
        <w:spacing w:after="0"/>
        <w:ind w:firstLine="400"/>
        <w:jc w:val="both"/>
        <w:rPr>
          <w:rFonts w:ascii="Wingdings" w:hAnsi="Wingdings" w:eastAsia="Wingdings" w:cs="Wingdings"/>
          <w:sz w:val="24"/>
        </w:rPr>
      </w:pPr>
      <w:r>
        <w:rPr>
          <w:rFonts w:hint="eastAsia" w:ascii="微软雅黑" w:hAnsi="微软雅黑" w:cs="微软雅黑"/>
          <w:sz w:val="21"/>
        </w:rPr>
        <w:t>ATM缺陷细胞会导致DNA损伤的积累及基因组的不稳定进而引起肿瘤发生。因此，该样本检出的突变可能与疾病的发生发展相关。</w:t>
      </w:r>
    </w:p>
    <w:p w14:paraId="482D37E4">
      <w:pPr>
        <w:spacing w:after="0"/>
        <w:rPr>
          <w:rFonts w:ascii="微软雅黑" w:hAnsi="微软雅黑" w:cs="微软雅黑"/>
          <w:b/>
        </w:rPr>
      </w:pP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0398D7AE">
      <w:pPr>
        <w:numPr>
          <w:ilvl w:val="1"/>
          <w:numId w:val="9"/>
        </w:numPr>
        <w:spacing w:before="200"/>
        <w:rPr>
          <w:rFonts w:ascii="微软雅黑" w:hAnsi="微软雅黑"/>
          <w:b/>
          <w:sz w:val="24"/>
          <w:szCs w:val="24"/>
        </w:rPr>
      </w:pPr>
      <w:bookmarkStart w:id="179" w:name="_Toc19439"/>
      <w:r>
        <w:rPr>
          <w:rFonts w:ascii="微软雅黑" w:hAnsi="微软雅黑"/>
          <w:b/>
          <w:sz w:val="24"/>
          <w:szCs w:val="24"/>
        </w:rPr>
        <w:t>潜在获益靶向</w:t>
      </w:r>
      <w:r>
        <w:rPr>
          <w:rFonts w:hint="eastAsia" w:ascii="微软雅黑" w:hAnsi="微软雅黑"/>
          <w:b/>
          <w:sz w:val="24"/>
          <w:szCs w:val="24"/>
        </w:rPr>
        <w:t>/免疫</w:t>
      </w:r>
      <w:r>
        <w:rPr>
          <w:rFonts w:ascii="微软雅黑" w:hAnsi="微软雅黑"/>
          <w:b/>
          <w:sz w:val="24"/>
          <w:szCs w:val="24"/>
        </w:rPr>
        <w:t>药物解析</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9"/>
    </w:p>
    <w:p w14:paraId="664E8FAE">
      <w:pPr>
        <w:numPr>
          <w:ilvl w:val="0"/>
          <w:numId w:val="11"/>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TP53：</w:t>
      </w:r>
      <w:r>
        <w:rPr>
          <w:rFonts w:hint="eastAsia" w:ascii="微软雅黑" w:hAnsi="微软雅黑" w:cs="微软雅黑"/>
          <w:b/>
          <w:color w:val="FF0000"/>
          <w:sz w:val="24"/>
          <w:u w:val="none"/>
        </w:rPr>
        <w:t>c.844C&gt;T，p.R282W</w:t>
      </w:r>
      <w:r>
        <w:rPr>
          <w:rStyle w:val="21"/>
          <w:rFonts w:hint="eastAsia" w:ascii="微软雅黑" w:hAnsi="微软雅黑" w:cs="微软雅黑"/>
          <w:b/>
          <w:bCs/>
          <w:color w:val="FF0000"/>
          <w:sz w:val="24"/>
          <w:szCs w:val="24"/>
          <w:u w:val="none"/>
        </w:rPr>
        <w:t>突变相应靶向药物</w:t>
      </w:r>
    </w:p>
    <w:p w14:paraId="6B0CD9D9">
      <w:pPr>
        <w:numPr>
          <w:ilvl w:val="0"/>
          <w:numId w:val="12"/>
        </w:numPr>
        <w:spacing w:before="200"/>
        <w:ind w:left="420" w:hanging="420"/>
        <w:rPr>
          <w:rFonts w:ascii="微软雅黑" w:hAnsi="微软雅黑" w:cs="微软雅黑"/>
          <w:b/>
          <w:bCs/>
          <w:color w:val="0000FF"/>
          <w:sz w:val="24"/>
          <w:szCs w:val="24"/>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w:t>
      </w: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r>
        <w:rPr>
          <w:rFonts w:hint="eastAsia" w:ascii="微软雅黑" w:hAnsi="微软雅黑" w:cs="微软雅黑"/>
          <w:b/>
          <w:bCs/>
          <w:color w:val="0000FF"/>
          <w:sz w:val="24"/>
          <w:szCs w:val="24"/>
          <w:u w:val="single"/>
        </w:rPr>
        <w:t>+奥拉帕利（Olaparib）</w:t>
      </w:r>
    </w:p>
    <w:p w14:paraId="6796071C">
      <w:pPr>
        <w:spacing w:after="0"/>
        <w:jc w:val="both"/>
        <w:rPr>
          <w:rFonts w:ascii="微软雅黑" w:hAnsi="微软雅黑" w:cs="Arial Unicode MS"/>
          <w:kern w:val="2"/>
          <w:sz w:val="21"/>
          <w:szCs w:val="21"/>
        </w:rPr>
      </w:pPr>
      <w:r>
        <w:rPr>
          <w:rFonts w:hint="eastAsia"/>
          <w:b/>
          <w:bCs/>
          <w:kern w:val="2"/>
        </w:rPr>
        <w:t>基因变异与药物关联分析：</w:t>
      </w:r>
    </w:p>
    <w:p w14:paraId="559722A6">
      <w:pPr>
        <w:spacing w:after="0"/>
        <w:ind w:firstLine="420" w:firstLineChars="200"/>
        <w:jc w:val="both"/>
        <w:rPr>
          <w:rFonts w:hint="eastAsia"/>
          <w:b/>
          <w:bCs/>
          <w:kern w:val="2"/>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lang w:eastAsia="zh-CN"/>
        </w:rPr>
        <w:t>AZD1775是一种WEE1激酶抑制剂，可以控制细胞分裂周期的G2检验点，TP53缺失的肿</w:t>
      </w:r>
      <w:r>
        <w:rPr>
          <w:rFonts w:hint="eastAsia" w:ascii="微软雅黑" w:hAnsi="微软雅黑" w:cs="Arial Unicode MS"/>
          <w:kern w:val="2"/>
          <w:sz w:val="21"/>
          <w:szCs w:val="21"/>
        </w:rPr>
        <w:t>瘤细胞对其敏感[28978051]。目前该药正处于临床期。FDA批准</w:t>
      </w:r>
      <w:r>
        <w:rPr>
          <w:rFonts w:hint="eastAsia" w:ascii="微软雅黑" w:hAnsi="微软雅黑" w:cs="Arial Unicode MS"/>
          <w:kern w:val="2"/>
          <w:sz w:val="21"/>
          <w:szCs w:val="21"/>
          <w:lang w:eastAsia="zh-CN"/>
        </w:rPr>
        <w:t>奥拉帕利</w:t>
      </w:r>
      <w:r>
        <w:rPr>
          <w:rFonts w:hint="eastAsia" w:ascii="微软雅黑" w:hAnsi="微软雅黑" w:cs="Arial Unicode MS"/>
          <w:kern w:val="2"/>
          <w:sz w:val="21"/>
          <w:szCs w:val="21"/>
        </w:rPr>
        <w:t>用于上皮性卵巢癌、输卵管癌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rPr>
        <w:t>原发性腹膜癌患者</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胰腺癌、</w:t>
      </w:r>
      <w:r>
        <w:rPr>
          <w:rFonts w:hint="eastAsia" w:ascii="微软雅黑" w:hAnsi="微软雅黑" w:cs="微软雅黑"/>
          <w:b w:val="0"/>
          <w:bCs w:val="0"/>
          <w:kern w:val="2"/>
          <w:sz w:val="21"/>
          <w:szCs w:val="24"/>
          <w:vertAlign w:val="baseline"/>
          <w:lang w:val="en-US" w:eastAsia="zh-CN"/>
        </w:rPr>
        <w:t>乳腺癌，以及前列腺癌；NMPA批准奥拉帕利用于卵巢癌以及前列腺癌。</w:t>
      </w:r>
    </w:p>
    <w:p w14:paraId="3EA22DF3">
      <w:pPr>
        <w:spacing w:after="0"/>
        <w:jc w:val="both"/>
        <w:rPr>
          <w:b/>
          <w:bCs/>
          <w:kern w:val="2"/>
        </w:rPr>
      </w:pPr>
      <w:r>
        <w:rPr>
          <w:rFonts w:hint="eastAsia"/>
          <w:b/>
          <w:bCs/>
          <w:kern w:val="2"/>
        </w:rPr>
        <w:t>药物疗效临床解析：</w:t>
      </w:r>
    </w:p>
    <w:p w14:paraId="3EEE2F85">
      <w:pPr>
        <w:ind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临床I期研究评估了AZD1775单药治疗或联合化药治疗难治性实体瘤的安全性、耐受性、药代动力学、药效动力学。该研究分成两部分，第一部分：患者接受单次剂量AZD1775的治疗，随后观察14天；第二部分：患者接受AZD1775联合吉西他滨或顺铂或卡铂的治疗，观察患者的疾病稳定和缓解情况。该研究共招募了202名患者，第一部分包含9名患者，患者接受单次剂量AZD1775的治疗后，耐受良好，未达到最大耐受剂量。接受AZD1775联合化药治疗的患者，常见的不良反应事件包括：疲劳、恶心呕吐、腹泻和血液毒性。最终有176名患者接受了评估，94名（53%）患者疾病稳定，17名（10%）患者得到部分缓解。携带TP53突变的患者组反应率高于TP53野生型的患者组（21% vs. 12%）。该研究表明，AZD1775单药或联合化药在治疗实体瘤中的耐受良好，有潜在的抗肿瘤活性[27601554]。一项由New York University School of Medicine举办的AZD1775联合伊立替康治疗RAS突变或BRAF突变一线治疗失败的转移性结直肠癌的临床I期研究</w:t>
      </w:r>
      <w:r>
        <w:rPr>
          <w:rFonts w:hint="eastAsia" w:ascii="微软雅黑" w:hAnsi="微软雅黑" w:cs="Arial Unicode MS"/>
          <w:kern w:val="2"/>
          <w:sz w:val="21"/>
          <w:szCs w:val="21"/>
          <w:lang w:val="en-US" w:eastAsia="zh-CN"/>
        </w:rPr>
        <w:t>已完成，但数据尚未公布</w:t>
      </w:r>
      <w:r>
        <w:rPr>
          <w:rFonts w:hint="eastAsia" w:ascii="微软雅黑" w:hAnsi="微软雅黑" w:cs="Arial Unicode MS"/>
          <w:kern w:val="2"/>
          <w:sz w:val="21"/>
          <w:szCs w:val="21"/>
        </w:rPr>
        <w:t>[NCT02906059]。AZD1775联合奥拉帕利用于治疗携带KRAS突变或TP53突变的实体瘤患者或者同时携带KRAS突变和TP53突变的实体瘤患者的临床试验正在</w:t>
      </w:r>
      <w:r>
        <w:rPr>
          <w:rFonts w:hint="eastAsia" w:ascii="微软雅黑" w:hAnsi="微软雅黑" w:cs="Arial Unicode MS"/>
          <w:kern w:val="2"/>
          <w:sz w:val="21"/>
          <w:szCs w:val="21"/>
          <w:lang w:val="en-US" w:eastAsia="zh-CN"/>
        </w:rPr>
        <w:t>开展，不招募患者</w:t>
      </w:r>
      <w:r>
        <w:rPr>
          <w:rFonts w:hint="eastAsia" w:ascii="微软雅黑" w:hAnsi="微软雅黑" w:cs="Arial Unicode MS"/>
          <w:kern w:val="2"/>
          <w:sz w:val="21"/>
          <w:szCs w:val="21"/>
        </w:rPr>
        <w:t>[NCT02576444]。</w:t>
      </w:r>
    </w:p>
    <w:p w14:paraId="2B3009E2">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w:t>
      </w: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rPr>
        <w:t>Alisertib</w:t>
      </w:r>
      <w:r>
        <w:rPr>
          <w:rStyle w:val="23"/>
          <w:rFonts w:hint="eastAsia" w:ascii="微软雅黑" w:hAnsi="微软雅黑" w:cs="微软雅黑"/>
          <w:b/>
          <w:bCs/>
          <w:color w:val="0000FF"/>
          <w:sz w:val="24"/>
          <w:szCs w:val="24"/>
        </w:rPr>
        <w:fldChar w:fldCharType="end"/>
      </w:r>
      <w:r>
        <w:rPr>
          <w:rStyle w:val="21"/>
          <w:rFonts w:hint="eastAsia" w:ascii="微软雅黑" w:hAnsi="微软雅黑" w:cs="微软雅黑"/>
          <w:b/>
          <w:bCs/>
          <w:color w:val="0000FF"/>
          <w:sz w:val="24"/>
          <w:szCs w:val="24"/>
        </w:rPr>
        <w:t>+AZD1775</w:t>
      </w:r>
    </w:p>
    <w:p w14:paraId="58D35E07">
      <w:pPr>
        <w:spacing w:after="0"/>
        <w:jc w:val="both"/>
        <w:rPr>
          <w:rFonts w:ascii="微软雅黑" w:hAnsi="微软雅黑" w:cs="Arial Unicode MS"/>
          <w:kern w:val="2"/>
          <w:sz w:val="21"/>
          <w:szCs w:val="21"/>
        </w:rPr>
      </w:pPr>
      <w:r>
        <w:rPr>
          <w:rFonts w:hint="eastAsia"/>
          <w:b/>
          <w:bCs/>
          <w:kern w:val="2"/>
        </w:rPr>
        <w:t>基因变异与药物关联分析：</w:t>
      </w:r>
    </w:p>
    <w:p w14:paraId="6CF240B6">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Arial Unicode MS"/>
          <w:kern w:val="2"/>
          <w:sz w:val="21"/>
          <w:szCs w:val="21"/>
          <w:highlight w:val="none"/>
        </w:rPr>
        <w:t>Alisertib是一种ATP竞争性的极光激酶A（AURKA）抑制剂，通过与AURKA激酶的T288结合而抑制AURKA</w:t>
      </w:r>
      <w:r>
        <w:rPr>
          <w:rFonts w:hint="eastAsia" w:ascii="微软雅黑" w:hAnsi="微软雅黑" w:cs="Arial Unicode MS"/>
          <w:kern w:val="2"/>
          <w:sz w:val="21"/>
          <w:szCs w:val="21"/>
        </w:rPr>
        <w:t>的磷酸化及活化。临床前研究表明，Alisertib可以诱导细胞停滞在G2/M期，引起胃肠道上部肿瘤细胞的凋亡。同时，Alisertib可以下调肿瘤细胞内的多个致癌信号通路，例如NF-κB、AKT、STAT3。多项研究表明，Alisertib可以使p53和p73活化[25987188]。目前该药正处于临床期。AZD1775是一种WEE1激酶抑制剂，可以控制细胞分裂周期的G2检验点，TP53缺失的肿瘤细胞对其敏感[28978051]。目前该药正处于临床期。</w:t>
      </w:r>
    </w:p>
    <w:p w14:paraId="37770A6E">
      <w:pPr>
        <w:spacing w:after="0"/>
        <w:jc w:val="both"/>
        <w:rPr>
          <w:rFonts w:hint="eastAsia"/>
          <w:b/>
          <w:bCs/>
          <w:kern w:val="2"/>
        </w:rPr>
      </w:pPr>
      <w:r>
        <w:rPr>
          <w:rFonts w:hint="eastAsia"/>
          <w:b/>
          <w:bCs/>
          <w:kern w:val="2"/>
        </w:rPr>
        <w:t>药物疗效临床解析：</w:t>
      </w:r>
    </w:p>
    <w:p w14:paraId="3AA0EC12">
      <w:pPr>
        <w:numPr>
          <w:ilvl w:val="-1"/>
          <w:numId w:val="0"/>
        </w:numPr>
        <w:spacing w:before="0" w:after="0"/>
        <w:ind w:left="0" w:firstLine="420" w:firstLineChars="200"/>
        <w:jc w:val="both"/>
        <w:rPr>
          <w:rFonts w:hint="eastAsia" w:ascii="微软雅黑" w:hAnsi="微软雅黑" w:cs="Arial Unicode MS"/>
          <w:kern w:val="2"/>
          <w:sz w:val="21"/>
          <w:szCs w:val="21"/>
        </w:rPr>
      </w:pPr>
      <w:r>
        <w:rPr>
          <w:rFonts w:hint="eastAsia" w:ascii="微软雅黑" w:hAnsi="微软雅黑" w:cs="Arial Unicode MS"/>
          <w:kern w:val="2"/>
          <w:sz w:val="21"/>
          <w:szCs w:val="21"/>
        </w:rPr>
        <w:t>一项Alisertib单药治疗实体瘤患者的临床 I 期研究中，Alisertib显示出初步的抗肿瘤活性，37%的患者疾病稳定，而且在某些实体瘤患者中（结直肠癌、软骨肉瘤、平滑肌肉瘤、脂肪肉瘤）疾病稳定超过6个月，同时治疗相关的不良反应控制的很好[22753585]。体内和体外研究显示，Alisertib单药能够抑制TP53突变的头颈部鳞状细胞癌（HNSCC）细胞系的有丝分裂，导致细胞生长停滞，并且Alisertib联合AZD1775能够产生协同抗肿瘤作用，延长总生存期，是TP53突变的癌症的潜在的治疗方法[30755439]。</w:t>
      </w:r>
    </w:p>
    <w:p w14:paraId="1D5A6276">
      <w:pPr>
        <w:numPr>
          <w:ilvl w:val="0"/>
          <w:numId w:val="13"/>
        </w:numPr>
        <w:spacing w:before="200"/>
        <w:ind w:left="420" w:hanging="420"/>
        <w:rPr>
          <w:rFonts w:ascii="微软雅黑" w:hAnsi="微软雅黑" w:cs="微软雅黑"/>
          <w:b/>
          <w:bCs/>
          <w:sz w:val="24"/>
          <w:szCs w:val="24"/>
        </w:rPr>
      </w:pPr>
      <w:r>
        <w:fldChar w:fldCharType="begin"/>
      </w:r>
      <w:r>
        <w:instrText xml:space="preserve"> HYPERLINK \l "重要基因变异及潜在靶向药物信息" </w:instrText>
      </w:r>
      <w:r>
        <w:fldChar w:fldCharType="separate"/>
      </w:r>
      <w:r>
        <w:rPr>
          <w:rStyle w:val="23"/>
          <w:rFonts w:hint="eastAsia" w:ascii="微软雅黑" w:hAnsi="微软雅黑" w:cs="微软雅黑"/>
          <w:b/>
          <w:bCs/>
          <w:color w:val="0000FF"/>
          <w:sz w:val="24"/>
          <w:szCs w:val="24"/>
          <w:lang w:eastAsia="zh-CN"/>
        </w:rPr>
        <w:t>Eprenetapopt</w:t>
      </w:r>
      <w:r>
        <w:rPr>
          <w:rStyle w:val="23"/>
          <w:rFonts w:hint="eastAsia" w:ascii="微软雅黑" w:hAnsi="微软雅黑" w:cs="微软雅黑"/>
          <w:b/>
          <w:bCs/>
          <w:color w:val="0000FF"/>
          <w:sz w:val="24"/>
          <w:szCs w:val="24"/>
        </w:rPr>
        <w:fldChar w:fldCharType="end"/>
      </w:r>
    </w:p>
    <w:p w14:paraId="4A16E274">
      <w:pPr>
        <w:spacing w:beforeLines="50" w:after="0"/>
        <w:jc w:val="both"/>
        <w:rPr>
          <w:b/>
          <w:bCs/>
          <w:kern w:val="2"/>
        </w:rPr>
      </w:pPr>
      <w:r>
        <w:rPr>
          <w:rFonts w:hint="eastAsia"/>
          <w:b/>
          <w:bCs/>
          <w:kern w:val="2"/>
        </w:rPr>
        <w:t>基因变异与药物关联分析：</w:t>
      </w:r>
    </w:p>
    <w:p w14:paraId="7831E2FB">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t>该样本检出TP53基因c.844C&gt;T，p.R282W</w:t>
      </w:r>
      <w:r>
        <w:rPr>
          <w:rFonts w:hint="eastAsia" w:ascii="微软雅黑" w:hAnsi="微软雅黑" w:cs="Arial Unicode MS"/>
          <w:kern w:val="2"/>
          <w:sz w:val="21"/>
          <w:szCs w:val="21"/>
          <w:lang w:val="en-US" w:eastAsia="zh-CN"/>
        </w:rPr>
        <w:t>错义</w:t>
      </w:r>
      <w:r>
        <w:rPr>
          <w:rFonts w:hint="eastAsia" w:ascii="微软雅黑" w:hAnsi="微软雅黑" w:cs="微软雅黑"/>
          <w:sz w:val="21"/>
        </w:rPr>
        <w:t>突变</w:t>
      </w:r>
      <w:r>
        <w:rPr>
          <w:rFonts w:hint="eastAsia" w:ascii="微软雅黑" w:hAnsi="微软雅黑" w:cs="Arial Unicode MS"/>
          <w:kern w:val="2"/>
          <w:sz w:val="21"/>
          <w:szCs w:val="21"/>
          <w:lang w:eastAsia="zh-CN"/>
        </w:rPr>
        <w:t>，</w:t>
      </w:r>
      <w:r>
        <w:rPr>
          <w:rFonts w:hint="eastAsia" w:ascii="微软雅黑" w:hAnsi="微软雅黑" w:cs="微软雅黑"/>
          <w:sz w:val="21"/>
        </w:rPr>
        <w:t>研究表明，该突变抑制 AMPK 信号传导，导致细胞侵袭性生长，促进小鼠模型中的肿瘤发展[24857548]。</w:t>
      </w:r>
      <w:r>
        <w:rPr>
          <w:rFonts w:hint="eastAsia" w:ascii="微软雅黑" w:hAnsi="微软雅黑" w:cs="微软雅黑"/>
          <w:sz w:val="21"/>
          <w:lang w:val="en-US" w:eastAsia="zh-CN"/>
        </w:rPr>
        <w:t>E</w:t>
      </w:r>
      <w:r>
        <w:rPr>
          <w:rFonts w:hint="eastAsia" w:ascii="微软雅黑" w:hAnsi="微软雅黑" w:cs="Arial Unicode MS"/>
          <w:kern w:val="2"/>
          <w:sz w:val="21"/>
          <w:szCs w:val="21"/>
          <w:lang w:eastAsia="zh-CN"/>
        </w:rPr>
        <w:t>prenetapopt（APR-246）</w:t>
      </w:r>
      <w:r>
        <w:rPr>
          <w:rFonts w:hint="eastAsia" w:ascii="微软雅黑" w:hAnsi="微软雅黑" w:cs="Arial Unicode MS"/>
          <w:kern w:val="2"/>
          <w:sz w:val="21"/>
          <w:szCs w:val="21"/>
        </w:rPr>
        <w:t>又名PRIMA-1MET，是第一个处于临床阶段的p53突变体激活剂，并能诱导细胞凋亡[26086967]。</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是一种前体药物，被转变为Michael acceptor methylene quinuclidinone （MQ）后与p53 蛋白的丝氨酸结合，重折叠后恢复野生p53蛋白的活性，另外MQ通过抑制 TrxR1 酶的活性和消耗谷胱甘肽来维持胞内的氧化还原平衡，具有双重作用机制。从而 </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 xml:space="preserve"> 能有效的诱导肿瘤细胞死亡，还能克服对其他抗肿瘤药物的耐药性，对p53失活或突变的患者有效[26870698]。目前该药正处于临床期。</w:t>
      </w:r>
    </w:p>
    <w:p w14:paraId="79A89B19">
      <w:pPr>
        <w:spacing w:after="0"/>
        <w:jc w:val="both"/>
        <w:rPr>
          <w:b/>
          <w:bCs/>
          <w:kern w:val="2"/>
        </w:rPr>
      </w:pPr>
      <w:r>
        <w:rPr>
          <w:rFonts w:hint="eastAsia"/>
          <w:b/>
          <w:bCs/>
          <w:kern w:val="2"/>
        </w:rPr>
        <w:t>药物疗效临床解析：</w:t>
      </w:r>
    </w:p>
    <w:p w14:paraId="1E878C79">
      <w:pPr>
        <w:keepNext w:val="0"/>
        <w:keepLines w:val="0"/>
        <w:pageBreakBefore w:val="0"/>
        <w:numPr>
          <w:ilvl w:val="-1"/>
          <w:numId w:val="0"/>
        </w:numPr>
        <w:kinsoku/>
        <w:wordWrap/>
        <w:overflowPunct/>
        <w:topLinePunct w:val="0"/>
        <w:autoSpaceDE/>
        <w:autoSpaceDN/>
        <w:bidi w:val="0"/>
        <w:spacing w:before="0" w:beforeLines="0" w:beforeAutospacing="0" w:after="0" w:afterLines="0"/>
        <w:ind w:left="0" w:firstLine="495"/>
        <w:jc w:val="both"/>
        <w:outlineLvl w:val="9"/>
        <w:rPr>
          <w:rFonts w:hint="eastAsia" w:ascii="微软雅黑" w:hAnsi="微软雅黑" w:cs="Arial Unicode MS"/>
          <w:kern w:val="2"/>
          <w:sz w:val="21"/>
          <w:szCs w:val="21"/>
          <w:lang w:val="en-US" w:eastAsia="zh-CN"/>
        </w:rPr>
      </w:pPr>
      <w:r>
        <w:rPr>
          <w:rFonts w:hint="eastAsia" w:ascii="微软雅黑" w:hAnsi="微软雅黑" w:cs="Arial Unicode MS"/>
          <w:kern w:val="2"/>
          <w:sz w:val="21"/>
          <w:szCs w:val="21"/>
        </w:rPr>
        <w:t>体外研究显示，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能抑制肿瘤细胞生长。在体内不同的肿瘤类型和模型中，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能以p53依赖的方式诱导细胞凋亡。</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用于治疗恶性血液肿瘤和前列腺癌患者的研究显示，</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可有效的增强肿瘤细胞的凋亡，细胞周期停滞及上调TP53基因[NCT02098343，22965953]。研究显示，在p53突变的胰腺癌细胞系中，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可通过重激活p53诱导细胞凋亡，在联合治疗中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可增加多种化疗药物对胰腺癌细胞系的抗肿瘤活性[24838627]。有研究表明，</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能够在具有突变型p53的结直肠癌细胞中强烈诱导细胞凋亡。在人类异种移植肿瘤模型中，</w:t>
      </w:r>
      <w:r>
        <w:rPr>
          <w:rFonts w:hint="eastAsia" w:ascii="微软雅黑" w:hAnsi="微软雅黑" w:cs="Arial Unicode MS"/>
          <w:kern w:val="2"/>
          <w:sz w:val="21"/>
          <w:szCs w:val="21"/>
          <w:lang w:eastAsia="zh-CN"/>
        </w:rPr>
        <w:t>Eprenetapopt</w:t>
      </w:r>
      <w:r>
        <w:rPr>
          <w:rFonts w:hint="eastAsia" w:ascii="微软雅黑" w:hAnsi="微软雅黑" w:cs="Arial Unicode MS"/>
          <w:kern w:val="2"/>
          <w:sz w:val="21"/>
          <w:szCs w:val="21"/>
        </w:rPr>
        <w:t>能有效抑制结直肠癌肿瘤的生长[26452133]。</w:t>
      </w:r>
      <w:r>
        <w:rPr>
          <w:rFonts w:hint="eastAsia" w:ascii="微软雅黑" w:hAnsi="微软雅黑" w:cs="Arial Unicode MS"/>
          <w:kern w:val="2"/>
          <w:sz w:val="21"/>
          <w:szCs w:val="21"/>
          <w:lang w:val="en-US" w:eastAsia="zh-CN"/>
        </w:rPr>
        <w:t>一项Ib/II期试验显示，Eprenetapopt联合阿扎胞苷（azacitidine）治疗TP53突变型骨髓增生异常综合征（MDS）和少突细胞急性髓细胞白血病（AML）患者时，耐受性良好，并产生了高临床缓解率和分子缓解率[NCT03072043]。</w:t>
      </w:r>
    </w:p>
    <w:p w14:paraId="49C18600">
      <w:pPr>
        <w:keepNext w:val="0"/>
        <w:keepLines w:val="0"/>
        <w:pageBreakBefore w:val="0"/>
        <w:widowControl/>
        <w:numPr>
          <w:ilvl w:val="0"/>
          <w:numId w:val="11"/>
        </w:numPr>
        <w:kinsoku/>
        <w:wordWrap/>
        <w:overflowPunct/>
        <w:topLinePunct w:val="0"/>
        <w:autoSpaceDE/>
        <w:autoSpaceDN/>
        <w:bidi w:val="0"/>
        <w:adjustRightInd w:val="0"/>
        <w:snapToGrid w:val="0"/>
        <w:spacing w:before="200" w:after="200" w:line="240" w:lineRule="auto"/>
        <w:ind w:left="420" w:leftChars="0" w:right="0" w:rightChars="0" w:hanging="420" w:firstLineChars="0"/>
        <w:jc w:val="left"/>
        <w:textAlignment w:val="auto"/>
        <w:outlineLvl w:val="9"/>
        <w:rPr>
          <w:rStyle w:val="21"/>
          <w:rFonts w:hint="eastAsia" w:ascii="微软雅黑" w:hAnsi="微软雅黑" w:cs="微软雅黑"/>
          <w:b/>
          <w:bCs/>
          <w:color w:val="FF0000"/>
          <w:kern w:val="0"/>
          <w:sz w:val="24"/>
          <w:szCs w:val="24"/>
          <w:highlight w:val="none"/>
          <w:u w:val="none"/>
          <w:lang w:val="en-US" w:eastAsia="zh-CN"/>
        </w:rPr>
      </w:pPr>
      <w:r>
        <w:rPr>
          <w:rStyle w:val="21"/>
          <w:rFonts w:hint="eastAsia" w:ascii="微软雅黑" w:hAnsi="微软雅黑" w:cs="微软雅黑"/>
          <w:b/>
          <w:bCs/>
          <w:color w:val="FF0000"/>
          <w:kern w:val="0"/>
          <w:sz w:val="24"/>
          <w:szCs w:val="24"/>
          <w:highlight w:val="none"/>
          <w:u w:val="none"/>
          <w:lang w:val="en-US" w:eastAsia="zh-CN"/>
        </w:rPr>
        <w:t>KRAS：c.34G&gt;A，p.G12S突变相应靶向药物</w:t>
      </w:r>
    </w:p>
    <w:p w14:paraId="548AAB05">
      <w:pPr>
        <w:keepNext w:val="0"/>
        <w:keepLines w:val="0"/>
        <w:pageBreakBefore w:val="0"/>
        <w:widowControl/>
        <w:numPr>
          <w:ilvl w:val="0"/>
          <w:numId w:val="13"/>
        </w:numPr>
        <w:kinsoku/>
        <w:wordWrap/>
        <w:overflowPunct/>
        <w:topLinePunct w:val="0"/>
        <w:autoSpaceDE/>
        <w:autoSpaceDN/>
        <w:bidi w:val="0"/>
        <w:adjustRightInd w:val="0"/>
        <w:snapToGrid w:val="0"/>
        <w:spacing w:before="200"/>
        <w:ind w:left="420" w:leftChars="0" w:hanging="420" w:firstLineChars="0"/>
        <w:jc w:val="both"/>
        <w:textAlignment w:val="auto"/>
        <w:rPr>
          <w:rFonts w:hint="eastAsia" w:ascii="微软雅黑" w:hAnsi="微软雅黑" w:eastAsia="微软雅黑" w:cs="微软雅黑"/>
          <w:b/>
          <w:bCs/>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）+Navitoclax、帕尼单抗+曲美替尼（Panitumumab+</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val="en-US" w:eastAsia="zh-CN"/>
        </w:rPr>
        <w:t>贝美替尼+哌柏西利</w:t>
      </w:r>
      <w:r>
        <w:rPr>
          <w:rStyle w:val="21"/>
          <w:rFonts w:hint="eastAsia" w:ascii="微软雅黑" w:hAnsi="微软雅黑" w:cs="微软雅黑"/>
          <w:b/>
          <w:bCs/>
          <w:color w:val="0000FF"/>
          <w:kern w:val="0"/>
          <w:sz w:val="24"/>
          <w:szCs w:val="24"/>
          <w:highlight w:val="none"/>
          <w:u w:val="single"/>
          <w:lang w:eastAsia="zh-CN"/>
        </w:rPr>
        <w:t>（Binimetinib</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）、BI 1701963、BI 1701963</w:t>
      </w:r>
      <w:r>
        <w:rPr>
          <w:rStyle w:val="21"/>
          <w:rFonts w:hint="eastAsia" w:ascii="微软雅黑" w:hAnsi="微软雅黑" w:cs="微软雅黑"/>
          <w:b/>
          <w:bCs/>
          <w:color w:val="0000FF"/>
          <w:kern w:val="0"/>
          <w:sz w:val="24"/>
          <w:szCs w:val="24"/>
          <w:highlight w:val="none"/>
          <w:u w:val="single"/>
          <w:lang w:val="en-US" w:eastAsia="zh-CN"/>
        </w:rPr>
        <w:t>+</w:t>
      </w:r>
      <w:r>
        <w:rPr>
          <w:rFonts w:hint="eastAsia" w:ascii="微软雅黑" w:hAnsi="微软雅黑" w:cs="微软雅黑"/>
          <w:b/>
          <w:bCs/>
          <w:color w:val="0000FF"/>
          <w:kern w:val="0"/>
          <w:sz w:val="24"/>
          <w:szCs w:val="24"/>
          <w:highlight w:val="none"/>
          <w:u w:val="single"/>
          <w:lang w:eastAsia="zh-CN"/>
        </w:rPr>
        <w:t>曲美替尼</w:t>
      </w:r>
      <w:r>
        <w:rPr>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Trametinib</w:t>
      </w:r>
      <w:r>
        <w:rPr>
          <w:rFonts w:hint="eastAsia" w:ascii="微软雅黑" w:hAnsi="微软雅黑" w:cs="微软雅黑"/>
          <w:b/>
          <w:bCs/>
          <w:color w:val="0000FF"/>
          <w:kern w:val="0"/>
          <w:sz w:val="24"/>
          <w:szCs w:val="24"/>
          <w:highlight w:val="none"/>
          <w:u w:val="single"/>
          <w:lang w:val="en-US" w:eastAsia="zh-CN"/>
        </w:rPr>
        <w:t>）、奈拉替尼+曲美替尼（Neratinib+Trametinib）、福巴替尼+贝美替尼</w:t>
      </w:r>
      <w:r>
        <w:rPr>
          <w:rStyle w:val="21"/>
          <w:rFonts w:hint="eastAsia" w:ascii="微软雅黑" w:hAnsi="微软雅黑" w:cs="微软雅黑"/>
          <w:b/>
          <w:bCs/>
          <w:color w:val="0000FF"/>
          <w:kern w:val="0"/>
          <w:sz w:val="24"/>
          <w:szCs w:val="24"/>
          <w:highlight w:val="none"/>
          <w:u w:val="single"/>
          <w:lang w:eastAsia="zh-CN"/>
        </w:rPr>
        <w:t>（</w:t>
      </w:r>
      <w:r>
        <w:rPr>
          <w:rFonts w:hint="eastAsia" w:ascii="微软雅黑" w:hAnsi="微软雅黑" w:cs="微软雅黑"/>
          <w:b/>
          <w:bCs/>
          <w:color w:val="0000FF"/>
          <w:kern w:val="0"/>
          <w:sz w:val="24"/>
          <w:szCs w:val="24"/>
          <w:highlight w:val="none"/>
          <w:u w:val="single"/>
          <w:lang w:val="en-US" w:eastAsia="zh-CN"/>
        </w:rPr>
        <w:t>Futibatinib</w:t>
      </w:r>
      <w:r>
        <w:rPr>
          <w:rStyle w:val="21"/>
          <w:rFonts w:hint="eastAsia" w:ascii="微软雅黑" w:hAnsi="微软雅黑" w:cs="微软雅黑"/>
          <w:b/>
          <w:bCs/>
          <w:color w:val="0000FF"/>
          <w:kern w:val="0"/>
          <w:sz w:val="24"/>
          <w:szCs w:val="24"/>
          <w:highlight w:val="none"/>
          <w:u w:val="single"/>
          <w:lang w:val="en-US" w:eastAsia="zh-CN"/>
        </w:rPr>
        <w:t>+</w:t>
      </w:r>
      <w:r>
        <w:rPr>
          <w:rStyle w:val="21"/>
          <w:rFonts w:hint="eastAsia" w:ascii="微软雅黑" w:hAnsi="微软雅黑" w:cs="微软雅黑"/>
          <w:b/>
          <w:bCs/>
          <w:color w:val="0000FF"/>
          <w:kern w:val="0"/>
          <w:sz w:val="24"/>
          <w:szCs w:val="24"/>
          <w:highlight w:val="none"/>
          <w:u w:val="single"/>
          <w:lang w:eastAsia="zh-CN"/>
        </w:rPr>
        <w:t>Binimetinib）</w:t>
      </w:r>
    </w:p>
    <w:p w14:paraId="3FB7CC16">
      <w:pPr>
        <w:numPr>
          <w:ilvl w:val="-1"/>
          <w:numId w:val="0"/>
        </w:numPr>
        <w:spacing w:before="200" w:after="0"/>
        <w:ind w:left="0" w:firstLine="0"/>
        <w:jc w:val="both"/>
        <w:rPr>
          <w:rFonts w:hint="eastAsia"/>
          <w:b/>
          <w:bCs/>
          <w:kern w:val="2"/>
          <w:highlight w:val="none"/>
          <w:lang w:eastAsia="zh-CN"/>
        </w:rPr>
      </w:pPr>
      <w:r>
        <w:rPr>
          <w:rFonts w:hint="eastAsia"/>
          <w:b/>
          <w:bCs/>
          <w:kern w:val="2"/>
          <w:highlight w:val="none"/>
          <w:lang w:eastAsia="zh-CN"/>
        </w:rPr>
        <w:t>基因变异与药物关联分析：</w:t>
      </w:r>
    </w:p>
    <w:p w14:paraId="34710309">
      <w:pPr>
        <w:keepNext w:val="0"/>
        <w:keepLines w:val="0"/>
        <w:pageBreakBefore w:val="0"/>
        <w:widowControl/>
        <w:kinsoku/>
        <w:wordWrap/>
        <w:overflowPunct/>
        <w:topLinePunct w:val="0"/>
        <w:autoSpaceDE/>
        <w:autoSpaceDN/>
        <w:bidi w:val="0"/>
        <w:adjustRightInd w:val="0"/>
        <w:snapToGrid w:val="0"/>
        <w:spacing w:beforeLines="0" w:after="0" w:afterLines="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eastAsia="微软雅黑" w:cs="Arial Unicode MS"/>
          <w:b w:val="0"/>
          <w:bCs/>
          <w:color w:val="auto"/>
          <w:kern w:val="2"/>
          <w:sz w:val="21"/>
          <w:szCs w:val="21"/>
          <w:highlight w:val="none"/>
        </w:rPr>
        <w:t>曲美替尼是MEK1</w:t>
      </w:r>
      <w:r>
        <w:rPr>
          <w:rFonts w:hint="eastAsia" w:ascii="微软雅黑" w:hAnsi="微软雅黑" w:cs="Arial Unicode MS"/>
          <w:b w:val="0"/>
          <w:bCs/>
          <w:color w:val="auto"/>
          <w:kern w:val="2"/>
          <w:sz w:val="21"/>
          <w:szCs w:val="21"/>
          <w:highlight w:val="none"/>
          <w:lang w:val="en-US" w:eastAsia="zh-CN"/>
        </w:rPr>
        <w:t>/</w:t>
      </w:r>
      <w:r>
        <w:rPr>
          <w:rFonts w:hint="eastAsia" w:ascii="微软雅黑" w:hAnsi="微软雅黑" w:eastAsia="微软雅黑" w:cs="Arial Unicode MS"/>
          <w:b w:val="0"/>
          <w:bCs/>
          <w:color w:val="auto"/>
          <w:kern w:val="2"/>
          <w:sz w:val="21"/>
          <w:szCs w:val="21"/>
          <w:highlight w:val="none"/>
        </w:rPr>
        <w:t>2激酶抑制剂</w:t>
      </w:r>
      <w:r>
        <w:rPr>
          <w:rFonts w:hint="eastAsia" w:ascii="微软雅黑" w:hAnsi="微软雅黑" w:cs="Arial Unicode MS"/>
          <w:b w:val="0"/>
          <w:bCs/>
          <w:color w:val="auto"/>
          <w:kern w:val="2"/>
          <w:sz w:val="21"/>
          <w:szCs w:val="21"/>
          <w:highlight w:val="none"/>
          <w:lang w:eastAsia="zh-CN"/>
        </w:rPr>
        <w:t>，能够靶向抑制RAS/RAF/MEK/ERK信号通路。</w:t>
      </w:r>
      <w:r>
        <w:rPr>
          <w:rFonts w:hint="eastAsia" w:ascii="微软雅黑" w:hAnsi="微软雅黑" w:cs="Arial Unicode MS"/>
          <w:b w:val="0"/>
          <w:bCs/>
          <w:color w:val="auto"/>
          <w:kern w:val="2"/>
          <w:sz w:val="21"/>
          <w:szCs w:val="21"/>
          <w:highlight w:val="none"/>
          <w:lang w:val="en-US" w:eastAsia="zh-CN"/>
        </w:rPr>
        <w:t>FDA批准</w:t>
      </w:r>
      <w:r>
        <w:rPr>
          <w:rFonts w:hint="eastAsia" w:ascii="微软雅黑" w:hAnsi="微软雅黑" w:cs="Arial Unicode MS"/>
          <w:b w:val="0"/>
          <w:bCs/>
          <w:color w:val="auto"/>
          <w:kern w:val="2"/>
          <w:sz w:val="21"/>
          <w:szCs w:val="21"/>
          <w:highlight w:val="none"/>
          <w:lang w:eastAsia="zh-CN"/>
        </w:rPr>
        <w:t>曲美替尼</w:t>
      </w:r>
      <w:r>
        <w:rPr>
          <w:rFonts w:hint="eastAsia" w:ascii="微软雅黑" w:hAnsi="微软雅黑" w:cs="Arial Unicode MS"/>
          <w:b w:val="0"/>
          <w:bCs/>
          <w:color w:val="auto"/>
          <w:kern w:val="2"/>
          <w:sz w:val="21"/>
          <w:szCs w:val="21"/>
          <w:highlight w:val="none"/>
          <w:lang w:val="en-US" w:eastAsia="zh-CN"/>
        </w:rPr>
        <w:t>单药用于治疗黑色素瘤，还批准曲美替尼与达拉非尼联合用于治疗黑色素瘤、非小细胞肺癌和</w:t>
      </w:r>
      <w:r>
        <w:rPr>
          <w:rFonts w:hint="eastAsia"/>
          <w:sz w:val="21"/>
          <w:szCs w:val="21"/>
          <w:highlight w:val="none"/>
          <w:shd w:val="clear"/>
          <w:lang w:val="en-US" w:eastAsia="zh-CN"/>
        </w:rPr>
        <w:t>间变性甲状腺癌</w:t>
      </w:r>
      <w:r>
        <w:rPr>
          <w:rFonts w:hint="eastAsia" w:ascii="微软雅黑" w:hAnsi="微软雅黑" w:cs="Arial Unicode MS"/>
          <w:b w:val="0"/>
          <w:bCs/>
          <w:color w:val="auto"/>
          <w:kern w:val="2"/>
          <w:sz w:val="21"/>
          <w:szCs w:val="21"/>
          <w:highlight w:val="none"/>
          <w:lang w:val="en-US" w:eastAsia="zh-CN"/>
        </w:rPr>
        <w:t>；NMPA批准曲美替尼与达拉非尼联合用于治疗黑色素瘤。</w:t>
      </w:r>
      <w:r>
        <w:rPr>
          <w:rFonts w:hint="eastAsia" w:ascii="微软雅黑" w:hAnsi="微软雅黑" w:cstheme="minorBidi"/>
          <w:b w:val="0"/>
          <w:bCs w:val="0"/>
          <w:color w:val="auto"/>
          <w:kern w:val="1"/>
          <w:sz w:val="21"/>
          <w:szCs w:val="21"/>
          <w:highlight w:val="none"/>
          <w:u w:val="none"/>
          <w:lang w:eastAsia="zh-CN"/>
        </w:rPr>
        <w:t>贝美替尼（</w:t>
      </w:r>
      <w:r>
        <w:rPr>
          <w:rFonts w:hint="eastAsia" w:ascii="微软雅黑" w:hAnsi="微软雅黑"/>
          <w:color w:val="auto"/>
          <w:kern w:val="1"/>
          <w:sz w:val="21"/>
          <w:szCs w:val="21"/>
          <w:highlight w:val="none"/>
        </w:rPr>
        <w:t>MEK162</w:t>
      </w:r>
      <w:r>
        <w:rPr>
          <w:rFonts w:hint="eastAsia" w:ascii="微软雅黑" w:hAnsi="微软雅黑" w:cstheme="minorBidi"/>
          <w:b w:val="0"/>
          <w:bCs w:val="0"/>
          <w:color w:val="auto"/>
          <w:kern w:val="1"/>
          <w:sz w:val="21"/>
          <w:szCs w:val="21"/>
          <w:highlight w:val="none"/>
          <w:u w:val="none"/>
          <w:lang w:eastAsia="zh-CN"/>
        </w:rPr>
        <w:t>）</w:t>
      </w:r>
      <w:r>
        <w:rPr>
          <w:rFonts w:hint="eastAsia" w:ascii="微软雅黑" w:hAnsi="微软雅黑"/>
          <w:color w:val="auto"/>
          <w:kern w:val="1"/>
          <w:sz w:val="21"/>
          <w:szCs w:val="21"/>
          <w:highlight w:val="none"/>
        </w:rPr>
        <w:t>是MEK1/2的抑制剂，</w:t>
      </w:r>
      <w:r>
        <w:rPr>
          <w:rFonts w:hint="eastAsia" w:ascii="微软雅黑" w:hAnsi="微软雅黑"/>
          <w:color w:val="auto"/>
          <w:kern w:val="1"/>
          <w:sz w:val="21"/>
          <w:szCs w:val="21"/>
          <w:highlight w:val="none"/>
          <w:lang w:val="en-US" w:eastAsia="zh-CN"/>
        </w:rPr>
        <w:t>FDA批准</w:t>
      </w:r>
      <w:r>
        <w:rPr>
          <w:rFonts w:hint="eastAsia" w:ascii="微软雅黑" w:hAnsi="微软雅黑" w:cs="微软雅黑"/>
          <w:b w:val="0"/>
          <w:bCs w:val="0"/>
          <w:kern w:val="2"/>
          <w:sz w:val="21"/>
          <w:szCs w:val="24"/>
          <w:highlight w:val="none"/>
          <w:lang w:eastAsia="zh-CN"/>
        </w:rPr>
        <w:t>贝美替尼</w:t>
      </w:r>
      <w:r>
        <w:rPr>
          <w:rFonts w:hint="eastAsia" w:ascii="微软雅黑" w:hAnsi="微软雅黑" w:cs="微软雅黑"/>
          <w:kern w:val="2"/>
          <w:sz w:val="21"/>
          <w:szCs w:val="24"/>
          <w:highlight w:val="none"/>
        </w:rPr>
        <w:t>与</w:t>
      </w:r>
      <w:r>
        <w:rPr>
          <w:rFonts w:hint="eastAsia" w:ascii="微软雅黑" w:hAnsi="微软雅黑" w:cs="微软雅黑"/>
          <w:kern w:val="2"/>
          <w:sz w:val="21"/>
          <w:szCs w:val="24"/>
          <w:highlight w:val="none"/>
          <w:lang w:eastAsia="zh-CN"/>
        </w:rPr>
        <w:t>康奈非尼</w:t>
      </w:r>
      <w:r>
        <w:rPr>
          <w:rFonts w:hint="eastAsia" w:ascii="微软雅黑" w:hAnsi="微软雅黑" w:cs="微软雅黑"/>
          <w:kern w:val="2"/>
          <w:sz w:val="21"/>
          <w:szCs w:val="24"/>
          <w:highlight w:val="none"/>
        </w:rPr>
        <w:t>联合用于治疗BRAF V600E或V600K突变的不可切除或转移性黑色素瘤患者</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帕尼单抗是一种靶向结合EGFR胞外结构域的单抗药物，已获FDA批准用于治疗结直肠癌。奈拉替尼是一种细胞内激酶抑制剂，已获FDA和NMPA批准用于治疗乳腺癌。Navitoclax是一种BCL-XL/BCL-2抑制剂，目前正在开展临床试验。BI 1701963是一种泛KRAS抑制剂，目前正在开展临床试验。福巴替尼是一种口服的FGFR抑制剂，已获FDA批准用于治疗携带FGFR2基因融合或其他重排的肝内胆管癌成年患者。</w:t>
      </w:r>
    </w:p>
    <w:p w14:paraId="2D88D237">
      <w:pPr>
        <w:spacing w:beforeLines="0" w:after="0" w:afterLines="0"/>
        <w:ind w:firstLine="0" w:firstLineChars="0"/>
        <w:jc w:val="both"/>
        <w:outlineLvl w:val="9"/>
        <w:rPr>
          <w:rFonts w:hint="eastAsia"/>
          <w:b/>
          <w:bCs/>
          <w:kern w:val="2"/>
          <w:highlight w:val="none"/>
          <w:lang w:eastAsia="zh-CN"/>
        </w:rPr>
      </w:pPr>
      <w:r>
        <w:rPr>
          <w:rFonts w:hint="eastAsia"/>
          <w:b/>
          <w:bCs/>
          <w:kern w:val="2"/>
          <w:highlight w:val="none"/>
          <w:lang w:eastAsia="zh-CN"/>
        </w:rPr>
        <w:t>药物疗效临床解析：</w:t>
      </w:r>
    </w:p>
    <w:p w14:paraId="18030D27">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ind w:right="0" w:rightChars="0" w:firstLine="420" w:firstLineChars="200"/>
        <w:jc w:val="both"/>
        <w:textAlignment w:val="auto"/>
        <w:outlineLvl w:val="9"/>
        <w:rPr>
          <w:rFonts w:hint="eastAsia" w:ascii="微软雅黑" w:hAnsi="微软雅黑"/>
          <w:color w:val="auto"/>
          <w:kern w:val="1"/>
          <w:sz w:val="21"/>
          <w:szCs w:val="21"/>
          <w:highlight w:val="none"/>
          <w:lang w:val="en-US" w:eastAsia="zh-CN"/>
        </w:rPr>
      </w:pPr>
      <w:r>
        <w:rPr>
          <w:rFonts w:hint="eastAsia" w:ascii="微软雅黑" w:hAnsi="微软雅黑"/>
          <w:b w:val="0"/>
          <w:bCs w:val="0"/>
          <w:color w:val="auto"/>
          <w:kern w:val="2"/>
          <w:sz w:val="21"/>
          <w:szCs w:val="21"/>
          <w:highlight w:val="none"/>
          <w:lang w:val="en-US" w:eastAsia="zh-CN"/>
        </w:rPr>
        <w:t>一项</w:t>
      </w:r>
      <w:r>
        <w:rPr>
          <w:rFonts w:hint="eastAsia" w:ascii="微软雅黑" w:hAnsi="微软雅黑"/>
          <w:b w:val="0"/>
          <w:bCs w:val="0"/>
          <w:color w:val="auto"/>
          <w:kern w:val="2"/>
          <w:sz w:val="21"/>
          <w:szCs w:val="21"/>
          <w:highlight w:val="none"/>
          <w:lang w:eastAsia="zh-CN"/>
        </w:rPr>
        <w:t>由美国国家癌症研究所主办的临床Ⅰ</w:t>
      </w:r>
      <w:r>
        <w:rPr>
          <w:rFonts w:hint="eastAsia" w:ascii="微软雅黑" w:hAnsi="微软雅黑"/>
          <w:b w:val="0"/>
          <w:bCs w:val="0"/>
          <w:color w:val="auto"/>
          <w:kern w:val="2"/>
          <w:sz w:val="21"/>
          <w:szCs w:val="21"/>
          <w:highlight w:val="none"/>
          <w:lang w:val="en-US" w:eastAsia="zh-CN"/>
        </w:rPr>
        <w:t>b/</w:t>
      </w:r>
      <w:r>
        <w:rPr>
          <w:rFonts w:hint="eastAsia" w:ascii="微软雅黑" w:hAnsi="微软雅黑"/>
          <w:b w:val="0"/>
          <w:bCs w:val="0"/>
          <w:color w:val="auto"/>
          <w:kern w:val="2"/>
          <w:sz w:val="21"/>
          <w:szCs w:val="21"/>
          <w:highlight w:val="none"/>
          <w:lang w:eastAsia="zh-CN"/>
        </w:rPr>
        <w:t>Ⅱ期试验，旨在研究曲美替尼和</w:t>
      </w:r>
      <w:r>
        <w:rPr>
          <w:rFonts w:hint="eastAsia" w:ascii="微软雅黑" w:hAnsi="微软雅黑"/>
          <w:b w:val="0"/>
          <w:bCs w:val="0"/>
          <w:color w:val="auto"/>
          <w:kern w:val="2"/>
          <w:sz w:val="21"/>
          <w:szCs w:val="21"/>
          <w:highlight w:val="none"/>
          <w:lang w:val="en-US" w:eastAsia="zh-CN"/>
        </w:rPr>
        <w:t>N</w:t>
      </w:r>
      <w:r>
        <w:rPr>
          <w:rFonts w:hint="eastAsia" w:ascii="微软雅黑" w:hAnsi="微软雅黑"/>
          <w:b w:val="0"/>
          <w:bCs w:val="0"/>
          <w:color w:val="auto"/>
          <w:kern w:val="2"/>
          <w:sz w:val="21"/>
          <w:szCs w:val="21"/>
          <w:highlight w:val="none"/>
          <w:lang w:eastAsia="zh-CN"/>
        </w:rPr>
        <w:t>avitoclax用于治疗具有</w:t>
      </w:r>
      <w:r>
        <w:rPr>
          <w:rFonts w:hint="eastAsia" w:ascii="微软雅黑" w:hAnsi="微软雅黑"/>
          <w:b w:val="0"/>
          <w:bCs w:val="0"/>
          <w:color w:val="auto"/>
          <w:kern w:val="2"/>
          <w:sz w:val="21"/>
          <w:szCs w:val="21"/>
          <w:highlight w:val="none"/>
          <w:lang w:val="en-US" w:eastAsia="zh-CN"/>
        </w:rPr>
        <w:t>KRAS或NRAS突变的</w:t>
      </w:r>
      <w:r>
        <w:rPr>
          <w:rFonts w:hint="eastAsia" w:ascii="微软雅黑" w:hAnsi="微软雅黑"/>
          <w:b w:val="0"/>
          <w:bCs w:val="0"/>
          <w:color w:val="auto"/>
          <w:kern w:val="2"/>
          <w:sz w:val="21"/>
          <w:szCs w:val="21"/>
          <w:highlight w:val="none"/>
          <w:lang w:eastAsia="zh-CN"/>
        </w:rPr>
        <w:t>晚期或转移性实体瘤患者，产生的副作用以及最佳剂量。目前该试验正在招募患者</w:t>
      </w:r>
      <w:r>
        <w:rPr>
          <w:rFonts w:hint="eastAsia" w:ascii="微软雅黑" w:hAnsi="微软雅黑"/>
          <w:b w:val="0"/>
          <w:bCs w:val="0"/>
          <w:color w:val="auto"/>
          <w:kern w:val="2"/>
          <w:sz w:val="21"/>
          <w:szCs w:val="21"/>
          <w:highlight w:val="none"/>
          <w:lang w:val="en-US" w:eastAsia="zh-CN"/>
        </w:rPr>
        <w:t>[NCT02079740]</w:t>
      </w:r>
      <w:r>
        <w:rPr>
          <w:rFonts w:hint="eastAsia" w:ascii="微软雅黑" w:hAnsi="微软雅黑"/>
          <w:b w:val="0"/>
          <w:bCs w:val="0"/>
          <w:color w:val="auto"/>
          <w:kern w:val="2"/>
          <w:sz w:val="21"/>
          <w:szCs w:val="21"/>
          <w:highlight w:val="none"/>
          <w:lang w:eastAsia="zh-CN"/>
        </w:rPr>
        <w:t>。</w:t>
      </w:r>
      <w:r>
        <w:rPr>
          <w:rFonts w:hint="eastAsia" w:ascii="微软雅黑" w:hAnsi="微软雅黑"/>
          <w:b w:val="0"/>
          <w:bCs w:val="0"/>
          <w:color w:val="auto"/>
          <w:kern w:val="2"/>
          <w:sz w:val="21"/>
          <w:szCs w:val="21"/>
          <w:highlight w:val="none"/>
          <w:lang w:val="en-US" w:eastAsia="zh-CN"/>
        </w:rPr>
        <w:t>帕尼单抗联合曲美替尼用于</w:t>
      </w:r>
      <w:r>
        <w:rPr>
          <w:rFonts w:hint="eastAsia" w:ascii="微软雅黑" w:hAnsi="微软雅黑"/>
          <w:b w:val="0"/>
          <w:bCs w:val="0"/>
          <w:color w:val="auto"/>
          <w:kern w:val="2"/>
          <w:sz w:val="21"/>
          <w:szCs w:val="21"/>
          <w:highlight w:val="none"/>
          <w:lang w:eastAsia="zh-CN"/>
        </w:rPr>
        <w:t>治疗</w:t>
      </w:r>
      <w:r>
        <w:rPr>
          <w:rFonts w:hint="eastAsia" w:ascii="微软雅黑" w:hAnsi="微软雅黑"/>
          <w:b w:val="0"/>
          <w:bCs w:val="0"/>
          <w:color w:val="auto"/>
          <w:kern w:val="2"/>
          <w:sz w:val="21"/>
          <w:szCs w:val="21"/>
          <w:highlight w:val="none"/>
          <w:lang w:val="en-US" w:eastAsia="zh-CN"/>
        </w:rPr>
        <w:t>具有KRAS/NRAS/BRAF突变的</w:t>
      </w:r>
      <w:r>
        <w:rPr>
          <w:rFonts w:hint="eastAsia" w:ascii="微软雅黑" w:hAnsi="微软雅黑"/>
          <w:b w:val="0"/>
          <w:bCs w:val="0"/>
          <w:color w:val="auto"/>
          <w:kern w:val="2"/>
          <w:sz w:val="21"/>
          <w:szCs w:val="21"/>
          <w:highlight w:val="none"/>
          <w:lang w:eastAsia="zh-CN"/>
        </w:rPr>
        <w:t>IV期结直肠癌患者</w:t>
      </w:r>
      <w:r>
        <w:rPr>
          <w:rFonts w:hint="eastAsia" w:ascii="微软雅黑" w:hAnsi="微软雅黑"/>
          <w:b w:val="0"/>
          <w:bCs w:val="0"/>
          <w:color w:val="auto"/>
          <w:kern w:val="2"/>
          <w:sz w:val="21"/>
          <w:szCs w:val="21"/>
          <w:highlight w:val="none"/>
          <w:lang w:val="en-US" w:eastAsia="zh-CN"/>
        </w:rPr>
        <w:t>的II期临床试验，目前该临床试验状态未知[NCT03087071]。</w:t>
      </w:r>
      <w:r>
        <w:rPr>
          <w:rFonts w:hint="eastAsia" w:ascii="微软雅黑" w:hAnsi="微软雅黑"/>
          <w:b w:val="0"/>
          <w:bCs w:val="0"/>
          <w:color w:val="auto"/>
          <w:kern w:val="2"/>
          <w:sz w:val="21"/>
          <w:szCs w:val="21"/>
          <w:highlight w:val="none"/>
          <w:lang w:eastAsia="zh-CN"/>
        </w:rPr>
        <w:t>体内和体外研究显示，与</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或哌柏西利单一疗法相比，</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联合哌柏西利对具有</w:t>
      </w:r>
      <w:r>
        <w:rPr>
          <w:rFonts w:hint="eastAsia" w:ascii="微软雅黑" w:hAnsi="微软雅黑"/>
          <w:b w:val="0"/>
          <w:bCs w:val="0"/>
          <w:color w:val="auto"/>
          <w:kern w:val="2"/>
          <w:sz w:val="21"/>
          <w:szCs w:val="21"/>
          <w:highlight w:val="none"/>
          <w:lang w:val="en-US" w:eastAsia="zh-CN"/>
        </w:rPr>
        <w:t>KRAS突变的结直肠癌细胞系和异种移植模型具有显著的疗效[27167191]。</w:t>
      </w:r>
      <w:r>
        <w:rPr>
          <w:rFonts w:hint="eastAsia" w:ascii="微软雅黑" w:hAnsi="微软雅黑"/>
          <w:color w:val="auto"/>
          <w:kern w:val="1"/>
          <w:sz w:val="21"/>
          <w:szCs w:val="21"/>
          <w:highlight w:val="none"/>
          <w:lang w:eastAsia="zh-CN"/>
        </w:rPr>
        <w:t>一项临床Ⅰ期试验，旨在评估</w:t>
      </w:r>
      <w:r>
        <w:rPr>
          <w:rFonts w:hint="eastAsia" w:ascii="微软雅黑" w:hAnsi="微软雅黑" w:cs="微软雅黑"/>
          <w:b w:val="0"/>
          <w:bCs w:val="0"/>
          <w:kern w:val="2"/>
          <w:sz w:val="21"/>
          <w:szCs w:val="24"/>
          <w:highlight w:val="none"/>
          <w:lang w:eastAsia="zh-CN"/>
        </w:rPr>
        <w:t>贝美替尼联合mFOLFIRI</w:t>
      </w:r>
      <w:r>
        <w:rPr>
          <w:rFonts w:hint="eastAsia" w:ascii="微软雅黑" w:hAnsi="微软雅黑"/>
          <w:color w:val="auto"/>
          <w:kern w:val="1"/>
          <w:sz w:val="21"/>
          <w:szCs w:val="21"/>
          <w:highlight w:val="none"/>
        </w:rPr>
        <w:t>用于</w:t>
      </w:r>
      <w:r>
        <w:rPr>
          <w:rFonts w:hint="eastAsia" w:ascii="微软雅黑" w:hAnsi="微软雅黑"/>
          <w:color w:val="auto"/>
          <w:kern w:val="1"/>
          <w:sz w:val="21"/>
          <w:szCs w:val="21"/>
          <w:highlight w:val="none"/>
          <w:lang w:eastAsia="zh-CN"/>
        </w:rPr>
        <w:t>治疗</w:t>
      </w:r>
      <w:r>
        <w:rPr>
          <w:rFonts w:hint="eastAsia" w:ascii="微软雅黑" w:hAnsi="微软雅黑"/>
          <w:color w:val="auto"/>
          <w:kern w:val="1"/>
          <w:sz w:val="21"/>
          <w:szCs w:val="21"/>
          <w:highlight w:val="none"/>
        </w:rPr>
        <w:t>KRAS突变</w:t>
      </w:r>
      <w:r>
        <w:rPr>
          <w:rFonts w:hint="eastAsia" w:ascii="微软雅黑" w:hAnsi="微软雅黑"/>
          <w:color w:val="auto"/>
          <w:kern w:val="1"/>
          <w:sz w:val="21"/>
          <w:szCs w:val="21"/>
          <w:highlight w:val="none"/>
          <w:lang w:eastAsia="zh-CN"/>
        </w:rPr>
        <w:t>阳性</w:t>
      </w:r>
      <w:r>
        <w:rPr>
          <w:rFonts w:hint="eastAsia" w:ascii="微软雅黑" w:hAnsi="微软雅黑"/>
          <w:color w:val="auto"/>
          <w:kern w:val="1"/>
          <w:sz w:val="21"/>
          <w:szCs w:val="21"/>
          <w:highlight w:val="none"/>
        </w:rPr>
        <w:t>的结直肠癌的</w:t>
      </w:r>
      <w:r>
        <w:rPr>
          <w:rFonts w:hint="eastAsia" w:ascii="微软雅黑" w:hAnsi="微软雅黑"/>
          <w:color w:val="auto"/>
          <w:kern w:val="1"/>
          <w:sz w:val="21"/>
          <w:szCs w:val="21"/>
          <w:highlight w:val="none"/>
          <w:lang w:eastAsia="zh-CN"/>
        </w:rPr>
        <w:t>最大耐受剂量、反应率、临床获益率以及安全性，目前该</w:t>
      </w:r>
      <w:r>
        <w:rPr>
          <w:rFonts w:hint="eastAsia" w:ascii="微软雅黑" w:hAnsi="微软雅黑"/>
          <w:color w:val="auto"/>
          <w:kern w:val="1"/>
          <w:sz w:val="21"/>
          <w:szCs w:val="21"/>
          <w:highlight w:val="none"/>
        </w:rPr>
        <w:t>试验正在</w:t>
      </w:r>
      <w:r>
        <w:rPr>
          <w:rFonts w:hint="eastAsia" w:ascii="微软雅黑" w:hAnsi="微软雅黑"/>
          <w:color w:val="auto"/>
          <w:kern w:val="1"/>
          <w:sz w:val="21"/>
          <w:szCs w:val="21"/>
          <w:highlight w:val="none"/>
          <w:lang w:eastAsia="zh-CN"/>
        </w:rPr>
        <w:t>招募患者</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NCT02613650</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rPr>
        <w:t>。</w:t>
      </w:r>
      <w:r>
        <w:rPr>
          <w:rFonts w:hint="eastAsia" w:ascii="微软雅黑" w:hAnsi="微软雅黑"/>
          <w:color w:val="auto"/>
          <w:kern w:val="1"/>
          <w:sz w:val="21"/>
          <w:szCs w:val="21"/>
          <w:highlight w:val="none"/>
          <w:lang w:val="en-US" w:eastAsia="zh-CN"/>
        </w:rPr>
        <w:t>一项II期临床试验，旨在评估</w:t>
      </w:r>
      <w:r>
        <w:rPr>
          <w:rFonts w:hint="eastAsia" w:ascii="微软雅黑" w:hAnsi="微软雅黑"/>
          <w:color w:val="auto"/>
          <w:kern w:val="2"/>
          <w:sz w:val="21"/>
          <w:szCs w:val="21"/>
          <w:highlight w:val="none"/>
          <w:lang w:eastAsia="zh-CN"/>
        </w:rPr>
        <w:t>贝美替尼</w:t>
      </w:r>
      <w:r>
        <w:rPr>
          <w:rFonts w:hint="eastAsia" w:ascii="微软雅黑" w:hAnsi="微软雅黑"/>
          <w:b w:val="0"/>
          <w:bCs w:val="0"/>
          <w:color w:val="auto"/>
          <w:kern w:val="2"/>
          <w:sz w:val="21"/>
          <w:szCs w:val="21"/>
          <w:highlight w:val="none"/>
          <w:lang w:eastAsia="zh-CN"/>
        </w:rPr>
        <w:t>联合哌柏西利</w:t>
      </w:r>
      <w:r>
        <w:rPr>
          <w:rFonts w:hint="eastAsia" w:ascii="微软雅黑" w:hAnsi="微软雅黑"/>
          <w:b w:val="0"/>
          <w:bCs w:val="0"/>
          <w:color w:val="auto"/>
          <w:kern w:val="2"/>
          <w:sz w:val="21"/>
          <w:szCs w:val="21"/>
          <w:highlight w:val="none"/>
          <w:lang w:val="en-US" w:eastAsia="zh-CN"/>
        </w:rPr>
        <w:t>用于治疗携带KRAS/NRAS突变的结直肠癌患者有效性，该试验正在开展，不招募患者[NCT03981614]。</w:t>
      </w:r>
      <w:r>
        <w:rPr>
          <w:rFonts w:hint="eastAsia" w:ascii="微软雅黑" w:hAnsi="微软雅黑"/>
          <w:color w:val="auto"/>
          <w:kern w:val="1"/>
          <w:sz w:val="21"/>
          <w:szCs w:val="21"/>
          <w:highlight w:val="none"/>
          <w:lang w:eastAsia="zh-CN"/>
        </w:rPr>
        <w:t>BI 1701963单药以及BI 1701963与曲美替尼联合用于治疗具有</w:t>
      </w:r>
      <w:r>
        <w:rPr>
          <w:rFonts w:hint="eastAsia" w:ascii="微软雅黑" w:hAnsi="微软雅黑"/>
          <w:color w:val="auto"/>
          <w:kern w:val="1"/>
          <w:sz w:val="21"/>
          <w:szCs w:val="21"/>
          <w:highlight w:val="none"/>
          <w:lang w:val="en-US" w:eastAsia="zh-CN"/>
        </w:rPr>
        <w:t>KRAS突变的不同类型的晚期实体瘤的</w:t>
      </w:r>
      <w:r>
        <w:rPr>
          <w:rFonts w:hint="eastAsia" w:ascii="微软雅黑" w:hAnsi="微软雅黑"/>
          <w:color w:val="auto"/>
          <w:kern w:val="1"/>
          <w:sz w:val="21"/>
          <w:szCs w:val="21"/>
          <w:highlight w:val="none"/>
          <w:lang w:eastAsia="zh-CN"/>
        </w:rPr>
        <w:t>临床Ⅰ期试验</w:t>
      </w:r>
      <w:r>
        <w:rPr>
          <w:rFonts w:hint="eastAsia" w:ascii="微软雅黑" w:hAnsi="微软雅黑"/>
          <w:b w:val="0"/>
          <w:bCs w:val="0"/>
          <w:color w:val="auto"/>
          <w:kern w:val="2"/>
          <w:sz w:val="21"/>
          <w:szCs w:val="21"/>
          <w:highlight w:val="none"/>
          <w:lang w:val="en-US" w:eastAsia="zh-CN"/>
        </w:rPr>
        <w:t>正在开展，不招募患者</w:t>
      </w:r>
      <w:r>
        <w:rPr>
          <w:rFonts w:hint="eastAsia" w:ascii="微软雅黑" w:hAnsi="微软雅黑"/>
          <w:color w:val="auto"/>
          <w:kern w:val="1"/>
          <w:sz w:val="21"/>
          <w:szCs w:val="21"/>
          <w:highlight w:val="none"/>
          <w:lang w:val="en-US" w:eastAsia="zh-CN"/>
        </w:rPr>
        <w:t>[NCT04111458]</w:t>
      </w:r>
      <w:r>
        <w:rPr>
          <w:rFonts w:hint="eastAsia" w:ascii="微软雅黑" w:hAnsi="微软雅黑"/>
          <w:color w:val="auto"/>
          <w:kern w:val="1"/>
          <w:sz w:val="21"/>
          <w:szCs w:val="21"/>
          <w:highlight w:val="none"/>
          <w:lang w:eastAsia="zh-CN"/>
        </w:rPr>
        <w:t>。奈拉替尼联合曲美替尼用于治疗携带KRAS突变的晚期或转移性实体瘤患者的疗效、安全性和耐受性的Ⅰ</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[NCT03065387]。</w:t>
      </w:r>
      <w:r>
        <w:rPr>
          <w:rFonts w:hint="eastAsia" w:ascii="微软雅黑" w:hAnsi="微软雅黑"/>
          <w:color w:val="auto"/>
          <w:kern w:val="1"/>
          <w:sz w:val="21"/>
          <w:szCs w:val="21"/>
          <w:highlight w:val="none"/>
          <w:lang w:eastAsia="zh-CN"/>
        </w:rPr>
        <w:t>福巴替尼联合贝美替尼用于治疗携带KRAS突变的晚期肿瘤患者疗效的Ⅰb/Ⅱ</w:t>
      </w:r>
      <w:r>
        <w:rPr>
          <w:rFonts w:hint="eastAsia" w:ascii="微软雅黑" w:hAnsi="微软雅黑"/>
          <w:b w:val="0"/>
          <w:bCs w:val="0"/>
          <w:color w:val="auto"/>
          <w:kern w:val="2"/>
          <w:sz w:val="21"/>
          <w:szCs w:val="21"/>
          <w:highlight w:val="none"/>
          <w:lang w:eastAsia="zh-CN"/>
        </w:rPr>
        <w:t>期试验</w:t>
      </w:r>
      <w:r>
        <w:rPr>
          <w:rFonts w:hint="eastAsia" w:ascii="微软雅黑" w:hAnsi="微软雅黑"/>
          <w:color w:val="auto"/>
          <w:kern w:val="1"/>
          <w:sz w:val="21"/>
          <w:szCs w:val="21"/>
          <w:highlight w:val="none"/>
          <w:lang w:eastAsia="zh-CN"/>
        </w:rPr>
        <w:t>正在招募中</w:t>
      </w:r>
      <w:r>
        <w:rPr>
          <w:rFonts w:hint="eastAsia" w:ascii="微软雅黑" w:hAnsi="微软雅黑"/>
          <w:color w:val="auto"/>
          <w:kern w:val="1"/>
          <w:sz w:val="21"/>
          <w:szCs w:val="21"/>
          <w:highlight w:val="none"/>
          <w:lang w:val="en-US" w:eastAsia="zh-CN"/>
        </w:rPr>
        <w:t>[NCT04965818]</w:t>
      </w:r>
      <w:r>
        <w:rPr>
          <w:rFonts w:hint="eastAsia" w:ascii="微软雅黑" w:hAnsi="微软雅黑"/>
          <w:color w:val="auto"/>
          <w:kern w:val="1"/>
          <w:sz w:val="21"/>
          <w:szCs w:val="21"/>
          <w:highlight w:val="none"/>
          <w:lang w:eastAsia="zh-CN"/>
        </w:rPr>
        <w:t>。</w:t>
      </w:r>
    </w:p>
    <w:p w14:paraId="22D875B9">
      <w:pPr>
        <w:numPr>
          <w:ilvl w:val="0"/>
          <w:numId w:val="13"/>
        </w:numPr>
        <w:spacing w:before="200" w:beforeLines="0" w:afterLines="0"/>
        <w:ind w:left="420" w:leftChars="0" w:hanging="420" w:firstLineChars="0"/>
        <w:jc w:val="both"/>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u w:val="single"/>
          <w:lang w:eastAsia="zh-CN"/>
        </w:rPr>
        <w:t>司美替尼（Selumetinib）、PD0325901</w:t>
      </w:r>
      <w:r>
        <w:rPr>
          <w:rFonts w:hint="eastAsia" w:ascii="微软雅黑" w:hAnsi="微软雅黑" w:cs="微软雅黑"/>
          <w:b/>
          <w:bCs/>
          <w:color w:val="0000FF"/>
          <w:kern w:val="0"/>
          <w:sz w:val="24"/>
          <w:szCs w:val="24"/>
          <w:highlight w:val="none"/>
          <w:u w:val="single"/>
          <w:lang w:eastAsia="zh-CN"/>
        </w:rPr>
        <w:fldChar w:fldCharType="end"/>
      </w:r>
      <w:r>
        <w:rPr>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eastAsia="zh-CN"/>
        </w:rPr>
        <w:t>PD0325901</w:t>
      </w:r>
      <w:r>
        <w:rPr>
          <w:rStyle w:val="21"/>
          <w:rFonts w:hint="eastAsia" w:ascii="微软雅黑" w:hAnsi="微软雅黑" w:cs="微软雅黑"/>
          <w:b/>
          <w:bCs/>
          <w:color w:val="0000FF"/>
          <w:kern w:val="0"/>
          <w:sz w:val="24"/>
          <w:szCs w:val="24"/>
          <w:highlight w:val="none"/>
          <w:u w:val="single"/>
          <w:lang w:val="en-US" w:eastAsia="zh-CN"/>
        </w:rPr>
        <w:t>+哌柏西利</w:t>
      </w:r>
      <w:r>
        <w:rPr>
          <w:rStyle w:val="21"/>
          <w:rFonts w:hint="eastAsia" w:ascii="微软雅黑" w:hAnsi="微软雅黑" w:cs="微软雅黑"/>
          <w:b/>
          <w:bCs/>
          <w:color w:val="0000FF"/>
          <w:kern w:val="0"/>
          <w:sz w:val="24"/>
          <w:szCs w:val="24"/>
          <w:highlight w:val="none"/>
          <w:u w:val="single"/>
          <w:lang w:eastAsia="zh-CN"/>
        </w:rPr>
        <w:t>（</w:t>
      </w:r>
      <w:r>
        <w:rPr>
          <w:rStyle w:val="21"/>
          <w:rFonts w:hint="eastAsia" w:ascii="微软雅黑" w:hAnsi="微软雅黑" w:cs="微软雅黑"/>
          <w:b/>
          <w:bCs/>
          <w:color w:val="0000FF"/>
          <w:kern w:val="0"/>
          <w:sz w:val="24"/>
          <w:szCs w:val="24"/>
          <w:highlight w:val="none"/>
          <w:u w:val="single"/>
          <w:lang w:val="en-US" w:eastAsia="zh-CN"/>
        </w:rPr>
        <w:t>Palbociclib</w:t>
      </w:r>
      <w:r>
        <w:rPr>
          <w:rStyle w:val="21"/>
          <w:rFonts w:hint="eastAsia" w:ascii="微软雅黑" w:hAnsi="微软雅黑" w:cs="微软雅黑"/>
          <w:b/>
          <w:bCs/>
          <w:color w:val="0000FF"/>
          <w:kern w:val="0"/>
          <w:sz w:val="24"/>
          <w:szCs w:val="24"/>
          <w:highlight w:val="none"/>
          <w:u w:val="single"/>
          <w:lang w:eastAsia="zh-CN"/>
        </w:rPr>
        <w:t>）</w:t>
      </w:r>
    </w:p>
    <w:p w14:paraId="5674B73E">
      <w:pPr>
        <w:spacing w:after="0"/>
        <w:jc w:val="both"/>
        <w:rPr>
          <w:rFonts w:hint="eastAsia"/>
          <w:b/>
          <w:bCs/>
          <w:kern w:val="2"/>
          <w:highlight w:val="none"/>
          <w:lang w:eastAsia="zh-CN"/>
        </w:rPr>
      </w:pPr>
      <w:r>
        <w:rPr>
          <w:rFonts w:hint="eastAsia"/>
          <w:b/>
          <w:bCs/>
          <w:kern w:val="2"/>
          <w:highlight w:val="none"/>
          <w:lang w:eastAsia="zh-CN"/>
        </w:rPr>
        <w:t>基因变异与药物关联分析：</w:t>
      </w:r>
    </w:p>
    <w:p w14:paraId="489EA61D">
      <w:pPr>
        <w:spacing w:after="0"/>
        <w:ind w:firstLine="420" w:firstLineChars="200"/>
        <w:jc w:val="both"/>
        <w:outlineLvl w:val="9"/>
        <w:rPr>
          <w:rFonts w:hint="eastAsia" w:ascii="微软雅黑" w:hAnsi="微软雅黑"/>
          <w:color w:val="auto"/>
          <w:kern w:val="1"/>
          <w:sz w:val="21"/>
          <w:szCs w:val="21"/>
          <w:highlight w:val="none"/>
          <w:lang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olor w:val="auto"/>
          <w:kern w:val="1"/>
          <w:sz w:val="21"/>
          <w:szCs w:val="21"/>
          <w:highlight w:val="none"/>
        </w:rPr>
        <w:t>司美替尼是一种小分子抑制剂，可抑制</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信号通路下游MEK1/2的激酶活性，对携带</w:t>
      </w:r>
      <w:r>
        <w:rPr>
          <w:rFonts w:hint="eastAsia" w:ascii="微软雅黑" w:hAnsi="微软雅黑"/>
          <w:color w:val="auto"/>
          <w:kern w:val="1"/>
          <w:sz w:val="21"/>
          <w:szCs w:val="21"/>
          <w:highlight w:val="none"/>
          <w:lang w:val="en-US" w:eastAsia="zh-CN"/>
        </w:rPr>
        <w:t>KRAS/NRAS/BRAF</w:t>
      </w:r>
      <w:r>
        <w:rPr>
          <w:rFonts w:hint="eastAsia" w:ascii="微软雅黑" w:hAnsi="微软雅黑"/>
          <w:color w:val="auto"/>
          <w:kern w:val="1"/>
          <w:sz w:val="21"/>
          <w:szCs w:val="21"/>
          <w:highlight w:val="none"/>
        </w:rPr>
        <w:t>信号通路异常激活的肿瘤特别有效。</w:t>
      </w:r>
      <w:r>
        <w:rPr>
          <w:rFonts w:hint="eastAsia" w:ascii="微软雅黑" w:hAnsi="微软雅黑"/>
          <w:color w:val="auto"/>
          <w:kern w:val="1"/>
          <w:sz w:val="21"/>
          <w:szCs w:val="21"/>
          <w:highlight w:val="none"/>
          <w:lang w:val="en-US" w:eastAsia="zh-CN"/>
        </w:rPr>
        <w:t>FDA和NMPA批准司美替尼用于治疗1型神经纤维瘤。</w:t>
      </w:r>
      <w:r>
        <w:rPr>
          <w:rFonts w:hint="eastAsia" w:ascii="微软雅黑" w:hAnsi="微软雅黑"/>
          <w:color w:val="auto"/>
          <w:kern w:val="1"/>
          <w:sz w:val="21"/>
          <w:szCs w:val="21"/>
          <w:highlight w:val="none"/>
          <w:lang w:eastAsia="zh-CN"/>
        </w:rPr>
        <w:t>哌柏西利是一种</w:t>
      </w:r>
      <w:r>
        <w:rPr>
          <w:rFonts w:hint="eastAsia" w:ascii="微软雅黑" w:hAnsi="微软雅黑"/>
          <w:color w:val="auto"/>
          <w:kern w:val="1"/>
          <w:sz w:val="21"/>
          <w:szCs w:val="21"/>
          <w:highlight w:val="none"/>
          <w:lang w:val="en-US" w:eastAsia="zh-CN"/>
        </w:rPr>
        <w:t>CDK4/6抑制剂，已获FDA和NMPA批准用于治疗乳腺癌。</w:t>
      </w:r>
      <w:r>
        <w:rPr>
          <w:rFonts w:hint="eastAsia" w:ascii="微软雅黑" w:hAnsi="微软雅黑"/>
          <w:color w:val="auto"/>
          <w:kern w:val="1"/>
          <w:sz w:val="21"/>
          <w:szCs w:val="21"/>
          <w:highlight w:val="none"/>
        </w:rPr>
        <w:t>PD0325901是MEK1/2的抑制剂，正在开展临床试验。</w:t>
      </w:r>
    </w:p>
    <w:p w14:paraId="0643E36C">
      <w:pPr>
        <w:spacing w:after="0"/>
        <w:ind w:firstLine="0" w:firstLineChars="0"/>
        <w:jc w:val="both"/>
        <w:outlineLvl w:val="9"/>
        <w:rPr>
          <w:rFonts w:hint="eastAsia" w:ascii="微软雅黑" w:hAnsi="微软雅黑"/>
          <w:color w:val="auto"/>
          <w:kern w:val="1"/>
          <w:sz w:val="21"/>
          <w:szCs w:val="21"/>
          <w:highlight w:val="none"/>
        </w:rPr>
      </w:pPr>
      <w:r>
        <w:rPr>
          <w:rFonts w:hint="eastAsia"/>
          <w:b/>
          <w:bCs/>
          <w:kern w:val="2"/>
          <w:highlight w:val="none"/>
          <w:lang w:eastAsia="zh-CN"/>
        </w:rPr>
        <w:t>药物疗效临床解析：</w:t>
      </w:r>
    </w:p>
    <w:p w14:paraId="43E636DA">
      <w:pPr>
        <w:keepNext w:val="0"/>
        <w:keepLines w:val="0"/>
        <w:pageBreakBefore w:val="0"/>
        <w:widowControl/>
        <w:numPr>
          <w:ilvl w:val="0"/>
          <w:numId w:val="0"/>
        </w:numPr>
        <w:kinsoku/>
        <w:wordWrap/>
        <w:overflowPunct/>
        <w:topLinePunct w:val="0"/>
        <w:autoSpaceDE/>
        <w:autoSpaceDN/>
        <w:bidi w:val="0"/>
        <w:adjustRightInd w:val="0"/>
        <w:snapToGrid w:val="0"/>
        <w:spacing w:before="0" w:after="0" w:line="240" w:lineRule="auto"/>
        <w:ind w:left="0" w:leftChars="0" w:right="0" w:rightChars="0" w:firstLine="420" w:firstLineChars="200"/>
        <w:jc w:val="both"/>
        <w:textAlignment w:val="auto"/>
        <w:outlineLvl w:val="9"/>
        <w:rPr>
          <w:rFonts w:hint="eastAsia" w:ascii="微软雅黑" w:hAnsi="微软雅黑"/>
          <w:color w:val="auto"/>
          <w:kern w:val="1"/>
          <w:sz w:val="21"/>
          <w:szCs w:val="21"/>
          <w:highlight w:val="none"/>
          <w:lang w:eastAsia="zh-CN"/>
        </w:rPr>
      </w:pPr>
      <w:r>
        <w:rPr>
          <w:rFonts w:hint="eastAsia" w:ascii="微软雅黑" w:hAnsi="微软雅黑"/>
          <w:color w:val="auto"/>
          <w:kern w:val="1"/>
          <w:sz w:val="21"/>
          <w:szCs w:val="21"/>
          <w:highlight w:val="none"/>
          <w:lang w:eastAsia="zh-CN"/>
        </w:rPr>
        <w:t>有实验研究表明，司美替尼对于KRAS突变阳性的直肠癌细胞系生长有明显的抑制作用，而对于KARS野生型的直肠癌细胞系生长无明显的抑制作用</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24170544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。在KRAS突变的</w:t>
      </w:r>
      <w:r>
        <w:rPr>
          <w:rFonts w:hint="eastAsia" w:ascii="微软雅黑" w:hAnsi="微软雅黑"/>
          <w:color w:val="auto"/>
          <w:kern w:val="1"/>
          <w:sz w:val="21"/>
          <w:szCs w:val="21"/>
          <w:highlight w:val="none"/>
          <w:lang w:val="en-US" w:eastAsia="zh-CN"/>
        </w:rPr>
        <w:t>结直肠癌</w:t>
      </w:r>
      <w:r>
        <w:rPr>
          <w:rFonts w:hint="eastAsia" w:ascii="微软雅黑" w:hAnsi="微软雅黑"/>
          <w:color w:val="auto"/>
          <w:kern w:val="1"/>
          <w:sz w:val="21"/>
          <w:szCs w:val="21"/>
          <w:highlight w:val="none"/>
          <w:lang w:eastAsia="zh-CN"/>
        </w:rPr>
        <w:t>剂量扩增队列的I期</w:t>
      </w:r>
      <w:r>
        <w:rPr>
          <w:rFonts w:hint="eastAsia" w:ascii="微软雅黑" w:hAnsi="微软雅黑"/>
          <w:color w:val="auto"/>
          <w:kern w:val="1"/>
          <w:sz w:val="21"/>
          <w:szCs w:val="21"/>
          <w:highlight w:val="none"/>
          <w:lang w:val="en-US" w:eastAsia="zh-CN"/>
        </w:rPr>
        <w:t>临床试验</w:t>
      </w:r>
      <w:r>
        <w:rPr>
          <w:rFonts w:hint="eastAsia" w:ascii="微软雅黑" w:hAnsi="微软雅黑"/>
          <w:color w:val="auto"/>
          <w:kern w:val="1"/>
          <w:sz w:val="21"/>
          <w:szCs w:val="21"/>
          <w:highlight w:val="none"/>
          <w:lang w:eastAsia="zh-CN"/>
        </w:rPr>
        <w:t>中，司美替尼最大耐受剂量为75mg p.o.BID联合每周西妥昔单抗250mg/m2，后期400mg/m2 剂量。14 例患者响应，5例患者SD，9例疾病进展[26666244]。一项临床</w:t>
      </w:r>
      <w:r>
        <w:rPr>
          <w:rFonts w:hint="eastAsia" w:ascii="微软雅黑" w:hAnsi="微软雅黑"/>
          <w:color w:val="auto"/>
          <w:kern w:val="1"/>
          <w:sz w:val="21"/>
          <w:szCs w:val="21"/>
          <w:highlight w:val="none"/>
          <w:lang w:val="en-US" w:eastAsia="zh-CN"/>
        </w:rPr>
        <w:t>I/II</w:t>
      </w:r>
      <w:r>
        <w:rPr>
          <w:rFonts w:hint="eastAsia" w:ascii="微软雅黑" w:hAnsi="微软雅黑"/>
          <w:color w:val="auto"/>
          <w:kern w:val="1"/>
          <w:sz w:val="21"/>
          <w:szCs w:val="21"/>
          <w:highlight w:val="none"/>
          <w:lang w:eastAsia="zh-CN"/>
        </w:rPr>
        <w:t>期试验，32位携带KRAS突变的结直肠癌患者接受奥沙利铂和贝伐珠单抗的治疗后接受司美替尼和伊立替康的联合治疗。在临床I期试验中，确定了最佳剂量。有</w:t>
      </w:r>
      <w:r>
        <w:rPr>
          <w:rFonts w:hint="eastAsia" w:ascii="微软雅黑" w:hAnsi="微软雅黑"/>
          <w:color w:val="auto"/>
          <w:kern w:val="1"/>
          <w:sz w:val="21"/>
          <w:szCs w:val="21"/>
          <w:highlight w:val="none"/>
          <w:lang w:val="en-US" w:eastAsia="zh-CN"/>
        </w:rPr>
        <w:t>3</w:t>
      </w:r>
      <w:r>
        <w:rPr>
          <w:rFonts w:hint="eastAsia" w:ascii="微软雅黑" w:hAnsi="微软雅黑"/>
          <w:color w:val="auto"/>
          <w:kern w:val="1"/>
          <w:sz w:val="21"/>
          <w:szCs w:val="21"/>
          <w:highlight w:val="none"/>
          <w:lang w:eastAsia="zh-CN"/>
        </w:rPr>
        <w:t>位患者（9.7%）具有部分应答，16位患者（51.6%）疾病稳定时间≥4周，其中3位超过一年。该临床试验提前终止，即便如此，试验结果中的中位无进展生存期和响应率良好，表明MEK抑制剂与其它靶向药物或细胞毒性药物的联合应用能提高对转移性结直肠癌患者治疗的临床意义</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25322874</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p>
    <w:p w14:paraId="717DC756">
      <w:pPr>
        <w:keepNext w:val="0"/>
        <w:keepLines w:val="0"/>
        <w:pageBreakBefore w:val="0"/>
        <w:widowControl/>
        <w:kinsoku/>
        <w:wordWrap/>
        <w:overflowPunct/>
        <w:topLinePunct w:val="0"/>
        <w:autoSpaceDE/>
        <w:autoSpaceDN/>
        <w:bidi w:val="0"/>
        <w:adjustRightInd w:val="0"/>
        <w:snapToGrid w:val="0"/>
        <w:spacing w:before="0" w:beforeLines="-2147483648" w:after="0" w:afterLines="-2147483648"/>
        <w:ind w:firstLine="420" w:firstLineChars="200"/>
        <w:jc w:val="both"/>
        <w:textAlignment w:val="auto"/>
        <w:outlineLvl w:val="9"/>
        <w:rPr>
          <w:rFonts w:hint="eastAsia" w:ascii="微软雅黑" w:hAnsi="微软雅黑" w:eastAsia="微软雅黑" w:cs="Arial Unicode MS"/>
          <w:kern w:val="2"/>
          <w:sz w:val="21"/>
          <w:szCs w:val="21"/>
          <w:highlight w:val="none"/>
          <w:lang w:val="en-US" w:eastAsia="zh-CN"/>
        </w:rPr>
      </w:pPr>
      <w:r>
        <w:rPr>
          <w:rFonts w:hint="eastAsia" w:ascii="微软雅黑" w:hAnsi="微软雅黑"/>
          <w:color w:val="auto"/>
          <w:kern w:val="1"/>
          <w:sz w:val="21"/>
          <w:szCs w:val="21"/>
          <w:highlight w:val="none"/>
          <w:lang w:eastAsia="zh-CN"/>
        </w:rPr>
        <w:t>体外研究显示，具有KRAS突变的细胞系对PD0325901敏感</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19401449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21451123</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。另有结直肠癌小鼠模型研究显示，NVP-BKM120联合PD-0325901可诱导PIK3CA野生型KRAS突变的肿瘤退缩</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24576621</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。PD0325901用于实体瘤患者临床Ⅰ期研究显示，在58名可评估的患者中，3名黑色素瘤患者局部缓解，23名患者疾病稳定，包括21名黑色素瘤、2名肺癌</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20215549</w:t>
      </w:r>
      <w:r>
        <w:rPr>
          <w:rFonts w:hint="eastAsia" w:ascii="微软雅黑" w:hAnsi="微软雅黑"/>
          <w:color w:val="auto"/>
          <w:kern w:val="1"/>
          <w:sz w:val="21"/>
          <w:szCs w:val="21"/>
          <w:highlight w:val="none"/>
          <w:lang w:val="en-US" w:eastAsia="zh-CN"/>
        </w:rPr>
        <w:t>]</w:t>
      </w:r>
      <w:r>
        <w:rPr>
          <w:rFonts w:hint="eastAsia" w:ascii="微软雅黑" w:hAnsi="微软雅黑"/>
          <w:color w:val="auto"/>
          <w:kern w:val="1"/>
          <w:sz w:val="21"/>
          <w:szCs w:val="21"/>
          <w:highlight w:val="none"/>
          <w:lang w:eastAsia="zh-CN"/>
        </w:rPr>
        <w:t>。</w:t>
      </w:r>
      <w:r>
        <w:rPr>
          <w:rFonts w:hint="eastAsia" w:ascii="微软雅黑" w:hAnsi="微软雅黑"/>
          <w:color w:val="auto"/>
          <w:kern w:val="1"/>
          <w:sz w:val="21"/>
          <w:szCs w:val="21"/>
          <w:highlight w:val="none"/>
          <w:lang w:val="en-US" w:eastAsia="zh-CN"/>
        </w:rPr>
        <w:t>一项I/II期临床试验，旨在评估</w:t>
      </w:r>
      <w:r>
        <w:rPr>
          <w:rFonts w:hint="eastAsia" w:ascii="微软雅黑" w:hAnsi="微软雅黑"/>
          <w:color w:val="auto"/>
          <w:kern w:val="1"/>
          <w:sz w:val="21"/>
          <w:szCs w:val="21"/>
          <w:highlight w:val="none"/>
          <w:lang w:eastAsia="zh-CN"/>
        </w:rPr>
        <w:t>PD0325901</w:t>
      </w:r>
      <w:r>
        <w:rPr>
          <w:rFonts w:hint="eastAsia" w:ascii="微软雅黑" w:hAnsi="微软雅黑"/>
          <w:color w:val="auto"/>
          <w:kern w:val="1"/>
          <w:sz w:val="21"/>
          <w:szCs w:val="21"/>
          <w:highlight w:val="none"/>
          <w:lang w:val="en-US" w:eastAsia="zh-CN"/>
        </w:rPr>
        <w:t>联合哌柏西利用于治疗携带KRAS突变的实体瘤的安全性和有效性，该试验正在进行中，不招募患者[</w:t>
      </w:r>
      <w:r>
        <w:rPr>
          <w:rFonts w:hint="eastAsia" w:ascii="微软雅黑" w:hAnsi="微软雅黑"/>
          <w:color w:val="auto"/>
          <w:kern w:val="1"/>
          <w:sz w:val="21"/>
          <w:szCs w:val="21"/>
          <w:highlight w:val="none"/>
          <w:lang w:eastAsia="zh-CN"/>
        </w:rPr>
        <w:t>NCT02022982</w:t>
      </w:r>
      <w:r>
        <w:rPr>
          <w:rFonts w:hint="eastAsia" w:ascii="微软雅黑" w:hAnsi="微软雅黑"/>
          <w:color w:val="auto"/>
          <w:kern w:val="1"/>
          <w:sz w:val="21"/>
          <w:szCs w:val="21"/>
          <w:highlight w:val="none"/>
          <w:lang w:val="en-US" w:eastAsia="zh-CN"/>
        </w:rPr>
        <w:t>]。</w:t>
      </w:r>
    </w:p>
    <w:p w14:paraId="118D290B">
      <w:pPr>
        <w:keepNext w:val="0"/>
        <w:keepLines w:val="0"/>
        <w:pageBreakBefore w:val="0"/>
        <w:widowControl/>
        <w:numPr>
          <w:ilvl w:val="0"/>
          <w:numId w:val="13"/>
        </w:numPr>
        <w:kinsoku/>
        <w:wordWrap/>
        <w:overflowPunct/>
        <w:topLinePunct w:val="0"/>
        <w:autoSpaceDE/>
        <w:autoSpaceDN/>
        <w:bidi w:val="0"/>
        <w:adjustRightInd w:val="0"/>
        <w:snapToGrid w:val="0"/>
        <w:spacing w:before="200" w:after="200" w:line="240" w:lineRule="auto"/>
        <w:ind w:left="420" w:leftChars="0" w:right="0" w:rightChars="0" w:hanging="420" w:firstLineChars="0"/>
        <w:jc w:val="both"/>
        <w:textAlignment w:val="auto"/>
        <w:outlineLvl w:val="9"/>
        <w:rPr>
          <w:rFonts w:hint="eastAsia" w:ascii="微软雅黑" w:hAnsi="微软雅黑" w:eastAsia="微软雅黑" w:cs="微软雅黑"/>
          <w:b/>
          <w:bCs/>
          <w:color w:val="auto"/>
          <w:sz w:val="24"/>
          <w:szCs w:val="24"/>
          <w:highlight w:val="none"/>
          <w:u w:val="none"/>
          <w:lang w:val="en-US" w:eastAsia="zh-CN"/>
        </w:rPr>
      </w:pPr>
      <w:r>
        <w:rPr>
          <w:rFonts w:hint="eastAsia" w:ascii="微软雅黑" w:hAnsi="微软雅黑" w:eastAsia="微软雅黑" w:cs="微软雅黑"/>
          <w:b/>
          <w:bCs/>
          <w:color w:val="0000FF"/>
          <w:kern w:val="0"/>
          <w:sz w:val="24"/>
          <w:szCs w:val="24"/>
          <w:highlight w:val="none"/>
          <w:u w:val="single"/>
        </w:rPr>
        <w:fldChar w:fldCharType="begin"/>
      </w:r>
      <w:r>
        <w:rPr>
          <w:rFonts w:hint="eastAsia" w:ascii="微软雅黑" w:hAnsi="微软雅黑" w:eastAsia="微软雅黑" w:cs="微软雅黑"/>
          <w:b/>
          <w:bCs/>
          <w:color w:val="0000FF"/>
          <w:kern w:val="0"/>
          <w:sz w:val="24"/>
          <w:szCs w:val="24"/>
          <w:highlight w:val="none"/>
          <w:u w:val="single"/>
        </w:rPr>
        <w:instrText xml:space="preserve"> HYPERLINK \l "重要基因变异及潜在靶向药物信息" </w:instrText>
      </w:r>
      <w:r>
        <w:rPr>
          <w:rFonts w:hint="eastAsia" w:ascii="微软雅黑" w:hAnsi="微软雅黑" w:eastAsia="微软雅黑" w:cs="微软雅黑"/>
          <w:b/>
          <w:bCs/>
          <w:color w:val="0000FF"/>
          <w:kern w:val="0"/>
          <w:sz w:val="24"/>
          <w:szCs w:val="24"/>
          <w:highlight w:val="none"/>
          <w:u w:val="single"/>
        </w:rPr>
        <w:fldChar w:fldCharType="separate"/>
      </w:r>
      <w:r>
        <w:rPr>
          <w:rFonts w:hint="eastAsia" w:ascii="微软雅黑" w:hAnsi="微软雅黑" w:cs="微软雅黑"/>
          <w:b/>
          <w:bCs/>
          <w:color w:val="0000FF"/>
          <w:sz w:val="24"/>
          <w:szCs w:val="24"/>
          <w:highlight w:val="none"/>
          <w:u w:val="single"/>
          <w:lang w:eastAsia="zh-CN"/>
        </w:rPr>
        <w:t>Defactinib+Avutometinib、依维莫司（Everolimus）</w:t>
      </w:r>
      <w:r>
        <w:rPr>
          <w:rFonts w:hint="eastAsia" w:ascii="微软雅黑" w:hAnsi="微软雅黑" w:cs="微软雅黑"/>
          <w:b/>
          <w:bCs/>
          <w:color w:val="0000FF"/>
          <w:sz w:val="24"/>
          <w:szCs w:val="24"/>
          <w:highlight w:val="none"/>
          <w:u w:val="single"/>
          <w:lang w:val="en-US" w:eastAsia="zh-CN"/>
        </w:rPr>
        <w:t>+</w:t>
      </w:r>
      <w:r>
        <w:rPr>
          <w:rFonts w:hint="eastAsia" w:ascii="微软雅黑" w:hAnsi="微软雅黑" w:cs="微软雅黑"/>
          <w:b/>
          <w:bCs/>
          <w:color w:val="0000FF"/>
          <w:sz w:val="24"/>
          <w:szCs w:val="24"/>
          <w:highlight w:val="none"/>
          <w:u w:val="single"/>
          <w:lang w:eastAsia="zh-CN"/>
        </w:rPr>
        <w:t>Avutometinib</w:t>
      </w:r>
      <w:r>
        <w:rPr>
          <w:rFonts w:hint="eastAsia" w:ascii="微软雅黑" w:hAnsi="微软雅黑" w:eastAsia="微软雅黑" w:cs="微软雅黑"/>
          <w:b/>
          <w:bCs/>
          <w:color w:val="0000FF"/>
          <w:kern w:val="0"/>
          <w:sz w:val="24"/>
          <w:szCs w:val="24"/>
          <w:highlight w:val="none"/>
          <w:u w:val="single"/>
        </w:rPr>
        <w:fldChar w:fldCharType="end"/>
      </w:r>
      <w:r>
        <w:rPr>
          <w:rFonts w:hint="eastAsia" w:ascii="微软雅黑" w:hAnsi="微软雅黑" w:cs="微软雅黑"/>
          <w:b/>
          <w:bCs/>
          <w:color w:val="0000FF"/>
          <w:kern w:val="0"/>
          <w:sz w:val="24"/>
          <w:szCs w:val="24"/>
          <w:highlight w:val="none"/>
          <w:u w:val="single"/>
          <w:lang w:eastAsia="zh-CN"/>
        </w:rPr>
        <w:t>、RMC-6236</w:t>
      </w:r>
    </w:p>
    <w:p w14:paraId="4DF2F53F">
      <w:pPr>
        <w:spacing w:beforeLines="0" w:after="0" w:afterLines="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204CA7FE">
      <w:pPr>
        <w:spacing w:beforeLines="0" w:after="0" w:afterLines="0"/>
        <w:ind w:firstLine="420" w:firstLineChars="200"/>
        <w:jc w:val="both"/>
        <w:outlineLvl w:val="9"/>
        <w:rPr>
          <w:rFonts w:hint="default" w:ascii="微软雅黑" w:hAnsi="微软雅黑"/>
          <w:color w:val="auto"/>
          <w:kern w:val="1"/>
          <w:sz w:val="21"/>
          <w:szCs w:val="21"/>
          <w:highlight w:val="none"/>
          <w:lang w:val="en-US"/>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s="Arial Unicode MS"/>
          <w:b w:val="0"/>
          <w:bCs/>
          <w:color w:val="auto"/>
          <w:kern w:val="2"/>
          <w:sz w:val="21"/>
          <w:szCs w:val="21"/>
          <w:highlight w:val="none"/>
          <w:lang w:eastAsia="zh-CN"/>
        </w:rPr>
        <w:t>携带该突变的肿瘤患者可能从RAS/RAF</w:t>
      </w:r>
      <w:r>
        <w:rPr>
          <w:rFonts w:hint="eastAsia" w:ascii="微软雅黑" w:hAnsi="微软雅黑"/>
          <w:color w:val="auto"/>
          <w:kern w:val="1"/>
          <w:sz w:val="21"/>
          <w:szCs w:val="21"/>
          <w:highlight w:val="none"/>
        </w:rPr>
        <w:t>/MEK/ERK信号通路</w:t>
      </w:r>
      <w:r>
        <w:rPr>
          <w:rFonts w:hint="eastAsia" w:ascii="微软雅黑" w:hAnsi="微软雅黑"/>
          <w:color w:val="auto"/>
          <w:kern w:val="1"/>
          <w:sz w:val="21"/>
          <w:szCs w:val="21"/>
          <w:highlight w:val="none"/>
          <w:lang w:eastAsia="zh-CN"/>
        </w:rPr>
        <w:t>的</w:t>
      </w:r>
      <w:r>
        <w:rPr>
          <w:rFonts w:hint="eastAsia" w:ascii="微软雅黑" w:hAnsi="微软雅黑"/>
          <w:color w:val="auto"/>
          <w:kern w:val="1"/>
          <w:sz w:val="21"/>
          <w:szCs w:val="21"/>
          <w:highlight w:val="none"/>
        </w:rPr>
        <w:t>下游MEK1/2激酶</w:t>
      </w:r>
      <w:r>
        <w:rPr>
          <w:rFonts w:hint="eastAsia" w:ascii="微软雅黑" w:hAnsi="微软雅黑"/>
          <w:color w:val="auto"/>
          <w:kern w:val="1"/>
          <w:sz w:val="21"/>
          <w:szCs w:val="21"/>
          <w:highlight w:val="none"/>
          <w:lang w:eastAsia="zh-CN"/>
        </w:rPr>
        <w:t>抑制剂获益。</w:t>
      </w:r>
      <w:r>
        <w:rPr>
          <w:rFonts w:hint="eastAsia" w:ascii="微软雅黑" w:hAnsi="微软雅黑" w:cs="Arial Unicode MS"/>
          <w:color w:val="000000" w:themeColor="text1"/>
          <w:kern w:val="2"/>
          <w:sz w:val="21"/>
          <w:szCs w:val="21"/>
          <w14:textFill>
            <w14:solidFill>
              <w14:schemeClr w14:val="tx1"/>
            </w14:solidFill>
          </w14:textFill>
        </w:rPr>
        <w:t>Defactinib是一种FAK抑制剂</w:t>
      </w:r>
      <w:r>
        <w:rPr>
          <w:rFonts w:hint="eastAsia" w:ascii="微软雅黑" w:hAnsi="微软雅黑" w:cs="Arial Unicode MS"/>
          <w:color w:val="000000" w:themeColor="text1"/>
          <w:kern w:val="2"/>
          <w:sz w:val="21"/>
          <w:szCs w:val="21"/>
          <w:lang w:eastAsia="zh-CN"/>
          <w14:textFill>
            <w14:solidFill>
              <w14:schemeClr w14:val="tx1"/>
            </w14:solidFill>
          </w14:textFill>
        </w:rPr>
        <w:t>，Avutometinib</w:t>
      </w:r>
      <w:r>
        <w:rPr>
          <w:rFonts w:hint="eastAsia" w:ascii="微软雅黑" w:hAnsi="微软雅黑" w:cs="Arial Unicode MS"/>
          <w:color w:val="000000" w:themeColor="text1"/>
          <w:kern w:val="2"/>
          <w:sz w:val="21"/>
          <w:szCs w:val="21"/>
          <w14:textFill>
            <w14:solidFill>
              <w14:schemeClr w14:val="tx1"/>
            </w14:solidFill>
          </w14:textFill>
        </w:rPr>
        <w:t>又称RO5126766，是一种新型MEK-pan-RAF抑制剂，</w:t>
      </w:r>
      <w:r>
        <w:rPr>
          <w:rFonts w:hint="eastAsia" w:ascii="微软雅黑" w:hAnsi="微软雅黑" w:cs="Times New Roman"/>
          <w:b w:val="0"/>
          <w:bCs w:val="0"/>
          <w:color w:val="auto"/>
          <w:kern w:val="2"/>
          <w:sz w:val="21"/>
          <w:szCs w:val="21"/>
          <w:highlight w:val="none"/>
          <w:lang w:val="en-US" w:eastAsia="zh-CN"/>
        </w:rPr>
        <w:t>FDA加速批准了Avutometinib联合Defactinib用于治疗既往接受过系统治疗的KRAS突变的复发性低级别浆液性卵巢癌（LGSOC）成人患者。</w:t>
      </w:r>
      <w:r>
        <w:rPr>
          <w:rFonts w:hint="eastAsia" w:ascii="微软雅黑" w:hAnsi="微软雅黑" w:cs="微软雅黑"/>
          <w:sz w:val="21"/>
          <w:szCs w:val="21"/>
          <w:highlight w:val="none"/>
          <w:lang w:val="en-US" w:eastAsia="zh-CN"/>
        </w:rPr>
        <w:t>FDA已批准依维莫司用于治疗肾细胞癌、乳腺癌等，同时NMPA批准用于治疗肾细胞癌、室管膜下巨细胞型星形细胞瘤。</w:t>
      </w:r>
      <w:r>
        <w:rPr>
          <w:rFonts w:hint="eastAsia" w:ascii="微软雅黑" w:hAnsi="微软雅黑" w:cs="Times New Roman"/>
          <w:b w:val="0"/>
          <w:bCs w:val="0"/>
          <w:color w:val="auto"/>
          <w:kern w:val="2"/>
          <w:sz w:val="21"/>
          <w:szCs w:val="21"/>
          <w:highlight w:val="none"/>
          <w:lang w:val="en-US" w:eastAsia="zh-CN"/>
        </w:rPr>
        <w:t>RMC-6236是一种泛KRAS抑制剂，目前处于临床期。</w:t>
      </w:r>
    </w:p>
    <w:p w14:paraId="742B958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41317366">
      <w:pPr>
        <w:numPr>
          <w:ilvl w:val="-1"/>
          <w:numId w:val="0"/>
        </w:numPr>
        <w:pBdr>
          <w:top w:val="none" w:color="auto" w:sz="0" w:space="0"/>
          <w:left w:val="none" w:color="auto" w:sz="0" w:space="0"/>
          <w:bottom w:val="none" w:color="auto" w:sz="0" w:space="0"/>
          <w:right w:val="none" w:color="auto" w:sz="0" w:space="0"/>
        </w:pBdr>
        <w:shd w:val="clear"/>
        <w:adjustRightInd/>
        <w:snapToGrid/>
        <w:spacing w:before="0" w:beforeLines="0" w:after="0" w:afterLines="0" w:line="240" w:lineRule="auto"/>
        <w:ind w:firstLine="420" w:firstLineChars="200"/>
        <w:jc w:val="both"/>
        <w:outlineLvl w:val="9"/>
        <w:rPr>
          <w:rFonts w:ascii="微软雅黑" w:hAnsi="微软雅黑" w:cs="微软雅黑"/>
          <w:color w:val="FF0000"/>
          <w:kern w:val="1"/>
          <w:sz w:val="21"/>
          <w:szCs w:val="21"/>
        </w:rPr>
      </w:pPr>
      <w:r>
        <w:rPr>
          <w:rFonts w:hint="eastAsia" w:ascii="微软雅黑" w:hAnsi="微软雅黑" w:cs="Times New Roman"/>
          <w:bCs/>
          <w:color w:val="auto"/>
          <w:kern w:val="2"/>
          <w:sz w:val="21"/>
          <w:szCs w:val="21"/>
          <w:lang w:val="en-US" w:eastAsia="zh-CN"/>
        </w:rPr>
        <w:t>一项Defactinib联合Avutometinib用于治疗携带KRAS基因突变在晚期实体瘤患者中疗效的I期临床试验正在招募中[NCT03875820]。</w:t>
      </w:r>
      <w:r>
        <w:rPr>
          <w:rFonts w:hint="eastAsia" w:ascii="微软雅黑" w:hAnsi="微软雅黑" w:cs="Times New Roman"/>
          <w:bCs/>
          <w:color w:val="auto"/>
          <w:kern w:val="2"/>
          <w:sz w:val="21"/>
          <w:szCs w:val="21"/>
          <w:highlight w:val="none"/>
          <w:lang w:val="en-US" w:eastAsia="zh-CN"/>
        </w:rPr>
        <w:t>一项Avutometinib（VS-6766）联合Defactinib用于治疗KRAS突变复发性低级别浆液性卵巢癌（LGSOC）成人患者的II期临床试验正在进行中[NCT04625270]。</w:t>
      </w:r>
      <w:r>
        <w:rPr>
          <w:rFonts w:hint="eastAsia" w:ascii="微软雅黑" w:hAnsi="微软雅黑" w:cs="Times New Roman"/>
          <w:bCs/>
          <w:color w:val="auto"/>
          <w:kern w:val="2"/>
          <w:sz w:val="21"/>
          <w:szCs w:val="21"/>
          <w:lang w:val="en-US" w:eastAsia="zh-CN"/>
        </w:rPr>
        <w:t>一项依维莫司联合Avutometinib用于治疗携带KRAS基因突变的在实体瘤或多发性骨髓瘤患者的I期临床试验正在招募患者[NCT02407509]。</w:t>
      </w:r>
      <w:r>
        <w:rPr>
          <w:rFonts w:hint="eastAsia" w:ascii="微软雅黑" w:hAnsi="微软雅黑" w:cs="Times New Roman"/>
          <w:bCs/>
          <w:color w:val="auto"/>
          <w:kern w:val="2"/>
          <w:sz w:val="21"/>
          <w:szCs w:val="21"/>
          <w:highlight w:val="none"/>
          <w:lang w:val="en-US" w:eastAsia="zh-CN"/>
        </w:rPr>
        <w:t>一项RMC-6236用于治疗携带RAS突变（KRAS、NRAS或HRAS在G12、G13或Q61处的任何非同义突变）的晚期实体瘤的多中心、开放标签、I/Ib期临床试验正在招募患者[NCT05379985]。</w:t>
      </w:r>
    </w:p>
    <w:p w14:paraId="3E32152A">
      <w:pPr>
        <w:numPr>
          <w:ilvl w:val="0"/>
          <w:numId w:val="14"/>
        </w:numPr>
        <w:spacing w:before="200"/>
        <w:ind w:left="420" w:hanging="420"/>
        <w:jc w:val="both"/>
        <w:rPr>
          <w:rFonts w:ascii="微软雅黑" w:hAnsi="微软雅黑" w:cs="微软雅黑"/>
          <w:color w:val="FF0000"/>
          <w:kern w:val="1"/>
          <w:sz w:val="21"/>
          <w:szCs w:val="21"/>
        </w:rPr>
      </w:pPr>
      <w:r>
        <w:rPr>
          <w:rStyle w:val="21"/>
          <w:rFonts w:hint="eastAsia" w:ascii="微软雅黑" w:hAnsi="微软雅黑" w:cs="微软雅黑"/>
          <w:b/>
          <w:bCs/>
          <w:color w:val="FF0000"/>
          <w:sz w:val="24"/>
          <w:szCs w:val="24"/>
          <w:u w:val="none"/>
        </w:rPr>
        <w:t>SETD2：c.4930G&gt;T，p.G1644*</w:t>
      </w:r>
      <w:r>
        <w:rPr>
          <w:rStyle w:val="21"/>
          <w:rFonts w:hint="eastAsia" w:ascii="微软雅黑" w:hAnsi="微软雅黑" w:cs="微软雅黑"/>
          <w:b/>
          <w:bCs/>
          <w:color w:val="FF0000"/>
          <w:sz w:val="24"/>
          <w:szCs w:val="24"/>
          <w:u w:val="none"/>
          <w:lang w:val="en-US" w:eastAsia="zh-CN"/>
        </w:rPr>
        <w:t>突变</w:t>
      </w:r>
      <w:r>
        <w:rPr>
          <w:rStyle w:val="21"/>
          <w:rFonts w:hint="eastAsia" w:ascii="微软雅黑" w:hAnsi="微软雅黑" w:cs="微软雅黑"/>
          <w:b/>
          <w:bCs/>
          <w:color w:val="FF0000"/>
          <w:sz w:val="24"/>
          <w:szCs w:val="24"/>
          <w:u w:val="none"/>
        </w:rPr>
        <w:t>相应靶向药物</w:t>
      </w:r>
    </w:p>
    <w:p w14:paraId="7AE381FA">
      <w:pPr>
        <w:numPr>
          <w:ilvl w:val="0"/>
          <w:numId w:val="12"/>
        </w:numPr>
        <w:adjustRightInd/>
        <w:snapToGrid/>
        <w:spacing w:before="200"/>
        <w:rPr>
          <w:rFonts w:ascii="微软雅黑" w:hAnsi="微软雅黑" w:cs="微软雅黑"/>
          <w:b/>
          <w:bCs/>
          <w:color w:val="0000FF"/>
        </w:rPr>
      </w:pPr>
      <w:r>
        <w:fldChar w:fldCharType="begin"/>
      </w:r>
      <w:r>
        <w:instrText xml:space="preserve"> HYPERLINK \l "基因变异检测结果及相关靶向药物信息" </w:instrText>
      </w:r>
      <w:r>
        <w:fldChar w:fldCharType="separate"/>
      </w:r>
      <w:r>
        <w:rPr>
          <w:rStyle w:val="23"/>
          <w:rFonts w:hint="eastAsia" w:ascii="微软雅黑" w:hAnsi="微软雅黑" w:cs="微软雅黑"/>
          <w:b/>
          <w:bCs/>
          <w:color w:val="0000FF"/>
          <w:sz w:val="24"/>
          <w:szCs w:val="24"/>
        </w:rPr>
        <w:t>AZD1775</w:t>
      </w:r>
      <w:r>
        <w:rPr>
          <w:rStyle w:val="23"/>
          <w:rFonts w:hint="eastAsia" w:ascii="微软雅黑" w:hAnsi="微软雅黑" w:cs="微软雅黑"/>
          <w:b/>
          <w:bCs/>
          <w:color w:val="0000FF"/>
          <w:sz w:val="24"/>
          <w:szCs w:val="24"/>
        </w:rPr>
        <w:fldChar w:fldCharType="end"/>
      </w:r>
    </w:p>
    <w:p w14:paraId="1999EA9B">
      <w:pPr>
        <w:spacing w:after="0"/>
        <w:jc w:val="both"/>
        <w:rPr>
          <w:b/>
          <w:bCs/>
          <w:kern w:val="2"/>
        </w:rPr>
      </w:pPr>
      <w:r>
        <w:rPr>
          <w:rFonts w:hint="eastAsia"/>
          <w:b/>
          <w:bCs/>
          <w:kern w:val="2"/>
        </w:rPr>
        <w:t>基因变异与药物关联分析：</w:t>
      </w:r>
    </w:p>
    <w:p w14:paraId="5AAE0313">
      <w:pPr>
        <w:spacing w:after="0"/>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lang w:val="en-US" w:eastAsia="zh-CN"/>
        </w:rPr>
        <w:t>该样本检出SETD2基因c.4930G&gt;T，p.G1644*无义突变，该突变导致蛋白翻译提前终止，产生截短的蛋白，可能导致蛋白功能缺失。有研究表明，SETD2缺失与WEE1抑制剂具有“合成致死”作用[29955114]。因此，可能从WEE1抑制剂的治疗中获益。</w:t>
      </w:r>
      <w:r>
        <w:rPr>
          <w:rFonts w:ascii="微软雅黑" w:hAnsi="微软雅黑" w:cs="Arial Unicode MS"/>
          <w:kern w:val="2"/>
          <w:sz w:val="21"/>
          <w:szCs w:val="21"/>
        </w:rPr>
        <w:t>AZD1775是一种WEE1激酶抑制剂，可以控制细胞分裂周期的G2检验点</w:t>
      </w:r>
      <w:r>
        <w:rPr>
          <w:rFonts w:hint="eastAsia" w:ascii="微软雅黑" w:hAnsi="微软雅黑" w:cs="Arial Unicode MS"/>
          <w:kern w:val="2"/>
          <w:sz w:val="21"/>
          <w:szCs w:val="21"/>
          <w:lang w:eastAsia="zh-CN"/>
        </w:rPr>
        <w:t>，</w:t>
      </w:r>
      <w:r>
        <w:rPr>
          <w:rFonts w:ascii="微软雅黑" w:hAnsi="微软雅黑" w:cs="Arial Unicode MS"/>
          <w:kern w:val="2"/>
          <w:sz w:val="21"/>
          <w:szCs w:val="21"/>
        </w:rPr>
        <w:t>目前该药正处于临床期。</w:t>
      </w:r>
    </w:p>
    <w:p w14:paraId="67B4F192">
      <w:pPr>
        <w:spacing w:after="0"/>
        <w:jc w:val="both"/>
        <w:rPr>
          <w:b/>
          <w:bCs/>
          <w:kern w:val="2"/>
        </w:rPr>
      </w:pPr>
      <w:r>
        <w:rPr>
          <w:rFonts w:hint="eastAsia"/>
          <w:b/>
          <w:bCs/>
          <w:kern w:val="2"/>
        </w:rPr>
        <w:t>药物疗效临床解析：</w:t>
      </w:r>
    </w:p>
    <w:p w14:paraId="461A3A82">
      <w:pPr>
        <w:keepNext w:val="0"/>
        <w:keepLines w:val="0"/>
        <w:pageBreakBefore w:val="0"/>
        <w:widowControl/>
        <w:kinsoku/>
        <w:wordWrap/>
        <w:overflowPunct/>
        <w:topLinePunct w:val="0"/>
        <w:autoSpaceDE/>
        <w:autoSpaceDN/>
        <w:bidi w:val="0"/>
        <w:adjustRightInd w:val="0"/>
        <w:snapToGrid w:val="0"/>
        <w:spacing w:after="0"/>
        <w:ind w:firstLine="420" w:firstLineChars="200"/>
        <w:jc w:val="both"/>
        <w:textAlignment w:val="auto"/>
        <w:rPr>
          <w:rFonts w:hint="eastAsia" w:ascii="微软雅黑" w:hAnsi="微软雅黑" w:cs="Times New Roman"/>
          <w:bCs/>
          <w:color w:val="auto"/>
          <w:kern w:val="2"/>
          <w:sz w:val="21"/>
          <w:szCs w:val="21"/>
          <w:lang w:val="en-US" w:eastAsia="zh-CN"/>
        </w:rPr>
      </w:pPr>
      <w:r>
        <w:rPr>
          <w:rFonts w:hint="eastAsia" w:ascii="微软雅黑" w:hAnsi="微软雅黑" w:cs="Arial Unicode MS"/>
          <w:kern w:val="2"/>
          <w:sz w:val="21"/>
          <w:szCs w:val="21"/>
          <w:lang w:val="en-US" w:eastAsia="zh-CN"/>
        </w:rPr>
        <w:t>一项</w:t>
      </w:r>
      <w:r>
        <w:rPr>
          <w:rFonts w:hint="eastAsia" w:ascii="微软雅黑" w:hAnsi="微软雅黑" w:cs="Arial Unicode MS"/>
          <w:kern w:val="2"/>
          <w:sz w:val="21"/>
          <w:szCs w:val="21"/>
        </w:rPr>
        <w:t>II期临床试验</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旨在评估</w:t>
      </w:r>
      <w:r>
        <w:rPr>
          <w:rFonts w:ascii="微软雅黑" w:hAnsi="微软雅黑" w:cs="Arial Unicode MS"/>
          <w:kern w:val="2"/>
          <w:sz w:val="21"/>
          <w:szCs w:val="21"/>
        </w:rPr>
        <w:t>AZD1775</w:t>
      </w:r>
      <w:r>
        <w:rPr>
          <w:rFonts w:hint="eastAsia" w:ascii="微软雅黑" w:hAnsi="微软雅黑" w:cs="Arial Unicode MS"/>
          <w:kern w:val="2"/>
          <w:sz w:val="21"/>
          <w:szCs w:val="21"/>
        </w:rPr>
        <w:t>治疗SETD2缺陷实体瘤（已扩散到身体其</w:t>
      </w:r>
      <w:r>
        <w:rPr>
          <w:rFonts w:hint="eastAsia" w:ascii="微软雅黑" w:hAnsi="微软雅黑" w:cs="Arial Unicode MS"/>
          <w:kern w:val="2"/>
          <w:sz w:val="21"/>
          <w:szCs w:val="21"/>
          <w:lang w:val="en-US" w:eastAsia="zh-CN"/>
        </w:rPr>
        <w:t>它</w:t>
      </w:r>
      <w:r>
        <w:rPr>
          <w:rFonts w:hint="eastAsia" w:ascii="微软雅黑" w:hAnsi="微软雅黑" w:cs="Arial Unicode MS"/>
          <w:kern w:val="2"/>
          <w:sz w:val="21"/>
          <w:szCs w:val="21"/>
        </w:rPr>
        <w:t>部位）患者的</w:t>
      </w:r>
      <w:r>
        <w:rPr>
          <w:rFonts w:hint="eastAsia" w:ascii="微软雅黑" w:hAnsi="微软雅黑" w:cs="Arial Unicode MS"/>
          <w:kern w:val="2"/>
          <w:sz w:val="21"/>
          <w:szCs w:val="21"/>
          <w:lang w:val="en-US" w:eastAsia="zh-CN"/>
        </w:rPr>
        <w:t>有效性</w:t>
      </w:r>
      <w:r>
        <w:rPr>
          <w:rFonts w:hint="eastAsia" w:ascii="微软雅黑" w:hAnsi="微软雅黑" w:cs="Arial Unicode MS"/>
          <w:kern w:val="2"/>
          <w:sz w:val="21"/>
          <w:szCs w:val="21"/>
          <w:lang w:eastAsia="zh-CN"/>
        </w:rPr>
        <w:t>，</w:t>
      </w:r>
      <w:r>
        <w:rPr>
          <w:rFonts w:hint="eastAsia" w:ascii="微软雅黑" w:hAnsi="微软雅黑" w:cs="Arial Unicode MS"/>
          <w:kern w:val="2"/>
          <w:sz w:val="21"/>
          <w:szCs w:val="21"/>
          <w:lang w:val="en-US" w:eastAsia="zh-CN"/>
        </w:rPr>
        <w:t>目前正在开展，不招募患者[</w:t>
      </w:r>
      <w:bookmarkStart w:id="180" w:name="OLE_LINK14"/>
      <w:r>
        <w:rPr>
          <w:rFonts w:hint="eastAsia" w:ascii="微软雅黑" w:hAnsi="微软雅黑" w:cs="Arial Unicode MS"/>
          <w:kern w:val="2"/>
          <w:sz w:val="21"/>
          <w:szCs w:val="21"/>
          <w:lang w:val="en-US" w:eastAsia="zh-CN"/>
        </w:rPr>
        <w:t>NCT03284385</w:t>
      </w:r>
      <w:bookmarkEnd w:id="180"/>
      <w:r>
        <w:rPr>
          <w:rFonts w:hint="eastAsia" w:ascii="微软雅黑" w:hAnsi="微软雅黑" w:cs="Arial Unicode MS"/>
          <w:kern w:val="2"/>
          <w:sz w:val="21"/>
          <w:szCs w:val="21"/>
          <w:lang w:val="en-US" w:eastAsia="zh-CN"/>
        </w:rPr>
        <w:t>]</w:t>
      </w:r>
      <w:r>
        <w:rPr>
          <w:rFonts w:hint="eastAsia" w:ascii="微软雅黑" w:hAnsi="微软雅黑" w:cs="Arial Unicode MS"/>
          <w:kern w:val="2"/>
          <w:sz w:val="21"/>
          <w:szCs w:val="21"/>
        </w:rPr>
        <w:t>。</w:t>
      </w:r>
    </w:p>
    <w:p w14:paraId="0AA811E7">
      <w:pPr>
        <w:numPr>
          <w:ilvl w:val="0"/>
          <w:numId w:val="11"/>
        </w:numPr>
        <w:spacing w:before="200"/>
        <w:jc w:val="both"/>
        <w:rPr>
          <w:rFonts w:ascii="微软雅黑" w:hAnsi="微软雅黑" w:cs="微软雅黑"/>
          <w:color w:val="FF0000"/>
          <w:kern w:val="1"/>
          <w:sz w:val="21"/>
          <w:szCs w:val="21"/>
        </w:rPr>
      </w:pPr>
      <w:r>
        <w:rPr>
          <w:rFonts w:hint="eastAsia" w:ascii="微软雅黑" w:hAnsi="微软雅黑" w:cs="微软雅黑"/>
          <w:b/>
          <w:color w:val="FF0000"/>
          <w:sz w:val="24"/>
        </w:rPr>
        <w:t>ATM</w:t>
      </w:r>
      <w:r>
        <w:rPr>
          <w:rFonts w:ascii="微软雅黑" w:hAnsi="微软雅黑" w:cs="微软雅黑"/>
          <w:b/>
          <w:color w:val="FF0000"/>
          <w:sz w:val="24"/>
        </w:rPr>
        <w:t>：</w:t>
      </w:r>
      <w:r>
        <w:rPr>
          <w:rFonts w:hint="eastAsia" w:ascii="微软雅黑" w:hAnsi="微软雅黑" w:cs="微软雅黑"/>
          <w:b/>
          <w:color w:val="FF0000"/>
          <w:sz w:val="24"/>
        </w:rPr>
        <w:t>c.6874C&gt;T，p.Q2292*</w:t>
      </w:r>
      <w:r>
        <w:rPr>
          <w:rStyle w:val="21"/>
          <w:rFonts w:hint="eastAsia" w:ascii="微软雅黑" w:hAnsi="微软雅黑" w:cs="微软雅黑"/>
          <w:b/>
          <w:bCs/>
          <w:color w:val="FF0000"/>
          <w:sz w:val="24"/>
          <w:szCs w:val="24"/>
          <w:u w:val="none"/>
        </w:rPr>
        <w:t>突变相应靶向</w:t>
      </w:r>
      <w:r>
        <w:rPr>
          <w:rStyle w:val="21"/>
          <w:rFonts w:hint="eastAsia" w:ascii="微软雅黑" w:hAnsi="微软雅黑" w:cs="微软雅黑"/>
          <w:b/>
          <w:bCs/>
          <w:color w:val="FF0000"/>
          <w:sz w:val="24"/>
          <w:szCs w:val="24"/>
          <w:u w:val="none"/>
          <w:lang w:val="en-US" w:eastAsia="zh-CN"/>
        </w:rPr>
        <w:t>/免疫</w:t>
      </w:r>
      <w:r>
        <w:rPr>
          <w:rStyle w:val="21"/>
          <w:rFonts w:hint="eastAsia" w:ascii="微软雅黑" w:hAnsi="微软雅黑" w:cs="微软雅黑"/>
          <w:b/>
          <w:bCs/>
          <w:color w:val="FF0000"/>
          <w:sz w:val="24"/>
          <w:szCs w:val="24"/>
          <w:u w:val="none"/>
        </w:rPr>
        <w:t>药物</w:t>
      </w:r>
    </w:p>
    <w:p w14:paraId="39EC2229">
      <w:pPr>
        <w:numPr>
          <w:ilvl w:val="0"/>
          <w:numId w:val="13"/>
        </w:numPr>
        <w:spacing w:before="240" w:beforeLines="100" w:after="240" w:afterLines="100"/>
        <w:jc w:val="both"/>
        <w:rPr>
          <w:rFonts w:ascii="微软雅黑" w:hAnsi="微软雅黑" w:cs="微软雅黑"/>
          <w:b/>
          <w:bCs/>
          <w:sz w:val="24"/>
          <w:szCs w:val="24"/>
        </w:rPr>
      </w:pPr>
      <w:r>
        <w:rPr>
          <w:rFonts w:hint="eastAsia" w:ascii="微软雅黑" w:hAnsi="微软雅黑" w:cs="微软雅黑"/>
          <w:b/>
          <w:bCs/>
          <w:color w:val="0000FF"/>
          <w:sz w:val="24"/>
          <w:szCs w:val="24"/>
          <w:u w:val="single"/>
        </w:rPr>
        <w:t>奥拉帕利（Olaparib）、芦卡帕利（Rucaparib）、尼拉帕利（Niraparib）、盐酸可泮利塞+奥拉帕利+度伐利尤单抗（Copanlisib+Olaparib+Durvalumab）、帕米帕利+替雷利珠单抗（Pamiparib+Tislelizumab）、芦卡帕利+阿替利珠单抗（Rucaparib+Atezolizumab）、他拉唑帕利+阿替利珠单抗（Talazoparib+Atezolizumab）、他拉唑帕利（Talazoparib）、AZD6738+奥拉帕利（Olaparib）、阿维鲁单抗+他拉唑帕利（Avelumab+Talazoparib）、LY2606368、奥拉帕利+帕博利珠单抗（Olaparib+Pembrolizumab）</w:t>
      </w:r>
    </w:p>
    <w:p w14:paraId="5CBBE8C1">
      <w:pPr>
        <w:spacing w:after="0"/>
        <w:jc w:val="both"/>
        <w:rPr>
          <w:rFonts w:hint="eastAsia"/>
          <w:b/>
          <w:bCs/>
          <w:kern w:val="2"/>
        </w:rPr>
      </w:pPr>
      <w:r>
        <w:rPr>
          <w:rFonts w:hint="eastAsia"/>
          <w:b/>
          <w:bCs/>
          <w:kern w:val="2"/>
        </w:rPr>
        <w:t>基因变异与药物关联分析：</w:t>
      </w:r>
    </w:p>
    <w:p w14:paraId="02A991C6">
      <w:pPr>
        <w:spacing w:after="0"/>
        <w:ind w:firstLine="400"/>
        <w:jc w:val="both"/>
        <w:rPr>
          <w:rFonts w:ascii="微软雅黑" w:hAnsi="微软雅黑" w:cs="Arial Unicode MS"/>
          <w:kern w:val="2"/>
          <w:sz w:val="21"/>
          <w:szCs w:val="21"/>
        </w:rPr>
      </w:pPr>
      <w:r>
        <w:rPr>
          <w:rFonts w:hint="eastAsia" w:ascii="微软雅黑" w:hAnsi="微软雅黑" w:cs="微软雅黑"/>
          <w:sz w:val="21"/>
        </w:rPr>
        <w:t>该样本检出ATM基因c.6874C&gt;T，p.Q2292*无义突变，</w:t>
      </w:r>
      <w:r>
        <w:rPr>
          <w:rFonts w:hint="eastAsia" w:ascii="微软雅黑" w:hAnsi="微软雅黑" w:cs="Arial Unicode MS"/>
          <w:kern w:val="2"/>
          <w:sz w:val="21"/>
          <w:szCs w:val="21"/>
          <w:lang w:val="en-US" w:eastAsia="zh-CN"/>
        </w:rPr>
        <w:t>该突变导致蛋白翻译提前终止，产生截短的蛋白，可能导致蛋白功能缺失。</w:t>
      </w:r>
      <w:r>
        <w:rPr>
          <w:rFonts w:hint="eastAsia" w:ascii="微软雅黑" w:hAnsi="微软雅黑" w:cs="Arial Unicode MS"/>
          <w:color w:val="000000" w:themeColor="text1"/>
          <w:kern w:val="2"/>
          <w:sz w:val="21"/>
          <w:szCs w:val="21"/>
          <w14:textFill>
            <w14:solidFill>
              <w14:schemeClr w14:val="tx1"/>
            </w14:solidFill>
          </w14:textFill>
        </w:rPr>
        <w:t>ATM是一个抑癌基因，编码PI3K/PI4K家族的一个蛋白激酶。ATM缺陷细胞会导致DNA损伤的积累及基因组的不稳定，进而引起肿瘤发生。临床研究发现，ATM缺陷型的前列腺癌或胃癌等肿瘤对PARP抑制剂敏感[26282658，26510020]。因此，该患者可能从PARP抑制剂及相关抑制剂的治疗中获益。</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目前，FDA和/或NMPA批准的PARP抑制剂有奥拉帕利、芦卡帕利、尼拉帕利、他拉唑帕利、帕米帕利。FDA批准奥拉帕利用于卵巢癌、输卵管癌或原发性腹膜癌、胰腺癌、乳腺癌以及前列腺癌患者的治疗；NMPA批准奥拉帕利用于卵巢癌和前列腺癌的治疗。FDA批准芦卡帕利用于治疗卵巢癌、输卵管癌或原发性腹膜癌以及前列腺癌患者。FDA批准尼拉帕利用于上皮性卵巢癌、输卵管癌或原发性腹膜癌患者的维持治疗；中国（香港）批准尼拉帕利用于治疗高级别浆液性上皮性卵巢癌患者；中国大陆批准尼拉帕利用于复发性卵巢癌的维持治疗。FDA批准他拉唑帕利用于治疗前列腺癌和乳腺癌成年患者。NMPA批准他拉唑帕利用于治疗前列腺癌患者。NMPA批准帕米帕利用于治疗存在已知致病或疑似致病的胚系BRCA突变的既往接受过两线或两线以上化疗的晚期卵巢癌、输卵管癌或原发性腹膜癌患者。</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相关抑制剂包括阿维鲁单抗、LY2606368、盐酸可泮利塞、度伐利尤单抗、帕博利珠单抗、替雷利珠单抗、阿替利珠单抗、AZD6738。阿维鲁单抗是PD-L1抑制剂，已获FDA批准用于治疗默克细胞癌、尿路上皮癌患者。LY2606368是一种ATP竞争性CHK1抑制剂，目前正处于临床期。盐酸可泮利塞是一种PI3K抑制剂，已获FDA和NMPA批准用于治疗滤泡性淋巴瘤。度伐利尤单抗是一种PD-L1抑制剂，已获FDA和NMPA批准用于治疗非小细胞肺癌和小细胞肺癌患者。帕博利珠单抗已获FDA批准用于治疗黑色素瘤、转移性非小细胞肺癌、头颈部鳞状细胞癌、对卡介苗无反应的非肌层浸润性膀胱癌、微卫星不稳定性高（MSI-H）或错配修复缺陷的实体瘤（包括结直肠癌）等多种癌症，NMPA批准帕博利珠单抗用于治疗黑色素瘤、非小细胞肺癌患者等。替雷利珠单抗已获NMPA批准用于治疗经典型霍奇金淋巴瘤、尿路上皮癌、非小细胞肺癌、肝细胞癌患者。阿替利珠单抗已获FDA批准用于治疗尿路上皮癌、非小细胞癌、小细胞肺癌、肝细胞癌、黑色素瘤患者，已获NMPA批准用于治疗小细胞肺癌、肝细胞癌、非小细胞肺癌患者。AZD6738是一种新型的口服ATR抑制剂，目前正处于临床期。</w:t>
      </w:r>
    </w:p>
    <w:p w14:paraId="1B20A2B3">
      <w:pPr>
        <w:spacing w:after="0"/>
        <w:jc w:val="both"/>
        <w:rPr>
          <w:rFonts w:hint="eastAsia"/>
          <w:b/>
          <w:bCs/>
          <w:kern w:val="2"/>
        </w:rPr>
      </w:pPr>
      <w:r>
        <w:rPr>
          <w:rFonts w:hint="eastAsia"/>
          <w:b/>
          <w:bCs/>
          <w:kern w:val="2"/>
        </w:rPr>
        <w:t>药物疗效临床解析：</w:t>
      </w:r>
    </w:p>
    <w:p w14:paraId="3065661D">
      <w:pPr>
        <w:spacing w:after="0"/>
        <w:ind w:firstLine="400"/>
        <w:jc w:val="both"/>
        <w:rPr>
          <w:rFonts w:ascii="微软雅黑" w:hAnsi="微软雅黑" w:cs="Arial Unicode MS"/>
          <w:color w:val="000000" w:themeColor="text1"/>
          <w:kern w:val="2"/>
          <w:sz w:val="21"/>
          <w:szCs w:val="21"/>
          <w14:textFill>
            <w14:solidFill>
              <w14:schemeClr w14:val="tx1"/>
            </w14:solidFill>
          </w14:textFill>
        </w:rPr>
      </w:pPr>
      <w:r>
        <w:rPr>
          <w:rFonts w:hint="eastAsia" w:ascii="微软雅黑" w:hAnsi="微软雅黑" w:cs="Arial Unicode MS"/>
          <w:color w:val="000000" w:themeColor="text1"/>
          <w:kern w:val="2"/>
          <w:sz w:val="21"/>
          <w:szCs w:val="21"/>
          <w14:textFill>
            <w14:solidFill>
              <w14:schemeClr w14:val="tx1"/>
            </w14:solidFill>
          </w14:textFill>
        </w:rPr>
        <w:t>有研究显示，奥拉帕利用于治疗携带DDR致病性突变（包括BRCA1、BRCA2、PALB2、ATM、CDK12、ATRX、CHEK1、CHEK2、FANCA、FANCF、FANCG、FANCI、FANCM、RAD50、WRN基因突变）的转移性去势抵抗性前列腺癌具有一定的抗肿瘤活性，目前该试验状态未知[2019 JCO Abstract 5005，NCT01682772]。一项II期临床试验，旨在评估奥拉帕利单药或奥拉帕利联合AZD6738用于治疗具有同源DNA修复基因突变（包括ATM、CHK2、MRN（MRE11/NBS1/RAD50）、CDKN2A/B 和 APOBEC）的肿瘤患者的有效性和安全性，目前该试验正在进行，不招募患者[NCT02576444]。</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一项由美国国家癌症研究所举办的临床I期试验，旨在评估盐酸可泮利塞、奥拉帕利联合度伐利尤单抗用于治疗具有ARID1A、ATM、ATRX、BARD1、BRCA1、BRCA2、BRIP1、CDK12、CHEK1、CHEK2、MSH2等基因突变的转移性或无法手术切术的实体瘤患者的毒副作用和最佳剂量，目前该试验正在招募中[NCT03842228]。一项II期临床试验，旨在评估奥拉帕利联合帕博利珠单抗治疗携带HR突变相关基因（ARID1A/B、ARID2、ATM、ATR、BARD1、BRCA1/2、BAP1、BRIP1、CHEK2、FANCA、FANCD2、MRN11A、PALB2、RAD50、RAD51、RAD54B）的黑色素瘤患者疗效，目前正在招募中[NCT04633902]。</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芦卡帕利用于治疗携带一个或多个同源重组DNA修复基因突变（包括BRCA1、BRCA2、ATM、CHEK2、NBN、RAD50、RAD51C、RAD51D、PALB2、MRE11、FANCA、FANCB、FANCC、FANCD2、FANCE、FANCF、FANCG、FANCI、FANCM）的前列腺癌患者的II期临床试验，正在招募中[NCT03413995]。芦卡帕利联合阿替利珠单抗用于治疗具有ATM、BARD1、BRCA1、BRCA2、BRIP1、CDK12、CHEK2、PALB2、RAD51C、RAD51D、FANCA、NBN、RAD51、RAD54L突变和/或缺失的实体瘤患者的II期临床试验正在招募患者[NCT04276376]。</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尼拉帕利用于治疗具有BAP1突变或其他DNA损伤修复缺陷（ARID1A、ATM、ATR、BACH1（BRIP1）、BAP1、BARD1、BLM、CHEK1、CHEK2、CDK2、CDK4、ERCC、FAM175A、FEN1、IDH1、IDH2、MRE11A（MRE11）、NBN（NBS1）、PALB2、POLD1、PRKDC（DNA-PK）、PTEN、RAD50、RAD51、RAD52、RAD54、RPA1、SLX4、WRN、XRCC）肿瘤患者的II期临床试验正在开展，暂不招募患者[NCT03207347]。</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阿维鲁单抗联合他拉唑帕利 用于治疗具有BRCA或ATM 突变的实体瘤患者的II期临床试验正在进行，暂不招募患者[NCT03565991]。他拉唑帕利用于治疗具有ATM、BRCA1、BRCA2、PALB2、ATR基因突变的晚期恶性肿瘤患者的II期临床试验正在进行，暂不招募患者[NCT02286687]。他拉唑帕利联合阿替利珠单抗用于治疗具有BRCA1/2、PALB2、ATM、ATR、CHEK2、FANCA、RAD51C、NBN、MLH1、MRE11A、CDK12体细胞或胚系突变的实体瘤患者的II期临床试验正在招募患者[NCT02693535]。</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帕米帕利联合替雷利珠单抗用于治疗具有BRCA1/2突变或其他HR相关基因（ATM、CDK12、PALB2、ARID1A、ATRX、BLM、BARD1、BRIP1、CHEK1、CHEK2、FANCA、FANCF、FANCG、FANCI、FANCL、FANCM、MSH2、NBN、RAD50、RAD51C、RAD51D、WRN）肿瘤患者的II期临床试验正在招募患者[NCT04985721]。</w:t>
      </w:r>
      <w:r>
        <w:rPr>
          <w:rFonts w:hint="eastAsia" w:ascii="微软雅黑" w:hAnsi="微软雅黑" w:cs="Arial Unicode MS"/>
          <w:color w:val="000000" w:themeColor="text1"/>
          <w:kern w:val="2"/>
          <w:sz w:val="21"/>
          <w:szCs w:val="21"/>
          <w14:textFill>
            <w14:solidFill>
              <w14:schemeClr w14:val="tx1"/>
            </w14:solidFill>
          </w14:textFill>
        </w:rPr>
        <w:br w:type="textWrapping"/>
      </w:r>
      <w:r>
        <w:rPr>
          <w:rFonts w:hint="eastAsia" w:ascii="微软雅黑" w:hAnsi="微软雅黑" w:cs="Arial Unicode MS"/>
          <w:color w:val="000000" w:themeColor="text1"/>
          <w:kern w:val="2"/>
          <w:sz w:val="21"/>
          <w:szCs w:val="21"/>
          <w14:textFill>
            <w14:solidFill>
              <w14:schemeClr w14:val="tx1"/>
            </w14:solidFill>
          </w14:textFill>
        </w:rPr>
        <w:t>
LY2606368用于治疗具有同源重组修复缺陷（包括BRCA1、BRCA2、PALB2、RAD51C、RAD51D、ATR、ATM、CHK2或Fanconi贫血途径基因突变）的肿瘤患者的II期临床试验，4个月无进展生存率为25%[NCT02873975]。</w:t>
      </w:r>
    </w:p>
    <w:p w14:paraId="769172EB">
      <w:pPr>
        <w:rPr>
          <w:rFonts w:ascii="微软雅黑" w:hAnsi="微软雅黑"/>
          <w:b/>
          <w:sz w:val="24"/>
          <w:szCs w:val="24"/>
        </w:rPr>
      </w:pPr>
    </w:p>
    <w:p w14:paraId="585386C0">
      <w:pPr>
        <w:numPr>
          <w:ilvl w:val="1"/>
          <w:numId w:val="9"/>
        </w:numPr>
        <w:spacing w:before="200"/>
        <w:jc w:val="both"/>
        <w:rPr>
          <w:rFonts w:ascii="微软雅黑" w:hAnsi="微软雅黑"/>
          <w:b/>
          <w:sz w:val="24"/>
          <w:szCs w:val="24"/>
        </w:rPr>
      </w:pPr>
      <w:r>
        <w:rPr>
          <w:rFonts w:ascii="微软雅黑" w:hAnsi="微软雅黑"/>
          <w:b/>
          <w:sz w:val="24"/>
          <w:szCs w:val="24"/>
        </w:rPr>
        <w:t>潜在</w:t>
      </w:r>
      <w:r>
        <w:rPr>
          <w:rFonts w:hint="eastAsia" w:ascii="微软雅黑" w:hAnsi="微软雅黑"/>
          <w:b/>
          <w:sz w:val="24"/>
          <w:szCs w:val="24"/>
        </w:rPr>
        <w:t>负相关</w:t>
      </w:r>
      <w:r>
        <w:rPr>
          <w:rFonts w:ascii="微软雅黑" w:hAnsi="微软雅黑"/>
          <w:b/>
          <w:sz w:val="24"/>
          <w:szCs w:val="24"/>
        </w:rPr>
        <w:t>靶向</w:t>
      </w:r>
      <w:r>
        <w:rPr>
          <w:rFonts w:hint="eastAsia" w:ascii="微软雅黑" w:hAnsi="微软雅黑"/>
          <w:b/>
          <w:sz w:val="24"/>
          <w:szCs w:val="24"/>
        </w:rPr>
        <w:t>/免疫</w:t>
      </w:r>
      <w:r>
        <w:rPr>
          <w:rFonts w:ascii="微软雅黑" w:hAnsi="微软雅黑"/>
          <w:b/>
          <w:sz w:val="24"/>
          <w:szCs w:val="24"/>
        </w:rPr>
        <w:t>药物解析</w:t>
      </w:r>
    </w:p>
    <w:p w14:paraId="1A383744">
      <w:pPr>
        <w:numPr>
          <w:ilvl w:val="0"/>
          <w:numId w:val="15"/>
        </w:numPr>
        <w:spacing w:before="200"/>
        <w:ind w:left="420" w:leftChars="0" w:hanging="420" w:firstLineChars="0"/>
        <w:outlineLvl w:val="9"/>
        <w:rPr>
          <w:rStyle w:val="21"/>
          <w:rFonts w:hint="eastAsia" w:ascii="微软雅黑" w:hAnsi="微软雅黑" w:cs="微软雅黑"/>
          <w:b/>
          <w:bCs/>
          <w:color w:val="FF0000"/>
          <w:kern w:val="0"/>
          <w:sz w:val="24"/>
          <w:szCs w:val="24"/>
          <w:highlight w:val="none"/>
          <w:lang w:val="en-US" w:eastAsia="zh-CN"/>
        </w:rPr>
      </w:pPr>
      <w:r>
        <w:rPr>
          <w:rStyle w:val="21"/>
          <w:rFonts w:hint="eastAsia" w:ascii="微软雅黑" w:hAnsi="微软雅黑" w:eastAsia="微软雅黑" w:cs="微软雅黑"/>
          <w:b/>
          <w:bCs/>
          <w:color w:val="FF0000"/>
          <w:kern w:val="0"/>
          <w:sz w:val="24"/>
          <w:szCs w:val="24"/>
          <w:highlight w:val="none"/>
          <w:u w:val="none"/>
          <w:lang w:val="en-US" w:eastAsia="zh-CN"/>
        </w:rPr>
        <w:t>KRAS</w:t>
      </w:r>
      <w:r>
        <w:rPr>
          <w:rStyle w:val="21"/>
          <w:rFonts w:hint="eastAsia" w:ascii="微软雅黑" w:hAnsi="微软雅黑" w:cs="微软雅黑"/>
          <w:b/>
          <w:bCs/>
          <w:color w:val="FF0000"/>
          <w:kern w:val="0"/>
          <w:sz w:val="24"/>
          <w:szCs w:val="24"/>
          <w:highlight w:val="none"/>
          <w:u w:val="none"/>
          <w:lang w:val="en-US" w:eastAsia="zh-CN"/>
        </w:rPr>
        <w:t>：c.34G&gt;A，p.G12S</w:t>
      </w:r>
      <w:r>
        <w:rPr>
          <w:rStyle w:val="21"/>
          <w:rFonts w:hint="eastAsia" w:ascii="微软雅黑" w:hAnsi="微软雅黑" w:eastAsia="微软雅黑" w:cs="微软雅黑"/>
          <w:b/>
          <w:bCs/>
          <w:color w:val="FF0000"/>
          <w:kern w:val="0"/>
          <w:sz w:val="24"/>
          <w:szCs w:val="24"/>
          <w:highlight w:val="none"/>
          <w:u w:val="none"/>
          <w:lang w:val="en-US" w:eastAsia="zh-CN"/>
        </w:rPr>
        <w:t>突变</w:t>
      </w:r>
      <w:r>
        <w:rPr>
          <w:rStyle w:val="21"/>
          <w:rFonts w:hint="eastAsia" w:ascii="微软雅黑" w:hAnsi="微软雅黑" w:eastAsia="微软雅黑" w:cs="微软雅黑"/>
          <w:b/>
          <w:bCs/>
          <w:color w:val="FF0000"/>
          <w:kern w:val="0"/>
          <w:sz w:val="24"/>
          <w:szCs w:val="24"/>
          <w:highlight w:val="none"/>
          <w:u w:val="none"/>
          <w:lang w:eastAsia="zh-CN"/>
        </w:rPr>
        <w:t>相</w:t>
      </w:r>
      <w:r>
        <w:rPr>
          <w:rStyle w:val="21"/>
          <w:rFonts w:hint="eastAsia" w:ascii="微软雅黑" w:hAnsi="微软雅黑" w:cs="微软雅黑"/>
          <w:b/>
          <w:bCs/>
          <w:color w:val="FF0000"/>
          <w:kern w:val="0"/>
          <w:sz w:val="24"/>
          <w:szCs w:val="24"/>
          <w:highlight w:val="none"/>
          <w:u w:val="none"/>
          <w:lang w:eastAsia="zh-CN"/>
        </w:rPr>
        <w:t>应负相关</w:t>
      </w:r>
      <w:r>
        <w:rPr>
          <w:rStyle w:val="21"/>
          <w:rFonts w:hint="eastAsia" w:ascii="微软雅黑" w:hAnsi="微软雅黑" w:eastAsia="微软雅黑" w:cs="微软雅黑"/>
          <w:b/>
          <w:bCs/>
          <w:color w:val="FF0000"/>
          <w:kern w:val="0"/>
          <w:sz w:val="24"/>
          <w:szCs w:val="24"/>
          <w:highlight w:val="none"/>
          <w:u w:val="none"/>
          <w:lang w:eastAsia="zh-CN"/>
        </w:rPr>
        <w:t>靶向药物</w:t>
      </w:r>
    </w:p>
    <w:p w14:paraId="77AECB33">
      <w:pPr>
        <w:numPr>
          <w:ilvl w:val="0"/>
          <w:numId w:val="16"/>
        </w:numPr>
        <w:ind w:left="420" w:leftChars="0" w:hanging="420" w:firstLineChars="0"/>
        <w:outlineLvl w:val="9"/>
        <w:rPr>
          <w:rStyle w:val="21"/>
          <w:rFonts w:hint="eastAsia" w:ascii="微软雅黑" w:hAnsi="微软雅黑" w:cs="微软雅黑"/>
          <w:b/>
          <w:bCs/>
          <w:color w:val="0000FF"/>
          <w:kern w:val="0"/>
          <w:sz w:val="24"/>
          <w:szCs w:val="24"/>
          <w:highlight w:val="none"/>
          <w:lang w:val="en-US" w:eastAsia="zh-CN"/>
        </w:rPr>
      </w:pPr>
      <w:r>
        <w:rPr>
          <w:rFonts w:hint="eastAsia" w:ascii="微软雅黑" w:hAnsi="微软雅黑" w:cs="微软雅黑"/>
          <w:b/>
          <w:bCs/>
          <w:color w:val="0000FF"/>
          <w:kern w:val="0"/>
          <w:sz w:val="24"/>
          <w:szCs w:val="24"/>
          <w:highlight w:val="none"/>
          <w:u w:val="single"/>
          <w:lang w:eastAsia="zh-CN"/>
        </w:rPr>
        <w:fldChar w:fldCharType="begin"/>
      </w:r>
      <w:r>
        <w:rPr>
          <w:rFonts w:hint="eastAsia" w:ascii="微软雅黑" w:hAnsi="微软雅黑" w:cs="微软雅黑"/>
          <w:b/>
          <w:bCs/>
          <w:color w:val="0000FF"/>
          <w:kern w:val="0"/>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kern w:val="0"/>
          <w:sz w:val="24"/>
          <w:szCs w:val="24"/>
          <w:highlight w:val="none"/>
          <w:u w:val="single"/>
          <w:lang w:eastAsia="zh-CN"/>
        </w:rPr>
        <w:fldChar w:fldCharType="separate"/>
      </w:r>
      <w:r>
        <w:rPr>
          <w:rStyle w:val="21"/>
          <w:rFonts w:hint="eastAsia" w:ascii="微软雅黑" w:hAnsi="微软雅黑" w:cs="微软雅黑"/>
          <w:b/>
          <w:bCs/>
          <w:color w:val="0000FF"/>
          <w:kern w:val="0"/>
          <w:sz w:val="24"/>
          <w:szCs w:val="24"/>
          <w:highlight w:val="none"/>
          <w:lang w:eastAsia="zh-CN"/>
        </w:rPr>
        <w:t>西妥昔单抗（Cetuximab）、帕尼单抗（Panitumumab）</w:t>
      </w:r>
      <w:r>
        <w:rPr>
          <w:rFonts w:hint="eastAsia" w:ascii="微软雅黑" w:hAnsi="微软雅黑" w:cs="微软雅黑"/>
          <w:b/>
          <w:bCs/>
          <w:color w:val="0000FF"/>
          <w:kern w:val="0"/>
          <w:sz w:val="24"/>
          <w:szCs w:val="24"/>
          <w:highlight w:val="none"/>
          <w:u w:val="single"/>
          <w:lang w:eastAsia="zh-CN"/>
        </w:rPr>
        <w:fldChar w:fldCharType="end"/>
      </w:r>
    </w:p>
    <w:p w14:paraId="440C4DFE">
      <w:pPr>
        <w:spacing w:after="0"/>
        <w:jc w:val="both"/>
        <w:outlineLvl w:val="9"/>
        <w:rPr>
          <w:rFonts w:hint="eastAsia"/>
          <w:b/>
          <w:bCs/>
          <w:kern w:val="2"/>
          <w:highlight w:val="none"/>
          <w:lang w:eastAsia="zh-CN"/>
        </w:rPr>
      </w:pPr>
      <w:r>
        <w:rPr>
          <w:rFonts w:hint="eastAsia"/>
          <w:b/>
          <w:bCs/>
          <w:kern w:val="2"/>
          <w:highlight w:val="none"/>
          <w:lang w:eastAsia="zh-CN"/>
        </w:rPr>
        <w:t>基因变异与药物关联分析：</w:t>
      </w:r>
    </w:p>
    <w:p w14:paraId="02D0E55D">
      <w:pPr>
        <w:spacing w:after="0"/>
        <w:ind w:firstLine="420" w:firstLineChars="200"/>
        <w:jc w:val="both"/>
        <w:outlineLvl w:val="9"/>
        <w:rPr>
          <w:rFonts w:hint="eastAsia" w:ascii="微软雅黑" w:hAnsi="微软雅黑"/>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Arial Unicode MS"/>
          <w:color w:val="auto"/>
          <w:kern w:val="2"/>
          <w:sz w:val="21"/>
          <w:szCs w:val="21"/>
          <w:highlight w:val="none"/>
          <w:lang w:val="en-US" w:eastAsia="zh-CN"/>
        </w:rPr>
        <w:t>c.34G&gt;A</w:t>
      </w:r>
      <w:r>
        <w:rPr>
          <w:rFonts w:hint="eastAsia" w:ascii="微软雅黑" w:hAnsi="微软雅黑" w:eastAsia="微软雅黑" w:cs="Arial Unicode MS"/>
          <w:color w:val="auto"/>
          <w:kern w:val="2"/>
          <w:sz w:val="21"/>
          <w:szCs w:val="21"/>
          <w:highlight w:val="none"/>
          <w:lang w:val="en-US" w:eastAsia="zh-CN"/>
        </w:rPr>
        <w:t>，</w:t>
      </w:r>
      <w:r>
        <w:rPr>
          <w:rFonts w:hint="eastAsia" w:ascii="微软雅黑" w:hAnsi="微软雅黑" w:cs="Arial Unicode MS"/>
          <w:color w:val="auto"/>
          <w:kern w:val="2"/>
          <w:sz w:val="21"/>
          <w:szCs w:val="21"/>
          <w:highlight w:val="none"/>
          <w:lang w:val="en-US" w:eastAsia="zh-CN"/>
        </w:rPr>
        <w:t>p.G12S</w:t>
      </w:r>
      <w:r>
        <w:rPr>
          <w:rFonts w:hint="eastAsia" w:ascii="微软雅黑" w:hAnsi="微软雅黑" w:eastAsia="微软雅黑" w:cs="Arial Unicode MS"/>
          <w:color w:val="auto"/>
          <w:kern w:val="2"/>
          <w:sz w:val="21"/>
          <w:szCs w:val="21"/>
          <w:highlight w:val="none"/>
          <w:lang w:val="en-US" w:eastAsia="zh-CN"/>
        </w:rPr>
        <w:t>错义突变，为已知激活突变，对蛋白功能有重要影响。</w:t>
      </w:r>
      <w:r>
        <w:rPr>
          <w:rFonts w:hint="eastAsia" w:ascii="微软雅黑" w:hAnsi="微软雅黑"/>
          <w:color w:val="auto"/>
          <w:kern w:val="2"/>
          <w:sz w:val="21"/>
          <w:szCs w:val="21"/>
          <w:highlight w:val="none"/>
          <w:lang w:val="en-US" w:eastAsia="zh-CN"/>
        </w:rPr>
        <w:t>已被证实</w:t>
      </w:r>
      <w:r>
        <w:rPr>
          <w:rFonts w:hint="eastAsia" w:ascii="微软雅黑" w:hAnsi="微软雅黑" w:eastAsia="微软雅黑" w:cs="Arial Unicode MS"/>
          <w:color w:val="auto"/>
          <w:kern w:val="2"/>
          <w:sz w:val="21"/>
          <w:szCs w:val="21"/>
          <w:highlight w:val="none"/>
          <w:lang w:val="en-US" w:eastAsia="zh-CN"/>
        </w:rPr>
        <w:t>KRAS基因</w:t>
      </w:r>
      <w:r>
        <w:rPr>
          <w:rFonts w:hint="eastAsia" w:ascii="微软雅黑" w:hAnsi="微软雅黑" w:cs="Arial Unicode MS"/>
          <w:color w:val="auto"/>
          <w:kern w:val="2"/>
          <w:sz w:val="21"/>
          <w:szCs w:val="21"/>
          <w:highlight w:val="none"/>
          <w:lang w:val="en-US" w:eastAsia="zh-CN"/>
        </w:rPr>
        <w:t>激活突变</w:t>
      </w:r>
      <w:r>
        <w:rPr>
          <w:rFonts w:hint="eastAsia" w:ascii="微软雅黑" w:hAnsi="微软雅黑"/>
          <w:color w:val="auto"/>
          <w:kern w:val="2"/>
          <w:sz w:val="21"/>
          <w:szCs w:val="21"/>
          <w:highlight w:val="none"/>
          <w:lang w:val="en-US" w:eastAsia="zh-CN"/>
        </w:rPr>
        <w:t>是anti-EGFR抗体药物（如西妥昔单抗、帕尼单抗）耐药的标志[20100961]。因此预测患者可能无法从anti-EGFR抗体药物治疗中获益。</w:t>
      </w:r>
    </w:p>
    <w:p w14:paraId="6E48A892">
      <w:pPr>
        <w:spacing w:after="0"/>
        <w:ind w:firstLine="420" w:firstLineChars="200"/>
        <w:jc w:val="both"/>
        <w:outlineLvl w:val="9"/>
        <w:rPr>
          <w:rFonts w:hint="eastAsia"/>
          <w:color w:val="auto"/>
          <w:kern w:val="2"/>
          <w:highlight w:val="none"/>
        </w:rPr>
      </w:pPr>
      <w:r>
        <w:rPr>
          <w:rFonts w:hint="eastAsia" w:ascii="微软雅黑" w:hAnsi="微软雅黑" w:cs="Arial Unicode MS"/>
          <w:color w:val="auto"/>
          <w:kern w:val="2"/>
          <w:sz w:val="21"/>
          <w:szCs w:val="21"/>
          <w:highlight w:val="none"/>
          <w:lang w:val="en-US" w:eastAsia="zh-CN"/>
        </w:rPr>
        <w:t>2022年</w:t>
      </w:r>
      <w:r>
        <w:rPr>
          <w:rFonts w:hint="eastAsia" w:ascii="微软雅黑" w:hAnsi="微软雅黑" w:cs="微软雅黑"/>
          <w:i w:val="0"/>
          <w:color w:val="auto"/>
          <w:kern w:val="2"/>
          <w:sz w:val="21"/>
          <w:szCs w:val="21"/>
          <w:highlight w:val="none"/>
          <w:lang w:val="en-US" w:eastAsia="zh-CN"/>
        </w:rPr>
        <w:t>结肠癌和直肠癌NCCN指南中指出，转移性结直肠癌如需使用西妥昔单抗或帕尼单抗治疗，需检测肿瘤</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基因的状态，仅限</w:t>
      </w:r>
      <w:r>
        <w:rPr>
          <w:rFonts w:hint="eastAsia" w:ascii="微软雅黑" w:hAnsi="微软雅黑"/>
          <w:color w:val="auto"/>
          <w:kern w:val="1"/>
          <w:sz w:val="21"/>
          <w:szCs w:val="21"/>
          <w:highlight w:val="none"/>
          <w:lang w:val="en-US" w:eastAsia="zh-CN"/>
        </w:rPr>
        <w:t>KRAS/NRAS/BRAF</w:t>
      </w:r>
      <w:r>
        <w:rPr>
          <w:rFonts w:hint="eastAsia" w:ascii="微软雅黑" w:hAnsi="微软雅黑" w:cs="微软雅黑"/>
          <w:i w:val="0"/>
          <w:color w:val="auto"/>
          <w:kern w:val="2"/>
          <w:sz w:val="21"/>
          <w:szCs w:val="21"/>
          <w:highlight w:val="none"/>
          <w:lang w:val="en-US" w:eastAsia="zh-CN"/>
        </w:rPr>
        <w:t>基因野生型患者使用，突变型患者基本无效。</w:t>
      </w:r>
      <w:r>
        <w:rPr>
          <w:rFonts w:hint="eastAsia" w:ascii="微软雅黑" w:hAnsi="微软雅黑"/>
          <w:color w:val="auto"/>
          <w:kern w:val="2"/>
          <w:sz w:val="21"/>
          <w:szCs w:val="21"/>
          <w:highlight w:val="none"/>
          <w:lang w:val="en-US" w:eastAsia="zh-CN"/>
        </w:rPr>
        <w:t>本次样本检测到KRAS重要突变，可能会对西妥昔单抗或帕尼单抗用药疗效呈负相关性。</w:t>
      </w:r>
      <w:r>
        <w:rPr>
          <w:rFonts w:hint="eastAsia" w:ascii="微软雅黑" w:hAnsi="微软雅黑"/>
          <w:color w:val="auto"/>
          <w:kern w:val="1"/>
          <w:sz w:val="21"/>
          <w:szCs w:val="21"/>
          <w:highlight w:val="none"/>
          <w:lang w:val="en-US" w:eastAsia="zh-CN"/>
        </w:rPr>
        <w:t>FDA和NMPA批准西妥昔单抗用于治疗结直肠癌和头颈部鳞状细胞癌</w:t>
      </w:r>
      <w:r>
        <w:rPr>
          <w:rFonts w:hint="eastAsia" w:ascii="微软雅黑" w:hAnsi="微软雅黑"/>
          <w:color w:val="auto"/>
          <w:kern w:val="1"/>
          <w:sz w:val="21"/>
          <w:szCs w:val="21"/>
          <w:highlight w:val="none"/>
        </w:rPr>
        <w:t>。</w:t>
      </w:r>
      <w:r>
        <w:rPr>
          <w:rFonts w:hint="eastAsia" w:ascii="微软雅黑" w:hAnsi="微软雅黑" w:eastAsia="微软雅黑"/>
          <w:b w:val="0"/>
          <w:bCs w:val="0"/>
          <w:color w:val="auto"/>
          <w:kern w:val="2"/>
          <w:sz w:val="21"/>
          <w:szCs w:val="21"/>
          <w:highlight w:val="none"/>
        </w:rPr>
        <w:t>FDA批准帕尼单抗用于治疗转移性结直肠癌。</w:t>
      </w:r>
    </w:p>
    <w:p w14:paraId="1735227F">
      <w:pPr>
        <w:spacing w:after="0"/>
        <w:jc w:val="both"/>
        <w:outlineLvl w:val="9"/>
        <w:rPr>
          <w:rFonts w:hint="eastAsia"/>
          <w:b/>
          <w:bCs/>
          <w:kern w:val="2"/>
          <w:highlight w:val="none"/>
          <w:lang w:eastAsia="zh-CN"/>
        </w:rPr>
      </w:pPr>
      <w:r>
        <w:rPr>
          <w:rFonts w:hint="eastAsia"/>
          <w:b/>
          <w:bCs/>
          <w:kern w:val="2"/>
          <w:highlight w:val="none"/>
          <w:lang w:eastAsia="zh-CN"/>
        </w:rPr>
        <w:t>药物疗效临床解析：</w:t>
      </w:r>
    </w:p>
    <w:p w14:paraId="220F9744">
      <w:pPr>
        <w:keepNext w:val="0"/>
        <w:keepLines w:val="0"/>
        <w:pageBreakBefore w:val="0"/>
        <w:widowControl/>
        <w:kinsoku/>
        <w:wordWrap/>
        <w:overflowPunct/>
        <w:topLinePunct w:val="0"/>
        <w:autoSpaceDE/>
        <w:autoSpaceDN/>
        <w:bidi w:val="0"/>
        <w:adjustRightInd w:val="0"/>
        <w:snapToGrid w:val="0"/>
        <w:spacing w:after="0" w:line="240" w:lineRule="auto"/>
        <w:ind w:left="0" w:leftChars="0" w:right="0" w:rightChars="0" w:firstLine="420" w:firstLineChars="200"/>
        <w:jc w:val="both"/>
        <w:textAlignment w:val="auto"/>
        <w:outlineLvl w:val="9"/>
        <w:rPr>
          <w:rFonts w:hint="eastAsia" w:ascii="微软雅黑" w:hAnsi="微软雅黑"/>
          <w:color w:val="auto"/>
          <w:kern w:val="2"/>
          <w:sz w:val="21"/>
          <w:szCs w:val="21"/>
          <w:highlight w:val="none"/>
          <w:lang w:val="en-US" w:eastAsia="zh-CN"/>
        </w:rPr>
      </w:pPr>
      <w:r>
        <w:rPr>
          <w:rFonts w:hint="eastAsia" w:ascii="微软雅黑" w:hAnsi="微软雅黑"/>
          <w:color w:val="auto"/>
          <w:kern w:val="2"/>
          <w:sz w:val="21"/>
          <w:szCs w:val="21"/>
          <w:highlight w:val="none"/>
          <w:lang w:val="en-US" w:eastAsia="zh-CN"/>
        </w:rPr>
        <w:t>西妥昔单抗：在包含30名结直肠癌患者的一项临床试验中，19名患者对西妥昔单抗不敏感，其中13名患者携带KRAS基因突变，而在11名对西妥昔单抗敏感的患者中没有检测到KRAS突变。KRAS基因突变与患者缺乏对西妥昔单抗的响应密切相关。即使将3名接受过西妥昔单抗联合FOLFIRI作为一线治疗的患者排除在外，差异依然显著。在余下的27名患者中，KRAS基因野生型患者的总生存期显著高于携带KRAS基因突变的患者。在这项试验中，KRAS基因野生型患者的中位总生存期高于携带KRAS突变的患者（16.3个月vs.6.9个月）。该试验表明KRAS基因野生型的结直肠癌患者更容易对西妥昔单抗敏感并获得更长的生存期。KRAS基因突变是患者对西妥昔单抗耐药的标志，并且与较差的预后相关[16618717]。在另一项试验中，100名患有转移性结直肠癌的患者参与西妥昔单抗单药治疗。试验结果显示，KRAS基因野生型患者的疾病控制率显著高于携带 KRAS基因突变的患者，该试验同样表明KRAS基因野生型的患者更能从西妥昔单抗的治疗中获益[17664471]。</w:t>
      </w:r>
      <w:r>
        <w:rPr>
          <w:rFonts w:hint="eastAsia" w:ascii="微软雅黑" w:hAnsi="微软雅黑"/>
          <w:color w:val="auto"/>
          <w:kern w:val="2"/>
          <w:sz w:val="21"/>
          <w:szCs w:val="21"/>
          <w:highlight w:val="none"/>
          <w:lang w:eastAsia="zh-CN"/>
        </w:rPr>
        <w:t>一项纳入了</w:t>
      </w:r>
      <w:r>
        <w:rPr>
          <w:rFonts w:hint="eastAsia" w:ascii="微软雅黑" w:hAnsi="微软雅黑"/>
          <w:color w:val="auto"/>
          <w:kern w:val="2"/>
          <w:sz w:val="21"/>
          <w:szCs w:val="21"/>
          <w:highlight w:val="none"/>
          <w:lang w:val="en-US" w:eastAsia="zh-CN"/>
        </w:rPr>
        <w:t>59例难治性转移性结直肠癌患者的</w:t>
      </w:r>
      <w:r>
        <w:rPr>
          <w:rFonts w:hint="eastAsia" w:ascii="微软雅黑" w:hAnsi="微软雅黑"/>
          <w:color w:val="auto"/>
          <w:kern w:val="2"/>
          <w:sz w:val="21"/>
          <w:szCs w:val="21"/>
          <w:highlight w:val="none"/>
          <w:lang w:eastAsia="zh-CN"/>
        </w:rPr>
        <w:t>研究</w:t>
      </w:r>
      <w:r>
        <w:rPr>
          <w:rFonts w:hint="eastAsia" w:ascii="微软雅黑" w:hAnsi="微软雅黑"/>
          <w:color w:val="auto"/>
          <w:kern w:val="2"/>
          <w:sz w:val="21"/>
          <w:szCs w:val="21"/>
          <w:highlight w:val="none"/>
          <w:lang w:val="en-US" w:eastAsia="zh-CN"/>
        </w:rPr>
        <w:t>，旨在评估西妥昔单抗加化疗的治疗效果。研究证实具有KRAS突变的患者对治疗无反应[17375050]。</w:t>
      </w:r>
    </w:p>
    <w:p w14:paraId="31CDCF0A">
      <w:pPr>
        <w:adjustRightInd w:val="0"/>
        <w:snapToGrid w:val="0"/>
        <w:spacing w:after="0"/>
        <w:ind w:firstLine="420" w:firstLineChars="200"/>
        <w:jc w:val="both"/>
        <w:outlineLvl w:val="9"/>
        <w:rPr>
          <w:rFonts w:hint="eastAsia" w:ascii="微软雅黑" w:hAnsi="微软雅黑" w:cs="Arial Unicode MS"/>
          <w:kern w:val="2"/>
          <w:sz w:val="21"/>
          <w:szCs w:val="21"/>
          <w:highlight w:val="none"/>
          <w:lang w:eastAsia="zh-CN"/>
        </w:rPr>
      </w:pPr>
      <w:r>
        <w:rPr>
          <w:rFonts w:hint="eastAsia" w:ascii="微软雅黑" w:hAnsi="微软雅黑"/>
          <w:color w:val="auto"/>
          <w:kern w:val="2"/>
          <w:sz w:val="21"/>
          <w:szCs w:val="21"/>
          <w:highlight w:val="none"/>
          <w:lang w:val="en-US" w:eastAsia="zh-CN"/>
        </w:rPr>
        <w:t>帕尼单抗：一项试验旨在评估含KRAS、BRAF或PIK3CA基因突变的患者对帕尼单抗单药治疗的耐受性。从3个评估帕尼单抗治疗转移性结直肠癌疗效的临床Ⅱ期试验中挑选出62名患者进行评估，通过测序确定患者DNA中基因突变情况。结果显示，62名患者中，有24名（38.7%）携带KRAS基因突变。在KRAS野生型患者中，11%的患者对帕尼单抗具有部分响应（PR），53%的患者在治疗后病情稳定（SD），37%的患者疾病进展（PD）。在KRAS基因突变患者中，有21%的患者病情稳定，79%的患者疾病进展，没有患者对帕尼单抗产生响应。由此看出，KRAS基因突变与患者对帕尼单抗治疗后响应的缺失密切相关（PR vs. SD vs. PD; P=0.0028）。野生型KRAS患者与携带KRAS 基因突变患者的无进展生存期风险比为0.4（95% CI, 0.2-0.7），总体生存期的风险比为0.5（95% CI, 0.3-0.9）。这些数据表明，携带KRAS激活突变的转移性结直肠癌患者不太可能对帕尼单抗单药治疗产生响应[18621636]。在另一项结直肠癌患者的Ⅲ期临床试验中，KRAS基因野生型的患者和携带KRAS基因突变的患者对帕尼单抗的响应率分别为17%和0%[23066310]。三项随机Ⅲ期试验研究的回顾性分析，评估了KRAS密码子12和13突变型对转移性结直肠癌患者使用帕尼单抗的影响，结果显示具有KRAS密码子12和13突变型的患者不能受益于帕尼单抗治疗[23182985]。</w:t>
      </w:r>
    </w:p>
    <w:p w14:paraId="72E2E25E">
      <w:pPr>
        <w:keepNext w:val="0"/>
        <w:keepLines w:val="0"/>
        <w:pageBreakBefore w:val="0"/>
        <w:widowControl/>
        <w:numPr>
          <w:ilvl w:val="0"/>
          <w:numId w:val="13"/>
        </w:numPr>
        <w:kinsoku/>
        <w:wordWrap/>
        <w:overflowPunct/>
        <w:topLinePunct w:val="0"/>
        <w:autoSpaceDE/>
        <w:autoSpaceDN/>
        <w:bidi w:val="0"/>
        <w:adjustRightInd w:val="0"/>
        <w:snapToGrid w:val="0"/>
        <w:spacing w:before="200" w:afterLines="0"/>
        <w:ind w:left="420" w:hanging="420"/>
        <w:jc w:val="both"/>
        <w:textAlignment w:val="auto"/>
        <w:rPr>
          <w:rFonts w:ascii="微软雅黑" w:hAnsi="微软雅黑" w:cs="微软雅黑"/>
          <w:b/>
          <w:bCs/>
          <w:sz w:val="24"/>
          <w:szCs w:val="24"/>
          <w:highlight w:val="none"/>
        </w:rPr>
      </w:pPr>
      <w:r>
        <w:rPr>
          <w:rFonts w:hint="eastAsia" w:ascii="微软雅黑" w:hAnsi="微软雅黑" w:cs="微软雅黑"/>
          <w:b/>
          <w:bCs/>
          <w:color w:val="0000FF"/>
          <w:sz w:val="24"/>
          <w:szCs w:val="24"/>
          <w:highlight w:val="none"/>
          <w:u w:val="single"/>
          <w:lang w:eastAsia="zh-CN"/>
        </w:rPr>
        <w:fldChar w:fldCharType="begin"/>
      </w:r>
      <w:r>
        <w:rPr>
          <w:rFonts w:hint="eastAsia" w:ascii="微软雅黑" w:hAnsi="微软雅黑" w:cs="微软雅黑"/>
          <w:b/>
          <w:bCs/>
          <w:color w:val="0000FF"/>
          <w:sz w:val="24"/>
          <w:szCs w:val="24"/>
          <w:highlight w:val="none"/>
          <w:u w:val="single"/>
          <w:lang w:eastAsia="zh-CN"/>
        </w:rPr>
        <w:instrText xml:space="preserve"> HYPERLINK \l "重要基因变异及潜在靶向药物信息" </w:instrText>
      </w:r>
      <w:r>
        <w:rPr>
          <w:rFonts w:hint="eastAsia" w:ascii="微软雅黑" w:hAnsi="微软雅黑" w:cs="微软雅黑"/>
          <w:b/>
          <w:bCs/>
          <w:color w:val="0000FF"/>
          <w:sz w:val="24"/>
          <w:szCs w:val="24"/>
          <w:highlight w:val="none"/>
          <w:u w:val="single"/>
          <w:lang w:eastAsia="zh-CN"/>
        </w:rPr>
        <w:fldChar w:fldCharType="separate"/>
      </w:r>
      <w:r>
        <w:rPr>
          <w:rStyle w:val="21"/>
          <w:rFonts w:hint="eastAsia" w:ascii="微软雅黑" w:hAnsi="微软雅黑" w:cs="微软雅黑"/>
          <w:b/>
          <w:bCs/>
          <w:color w:val="0000FF"/>
          <w:sz w:val="24"/>
          <w:szCs w:val="24"/>
          <w:highlight w:val="none"/>
          <w:lang w:eastAsia="zh-CN"/>
        </w:rPr>
        <w:t>依维莫司（Everolimus）</w:t>
      </w:r>
      <w:r>
        <w:rPr>
          <w:rFonts w:hint="eastAsia" w:ascii="微软雅黑" w:hAnsi="微软雅黑" w:cs="微软雅黑"/>
          <w:b/>
          <w:bCs/>
          <w:color w:val="0000FF"/>
          <w:sz w:val="24"/>
          <w:szCs w:val="24"/>
          <w:highlight w:val="none"/>
          <w:u w:val="single"/>
          <w:lang w:eastAsia="zh-CN"/>
        </w:rPr>
        <w:fldChar w:fldCharType="end"/>
      </w:r>
    </w:p>
    <w:p w14:paraId="0C399CE6">
      <w:pPr>
        <w:spacing w:after="0"/>
        <w:jc w:val="both"/>
        <w:rPr>
          <w:b/>
          <w:bCs/>
          <w:kern w:val="2"/>
          <w:highlight w:val="none"/>
        </w:rPr>
      </w:pPr>
      <w:r>
        <w:rPr>
          <w:rFonts w:hint="eastAsia"/>
          <w:b/>
          <w:bCs/>
          <w:kern w:val="2"/>
          <w:highlight w:val="none"/>
        </w:rPr>
        <w:t>基因变异与药物关联分析：</w:t>
      </w:r>
    </w:p>
    <w:p w14:paraId="3590D854">
      <w:pPr>
        <w:spacing w:after="0"/>
        <w:ind w:firstLine="420" w:firstLineChars="200"/>
        <w:jc w:val="both"/>
        <w:rPr>
          <w:rFonts w:ascii="微软雅黑" w:hAnsi="微软雅黑" w:cs="Arial Unicode MS"/>
          <w:kern w:val="2"/>
          <w:sz w:val="21"/>
          <w:szCs w:val="21"/>
          <w:highlight w:val="none"/>
        </w:rPr>
      </w:pPr>
      <w:r>
        <w:rPr>
          <w:rFonts w:hint="eastAsia" w:ascii="微软雅黑" w:hAnsi="微软雅黑" w:eastAsia="微软雅黑" w:cs="Arial Unicode MS"/>
          <w:color w:val="auto"/>
          <w:kern w:val="2"/>
          <w:sz w:val="21"/>
          <w:szCs w:val="21"/>
          <w:highlight w:val="none"/>
          <w:lang w:val="en-US" w:eastAsia="zh-CN"/>
        </w:rPr>
        <w:t>该样本检出KRAS基因</w:t>
      </w:r>
      <w:r>
        <w:rPr>
          <w:rFonts w:hint="eastAsia" w:ascii="微软雅黑" w:hAnsi="微软雅黑" w:cs="微软雅黑"/>
          <w:sz w:val="21"/>
          <w:lang w:eastAsia="zh-CN"/>
        </w:rPr>
        <w:t>c.34G&gt;A</w:t>
      </w:r>
      <w:r>
        <w:rPr>
          <w:rFonts w:hint="eastAsia" w:ascii="微软雅黑" w:hAnsi="微软雅黑" w:cs="微软雅黑"/>
          <w:sz w:val="21"/>
        </w:rPr>
        <w:t>，</w:t>
      </w:r>
      <w:r>
        <w:rPr>
          <w:rFonts w:hint="eastAsia" w:ascii="微软雅黑" w:hAnsi="微软雅黑" w:cs="微软雅黑"/>
          <w:sz w:val="21"/>
          <w:lang w:eastAsia="zh-CN"/>
        </w:rPr>
        <w:t>p.G12S</w:t>
      </w:r>
      <w:r>
        <w:rPr>
          <w:rFonts w:hint="eastAsia" w:ascii="微软雅黑" w:hAnsi="微软雅黑" w:cs="微软雅黑"/>
          <w:sz w:val="21"/>
        </w:rPr>
        <w:t>错义突变</w:t>
      </w:r>
      <w:r>
        <w:rPr>
          <w:rFonts w:hint="eastAsia" w:ascii="微软雅黑" w:hAnsi="微软雅黑" w:eastAsia="微软雅黑" w:cs="Arial Unicode MS"/>
          <w:color w:val="auto"/>
          <w:kern w:val="2"/>
          <w:sz w:val="21"/>
          <w:szCs w:val="21"/>
          <w:highlight w:val="none"/>
          <w:lang w:val="en-US" w:eastAsia="zh-CN"/>
        </w:rPr>
        <w:t>，为已知激活突变，对蛋白功能有重要影响。</w:t>
      </w:r>
      <w:r>
        <w:rPr>
          <w:rFonts w:hint="eastAsia" w:ascii="微软雅黑" w:hAnsi="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cs="Arial Unicode MS"/>
          <w:color w:val="auto"/>
          <w:kern w:val="2"/>
          <w:sz w:val="21"/>
          <w:szCs w:val="21"/>
          <w:highlight w:val="none"/>
          <w:lang w:val="en-US" w:eastAsia="zh-CN"/>
        </w:rPr>
        <w:fldChar w:fldCharType="begin"/>
      </w:r>
      <w:r>
        <w:rPr>
          <w:rFonts w:hint="eastAsia" w:ascii="微软雅黑" w:hAnsi="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cs="Arial Unicode MS"/>
          <w:color w:val="auto"/>
          <w:kern w:val="2"/>
          <w:sz w:val="21"/>
          <w:szCs w:val="21"/>
          <w:highlight w:val="none"/>
          <w:lang w:val="en-US" w:eastAsia="zh-CN"/>
        </w:rPr>
        <w:fldChar w:fldCharType="separate"/>
      </w:r>
      <w:r>
        <w:rPr>
          <w:rFonts w:hint="eastAsia" w:ascii="微软雅黑" w:hAnsi="微软雅黑" w:cs="Arial Unicode MS"/>
          <w:color w:val="auto"/>
          <w:kern w:val="2"/>
          <w:sz w:val="21"/>
          <w:szCs w:val="21"/>
          <w:highlight w:val="none"/>
          <w:lang w:val="en-US" w:eastAsia="zh-CN"/>
        </w:rPr>
        <w:t>29285035</w:t>
      </w:r>
      <w:r>
        <w:rPr>
          <w:rFonts w:hint="eastAsia" w:ascii="微软雅黑" w:hAnsi="微软雅黑" w:cs="Arial Unicode MS"/>
          <w:color w:val="auto"/>
          <w:kern w:val="2"/>
          <w:sz w:val="21"/>
          <w:szCs w:val="21"/>
          <w:highlight w:val="none"/>
          <w:lang w:val="en-US" w:eastAsia="zh-CN"/>
        </w:rPr>
        <w:fldChar w:fldCharType="end"/>
      </w:r>
      <w:r>
        <w:rPr>
          <w:rFonts w:hint="eastAsia" w:ascii="微软雅黑" w:hAnsi="微软雅黑" w:cs="Arial Unicode MS"/>
          <w:color w:val="auto"/>
          <w:kern w:val="2"/>
          <w:sz w:val="21"/>
          <w:szCs w:val="21"/>
          <w:highlight w:val="none"/>
          <w:lang w:val="en-US" w:eastAsia="zh-CN"/>
        </w:rPr>
        <w:t>，28544747]。</w:t>
      </w:r>
      <w:r>
        <w:rPr>
          <w:rFonts w:hint="eastAsia" w:ascii="微软雅黑" w:hAnsi="微软雅黑" w:cs="Arial Unicode MS"/>
          <w:kern w:val="2"/>
          <w:sz w:val="21"/>
          <w:szCs w:val="21"/>
          <w:highlight w:val="none"/>
          <w:lang w:val="en-US" w:eastAsia="zh-CN"/>
        </w:rPr>
        <w:t>因此，该患者</w:t>
      </w:r>
      <w:r>
        <w:rPr>
          <w:rFonts w:hint="eastAsia" w:ascii="微软雅黑" w:hAnsi="微软雅黑" w:cs="Arial Unicode MS"/>
          <w:kern w:val="2"/>
          <w:sz w:val="21"/>
          <w:szCs w:val="21"/>
          <w:highlight w:val="none"/>
        </w:rPr>
        <w:t>可能</w:t>
      </w:r>
      <w:r>
        <w:rPr>
          <w:rFonts w:hint="eastAsia" w:ascii="微软雅黑" w:hAnsi="微软雅黑" w:cs="Arial Unicode MS"/>
          <w:kern w:val="2"/>
          <w:sz w:val="21"/>
          <w:szCs w:val="21"/>
          <w:highlight w:val="none"/>
          <w:lang w:val="en-US" w:eastAsia="zh-CN"/>
        </w:rPr>
        <w:t>对依维莫司</w:t>
      </w:r>
      <w:r>
        <w:rPr>
          <w:rFonts w:hint="eastAsia" w:ascii="微软雅黑" w:hAnsi="微软雅黑" w:cs="Arial Unicode MS"/>
          <w:kern w:val="2"/>
          <w:sz w:val="21"/>
          <w:szCs w:val="21"/>
          <w:highlight w:val="none"/>
        </w:rPr>
        <w:t>的治疗</w:t>
      </w:r>
      <w:r>
        <w:rPr>
          <w:rFonts w:hint="eastAsia" w:ascii="微软雅黑" w:hAnsi="微软雅黑" w:cs="Arial Unicode MS"/>
          <w:kern w:val="2"/>
          <w:sz w:val="21"/>
          <w:szCs w:val="21"/>
          <w:highlight w:val="none"/>
          <w:lang w:eastAsia="zh-CN"/>
        </w:rPr>
        <w:t>负相关</w:t>
      </w:r>
      <w:r>
        <w:rPr>
          <w:rFonts w:hint="eastAsia" w:ascii="微软雅黑" w:hAnsi="微软雅黑" w:cs="Arial Unicode MS"/>
          <w:kern w:val="2"/>
          <w:sz w:val="21"/>
          <w:szCs w:val="21"/>
          <w:highlight w:val="none"/>
        </w:rPr>
        <w:t>。</w:t>
      </w:r>
      <w:r>
        <w:rPr>
          <w:rFonts w:hint="eastAsia" w:ascii="微软雅黑" w:hAnsi="微软雅黑" w:cs="微软雅黑"/>
          <w:color w:val="auto"/>
          <w:sz w:val="21"/>
          <w:szCs w:val="21"/>
          <w:highlight w:val="none"/>
          <w:lang w:val="en-US" w:eastAsia="zh-CN"/>
        </w:rPr>
        <w:t>依维莫司已获FDA批准，用于治疗乳腺癌、神经内分泌瘤、肾癌等疾病，并已获NMPA批准，用于治疗肾癌、室管膜下巨细胞型星形细胞瘤。</w:t>
      </w:r>
    </w:p>
    <w:p w14:paraId="39EE1902">
      <w:pPr>
        <w:spacing w:after="0"/>
        <w:jc w:val="both"/>
        <w:rPr>
          <w:b/>
          <w:bCs/>
          <w:kern w:val="2"/>
          <w:highlight w:val="none"/>
        </w:rPr>
      </w:pPr>
      <w:r>
        <w:rPr>
          <w:rFonts w:hint="eastAsia"/>
          <w:b/>
          <w:bCs/>
          <w:kern w:val="2"/>
          <w:highlight w:val="none"/>
        </w:rPr>
        <w:t>药物疗效临床解析：</w:t>
      </w:r>
    </w:p>
    <w:p w14:paraId="3E3C5B8D">
      <w:pPr>
        <w:keepNext w:val="0"/>
        <w:keepLines w:val="0"/>
        <w:pageBreakBefore w:val="0"/>
        <w:widowControl/>
        <w:numPr>
          <w:ilvl w:val="0"/>
          <w:numId w:val="0"/>
        </w:numPr>
        <w:kinsoku/>
        <w:wordWrap/>
        <w:overflowPunct/>
        <w:topLinePunct w:val="0"/>
        <w:autoSpaceDE/>
        <w:autoSpaceDN/>
        <w:bidi w:val="0"/>
        <w:adjustRightInd/>
        <w:snapToGrid/>
        <w:spacing w:before="0" w:beforeLines="-2147483648" w:after="0" w:afterLines="-2147483648" w:afterAutospacing="0"/>
        <w:ind w:firstLine="420" w:firstLineChars="200"/>
        <w:jc w:val="both"/>
        <w:textAlignment w:val="auto"/>
        <w:outlineLvl w:val="2"/>
        <w:rPr>
          <w:rFonts w:hint="eastAsia" w:ascii="微软雅黑" w:hAnsi="微软雅黑" w:eastAsia="微软雅黑" w:cs="Arial Unicode MS"/>
          <w:color w:val="auto"/>
          <w:kern w:val="2"/>
          <w:sz w:val="21"/>
          <w:szCs w:val="21"/>
          <w:highlight w:val="none"/>
          <w:lang w:val="en-US" w:eastAsia="zh-CN"/>
        </w:rPr>
      </w:pPr>
      <w:r>
        <w:rPr>
          <w:rFonts w:hint="eastAsia" w:ascii="微软雅黑" w:hAnsi="微软雅黑" w:eastAsia="微软雅黑" w:cs="Arial Unicode MS"/>
          <w:color w:val="auto"/>
          <w:kern w:val="2"/>
          <w:sz w:val="21"/>
          <w:szCs w:val="21"/>
          <w:highlight w:val="none"/>
          <w:lang w:val="en-US" w:eastAsia="zh-CN"/>
        </w:rPr>
        <w:t>临床前研究表明，含有KRAS突变的结肠癌细胞系对依维莫司不敏感[</w:t>
      </w:r>
      <w:r>
        <w:rPr>
          <w:rFonts w:hint="eastAsia" w:ascii="微软雅黑" w:hAnsi="微软雅黑" w:eastAsia="微软雅黑" w:cs="Arial Unicode MS"/>
          <w:color w:val="auto"/>
          <w:kern w:val="2"/>
          <w:sz w:val="21"/>
          <w:szCs w:val="21"/>
          <w:highlight w:val="none"/>
          <w:lang w:val="en-US" w:eastAsia="zh-CN"/>
        </w:rPr>
        <w:fldChar w:fldCharType="begin"/>
      </w:r>
      <w:r>
        <w:rPr>
          <w:rFonts w:hint="eastAsia" w:ascii="微软雅黑" w:hAnsi="微软雅黑" w:eastAsia="微软雅黑" w:cs="Arial Unicode MS"/>
          <w:color w:val="auto"/>
          <w:kern w:val="2"/>
          <w:sz w:val="21"/>
          <w:szCs w:val="21"/>
          <w:highlight w:val="none"/>
          <w:lang w:val="en-US" w:eastAsia="zh-CN"/>
        </w:rPr>
        <w:instrText xml:space="preserve"> HYPERLINK "https://www.ncbi.nlm.nih.gov/pubmed/29285035" </w:instrText>
      </w:r>
      <w:r>
        <w:rPr>
          <w:rFonts w:hint="eastAsia" w:ascii="微软雅黑" w:hAnsi="微软雅黑" w:eastAsia="微软雅黑" w:cs="Arial Unicode MS"/>
          <w:color w:val="auto"/>
          <w:kern w:val="2"/>
          <w:sz w:val="21"/>
          <w:szCs w:val="21"/>
          <w:highlight w:val="none"/>
          <w:lang w:val="en-US" w:eastAsia="zh-CN"/>
        </w:rPr>
        <w:fldChar w:fldCharType="separate"/>
      </w:r>
      <w:r>
        <w:rPr>
          <w:rFonts w:hint="eastAsia" w:ascii="微软雅黑" w:hAnsi="微软雅黑" w:eastAsia="微软雅黑" w:cs="Arial Unicode MS"/>
          <w:color w:val="auto"/>
          <w:kern w:val="2"/>
          <w:sz w:val="21"/>
          <w:szCs w:val="21"/>
          <w:highlight w:val="none"/>
          <w:lang w:val="en-US" w:eastAsia="zh-CN"/>
        </w:rPr>
        <w:t>29285035</w:t>
      </w:r>
      <w:r>
        <w:rPr>
          <w:rFonts w:hint="eastAsia" w:ascii="微软雅黑" w:hAnsi="微软雅黑" w:eastAsia="微软雅黑" w:cs="Arial Unicode MS"/>
          <w:color w:val="auto"/>
          <w:kern w:val="2"/>
          <w:sz w:val="21"/>
          <w:szCs w:val="21"/>
          <w:highlight w:val="none"/>
          <w:lang w:val="en-US" w:eastAsia="zh-CN"/>
        </w:rPr>
        <w:fldChar w:fldCharType="end"/>
      </w:r>
      <w:r>
        <w:rPr>
          <w:rFonts w:hint="eastAsia" w:ascii="微软雅黑" w:hAnsi="微软雅黑" w:eastAsia="微软雅黑" w:cs="Arial Unicode MS"/>
          <w:color w:val="auto"/>
          <w:kern w:val="2"/>
          <w:sz w:val="21"/>
          <w:szCs w:val="21"/>
          <w:highlight w:val="none"/>
          <w:lang w:val="en-US" w:eastAsia="zh-CN"/>
        </w:rPr>
        <w:t>，28544747]。在转移性癌症患者中，携带KRAS突变的患者接受依维莫司治疗后对依维莫司缺乏疗效，12例具有KRAS突变的肿瘤患者中11例均出现疾病进展，而31例KRAS野生型患者中仅16例患者未从依维莫司治疗中获益[20664172]。</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CUh1e10gEAAKUDAAAOAAAAAAAAAAEAIAAAAB4BAABk&#10;cnMvZTJvRG9jLnhtbFBLBQYAAAAABgAGAFkBAABiBQAAAAA=&#10;">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