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6"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7"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kK5BPYAAAACQEAAA8AAAAAAAAAAQAgAAAAIgAAAGRycy9kb3du&#10;cmV2LnhtbFBLAQIUABQAAAAIAIdO4kD08AHy/wEAAPgDAAAOAAAAAAAAAAEAIAAAACcBAABkcnMv&#10;ZTJvRG9jLnhtbFBLBQYAAAAABgAGAFkBAACYBQAAAAA=&#10;">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xml:space="preserve">肖振娟 </w:t>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eastAsia" w:ascii="微软雅黑" w:hAnsi="微软雅黑" w:eastAsia="微软雅黑" w:cs="微软雅黑"/>
          <w:sz w:val="24"/>
          <w:szCs w:val="24"/>
          <w:lang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9D5dzXAAAACQEAAA8AAAAAAAAAAQAgAAAAIgAAAGRy&#10;cy9kb3ducmV2LnhtbFBLAQIUABQAAAAIAIdO4kBRQxPdBgIAAAIEAAAOAAAAAAAAAAEAIAAAACYB&#10;AABkcnMvZTJvRG9jLnhtbFBLBQYAAAAABgAGAFkBAACeBQAAAAA=&#10;">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MLJY-</w:t>
      </w:r>
      <w:r>
        <w:rPr>
          <w:rFonts w:hint="eastAsia" w:ascii="微软雅黑" w:hAnsi="微软雅黑"/>
          <w:bCs/>
          <w:sz w:val="24"/>
          <w:szCs w:val="24"/>
          <w:lang w:eastAsia="zh-CN"/>
        </w:rPr>
        <w:t>LZ258685</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&#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OtqVS1wAAAAkBAAAPAAAAAAAAAAEAIAAAACIAAABk&#10;cnMvZG93bnJldi54bWxQSwECFAAUAAAACACHTuJA4QBRIwcCAAACBAAADgAAAAAAAAABACAAAAAm&#10;AQAAZHJzL2Uyb0RvYy54bWxQSwUGAAAAAAYABgBZAQAAnwUAAAAA&#10;">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2025</w:t>
      </w:r>
      <w:r>
        <w:rPr>
          <w:rFonts w:hint="eastAsia" w:ascii="微软雅黑" w:hAnsi="微软雅黑"/>
          <w:bCs/>
          <w:sz w:val="24"/>
          <w:szCs w:val="24"/>
          <w:lang w:val="en-US" w:eastAsia="zh-CN"/>
        </w:rPr>
        <w:t>1016</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48kIIdgAAAAJAQAADwAAAAAAAAABACAAAAAiAAAAZHJzL2Rvd25y&#10;ZXYueG1sUEsBAhQAFAAAAAgAh07iQA/X74X+AQAA+AMAAA4AAAAAAAAAAQAgAAAAJwEAAGRycy9l&#10;Mm9Eb2MueG1sUEsFBgAAAAAGAAYAWQEAAJcFAAAAAA==&#10;">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2025</w:t>
      </w:r>
      <w:r>
        <w:rPr>
          <w:rFonts w:hint="eastAsia" w:ascii="微软雅黑" w:hAnsi="微软雅黑"/>
          <w:bCs/>
          <w:sz w:val="24"/>
          <w:szCs w:val="24"/>
          <w:lang w:val="en-US" w:eastAsia="zh-CN"/>
        </w:rPr>
        <w:t>1028</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4"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5"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xml:space="preserve">肖振娟 </w:t>
                            </w:r>
                            <w:r>
                              <w:rPr>
                                <w:rFonts w:hint="eastAsia"/>
                                <w:b/>
                                <w:bCs/>
                                <w:sz w:val="24"/>
                                <w:szCs w:val="24"/>
                                <w:u w:val="single"/>
                              </w:rPr>
                              <w:t xml:space="preserve">     </w:t>
                            </w:r>
                            <w:r>
                              <w:rPr>
                                <w:rFonts w:hint="eastAsia"/>
                                <w:b/>
                                <w:bCs/>
                                <w:sz w:val="24"/>
                                <w:szCs w:val="24"/>
                                <w:lang w:val="en-US" w:eastAsia="zh-CN"/>
                              </w:rPr>
                              <w:t>女士</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10;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ZMVD3AAAAAsBAAAPAAAAAAAA&#10;AAEAIAAAACIAAABkcnMvZG93bnJldi54bWxQSwECFAAUAAAACACHTuJA+SD4qUcCAAB5BAAADgAA&#10;AAAAAAABACAAAAArAQAAZHJzL2Uyb0RvYy54bWxQSwUGAAAAAAYABgBZAQAA5AUAAAAA&#10;">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xml:space="preserve">肖振娟 </w:t>
                      </w:r>
                      <w:r>
                        <w:rPr>
                          <w:rFonts w:hint="eastAsia"/>
                          <w:b/>
                          <w:bCs/>
                          <w:sz w:val="24"/>
                          <w:szCs w:val="24"/>
                          <w:u w:val="single"/>
                        </w:rPr>
                        <w:t xml:space="preserve">     </w:t>
                      </w:r>
                      <w:r>
                        <w:rPr>
                          <w:rFonts w:hint="eastAsia"/>
                          <w:b/>
                          <w:bCs/>
                          <w:sz w:val="24"/>
                          <w:szCs w:val="24"/>
                          <w:lang w:val="en-US" w:eastAsia="zh-CN"/>
                        </w:rPr>
                        <w:t>女士</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10;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z23QRdoAAAALAQAA&#10;DwAAAAAAAAABACAAAAAiAAAAZHJzL2Rvd25yZXYueG1sUEsBAhQAFAAAAAgAh07iQIW6ku40AwAA&#10;2wcAAA4AAAAAAAAAAQAgAAAAKQEAAGRycy9lMm9Eb2MueG1sUEsFBgAAAAAGAAYAWQEAAM8GAAAA&#10;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26024"/>
      <w:bookmarkStart w:id="2" w:name="_Toc6705"/>
      <w:bookmarkStart w:id="3" w:name="_Toc27006"/>
      <w:bookmarkStart w:id="4" w:name="_Toc30904"/>
      <w:bookmarkStart w:id="5" w:name="_Toc3608"/>
      <w:bookmarkStart w:id="6" w:name="_Toc14260"/>
      <w:bookmarkStart w:id="7" w:name="_Toc18130"/>
      <w:bookmarkStart w:id="8" w:name="_Toc3134"/>
      <w:bookmarkStart w:id="9" w:name="_Toc6603"/>
      <w:bookmarkStart w:id="10" w:name="_Toc6876"/>
      <w:bookmarkStart w:id="11" w:name="_Toc12809"/>
      <w:bookmarkStart w:id="12" w:name="_Toc17764"/>
      <w:bookmarkStart w:id="13" w:name="_Toc4599"/>
      <w:bookmarkStart w:id="14" w:name="OLE_LINK1"/>
      <w:bookmarkStart w:id="15" w:name="OLE_LINK2"/>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10;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b96y1gAA&#10;AAwBAAAPAAAAAAAAAAEAIAAAACIAAABkcnMvZG93bnJldi54bWxQSwECFAAUAAAACACHTuJA9/Fg&#10;recBAACxAwAADgAAAAAAAAABACAAAAAlAQAAZHJzL2Uyb0RvYy54bWxQSwUGAAAAAAYABgBZAQAA&#10;fgUAAAAA&#10;">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YTBG62AAAAAsBAAAPAAAAAAAAAAEAIAAAACIAAABkcnMvZG93bnJldi54bWxQ&#10;SwECFAAUAAAACACHTuJApVyj32kCAADRBAAADgAAAAAAAAABACAAAAAnAQAAZHJzL2Uyb0RvYy54&#10;bWxQSwUGAAAAAAYABgBZAQAAAgYAAAAA&#10;">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5E8BC0F8">
          <w:pPr>
            <w:pStyle w:val="10"/>
            <w:tabs>
              <w:tab w:val="right" w:pos="7700"/>
            </w:tabs>
            <w:spacing w:after="0" w:line="312" w:lineRule="auto"/>
            <w:ind w:left="1980" w:leftChars="900"/>
            <w:rPr>
              <w:b/>
              <w:bCs/>
              <w:color w:val="00C4D8"/>
              <w:sz w:val="32"/>
              <w:szCs w:val="32"/>
            </w:rPr>
          </w:pPr>
          <w:r>
            <w:rPr>
              <w:b/>
              <w:bCs/>
              <w:color w:val="00C4D8"/>
              <w:sz w:val="44"/>
              <w:szCs w:val="44"/>
            </w:rPr>
            <w:fldChar w:fldCharType="begin"/>
          </w:r>
          <w:r>
            <w:rPr>
              <w:b/>
              <w:bCs/>
              <w:color w:val="00C4D8"/>
              <w:sz w:val="44"/>
              <w:szCs w:val="44"/>
            </w:rPr>
            <w:instrText xml:space="preserve">TOC \o "1-1" \h \u </w:instrText>
          </w:r>
          <w:r>
            <w:rPr>
              <w:b/>
              <w:bCs/>
              <w:color w:val="00C4D8"/>
              <w:sz w:val="44"/>
              <w:szCs w:val="44"/>
            </w:rPr>
            <w:fldChar w:fldCharType="separate"/>
          </w:r>
          <w:r>
            <w:fldChar w:fldCharType="begin"/>
          </w:r>
          <w:r>
            <w:instrText xml:space="preserve"> HYPERLINK \l "_Toc26009" </w:instrText>
          </w:r>
          <w:r>
            <w:fldChar w:fldCharType="separate"/>
          </w:r>
          <w:r>
            <w:rPr>
              <w:rFonts w:hint="eastAsia"/>
              <w:b/>
              <w:bCs/>
              <w:color w:val="00C4D8"/>
              <w:sz w:val="32"/>
              <w:szCs w:val="32"/>
            </w:rPr>
            <w:t>第一部分：基本信息</w:t>
          </w:r>
          <w:r>
            <w:rPr>
              <w:b/>
              <w:bCs/>
              <w:color w:val="00C4D8"/>
              <w:sz w:val="32"/>
              <w:szCs w:val="32"/>
            </w:rPr>
            <w:tab/>
          </w:r>
          <w:r>
            <w:rPr>
              <w:b/>
              <w:bCs/>
              <w:color w:val="00C4D8"/>
              <w:sz w:val="32"/>
              <w:szCs w:val="32"/>
            </w:rPr>
            <w:fldChar w:fldCharType="end"/>
          </w:r>
        </w:p>
        <w:p w14:paraId="162CF9BD">
          <w:pPr>
            <w:pStyle w:val="10"/>
            <w:tabs>
              <w:tab w:val="right" w:pos="7700"/>
            </w:tabs>
            <w:spacing w:after="0" w:line="312" w:lineRule="auto"/>
            <w:ind w:left="1980" w:leftChars="900"/>
          </w:pPr>
          <w:r>
            <w:fldChar w:fldCharType="begin"/>
          </w:r>
          <w:r>
            <w:instrText xml:space="preserve"> HYPERLINK \l "_Toc24274" </w:instrText>
          </w:r>
          <w:r>
            <w:fldChar w:fldCharType="separate"/>
          </w:r>
          <w:r>
            <w:rPr>
              <w:rFonts w:hint="eastAsia" w:ascii="微软雅黑" w:hAnsi="微软雅黑"/>
              <w:szCs w:val="32"/>
            </w:rPr>
            <w:t>患者及样本信息</w:t>
          </w:r>
          <w:r>
            <w:tab/>
          </w:r>
          <w:r>
            <w:fldChar w:fldCharType="begin"/>
          </w:r>
          <w:r>
            <w:instrText xml:space="preserve"> PAGEREF _Toc24274 \h </w:instrText>
          </w:r>
          <w:r>
            <w:fldChar w:fldCharType="separate"/>
          </w:r>
          <w:r>
            <w:t>1</w:t>
          </w:r>
          <w:r>
            <w:fldChar w:fldCharType="end"/>
          </w:r>
          <w:r>
            <w:fldChar w:fldCharType="end"/>
          </w:r>
        </w:p>
        <w:p w14:paraId="3A928E3B">
          <w:pPr>
            <w:pStyle w:val="10"/>
            <w:tabs>
              <w:tab w:val="right" w:pos="7700"/>
            </w:tabs>
            <w:spacing w:after="0" w:line="312" w:lineRule="auto"/>
            <w:ind w:left="1980" w:leftChars="900"/>
          </w:pPr>
          <w:r>
            <w:fldChar w:fldCharType="begin"/>
          </w:r>
          <w:r>
            <w:instrText xml:space="preserve"> HYPERLINK \l "_Toc17258" </w:instrText>
          </w:r>
          <w:r>
            <w:fldChar w:fldCharType="separate"/>
          </w:r>
          <w:r>
            <w:rPr>
              <w:rFonts w:hint="eastAsia" w:ascii="微软雅黑" w:hAnsi="微软雅黑"/>
              <w:szCs w:val="32"/>
            </w:rPr>
            <w:t>检测内容</w:t>
          </w:r>
          <w:r>
            <w:tab/>
          </w:r>
          <w:r>
            <w:fldChar w:fldCharType="begin"/>
          </w:r>
          <w:r>
            <w:instrText xml:space="preserve"> PAGEREF _Toc17258 \h </w:instrText>
          </w:r>
          <w:r>
            <w:fldChar w:fldCharType="separate"/>
          </w:r>
          <w:r>
            <w:t>1</w:t>
          </w:r>
          <w:r>
            <w:fldChar w:fldCharType="end"/>
          </w:r>
          <w:r>
            <w:fldChar w:fldCharType="end"/>
          </w:r>
        </w:p>
        <w:p w14:paraId="320EA0CD">
          <w:pPr>
            <w:pStyle w:val="10"/>
            <w:tabs>
              <w:tab w:val="right" w:pos="7700"/>
            </w:tabs>
            <w:spacing w:after="0" w:line="312" w:lineRule="auto"/>
            <w:ind w:left="1980" w:leftChars="900"/>
            <w:rPr>
              <w:b/>
              <w:bCs/>
              <w:color w:val="00C4D8"/>
              <w:sz w:val="32"/>
              <w:szCs w:val="32"/>
            </w:rPr>
          </w:pPr>
          <w:r>
            <w:fldChar w:fldCharType="begin"/>
          </w:r>
          <w:r>
            <w:instrText xml:space="preserve"> HYPERLINK \l "_Toc4168" </w:instrText>
          </w:r>
          <w:r>
            <w:fldChar w:fldCharType="separate"/>
          </w:r>
          <w:r>
            <w:rPr>
              <w:rFonts w:hint="eastAsia"/>
              <w:b/>
              <w:bCs/>
              <w:color w:val="00C4D8"/>
              <w:sz w:val="32"/>
              <w:szCs w:val="32"/>
            </w:rPr>
            <w:t>第二部分：检测结果</w:t>
          </w:r>
          <w:r>
            <w:rPr>
              <w:rFonts w:hint="eastAsia"/>
              <w:b/>
              <w:bCs/>
              <w:color w:val="00C4D8"/>
              <w:sz w:val="32"/>
              <w:szCs w:val="32"/>
            </w:rPr>
            <w:tab/>
          </w:r>
          <w:r>
            <w:rPr>
              <w:rFonts w:hint="eastAsia"/>
              <w:b/>
              <w:bCs/>
              <w:color w:val="00C4D8"/>
              <w:sz w:val="32"/>
              <w:szCs w:val="32"/>
            </w:rPr>
            <w:fldChar w:fldCharType="end"/>
          </w:r>
        </w:p>
        <w:p w14:paraId="3026BA58">
          <w:pPr>
            <w:pStyle w:val="10"/>
            <w:tabs>
              <w:tab w:val="right" w:pos="7700"/>
            </w:tabs>
            <w:spacing w:after="0" w:line="312" w:lineRule="auto"/>
            <w:ind w:left="1980" w:leftChars="900"/>
          </w:pPr>
          <w:r>
            <w:fldChar w:fldCharType="begin"/>
          </w:r>
          <w:r>
            <w:instrText xml:space="preserve"> HYPERLINK \l "_Toc14194" </w:instrText>
          </w:r>
          <w:r>
            <w:fldChar w:fldCharType="separate"/>
          </w:r>
          <w:r>
            <w:rPr>
              <w:rFonts w:hint="eastAsia" w:ascii="微软雅黑" w:hAnsi="微软雅黑"/>
              <w:szCs w:val="32"/>
            </w:rPr>
            <w:t>检测结果小结</w:t>
          </w:r>
          <w:r>
            <w:tab/>
          </w:r>
          <w:r>
            <w:fldChar w:fldCharType="begin"/>
          </w:r>
          <w:r>
            <w:instrText xml:space="preserve"> PAGEREF _Toc14194 \h </w:instrText>
          </w:r>
          <w:r>
            <w:fldChar w:fldCharType="separate"/>
          </w:r>
          <w:r>
            <w:t>2</w:t>
          </w:r>
          <w:r>
            <w:fldChar w:fldCharType="end"/>
          </w:r>
          <w:r>
            <w:fldChar w:fldCharType="end"/>
          </w:r>
        </w:p>
        <w:p w14:paraId="24E0DD5D">
          <w:pPr>
            <w:pStyle w:val="10"/>
            <w:tabs>
              <w:tab w:val="right" w:pos="7700"/>
            </w:tabs>
            <w:spacing w:after="0" w:line="312" w:lineRule="auto"/>
            <w:ind w:left="1980" w:leftChars="900"/>
          </w:pPr>
          <w:r>
            <w:fldChar w:fldCharType="begin"/>
          </w:r>
          <w:r>
            <w:instrText xml:space="preserve"> HYPERLINK \l "_Toc24469" </w:instrText>
          </w:r>
          <w:r>
            <w:fldChar w:fldCharType="separate"/>
          </w:r>
          <w:r>
            <w:rPr>
              <w:rFonts w:hint="eastAsia" w:ascii="微软雅黑" w:hAnsi="微软雅黑"/>
              <w:szCs w:val="32"/>
            </w:rPr>
            <w:t>靶向药物相关检测结果</w:t>
          </w:r>
          <w:r>
            <w:tab/>
          </w:r>
          <w:r>
            <w:fldChar w:fldCharType="begin"/>
          </w:r>
          <w:r>
            <w:instrText xml:space="preserve"> PAGEREF _Toc24469 \h </w:instrText>
          </w:r>
          <w:r>
            <w:fldChar w:fldCharType="separate"/>
          </w:r>
          <w:r>
            <w:t>6</w:t>
          </w:r>
          <w:r>
            <w:fldChar w:fldCharType="end"/>
          </w:r>
          <w:r>
            <w:fldChar w:fldCharType="end"/>
          </w:r>
        </w:p>
        <w:p w14:paraId="5D237576">
          <w:pPr>
            <w:pStyle w:val="10"/>
            <w:tabs>
              <w:tab w:val="right" w:pos="7700"/>
            </w:tabs>
            <w:spacing w:after="0" w:line="312" w:lineRule="auto"/>
            <w:ind w:left="1980" w:leftChars="900"/>
          </w:pPr>
          <w:r>
            <w:fldChar w:fldCharType="begin"/>
          </w:r>
          <w:r>
            <w:instrText xml:space="preserve"> HYPERLINK \l "_Toc31097" </w:instrText>
          </w:r>
          <w:r>
            <w:fldChar w:fldCharType="separate"/>
          </w:r>
          <w:r>
            <w:rPr>
              <w:rFonts w:hint="eastAsia" w:ascii="微软雅黑" w:hAnsi="微软雅黑"/>
              <w:szCs w:val="32"/>
            </w:rPr>
            <w:t>免疫治疗疗效评估</w:t>
          </w:r>
          <w:r>
            <w:tab/>
          </w:r>
          <w:r>
            <w:fldChar w:fldCharType="begin"/>
          </w:r>
          <w:r>
            <w:instrText xml:space="preserve"> PAGEREF _Toc31097 \h </w:instrText>
          </w:r>
          <w:r>
            <w:fldChar w:fldCharType="separate"/>
          </w:r>
          <w:r>
            <w:t>15</w:t>
          </w:r>
          <w:r>
            <w:fldChar w:fldCharType="end"/>
          </w:r>
          <w:r>
            <w:fldChar w:fldCharType="end"/>
          </w:r>
        </w:p>
        <w:p w14:paraId="21F7B5A4">
          <w:pPr>
            <w:pStyle w:val="10"/>
            <w:tabs>
              <w:tab w:val="right" w:pos="7700"/>
            </w:tabs>
            <w:spacing w:after="0" w:line="312" w:lineRule="auto"/>
            <w:ind w:left="1980" w:leftChars="900"/>
          </w:pPr>
          <w:r>
            <w:fldChar w:fldCharType="begin"/>
          </w:r>
          <w:r>
            <w:instrText xml:space="preserve"> HYPERLINK \l "_Toc29647" </w:instrText>
          </w:r>
          <w:r>
            <w:fldChar w:fldCharType="separate"/>
          </w:r>
          <w:r>
            <w:rPr>
              <w:rFonts w:hint="eastAsia" w:ascii="微软雅黑" w:hAnsi="微软雅黑"/>
              <w:szCs w:val="32"/>
            </w:rPr>
            <w:t>检测结果说明</w:t>
          </w:r>
          <w:r>
            <w:tab/>
          </w:r>
          <w:r>
            <w:fldChar w:fldCharType="begin"/>
          </w:r>
          <w:r>
            <w:instrText xml:space="preserve"> PAGEREF _Toc29647 \h </w:instrText>
          </w:r>
          <w:r>
            <w:fldChar w:fldCharType="separate"/>
          </w:r>
          <w:r>
            <w:t>22</w:t>
          </w:r>
          <w:r>
            <w:fldChar w:fldCharType="end"/>
          </w:r>
          <w:r>
            <w:fldChar w:fldCharType="end"/>
          </w:r>
        </w:p>
        <w:p w14:paraId="6AFC0B0D">
          <w:pPr>
            <w:pStyle w:val="10"/>
            <w:tabs>
              <w:tab w:val="right" w:pos="7700"/>
            </w:tabs>
            <w:spacing w:after="0" w:line="312" w:lineRule="auto"/>
            <w:ind w:left="1980" w:leftChars="900"/>
            <w:rPr>
              <w:b/>
              <w:bCs/>
              <w:color w:val="00C4D8"/>
              <w:sz w:val="32"/>
              <w:szCs w:val="32"/>
            </w:rPr>
          </w:pPr>
          <w:r>
            <w:fldChar w:fldCharType="begin"/>
          </w:r>
          <w:r>
            <w:instrText xml:space="preserve"> HYPERLINK \l "_Toc6684" </w:instrText>
          </w:r>
          <w:r>
            <w:fldChar w:fldCharType="separate"/>
          </w:r>
          <w:r>
            <w:rPr>
              <w:rFonts w:hint="eastAsia"/>
              <w:b/>
              <w:bCs/>
              <w:color w:val="00C4D8"/>
              <w:sz w:val="32"/>
              <w:szCs w:val="32"/>
            </w:rPr>
            <w:t>第三部分：基因变异及相应靶向/免疫药物解析</w:t>
          </w:r>
          <w:r>
            <w:rPr>
              <w:rFonts w:hint="eastAsia"/>
              <w:b/>
              <w:bCs/>
              <w:color w:val="00C4D8"/>
              <w:sz w:val="32"/>
              <w:szCs w:val="32"/>
            </w:rPr>
            <w:fldChar w:fldCharType="end"/>
          </w:r>
        </w:p>
        <w:p w14:paraId="1D44E961">
          <w:pPr>
            <w:pStyle w:val="10"/>
            <w:tabs>
              <w:tab w:val="right" w:pos="7700"/>
            </w:tabs>
            <w:spacing w:after="0" w:line="312" w:lineRule="auto"/>
            <w:ind w:left="1980" w:leftChars="900"/>
          </w:pPr>
          <w:r>
            <w:fldChar w:fldCharType="begin"/>
          </w:r>
          <w:r>
            <w:instrText xml:space="preserve"> HYPERLINK \l "_Toc6727" </w:instrText>
          </w:r>
          <w:r>
            <w:fldChar w:fldCharType="separate"/>
          </w:r>
          <w:r>
            <w:rPr>
              <w:rFonts w:ascii="微软雅黑" w:hAnsi="微软雅黑"/>
              <w:szCs w:val="24"/>
            </w:rPr>
            <w:t>基因</w:t>
          </w:r>
          <w:r>
            <w:rPr>
              <w:rFonts w:hint="eastAsia" w:ascii="微软雅黑" w:hAnsi="微软雅黑"/>
              <w:szCs w:val="24"/>
            </w:rPr>
            <w:t>变异</w:t>
          </w:r>
          <w:r>
            <w:rPr>
              <w:rFonts w:ascii="微软雅黑" w:hAnsi="微软雅黑"/>
              <w:szCs w:val="24"/>
            </w:rPr>
            <w:t>解析</w:t>
          </w:r>
          <w:r>
            <w:tab/>
          </w:r>
          <w:r>
            <w:fldChar w:fldCharType="begin"/>
          </w:r>
          <w:r>
            <w:instrText xml:space="preserve"> PAGEREF _Toc6727 \h </w:instrText>
          </w:r>
          <w:r>
            <w:fldChar w:fldCharType="separate"/>
          </w:r>
          <w:r>
            <w:t>23</w:t>
          </w:r>
          <w:r>
            <w:fldChar w:fldCharType="end"/>
          </w:r>
          <w:r>
            <w:fldChar w:fldCharType="end"/>
          </w:r>
        </w:p>
        <w:p w14:paraId="15304278">
          <w:pPr>
            <w:pStyle w:val="10"/>
            <w:tabs>
              <w:tab w:val="right" w:pos="7700"/>
            </w:tabs>
            <w:spacing w:after="0" w:line="312" w:lineRule="auto"/>
            <w:ind w:left="1980" w:leftChars="900"/>
          </w:pPr>
          <w:r>
            <w:fldChar w:fldCharType="begin"/>
          </w:r>
          <w:r>
            <w:instrText xml:space="preserve"> HYPERLINK \l "_Toc16898" </w:instrText>
          </w:r>
          <w:r>
            <w:fldChar w:fldCharType="separate"/>
          </w:r>
          <w:r>
            <w:rPr>
              <w:rFonts w:hint="eastAsia" w:ascii="微软雅黑" w:hAnsi="微软雅黑"/>
              <w:szCs w:val="24"/>
            </w:rPr>
            <w:t>靶向</w:t>
          </w:r>
          <w:r>
            <w:rPr>
              <w:rFonts w:ascii="微软雅黑" w:hAnsi="微软雅黑"/>
              <w:szCs w:val="24"/>
            </w:rPr>
            <w:t>药物</w:t>
          </w:r>
          <w:r>
            <w:rPr>
              <w:rFonts w:hint="eastAsia" w:ascii="微软雅黑" w:hAnsi="微软雅黑"/>
              <w:szCs w:val="24"/>
            </w:rPr>
            <w:t>/免疫用药</w:t>
          </w:r>
          <w:r>
            <w:rPr>
              <w:rFonts w:ascii="微软雅黑" w:hAnsi="微软雅黑"/>
              <w:szCs w:val="24"/>
            </w:rPr>
            <w:t>提示解析</w:t>
          </w:r>
          <w:r>
            <w:tab/>
          </w:r>
          <w:r>
            <w:fldChar w:fldCharType="begin"/>
          </w:r>
          <w:r>
            <w:instrText xml:space="preserve"> PAGEREF _Toc16898 \h </w:instrText>
          </w:r>
          <w:r>
            <w:fldChar w:fldCharType="separate"/>
          </w:r>
          <w:r>
            <w:t>31</w:t>
          </w:r>
          <w:r>
            <w:fldChar w:fldCharType="end"/>
          </w:r>
          <w:r>
            <w:fldChar w:fldCharType="end"/>
          </w:r>
        </w:p>
        <w:p w14:paraId="57D92D5B">
          <w:pPr>
            <w:pStyle w:val="10"/>
            <w:tabs>
              <w:tab w:val="right" w:pos="7700"/>
            </w:tabs>
            <w:spacing w:after="0" w:line="312" w:lineRule="auto"/>
            <w:ind w:left="1980" w:leftChars="900"/>
          </w:pPr>
          <w:r>
            <w:fldChar w:fldCharType="begin"/>
          </w:r>
          <w:r>
            <w:instrText xml:space="preserve"> HYPERLINK \l "_Toc3535" </w:instrText>
          </w:r>
          <w:r>
            <w:fldChar w:fldCharType="separate"/>
          </w:r>
          <w:r>
            <w:rPr>
              <w:rFonts w:hint="eastAsia" w:ascii="微软雅黑" w:hAnsi="微软雅黑"/>
              <w:szCs w:val="24"/>
            </w:rPr>
            <w:t>阅读说明</w:t>
          </w:r>
          <w:r>
            <w:tab/>
          </w:r>
          <w:r>
            <w:fldChar w:fldCharType="begin"/>
          </w:r>
          <w:r>
            <w:instrText xml:space="preserve"> PAGEREF _Toc3535 \h </w:instrText>
          </w:r>
          <w:r>
            <w:fldChar w:fldCharType="separate"/>
          </w:r>
          <w:r>
            <w:t>52</w:t>
          </w:r>
          <w:r>
            <w:fldChar w:fldCharType="end"/>
          </w:r>
          <w:r>
            <w:fldChar w:fldCharType="end"/>
          </w:r>
        </w:p>
        <w:p w14:paraId="065E2443">
          <w:pPr>
            <w:pStyle w:val="10"/>
            <w:tabs>
              <w:tab w:val="right" w:pos="7700"/>
            </w:tabs>
            <w:spacing w:after="0" w:line="312" w:lineRule="auto"/>
            <w:ind w:left="1980" w:leftChars="900"/>
            <w:rPr>
              <w:b/>
              <w:bCs/>
              <w:color w:val="00C4D8"/>
              <w:sz w:val="32"/>
              <w:szCs w:val="32"/>
            </w:rPr>
          </w:pPr>
          <w:r>
            <w:fldChar w:fldCharType="begin"/>
          </w:r>
          <w:r>
            <w:instrText xml:space="preserve"> HYPERLINK \l "_Toc28254" </w:instrText>
          </w:r>
          <w:r>
            <w:fldChar w:fldCharType="separate"/>
          </w:r>
          <w:r>
            <w:rPr>
              <w:rFonts w:hint="eastAsia"/>
              <w:b/>
              <w:bCs/>
              <w:color w:val="00C4D8"/>
              <w:sz w:val="32"/>
              <w:szCs w:val="32"/>
            </w:rPr>
            <w:t>第四部分：附录</w:t>
          </w:r>
          <w:r>
            <w:rPr>
              <w:rFonts w:hint="eastAsia"/>
              <w:b/>
              <w:bCs/>
              <w:color w:val="00C4D8"/>
              <w:sz w:val="32"/>
              <w:szCs w:val="32"/>
            </w:rPr>
            <w:tab/>
          </w:r>
          <w:r>
            <w:rPr>
              <w:rFonts w:hint="eastAsia"/>
              <w:b/>
              <w:bCs/>
              <w:color w:val="00C4D8"/>
              <w:sz w:val="32"/>
              <w:szCs w:val="32"/>
            </w:rPr>
            <w:fldChar w:fldCharType="end"/>
          </w:r>
        </w:p>
        <w:p w14:paraId="57B7EFA7">
          <w:pPr>
            <w:pStyle w:val="10"/>
            <w:tabs>
              <w:tab w:val="right" w:pos="7700"/>
            </w:tabs>
            <w:spacing w:after="0" w:line="312" w:lineRule="auto"/>
            <w:ind w:left="1980" w:leftChars="900"/>
          </w:pPr>
          <w:r>
            <w:fldChar w:fldCharType="begin"/>
          </w:r>
          <w:r>
            <w:instrText xml:space="preserve"> HYPERLINK \l "_Toc6659" </w:instrText>
          </w:r>
          <w:r>
            <w:fldChar w:fldCharType="separate"/>
          </w:r>
          <w:r>
            <w:rPr>
              <w:rFonts w:hint="eastAsia" w:ascii="微软雅黑" w:hAnsi="微软雅黑"/>
              <w:szCs w:val="24"/>
            </w:rPr>
            <w:t>常见问题解答</w:t>
          </w:r>
          <w:r>
            <w:tab/>
          </w:r>
          <w:r>
            <w:fldChar w:fldCharType="begin"/>
          </w:r>
          <w:r>
            <w:instrText xml:space="preserve"> PAGEREF _Toc6659 \h </w:instrText>
          </w:r>
          <w:r>
            <w:fldChar w:fldCharType="separate"/>
          </w:r>
          <w:r>
            <w:t>55</w:t>
          </w:r>
          <w:r>
            <w:fldChar w:fldCharType="end"/>
          </w:r>
          <w:r>
            <w:fldChar w:fldCharType="end"/>
          </w:r>
        </w:p>
        <w:p w14:paraId="3CC4C8C4">
          <w:pPr>
            <w:pStyle w:val="10"/>
            <w:tabs>
              <w:tab w:val="right" w:pos="7700"/>
            </w:tabs>
            <w:spacing w:after="0" w:line="312" w:lineRule="auto"/>
            <w:ind w:left="1980" w:leftChars="900"/>
          </w:pPr>
          <w:r>
            <w:fldChar w:fldCharType="begin"/>
          </w:r>
          <w:r>
            <w:instrText xml:space="preserve"> HYPERLINK \l "_Toc9100" </w:instrText>
          </w:r>
          <w:r>
            <w:fldChar w:fldCharType="separate"/>
          </w:r>
          <w:r>
            <w:rPr>
              <w:rFonts w:hint="eastAsia" w:ascii="微软雅黑" w:hAnsi="微软雅黑"/>
              <w:szCs w:val="24"/>
            </w:rPr>
            <w:t>结直肠癌诊疗知识</w:t>
          </w:r>
          <w:r>
            <w:tab/>
          </w:r>
          <w:r>
            <w:fldChar w:fldCharType="begin"/>
          </w:r>
          <w:r>
            <w:instrText xml:space="preserve"> PAGEREF _Toc9100 \h </w:instrText>
          </w:r>
          <w:r>
            <w:fldChar w:fldCharType="separate"/>
          </w:r>
          <w:r>
            <w:t>57</w:t>
          </w:r>
          <w:r>
            <w:fldChar w:fldCharType="end"/>
          </w:r>
          <w:r>
            <w:fldChar w:fldCharType="end"/>
          </w:r>
        </w:p>
        <w:p w14:paraId="1347396A">
          <w:pPr>
            <w:pStyle w:val="10"/>
            <w:tabs>
              <w:tab w:val="right" w:pos="7700"/>
            </w:tabs>
            <w:spacing w:after="0" w:line="312" w:lineRule="auto"/>
            <w:ind w:left="1980" w:leftChars="900"/>
          </w:pPr>
          <w:r>
            <w:fldChar w:fldCharType="begin"/>
          </w:r>
          <w:r>
            <w:instrText xml:space="preserve"> HYPERLINK \l "_Toc17460" </w:instrText>
          </w:r>
          <w:r>
            <w:fldChar w:fldCharType="separate"/>
          </w:r>
          <w:r>
            <w:rPr>
              <w:rFonts w:hint="eastAsia" w:ascii="微软雅黑" w:hAnsi="微软雅黑"/>
              <w:szCs w:val="24"/>
            </w:rPr>
            <w:t>癌症相关信号通路</w:t>
          </w:r>
          <w:r>
            <w:tab/>
          </w:r>
          <w:r>
            <w:fldChar w:fldCharType="begin"/>
          </w:r>
          <w:r>
            <w:instrText xml:space="preserve"> PAGEREF _Toc17460 \h </w:instrText>
          </w:r>
          <w:r>
            <w:fldChar w:fldCharType="separate"/>
          </w:r>
          <w:r>
            <w:t>79</w:t>
          </w:r>
          <w:r>
            <w:fldChar w:fldCharType="end"/>
          </w:r>
          <w:r>
            <w:fldChar w:fldCharType="end"/>
          </w:r>
        </w:p>
        <w:p w14:paraId="3513ECDA">
          <w:pPr>
            <w:pStyle w:val="10"/>
            <w:tabs>
              <w:tab w:val="right" w:pos="7700"/>
            </w:tabs>
            <w:spacing w:after="0" w:line="312" w:lineRule="auto"/>
            <w:ind w:left="1980" w:leftChars="900"/>
          </w:pPr>
          <w:r>
            <w:fldChar w:fldCharType="begin"/>
          </w:r>
          <w:r>
            <w:instrText xml:space="preserve"> HYPERLINK \l "_Toc16989" </w:instrText>
          </w:r>
          <w:r>
            <w:fldChar w:fldCharType="separate"/>
          </w:r>
          <w:r>
            <w:rPr>
              <w:rFonts w:hint="eastAsia" w:ascii="微软雅黑" w:hAnsi="微软雅黑"/>
              <w:szCs w:val="24"/>
            </w:rPr>
            <w:t>基因检测列表</w:t>
          </w:r>
          <w:r>
            <w:tab/>
          </w:r>
          <w:r>
            <w:fldChar w:fldCharType="begin"/>
          </w:r>
          <w:r>
            <w:instrText xml:space="preserve"> PAGEREF _Toc16989 \h </w:instrText>
          </w:r>
          <w:r>
            <w:fldChar w:fldCharType="separate"/>
          </w:r>
          <w:r>
            <w:t>89</w:t>
          </w:r>
          <w:r>
            <w:fldChar w:fldCharType="end"/>
          </w:r>
          <w:r>
            <w:fldChar w:fldCharType="end"/>
          </w:r>
        </w:p>
        <w:p w14:paraId="79FDC8F1">
          <w:pPr>
            <w:pStyle w:val="10"/>
            <w:tabs>
              <w:tab w:val="right" w:pos="7700"/>
            </w:tabs>
            <w:spacing w:after="0" w:line="312" w:lineRule="auto"/>
            <w:ind w:left="1980" w:leftChars="900"/>
          </w:pPr>
          <w:r>
            <w:fldChar w:fldCharType="begin"/>
          </w:r>
          <w:r>
            <w:instrText xml:space="preserve"> HYPERLINK \l "_Toc8115" </w:instrText>
          </w:r>
          <w:r>
            <w:fldChar w:fldCharType="separate"/>
          </w:r>
          <w:r>
            <w:rPr>
              <w:rFonts w:hint="eastAsia" w:ascii="微软雅黑" w:hAnsi="微软雅黑"/>
              <w:szCs w:val="24"/>
            </w:rPr>
            <w:t>参考文献</w:t>
          </w:r>
          <w:r>
            <w:tab/>
          </w:r>
          <w:r>
            <w:fldChar w:fldCharType="begin"/>
          </w:r>
          <w:r>
            <w:instrText xml:space="preserve"> PAGEREF _Toc8115 \h </w:instrText>
          </w:r>
          <w:r>
            <w:fldChar w:fldCharType="separate"/>
          </w:r>
          <w:r>
            <w:t>91</w:t>
          </w:r>
          <w:r>
            <w:fldChar w:fldCharType="end"/>
          </w:r>
          <w:r>
            <w:fldChar w:fldCharType="end"/>
          </w:r>
        </w:p>
        <w:p w14:paraId="6E86B1AB">
          <w:pPr>
            <w:spacing w:after="0" w:line="312" w:lineRule="auto"/>
            <w:ind w:left="1980" w:leftChars="900"/>
            <w:jc w:val="both"/>
            <w:rPr>
              <w:b/>
              <w:bCs/>
              <w:color w:val="00C4D8"/>
              <w:sz w:val="44"/>
              <w:szCs w:val="44"/>
            </w:rPr>
            <w:sectPr>
              <w:footerReference r:id="rId6" w:type="default"/>
              <w:pgSz w:w="11906" w:h="16838"/>
              <w:pgMar w:top="1440" w:right="1526" w:bottom="1440" w:left="1800" w:header="708" w:footer="708" w:gutter="0"/>
              <w:cols w:space="708" w:num="1"/>
              <w:docGrid w:linePitch="360" w:charSpace="0"/>
            </w:sectPr>
          </w:pPr>
          <w:r>
            <w:rPr>
              <w:bCs/>
              <w:color w:val="00C4D8"/>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445"/>
      <w:bookmarkStart w:id="17" w:name="_Toc12673"/>
      <w:bookmarkStart w:id="18" w:name="_Toc12032"/>
      <w:bookmarkStart w:id="19" w:name="_Toc14886"/>
      <w:bookmarkStart w:id="20" w:name="_Toc20058"/>
      <w:bookmarkStart w:id="21" w:name="_Toc8579"/>
      <w:bookmarkStart w:id="22" w:name="_Toc32538"/>
      <w:bookmarkStart w:id="23" w:name="_Toc14336"/>
      <w:bookmarkStart w:id="24" w:name="_Toc3165"/>
      <w:bookmarkStart w:id="25" w:name="_Toc18057"/>
      <w:bookmarkStart w:id="26" w:name="_Toc10896"/>
      <w:bookmarkStart w:id="27" w:name="_Toc4575"/>
      <w:bookmarkStart w:id="28" w:name="_Toc15999"/>
      <w:bookmarkStart w:id="29" w:name="_Toc15404"/>
      <w:bookmarkStart w:id="30" w:name="_Toc21484"/>
      <w:bookmarkStart w:id="31" w:name="_Toc7206"/>
      <w:bookmarkStart w:id="32" w:name="_Toc24717"/>
      <w:bookmarkStart w:id="33" w:name="_Toc1945"/>
      <w:bookmarkStart w:id="34" w:name="_Toc22635"/>
      <w:bookmarkStart w:id="35" w:name="_Toc31884"/>
      <w:bookmarkStart w:id="36" w:name="_Toc29729"/>
      <w:bookmarkStart w:id="37" w:name="_Toc16016"/>
      <w:bookmarkStart w:id="38" w:name="_Toc14984"/>
      <w:bookmarkStart w:id="39" w:name="_Toc28396"/>
      <w:bookmarkStart w:id="40" w:name="_Toc26009"/>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10;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RlKo2wAAAAsBAAAP&#10;AAAAAAAAAAEAIAAAACIAAABkcnMvZG93bnJldi54bWxQSwECFAAUAAAACACHTuJAtIJC4E4CAACE&#10;BAAADgAAAAAAAAABACAAAAAqAQAAZHJzL2Uyb0RvYy54bWxQSwUGAAAAAAYABgBZAQAA6gUAAAAA&#10;">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GJrNoM4AgAAWw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10Exm2QAAAAkBAAAPAAAAAAAAAAEAIAAAACIAAABkcnMvZG93bnJldi54bWxQ&#10;SwECFAAUAAAACACHTuJA/rL8kS8CAABPBAAADgAAAAAAAAABACAAAAAoAQAAZHJzL2Uyb0RvYy54&#10;bWxQSwUGAAAAAAYABgBZAQAAyQU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numPr>
                <w:ilvl w:val="255"/>
                <w:numId w:val="0"/>
              </w:numPr>
              <w:spacing w:after="0"/>
              <w:rPr>
                <w:rFonts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xml:space="preserve">肖振娟 </w:t>
            </w:r>
          </w:p>
        </w:tc>
        <w:tc>
          <w:tcPr>
            <w:tcW w:w="240" w:type="dxa"/>
            <w:tcBorders>
              <w:tl2br w:val="nil"/>
              <w:tr2bl w:val="nil"/>
            </w:tcBorders>
            <w:shd w:val="clear" w:color="auto" w:fill="FFFFFF" w:themeFill="background1" w:themeFillTint="32"/>
            <w:vAlign w:val="center"/>
          </w:tcPr>
          <w:p w14:paraId="5E695D9E">
            <w:pPr>
              <w:pStyle w:val="29"/>
              <w:numPr>
                <w:ilvl w:val="255"/>
                <w:numId w:val="0"/>
              </w:numPr>
              <w:spacing w:after="0"/>
              <w:rPr>
                <w:rFonts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numPr>
                <w:ilvl w:val="255"/>
                <w:numId w:val="0"/>
              </w:numPr>
              <w:spacing w:after="0"/>
              <w:rPr>
                <w:rFonts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numPr>
                <w:ilvl w:val="255"/>
                <w:numId w:val="0"/>
              </w:numPr>
              <w:spacing w:after="0"/>
              <w:rPr>
                <w:rFonts w:ascii="微软雅黑" w:hAnsi="微软雅黑" w:cs="微软雅黑"/>
                <w:bCs/>
                <w:kern w:val="2"/>
                <w:sz w:val="24"/>
                <w:szCs w:val="24"/>
              </w:rPr>
            </w:pPr>
            <w:r>
              <w:rPr>
                <w:rFonts w:hint="eastAsia" w:ascii="微软雅黑" w:hAnsi="微软雅黑" w:cs="微软雅黑"/>
                <w:bCs/>
                <w:kern w:val="2"/>
                <w:sz w:val="24"/>
                <w:szCs w:val="24"/>
              </w:rPr>
              <w:t>组织</w:t>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numPr>
                <w:ilvl w:val="255"/>
                <w:numId w:val="0"/>
              </w:numPr>
              <w:spacing w:after="0"/>
              <w:rPr>
                <w:rFonts w:hint="default" w:ascii="微软雅黑" w:hAnsi="微软雅黑"/>
                <w:bCs/>
                <w:kern w:val="2"/>
                <w:sz w:val="24"/>
                <w:szCs w:val="24"/>
                <w:lang w:val="en-US"/>
              </w:rPr>
            </w:pPr>
            <w:r>
              <w:rPr>
                <w:rFonts w:hint="eastAsia" w:ascii="微软雅黑" w:hAnsi="微软雅黑"/>
                <w:bCs/>
                <w:kern w:val="2"/>
                <w:sz w:val="24"/>
                <w:szCs w:val="24"/>
                <w:lang w:val="en-US" w:eastAsia="zh-CN"/>
              </w:rPr>
              <w:t>女</w:t>
            </w:r>
          </w:p>
        </w:tc>
        <w:tc>
          <w:tcPr>
            <w:tcW w:w="240" w:type="dxa"/>
            <w:tcBorders>
              <w:tl2br w:val="nil"/>
              <w:tr2bl w:val="nil"/>
            </w:tcBorders>
            <w:shd w:val="clear" w:color="auto" w:fill="FFFFFF" w:themeFill="background1" w:themeFillTint="32"/>
            <w:vAlign w:val="center"/>
          </w:tcPr>
          <w:p w14:paraId="3ED49DBC">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numPr>
                <w:ilvl w:val="255"/>
                <w:numId w:val="0"/>
              </w:numPr>
              <w:spacing w:after="0"/>
              <w:rPr>
                <w:rFonts w:hint="default" w:ascii="微软雅黑" w:hAnsi="微软雅黑"/>
                <w:bCs/>
                <w:kern w:val="2"/>
                <w:sz w:val="24"/>
                <w:szCs w:val="24"/>
                <w:lang w:val="en-US"/>
              </w:rPr>
            </w:pPr>
            <w:r>
              <w:rPr>
                <w:rFonts w:hint="eastAsia" w:ascii="微软雅黑" w:hAnsi="微软雅黑"/>
                <w:bCs/>
                <w:kern w:val="2"/>
                <w:sz w:val="24"/>
                <w:szCs w:val="24"/>
                <w:lang w:val="en-US" w:eastAsia="zh-CN"/>
              </w:rPr>
              <w:t>64</w:t>
            </w:r>
          </w:p>
        </w:tc>
        <w:tc>
          <w:tcPr>
            <w:tcW w:w="240" w:type="dxa"/>
            <w:tcBorders>
              <w:tl2br w:val="nil"/>
              <w:tr2bl w:val="nil"/>
            </w:tcBorders>
            <w:shd w:val="clear" w:color="auto" w:fill="FFFFFF" w:themeFill="background1" w:themeFillTint="32"/>
            <w:vAlign w:val="center"/>
          </w:tcPr>
          <w:p w14:paraId="2ACA21FE">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val="en-US" w:eastAsia="zh-CN"/>
              </w:rPr>
              <w:t>乙状结肠</w:t>
            </w:r>
            <w:r>
              <w:rPr>
                <w:rFonts w:hint="eastAsia" w:ascii="微软雅黑" w:hAnsi="微软雅黑"/>
                <w:bCs/>
                <w:kern w:val="2"/>
                <w:sz w:val="24"/>
                <w:szCs w:val="24"/>
              </w:rPr>
              <w:t>癌</w:t>
            </w:r>
          </w:p>
        </w:tc>
        <w:tc>
          <w:tcPr>
            <w:tcW w:w="240" w:type="dxa"/>
            <w:tcBorders>
              <w:tl2br w:val="nil"/>
              <w:tr2bl w:val="nil"/>
            </w:tcBorders>
            <w:shd w:val="clear" w:color="auto" w:fill="FFFFFF" w:themeFill="background1" w:themeFillTint="32"/>
            <w:vAlign w:val="center"/>
          </w:tcPr>
          <w:p w14:paraId="69DE7E9C">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LZ258685</w:t>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3347"/>
      <w:bookmarkStart w:id="45" w:name="_Toc30103"/>
      <w:bookmarkStart w:id="46" w:name="_Toc16727"/>
      <w:bookmarkStart w:id="47" w:name="_Toc31893"/>
      <w:bookmarkStart w:id="48" w:name="_Toc5129"/>
      <w:bookmarkStart w:id="49" w:name="_Toc18728"/>
      <w:bookmarkStart w:id="50" w:name="_Toc5570"/>
      <w:bookmarkStart w:id="51" w:name="_Toc31667"/>
      <w:bookmarkStart w:id="52" w:name="_Toc22529"/>
      <w:bookmarkStart w:id="53" w:name="_Toc161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2382"/>
      <w:bookmarkStart w:id="55" w:name="_Toc17258"/>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5769"/>
      <w:bookmarkEnd w:id="57"/>
      <w:bookmarkStart w:id="58" w:name="_Toc3810"/>
      <w:bookmarkEnd w:id="58"/>
      <w:bookmarkStart w:id="59" w:name="_Toc30794"/>
      <w:bookmarkEnd w:id="59"/>
      <w:bookmarkStart w:id="60" w:name="_Toc8199"/>
      <w:bookmarkEnd w:id="60"/>
      <w:bookmarkStart w:id="61" w:name="_Toc20306"/>
      <w:bookmarkEnd w:id="61"/>
      <w:bookmarkStart w:id="62" w:name="_Toc7901"/>
      <w:bookmarkEnd w:id="62"/>
      <w:bookmarkStart w:id="63" w:name="_Toc23594"/>
      <w:bookmarkStart w:id="64" w:name="_Toc4168"/>
      <w:bookmarkStart w:id="65" w:name="_Toc28223"/>
      <w:bookmarkStart w:id="66" w:name="_Toc10524"/>
      <w:bookmarkStart w:id="67" w:name="_Toc26709"/>
      <w:bookmarkStart w:id="68" w:name="_Toc30443"/>
      <w:bookmarkStart w:id="69" w:name="_Toc12358"/>
      <w:bookmarkStart w:id="70" w:name="_Toc30145"/>
      <w:bookmarkStart w:id="71" w:name="_Toc1330"/>
      <w:bookmarkStart w:id="72" w:name="_Toc6361"/>
      <w:bookmarkStart w:id="73" w:name="_Toc25481"/>
      <w:bookmarkStart w:id="74" w:name="_Toc26768"/>
      <w:bookmarkStart w:id="75" w:name="_Toc21519"/>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1758" w:type="dxa"/>
            <w:shd w:val="clear" w:color="auto" w:fill="00C4D8"/>
            <w:vAlign w:val="center"/>
          </w:tcPr>
          <w:p w14:paraId="336B05FD">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530" w:type="dxa"/>
            <w:shd w:val="clear" w:color="auto" w:fill="00C4D8"/>
            <w:vAlign w:val="center"/>
          </w:tcPr>
          <w:p w14:paraId="221172AA">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32D95D2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2559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5F628890">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PIK3CA</w:t>
            </w:r>
          </w:p>
        </w:tc>
        <w:tc>
          <w:tcPr>
            <w:tcW w:w="1758" w:type="dxa"/>
            <w:vAlign w:val="center"/>
          </w:tcPr>
          <w:p w14:paraId="60C2DF2D">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c.1624G&gt;A,</w:t>
            </w:r>
          </w:p>
          <w:p w14:paraId="1FB75869">
            <w:pPr>
              <w:spacing w:after="0" w:line="220" w:lineRule="atLeast"/>
              <w:jc w:val="center"/>
              <w:rPr>
                <w:rFonts w:ascii="微软雅黑" w:hAnsi="微软雅黑" w:cs="微软雅黑"/>
                <w:bCs/>
                <w:kern w:val="2"/>
                <w:sz w:val="18"/>
                <w:szCs w:val="18"/>
                <w:lang w:bidi="ar"/>
              </w:rPr>
            </w:pPr>
            <w:r>
              <w:rPr>
                <w:rFonts w:hint="eastAsia" w:ascii="微软雅黑" w:hAnsi="微软雅黑" w:cs="微软雅黑"/>
                <w:bCs/>
                <w:kern w:val="2"/>
                <w:sz w:val="18"/>
                <w:szCs w:val="18"/>
              </w:rPr>
              <w:t>p.E542K</w:t>
            </w:r>
          </w:p>
        </w:tc>
        <w:tc>
          <w:tcPr>
            <w:tcW w:w="3530" w:type="dxa"/>
            <w:vAlign w:val="center"/>
          </w:tcPr>
          <w:p w14:paraId="51DDE9B2">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t>依维莫司（C）</w:t>
            </w:r>
          </w:p>
          <w:p w14:paraId="085A4369">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西罗莫司（C）</w:t>
            </w:r>
          </w:p>
          <w:p w14:paraId="1649EC5B">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替西罗莫司（C）</w:t>
            </w:r>
          </w:p>
          <w:p w14:paraId="44D0C5A0">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阿培利司（C）</w:t>
            </w:r>
          </w:p>
          <w:p w14:paraId="73655BF2">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盐酸可泮利塞（C）</w:t>
            </w:r>
          </w:p>
          <w:p w14:paraId="2888659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培唑帕尼+依维莫司（C）</w:t>
            </w:r>
          </w:p>
          <w:p w14:paraId="7DA0EA0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卡匹色替（C）</w:t>
            </w:r>
          </w:p>
          <w:p w14:paraId="7E50973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Buparlisib（C）</w:t>
            </w:r>
          </w:p>
          <w:p w14:paraId="44BED37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Taselisib（C）</w:t>
            </w:r>
          </w:p>
          <w:p w14:paraId="0832A067">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Serabelisib（C）</w:t>
            </w:r>
          </w:p>
          <w:p w14:paraId="69EE5487">
            <w:pPr>
              <w:adjustRightInd/>
              <w:snapToGrid/>
              <w:spacing w:after="0" w:line="220" w:lineRule="atLeast"/>
              <w:jc w:val="center"/>
              <w:rPr>
                <w:kern w:val="2"/>
              </w:rPr>
            </w:pPr>
            <w:r>
              <w:rPr>
                <w:rFonts w:hint="eastAsia" w:ascii="微软雅黑" w:hAnsi="微软雅黑" w:cs="微软雅黑"/>
                <w:bCs/>
                <w:color w:val="0000FF"/>
                <w:kern w:val="2"/>
                <w:sz w:val="18"/>
                <w:szCs w:val="18"/>
                <w:u w:val="single"/>
              </w:rPr>
              <w:t>伊那利塞（C）</w:t>
            </w:r>
          </w:p>
          <w:p w14:paraId="3660D67A">
            <w:pPr>
              <w:adjustRightInd/>
              <w:snapToGrid/>
              <w:spacing w:after="0" w:line="220" w:lineRule="atLeast"/>
              <w:jc w:val="center"/>
              <w:rPr>
                <w:kern w:val="2"/>
              </w:rPr>
            </w:pPr>
            <w:r>
              <w:rPr>
                <w:rFonts w:hint="eastAsia" w:ascii="微软雅黑" w:hAnsi="微软雅黑" w:cs="微软雅黑"/>
                <w:bCs/>
                <w:color w:val="0000FF"/>
                <w:kern w:val="2"/>
                <w:sz w:val="18"/>
                <w:szCs w:val="18"/>
                <w:u w:val="single"/>
              </w:rPr>
              <w:t>伊那利塞+哌柏西利（C）</w:t>
            </w:r>
          </w:p>
          <w:p w14:paraId="4DD0C05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RLY-2608（C）</w:t>
            </w:r>
          </w:p>
          <w:p w14:paraId="2EB4D9F6">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WX390（C）</w:t>
            </w:r>
          </w:p>
          <w:p w14:paraId="3DDEA6D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Dactolisib（D）</w:t>
            </w:r>
          </w:p>
        </w:tc>
        <w:tc>
          <w:tcPr>
            <w:tcW w:w="1837" w:type="dxa"/>
            <w:vAlign w:val="center"/>
          </w:tcPr>
          <w:p w14:paraId="033B8CA2">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t>西妥昔单抗（C）</w:t>
            </w:r>
          </w:p>
          <w:p w14:paraId="0CBBE28A">
            <w:pPr>
              <w:spacing w:after="0"/>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帕尼单抗（C）</w:t>
            </w:r>
          </w:p>
        </w:tc>
      </w:tr>
      <w:tr w14:paraId="2ABF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346EFC8B">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KRAS</w:t>
            </w:r>
          </w:p>
        </w:tc>
        <w:tc>
          <w:tcPr>
            <w:tcW w:w="1758" w:type="dxa"/>
            <w:vAlign w:val="center"/>
          </w:tcPr>
          <w:p w14:paraId="5EAC6983">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c.34G&gt;T,</w:t>
            </w:r>
          </w:p>
          <w:p w14:paraId="25FCF47A">
            <w:pPr>
              <w:spacing w:after="0" w:line="220" w:lineRule="atLeast"/>
              <w:jc w:val="center"/>
              <w:rPr>
                <w:rFonts w:ascii="微软雅黑" w:hAnsi="微软雅黑" w:cs="微软雅黑"/>
                <w:bCs/>
                <w:kern w:val="2"/>
                <w:sz w:val="18"/>
                <w:szCs w:val="18"/>
                <w:lang w:bidi="ar"/>
              </w:rPr>
            </w:pPr>
            <w:r>
              <w:rPr>
                <w:rFonts w:hint="eastAsia" w:ascii="微软雅黑" w:hAnsi="微软雅黑" w:cs="微软雅黑"/>
                <w:bCs/>
                <w:kern w:val="2"/>
                <w:sz w:val="18"/>
                <w:szCs w:val="18"/>
              </w:rPr>
              <w:t>p.G12C</w:t>
            </w:r>
          </w:p>
        </w:tc>
        <w:tc>
          <w:tcPr>
            <w:tcW w:w="3530" w:type="dxa"/>
            <w:vAlign w:val="center"/>
          </w:tcPr>
          <w:p w14:paraId="44A1CA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索托拉西布/</w:t>
            </w:r>
            <w:r>
              <w:rPr>
                <w:rFonts w:hint="eastAsia" w:ascii="微软雅黑" w:hAnsi="微软雅黑" w:cs="微软雅黑"/>
                <w:bCs/>
                <w:color w:val="0000FF"/>
                <w:kern w:val="2"/>
                <w:sz w:val="18"/>
                <w:szCs w:val="18"/>
                <w:u w:val="single"/>
                <w:lang w:val="en-US" w:eastAsia="zh-CN"/>
              </w:rPr>
              <w:t>阿达格拉西布</w:t>
            </w:r>
            <w:r>
              <w:rPr>
                <w:rFonts w:hint="eastAsia" w:ascii="微软雅黑" w:hAnsi="微软雅黑" w:cs="微软雅黑"/>
                <w:b w:val="0"/>
                <w:bCs/>
                <w:color w:val="0000FF"/>
                <w:kern w:val="2"/>
                <w:sz w:val="18"/>
                <w:szCs w:val="18"/>
                <w:highlight w:val="none"/>
                <w:u w:val="single"/>
                <w:vertAlign w:val="baseline"/>
                <w:lang w:val="en-US" w:eastAsia="zh-CN" w:bidi="ar-SA"/>
              </w:rPr>
              <w:t>+帕尼单抗/</w:t>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Fonts w:hint="eastAsia" w:ascii="微软雅黑" w:hAnsi="微软雅黑" w:cs="微软雅黑"/>
                <w:b w:val="0"/>
                <w:bCs/>
                <w:color w:val="0000FF"/>
                <w:kern w:val="2"/>
                <w:sz w:val="18"/>
                <w:szCs w:val="18"/>
                <w:highlight w:val="none"/>
                <w:u w:val="single"/>
                <w:vertAlign w:val="baseline"/>
                <w:lang w:val="en-US" w:eastAsia="zh-CN" w:bidi="ar-SA"/>
              </w:rPr>
              <w:t>（A）</w:t>
            </w:r>
          </w:p>
          <w:p w14:paraId="46A32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索托拉西布（C）</w:t>
            </w:r>
          </w:p>
          <w:p w14:paraId="1804E1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Cs/>
                <w:color w:val="0000FF"/>
                <w:kern w:val="2"/>
                <w:sz w:val="18"/>
                <w:szCs w:val="18"/>
                <w:u w:val="single"/>
                <w:lang w:val="en-US" w:eastAsia="zh-CN"/>
              </w:rPr>
              <w:t>阿达格拉西布（C）</w:t>
            </w:r>
          </w:p>
          <w:p w14:paraId="734A7D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氟泽雷塞（C）</w:t>
            </w:r>
          </w:p>
          <w:p w14:paraId="4D2FF7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0000FF"/>
                <w:kern w:val="2"/>
                <w:sz w:val="18"/>
                <w:szCs w:val="18"/>
                <w:highlight w:val="none"/>
                <w:u w:val="single"/>
                <w:lang w:eastAsia="zh-CN"/>
              </w:rPr>
            </w:pPr>
            <w:r>
              <w:rPr>
                <w:rFonts w:hint="eastAsia" w:ascii="微软雅黑" w:hAnsi="微软雅黑" w:cs="微软雅黑"/>
                <w:bCs/>
                <w:color w:val="0000FF"/>
                <w:kern w:val="2"/>
                <w:sz w:val="18"/>
                <w:szCs w:val="18"/>
                <w:highlight w:val="none"/>
                <w:u w:val="single"/>
              </w:rPr>
              <w:t>格索雷塞</w:t>
            </w:r>
            <w:r>
              <w:rPr>
                <w:rFonts w:hint="eastAsia" w:ascii="微软雅黑" w:hAnsi="微软雅黑" w:cs="微软雅黑"/>
                <w:bCs/>
                <w:color w:val="0000FF"/>
                <w:kern w:val="2"/>
                <w:sz w:val="18"/>
                <w:szCs w:val="18"/>
                <w:highlight w:val="none"/>
                <w:u w:val="single"/>
                <w:lang w:eastAsia="zh-CN"/>
              </w:rPr>
              <w:t>（</w:t>
            </w:r>
            <w:r>
              <w:rPr>
                <w:rFonts w:hint="eastAsia" w:ascii="微软雅黑" w:hAnsi="微软雅黑" w:cs="微软雅黑"/>
                <w:bCs/>
                <w:color w:val="0000FF"/>
                <w:kern w:val="2"/>
                <w:sz w:val="18"/>
                <w:szCs w:val="18"/>
                <w:highlight w:val="none"/>
                <w:u w:val="single"/>
                <w:lang w:val="en-US" w:eastAsia="zh-CN"/>
              </w:rPr>
              <w:t>C</w:t>
            </w:r>
            <w:r>
              <w:rPr>
                <w:rFonts w:hint="eastAsia" w:ascii="微软雅黑" w:hAnsi="微软雅黑" w:cs="微软雅黑"/>
                <w:bCs/>
                <w:color w:val="0000FF"/>
                <w:kern w:val="2"/>
                <w:sz w:val="18"/>
                <w:szCs w:val="18"/>
                <w:highlight w:val="none"/>
                <w:u w:val="single"/>
                <w:lang w:eastAsia="zh-CN"/>
              </w:rPr>
              <w:t>）</w:t>
            </w:r>
          </w:p>
          <w:p w14:paraId="5D2B22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氟泽雷塞+</w:t>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Fonts w:hint="eastAsia" w:ascii="微软雅黑" w:hAnsi="微软雅黑" w:cs="微软雅黑"/>
                <w:b w:val="0"/>
                <w:bCs/>
                <w:color w:val="0000FF"/>
                <w:kern w:val="2"/>
                <w:sz w:val="18"/>
                <w:szCs w:val="18"/>
                <w:highlight w:val="none"/>
                <w:u w:val="single"/>
                <w:vertAlign w:val="baseline"/>
                <w:lang w:val="en-US" w:eastAsia="zh-CN" w:bidi="ar-SA"/>
              </w:rPr>
              <w:t>（C）</w:t>
            </w:r>
          </w:p>
          <w:p w14:paraId="135A89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"司美替尼dhx"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司美替尼</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（C）</w:t>
            </w:r>
          </w:p>
          <w:p w14:paraId="5BB94838">
            <w:pPr>
              <w:adjustRightInd/>
              <w:snapToGrid/>
              <w:spacing w:after="0" w:line="220" w:lineRule="atLeast"/>
              <w:jc w:val="center"/>
              <w:rPr>
                <w:rFonts w:ascii="微软雅黑" w:hAnsi="微软雅黑"/>
                <w:bCs/>
                <w:color w:val="0000FF"/>
                <w:kern w:val="2"/>
                <w:sz w:val="2"/>
                <w:szCs w:val="2"/>
                <w:highlight w:val="none"/>
                <w:u w:val="single"/>
              </w:rPr>
            </w:pPr>
            <w:r>
              <w:rPr>
                <w:rFonts w:hint="eastAsia" w:ascii="微软雅黑" w:hAnsi="微软雅黑" w:cs="微软雅黑"/>
                <w:bCs/>
                <w:color w:val="0000FF"/>
                <w:kern w:val="2"/>
                <w:sz w:val="18"/>
                <w:szCs w:val="18"/>
                <w:highlight w:val="none"/>
                <w:u w:val="single"/>
              </w:rPr>
              <w:t>曲美替尼（C）</w:t>
            </w:r>
          </w:p>
          <w:p w14:paraId="669360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rPr>
            </w:pPr>
            <w:r>
              <w:rPr>
                <w:rFonts w:hint="eastAsia" w:ascii="微软雅黑" w:hAnsi="微软雅黑" w:cs="微软雅黑"/>
                <w:bCs/>
                <w:color w:val="0000FF"/>
                <w:kern w:val="2"/>
                <w:sz w:val="18"/>
                <w:szCs w:val="18"/>
                <w:highlight w:val="none"/>
                <w:u w:val="single"/>
              </w:rPr>
              <w:t>贝美替尼（C）</w:t>
            </w:r>
          </w:p>
          <w:p w14:paraId="6E499EAA">
            <w:pPr>
              <w:numPr>
                <w:ilvl w:val="255"/>
                <w:numId w:val="0"/>
              </w:numPr>
              <w:spacing w:after="0" w:line="220" w:lineRule="atLeast"/>
              <w:jc w:val="center"/>
              <w:rPr>
                <w:rFonts w:ascii="微软雅黑" w:hAnsi="微软雅黑" w:cs="微软雅黑"/>
                <w:color w:val="0000FF"/>
                <w:kern w:val="2"/>
                <w:sz w:val="18"/>
                <w:szCs w:val="18"/>
                <w:highlight w:val="none"/>
                <w:u w:val="single"/>
              </w:rPr>
            </w:pPr>
            <w:r>
              <w:rPr>
                <w:rFonts w:hint="eastAsia" w:ascii="微软雅黑" w:hAnsi="微软雅黑" w:cs="微软雅黑"/>
                <w:bCs/>
                <w:color w:val="0000FF"/>
                <w:kern w:val="2"/>
                <w:sz w:val="18"/>
                <w:szCs w:val="18"/>
                <w:highlight w:val="none"/>
                <w:u w:val="single"/>
              </w:rPr>
              <w:t>贝美替尼+阿培利司（C）</w:t>
            </w:r>
          </w:p>
          <w:p w14:paraId="17AB8431">
            <w:pPr>
              <w:numPr>
                <w:ilvl w:val="255"/>
                <w:numId w:val="0"/>
              </w:numPr>
              <w:spacing w:after="0" w:line="220" w:lineRule="atLeast"/>
              <w:jc w:val="center"/>
              <w:rPr>
                <w:rFonts w:ascii="微软雅黑" w:hAnsi="微软雅黑" w:cs="微软雅黑"/>
                <w:color w:val="0000FF"/>
                <w:kern w:val="2"/>
                <w:sz w:val="18"/>
                <w:szCs w:val="18"/>
                <w:highlight w:val="none"/>
                <w:u w:val="single"/>
              </w:rPr>
            </w:pPr>
            <w:r>
              <w:rPr>
                <w:rFonts w:hint="eastAsia" w:ascii="微软雅黑" w:hAnsi="微软雅黑" w:cs="微软雅黑"/>
                <w:bCs/>
                <w:color w:val="0000FF"/>
                <w:kern w:val="2"/>
                <w:sz w:val="18"/>
                <w:szCs w:val="18"/>
                <w:highlight w:val="none"/>
                <w:u w:val="single"/>
              </w:rPr>
              <w:t>贝美替尼+厄洛替尼（C）</w:t>
            </w:r>
          </w:p>
          <w:p w14:paraId="141BA20D">
            <w:pPr>
              <w:numPr>
                <w:ilvl w:val="255"/>
                <w:numId w:val="0"/>
              </w:numPr>
              <w:spacing w:after="0" w:line="220" w:lineRule="atLeast"/>
              <w:jc w:val="center"/>
              <w:rPr>
                <w:rFonts w:ascii="微软雅黑" w:hAnsi="微软雅黑" w:cs="微软雅黑"/>
                <w:color w:val="0000FF"/>
                <w:kern w:val="2"/>
                <w:sz w:val="18"/>
                <w:szCs w:val="18"/>
                <w:highlight w:val="none"/>
                <w:u w:val="single"/>
              </w:rPr>
            </w:pPr>
            <w:r>
              <w:rPr>
                <w:rFonts w:hint="eastAsia" w:ascii="微软雅黑" w:hAnsi="微软雅黑" w:cs="微软雅黑"/>
                <w:bCs/>
                <w:color w:val="0000FF"/>
                <w:kern w:val="2"/>
                <w:sz w:val="18"/>
                <w:szCs w:val="18"/>
                <w:highlight w:val="none"/>
                <w:u w:val="single"/>
              </w:rPr>
              <w:t>安卓健（C）</w:t>
            </w:r>
          </w:p>
          <w:p w14:paraId="77A731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曲美替尼</w:t>
            </w:r>
            <w:r>
              <w:rPr>
                <w:rFonts w:hint="default" w:ascii="微软雅黑" w:hAnsi="微软雅黑" w:cs="微软雅黑"/>
                <w:b w:val="0"/>
                <w:bCs/>
                <w:color w:val="0000FF"/>
                <w:kern w:val="2"/>
                <w:sz w:val="18"/>
                <w:szCs w:val="18"/>
                <w:highlight w:val="none"/>
                <w:u w:val="single"/>
                <w:vertAlign w:val="baseline"/>
                <w:lang w:val="en-US" w:eastAsia="zh-CN" w:bidi="ar-SA"/>
              </w:rPr>
              <w:t>+</w:t>
            </w:r>
            <w:r>
              <w:rPr>
                <w:rFonts w:hint="eastAsia" w:ascii="微软雅黑" w:hAnsi="微软雅黑" w:cs="微软雅黑"/>
                <w:b w:val="0"/>
                <w:bCs/>
                <w:color w:val="0000FF"/>
                <w:kern w:val="2"/>
                <w:sz w:val="18"/>
                <w:szCs w:val="18"/>
                <w:highlight w:val="none"/>
                <w:u w:val="single"/>
                <w:vertAlign w:val="baseline"/>
                <w:lang w:val="en-US" w:eastAsia="zh-CN" w:bidi="ar-SA"/>
              </w:rPr>
              <w:t>Navitoclax（C）</w:t>
            </w:r>
          </w:p>
          <w:p w14:paraId="45C553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帕尼单抗+曲美替尼（C）</w:t>
            </w:r>
          </w:p>
          <w:p w14:paraId="04F11A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cs="微软雅黑"/>
                <w:b w:val="0"/>
                <w:bCs/>
                <w:color w:val="0000FF"/>
                <w:kern w:val="2"/>
                <w:sz w:val="18"/>
                <w:szCs w:val="18"/>
                <w:highlight w:val="none"/>
                <w:u w:val="single"/>
                <w:vertAlign w:val="baseline"/>
                <w:lang w:val="en-US" w:eastAsia="zh-CN" w:bidi="ar-SA"/>
              </w:rPr>
            </w:pPr>
            <w:r>
              <w:rPr>
                <w:rFonts w:hint="default" w:ascii="微软雅黑" w:hAnsi="微软雅黑" w:cs="微软雅黑"/>
                <w:b w:val="0"/>
                <w:bCs/>
                <w:color w:val="0000FF"/>
                <w:kern w:val="2"/>
                <w:sz w:val="18"/>
                <w:szCs w:val="18"/>
                <w:highlight w:val="none"/>
                <w:u w:val="single"/>
                <w:vertAlign w:val="baseline"/>
                <w:lang w:val="en-US" w:eastAsia="zh-CN" w:bidi="ar-SA"/>
              </w:rPr>
              <w:t>贝美替尼+</w:t>
            </w:r>
            <w:r>
              <w:rPr>
                <w:rFonts w:hint="eastAsia" w:ascii="微软雅黑" w:hAnsi="微软雅黑" w:cs="微软雅黑"/>
                <w:b w:val="0"/>
                <w:bCs/>
                <w:color w:val="0000FF"/>
                <w:kern w:val="2"/>
                <w:sz w:val="18"/>
                <w:szCs w:val="18"/>
                <w:highlight w:val="none"/>
                <w:u w:val="single"/>
                <w:vertAlign w:val="baseline"/>
                <w:lang w:val="en-US" w:eastAsia="zh-CN" w:bidi="ar-SA"/>
              </w:rPr>
              <w:t>哌柏西利（C）</w:t>
            </w:r>
          </w:p>
          <w:p w14:paraId="65D611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BI 1701963（C）</w:t>
            </w:r>
          </w:p>
          <w:p w14:paraId="191A7D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BI 1701963+曲美替</w:t>
            </w:r>
            <w:r>
              <w:rPr>
                <w:rFonts w:hint="eastAsia" w:ascii="微软雅黑" w:hAnsi="微软雅黑" w:cs="Times New Roman"/>
                <w:b w:val="0"/>
                <w:bCs/>
                <w:color w:val="0000FF"/>
                <w:kern w:val="2"/>
                <w:sz w:val="18"/>
                <w:szCs w:val="18"/>
                <w:highlight w:val="none"/>
                <w:u w:val="single"/>
                <w:lang w:val="en-US" w:eastAsia="zh-CN" w:bidi="ar"/>
              </w:rPr>
              <w:t>尼</w:t>
            </w:r>
            <w:r>
              <w:rPr>
                <w:rFonts w:hint="eastAsia" w:ascii="微软雅黑" w:hAnsi="微软雅黑" w:cs="微软雅黑"/>
                <w:bCs/>
                <w:color w:val="0000FF"/>
                <w:kern w:val="2"/>
                <w:sz w:val="18"/>
                <w:szCs w:val="18"/>
                <w:highlight w:val="none"/>
                <w:u w:val="single"/>
                <w:lang w:val="en-US" w:eastAsia="zh-CN"/>
              </w:rPr>
              <w:t>（C）</w:t>
            </w:r>
          </w:p>
          <w:p w14:paraId="67C876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rPr>
              <w:t>PD0325901+</w:t>
            </w:r>
            <w:r>
              <w:rPr>
                <w:rFonts w:hint="eastAsia" w:ascii="微软雅黑" w:hAnsi="微软雅黑" w:cs="微软雅黑"/>
                <w:b w:val="0"/>
                <w:bCs/>
                <w:color w:val="0000FF"/>
                <w:kern w:val="2"/>
                <w:sz w:val="18"/>
                <w:szCs w:val="18"/>
                <w:highlight w:val="none"/>
                <w:u w:val="single"/>
                <w:lang w:val="en-US" w:eastAsia="zh-CN"/>
              </w:rPr>
              <w:t>哌柏西利</w:t>
            </w:r>
            <w:r>
              <w:rPr>
                <w:rFonts w:hint="eastAsia" w:ascii="微软雅黑" w:hAnsi="微软雅黑" w:cs="微软雅黑"/>
                <w:bCs/>
                <w:color w:val="0000FF"/>
                <w:kern w:val="2"/>
                <w:sz w:val="18"/>
                <w:szCs w:val="18"/>
                <w:highlight w:val="none"/>
                <w:u w:val="single"/>
                <w:lang w:val="en-US" w:eastAsia="zh-CN"/>
              </w:rPr>
              <w:t>（C）</w:t>
            </w:r>
          </w:p>
          <w:p w14:paraId="5047A8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default" w:ascii="微软雅黑" w:hAnsi="微软雅黑" w:cs="微软雅黑"/>
                <w:bCs/>
                <w:color w:val="0000FF"/>
                <w:kern w:val="2"/>
                <w:sz w:val="18"/>
                <w:szCs w:val="18"/>
                <w:u w:val="single"/>
                <w:lang w:val="en-US" w:eastAsia="zh-CN"/>
              </w:rPr>
              <w:t>奈拉替尼+曲美替尼</w:t>
            </w:r>
            <w:r>
              <w:rPr>
                <w:rFonts w:hint="eastAsia" w:ascii="微软雅黑" w:hAnsi="微软雅黑" w:cs="微软雅黑"/>
                <w:bCs/>
                <w:color w:val="0000FF"/>
                <w:kern w:val="2"/>
                <w:sz w:val="18"/>
                <w:szCs w:val="18"/>
                <w:u w:val="single"/>
                <w:lang w:val="en-US" w:eastAsia="zh-CN"/>
              </w:rPr>
              <w:t>（C）</w:t>
            </w:r>
          </w:p>
          <w:p w14:paraId="52788A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default" w:ascii="微软雅黑" w:hAnsi="微软雅黑" w:cs="微软雅黑"/>
                <w:bCs/>
                <w:color w:val="0000FF"/>
                <w:kern w:val="2"/>
                <w:sz w:val="18"/>
                <w:szCs w:val="18"/>
                <w:u w:val="single"/>
                <w:lang w:val="en-US" w:eastAsia="zh-CN"/>
              </w:rPr>
              <w:t>福巴替尼+</w:t>
            </w:r>
            <w:r>
              <w:rPr>
                <w:rFonts w:hint="eastAsia" w:ascii="微软雅黑" w:hAnsi="微软雅黑" w:cs="微软雅黑"/>
                <w:bCs/>
                <w:color w:val="0000FF"/>
                <w:kern w:val="2"/>
                <w:sz w:val="18"/>
                <w:szCs w:val="18"/>
                <w:u w:val="single"/>
                <w:lang w:val="en-US" w:eastAsia="zh-CN"/>
              </w:rPr>
              <w:t>贝美替尼（C）</w:t>
            </w:r>
          </w:p>
          <w:p w14:paraId="15372FA3">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度伐利尤单抗+曲美木单抗+司美替尼（C）</w:t>
            </w:r>
          </w:p>
          <w:p w14:paraId="20CB17AC">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fldChar w:fldCharType="begin"/>
            </w:r>
            <w:r>
              <w:rPr>
                <w:rFonts w:hint="eastAsia" w:ascii="微软雅黑" w:hAnsi="微软雅黑" w:cs="微软雅黑"/>
                <w:bCs/>
                <w:color w:val="0000FF"/>
                <w:kern w:val="2"/>
                <w:sz w:val="18"/>
                <w:szCs w:val="18"/>
                <w:highlight w:val="none"/>
                <w:u w:val="single"/>
                <w:lang w:val="en-US" w:eastAsia="zh-CN"/>
              </w:rPr>
              <w:instrText xml:space="preserve"> HYPERLINK \l "重要基因变异及潜在靶向药物信息" </w:instrText>
            </w:r>
            <w:r>
              <w:rPr>
                <w:rFonts w:hint="eastAsia" w:ascii="微软雅黑" w:hAnsi="微软雅黑" w:cs="微软雅黑"/>
                <w:bCs/>
                <w:color w:val="0000FF"/>
                <w:kern w:val="2"/>
                <w:sz w:val="18"/>
                <w:szCs w:val="18"/>
                <w:highlight w:val="none"/>
                <w:u w:val="single"/>
                <w:lang w:val="en-US" w:eastAsia="zh-CN"/>
              </w:rPr>
              <w:fldChar w:fldCharType="separate"/>
            </w:r>
            <w:r>
              <w:rPr>
                <w:rFonts w:hint="eastAsia" w:ascii="微软雅黑" w:hAnsi="微软雅黑" w:cs="微软雅黑"/>
                <w:bCs/>
                <w:color w:val="0000FF"/>
                <w:kern w:val="2"/>
                <w:sz w:val="18"/>
                <w:szCs w:val="18"/>
                <w:highlight w:val="none"/>
                <w:u w:val="single"/>
                <w:lang w:val="en-US" w:eastAsia="zh-CN"/>
              </w:rPr>
              <w:t>Defactinib+Avutometinib（C）</w:t>
            </w:r>
          </w:p>
          <w:p w14:paraId="12D403D9">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依维莫司+Avutometinib（C）</w:t>
            </w:r>
          </w:p>
          <w:p w14:paraId="0DA60024">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fldChar w:fldCharType="end"/>
            </w:r>
            <w:r>
              <w:rPr>
                <w:rFonts w:hint="eastAsia" w:ascii="微软雅黑" w:hAnsi="微软雅黑" w:cs="微软雅黑"/>
                <w:bCs/>
                <w:color w:val="0000FF"/>
                <w:kern w:val="2"/>
                <w:sz w:val="18"/>
                <w:szCs w:val="18"/>
                <w:highlight w:val="none"/>
                <w:u w:val="single"/>
                <w:lang w:val="en-US" w:eastAsia="zh-CN"/>
              </w:rPr>
              <w:t>索托拉西布+阿法替尼（C）</w:t>
            </w:r>
          </w:p>
          <w:p w14:paraId="66ED12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索托拉西布+曲美替尼（C）</w:t>
            </w:r>
          </w:p>
          <w:p w14:paraId="76D66D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索托拉西布+RMC4630（C）</w:t>
            </w:r>
          </w:p>
          <w:p w14:paraId="0EDED9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索托拉西布+BBP398（C）</w:t>
            </w:r>
          </w:p>
          <w:p w14:paraId="1DC2C1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BBP398+纳武利尤单抗（C）</w:t>
            </w:r>
          </w:p>
          <w:p w14:paraId="035C69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戈来雷塞（C）</w:t>
            </w:r>
          </w:p>
          <w:p w14:paraId="333C1C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戈来雷塞+JAB3312（C）</w:t>
            </w:r>
          </w:p>
          <w:p w14:paraId="35F347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JDQ443（C）</w:t>
            </w:r>
          </w:p>
          <w:p w14:paraId="5C1343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GDC6036（C）</w:t>
            </w:r>
          </w:p>
          <w:p w14:paraId="1CB7FE4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GH35（C）</w:t>
            </w:r>
          </w:p>
          <w:p w14:paraId="4159A2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RMC-6236（C）</w:t>
            </w:r>
          </w:p>
          <w:p w14:paraId="5FD627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JMKX1899（C）</w:t>
            </w:r>
          </w:p>
          <w:p w14:paraId="5422A4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BEBT-607（C）</w:t>
            </w:r>
          </w:p>
          <w:p w14:paraId="2B5260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LY3537982（C）</w:t>
            </w:r>
          </w:p>
          <w:p w14:paraId="11D362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ascii="微软雅黑" w:hAnsi="微软雅黑"/>
                <w:bCs/>
                <w:color w:val="0000FF"/>
                <w:kern w:val="2"/>
                <w:sz w:val="2"/>
                <w:szCs w:val="2"/>
                <w:u w:val="single"/>
              </w:rPr>
            </w:pPr>
            <w:r>
              <w:rPr>
                <w:rFonts w:hint="eastAsia" w:ascii="微软雅黑" w:hAnsi="微软雅黑" w:eastAsia="微软雅黑" w:cs="微软雅黑"/>
                <w:b w:val="0"/>
                <w:bCs/>
                <w:color w:val="0000FF"/>
                <w:kern w:val="2"/>
                <w:sz w:val="18"/>
                <w:szCs w:val="18"/>
                <w:highlight w:val="none"/>
                <w:u w:val="single"/>
                <w:lang w:val="en-US" w:eastAsia="zh-CN"/>
              </w:rPr>
              <w:fldChar w:fldCharType="begin"/>
            </w:r>
            <w:r>
              <w:rPr>
                <w:rFonts w:hint="eastAsia" w:ascii="微软雅黑" w:hAnsi="微软雅黑" w:eastAsia="微软雅黑" w:cs="微软雅黑"/>
                <w:b w:val="0"/>
                <w:bCs/>
                <w:color w:val="0000FF"/>
                <w:kern w:val="2"/>
                <w:sz w:val="18"/>
                <w:szCs w:val="18"/>
                <w:highlight w:val="none"/>
                <w:u w:val="single"/>
                <w:lang w:val="en-US" w:eastAsia="zh-CN"/>
              </w:rPr>
              <w:instrText xml:space="preserve"> HYPERLINK \l "司美替尼dhx" </w:instrText>
            </w:r>
            <w:r>
              <w:rPr>
                <w:rFonts w:hint="eastAsia" w:ascii="微软雅黑" w:hAnsi="微软雅黑" w:eastAsia="微软雅黑" w:cs="微软雅黑"/>
                <w:b w:val="0"/>
                <w:bCs/>
                <w:color w:val="0000FF"/>
                <w:kern w:val="2"/>
                <w:sz w:val="18"/>
                <w:szCs w:val="18"/>
                <w:highlight w:val="none"/>
                <w:u w:val="single"/>
                <w:lang w:val="en-US" w:eastAsia="zh-CN"/>
              </w:rPr>
              <w:fldChar w:fldCharType="separate"/>
            </w:r>
            <w:r>
              <w:rPr>
                <w:rStyle w:val="23"/>
                <w:rFonts w:hint="eastAsia" w:ascii="微软雅黑" w:hAnsi="微软雅黑" w:eastAsia="微软雅黑" w:cs="微软雅黑"/>
                <w:b w:val="0"/>
                <w:bCs/>
                <w:color w:val="0000FF"/>
                <w:kern w:val="2"/>
                <w:sz w:val="18"/>
                <w:szCs w:val="18"/>
                <w:highlight w:val="none"/>
                <w:lang w:val="en-US" w:eastAsia="zh-CN"/>
              </w:rPr>
              <w:t>PD0325901</w:t>
            </w:r>
            <w:r>
              <w:rPr>
                <w:rFonts w:hint="eastAsia" w:ascii="微软雅黑" w:hAnsi="微软雅黑" w:eastAsia="微软雅黑" w:cs="微软雅黑"/>
                <w:b w:val="0"/>
                <w:bCs/>
                <w:color w:val="0000FF"/>
                <w:kern w:val="2"/>
                <w:sz w:val="18"/>
                <w:szCs w:val="18"/>
                <w:highlight w:val="none"/>
                <w:u w:val="single"/>
                <w:lang w:val="en-US" w:eastAsia="zh-CN"/>
              </w:rPr>
              <w:fldChar w:fldCharType="end"/>
            </w:r>
            <w:r>
              <w:rPr>
                <w:rFonts w:hint="eastAsia" w:ascii="微软雅黑" w:hAnsi="微软雅黑" w:cs="微软雅黑"/>
                <w:bCs/>
                <w:color w:val="0000FF"/>
                <w:kern w:val="2"/>
                <w:sz w:val="18"/>
                <w:szCs w:val="18"/>
                <w:highlight w:val="none"/>
                <w:u w:val="single"/>
                <w:lang w:val="en-US" w:eastAsia="zh-CN"/>
              </w:rPr>
              <w:t>（D）</w:t>
            </w:r>
          </w:p>
        </w:tc>
        <w:tc>
          <w:tcPr>
            <w:tcW w:w="1837" w:type="dxa"/>
            <w:vAlign w:val="center"/>
          </w:tcPr>
          <w:p w14:paraId="7D8067E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（A）</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p>
          <w:p w14:paraId="4C71110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帕尼单抗</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Style w:val="23"/>
                <w:rFonts w:hint="eastAsia" w:ascii="微软雅黑" w:hAnsi="微软雅黑" w:cs="微软雅黑"/>
                <w:b w:val="0"/>
                <w:bCs/>
                <w:color w:val="0000FF"/>
                <w:kern w:val="2"/>
                <w:sz w:val="18"/>
                <w:szCs w:val="18"/>
                <w:highlight w:val="none"/>
                <w:vertAlign w:val="baseline"/>
                <w:lang w:val="en-US" w:eastAsia="zh-CN" w:bidi="ar-SA"/>
              </w:rPr>
              <w:t>（A）</w:t>
            </w:r>
          </w:p>
          <w:p w14:paraId="220547C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ascii="微软雅黑" w:hAnsi="微软雅黑"/>
                <w:bCs/>
                <w:color w:val="0000FF"/>
                <w:kern w:val="2"/>
                <w:sz w:val="2"/>
                <w:szCs w:val="2"/>
                <w:u w:val="single"/>
              </w:rPr>
            </w:pP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依维莫司</w:t>
            </w:r>
            <w:r>
              <w:rPr>
                <w:rStyle w:val="23"/>
                <w:rFonts w:hint="eastAsia" w:ascii="微软雅黑" w:hAnsi="微软雅黑" w:cs="微软雅黑"/>
                <w:b w:val="0"/>
                <w:bCs/>
                <w:color w:val="0000FF"/>
                <w:kern w:val="2"/>
                <w:sz w:val="18"/>
                <w:szCs w:val="18"/>
                <w:highlight w:val="none"/>
                <w:vertAlign w:val="baseline"/>
                <w:lang w:val="en-US" w:eastAsia="zh-CN" w:bidi="ar-SA"/>
              </w:rPr>
              <w:t>（C）</w:t>
            </w:r>
          </w:p>
        </w:tc>
      </w:tr>
      <w:tr w14:paraId="542D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05DDB33F">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BRCA1</w:t>
            </w:r>
          </w:p>
        </w:tc>
        <w:tc>
          <w:tcPr>
            <w:tcW w:w="1758" w:type="dxa"/>
            <w:vAlign w:val="center"/>
          </w:tcPr>
          <w:p w14:paraId="1107DC0C">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c.505C&gt;T,</w:t>
            </w:r>
          </w:p>
          <w:p w14:paraId="64511C10">
            <w:pPr>
              <w:spacing w:after="0" w:line="220" w:lineRule="atLeast"/>
              <w:jc w:val="center"/>
              <w:rPr>
                <w:rFonts w:ascii="微软雅黑" w:hAnsi="微软雅黑" w:cs="微软雅黑"/>
                <w:bCs/>
                <w:kern w:val="2"/>
                <w:sz w:val="18"/>
                <w:szCs w:val="18"/>
                <w:lang w:bidi="ar"/>
              </w:rPr>
            </w:pPr>
            <w:r>
              <w:rPr>
                <w:rFonts w:hint="eastAsia" w:ascii="微软雅黑" w:hAnsi="微软雅黑" w:cs="微软雅黑"/>
                <w:bCs/>
                <w:kern w:val="2"/>
                <w:sz w:val="18"/>
                <w:szCs w:val="18"/>
              </w:rPr>
              <w:t>p.Q169*</w:t>
            </w:r>
          </w:p>
        </w:tc>
        <w:tc>
          <w:tcPr>
            <w:tcW w:w="3530" w:type="dxa"/>
            <w:vAlign w:val="center"/>
          </w:tcPr>
          <w:p w14:paraId="343D9241">
            <w:pPr>
              <w:keepNext w:val="0"/>
              <w:keepLines w:val="0"/>
              <w:widowControl/>
              <w:suppressLineNumbers w:val="0"/>
              <w:spacing w:before="0" w:beforeAutospacing="0" w:after="0" w:afterAutospacing="0" w:line="240" w:lineRule="atLeast"/>
              <w:ind w:left="0" w:right="0"/>
              <w:jc w:val="center"/>
              <w:rPr>
                <w:rFonts w:ascii="微软雅黑" w:hAnsi="微软雅黑" w:cs="Times New Roman"/>
                <w:bCs/>
                <w:color w:val="0000FF"/>
                <w:kern w:val="2"/>
                <w:sz w:val="2"/>
                <w:szCs w:val="2"/>
                <w:u w:val="single"/>
              </w:rPr>
            </w:pPr>
            <w:r>
              <w:rPr>
                <w:rFonts w:hint="eastAsia" w:ascii="微软雅黑" w:hAnsi="微软雅黑"/>
                <w:bCs/>
                <w:color w:val="0000FF"/>
                <w:kern w:val="2"/>
                <w:sz w:val="18"/>
                <w:szCs w:val="18"/>
                <w:u w:val="single"/>
              </w:rPr>
              <w:t>奥拉帕利（C）</w:t>
            </w:r>
          </w:p>
          <w:p w14:paraId="155BAD7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芦卡帕利（C）</w:t>
            </w:r>
          </w:p>
          <w:p w14:paraId="7FDCE2F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尼拉帕利（C）</w:t>
            </w:r>
          </w:p>
          <w:p w14:paraId="64B1AEF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他拉唑帕利（C）</w:t>
            </w:r>
          </w:p>
          <w:p w14:paraId="18D8D43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氟唑帕利（C）</w:t>
            </w:r>
          </w:p>
          <w:p w14:paraId="2743859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帕米帕利（C）</w:t>
            </w:r>
          </w:p>
          <w:p w14:paraId="7358E59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阿维鲁单抗+他拉唑帕利（C）</w:t>
            </w:r>
          </w:p>
          <w:p w14:paraId="52D2F67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LY2606368（C）</w:t>
            </w:r>
          </w:p>
          <w:p w14:paraId="138BFE1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盐酸可泮利塞+奥拉帕利+度伐利尤单抗（C）</w:t>
            </w:r>
          </w:p>
          <w:p w14:paraId="12AD018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奥拉帕利+帕博利珠单抗（C）</w:t>
            </w:r>
          </w:p>
          <w:p w14:paraId="2A79B67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SRA737（C）</w:t>
            </w:r>
          </w:p>
          <w:p w14:paraId="7E50883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他拉唑帕利+阿替利珠单抗（C）</w:t>
            </w:r>
          </w:p>
          <w:p w14:paraId="5BC7B8A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芦卡帕利+阿替利珠单抗（C）</w:t>
            </w:r>
          </w:p>
          <w:p w14:paraId="074869D2">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bCs/>
                <w:color w:val="0000FF"/>
                <w:kern w:val="2"/>
                <w:sz w:val="18"/>
                <w:szCs w:val="18"/>
                <w:u w:val="single"/>
              </w:rPr>
              <w:t>帕米帕利+替雷利珠单抗（C）</w:t>
            </w:r>
          </w:p>
        </w:tc>
        <w:tc>
          <w:tcPr>
            <w:tcW w:w="1837" w:type="dxa"/>
            <w:vAlign w:val="center"/>
          </w:tcPr>
          <w:p w14:paraId="7C957286">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rPr>
              <w:t>--</w:t>
            </w:r>
          </w:p>
        </w:tc>
      </w:tr>
      <w:tr w14:paraId="7D5E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37BF140B">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TP53</w:t>
            </w:r>
          </w:p>
        </w:tc>
        <w:tc>
          <w:tcPr>
            <w:tcW w:w="1758" w:type="dxa"/>
            <w:vAlign w:val="center"/>
          </w:tcPr>
          <w:p w14:paraId="567F9CAF">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c.499C&gt;T,</w:t>
            </w:r>
          </w:p>
          <w:p w14:paraId="111823E6">
            <w:pPr>
              <w:spacing w:after="0" w:line="220" w:lineRule="atLeast"/>
              <w:jc w:val="center"/>
              <w:rPr>
                <w:rFonts w:ascii="微软雅黑" w:hAnsi="微软雅黑" w:cs="微软雅黑"/>
                <w:bCs/>
                <w:kern w:val="2"/>
                <w:sz w:val="18"/>
                <w:szCs w:val="18"/>
                <w:lang w:bidi="ar"/>
              </w:rPr>
            </w:pPr>
            <w:r>
              <w:rPr>
                <w:rFonts w:hint="eastAsia" w:ascii="微软雅黑" w:hAnsi="微软雅黑" w:cs="微软雅黑"/>
                <w:bCs/>
                <w:kern w:val="2"/>
                <w:sz w:val="18"/>
                <w:szCs w:val="18"/>
              </w:rPr>
              <w:t>p.Q167*</w:t>
            </w:r>
          </w:p>
        </w:tc>
        <w:tc>
          <w:tcPr>
            <w:tcW w:w="3530" w:type="dxa"/>
            <w:vAlign w:val="center"/>
          </w:tcPr>
          <w:p w14:paraId="48A4F617">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highlight w:val="none"/>
                <w:u w:val="single"/>
                <w:lang w:val="en-US" w:eastAsia="zh-CN"/>
              </w:rPr>
              <w:t>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AZD1775+奥拉帕利（C）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Eprenetapopt（C）</w:t>
            </w:r>
          </w:p>
        </w:tc>
        <w:tc>
          <w:tcPr>
            <w:tcW w:w="1837" w:type="dxa"/>
            <w:vAlign w:val="center"/>
          </w:tcPr>
          <w:p w14:paraId="218D7815">
            <w:pPr>
              <w:keepNext w:val="0"/>
              <w:keepLines w:val="0"/>
              <w:widowControl/>
              <w:suppressLineNumbers w:val="0"/>
              <w:spacing w:before="0" w:beforeAutospacing="0" w:after="0" w:afterAutospacing="0"/>
              <w:ind w:left="0" w:leftChars="0" w:right="0" w:rightChars="0"/>
              <w:jc w:val="center"/>
              <w:outlineLvl w:val="9"/>
              <w:rPr>
                <w:rFonts w:ascii="微软雅黑" w:hAnsi="微软雅黑"/>
                <w:bCs/>
                <w:color w:val="0000FF"/>
                <w:kern w:val="2"/>
                <w:sz w:val="2"/>
                <w:szCs w:val="2"/>
                <w:u w:val="single"/>
              </w:rPr>
            </w:pPr>
            <w:r>
              <w:rPr>
                <w:rFonts w:hint="eastAsia" w:ascii="微软雅黑" w:hAnsi="微软雅黑" w:eastAsia="微软雅黑" w:cs="微软雅黑"/>
                <w:bCs/>
                <w:color w:val="auto"/>
                <w:kern w:val="2"/>
                <w:sz w:val="18"/>
                <w:szCs w:val="18"/>
                <w:lang w:val="en-US" w:eastAsia="zh-CN"/>
              </w:rPr>
              <w:t>--</w:t>
            </w:r>
          </w:p>
        </w:tc>
      </w:tr>
      <w:tr w14:paraId="6A47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70" w:type="dxa"/>
            <w:vAlign w:val="center"/>
          </w:tcPr>
          <w:p w14:paraId="2BFBCD51">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FLT3</w:t>
            </w:r>
          </w:p>
        </w:tc>
        <w:tc>
          <w:tcPr>
            <w:tcW w:w="1758" w:type="dxa"/>
            <w:vAlign w:val="center"/>
          </w:tcPr>
          <w:p w14:paraId="304E296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c.2537G&gt;A,</w:t>
            </w:r>
          </w:p>
          <w:p w14:paraId="4F7E4919">
            <w:pPr>
              <w:spacing w:after="0" w:line="220" w:lineRule="atLeast"/>
              <w:jc w:val="center"/>
              <w:rPr>
                <w:rFonts w:ascii="微软雅黑" w:hAnsi="微软雅黑" w:cs="微软雅黑"/>
                <w:bCs/>
                <w:kern w:val="2"/>
                <w:sz w:val="18"/>
                <w:szCs w:val="18"/>
                <w:lang w:bidi="ar"/>
              </w:rPr>
            </w:pPr>
            <w:r>
              <w:rPr>
                <w:rFonts w:hint="eastAsia" w:ascii="微软雅黑" w:hAnsi="微软雅黑" w:cs="微软雅黑"/>
                <w:bCs/>
                <w:kern w:val="2"/>
                <w:sz w:val="18"/>
                <w:szCs w:val="18"/>
              </w:rPr>
              <w:t>p.G846D</w:t>
            </w:r>
          </w:p>
        </w:tc>
        <w:tc>
          <w:tcPr>
            <w:tcW w:w="3530" w:type="dxa"/>
            <w:vAlign w:val="center"/>
          </w:tcPr>
          <w:p w14:paraId="508B96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rPr>
              <w:t>瑞戈非尼（C）</w:t>
            </w:r>
          </w:p>
          <w:p w14:paraId="447090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rPr>
              <w:fldChar w:fldCharType="begin"/>
            </w:r>
            <w:r>
              <w:rPr>
                <w:rFonts w:hint="eastAsia" w:ascii="微软雅黑" w:hAnsi="微软雅黑" w:eastAsia="微软雅黑" w:cs="微软雅黑"/>
                <w:b w:val="0"/>
                <w:bCs/>
                <w:color w:val="0000FF"/>
                <w:kern w:val="2"/>
                <w:sz w:val="18"/>
                <w:szCs w:val="18"/>
                <w:highlight w:val="none"/>
                <w:u w:val="single"/>
                <w:lang w:val="en-US" w:eastAsia="zh-CN"/>
              </w:rPr>
              <w:instrText xml:space="preserve"> HYPERLINK \l "索拉菲尼（Sorafenib）叶10" </w:instrText>
            </w:r>
            <w:r>
              <w:rPr>
                <w:rFonts w:hint="eastAsia" w:ascii="微软雅黑" w:hAnsi="微软雅黑" w:eastAsia="微软雅黑" w:cs="微软雅黑"/>
                <w:b w:val="0"/>
                <w:bCs/>
                <w:color w:val="0000FF"/>
                <w:kern w:val="2"/>
                <w:sz w:val="18"/>
                <w:szCs w:val="18"/>
                <w:highlight w:val="none"/>
                <w:u w:val="single"/>
                <w:lang w:val="en-US" w:eastAsia="zh-CN"/>
              </w:rPr>
              <w:fldChar w:fldCharType="separate"/>
            </w:r>
            <w:r>
              <w:rPr>
                <w:rFonts w:hint="eastAsia" w:ascii="微软雅黑" w:hAnsi="微软雅黑" w:eastAsia="微软雅黑" w:cs="微软雅黑"/>
                <w:b w:val="0"/>
                <w:bCs/>
                <w:color w:val="0000FF"/>
                <w:kern w:val="2"/>
                <w:sz w:val="18"/>
                <w:szCs w:val="18"/>
                <w:highlight w:val="none"/>
                <w:u w:val="single"/>
                <w:lang w:val="en-US" w:eastAsia="zh-CN"/>
              </w:rPr>
              <w:t>索拉非尼（C）</w:t>
            </w:r>
            <w:r>
              <w:rPr>
                <w:rFonts w:hint="eastAsia" w:ascii="微软雅黑" w:hAnsi="微软雅黑" w:eastAsia="微软雅黑" w:cs="微软雅黑"/>
                <w:b w:val="0"/>
                <w:bCs/>
                <w:color w:val="0000FF"/>
                <w:kern w:val="2"/>
                <w:sz w:val="18"/>
                <w:szCs w:val="18"/>
                <w:highlight w:val="none"/>
                <w:u w:val="single"/>
                <w:lang w:val="en-US" w:eastAsia="zh-CN"/>
              </w:rPr>
              <w:fldChar w:fldCharType="end"/>
            </w:r>
          </w:p>
          <w:p w14:paraId="53A298F9">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eastAsia="微软雅黑" w:cs="微软雅黑"/>
                <w:b w:val="0"/>
                <w:bCs/>
                <w:color w:val="0000FF"/>
                <w:kern w:val="2"/>
                <w:sz w:val="18"/>
                <w:szCs w:val="18"/>
                <w:highlight w:val="none"/>
                <w:u w:val="single"/>
                <w:lang w:val="en-US" w:eastAsia="zh-CN"/>
              </w:rPr>
              <w:fldChar w:fldCharType="begin"/>
            </w:r>
            <w:r>
              <w:rPr>
                <w:rFonts w:hint="eastAsia" w:ascii="微软雅黑" w:hAnsi="微软雅黑" w:eastAsia="微软雅黑" w:cs="微软雅黑"/>
                <w:b w:val="0"/>
                <w:bCs/>
                <w:color w:val="0000FF"/>
                <w:kern w:val="2"/>
                <w:sz w:val="18"/>
                <w:szCs w:val="18"/>
                <w:highlight w:val="none"/>
                <w:u w:val="single"/>
                <w:lang w:val="en-US" w:eastAsia="zh-CN"/>
              </w:rPr>
              <w:instrText xml:space="preserve"> HYPERLINK \l "舒尼替尼（Sunitinib）叶11" </w:instrText>
            </w:r>
            <w:r>
              <w:rPr>
                <w:rFonts w:hint="eastAsia" w:ascii="微软雅黑" w:hAnsi="微软雅黑" w:eastAsia="微软雅黑" w:cs="微软雅黑"/>
                <w:b w:val="0"/>
                <w:bCs/>
                <w:color w:val="0000FF"/>
                <w:kern w:val="2"/>
                <w:sz w:val="18"/>
                <w:szCs w:val="18"/>
                <w:highlight w:val="none"/>
                <w:u w:val="single"/>
                <w:lang w:val="en-US" w:eastAsia="zh-CN"/>
              </w:rPr>
              <w:fldChar w:fldCharType="separate"/>
            </w:r>
            <w:r>
              <w:rPr>
                <w:rFonts w:hint="eastAsia" w:ascii="微软雅黑" w:hAnsi="微软雅黑" w:eastAsia="微软雅黑" w:cs="微软雅黑"/>
                <w:b w:val="0"/>
                <w:bCs/>
                <w:color w:val="0000FF"/>
                <w:kern w:val="2"/>
                <w:sz w:val="18"/>
                <w:szCs w:val="18"/>
                <w:highlight w:val="none"/>
                <w:u w:val="single"/>
                <w:lang w:val="en-US" w:eastAsia="zh-CN"/>
              </w:rPr>
              <w:t>舒尼替尼</w:t>
            </w:r>
            <w:r>
              <w:rPr>
                <w:rFonts w:hint="eastAsia" w:ascii="微软雅黑" w:hAnsi="微软雅黑" w:eastAsia="微软雅黑" w:cs="微软雅黑"/>
                <w:b w:val="0"/>
                <w:bCs/>
                <w:color w:val="0000FF"/>
                <w:kern w:val="2"/>
                <w:sz w:val="18"/>
                <w:szCs w:val="18"/>
                <w:highlight w:val="none"/>
                <w:u w:val="single"/>
                <w:lang w:val="en-US" w:eastAsia="zh-CN"/>
              </w:rPr>
              <w:fldChar w:fldCharType="end"/>
            </w:r>
            <w:r>
              <w:rPr>
                <w:rFonts w:hint="eastAsia" w:ascii="微软雅黑" w:hAnsi="微软雅黑" w:eastAsia="微软雅黑" w:cs="微软雅黑"/>
                <w:b w:val="0"/>
                <w:bCs/>
                <w:color w:val="0000FF"/>
                <w:kern w:val="2"/>
                <w:sz w:val="18"/>
                <w:szCs w:val="18"/>
                <w:highlight w:val="none"/>
                <w:u w:val="single"/>
                <w:lang w:val="en-US" w:eastAsia="zh-CN"/>
              </w:rPr>
              <w:t>（C）</w:t>
            </w:r>
          </w:p>
        </w:tc>
        <w:tc>
          <w:tcPr>
            <w:tcW w:w="1837" w:type="dxa"/>
            <w:vAlign w:val="center"/>
          </w:tcPr>
          <w:p w14:paraId="6E6329FB">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rPr>
              <w:t>--</w:t>
            </w:r>
          </w:p>
        </w:tc>
      </w:tr>
      <w:tr w14:paraId="4DB6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5BEEA8E6">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PMS2</w:t>
            </w:r>
          </w:p>
        </w:tc>
        <w:tc>
          <w:tcPr>
            <w:tcW w:w="1758" w:type="dxa"/>
            <w:vAlign w:val="center"/>
          </w:tcPr>
          <w:p w14:paraId="53D8F781">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c.1273del,</w:t>
            </w:r>
          </w:p>
          <w:p w14:paraId="0B3954D7">
            <w:pPr>
              <w:spacing w:after="0" w:line="220" w:lineRule="atLeast"/>
              <w:jc w:val="center"/>
              <w:rPr>
                <w:rFonts w:ascii="微软雅黑" w:hAnsi="微软雅黑" w:cs="微软雅黑"/>
                <w:bCs/>
                <w:kern w:val="2"/>
                <w:sz w:val="18"/>
                <w:szCs w:val="18"/>
                <w:lang w:bidi="ar"/>
              </w:rPr>
            </w:pPr>
            <w:r>
              <w:rPr>
                <w:rFonts w:hint="eastAsia" w:ascii="微软雅黑" w:hAnsi="微软雅黑" w:cs="微软雅黑"/>
                <w:bCs/>
                <w:kern w:val="2"/>
                <w:sz w:val="18"/>
                <w:szCs w:val="18"/>
              </w:rPr>
              <w:t>p.S425Lfs*23</w:t>
            </w:r>
          </w:p>
        </w:tc>
        <w:tc>
          <w:tcPr>
            <w:tcW w:w="3530" w:type="dxa"/>
            <w:vAlign w:val="center"/>
          </w:tcPr>
          <w:p w14:paraId="1C2B05F1">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t>奥拉帕利（C）</w:t>
            </w:r>
          </w:p>
        </w:tc>
        <w:tc>
          <w:tcPr>
            <w:tcW w:w="1837" w:type="dxa"/>
            <w:vAlign w:val="center"/>
          </w:tcPr>
          <w:p w14:paraId="57CEC19B">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rPr>
              <w:t>--</w:t>
            </w:r>
          </w:p>
        </w:tc>
      </w:tr>
      <w:tr w14:paraId="4200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04EE1810">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ATR</w:t>
            </w:r>
          </w:p>
        </w:tc>
        <w:tc>
          <w:tcPr>
            <w:tcW w:w="1758" w:type="dxa"/>
            <w:vAlign w:val="center"/>
          </w:tcPr>
          <w:p w14:paraId="1DFB2FB9">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c.1291del,</w:t>
            </w:r>
          </w:p>
          <w:p w14:paraId="519B1EB8">
            <w:pPr>
              <w:spacing w:after="0" w:line="220" w:lineRule="atLeast"/>
              <w:jc w:val="center"/>
              <w:rPr>
                <w:rFonts w:ascii="微软雅黑" w:hAnsi="微软雅黑" w:cs="微软雅黑"/>
                <w:bCs/>
                <w:kern w:val="2"/>
                <w:sz w:val="18"/>
                <w:szCs w:val="18"/>
                <w:lang w:bidi="ar"/>
              </w:rPr>
            </w:pPr>
            <w:r>
              <w:rPr>
                <w:rFonts w:hint="eastAsia" w:ascii="微软雅黑" w:hAnsi="微软雅黑" w:cs="微软雅黑"/>
                <w:bCs/>
                <w:kern w:val="2"/>
                <w:sz w:val="18"/>
                <w:szCs w:val="18"/>
              </w:rPr>
              <w:t>p.R431Gfs*8</w:t>
            </w:r>
          </w:p>
        </w:tc>
        <w:tc>
          <w:tcPr>
            <w:tcW w:w="3530" w:type="dxa"/>
            <w:vAlign w:val="center"/>
          </w:tcPr>
          <w:p w14:paraId="22BCDF86">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t>奥拉帕利（C）</w:t>
            </w:r>
          </w:p>
          <w:p w14:paraId="7917786A">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尼拉帕利（C）</w:t>
            </w:r>
          </w:p>
          <w:p w14:paraId="16BCD737">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他拉唑帕利（C）</w:t>
            </w:r>
          </w:p>
          <w:p w14:paraId="2DC91DA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LY2606368（C）</w:t>
            </w:r>
          </w:p>
          <w:p w14:paraId="247B422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SRA737（C）</w:t>
            </w:r>
          </w:p>
          <w:p w14:paraId="3906E8B6">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奥拉帕利+帕博利珠单抗（C）</w:t>
            </w:r>
          </w:p>
          <w:p w14:paraId="439A0444">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他拉唑帕利+阿替利珠单抗（C）</w:t>
            </w:r>
          </w:p>
          <w:p w14:paraId="76D7927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芦卡帕利（D）</w:t>
            </w:r>
          </w:p>
        </w:tc>
        <w:tc>
          <w:tcPr>
            <w:tcW w:w="1837" w:type="dxa"/>
            <w:vAlign w:val="center"/>
          </w:tcPr>
          <w:p w14:paraId="7F339C49">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kern w:val="2"/>
                <w:sz w:val="18"/>
                <w:szCs w:val="18"/>
              </w:rPr>
              <w:t>--</w:t>
            </w:r>
          </w:p>
        </w:tc>
      </w:tr>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sz w:val="18"/>
          <w:szCs w:val="18"/>
          <w:lang w:val="en-US" w:eastAsia="zh-CN"/>
        </w:rPr>
        <w:t>11</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sz w:val="18"/>
          <w:szCs w:val="18"/>
          <w:lang w:val="en-US" w:eastAsia="zh-CN"/>
        </w:rPr>
        <w:t>7</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p>
    <w:p w14:paraId="6B693942">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r>
        <w:rPr>
          <w:rFonts w:hint="eastAsia" w:ascii="微软雅黑" w:hAnsi="微软雅黑"/>
          <w:b/>
          <w:bCs/>
          <w:sz w:val="16"/>
          <w:szCs w:val="21"/>
        </w:rPr>
        <w:t>依维莫司[飞尼妥]</w:t>
      </w:r>
      <w:r>
        <w:rPr>
          <w:rFonts w:hint="eastAsia" w:ascii="微软雅黑" w:hAnsi="微软雅黑"/>
          <w:b/>
          <w:bCs/>
          <w:sz w:val="16"/>
          <w:szCs w:val="21"/>
          <w:lang w:eastAsia="zh-CN"/>
        </w:rPr>
        <w:t>、</w:t>
      </w:r>
      <w:r>
        <w:rPr>
          <w:rFonts w:hint="eastAsia" w:ascii="微软雅黑" w:hAnsi="微软雅黑"/>
          <w:b/>
          <w:bCs/>
          <w:sz w:val="16"/>
          <w:szCs w:val="21"/>
        </w:rPr>
        <w:t>司美替尼[科赛优]</w:t>
      </w:r>
      <w:r>
        <w:rPr>
          <w:rFonts w:hint="eastAsia" w:ascii="微软雅黑" w:hAnsi="微软雅黑"/>
          <w:b/>
          <w:bCs/>
          <w:sz w:val="16"/>
          <w:szCs w:val="21"/>
          <w:lang w:eastAsia="zh-CN"/>
        </w:rPr>
        <w:t>、</w:t>
      </w:r>
      <w:r>
        <w:rPr>
          <w:rFonts w:hint="eastAsia" w:ascii="微软雅黑" w:hAnsi="微软雅黑"/>
          <w:b/>
          <w:bCs/>
          <w:sz w:val="16"/>
          <w:szCs w:val="21"/>
        </w:rPr>
        <w:t>度伐利尤单抗[英飞凡]</w:t>
      </w:r>
      <w:r>
        <w:rPr>
          <w:rFonts w:hint="eastAsia" w:ascii="微软雅黑" w:hAnsi="微软雅黑"/>
          <w:b/>
          <w:bCs/>
          <w:sz w:val="16"/>
          <w:szCs w:val="21"/>
          <w:lang w:eastAsia="zh-CN"/>
        </w:rPr>
        <w:t>、</w:t>
      </w:r>
      <w:r>
        <w:rPr>
          <w:rFonts w:hint="eastAsia" w:ascii="微软雅黑" w:hAnsi="微软雅黑"/>
          <w:b/>
          <w:bCs/>
          <w:sz w:val="16"/>
          <w:szCs w:val="21"/>
        </w:rPr>
        <w:t>西罗莫司[赛莫司]</w:t>
      </w:r>
      <w:r>
        <w:rPr>
          <w:rFonts w:hint="eastAsia" w:ascii="微软雅黑" w:hAnsi="微软雅黑"/>
          <w:b/>
          <w:bCs/>
          <w:sz w:val="16"/>
          <w:szCs w:val="21"/>
          <w:lang w:eastAsia="zh-CN"/>
        </w:rPr>
        <w:t>、</w:t>
      </w:r>
      <w:r>
        <w:rPr>
          <w:rFonts w:hint="eastAsia" w:ascii="微软雅黑" w:hAnsi="微软雅黑"/>
          <w:b/>
          <w:bCs/>
          <w:sz w:val="16"/>
          <w:szCs w:val="21"/>
        </w:rPr>
        <w:t>替西罗莫司[TORISEL]</w:t>
      </w:r>
      <w:r>
        <w:rPr>
          <w:rFonts w:hint="eastAsia" w:ascii="微软雅黑" w:hAnsi="微软雅黑"/>
          <w:b/>
          <w:bCs/>
          <w:sz w:val="16"/>
          <w:szCs w:val="21"/>
          <w:lang w:eastAsia="zh-CN"/>
        </w:rPr>
        <w:t>、</w:t>
      </w:r>
      <w:r>
        <w:rPr>
          <w:rFonts w:hint="eastAsia" w:ascii="微软雅黑" w:hAnsi="微软雅黑"/>
          <w:b/>
          <w:bCs/>
          <w:sz w:val="16"/>
          <w:szCs w:val="21"/>
        </w:rPr>
        <w:t>阿培利司[PIQRAY]</w:t>
      </w:r>
      <w:r>
        <w:rPr>
          <w:rFonts w:hint="eastAsia" w:ascii="微软雅黑" w:hAnsi="微软雅黑"/>
          <w:b/>
          <w:bCs/>
          <w:sz w:val="16"/>
          <w:szCs w:val="21"/>
          <w:lang w:eastAsia="zh-CN"/>
        </w:rPr>
        <w:t>、</w:t>
      </w:r>
      <w:r>
        <w:rPr>
          <w:rFonts w:hint="eastAsia" w:ascii="微软雅黑" w:hAnsi="微软雅黑"/>
          <w:b/>
          <w:bCs/>
          <w:sz w:val="16"/>
          <w:szCs w:val="21"/>
        </w:rPr>
        <w:t>盐酸可泮利塞[奥罗巴]</w:t>
      </w:r>
      <w:r>
        <w:rPr>
          <w:rFonts w:hint="eastAsia" w:ascii="微软雅黑" w:hAnsi="微软雅黑"/>
          <w:b/>
          <w:bCs/>
          <w:sz w:val="16"/>
          <w:szCs w:val="21"/>
          <w:lang w:eastAsia="zh-CN"/>
        </w:rPr>
        <w:t>、</w:t>
      </w:r>
      <w:r>
        <w:rPr>
          <w:rFonts w:hint="eastAsia" w:ascii="微软雅黑" w:hAnsi="微软雅黑"/>
          <w:b/>
          <w:bCs/>
          <w:sz w:val="16"/>
          <w:szCs w:val="21"/>
        </w:rPr>
        <w:t>培唑帕尼[维全特]</w:t>
      </w:r>
      <w:r>
        <w:rPr>
          <w:rFonts w:hint="eastAsia" w:ascii="微软雅黑" w:hAnsi="微软雅黑"/>
          <w:b/>
          <w:bCs/>
          <w:sz w:val="16"/>
          <w:szCs w:val="21"/>
          <w:lang w:eastAsia="zh-CN"/>
        </w:rPr>
        <w:t>、</w:t>
      </w:r>
      <w:r>
        <w:rPr>
          <w:rFonts w:hint="eastAsia" w:ascii="微软雅黑" w:hAnsi="微软雅黑"/>
          <w:b/>
          <w:bCs/>
          <w:sz w:val="16"/>
          <w:szCs w:val="21"/>
        </w:rPr>
        <w:t>卡匹色替[荃科得]</w:t>
      </w:r>
      <w:r>
        <w:rPr>
          <w:rFonts w:hint="eastAsia" w:ascii="微软雅黑" w:hAnsi="微软雅黑"/>
          <w:b/>
          <w:bCs/>
          <w:sz w:val="16"/>
          <w:szCs w:val="21"/>
          <w:lang w:eastAsia="zh-CN"/>
        </w:rPr>
        <w:t>、</w:t>
      </w:r>
      <w:r>
        <w:rPr>
          <w:rFonts w:hint="eastAsia" w:ascii="微软雅黑" w:hAnsi="微软雅黑"/>
          <w:b/>
          <w:bCs/>
          <w:sz w:val="16"/>
          <w:szCs w:val="21"/>
        </w:rPr>
        <w:t>伊那利塞[伊赫莱]</w:t>
      </w:r>
      <w:r>
        <w:rPr>
          <w:rFonts w:hint="eastAsia" w:ascii="微软雅黑" w:hAnsi="微软雅黑"/>
          <w:b/>
          <w:bCs/>
          <w:sz w:val="16"/>
          <w:szCs w:val="21"/>
          <w:lang w:eastAsia="zh-CN"/>
        </w:rPr>
        <w:t>、</w:t>
      </w:r>
      <w:r>
        <w:rPr>
          <w:rFonts w:hint="eastAsia" w:ascii="微软雅黑" w:hAnsi="微软雅黑"/>
          <w:b/>
          <w:bCs/>
          <w:sz w:val="16"/>
          <w:szCs w:val="21"/>
        </w:rPr>
        <w:t>索托拉西布[LUMAKRAS]</w:t>
      </w:r>
      <w:r>
        <w:rPr>
          <w:rFonts w:hint="eastAsia" w:ascii="微软雅黑" w:hAnsi="微软雅黑"/>
          <w:b/>
          <w:bCs/>
          <w:sz w:val="16"/>
          <w:szCs w:val="21"/>
          <w:lang w:eastAsia="zh-CN"/>
        </w:rPr>
        <w:t>、</w:t>
      </w:r>
      <w:r>
        <w:rPr>
          <w:rFonts w:hint="eastAsia" w:ascii="微软雅黑" w:hAnsi="微软雅黑"/>
          <w:b/>
          <w:bCs/>
          <w:sz w:val="16"/>
          <w:szCs w:val="21"/>
        </w:rPr>
        <w:t>阿达格拉西布[KRAZATI]</w:t>
      </w:r>
      <w:r>
        <w:rPr>
          <w:rFonts w:hint="eastAsia" w:ascii="微软雅黑" w:hAnsi="微软雅黑"/>
          <w:b/>
          <w:bCs/>
          <w:sz w:val="16"/>
          <w:szCs w:val="21"/>
          <w:lang w:eastAsia="zh-CN"/>
        </w:rPr>
        <w:t>、</w:t>
      </w:r>
      <w:r>
        <w:rPr>
          <w:rFonts w:hint="eastAsia" w:ascii="微软雅黑" w:hAnsi="微软雅黑"/>
          <w:b/>
          <w:bCs/>
          <w:sz w:val="16"/>
          <w:szCs w:val="21"/>
        </w:rPr>
        <w:t>氟泽雷塞[达伯特]</w:t>
      </w:r>
      <w:r>
        <w:rPr>
          <w:rFonts w:hint="eastAsia" w:ascii="微软雅黑" w:hAnsi="微软雅黑"/>
          <w:b/>
          <w:bCs/>
          <w:sz w:val="16"/>
          <w:szCs w:val="21"/>
          <w:lang w:eastAsia="zh-CN"/>
        </w:rPr>
        <w:t>、</w:t>
      </w:r>
      <w:r>
        <w:rPr>
          <w:rFonts w:hint="eastAsia" w:ascii="微软雅黑" w:hAnsi="微软雅黑"/>
          <w:b/>
          <w:bCs/>
          <w:sz w:val="16"/>
          <w:szCs w:val="21"/>
        </w:rPr>
        <w:t>格索雷塞[格舒瑞昔]</w:t>
      </w:r>
      <w:r>
        <w:rPr>
          <w:rFonts w:hint="eastAsia" w:ascii="微软雅黑" w:hAnsi="微软雅黑"/>
          <w:b/>
          <w:bCs/>
          <w:sz w:val="16"/>
          <w:szCs w:val="21"/>
          <w:lang w:eastAsia="zh-CN"/>
        </w:rPr>
        <w:t>、</w:t>
      </w:r>
      <w:r>
        <w:rPr>
          <w:rFonts w:hint="eastAsia" w:ascii="微软雅黑" w:hAnsi="微软雅黑"/>
          <w:b/>
          <w:bCs/>
          <w:sz w:val="16"/>
          <w:szCs w:val="21"/>
        </w:rPr>
        <w:t>曲美替尼[迈吉宁]</w:t>
      </w:r>
      <w:r>
        <w:rPr>
          <w:rFonts w:hint="eastAsia" w:ascii="微软雅黑" w:hAnsi="微软雅黑"/>
          <w:b/>
          <w:bCs/>
          <w:sz w:val="16"/>
          <w:szCs w:val="21"/>
          <w:lang w:eastAsia="zh-CN"/>
        </w:rPr>
        <w:t>、</w:t>
      </w:r>
      <w:r>
        <w:rPr>
          <w:rFonts w:hint="eastAsia" w:ascii="微软雅黑" w:hAnsi="微软雅黑"/>
          <w:b/>
          <w:bCs/>
          <w:sz w:val="16"/>
          <w:szCs w:val="21"/>
        </w:rPr>
        <w:t>贝美替尼[MEKTOVI]</w:t>
      </w:r>
      <w:r>
        <w:rPr>
          <w:rFonts w:hint="eastAsia" w:ascii="微软雅黑" w:hAnsi="微软雅黑"/>
          <w:b/>
          <w:bCs/>
          <w:sz w:val="16"/>
          <w:szCs w:val="21"/>
          <w:lang w:eastAsia="zh-CN"/>
        </w:rPr>
        <w:t>、</w:t>
      </w:r>
      <w:r>
        <w:rPr>
          <w:rFonts w:hint="eastAsia" w:ascii="微软雅黑" w:hAnsi="微软雅黑"/>
          <w:b/>
          <w:bCs/>
          <w:sz w:val="16"/>
          <w:szCs w:val="21"/>
        </w:rPr>
        <w:t>帕尼单抗[维克替比]</w:t>
      </w:r>
      <w:r>
        <w:rPr>
          <w:rFonts w:hint="eastAsia" w:ascii="微软雅黑" w:hAnsi="微软雅黑"/>
          <w:b/>
          <w:bCs/>
          <w:sz w:val="16"/>
          <w:szCs w:val="21"/>
          <w:lang w:eastAsia="zh-CN"/>
        </w:rPr>
        <w:t>、</w:t>
      </w:r>
      <w:r>
        <w:rPr>
          <w:rFonts w:hint="eastAsia" w:ascii="微软雅黑" w:hAnsi="微软雅黑"/>
          <w:b/>
          <w:bCs/>
          <w:sz w:val="16"/>
          <w:szCs w:val="21"/>
        </w:rPr>
        <w:t>奈拉替尼[贺俪安]</w:t>
      </w:r>
      <w:r>
        <w:rPr>
          <w:rFonts w:hint="eastAsia" w:ascii="微软雅黑" w:hAnsi="微软雅黑"/>
          <w:b/>
          <w:bCs/>
          <w:sz w:val="16"/>
          <w:szCs w:val="21"/>
          <w:lang w:eastAsia="zh-CN"/>
        </w:rPr>
        <w:t>、</w:t>
      </w:r>
      <w:r>
        <w:rPr>
          <w:rFonts w:hint="eastAsia" w:ascii="微软雅黑" w:hAnsi="微软雅黑"/>
          <w:b/>
          <w:bCs/>
          <w:sz w:val="16"/>
          <w:szCs w:val="21"/>
        </w:rPr>
        <w:t>福巴替尼[LYTGOBI]</w:t>
      </w:r>
      <w:r>
        <w:rPr>
          <w:rFonts w:hint="eastAsia" w:ascii="微软雅黑" w:hAnsi="微软雅黑"/>
          <w:b/>
          <w:bCs/>
          <w:sz w:val="16"/>
          <w:szCs w:val="21"/>
          <w:lang w:eastAsia="zh-CN"/>
        </w:rPr>
        <w:t>、</w:t>
      </w:r>
      <w:r>
        <w:rPr>
          <w:rFonts w:hint="eastAsia" w:ascii="微软雅黑" w:hAnsi="微软雅黑"/>
          <w:b/>
          <w:bCs/>
          <w:sz w:val="16"/>
          <w:szCs w:val="21"/>
        </w:rPr>
        <w:t>Defactinib[FAKZYNJA]</w:t>
      </w:r>
      <w:r>
        <w:rPr>
          <w:rFonts w:hint="eastAsia" w:ascii="微软雅黑" w:hAnsi="微软雅黑"/>
          <w:b/>
          <w:bCs/>
          <w:sz w:val="16"/>
          <w:szCs w:val="21"/>
          <w:lang w:eastAsia="zh-CN"/>
        </w:rPr>
        <w:t>、</w:t>
      </w:r>
      <w:r>
        <w:rPr>
          <w:rFonts w:hint="eastAsia" w:ascii="微软雅黑" w:hAnsi="微软雅黑"/>
          <w:b/>
          <w:bCs/>
          <w:sz w:val="16"/>
          <w:szCs w:val="21"/>
        </w:rPr>
        <w:t>戈来雷塞[艾瑞凯]</w:t>
      </w:r>
      <w:r>
        <w:rPr>
          <w:rFonts w:hint="eastAsia" w:ascii="微软雅黑" w:hAnsi="微软雅黑"/>
          <w:b/>
          <w:bCs/>
          <w:sz w:val="16"/>
          <w:szCs w:val="21"/>
          <w:lang w:eastAsia="zh-CN"/>
        </w:rPr>
        <w:t>、</w:t>
      </w:r>
      <w:r>
        <w:rPr>
          <w:rFonts w:hint="eastAsia" w:ascii="微软雅黑" w:hAnsi="微软雅黑"/>
          <w:b/>
          <w:bCs/>
          <w:sz w:val="16"/>
          <w:szCs w:val="21"/>
        </w:rPr>
        <w:t>奥拉帕利[利普卓]</w:t>
      </w:r>
      <w:r>
        <w:rPr>
          <w:rFonts w:hint="eastAsia" w:ascii="微软雅黑" w:hAnsi="微软雅黑"/>
          <w:b/>
          <w:bCs/>
          <w:sz w:val="16"/>
          <w:szCs w:val="21"/>
          <w:lang w:eastAsia="zh-CN"/>
        </w:rPr>
        <w:t>、</w:t>
      </w:r>
      <w:r>
        <w:rPr>
          <w:rFonts w:hint="eastAsia" w:ascii="微软雅黑" w:hAnsi="微软雅黑"/>
          <w:b/>
          <w:bCs/>
          <w:sz w:val="16"/>
          <w:szCs w:val="21"/>
        </w:rPr>
        <w:t>芦卡帕利[RUBRACA]</w:t>
      </w:r>
      <w:r>
        <w:rPr>
          <w:rFonts w:hint="eastAsia" w:ascii="微软雅黑" w:hAnsi="微软雅黑"/>
          <w:b/>
          <w:bCs/>
          <w:sz w:val="16"/>
          <w:szCs w:val="21"/>
          <w:lang w:eastAsia="zh-CN"/>
        </w:rPr>
        <w:t>、</w:t>
      </w:r>
      <w:r>
        <w:rPr>
          <w:rFonts w:hint="eastAsia" w:ascii="微软雅黑" w:hAnsi="微软雅黑"/>
          <w:b/>
          <w:bCs/>
          <w:sz w:val="16"/>
          <w:szCs w:val="21"/>
        </w:rPr>
        <w:t>尼拉帕利[则乐]</w:t>
      </w:r>
      <w:r>
        <w:rPr>
          <w:rFonts w:hint="eastAsia" w:ascii="微软雅黑" w:hAnsi="微软雅黑"/>
          <w:b/>
          <w:bCs/>
          <w:sz w:val="16"/>
          <w:szCs w:val="21"/>
          <w:lang w:eastAsia="zh-CN"/>
        </w:rPr>
        <w:t>、</w:t>
      </w:r>
      <w:r>
        <w:rPr>
          <w:rFonts w:hint="eastAsia" w:ascii="微软雅黑" w:hAnsi="微软雅黑"/>
          <w:b/>
          <w:bCs/>
          <w:sz w:val="16"/>
          <w:szCs w:val="21"/>
        </w:rPr>
        <w:t>他拉唑帕利[泰泽纳]</w:t>
      </w:r>
      <w:r>
        <w:rPr>
          <w:rFonts w:hint="eastAsia" w:ascii="微软雅黑" w:hAnsi="微软雅黑"/>
          <w:b/>
          <w:bCs/>
          <w:sz w:val="16"/>
          <w:szCs w:val="21"/>
          <w:lang w:eastAsia="zh-CN"/>
        </w:rPr>
        <w:t>、</w:t>
      </w:r>
      <w:r>
        <w:rPr>
          <w:rFonts w:hint="eastAsia" w:ascii="微软雅黑" w:hAnsi="微软雅黑"/>
          <w:b/>
          <w:bCs/>
          <w:sz w:val="16"/>
          <w:szCs w:val="21"/>
        </w:rPr>
        <w:t>氟唑帕利[艾瑞颐]</w:t>
      </w:r>
      <w:r>
        <w:rPr>
          <w:rFonts w:hint="eastAsia" w:ascii="微软雅黑" w:hAnsi="微软雅黑"/>
          <w:b/>
          <w:bCs/>
          <w:sz w:val="16"/>
          <w:szCs w:val="21"/>
          <w:lang w:eastAsia="zh-CN"/>
        </w:rPr>
        <w:t>、</w:t>
      </w:r>
      <w:r>
        <w:rPr>
          <w:rFonts w:hint="eastAsia" w:ascii="微软雅黑" w:hAnsi="微软雅黑"/>
          <w:b/>
          <w:bCs/>
          <w:sz w:val="16"/>
          <w:szCs w:val="21"/>
        </w:rPr>
        <w:t>帕米帕利[百汇泽]</w:t>
      </w:r>
      <w:r>
        <w:rPr>
          <w:rFonts w:hint="eastAsia" w:ascii="微软雅黑" w:hAnsi="微软雅黑"/>
          <w:b/>
          <w:bCs/>
          <w:sz w:val="16"/>
          <w:szCs w:val="21"/>
          <w:lang w:eastAsia="zh-CN"/>
        </w:rPr>
        <w:t>、</w:t>
      </w:r>
      <w:r>
        <w:rPr>
          <w:rFonts w:hint="eastAsia" w:ascii="微软雅黑" w:hAnsi="微软雅黑"/>
          <w:b/>
          <w:bCs/>
          <w:sz w:val="16"/>
          <w:szCs w:val="21"/>
        </w:rPr>
        <w:t>阿维鲁单抗[巴文西亚]</w:t>
      </w:r>
      <w:r>
        <w:rPr>
          <w:rFonts w:hint="eastAsia" w:ascii="微软雅黑" w:hAnsi="微软雅黑"/>
          <w:b/>
          <w:bCs/>
          <w:sz w:val="16"/>
          <w:szCs w:val="21"/>
          <w:lang w:eastAsia="zh-CN"/>
        </w:rPr>
        <w:t>、</w:t>
      </w:r>
      <w:r>
        <w:rPr>
          <w:rFonts w:hint="eastAsia" w:ascii="微软雅黑" w:hAnsi="微软雅黑"/>
          <w:b/>
          <w:bCs/>
          <w:sz w:val="16"/>
          <w:szCs w:val="21"/>
        </w:rPr>
        <w:t>瑞戈非尼[拜万戈]</w:t>
      </w:r>
      <w:r>
        <w:rPr>
          <w:rFonts w:hint="eastAsia" w:ascii="微软雅黑" w:hAnsi="微软雅黑"/>
          <w:b/>
          <w:bCs/>
          <w:sz w:val="16"/>
          <w:szCs w:val="21"/>
          <w:lang w:eastAsia="zh-CN"/>
        </w:rPr>
        <w:t>、</w:t>
      </w:r>
      <w:r>
        <w:rPr>
          <w:rFonts w:hint="eastAsia" w:ascii="微软雅黑" w:hAnsi="微软雅黑"/>
          <w:b/>
          <w:bCs/>
          <w:sz w:val="16"/>
          <w:szCs w:val="21"/>
        </w:rPr>
        <w:t>索拉非尼[多吉美]</w:t>
      </w:r>
      <w:r>
        <w:rPr>
          <w:rFonts w:hint="eastAsia" w:ascii="微软雅黑" w:hAnsi="微软雅黑"/>
          <w:b/>
          <w:bCs/>
          <w:sz w:val="16"/>
          <w:szCs w:val="21"/>
          <w:lang w:eastAsia="zh-CN"/>
        </w:rPr>
        <w:t>、</w:t>
      </w:r>
      <w:r>
        <w:rPr>
          <w:rFonts w:hint="eastAsia" w:ascii="微软雅黑" w:hAnsi="微软雅黑"/>
          <w:b/>
          <w:bCs/>
          <w:sz w:val="16"/>
          <w:szCs w:val="21"/>
        </w:rPr>
        <w:t>舒尼替尼[索坦]</w:t>
      </w:r>
      <w:r>
        <w:rPr>
          <w:rFonts w:hint="eastAsia" w:ascii="微软雅黑" w:hAnsi="微软雅黑"/>
          <w:b/>
          <w:bCs/>
          <w:sz w:val="16"/>
          <w:szCs w:val="21"/>
          <w:lang w:eastAsia="zh-CN"/>
        </w:rPr>
        <w:t>、</w:t>
      </w:r>
      <w:r>
        <w:rPr>
          <w:rFonts w:hint="eastAsia" w:ascii="微软雅黑" w:hAnsi="微软雅黑"/>
          <w:b/>
          <w:bCs/>
          <w:sz w:val="16"/>
          <w:szCs w:val="21"/>
        </w:rPr>
        <w:t>西妥昔单抗[爱必妥]</w:t>
      </w:r>
      <w:r>
        <w:rPr>
          <w:rFonts w:hint="eastAsia" w:ascii="微软雅黑" w:hAnsi="微软雅黑"/>
          <w:b/>
          <w:bCs/>
          <w:sz w:val="16"/>
          <w:szCs w:val="21"/>
          <w:lang w:eastAsia="zh-CN"/>
        </w:rPr>
        <w:t>、</w:t>
      </w:r>
      <w:r>
        <w:rPr>
          <w:rFonts w:hint="eastAsia" w:ascii="微软雅黑" w:hAnsi="微软雅黑"/>
          <w:b/>
          <w:bCs/>
          <w:sz w:val="16"/>
          <w:szCs w:val="21"/>
        </w:rPr>
        <w:t>哌柏西利[爱博新]</w:t>
      </w:r>
      <w:r>
        <w:rPr>
          <w:rFonts w:hint="eastAsia" w:ascii="微软雅黑" w:hAnsi="微软雅黑"/>
          <w:b/>
          <w:bCs/>
          <w:sz w:val="16"/>
          <w:szCs w:val="21"/>
          <w:lang w:eastAsia="zh-CN"/>
        </w:rPr>
        <w:t>、</w:t>
      </w:r>
      <w:r>
        <w:rPr>
          <w:rFonts w:hint="eastAsia" w:ascii="微软雅黑" w:hAnsi="微软雅黑"/>
          <w:b/>
          <w:bCs/>
          <w:sz w:val="16"/>
          <w:szCs w:val="21"/>
        </w:rPr>
        <w:t>厄洛替尼[特罗凯]</w:t>
      </w:r>
      <w:r>
        <w:rPr>
          <w:rFonts w:hint="eastAsia" w:ascii="微软雅黑" w:hAnsi="微软雅黑"/>
          <w:b/>
          <w:bCs/>
          <w:sz w:val="16"/>
          <w:szCs w:val="21"/>
          <w:lang w:eastAsia="zh-CN"/>
        </w:rPr>
        <w:t>、</w:t>
      </w:r>
      <w:r>
        <w:rPr>
          <w:rFonts w:hint="eastAsia" w:ascii="微软雅黑" w:hAnsi="微软雅黑"/>
          <w:b/>
          <w:bCs/>
          <w:sz w:val="16"/>
          <w:szCs w:val="21"/>
        </w:rPr>
        <w:t>曲美木单抗[IMJUDO]</w:t>
      </w:r>
      <w:r>
        <w:rPr>
          <w:rFonts w:hint="eastAsia" w:ascii="微软雅黑" w:hAnsi="微软雅黑"/>
          <w:b/>
          <w:bCs/>
          <w:sz w:val="16"/>
          <w:szCs w:val="21"/>
          <w:lang w:eastAsia="zh-CN"/>
        </w:rPr>
        <w:t>、</w:t>
      </w:r>
      <w:r>
        <w:rPr>
          <w:rFonts w:hint="eastAsia" w:ascii="微软雅黑" w:hAnsi="微软雅黑"/>
          <w:b/>
          <w:bCs/>
          <w:sz w:val="16"/>
          <w:szCs w:val="21"/>
        </w:rPr>
        <w:t>Avutometinib[AVMAPKI]</w:t>
      </w:r>
      <w:r>
        <w:rPr>
          <w:rFonts w:hint="eastAsia" w:ascii="微软雅黑" w:hAnsi="微软雅黑"/>
          <w:b/>
          <w:bCs/>
          <w:sz w:val="16"/>
          <w:szCs w:val="21"/>
          <w:lang w:eastAsia="zh-CN"/>
        </w:rPr>
        <w:t>、</w:t>
      </w:r>
      <w:r>
        <w:rPr>
          <w:rFonts w:hint="eastAsia" w:ascii="微软雅黑" w:hAnsi="微软雅黑"/>
          <w:b/>
          <w:bCs/>
          <w:sz w:val="16"/>
          <w:szCs w:val="21"/>
        </w:rPr>
        <w:t>阿法替尼[吉泰瑞]</w:t>
      </w:r>
      <w:r>
        <w:rPr>
          <w:rFonts w:hint="eastAsia" w:ascii="微软雅黑" w:hAnsi="微软雅黑"/>
          <w:b/>
          <w:bCs/>
          <w:sz w:val="16"/>
          <w:szCs w:val="21"/>
          <w:lang w:eastAsia="zh-CN"/>
        </w:rPr>
        <w:t>、</w:t>
      </w:r>
      <w:r>
        <w:rPr>
          <w:rFonts w:hint="eastAsia" w:ascii="微软雅黑" w:hAnsi="微软雅黑"/>
          <w:b/>
          <w:bCs/>
          <w:sz w:val="16"/>
          <w:szCs w:val="21"/>
        </w:rPr>
        <w:t>纳武利尤单抗[欧狄沃]</w:t>
      </w:r>
      <w:r>
        <w:rPr>
          <w:rFonts w:hint="eastAsia" w:ascii="微软雅黑" w:hAnsi="微软雅黑"/>
          <w:b/>
          <w:bCs/>
          <w:sz w:val="16"/>
          <w:szCs w:val="21"/>
          <w:lang w:eastAsia="zh-CN"/>
        </w:rPr>
        <w:t>、</w:t>
      </w:r>
      <w:r>
        <w:rPr>
          <w:rFonts w:hint="eastAsia" w:ascii="微软雅黑" w:hAnsi="微软雅黑"/>
          <w:b/>
          <w:bCs/>
          <w:sz w:val="16"/>
          <w:szCs w:val="21"/>
        </w:rPr>
        <w:t>帕博利珠单抗[可瑞达]</w:t>
      </w:r>
      <w:r>
        <w:rPr>
          <w:rFonts w:hint="eastAsia" w:ascii="微软雅黑" w:hAnsi="微软雅黑"/>
          <w:b/>
          <w:bCs/>
          <w:sz w:val="16"/>
          <w:szCs w:val="21"/>
          <w:lang w:eastAsia="zh-CN"/>
        </w:rPr>
        <w:t>、</w:t>
      </w:r>
      <w:r>
        <w:rPr>
          <w:rFonts w:hint="eastAsia" w:ascii="微软雅黑" w:hAnsi="微软雅黑"/>
          <w:b/>
          <w:bCs/>
          <w:sz w:val="16"/>
          <w:szCs w:val="21"/>
        </w:rPr>
        <w:t>阿替利珠单抗[泰圣奇]</w:t>
      </w:r>
      <w:r>
        <w:rPr>
          <w:rFonts w:hint="eastAsia" w:ascii="微软雅黑" w:hAnsi="微软雅黑"/>
          <w:b/>
          <w:bCs/>
          <w:sz w:val="16"/>
          <w:szCs w:val="21"/>
          <w:lang w:eastAsia="zh-CN"/>
        </w:rPr>
        <w:t>、</w:t>
      </w:r>
      <w:r>
        <w:rPr>
          <w:rFonts w:hint="eastAsia" w:ascii="微软雅黑" w:hAnsi="微软雅黑"/>
          <w:b/>
          <w:bCs/>
          <w:sz w:val="16"/>
          <w:szCs w:val="21"/>
        </w:rPr>
        <w:t>替雷利珠单抗[百泽安]。</w:t>
      </w:r>
    </w:p>
    <w:p w14:paraId="77FB5E70">
      <w:pPr>
        <w:jc w:val="left"/>
        <w:rPr>
          <w:rFonts w:hint="eastAsia" w:ascii="微软雅黑" w:hAnsi="微软雅黑"/>
          <w:b/>
          <w:bCs/>
          <w:sz w:val="16"/>
          <w:szCs w:val="21"/>
        </w:rPr>
      </w:pPr>
      <w:r>
        <w:rPr>
          <w:rFonts w:hint="eastAsia" w:ascii="微软雅黑" w:hAnsi="微软雅黑"/>
          <w:b/>
          <w:bCs/>
          <w:sz w:val="16"/>
          <w:szCs w:val="21"/>
        </w:rPr>
        <w:br w:type="page"/>
      </w: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3219"/>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1" w:type="dxa"/>
            <w:vAlign w:val="center"/>
          </w:tcPr>
          <w:p w14:paraId="2678CD2B">
            <w:pPr>
              <w:pStyle w:val="53"/>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9" w:type="dxa"/>
            <w:vAlign w:val="center"/>
          </w:tcPr>
          <w:p w14:paraId="7B228BC8">
            <w:pPr>
              <w:pStyle w:val="55"/>
              <w:spacing w:after="0"/>
              <w:ind w:firstLine="0" w:firstLineChars="0"/>
              <w:jc w:val="center"/>
              <w:rPr>
                <w:rFonts w:hint="default" w:ascii="微软雅黑" w:hAnsi="微软雅黑" w:cs="微软雅黑"/>
                <w:kern w:val="2"/>
                <w:sz w:val="18"/>
                <w:szCs w:val="18"/>
                <w:lang w:val="en-US"/>
              </w:rPr>
            </w:pPr>
            <w:r>
              <w:rPr>
                <w:rFonts w:hint="eastAsia" w:ascii="微软雅黑" w:hAnsi="微软雅黑" w:cs="微软雅黑"/>
                <w:kern w:val="2"/>
                <w:sz w:val="18"/>
                <w:szCs w:val="18"/>
                <w:lang w:val="en-US" w:eastAsia="zh-CN"/>
              </w:rPr>
              <w:t>12.9</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H</w:t>
            </w:r>
          </w:p>
          <w:p w14:paraId="022ECF79">
            <w:pPr>
              <w:pStyle w:val="55"/>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高</w:t>
            </w:r>
            <w:r>
              <w:rPr>
                <w:rFonts w:hint="eastAsia" w:ascii="微软雅黑" w:hAnsi="微软雅黑" w:cs="微软雅黑"/>
                <w:kern w:val="2"/>
                <w:sz w:val="18"/>
                <w:szCs w:val="18"/>
              </w:rPr>
              <w:t>于参考值</w:t>
            </w:r>
          </w:p>
          <w:p w14:paraId="63687046">
            <w:pPr>
              <w:pStyle w:val="55"/>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10 mutations/Mb)</w:t>
            </w:r>
          </w:p>
        </w:tc>
        <w:tc>
          <w:tcPr>
            <w:tcW w:w="3971" w:type="dxa"/>
            <w:vAlign w:val="center"/>
          </w:tcPr>
          <w:p w14:paraId="3913828D">
            <w:pPr>
              <w:pStyle w:val="55"/>
              <w:spacing w:after="0"/>
              <w:ind w:firstLine="0" w:firstLineChars="0"/>
              <w:jc w:val="center"/>
              <w:rPr>
                <w:rFonts w:ascii="微软雅黑" w:hAnsi="微软雅黑"/>
                <w:kern w:val="2"/>
                <w:sz w:val="18"/>
                <w:szCs w:val="18"/>
              </w:rPr>
            </w:pPr>
            <w:r>
              <w:rPr>
                <w:rFonts w:hint="eastAsia" w:ascii="微软雅黑" w:hAnsi="微软雅黑"/>
                <w:kern w:val="2"/>
                <w:sz w:val="18"/>
                <w:szCs w:val="18"/>
              </w:rPr>
              <w:t>多项临床研究表明，TMB-H的肿瘤对免疫检查点抑制剂有更强的免疫应答效果</w:t>
            </w:r>
          </w:p>
          <w:p w14:paraId="05925EC1">
            <w:pPr>
              <w:pStyle w:val="55"/>
              <w:spacing w:after="0"/>
              <w:ind w:firstLine="0" w:firstLineChars="0"/>
              <w:jc w:val="center"/>
              <w:rPr>
                <w:rStyle w:val="23"/>
                <w:rFonts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7AB85D5F">
            <w:pPr>
              <w:pStyle w:val="53"/>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9" w:type="dxa"/>
            <w:vAlign w:val="center"/>
          </w:tcPr>
          <w:p w14:paraId="7DAB5B87">
            <w:pPr>
              <w:pStyle w:val="55"/>
              <w:spacing w:after="0"/>
              <w:ind w:firstLine="0" w:firstLineChars="0"/>
              <w:jc w:val="center"/>
              <w:rPr>
                <w:rFonts w:ascii="微软雅黑" w:hAnsi="微软雅黑" w:cs="微软雅黑"/>
                <w:kern w:val="2"/>
                <w:sz w:val="18"/>
                <w:szCs w:val="18"/>
                <w:highlight w:val="yellow"/>
              </w:rPr>
            </w:pPr>
            <w:r>
              <w:rPr>
                <w:rFonts w:hint="eastAsia" w:ascii="微软雅黑" w:hAnsi="微软雅黑" w:cs="微软雅黑"/>
                <w:kern w:val="2"/>
                <w:sz w:val="18"/>
                <w:szCs w:val="18"/>
              </w:rPr>
              <w:t>微卫星稳定型，MSS</w:t>
            </w:r>
          </w:p>
        </w:tc>
        <w:tc>
          <w:tcPr>
            <w:tcW w:w="3971" w:type="dxa"/>
            <w:vAlign w:val="center"/>
          </w:tcPr>
          <w:p w14:paraId="53E0273A">
            <w:pPr>
              <w:pStyle w:val="55"/>
              <w:spacing w:after="0"/>
              <w:ind w:firstLine="0" w:firstLineChars="0"/>
              <w:jc w:val="center"/>
              <w:rPr>
                <w:rFonts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794C1E45">
            <w:pPr>
              <w:adjustRightInd/>
              <w:snapToGrid/>
              <w:spacing w:after="0" w:line="220" w:lineRule="atLeast"/>
              <w:jc w:val="center"/>
              <w:rPr>
                <w:rFonts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p>
        </w:tc>
        <w:tc>
          <w:tcPr>
            <w:tcW w:w="3219" w:type="dxa"/>
            <w:vAlign w:val="center"/>
          </w:tcPr>
          <w:p w14:paraId="3B6FF186">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5</w:t>
            </w:r>
            <w:r>
              <w:rPr>
                <w:rStyle w:val="23"/>
                <w:rFonts w:hint="eastAsia" w:ascii="微软雅黑" w:hAnsi="微软雅黑" w:cs="微软雅黑"/>
                <w:bCs/>
                <w:color w:val="auto"/>
                <w:kern w:val="2"/>
                <w:sz w:val="18"/>
                <w:szCs w:val="18"/>
                <w:u w:val="none"/>
                <w:lang w:bidi="ar"/>
              </w:rPr>
              <w:t>个）</w:t>
            </w:r>
          </w:p>
          <w:p w14:paraId="77047144">
            <w:pPr>
              <w:spacing w:after="0" w:line="220" w:lineRule="atLeast"/>
              <w:jc w:val="center"/>
              <w:rPr>
                <w:rFonts w:hint="eastAsia" w:ascii="微软雅黑" w:hAnsi="微软雅黑" w:cs="微软雅黑"/>
                <w:bCs/>
                <w:kern w:val="2"/>
                <w:sz w:val="18"/>
                <w:szCs w:val="18"/>
                <w:lang w:bidi="ar"/>
              </w:rPr>
            </w:pPr>
            <w:r>
              <w:rPr>
                <w:rFonts w:ascii="微软雅黑" w:hAnsi="微软雅黑" w:cs="微软雅黑"/>
                <w:bCs/>
                <w:kern w:val="2"/>
                <w:sz w:val="18"/>
                <w:szCs w:val="18"/>
                <w:lang w:bidi="ar"/>
              </w:rPr>
              <w:t>KRAS</w:t>
            </w:r>
            <w:r>
              <w:rPr>
                <w:rFonts w:hint="eastAsia" w:ascii="微软雅黑" w:hAnsi="微软雅黑" w:cs="微软雅黑"/>
                <w:bCs/>
                <w:kern w:val="2"/>
                <w:sz w:val="18"/>
                <w:szCs w:val="18"/>
                <w:lang w:bidi="ar"/>
              </w:rPr>
              <w:t>：c.34G&gt;T，p.G12C</w:t>
            </w:r>
          </w:p>
          <w:p w14:paraId="3FA42D09">
            <w:pPr>
              <w:spacing w:after="0" w:line="220" w:lineRule="atLeast"/>
              <w:jc w:val="center"/>
              <w:rPr>
                <w:rFonts w:hint="eastAsia" w:ascii="微软雅黑" w:hAnsi="微软雅黑" w:cs="微软雅黑"/>
                <w:bCs/>
                <w:kern w:val="2"/>
                <w:sz w:val="18"/>
                <w:szCs w:val="18"/>
                <w:lang w:bidi="ar"/>
              </w:rPr>
            </w:pPr>
            <w:r>
              <w:rPr>
                <w:rFonts w:hint="eastAsia" w:ascii="微软雅黑" w:hAnsi="微软雅黑" w:cs="微软雅黑"/>
                <w:bCs/>
                <w:kern w:val="2"/>
                <w:sz w:val="18"/>
                <w:szCs w:val="18"/>
                <w:lang w:bidi="ar"/>
              </w:rPr>
              <w:t>TP53</w:t>
            </w:r>
            <w:r>
              <w:rPr>
                <w:rFonts w:hint="eastAsia" w:ascii="微软雅黑" w:hAnsi="微软雅黑" w:cs="微软雅黑"/>
                <w:bCs/>
                <w:kern w:val="2"/>
                <w:sz w:val="18"/>
                <w:szCs w:val="18"/>
                <w:lang w:eastAsia="zh-CN" w:bidi="ar"/>
              </w:rPr>
              <w:t>：c.499C&gt;T，p.Q167*</w:t>
            </w:r>
          </w:p>
          <w:p w14:paraId="413A45B6">
            <w:pPr>
              <w:spacing w:after="0" w:line="220" w:lineRule="atLeast"/>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BRCA1：c.505C&gt;T，p.Q169*</w:t>
            </w:r>
          </w:p>
          <w:p w14:paraId="3B2316D0">
            <w:pPr>
              <w:spacing w:after="0" w:line="220" w:lineRule="atLeast"/>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PMS2：c.1273del，p.S425Lfs*23</w:t>
            </w:r>
          </w:p>
          <w:p w14:paraId="6AAFB9F1">
            <w:pPr>
              <w:spacing w:after="0" w:line="220" w:lineRule="atLeast"/>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ATR：c.1291del，p.R431Gfs*8</w:t>
            </w:r>
          </w:p>
        </w:tc>
        <w:tc>
          <w:tcPr>
            <w:tcW w:w="3971" w:type="dxa"/>
            <w:vAlign w:val="center"/>
          </w:tcPr>
          <w:p w14:paraId="505ED8B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54B4A072">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9" w:type="dxa"/>
            <w:vAlign w:val="center"/>
          </w:tcPr>
          <w:p w14:paraId="758C3169">
            <w:pPr>
              <w:spacing w:after="0" w:line="220" w:lineRule="atLeast"/>
              <w:jc w:val="center"/>
              <w:rPr>
                <w:rFonts w:hint="eastAsia" w:ascii="微软雅黑" w:hAnsi="微软雅黑" w:cs="微软雅黑"/>
                <w:bCs/>
                <w:kern w:val="2"/>
                <w:sz w:val="18"/>
                <w:szCs w:val="18"/>
                <w:lang w:bidi="ar"/>
              </w:rPr>
            </w:pPr>
            <w:r>
              <w:rPr>
                <w:rFonts w:hint="eastAsia" w:ascii="微软雅黑" w:hAnsi="微软雅黑" w:cs="微软雅黑"/>
                <w:kern w:val="2"/>
                <w:sz w:val="18"/>
                <w:szCs w:val="18"/>
              </w:rPr>
              <w:t>未检出</w:t>
            </w:r>
          </w:p>
        </w:tc>
        <w:tc>
          <w:tcPr>
            <w:tcW w:w="3971" w:type="dxa"/>
            <w:vAlign w:val="center"/>
          </w:tcPr>
          <w:p w14:paraId="56B42F58">
            <w:pPr>
              <w:adjustRightInd/>
              <w:snapToGrid/>
              <w:spacing w:after="0" w:line="220" w:lineRule="atLeast"/>
              <w:jc w:val="center"/>
              <w:rPr>
                <w:rStyle w:val="23"/>
                <w:rFonts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7CC925F0">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9" w:type="dxa"/>
            <w:vAlign w:val="center"/>
          </w:tcPr>
          <w:p w14:paraId="4E2334D2">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1</w:t>
            </w:r>
            <w:r>
              <w:rPr>
                <w:rStyle w:val="23"/>
                <w:rFonts w:hint="eastAsia" w:ascii="微软雅黑" w:hAnsi="微软雅黑" w:cs="微软雅黑"/>
                <w:bCs/>
                <w:color w:val="auto"/>
                <w:kern w:val="2"/>
                <w:sz w:val="18"/>
                <w:szCs w:val="18"/>
                <w:u w:val="none"/>
                <w:lang w:bidi="ar"/>
              </w:rPr>
              <w:t>个）</w:t>
            </w:r>
          </w:p>
          <w:p w14:paraId="06BBC0C6">
            <w:pPr>
              <w:spacing w:after="0" w:line="220" w:lineRule="atLeast"/>
              <w:jc w:val="center"/>
              <w:rPr>
                <w:rFonts w:ascii="微软雅黑" w:hAnsi="微软雅黑" w:cs="微软雅黑"/>
                <w:kern w:val="2"/>
                <w:sz w:val="18"/>
                <w:szCs w:val="18"/>
              </w:rPr>
            </w:pPr>
            <w:r>
              <w:rPr>
                <w:rFonts w:hint="eastAsia" w:ascii="微软雅黑" w:hAnsi="微软雅黑" w:cs="微软雅黑"/>
                <w:bCs/>
                <w:kern w:val="2"/>
                <w:sz w:val="18"/>
                <w:szCs w:val="18"/>
                <w:lang w:bidi="ar"/>
              </w:rPr>
              <w:t>DNMT3A：c.1367del，p.K456Sfs*195</w:t>
            </w:r>
          </w:p>
        </w:tc>
        <w:tc>
          <w:tcPr>
            <w:tcW w:w="3971" w:type="dxa"/>
            <w:vAlign w:val="center"/>
          </w:tcPr>
          <w:p w14:paraId="6041BB87">
            <w:pPr>
              <w:adjustRightInd/>
              <w:snapToGrid/>
              <w:spacing w:after="0" w:line="220" w:lineRule="atLeast"/>
              <w:jc w:val="center"/>
              <w:rPr>
                <w:rStyle w:val="23"/>
                <w:rFonts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r>
        <w:rPr>
          <w:rFonts w:hint="eastAsia" w:ascii="微软雅黑" w:hAnsi="微软雅黑"/>
          <w:sz w:val="18"/>
        </w:rPr>
        <w:t>并且，FDA 已批准帕博利珠单抗用于治疗 TMB-H 的不可切除或转移性的成人和儿童实体瘤。</w:t>
      </w:r>
    </w:p>
    <w:p w14:paraId="0D0F2DB3">
      <w:pPr>
        <w:numPr>
          <w:ilvl w:val="0"/>
          <w:numId w:val="1"/>
        </w:numPr>
        <w:spacing w:after="0"/>
        <w:jc w:val="both"/>
        <w:rPr>
          <w:rFonts w:ascii="微软雅黑" w:hAnsi="微软雅黑"/>
          <w:kern w:val="2"/>
          <w:sz w:val="18"/>
        </w:rPr>
      </w:pPr>
      <w:r>
        <w:rPr>
          <w:rFonts w:hint="eastAsia" w:ascii="微软雅黑" w:hAnsi="微软雅黑"/>
          <w:kern w:val="2"/>
          <w:sz w:val="18"/>
        </w:rPr>
        <w:t>目前已知的免疫治疗生物标志物包括TMB、MSI、PD-L1表达、免疫疗效正相关/负相关/超进展基因等。值得注意的是，TMB、MSI、PD-L1表达预测生物标志物是相对独立的预测指标，对免疫治疗临床获益率的评估具有独立性，建议您结合临床实际情况选择治疗方案。</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4.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bookmarkStart w:id="78" w:name="_Toc2090"/>
      <w:bookmarkStart w:id="79" w:name="_Toc137"/>
    </w:p>
    <w:p w14:paraId="60293507">
      <w:pPr>
        <w:adjustRightInd/>
        <w:snapToGrid/>
        <w:spacing w:after="0" w:line="240" w:lineRule="auto"/>
        <w:outlineLvl w:val="9"/>
        <w:rPr>
          <w:rFonts w:hint="eastAsia" w:ascii="微软雅黑" w:hAnsi="微软雅黑"/>
          <w:b/>
          <w:color w:val="00C4D8"/>
          <w:sz w:val="32"/>
          <w:szCs w:val="32"/>
        </w:rPr>
      </w:pPr>
      <w:bookmarkStart w:id="80"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0"/>
    </w:p>
    <w:p w14:paraId="68EE026B">
      <w:pPr>
        <w:adjustRightInd/>
        <w:snapToGrid/>
        <w:spacing w:before="100" w:after="100" w:line="220" w:lineRule="atLeast"/>
        <w:rPr>
          <w:rFonts w:ascii="微软雅黑" w:hAnsi="微软雅黑"/>
          <w:b/>
          <w:color w:val="00C4D8"/>
          <w:sz w:val="24"/>
          <w:szCs w:val="24"/>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1"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1"/>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2DB5AEE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567B08E4">
            <w:pPr>
              <w:spacing w:after="0"/>
              <w:jc w:val="center"/>
              <w:rPr>
                <w:rFonts w:ascii="微软雅黑" w:hAnsi="微软雅黑" w:cs="微软雅黑"/>
                <w:b/>
                <w:bCs/>
                <w:color w:val="F9FBFA"/>
                <w:kern w:val="2"/>
                <w:sz w:val="18"/>
                <w:szCs w:val="18"/>
              </w:rPr>
            </w:pPr>
            <w:bookmarkStart w:id="82" w:name="_Toc8706"/>
            <w:bookmarkStart w:id="83" w:name="_Toc11391"/>
            <w:bookmarkStart w:id="84" w:name="_Toc25786"/>
            <w:bookmarkStart w:id="85" w:name="重要基因变异及潜在靶向药物信息"/>
            <w:bookmarkStart w:id="86" w:name="_Toc14241"/>
            <w:bookmarkStart w:id="87" w:name="_Toc10150"/>
            <w:bookmarkStart w:id="88" w:name="_Toc19180"/>
            <w:bookmarkStart w:id="89" w:name="_Toc6644"/>
            <w:bookmarkStart w:id="90" w:name="_Toc14818"/>
            <w:bookmarkStart w:id="91" w:name="OLE_LINK3"/>
            <w:bookmarkStart w:id="92" w:name="_Toc5555"/>
            <w:bookmarkStart w:id="93" w:name="_Toc23880"/>
            <w:bookmarkStart w:id="94" w:name="_Toc6770"/>
            <w:bookmarkStart w:id="95" w:name="_Toc26736"/>
            <w:bookmarkStart w:id="96" w:name="_Toc30153"/>
            <w:bookmarkStart w:id="97" w:name="_Toc26040"/>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6BE085A4">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2AE3B97B">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58AF772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5BFF4366">
            <w:pPr>
              <w:spacing w:after="0"/>
              <w:jc w:val="center"/>
              <w:rPr>
                <w:rFonts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0A051808">
            <w:pPr>
              <w:spacing w:after="0"/>
              <w:jc w:val="center"/>
              <w:rPr>
                <w:rFonts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61A0A651">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0B772265">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86C6527">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4C78A2D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1A9CE1E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2060564A">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3592A22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4FA69EE">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A2761D3">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12D36C96">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10A95F69">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5FEE3AF4">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5DF2E5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vMerge w:val="restart"/>
            <w:tcBorders>
              <w:tl2br w:val="nil"/>
              <w:tr2bl w:val="nil"/>
            </w:tcBorders>
            <w:vAlign w:val="center"/>
          </w:tcPr>
          <w:p w14:paraId="3173C2E1">
            <w:pPr>
              <w:adjustRightInd/>
              <w:snapToGrid/>
              <w:spacing w:after="0" w:line="220" w:lineRule="atLeast"/>
              <w:jc w:val="center"/>
              <w:rPr>
                <w:rFonts w:ascii="微软雅黑" w:hAnsi="微软雅黑" w:cs="微软雅黑"/>
                <w:color w:val="0000FF"/>
                <w:kern w:val="2"/>
                <w:sz w:val="18"/>
                <w:szCs w:val="18"/>
                <w:u w:val="single"/>
              </w:rPr>
            </w:pPr>
            <w:bookmarkStart w:id="98" w:name="OLE_LINK5" w:colFirst="0" w:colLast="0"/>
            <w:r>
              <w:rPr>
                <w:rFonts w:ascii="微软雅黑" w:hAnsi="微软雅黑" w:cs="微软雅黑"/>
                <w:color w:val="0000FF"/>
                <w:kern w:val="2"/>
                <w:sz w:val="18"/>
                <w:szCs w:val="18"/>
                <w:u w:val="single"/>
              </w:rPr>
              <w:t>APC</w:t>
            </w:r>
          </w:p>
        </w:tc>
        <w:tc>
          <w:tcPr>
            <w:tcW w:w="870" w:type="dxa"/>
            <w:vMerge w:val="restart"/>
            <w:tcBorders>
              <w:tl2br w:val="nil"/>
              <w:tr2bl w:val="nil"/>
            </w:tcBorders>
            <w:vAlign w:val="center"/>
          </w:tcPr>
          <w:p w14:paraId="7687B321">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NM_000038.6</w:t>
            </w:r>
          </w:p>
        </w:tc>
        <w:tc>
          <w:tcPr>
            <w:tcW w:w="495" w:type="dxa"/>
            <w:vMerge w:val="restart"/>
            <w:tcBorders>
              <w:tl2br w:val="nil"/>
              <w:tr2bl w:val="nil"/>
            </w:tcBorders>
            <w:vAlign w:val="center"/>
          </w:tcPr>
          <w:p w14:paraId="131861A7">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5</w:t>
            </w:r>
          </w:p>
        </w:tc>
        <w:tc>
          <w:tcPr>
            <w:tcW w:w="450" w:type="dxa"/>
            <w:tcBorders>
              <w:tl2br w:val="nil"/>
              <w:tr2bl w:val="nil"/>
            </w:tcBorders>
            <w:vAlign w:val="center"/>
          </w:tcPr>
          <w:p w14:paraId="333AE77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10</w:t>
            </w:r>
          </w:p>
        </w:tc>
        <w:tc>
          <w:tcPr>
            <w:tcW w:w="1294" w:type="dxa"/>
            <w:tcBorders>
              <w:tl2br w:val="nil"/>
              <w:tr2bl w:val="nil"/>
            </w:tcBorders>
            <w:vAlign w:val="center"/>
          </w:tcPr>
          <w:p w14:paraId="561E630E">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c.994C&gt;T,</w:t>
            </w:r>
          </w:p>
          <w:p w14:paraId="3BE931B8">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p.R332*</w:t>
            </w:r>
          </w:p>
        </w:tc>
        <w:tc>
          <w:tcPr>
            <w:tcW w:w="686" w:type="dxa"/>
            <w:tcBorders>
              <w:tl2br w:val="nil"/>
              <w:tr2bl w:val="nil"/>
            </w:tcBorders>
            <w:vAlign w:val="center"/>
          </w:tcPr>
          <w:p w14:paraId="368DD4DE">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点突变</w:t>
            </w:r>
          </w:p>
        </w:tc>
        <w:tc>
          <w:tcPr>
            <w:tcW w:w="696" w:type="dxa"/>
            <w:tcBorders>
              <w:tl2br w:val="nil"/>
              <w:tr2bl w:val="nil"/>
            </w:tcBorders>
            <w:vAlign w:val="center"/>
          </w:tcPr>
          <w:p w14:paraId="4B20C365">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22.03</w:t>
            </w:r>
          </w:p>
        </w:tc>
        <w:tc>
          <w:tcPr>
            <w:tcW w:w="2469" w:type="dxa"/>
            <w:tcBorders>
              <w:tl2br w:val="nil"/>
              <w:tr2bl w:val="nil"/>
            </w:tcBorders>
            <w:vAlign w:val="center"/>
          </w:tcPr>
          <w:p w14:paraId="7D56E460">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w:t>
            </w:r>
          </w:p>
        </w:tc>
        <w:tc>
          <w:tcPr>
            <w:tcW w:w="1442" w:type="dxa"/>
            <w:tcBorders>
              <w:tl2br w:val="nil"/>
              <w:tr2bl w:val="nil"/>
            </w:tcBorders>
            <w:vAlign w:val="center"/>
          </w:tcPr>
          <w:p w14:paraId="0EAABC1C">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w:t>
            </w:r>
          </w:p>
        </w:tc>
      </w:tr>
      <w:tr w14:paraId="6A8B976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vMerge w:val="continue"/>
            <w:tcBorders>
              <w:tl2br w:val="nil"/>
              <w:tr2bl w:val="nil"/>
            </w:tcBorders>
            <w:vAlign w:val="center"/>
          </w:tcPr>
          <w:p w14:paraId="1EDF5554">
            <w:pPr>
              <w:adjustRightInd/>
              <w:snapToGrid/>
              <w:spacing w:after="0" w:line="220" w:lineRule="atLeast"/>
              <w:jc w:val="center"/>
              <w:rPr>
                <w:rFonts w:ascii="微软雅黑" w:hAnsi="微软雅黑" w:cs="微软雅黑"/>
                <w:color w:val="0000FF"/>
                <w:kern w:val="2"/>
                <w:sz w:val="18"/>
                <w:szCs w:val="18"/>
                <w:u w:val="single"/>
              </w:rPr>
            </w:pPr>
          </w:p>
        </w:tc>
        <w:tc>
          <w:tcPr>
            <w:tcW w:w="870" w:type="dxa"/>
            <w:vMerge w:val="continue"/>
            <w:tcBorders>
              <w:tl2br w:val="nil"/>
              <w:tr2bl w:val="nil"/>
            </w:tcBorders>
            <w:vAlign w:val="center"/>
          </w:tcPr>
          <w:p w14:paraId="4FBC6BCF">
            <w:pPr>
              <w:spacing w:after="0" w:line="220" w:lineRule="atLeast"/>
              <w:jc w:val="center"/>
              <w:rPr>
                <w:rFonts w:ascii="微软雅黑" w:hAnsi="微软雅黑" w:cs="微软雅黑"/>
                <w:bCs/>
                <w:kern w:val="2"/>
                <w:sz w:val="18"/>
                <w:szCs w:val="18"/>
                <w:lang w:bidi="ar"/>
              </w:rPr>
            </w:pPr>
          </w:p>
        </w:tc>
        <w:tc>
          <w:tcPr>
            <w:tcW w:w="495" w:type="dxa"/>
            <w:vMerge w:val="continue"/>
            <w:tcBorders>
              <w:tl2br w:val="nil"/>
              <w:tr2bl w:val="nil"/>
            </w:tcBorders>
            <w:vAlign w:val="center"/>
          </w:tcPr>
          <w:p w14:paraId="056EF2C7">
            <w:pPr>
              <w:spacing w:after="0" w:line="220" w:lineRule="atLeast"/>
              <w:jc w:val="center"/>
              <w:rPr>
                <w:rFonts w:ascii="微软雅黑" w:hAnsi="微软雅黑" w:cs="微软雅黑"/>
                <w:bCs/>
                <w:kern w:val="2"/>
                <w:sz w:val="18"/>
                <w:szCs w:val="18"/>
                <w:lang w:bidi="ar"/>
              </w:rPr>
            </w:pPr>
          </w:p>
        </w:tc>
        <w:tc>
          <w:tcPr>
            <w:tcW w:w="450" w:type="dxa"/>
            <w:tcBorders>
              <w:tl2br w:val="nil"/>
              <w:tr2bl w:val="nil"/>
            </w:tcBorders>
            <w:vAlign w:val="center"/>
          </w:tcPr>
          <w:p w14:paraId="21BBA2C5">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16</w:t>
            </w:r>
          </w:p>
        </w:tc>
        <w:tc>
          <w:tcPr>
            <w:tcW w:w="1294" w:type="dxa"/>
            <w:tcBorders>
              <w:tl2br w:val="nil"/>
              <w:tr2bl w:val="nil"/>
            </w:tcBorders>
            <w:vAlign w:val="center"/>
          </w:tcPr>
          <w:p w14:paraId="1D1F1C4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c.4666dup,</w:t>
            </w:r>
          </w:p>
          <w:p w14:paraId="197B9B2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p.T1556Nfs*3</w:t>
            </w:r>
          </w:p>
        </w:tc>
        <w:tc>
          <w:tcPr>
            <w:tcW w:w="686" w:type="dxa"/>
            <w:tcBorders>
              <w:tl2br w:val="nil"/>
              <w:tr2bl w:val="nil"/>
            </w:tcBorders>
            <w:vAlign w:val="center"/>
          </w:tcPr>
          <w:p w14:paraId="69813258">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重复突变</w:t>
            </w:r>
          </w:p>
        </w:tc>
        <w:tc>
          <w:tcPr>
            <w:tcW w:w="696" w:type="dxa"/>
            <w:tcBorders>
              <w:tl2br w:val="nil"/>
              <w:tr2bl w:val="nil"/>
            </w:tcBorders>
            <w:vAlign w:val="center"/>
          </w:tcPr>
          <w:p w14:paraId="3279EB72">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17.5</w:t>
            </w:r>
            <w:r>
              <w:rPr>
                <w:rFonts w:hint="eastAsia" w:ascii="微软雅黑" w:hAnsi="微软雅黑" w:cs="微软雅黑"/>
                <w:bCs/>
                <w:kern w:val="2"/>
                <w:sz w:val="18"/>
                <w:szCs w:val="18"/>
                <w:lang w:val="en-US" w:eastAsia="zh-CN" w:bidi="ar"/>
              </w:rPr>
              <w:t>0</w:t>
            </w:r>
          </w:p>
        </w:tc>
        <w:tc>
          <w:tcPr>
            <w:tcW w:w="2469" w:type="dxa"/>
            <w:tcBorders>
              <w:tl2br w:val="nil"/>
              <w:tr2bl w:val="nil"/>
            </w:tcBorders>
            <w:vAlign w:val="center"/>
          </w:tcPr>
          <w:p w14:paraId="34B2EEDC">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w:t>
            </w:r>
          </w:p>
        </w:tc>
        <w:tc>
          <w:tcPr>
            <w:tcW w:w="1442" w:type="dxa"/>
            <w:tcBorders>
              <w:tl2br w:val="nil"/>
              <w:tr2bl w:val="nil"/>
            </w:tcBorders>
            <w:vAlign w:val="center"/>
          </w:tcPr>
          <w:p w14:paraId="25CE4461">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w:t>
            </w:r>
          </w:p>
        </w:tc>
      </w:tr>
      <w:tr w14:paraId="4683ABAD">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6EDFCAC3">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SMAD4</w:t>
            </w:r>
          </w:p>
        </w:tc>
        <w:tc>
          <w:tcPr>
            <w:tcW w:w="870" w:type="dxa"/>
            <w:tcBorders>
              <w:tl2br w:val="nil"/>
              <w:tr2bl w:val="nil"/>
            </w:tcBorders>
            <w:vAlign w:val="center"/>
          </w:tcPr>
          <w:p w14:paraId="3003150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NM_005359.6</w:t>
            </w:r>
          </w:p>
        </w:tc>
        <w:tc>
          <w:tcPr>
            <w:tcW w:w="495" w:type="dxa"/>
            <w:tcBorders>
              <w:tl2br w:val="nil"/>
              <w:tr2bl w:val="nil"/>
            </w:tcBorders>
            <w:vAlign w:val="center"/>
          </w:tcPr>
          <w:p w14:paraId="5A69E8E9">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18</w:t>
            </w:r>
          </w:p>
        </w:tc>
        <w:tc>
          <w:tcPr>
            <w:tcW w:w="450" w:type="dxa"/>
            <w:tcBorders>
              <w:tl2br w:val="nil"/>
              <w:tr2bl w:val="nil"/>
            </w:tcBorders>
            <w:vAlign w:val="center"/>
          </w:tcPr>
          <w:p w14:paraId="5616C4A4">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12</w:t>
            </w:r>
          </w:p>
        </w:tc>
        <w:tc>
          <w:tcPr>
            <w:tcW w:w="1294" w:type="dxa"/>
            <w:tcBorders>
              <w:tl2br w:val="nil"/>
              <w:tr2bl w:val="nil"/>
            </w:tcBorders>
            <w:vAlign w:val="center"/>
          </w:tcPr>
          <w:p w14:paraId="22038F0C">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c.1577A&gt;G,</w:t>
            </w:r>
          </w:p>
          <w:p w14:paraId="4FD495A0">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p.E526G</w:t>
            </w:r>
          </w:p>
        </w:tc>
        <w:tc>
          <w:tcPr>
            <w:tcW w:w="686" w:type="dxa"/>
            <w:tcBorders>
              <w:tl2br w:val="nil"/>
              <w:tr2bl w:val="nil"/>
            </w:tcBorders>
            <w:vAlign w:val="center"/>
          </w:tcPr>
          <w:p w14:paraId="2175D8F7">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点突变</w:t>
            </w:r>
          </w:p>
        </w:tc>
        <w:tc>
          <w:tcPr>
            <w:tcW w:w="696" w:type="dxa"/>
            <w:tcBorders>
              <w:tl2br w:val="nil"/>
              <w:tr2bl w:val="nil"/>
            </w:tcBorders>
            <w:vAlign w:val="center"/>
          </w:tcPr>
          <w:p w14:paraId="1090EBFD">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20</w:t>
            </w:r>
          </w:p>
        </w:tc>
        <w:tc>
          <w:tcPr>
            <w:tcW w:w="2469" w:type="dxa"/>
            <w:tcBorders>
              <w:tl2br w:val="nil"/>
              <w:tr2bl w:val="nil"/>
            </w:tcBorders>
            <w:vAlign w:val="center"/>
          </w:tcPr>
          <w:p w14:paraId="397F4E7F">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w:t>
            </w:r>
          </w:p>
        </w:tc>
        <w:tc>
          <w:tcPr>
            <w:tcW w:w="1442" w:type="dxa"/>
            <w:tcBorders>
              <w:tl2br w:val="nil"/>
              <w:tr2bl w:val="nil"/>
            </w:tcBorders>
            <w:vAlign w:val="center"/>
          </w:tcPr>
          <w:p w14:paraId="32B6729E">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w:t>
            </w:r>
          </w:p>
        </w:tc>
      </w:tr>
      <w:tr w14:paraId="42BF23F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0FF6D7B7">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PIK3CA</w:t>
            </w:r>
          </w:p>
        </w:tc>
        <w:tc>
          <w:tcPr>
            <w:tcW w:w="870" w:type="dxa"/>
            <w:tcBorders>
              <w:tl2br w:val="nil"/>
              <w:tr2bl w:val="nil"/>
            </w:tcBorders>
            <w:vAlign w:val="center"/>
          </w:tcPr>
          <w:p w14:paraId="1253D6F2">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NM_006218.4</w:t>
            </w:r>
          </w:p>
        </w:tc>
        <w:tc>
          <w:tcPr>
            <w:tcW w:w="495" w:type="dxa"/>
            <w:tcBorders>
              <w:tl2br w:val="nil"/>
              <w:tr2bl w:val="nil"/>
            </w:tcBorders>
            <w:vAlign w:val="center"/>
          </w:tcPr>
          <w:p w14:paraId="37999FF8">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3</w:t>
            </w:r>
          </w:p>
        </w:tc>
        <w:tc>
          <w:tcPr>
            <w:tcW w:w="450" w:type="dxa"/>
            <w:tcBorders>
              <w:tl2br w:val="nil"/>
              <w:tr2bl w:val="nil"/>
            </w:tcBorders>
            <w:vAlign w:val="center"/>
          </w:tcPr>
          <w:p w14:paraId="13EED00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10</w:t>
            </w:r>
          </w:p>
        </w:tc>
        <w:tc>
          <w:tcPr>
            <w:tcW w:w="1294" w:type="dxa"/>
            <w:tcBorders>
              <w:tl2br w:val="nil"/>
              <w:tr2bl w:val="nil"/>
            </w:tcBorders>
            <w:vAlign w:val="center"/>
          </w:tcPr>
          <w:p w14:paraId="0ED92704">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c.1624G&gt;A,</w:t>
            </w:r>
          </w:p>
          <w:p w14:paraId="392CF3A2">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p.E542K</w:t>
            </w:r>
          </w:p>
        </w:tc>
        <w:tc>
          <w:tcPr>
            <w:tcW w:w="686" w:type="dxa"/>
            <w:tcBorders>
              <w:tl2br w:val="nil"/>
              <w:tr2bl w:val="nil"/>
            </w:tcBorders>
            <w:vAlign w:val="center"/>
          </w:tcPr>
          <w:p w14:paraId="1B4C347C">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点突变</w:t>
            </w:r>
          </w:p>
        </w:tc>
        <w:tc>
          <w:tcPr>
            <w:tcW w:w="696" w:type="dxa"/>
            <w:tcBorders>
              <w:tl2br w:val="nil"/>
              <w:tr2bl w:val="nil"/>
            </w:tcBorders>
            <w:vAlign w:val="center"/>
          </w:tcPr>
          <w:p w14:paraId="26EDCE99">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14.87</w:t>
            </w:r>
          </w:p>
        </w:tc>
        <w:tc>
          <w:tcPr>
            <w:tcW w:w="2469" w:type="dxa"/>
            <w:tcBorders>
              <w:tl2br w:val="nil"/>
              <w:tr2bl w:val="nil"/>
            </w:tcBorders>
            <w:vAlign w:val="center"/>
          </w:tcPr>
          <w:p w14:paraId="4E0FE8DF">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t>依维莫司（C）</w:t>
            </w:r>
          </w:p>
          <w:p w14:paraId="135D21E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西罗莫司（C）</w:t>
            </w:r>
          </w:p>
          <w:p w14:paraId="6CC3D693">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替西罗莫司（C）</w:t>
            </w:r>
          </w:p>
          <w:p w14:paraId="56CDF98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阿培利司（C）</w:t>
            </w:r>
          </w:p>
          <w:p w14:paraId="35B886A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盐酸可泮利塞（C）</w:t>
            </w:r>
          </w:p>
          <w:p w14:paraId="365DC515">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培唑帕尼+依维莫司（C）</w:t>
            </w:r>
          </w:p>
          <w:p w14:paraId="65093DF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卡匹色替（C）</w:t>
            </w:r>
          </w:p>
          <w:p w14:paraId="734214B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Buparlisib（C）</w:t>
            </w:r>
          </w:p>
          <w:p w14:paraId="253FF074">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Taselisib（C）</w:t>
            </w:r>
          </w:p>
          <w:p w14:paraId="58F96E3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Serabelisib（C）</w:t>
            </w:r>
          </w:p>
          <w:p w14:paraId="1C6862C8">
            <w:pPr>
              <w:adjustRightInd/>
              <w:snapToGrid/>
              <w:spacing w:after="0" w:line="220" w:lineRule="atLeast"/>
              <w:jc w:val="center"/>
              <w:rPr>
                <w:kern w:val="2"/>
              </w:rPr>
            </w:pPr>
            <w:r>
              <w:rPr>
                <w:rFonts w:hint="eastAsia" w:ascii="微软雅黑" w:hAnsi="微软雅黑" w:cs="微软雅黑"/>
                <w:bCs/>
                <w:color w:val="0000FF"/>
                <w:kern w:val="2"/>
                <w:sz w:val="18"/>
                <w:szCs w:val="18"/>
                <w:u w:val="single"/>
              </w:rPr>
              <w:t>伊那利塞（C）</w:t>
            </w:r>
          </w:p>
          <w:p w14:paraId="49D13835">
            <w:pPr>
              <w:adjustRightInd/>
              <w:snapToGrid/>
              <w:spacing w:after="0" w:line="220" w:lineRule="atLeast"/>
              <w:jc w:val="center"/>
              <w:rPr>
                <w:kern w:val="2"/>
              </w:rPr>
            </w:pPr>
            <w:r>
              <w:rPr>
                <w:rFonts w:hint="eastAsia" w:ascii="微软雅黑" w:hAnsi="微软雅黑" w:cs="微软雅黑"/>
                <w:bCs/>
                <w:color w:val="0000FF"/>
                <w:kern w:val="2"/>
                <w:sz w:val="18"/>
                <w:szCs w:val="18"/>
                <w:u w:val="single"/>
              </w:rPr>
              <w:t>伊那利塞+哌柏西利（C）</w:t>
            </w:r>
          </w:p>
          <w:p w14:paraId="2752077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RLY-2608（C）</w:t>
            </w:r>
          </w:p>
          <w:p w14:paraId="638A5FA6">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WX390（C）</w:t>
            </w:r>
          </w:p>
          <w:p w14:paraId="0221BF14">
            <w:pPr>
              <w:adjustRightInd/>
              <w:snapToGrid/>
              <w:spacing w:after="0" w:line="220" w:lineRule="atLeast"/>
              <w:jc w:val="center"/>
              <w:rPr>
                <w:rFonts w:hint="eastAsia"/>
                <w:kern w:val="0"/>
              </w:rPr>
            </w:pPr>
            <w:r>
              <w:rPr>
                <w:rFonts w:hint="eastAsia" w:ascii="微软雅黑" w:hAnsi="微软雅黑" w:cs="微软雅黑"/>
                <w:bCs/>
                <w:color w:val="0000FF"/>
                <w:kern w:val="2"/>
                <w:sz w:val="18"/>
                <w:szCs w:val="18"/>
                <w:u w:val="single"/>
              </w:rPr>
              <w:t>Dactolisib（D）</w:t>
            </w:r>
          </w:p>
        </w:tc>
        <w:tc>
          <w:tcPr>
            <w:tcW w:w="1442" w:type="dxa"/>
            <w:tcBorders>
              <w:tl2br w:val="nil"/>
              <w:tr2bl w:val="nil"/>
            </w:tcBorders>
            <w:vAlign w:val="center"/>
          </w:tcPr>
          <w:p w14:paraId="5A321B57">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t>西妥昔单抗（C）</w:t>
            </w:r>
          </w:p>
          <w:p w14:paraId="47B50FEF">
            <w:pPr>
              <w:spacing w:after="0"/>
              <w:jc w:val="center"/>
              <w:rPr>
                <w:rFonts w:hint="eastAsia"/>
                <w:kern w:val="0"/>
              </w:rPr>
            </w:pPr>
            <w:r>
              <w:rPr>
                <w:rFonts w:hint="eastAsia" w:ascii="微软雅黑" w:hAnsi="微软雅黑" w:cs="微软雅黑"/>
                <w:bCs/>
                <w:color w:val="0000FF"/>
                <w:kern w:val="2"/>
                <w:sz w:val="18"/>
                <w:szCs w:val="18"/>
                <w:u w:val="single"/>
              </w:rPr>
              <w:t>帕尼单抗（C）</w:t>
            </w:r>
          </w:p>
        </w:tc>
      </w:tr>
      <w:tr w14:paraId="66C8FC1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09A3CB7">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KRAS</w:t>
            </w:r>
          </w:p>
        </w:tc>
        <w:tc>
          <w:tcPr>
            <w:tcW w:w="870" w:type="dxa"/>
            <w:tcBorders>
              <w:tl2br w:val="nil"/>
              <w:tr2bl w:val="nil"/>
            </w:tcBorders>
            <w:vAlign w:val="center"/>
          </w:tcPr>
          <w:p w14:paraId="7987DA19">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NM_004985.5</w:t>
            </w:r>
          </w:p>
        </w:tc>
        <w:tc>
          <w:tcPr>
            <w:tcW w:w="495" w:type="dxa"/>
            <w:tcBorders>
              <w:tl2br w:val="nil"/>
              <w:tr2bl w:val="nil"/>
            </w:tcBorders>
            <w:vAlign w:val="center"/>
          </w:tcPr>
          <w:p w14:paraId="39ECA8C2">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12</w:t>
            </w:r>
          </w:p>
        </w:tc>
        <w:tc>
          <w:tcPr>
            <w:tcW w:w="450" w:type="dxa"/>
            <w:tcBorders>
              <w:tl2br w:val="nil"/>
              <w:tr2bl w:val="nil"/>
            </w:tcBorders>
            <w:vAlign w:val="center"/>
          </w:tcPr>
          <w:p w14:paraId="573AE788">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2</w:t>
            </w:r>
          </w:p>
        </w:tc>
        <w:tc>
          <w:tcPr>
            <w:tcW w:w="1294" w:type="dxa"/>
            <w:tcBorders>
              <w:tl2br w:val="nil"/>
              <w:tr2bl w:val="nil"/>
            </w:tcBorders>
            <w:vAlign w:val="center"/>
          </w:tcPr>
          <w:p w14:paraId="50BB6922">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c.34G&gt;T,</w:t>
            </w:r>
          </w:p>
          <w:p w14:paraId="668C31A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p.G12C</w:t>
            </w:r>
          </w:p>
        </w:tc>
        <w:tc>
          <w:tcPr>
            <w:tcW w:w="686" w:type="dxa"/>
            <w:tcBorders>
              <w:tl2br w:val="nil"/>
              <w:tr2bl w:val="nil"/>
            </w:tcBorders>
            <w:vAlign w:val="center"/>
          </w:tcPr>
          <w:p w14:paraId="5C243DDF">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点突变</w:t>
            </w:r>
          </w:p>
        </w:tc>
        <w:tc>
          <w:tcPr>
            <w:tcW w:w="696" w:type="dxa"/>
            <w:tcBorders>
              <w:tl2br w:val="nil"/>
              <w:tr2bl w:val="nil"/>
            </w:tcBorders>
            <w:vAlign w:val="center"/>
          </w:tcPr>
          <w:p w14:paraId="1ABCEBC6">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13.58</w:t>
            </w:r>
          </w:p>
        </w:tc>
        <w:tc>
          <w:tcPr>
            <w:tcW w:w="2469" w:type="dxa"/>
            <w:tcBorders>
              <w:tl2br w:val="nil"/>
              <w:tr2bl w:val="nil"/>
            </w:tcBorders>
            <w:vAlign w:val="center"/>
          </w:tcPr>
          <w:p w14:paraId="3662BE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索托拉西布/</w:t>
            </w:r>
            <w:r>
              <w:rPr>
                <w:rFonts w:hint="eastAsia" w:ascii="微软雅黑" w:hAnsi="微软雅黑" w:cs="微软雅黑"/>
                <w:bCs/>
                <w:color w:val="0000FF"/>
                <w:kern w:val="2"/>
                <w:sz w:val="18"/>
                <w:szCs w:val="18"/>
                <w:u w:val="single"/>
                <w:lang w:val="en-US" w:eastAsia="zh-CN"/>
              </w:rPr>
              <w:t>阿达格拉西布</w:t>
            </w:r>
            <w:r>
              <w:rPr>
                <w:rFonts w:hint="eastAsia" w:ascii="微软雅黑" w:hAnsi="微软雅黑" w:cs="微软雅黑"/>
                <w:b w:val="0"/>
                <w:bCs/>
                <w:color w:val="0000FF"/>
                <w:kern w:val="2"/>
                <w:sz w:val="18"/>
                <w:szCs w:val="18"/>
                <w:highlight w:val="none"/>
                <w:u w:val="single"/>
                <w:vertAlign w:val="baseline"/>
                <w:lang w:val="en-US" w:eastAsia="zh-CN" w:bidi="ar-SA"/>
              </w:rPr>
              <w:t>+帕尼单抗/</w:t>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Fonts w:hint="eastAsia" w:ascii="微软雅黑" w:hAnsi="微软雅黑" w:cs="微软雅黑"/>
                <w:b w:val="0"/>
                <w:bCs/>
                <w:color w:val="0000FF"/>
                <w:kern w:val="2"/>
                <w:sz w:val="18"/>
                <w:szCs w:val="18"/>
                <w:highlight w:val="none"/>
                <w:u w:val="single"/>
                <w:vertAlign w:val="baseline"/>
                <w:lang w:val="en-US" w:eastAsia="zh-CN" w:bidi="ar-SA"/>
              </w:rPr>
              <w:t>（A）</w:t>
            </w:r>
          </w:p>
          <w:p w14:paraId="5D8F68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索托拉西布（C）</w:t>
            </w:r>
          </w:p>
          <w:p w14:paraId="40856C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Cs/>
                <w:color w:val="0000FF"/>
                <w:kern w:val="2"/>
                <w:sz w:val="18"/>
                <w:szCs w:val="18"/>
                <w:u w:val="single"/>
                <w:lang w:val="en-US" w:eastAsia="zh-CN"/>
              </w:rPr>
              <w:t>阿达格拉西布（C）</w:t>
            </w:r>
          </w:p>
          <w:p w14:paraId="04BD13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氟泽雷塞（C）</w:t>
            </w:r>
          </w:p>
          <w:p w14:paraId="491CE3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0000FF"/>
                <w:kern w:val="2"/>
                <w:sz w:val="18"/>
                <w:szCs w:val="18"/>
                <w:highlight w:val="none"/>
                <w:u w:val="single"/>
                <w:lang w:eastAsia="zh-CN"/>
              </w:rPr>
            </w:pPr>
            <w:r>
              <w:rPr>
                <w:rFonts w:hint="eastAsia" w:ascii="微软雅黑" w:hAnsi="微软雅黑" w:cs="微软雅黑"/>
                <w:bCs/>
                <w:color w:val="0000FF"/>
                <w:kern w:val="2"/>
                <w:sz w:val="18"/>
                <w:szCs w:val="18"/>
                <w:highlight w:val="none"/>
                <w:u w:val="single"/>
              </w:rPr>
              <w:t>格索雷塞</w:t>
            </w:r>
            <w:r>
              <w:rPr>
                <w:rFonts w:hint="eastAsia" w:ascii="微软雅黑" w:hAnsi="微软雅黑" w:cs="微软雅黑"/>
                <w:bCs/>
                <w:color w:val="0000FF"/>
                <w:kern w:val="2"/>
                <w:sz w:val="18"/>
                <w:szCs w:val="18"/>
                <w:highlight w:val="none"/>
                <w:u w:val="single"/>
                <w:lang w:eastAsia="zh-CN"/>
              </w:rPr>
              <w:t>（</w:t>
            </w:r>
            <w:r>
              <w:rPr>
                <w:rFonts w:hint="eastAsia" w:ascii="微软雅黑" w:hAnsi="微软雅黑" w:cs="微软雅黑"/>
                <w:bCs/>
                <w:color w:val="0000FF"/>
                <w:kern w:val="2"/>
                <w:sz w:val="18"/>
                <w:szCs w:val="18"/>
                <w:highlight w:val="none"/>
                <w:u w:val="single"/>
                <w:lang w:val="en-US" w:eastAsia="zh-CN"/>
              </w:rPr>
              <w:t>C</w:t>
            </w:r>
            <w:r>
              <w:rPr>
                <w:rFonts w:hint="eastAsia" w:ascii="微软雅黑" w:hAnsi="微软雅黑" w:cs="微软雅黑"/>
                <w:bCs/>
                <w:color w:val="0000FF"/>
                <w:kern w:val="2"/>
                <w:sz w:val="18"/>
                <w:szCs w:val="18"/>
                <w:highlight w:val="none"/>
                <w:u w:val="single"/>
                <w:lang w:eastAsia="zh-CN"/>
              </w:rPr>
              <w:t>）</w:t>
            </w:r>
          </w:p>
          <w:p w14:paraId="1312A9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氟泽雷塞+</w:t>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Fonts w:hint="eastAsia" w:ascii="微软雅黑" w:hAnsi="微软雅黑" w:cs="微软雅黑"/>
                <w:b w:val="0"/>
                <w:bCs/>
                <w:color w:val="0000FF"/>
                <w:kern w:val="2"/>
                <w:sz w:val="18"/>
                <w:szCs w:val="18"/>
                <w:highlight w:val="none"/>
                <w:u w:val="single"/>
                <w:vertAlign w:val="baseline"/>
                <w:lang w:val="en-US" w:eastAsia="zh-CN" w:bidi="ar-SA"/>
              </w:rPr>
              <w:t>（C）</w:t>
            </w:r>
          </w:p>
          <w:p w14:paraId="68C511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"司美替尼dhx"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司美替尼</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（C）</w:t>
            </w:r>
          </w:p>
          <w:p w14:paraId="65BE2D57">
            <w:pPr>
              <w:adjustRightInd/>
              <w:snapToGrid/>
              <w:spacing w:after="0" w:line="220" w:lineRule="atLeast"/>
              <w:jc w:val="center"/>
              <w:rPr>
                <w:rFonts w:ascii="微软雅黑" w:hAnsi="微软雅黑"/>
                <w:bCs/>
                <w:color w:val="0000FF"/>
                <w:kern w:val="2"/>
                <w:sz w:val="2"/>
                <w:szCs w:val="2"/>
                <w:highlight w:val="none"/>
                <w:u w:val="single"/>
              </w:rPr>
            </w:pPr>
            <w:r>
              <w:rPr>
                <w:rFonts w:hint="eastAsia" w:ascii="微软雅黑" w:hAnsi="微软雅黑" w:cs="微软雅黑"/>
                <w:bCs/>
                <w:color w:val="0000FF"/>
                <w:kern w:val="2"/>
                <w:sz w:val="18"/>
                <w:szCs w:val="18"/>
                <w:highlight w:val="none"/>
                <w:u w:val="single"/>
              </w:rPr>
              <w:t>曲美替尼（C）</w:t>
            </w:r>
          </w:p>
          <w:p w14:paraId="64BB92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rPr>
            </w:pPr>
            <w:r>
              <w:rPr>
                <w:rFonts w:hint="eastAsia" w:ascii="微软雅黑" w:hAnsi="微软雅黑" w:cs="微软雅黑"/>
                <w:bCs/>
                <w:color w:val="0000FF"/>
                <w:kern w:val="2"/>
                <w:sz w:val="18"/>
                <w:szCs w:val="18"/>
                <w:highlight w:val="none"/>
                <w:u w:val="single"/>
              </w:rPr>
              <w:t>贝美替尼（C）</w:t>
            </w:r>
          </w:p>
          <w:p w14:paraId="658BF3E6">
            <w:pPr>
              <w:numPr>
                <w:ilvl w:val="255"/>
                <w:numId w:val="0"/>
              </w:numPr>
              <w:spacing w:after="0" w:line="220" w:lineRule="atLeast"/>
              <w:jc w:val="center"/>
              <w:rPr>
                <w:rFonts w:ascii="微软雅黑" w:hAnsi="微软雅黑" w:cs="微软雅黑"/>
                <w:color w:val="0000FF"/>
                <w:kern w:val="2"/>
                <w:sz w:val="18"/>
                <w:szCs w:val="18"/>
                <w:highlight w:val="none"/>
                <w:u w:val="single"/>
              </w:rPr>
            </w:pPr>
            <w:r>
              <w:rPr>
                <w:rFonts w:hint="eastAsia" w:ascii="微软雅黑" w:hAnsi="微软雅黑" w:cs="微软雅黑"/>
                <w:bCs/>
                <w:color w:val="0000FF"/>
                <w:kern w:val="2"/>
                <w:sz w:val="18"/>
                <w:szCs w:val="18"/>
                <w:highlight w:val="none"/>
                <w:u w:val="single"/>
              </w:rPr>
              <w:t>贝美替尼+阿培利司（C）</w:t>
            </w:r>
          </w:p>
          <w:p w14:paraId="359BABEE">
            <w:pPr>
              <w:numPr>
                <w:ilvl w:val="255"/>
                <w:numId w:val="0"/>
              </w:numPr>
              <w:spacing w:after="0" w:line="220" w:lineRule="atLeast"/>
              <w:jc w:val="center"/>
              <w:rPr>
                <w:rFonts w:ascii="微软雅黑" w:hAnsi="微软雅黑" w:cs="微软雅黑"/>
                <w:color w:val="0000FF"/>
                <w:kern w:val="2"/>
                <w:sz w:val="18"/>
                <w:szCs w:val="18"/>
                <w:highlight w:val="none"/>
                <w:u w:val="single"/>
              </w:rPr>
            </w:pPr>
            <w:r>
              <w:rPr>
                <w:rFonts w:hint="eastAsia" w:ascii="微软雅黑" w:hAnsi="微软雅黑" w:cs="微软雅黑"/>
                <w:bCs/>
                <w:color w:val="0000FF"/>
                <w:kern w:val="2"/>
                <w:sz w:val="18"/>
                <w:szCs w:val="18"/>
                <w:highlight w:val="none"/>
                <w:u w:val="single"/>
              </w:rPr>
              <w:t>贝美替尼+厄洛替尼（C）</w:t>
            </w:r>
          </w:p>
          <w:p w14:paraId="65D51DE5">
            <w:pPr>
              <w:numPr>
                <w:ilvl w:val="255"/>
                <w:numId w:val="0"/>
              </w:numPr>
              <w:spacing w:after="0" w:line="220" w:lineRule="atLeast"/>
              <w:jc w:val="center"/>
              <w:rPr>
                <w:rFonts w:ascii="微软雅黑" w:hAnsi="微软雅黑" w:cs="微软雅黑"/>
                <w:color w:val="0000FF"/>
                <w:kern w:val="2"/>
                <w:sz w:val="18"/>
                <w:szCs w:val="18"/>
                <w:highlight w:val="none"/>
                <w:u w:val="single"/>
              </w:rPr>
            </w:pPr>
            <w:r>
              <w:rPr>
                <w:rFonts w:hint="eastAsia" w:ascii="微软雅黑" w:hAnsi="微软雅黑" w:cs="微软雅黑"/>
                <w:bCs/>
                <w:color w:val="0000FF"/>
                <w:kern w:val="2"/>
                <w:sz w:val="18"/>
                <w:szCs w:val="18"/>
                <w:highlight w:val="none"/>
                <w:u w:val="single"/>
              </w:rPr>
              <w:t>安卓健（C）</w:t>
            </w:r>
          </w:p>
          <w:p w14:paraId="21CC6B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曲美替尼</w:t>
            </w:r>
            <w:r>
              <w:rPr>
                <w:rFonts w:hint="default" w:ascii="微软雅黑" w:hAnsi="微软雅黑" w:cs="微软雅黑"/>
                <w:b w:val="0"/>
                <w:bCs/>
                <w:color w:val="0000FF"/>
                <w:kern w:val="2"/>
                <w:sz w:val="18"/>
                <w:szCs w:val="18"/>
                <w:highlight w:val="none"/>
                <w:u w:val="single"/>
                <w:vertAlign w:val="baseline"/>
                <w:lang w:val="en-US" w:eastAsia="zh-CN" w:bidi="ar-SA"/>
              </w:rPr>
              <w:t>+</w:t>
            </w:r>
            <w:r>
              <w:rPr>
                <w:rFonts w:hint="eastAsia" w:ascii="微软雅黑" w:hAnsi="微软雅黑" w:cs="微软雅黑"/>
                <w:b w:val="0"/>
                <w:bCs/>
                <w:color w:val="0000FF"/>
                <w:kern w:val="2"/>
                <w:sz w:val="18"/>
                <w:szCs w:val="18"/>
                <w:highlight w:val="none"/>
                <w:u w:val="single"/>
                <w:vertAlign w:val="baseline"/>
                <w:lang w:val="en-US" w:eastAsia="zh-CN" w:bidi="ar-SA"/>
              </w:rPr>
              <w:t>Navitoclax（C）</w:t>
            </w:r>
          </w:p>
          <w:p w14:paraId="4028C7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帕尼单抗+曲美替尼（C）</w:t>
            </w:r>
          </w:p>
          <w:p w14:paraId="1A09B6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cs="微软雅黑"/>
                <w:b w:val="0"/>
                <w:bCs/>
                <w:color w:val="0000FF"/>
                <w:kern w:val="2"/>
                <w:sz w:val="18"/>
                <w:szCs w:val="18"/>
                <w:highlight w:val="none"/>
                <w:u w:val="single"/>
                <w:vertAlign w:val="baseline"/>
                <w:lang w:val="en-US" w:eastAsia="zh-CN" w:bidi="ar-SA"/>
              </w:rPr>
            </w:pPr>
            <w:r>
              <w:rPr>
                <w:rFonts w:hint="default" w:ascii="微软雅黑" w:hAnsi="微软雅黑" w:cs="微软雅黑"/>
                <w:b w:val="0"/>
                <w:bCs/>
                <w:color w:val="0000FF"/>
                <w:kern w:val="2"/>
                <w:sz w:val="18"/>
                <w:szCs w:val="18"/>
                <w:highlight w:val="none"/>
                <w:u w:val="single"/>
                <w:vertAlign w:val="baseline"/>
                <w:lang w:val="en-US" w:eastAsia="zh-CN" w:bidi="ar-SA"/>
              </w:rPr>
              <w:t>贝美替尼+</w:t>
            </w:r>
            <w:r>
              <w:rPr>
                <w:rFonts w:hint="eastAsia" w:ascii="微软雅黑" w:hAnsi="微软雅黑" w:cs="微软雅黑"/>
                <w:b w:val="0"/>
                <w:bCs/>
                <w:color w:val="0000FF"/>
                <w:kern w:val="2"/>
                <w:sz w:val="18"/>
                <w:szCs w:val="18"/>
                <w:highlight w:val="none"/>
                <w:u w:val="single"/>
                <w:vertAlign w:val="baseline"/>
                <w:lang w:val="en-US" w:eastAsia="zh-CN" w:bidi="ar-SA"/>
              </w:rPr>
              <w:t>哌柏西利（C）</w:t>
            </w:r>
          </w:p>
          <w:p w14:paraId="1B9C20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BI 1701963（C）</w:t>
            </w:r>
          </w:p>
          <w:p w14:paraId="50C908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BI 1701963+曲美替</w:t>
            </w:r>
            <w:r>
              <w:rPr>
                <w:rFonts w:hint="eastAsia" w:ascii="微软雅黑" w:hAnsi="微软雅黑" w:cs="Times New Roman"/>
                <w:b w:val="0"/>
                <w:bCs/>
                <w:color w:val="0000FF"/>
                <w:kern w:val="2"/>
                <w:sz w:val="18"/>
                <w:szCs w:val="18"/>
                <w:highlight w:val="none"/>
                <w:u w:val="single"/>
                <w:lang w:val="en-US" w:eastAsia="zh-CN" w:bidi="ar"/>
              </w:rPr>
              <w:t>尼</w:t>
            </w:r>
            <w:r>
              <w:rPr>
                <w:rFonts w:hint="eastAsia" w:ascii="微软雅黑" w:hAnsi="微软雅黑" w:cs="微软雅黑"/>
                <w:bCs/>
                <w:color w:val="0000FF"/>
                <w:kern w:val="2"/>
                <w:sz w:val="18"/>
                <w:szCs w:val="18"/>
                <w:highlight w:val="none"/>
                <w:u w:val="single"/>
                <w:lang w:val="en-US" w:eastAsia="zh-CN"/>
              </w:rPr>
              <w:t>（C）</w:t>
            </w:r>
          </w:p>
          <w:p w14:paraId="4EE508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rPr>
              <w:t>PD0325901+</w:t>
            </w:r>
            <w:r>
              <w:rPr>
                <w:rFonts w:hint="eastAsia" w:ascii="微软雅黑" w:hAnsi="微软雅黑" w:cs="微软雅黑"/>
                <w:b w:val="0"/>
                <w:bCs/>
                <w:color w:val="0000FF"/>
                <w:kern w:val="2"/>
                <w:sz w:val="18"/>
                <w:szCs w:val="18"/>
                <w:highlight w:val="none"/>
                <w:u w:val="single"/>
                <w:lang w:val="en-US" w:eastAsia="zh-CN"/>
              </w:rPr>
              <w:t>哌柏西利</w:t>
            </w:r>
            <w:r>
              <w:rPr>
                <w:rFonts w:hint="eastAsia" w:ascii="微软雅黑" w:hAnsi="微软雅黑" w:cs="微软雅黑"/>
                <w:bCs/>
                <w:color w:val="0000FF"/>
                <w:kern w:val="2"/>
                <w:sz w:val="18"/>
                <w:szCs w:val="18"/>
                <w:highlight w:val="none"/>
                <w:u w:val="single"/>
                <w:lang w:val="en-US" w:eastAsia="zh-CN"/>
              </w:rPr>
              <w:t>（C）</w:t>
            </w:r>
          </w:p>
          <w:p w14:paraId="30DD61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default" w:ascii="微软雅黑" w:hAnsi="微软雅黑" w:cs="微软雅黑"/>
                <w:bCs/>
                <w:color w:val="0000FF"/>
                <w:kern w:val="2"/>
                <w:sz w:val="18"/>
                <w:szCs w:val="18"/>
                <w:u w:val="single"/>
                <w:lang w:val="en-US" w:eastAsia="zh-CN"/>
              </w:rPr>
              <w:t>奈拉替尼+曲美替尼</w:t>
            </w:r>
            <w:r>
              <w:rPr>
                <w:rFonts w:hint="eastAsia" w:ascii="微软雅黑" w:hAnsi="微软雅黑" w:cs="微软雅黑"/>
                <w:bCs/>
                <w:color w:val="0000FF"/>
                <w:kern w:val="2"/>
                <w:sz w:val="18"/>
                <w:szCs w:val="18"/>
                <w:u w:val="single"/>
                <w:lang w:val="en-US" w:eastAsia="zh-CN"/>
              </w:rPr>
              <w:t>（C）</w:t>
            </w:r>
          </w:p>
          <w:p w14:paraId="35A3EE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default" w:ascii="微软雅黑" w:hAnsi="微软雅黑" w:cs="微软雅黑"/>
                <w:bCs/>
                <w:color w:val="0000FF"/>
                <w:kern w:val="2"/>
                <w:sz w:val="18"/>
                <w:szCs w:val="18"/>
                <w:u w:val="single"/>
                <w:lang w:val="en-US" w:eastAsia="zh-CN"/>
              </w:rPr>
              <w:t>福巴替尼+</w:t>
            </w:r>
            <w:r>
              <w:rPr>
                <w:rFonts w:hint="eastAsia" w:ascii="微软雅黑" w:hAnsi="微软雅黑" w:cs="微软雅黑"/>
                <w:bCs/>
                <w:color w:val="0000FF"/>
                <w:kern w:val="2"/>
                <w:sz w:val="18"/>
                <w:szCs w:val="18"/>
                <w:u w:val="single"/>
                <w:lang w:val="en-US" w:eastAsia="zh-CN"/>
              </w:rPr>
              <w:t>贝美替尼（C）</w:t>
            </w:r>
          </w:p>
          <w:p w14:paraId="5612E5C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度伐利尤单抗+曲美木单抗+司美替尼（C）</w:t>
            </w:r>
          </w:p>
          <w:p w14:paraId="3538AC46">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fldChar w:fldCharType="begin"/>
            </w:r>
            <w:r>
              <w:rPr>
                <w:rFonts w:hint="eastAsia" w:ascii="微软雅黑" w:hAnsi="微软雅黑" w:cs="微软雅黑"/>
                <w:bCs/>
                <w:color w:val="0000FF"/>
                <w:kern w:val="2"/>
                <w:sz w:val="18"/>
                <w:szCs w:val="18"/>
                <w:highlight w:val="none"/>
                <w:u w:val="single"/>
                <w:lang w:val="en-US" w:eastAsia="zh-CN"/>
              </w:rPr>
              <w:instrText xml:space="preserve"> HYPERLINK \l "重要基因变异及潜在靶向药物信息" </w:instrText>
            </w:r>
            <w:r>
              <w:rPr>
                <w:rFonts w:hint="eastAsia" w:ascii="微软雅黑" w:hAnsi="微软雅黑" w:cs="微软雅黑"/>
                <w:bCs/>
                <w:color w:val="0000FF"/>
                <w:kern w:val="2"/>
                <w:sz w:val="18"/>
                <w:szCs w:val="18"/>
                <w:highlight w:val="none"/>
                <w:u w:val="single"/>
                <w:lang w:val="en-US" w:eastAsia="zh-CN"/>
              </w:rPr>
              <w:fldChar w:fldCharType="separate"/>
            </w:r>
            <w:r>
              <w:rPr>
                <w:rFonts w:hint="eastAsia" w:ascii="微软雅黑" w:hAnsi="微软雅黑" w:cs="微软雅黑"/>
                <w:bCs/>
                <w:color w:val="0000FF"/>
                <w:kern w:val="2"/>
                <w:sz w:val="18"/>
                <w:szCs w:val="18"/>
                <w:highlight w:val="none"/>
                <w:u w:val="single"/>
                <w:lang w:val="en-US" w:eastAsia="zh-CN"/>
              </w:rPr>
              <w:t>Defactinib+Avutometinib（C）</w:t>
            </w:r>
          </w:p>
          <w:p w14:paraId="5579B167">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依维莫司+Avutometinib（C）</w:t>
            </w:r>
          </w:p>
          <w:p w14:paraId="0E05C341">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fldChar w:fldCharType="end"/>
            </w:r>
            <w:r>
              <w:rPr>
                <w:rFonts w:hint="eastAsia" w:ascii="微软雅黑" w:hAnsi="微软雅黑" w:cs="微软雅黑"/>
                <w:bCs/>
                <w:color w:val="0000FF"/>
                <w:kern w:val="2"/>
                <w:sz w:val="18"/>
                <w:szCs w:val="18"/>
                <w:highlight w:val="none"/>
                <w:u w:val="single"/>
                <w:lang w:val="en-US" w:eastAsia="zh-CN"/>
              </w:rPr>
              <w:t>索托拉西布+阿法替尼（C）</w:t>
            </w:r>
          </w:p>
          <w:p w14:paraId="76225D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索托拉西布+曲美替尼（C）</w:t>
            </w:r>
          </w:p>
          <w:p w14:paraId="3E658A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索托拉西布+RMC4630（C）</w:t>
            </w:r>
          </w:p>
          <w:p w14:paraId="26E313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索托拉西布+BBP398（C）</w:t>
            </w:r>
          </w:p>
          <w:p w14:paraId="07B288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BBP398+纳武利尤单抗（C）</w:t>
            </w:r>
          </w:p>
          <w:p w14:paraId="7057A4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戈来雷塞（C）</w:t>
            </w:r>
          </w:p>
          <w:p w14:paraId="535054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戈来雷塞+JAB3312（C）</w:t>
            </w:r>
          </w:p>
          <w:p w14:paraId="344E27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JDQ443（C）</w:t>
            </w:r>
          </w:p>
          <w:p w14:paraId="27B253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GDC6036（C）</w:t>
            </w:r>
          </w:p>
          <w:p w14:paraId="518D2C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GH35（C）</w:t>
            </w:r>
          </w:p>
          <w:p w14:paraId="64B104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RMC-6236（C）</w:t>
            </w:r>
          </w:p>
          <w:p w14:paraId="16015C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JMKX1899（C）</w:t>
            </w:r>
          </w:p>
          <w:p w14:paraId="7C12D8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BEBT-607（C）</w:t>
            </w:r>
          </w:p>
          <w:p w14:paraId="468759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LY3537982（C）</w:t>
            </w:r>
          </w:p>
          <w:p w14:paraId="0E90EB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ascii="微软雅黑" w:hAnsi="微软雅黑" w:cs="Times New Roman"/>
                <w:bCs/>
                <w:color w:val="0000FF"/>
                <w:kern w:val="2"/>
                <w:sz w:val="2"/>
                <w:szCs w:val="2"/>
                <w:u w:val="single"/>
              </w:rPr>
            </w:pPr>
            <w:r>
              <w:rPr>
                <w:rFonts w:hint="eastAsia" w:ascii="微软雅黑" w:hAnsi="微软雅黑" w:eastAsia="微软雅黑" w:cs="微软雅黑"/>
                <w:b w:val="0"/>
                <w:bCs/>
                <w:color w:val="0000FF"/>
                <w:kern w:val="2"/>
                <w:sz w:val="18"/>
                <w:szCs w:val="18"/>
                <w:highlight w:val="none"/>
                <w:u w:val="single"/>
                <w:lang w:val="en-US" w:eastAsia="zh-CN"/>
              </w:rPr>
              <w:fldChar w:fldCharType="begin"/>
            </w:r>
            <w:r>
              <w:rPr>
                <w:rFonts w:hint="eastAsia" w:ascii="微软雅黑" w:hAnsi="微软雅黑" w:eastAsia="微软雅黑" w:cs="微软雅黑"/>
                <w:b w:val="0"/>
                <w:bCs/>
                <w:color w:val="0000FF"/>
                <w:kern w:val="2"/>
                <w:sz w:val="18"/>
                <w:szCs w:val="18"/>
                <w:highlight w:val="none"/>
                <w:u w:val="single"/>
                <w:lang w:val="en-US" w:eastAsia="zh-CN"/>
              </w:rPr>
              <w:instrText xml:space="preserve"> HYPERLINK \l "司美替尼dhx" </w:instrText>
            </w:r>
            <w:r>
              <w:rPr>
                <w:rFonts w:hint="eastAsia" w:ascii="微软雅黑" w:hAnsi="微软雅黑" w:eastAsia="微软雅黑" w:cs="微软雅黑"/>
                <w:b w:val="0"/>
                <w:bCs/>
                <w:color w:val="0000FF"/>
                <w:kern w:val="2"/>
                <w:sz w:val="18"/>
                <w:szCs w:val="18"/>
                <w:highlight w:val="none"/>
                <w:u w:val="single"/>
                <w:lang w:val="en-US" w:eastAsia="zh-CN"/>
              </w:rPr>
              <w:fldChar w:fldCharType="separate"/>
            </w:r>
            <w:r>
              <w:rPr>
                <w:rStyle w:val="23"/>
                <w:rFonts w:hint="eastAsia" w:ascii="微软雅黑" w:hAnsi="微软雅黑" w:eastAsia="微软雅黑" w:cs="微软雅黑"/>
                <w:b w:val="0"/>
                <w:bCs/>
                <w:color w:val="0000FF"/>
                <w:kern w:val="2"/>
                <w:sz w:val="18"/>
                <w:szCs w:val="18"/>
                <w:highlight w:val="none"/>
                <w:lang w:val="en-US" w:eastAsia="zh-CN"/>
              </w:rPr>
              <w:t>PD0325901</w:t>
            </w:r>
            <w:r>
              <w:rPr>
                <w:rFonts w:hint="eastAsia" w:ascii="微软雅黑" w:hAnsi="微软雅黑" w:eastAsia="微软雅黑" w:cs="微软雅黑"/>
                <w:b w:val="0"/>
                <w:bCs/>
                <w:color w:val="0000FF"/>
                <w:kern w:val="2"/>
                <w:sz w:val="18"/>
                <w:szCs w:val="18"/>
                <w:highlight w:val="none"/>
                <w:u w:val="single"/>
                <w:lang w:val="en-US" w:eastAsia="zh-CN"/>
              </w:rPr>
              <w:fldChar w:fldCharType="end"/>
            </w:r>
            <w:r>
              <w:rPr>
                <w:rFonts w:hint="eastAsia" w:ascii="微软雅黑" w:hAnsi="微软雅黑" w:cs="微软雅黑"/>
                <w:bCs/>
                <w:color w:val="0000FF"/>
                <w:kern w:val="2"/>
                <w:sz w:val="18"/>
                <w:szCs w:val="18"/>
                <w:highlight w:val="none"/>
                <w:u w:val="single"/>
                <w:lang w:val="en-US" w:eastAsia="zh-CN"/>
              </w:rPr>
              <w:t>（D）</w:t>
            </w:r>
          </w:p>
        </w:tc>
        <w:tc>
          <w:tcPr>
            <w:tcW w:w="1442" w:type="dxa"/>
            <w:tcBorders>
              <w:tl2br w:val="nil"/>
              <w:tr2bl w:val="nil"/>
            </w:tcBorders>
            <w:vAlign w:val="center"/>
          </w:tcPr>
          <w:p w14:paraId="59DF32A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（A）</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p>
          <w:p w14:paraId="30FAB03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帕尼单抗</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Style w:val="23"/>
                <w:rFonts w:hint="eastAsia" w:ascii="微软雅黑" w:hAnsi="微软雅黑" w:cs="微软雅黑"/>
                <w:b w:val="0"/>
                <w:bCs/>
                <w:color w:val="0000FF"/>
                <w:kern w:val="2"/>
                <w:sz w:val="18"/>
                <w:szCs w:val="18"/>
                <w:highlight w:val="none"/>
                <w:vertAlign w:val="baseline"/>
                <w:lang w:val="en-US" w:eastAsia="zh-CN" w:bidi="ar-SA"/>
              </w:rPr>
              <w:t>（A）</w:t>
            </w:r>
          </w:p>
          <w:p w14:paraId="657C3BE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ascii="微软雅黑" w:hAnsi="微软雅黑" w:cs="Times New Roman"/>
                <w:bCs/>
                <w:color w:val="0000FF"/>
                <w:kern w:val="2"/>
                <w:sz w:val="2"/>
                <w:szCs w:val="2"/>
                <w:u w:val="single"/>
              </w:rPr>
            </w:pP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依维莫司</w:t>
            </w:r>
            <w:r>
              <w:rPr>
                <w:rStyle w:val="23"/>
                <w:rFonts w:hint="eastAsia" w:ascii="微软雅黑" w:hAnsi="微软雅黑" w:cs="微软雅黑"/>
                <w:b w:val="0"/>
                <w:bCs/>
                <w:color w:val="0000FF"/>
                <w:kern w:val="2"/>
                <w:sz w:val="18"/>
                <w:szCs w:val="18"/>
                <w:highlight w:val="none"/>
                <w:vertAlign w:val="baseline"/>
                <w:lang w:val="en-US" w:eastAsia="zh-CN" w:bidi="ar-SA"/>
              </w:rPr>
              <w:t>（C）</w:t>
            </w:r>
          </w:p>
        </w:tc>
      </w:tr>
      <w:tr w14:paraId="603879B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28951DCF">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BRCA1</w:t>
            </w:r>
          </w:p>
        </w:tc>
        <w:tc>
          <w:tcPr>
            <w:tcW w:w="870" w:type="dxa"/>
            <w:tcBorders>
              <w:tl2br w:val="nil"/>
              <w:tr2bl w:val="nil"/>
            </w:tcBorders>
            <w:vAlign w:val="center"/>
          </w:tcPr>
          <w:p w14:paraId="2BF7D7D6">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NM_007294.4</w:t>
            </w:r>
          </w:p>
        </w:tc>
        <w:tc>
          <w:tcPr>
            <w:tcW w:w="495" w:type="dxa"/>
            <w:tcBorders>
              <w:tl2br w:val="nil"/>
              <w:tr2bl w:val="nil"/>
            </w:tcBorders>
            <w:vAlign w:val="center"/>
          </w:tcPr>
          <w:p w14:paraId="327D4367">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17</w:t>
            </w:r>
          </w:p>
        </w:tc>
        <w:tc>
          <w:tcPr>
            <w:tcW w:w="450" w:type="dxa"/>
            <w:tcBorders>
              <w:tl2br w:val="nil"/>
              <w:tr2bl w:val="nil"/>
            </w:tcBorders>
            <w:vAlign w:val="center"/>
          </w:tcPr>
          <w:p w14:paraId="7A15A862">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7</w:t>
            </w:r>
          </w:p>
        </w:tc>
        <w:tc>
          <w:tcPr>
            <w:tcW w:w="1294" w:type="dxa"/>
            <w:tcBorders>
              <w:tl2br w:val="nil"/>
              <w:tr2bl w:val="nil"/>
            </w:tcBorders>
            <w:vAlign w:val="center"/>
          </w:tcPr>
          <w:p w14:paraId="57659FC7">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c.505C&gt;T,</w:t>
            </w:r>
          </w:p>
          <w:p w14:paraId="7FE965C6">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p.Q169*</w:t>
            </w:r>
          </w:p>
        </w:tc>
        <w:tc>
          <w:tcPr>
            <w:tcW w:w="686" w:type="dxa"/>
            <w:tcBorders>
              <w:tl2br w:val="nil"/>
              <w:tr2bl w:val="nil"/>
            </w:tcBorders>
            <w:vAlign w:val="center"/>
          </w:tcPr>
          <w:p w14:paraId="268E9034">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点突变</w:t>
            </w:r>
          </w:p>
        </w:tc>
        <w:tc>
          <w:tcPr>
            <w:tcW w:w="696" w:type="dxa"/>
            <w:tcBorders>
              <w:tl2br w:val="nil"/>
              <w:tr2bl w:val="nil"/>
            </w:tcBorders>
            <w:vAlign w:val="center"/>
          </w:tcPr>
          <w:p w14:paraId="25F14367">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1.37</w:t>
            </w:r>
          </w:p>
        </w:tc>
        <w:tc>
          <w:tcPr>
            <w:tcW w:w="2469" w:type="dxa"/>
            <w:tcBorders>
              <w:tl2br w:val="nil"/>
              <w:tr2bl w:val="nil"/>
            </w:tcBorders>
            <w:vAlign w:val="center"/>
          </w:tcPr>
          <w:p w14:paraId="703709D0">
            <w:pPr>
              <w:keepNext w:val="0"/>
              <w:keepLines w:val="0"/>
              <w:widowControl/>
              <w:suppressLineNumbers w:val="0"/>
              <w:spacing w:before="0" w:beforeAutospacing="0" w:after="0" w:afterAutospacing="0" w:line="240" w:lineRule="atLeast"/>
              <w:ind w:left="0" w:right="0"/>
              <w:jc w:val="center"/>
              <w:rPr>
                <w:rFonts w:ascii="微软雅黑" w:hAnsi="微软雅黑" w:cs="Times New Roman"/>
                <w:bCs/>
                <w:color w:val="0000FF"/>
                <w:kern w:val="2"/>
                <w:sz w:val="2"/>
                <w:szCs w:val="2"/>
                <w:u w:val="single"/>
              </w:rPr>
            </w:pPr>
            <w:r>
              <w:rPr>
                <w:rFonts w:hint="eastAsia" w:ascii="微软雅黑" w:hAnsi="微软雅黑"/>
                <w:bCs/>
                <w:color w:val="0000FF"/>
                <w:kern w:val="2"/>
                <w:sz w:val="18"/>
                <w:szCs w:val="18"/>
                <w:u w:val="single"/>
              </w:rPr>
              <w:t>奥拉帕利（C）</w:t>
            </w:r>
          </w:p>
          <w:p w14:paraId="47D77A4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芦卡帕利（C）</w:t>
            </w:r>
          </w:p>
          <w:p w14:paraId="3F79BF6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尼拉帕利（C）</w:t>
            </w:r>
          </w:p>
          <w:p w14:paraId="32B7204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他拉唑帕利（C）</w:t>
            </w:r>
          </w:p>
          <w:p w14:paraId="61AC3F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氟唑帕利（C）</w:t>
            </w:r>
          </w:p>
          <w:p w14:paraId="66397B9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帕米帕利（C）</w:t>
            </w:r>
          </w:p>
          <w:p w14:paraId="4AFF726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阿维鲁单抗+他拉唑帕利（C）</w:t>
            </w:r>
          </w:p>
          <w:p w14:paraId="005F0F8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LY2606368（C）</w:t>
            </w:r>
          </w:p>
          <w:p w14:paraId="3330BC5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盐酸可泮利塞+奥拉帕利+度伐利尤单抗（C）</w:t>
            </w:r>
          </w:p>
          <w:p w14:paraId="3748C67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奥拉帕利+帕博利珠单抗（C）</w:t>
            </w:r>
          </w:p>
          <w:p w14:paraId="168AE94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SRA737（C）</w:t>
            </w:r>
          </w:p>
          <w:p w14:paraId="43D8BCA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他拉唑帕利+阿替利珠单抗（C）</w:t>
            </w:r>
          </w:p>
          <w:p w14:paraId="6DD41A8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芦卡帕利+阿替利珠单抗（C）</w:t>
            </w:r>
          </w:p>
          <w:p w14:paraId="01AE05CD">
            <w:pPr>
              <w:adjustRightInd/>
              <w:snapToGrid/>
              <w:spacing w:after="0" w:line="220" w:lineRule="atLeast"/>
              <w:jc w:val="center"/>
              <w:rPr>
                <w:rFonts w:hint="eastAsia"/>
                <w:kern w:val="0"/>
              </w:rPr>
            </w:pPr>
            <w:r>
              <w:rPr>
                <w:rFonts w:hint="eastAsia" w:ascii="微软雅黑" w:hAnsi="微软雅黑"/>
                <w:bCs/>
                <w:color w:val="0000FF"/>
                <w:kern w:val="2"/>
                <w:sz w:val="18"/>
                <w:szCs w:val="18"/>
                <w:u w:val="single"/>
              </w:rPr>
              <w:t>帕米帕利+替雷利珠单抗（C）</w:t>
            </w:r>
          </w:p>
        </w:tc>
        <w:tc>
          <w:tcPr>
            <w:tcW w:w="1442" w:type="dxa"/>
            <w:tcBorders>
              <w:tl2br w:val="nil"/>
              <w:tr2bl w:val="nil"/>
            </w:tcBorders>
            <w:vAlign w:val="center"/>
          </w:tcPr>
          <w:p w14:paraId="2D2F4164">
            <w:pPr>
              <w:adjustRightInd/>
              <w:snapToGrid/>
              <w:spacing w:after="0" w:line="220" w:lineRule="atLeast"/>
              <w:jc w:val="center"/>
              <w:rPr>
                <w:rFonts w:ascii="微软雅黑" w:hAnsi="微软雅黑" w:cs="Times New Roman"/>
                <w:bCs/>
                <w:color w:val="0000FF"/>
                <w:kern w:val="2"/>
                <w:sz w:val="2"/>
                <w:szCs w:val="2"/>
                <w:u w:val="single"/>
              </w:rPr>
            </w:pPr>
            <w:r>
              <w:rPr>
                <w:rFonts w:hint="eastAsia" w:ascii="微软雅黑" w:hAnsi="微软雅黑" w:cs="微软雅黑"/>
                <w:bCs/>
                <w:kern w:val="2"/>
                <w:sz w:val="18"/>
                <w:szCs w:val="18"/>
              </w:rPr>
              <w:t>--</w:t>
            </w:r>
          </w:p>
        </w:tc>
      </w:tr>
      <w:tr w14:paraId="09E3340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6EC1668">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DNMT3A</w:t>
            </w:r>
          </w:p>
        </w:tc>
        <w:tc>
          <w:tcPr>
            <w:tcW w:w="870" w:type="dxa"/>
            <w:tcBorders>
              <w:tl2br w:val="nil"/>
              <w:tr2bl w:val="nil"/>
            </w:tcBorders>
            <w:vAlign w:val="center"/>
          </w:tcPr>
          <w:p w14:paraId="006E863F">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NM_022552.5</w:t>
            </w:r>
          </w:p>
        </w:tc>
        <w:tc>
          <w:tcPr>
            <w:tcW w:w="495" w:type="dxa"/>
            <w:tcBorders>
              <w:tl2br w:val="nil"/>
              <w:tr2bl w:val="nil"/>
            </w:tcBorders>
            <w:vAlign w:val="center"/>
          </w:tcPr>
          <w:p w14:paraId="29D068B8">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2</w:t>
            </w:r>
          </w:p>
        </w:tc>
        <w:tc>
          <w:tcPr>
            <w:tcW w:w="450" w:type="dxa"/>
            <w:tcBorders>
              <w:tl2br w:val="nil"/>
              <w:tr2bl w:val="nil"/>
            </w:tcBorders>
            <w:vAlign w:val="center"/>
          </w:tcPr>
          <w:p w14:paraId="6CBF554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11</w:t>
            </w:r>
          </w:p>
        </w:tc>
        <w:tc>
          <w:tcPr>
            <w:tcW w:w="1294" w:type="dxa"/>
            <w:tcBorders>
              <w:tl2br w:val="nil"/>
              <w:tr2bl w:val="nil"/>
            </w:tcBorders>
            <w:vAlign w:val="center"/>
          </w:tcPr>
          <w:p w14:paraId="20117466">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c.1367del,</w:t>
            </w:r>
          </w:p>
          <w:p w14:paraId="443DE12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p.K456Sfs*195</w:t>
            </w:r>
          </w:p>
        </w:tc>
        <w:tc>
          <w:tcPr>
            <w:tcW w:w="686" w:type="dxa"/>
            <w:tcBorders>
              <w:tl2br w:val="nil"/>
              <w:tr2bl w:val="nil"/>
            </w:tcBorders>
            <w:vAlign w:val="center"/>
          </w:tcPr>
          <w:p w14:paraId="4BAAB03F">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缺失突变</w:t>
            </w:r>
          </w:p>
        </w:tc>
        <w:tc>
          <w:tcPr>
            <w:tcW w:w="696" w:type="dxa"/>
            <w:tcBorders>
              <w:tl2br w:val="nil"/>
              <w:tr2bl w:val="nil"/>
            </w:tcBorders>
            <w:vAlign w:val="center"/>
          </w:tcPr>
          <w:p w14:paraId="60E82A65">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1.18</w:t>
            </w:r>
          </w:p>
        </w:tc>
        <w:tc>
          <w:tcPr>
            <w:tcW w:w="2469" w:type="dxa"/>
            <w:tcBorders>
              <w:tl2br w:val="nil"/>
              <w:tr2bl w:val="nil"/>
            </w:tcBorders>
            <w:vAlign w:val="center"/>
          </w:tcPr>
          <w:p w14:paraId="2D883D2C">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w:t>
            </w:r>
          </w:p>
        </w:tc>
        <w:tc>
          <w:tcPr>
            <w:tcW w:w="1442" w:type="dxa"/>
            <w:tcBorders>
              <w:tl2br w:val="nil"/>
              <w:tr2bl w:val="nil"/>
            </w:tcBorders>
            <w:vAlign w:val="center"/>
          </w:tcPr>
          <w:p w14:paraId="0F959AC3">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w:t>
            </w:r>
          </w:p>
        </w:tc>
      </w:tr>
      <w:tr w14:paraId="1952E92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4A4A9E85">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TP53</w:t>
            </w:r>
          </w:p>
        </w:tc>
        <w:tc>
          <w:tcPr>
            <w:tcW w:w="870" w:type="dxa"/>
            <w:tcBorders>
              <w:tl2br w:val="nil"/>
              <w:tr2bl w:val="nil"/>
            </w:tcBorders>
            <w:vAlign w:val="center"/>
          </w:tcPr>
          <w:p w14:paraId="7BD94C1A">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NM_000546.6</w:t>
            </w:r>
          </w:p>
        </w:tc>
        <w:tc>
          <w:tcPr>
            <w:tcW w:w="495" w:type="dxa"/>
            <w:tcBorders>
              <w:tl2br w:val="nil"/>
              <w:tr2bl w:val="nil"/>
            </w:tcBorders>
            <w:vAlign w:val="center"/>
          </w:tcPr>
          <w:p w14:paraId="17A54CAA">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17</w:t>
            </w:r>
          </w:p>
        </w:tc>
        <w:tc>
          <w:tcPr>
            <w:tcW w:w="450" w:type="dxa"/>
            <w:tcBorders>
              <w:tl2br w:val="nil"/>
              <w:tr2bl w:val="nil"/>
            </w:tcBorders>
            <w:vAlign w:val="center"/>
          </w:tcPr>
          <w:p w14:paraId="5434247A">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5</w:t>
            </w:r>
          </w:p>
        </w:tc>
        <w:tc>
          <w:tcPr>
            <w:tcW w:w="1294" w:type="dxa"/>
            <w:tcBorders>
              <w:tl2br w:val="nil"/>
              <w:tr2bl w:val="nil"/>
            </w:tcBorders>
            <w:vAlign w:val="center"/>
          </w:tcPr>
          <w:p w14:paraId="6E2A3CCF">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c.499C&gt;T,</w:t>
            </w:r>
          </w:p>
          <w:p w14:paraId="4FDF6992">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p.Q167*</w:t>
            </w:r>
          </w:p>
        </w:tc>
        <w:tc>
          <w:tcPr>
            <w:tcW w:w="686" w:type="dxa"/>
            <w:tcBorders>
              <w:tl2br w:val="nil"/>
              <w:tr2bl w:val="nil"/>
            </w:tcBorders>
            <w:vAlign w:val="center"/>
          </w:tcPr>
          <w:p w14:paraId="7175E919">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点突变</w:t>
            </w:r>
          </w:p>
        </w:tc>
        <w:tc>
          <w:tcPr>
            <w:tcW w:w="696" w:type="dxa"/>
            <w:tcBorders>
              <w:tl2br w:val="nil"/>
              <w:tr2bl w:val="nil"/>
            </w:tcBorders>
            <w:vAlign w:val="center"/>
          </w:tcPr>
          <w:p w14:paraId="1312C48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1.16</w:t>
            </w:r>
          </w:p>
        </w:tc>
        <w:tc>
          <w:tcPr>
            <w:tcW w:w="2469" w:type="dxa"/>
            <w:tcBorders>
              <w:tl2br w:val="nil"/>
              <w:tr2bl w:val="nil"/>
            </w:tcBorders>
            <w:vAlign w:val="center"/>
          </w:tcPr>
          <w:p w14:paraId="5847DD50">
            <w:pPr>
              <w:adjustRightInd/>
              <w:snapToGrid/>
              <w:spacing w:after="0" w:line="220" w:lineRule="atLeast"/>
              <w:jc w:val="center"/>
              <w:rPr>
                <w:rFonts w:ascii="微软雅黑" w:hAnsi="微软雅黑" w:cs="Times New Roman"/>
                <w:bCs/>
                <w:color w:val="0000FF"/>
                <w:kern w:val="2"/>
                <w:sz w:val="2"/>
                <w:szCs w:val="2"/>
                <w:u w:val="single"/>
              </w:rPr>
            </w:pPr>
            <w:r>
              <w:rPr>
                <w:rFonts w:hint="eastAsia" w:ascii="微软雅黑" w:hAnsi="微软雅黑" w:cs="微软雅黑"/>
                <w:bCs/>
                <w:color w:val="0000FF"/>
                <w:kern w:val="2"/>
                <w:sz w:val="18"/>
                <w:szCs w:val="18"/>
                <w:highlight w:val="none"/>
                <w:u w:val="single"/>
                <w:lang w:val="en-US" w:eastAsia="zh-CN"/>
              </w:rPr>
              <w:t>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AZD1775+奥拉帕利（C）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Eprenetapopt（C）</w:t>
            </w:r>
          </w:p>
        </w:tc>
        <w:tc>
          <w:tcPr>
            <w:tcW w:w="1442" w:type="dxa"/>
            <w:tcBorders>
              <w:tl2br w:val="nil"/>
              <w:tr2bl w:val="nil"/>
            </w:tcBorders>
            <w:vAlign w:val="center"/>
          </w:tcPr>
          <w:p w14:paraId="6CABE407">
            <w:pPr>
              <w:keepNext w:val="0"/>
              <w:keepLines w:val="0"/>
              <w:widowControl/>
              <w:suppressLineNumbers w:val="0"/>
              <w:spacing w:before="0" w:beforeAutospacing="0" w:after="0" w:afterAutospacing="0"/>
              <w:ind w:left="0" w:leftChars="0" w:right="0" w:rightChars="0"/>
              <w:jc w:val="center"/>
              <w:outlineLvl w:val="9"/>
              <w:rPr>
                <w:rFonts w:ascii="微软雅黑" w:hAnsi="微软雅黑" w:cs="Times New Roman"/>
                <w:bCs/>
                <w:color w:val="0000FF"/>
                <w:kern w:val="2"/>
                <w:sz w:val="2"/>
                <w:szCs w:val="2"/>
                <w:u w:val="single"/>
              </w:rPr>
            </w:pPr>
            <w:r>
              <w:rPr>
                <w:rFonts w:hint="eastAsia" w:ascii="微软雅黑" w:hAnsi="微软雅黑" w:eastAsia="微软雅黑" w:cs="微软雅黑"/>
                <w:bCs/>
                <w:color w:val="auto"/>
                <w:kern w:val="2"/>
                <w:sz w:val="18"/>
                <w:szCs w:val="18"/>
                <w:lang w:val="en-US" w:eastAsia="zh-CN"/>
              </w:rPr>
              <w:t>--</w:t>
            </w:r>
          </w:p>
        </w:tc>
      </w:tr>
      <w:tr w14:paraId="1924661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2FDA09CC">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FLT3</w:t>
            </w:r>
          </w:p>
        </w:tc>
        <w:tc>
          <w:tcPr>
            <w:tcW w:w="870" w:type="dxa"/>
            <w:tcBorders>
              <w:tl2br w:val="nil"/>
              <w:tr2bl w:val="nil"/>
            </w:tcBorders>
            <w:vAlign w:val="center"/>
          </w:tcPr>
          <w:p w14:paraId="70144621">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NM_004119.3</w:t>
            </w:r>
          </w:p>
        </w:tc>
        <w:tc>
          <w:tcPr>
            <w:tcW w:w="495" w:type="dxa"/>
            <w:tcBorders>
              <w:tl2br w:val="nil"/>
              <w:tr2bl w:val="nil"/>
            </w:tcBorders>
            <w:vAlign w:val="center"/>
          </w:tcPr>
          <w:p w14:paraId="702EE14A">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13</w:t>
            </w:r>
          </w:p>
        </w:tc>
        <w:tc>
          <w:tcPr>
            <w:tcW w:w="450" w:type="dxa"/>
            <w:tcBorders>
              <w:tl2br w:val="nil"/>
              <w:tr2bl w:val="nil"/>
            </w:tcBorders>
            <w:vAlign w:val="center"/>
          </w:tcPr>
          <w:p w14:paraId="5EF936A9">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20</w:t>
            </w:r>
          </w:p>
        </w:tc>
        <w:tc>
          <w:tcPr>
            <w:tcW w:w="1294" w:type="dxa"/>
            <w:tcBorders>
              <w:tl2br w:val="nil"/>
              <w:tr2bl w:val="nil"/>
            </w:tcBorders>
            <w:vAlign w:val="center"/>
          </w:tcPr>
          <w:p w14:paraId="385D6524">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c.2537G&gt;A,</w:t>
            </w:r>
          </w:p>
          <w:p w14:paraId="09C421DA">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p.G846D</w:t>
            </w:r>
          </w:p>
        </w:tc>
        <w:tc>
          <w:tcPr>
            <w:tcW w:w="686" w:type="dxa"/>
            <w:tcBorders>
              <w:tl2br w:val="nil"/>
              <w:tr2bl w:val="nil"/>
            </w:tcBorders>
            <w:vAlign w:val="center"/>
          </w:tcPr>
          <w:p w14:paraId="48174748">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点突变</w:t>
            </w:r>
          </w:p>
        </w:tc>
        <w:tc>
          <w:tcPr>
            <w:tcW w:w="696" w:type="dxa"/>
            <w:tcBorders>
              <w:tl2br w:val="nil"/>
              <w:tr2bl w:val="nil"/>
            </w:tcBorders>
            <w:vAlign w:val="center"/>
          </w:tcPr>
          <w:p w14:paraId="4F88E14F">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1.02</w:t>
            </w:r>
          </w:p>
        </w:tc>
        <w:tc>
          <w:tcPr>
            <w:tcW w:w="2469" w:type="dxa"/>
            <w:tcBorders>
              <w:tl2br w:val="nil"/>
              <w:tr2bl w:val="nil"/>
            </w:tcBorders>
            <w:vAlign w:val="center"/>
          </w:tcPr>
          <w:p w14:paraId="1F44D5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rPr>
              <w:t>瑞戈非尼（C）</w:t>
            </w:r>
          </w:p>
          <w:p w14:paraId="7AC9DC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rPr>
              <w:fldChar w:fldCharType="begin"/>
            </w:r>
            <w:r>
              <w:rPr>
                <w:rFonts w:hint="eastAsia" w:ascii="微软雅黑" w:hAnsi="微软雅黑" w:eastAsia="微软雅黑" w:cs="微软雅黑"/>
                <w:b w:val="0"/>
                <w:bCs/>
                <w:color w:val="0000FF"/>
                <w:kern w:val="2"/>
                <w:sz w:val="18"/>
                <w:szCs w:val="18"/>
                <w:highlight w:val="none"/>
                <w:u w:val="single"/>
                <w:lang w:val="en-US" w:eastAsia="zh-CN"/>
              </w:rPr>
              <w:instrText xml:space="preserve"> HYPERLINK \l "索拉菲尼（Sorafenib）叶10" </w:instrText>
            </w:r>
            <w:r>
              <w:rPr>
                <w:rFonts w:hint="eastAsia" w:ascii="微软雅黑" w:hAnsi="微软雅黑" w:eastAsia="微软雅黑" w:cs="微软雅黑"/>
                <w:b w:val="0"/>
                <w:bCs/>
                <w:color w:val="0000FF"/>
                <w:kern w:val="2"/>
                <w:sz w:val="18"/>
                <w:szCs w:val="18"/>
                <w:highlight w:val="none"/>
                <w:u w:val="single"/>
                <w:lang w:val="en-US" w:eastAsia="zh-CN"/>
              </w:rPr>
              <w:fldChar w:fldCharType="separate"/>
            </w:r>
            <w:r>
              <w:rPr>
                <w:rFonts w:hint="eastAsia" w:ascii="微软雅黑" w:hAnsi="微软雅黑" w:eastAsia="微软雅黑" w:cs="微软雅黑"/>
                <w:b w:val="0"/>
                <w:bCs/>
                <w:color w:val="0000FF"/>
                <w:kern w:val="2"/>
                <w:sz w:val="18"/>
                <w:szCs w:val="18"/>
                <w:highlight w:val="none"/>
                <w:u w:val="single"/>
                <w:lang w:val="en-US" w:eastAsia="zh-CN"/>
              </w:rPr>
              <w:t>索拉非尼（C）</w:t>
            </w:r>
            <w:r>
              <w:rPr>
                <w:rFonts w:hint="eastAsia" w:ascii="微软雅黑" w:hAnsi="微软雅黑" w:eastAsia="微软雅黑" w:cs="微软雅黑"/>
                <w:b w:val="0"/>
                <w:bCs/>
                <w:color w:val="0000FF"/>
                <w:kern w:val="2"/>
                <w:sz w:val="18"/>
                <w:szCs w:val="18"/>
                <w:highlight w:val="none"/>
                <w:u w:val="single"/>
                <w:lang w:val="en-US" w:eastAsia="zh-CN"/>
              </w:rPr>
              <w:fldChar w:fldCharType="end"/>
            </w:r>
          </w:p>
          <w:p w14:paraId="6126FB47">
            <w:pPr>
              <w:adjustRightInd/>
              <w:snapToGrid/>
              <w:spacing w:after="0" w:line="220" w:lineRule="atLeast"/>
              <w:jc w:val="center"/>
              <w:rPr>
                <w:rFonts w:ascii="微软雅黑" w:hAnsi="微软雅黑" w:cs="Times New Roman"/>
                <w:bCs/>
                <w:color w:val="0000FF"/>
                <w:kern w:val="2"/>
                <w:sz w:val="2"/>
                <w:szCs w:val="2"/>
                <w:u w:val="single"/>
              </w:rPr>
            </w:pPr>
            <w:r>
              <w:rPr>
                <w:rFonts w:hint="eastAsia" w:ascii="微软雅黑" w:hAnsi="微软雅黑" w:eastAsia="微软雅黑" w:cs="微软雅黑"/>
                <w:b w:val="0"/>
                <w:bCs/>
                <w:color w:val="0000FF"/>
                <w:kern w:val="2"/>
                <w:sz w:val="18"/>
                <w:szCs w:val="18"/>
                <w:highlight w:val="none"/>
                <w:u w:val="single"/>
                <w:lang w:val="en-US" w:eastAsia="zh-CN"/>
              </w:rPr>
              <w:fldChar w:fldCharType="begin"/>
            </w:r>
            <w:r>
              <w:rPr>
                <w:rFonts w:hint="eastAsia" w:ascii="微软雅黑" w:hAnsi="微软雅黑" w:eastAsia="微软雅黑" w:cs="微软雅黑"/>
                <w:b w:val="0"/>
                <w:bCs/>
                <w:color w:val="0000FF"/>
                <w:kern w:val="2"/>
                <w:sz w:val="18"/>
                <w:szCs w:val="18"/>
                <w:highlight w:val="none"/>
                <w:u w:val="single"/>
                <w:lang w:val="en-US" w:eastAsia="zh-CN"/>
              </w:rPr>
              <w:instrText xml:space="preserve"> HYPERLINK \l "舒尼替尼（Sunitinib）叶11" </w:instrText>
            </w:r>
            <w:r>
              <w:rPr>
                <w:rFonts w:hint="eastAsia" w:ascii="微软雅黑" w:hAnsi="微软雅黑" w:eastAsia="微软雅黑" w:cs="微软雅黑"/>
                <w:b w:val="0"/>
                <w:bCs/>
                <w:color w:val="0000FF"/>
                <w:kern w:val="2"/>
                <w:sz w:val="18"/>
                <w:szCs w:val="18"/>
                <w:highlight w:val="none"/>
                <w:u w:val="single"/>
                <w:lang w:val="en-US" w:eastAsia="zh-CN"/>
              </w:rPr>
              <w:fldChar w:fldCharType="separate"/>
            </w:r>
            <w:r>
              <w:rPr>
                <w:rFonts w:hint="eastAsia" w:ascii="微软雅黑" w:hAnsi="微软雅黑" w:eastAsia="微软雅黑" w:cs="微软雅黑"/>
                <w:b w:val="0"/>
                <w:bCs/>
                <w:color w:val="0000FF"/>
                <w:kern w:val="2"/>
                <w:sz w:val="18"/>
                <w:szCs w:val="18"/>
                <w:highlight w:val="none"/>
                <w:u w:val="single"/>
                <w:lang w:val="en-US" w:eastAsia="zh-CN"/>
              </w:rPr>
              <w:t>舒尼替尼</w:t>
            </w:r>
            <w:r>
              <w:rPr>
                <w:rFonts w:hint="eastAsia" w:ascii="微软雅黑" w:hAnsi="微软雅黑" w:eastAsia="微软雅黑" w:cs="微软雅黑"/>
                <w:b w:val="0"/>
                <w:bCs/>
                <w:color w:val="0000FF"/>
                <w:kern w:val="2"/>
                <w:sz w:val="18"/>
                <w:szCs w:val="18"/>
                <w:highlight w:val="none"/>
                <w:u w:val="single"/>
                <w:lang w:val="en-US" w:eastAsia="zh-CN"/>
              </w:rPr>
              <w:fldChar w:fldCharType="end"/>
            </w:r>
            <w:r>
              <w:rPr>
                <w:rFonts w:hint="eastAsia" w:ascii="微软雅黑" w:hAnsi="微软雅黑" w:eastAsia="微软雅黑" w:cs="微软雅黑"/>
                <w:b w:val="0"/>
                <w:bCs/>
                <w:color w:val="0000FF"/>
                <w:kern w:val="2"/>
                <w:sz w:val="18"/>
                <w:szCs w:val="18"/>
                <w:highlight w:val="none"/>
                <w:u w:val="single"/>
                <w:lang w:val="en-US" w:eastAsia="zh-CN"/>
              </w:rPr>
              <w:t>（C）</w:t>
            </w:r>
          </w:p>
        </w:tc>
        <w:tc>
          <w:tcPr>
            <w:tcW w:w="1442" w:type="dxa"/>
            <w:tcBorders>
              <w:tl2br w:val="nil"/>
              <w:tr2bl w:val="nil"/>
            </w:tcBorders>
            <w:vAlign w:val="center"/>
          </w:tcPr>
          <w:p w14:paraId="77D8EDD3">
            <w:pPr>
              <w:adjustRightInd/>
              <w:snapToGrid/>
              <w:spacing w:after="0" w:line="220" w:lineRule="atLeast"/>
              <w:jc w:val="center"/>
              <w:rPr>
                <w:rFonts w:ascii="微软雅黑" w:hAnsi="微软雅黑" w:cs="Times New Roman"/>
                <w:bCs/>
                <w:color w:val="0000FF"/>
                <w:kern w:val="2"/>
                <w:sz w:val="2"/>
                <w:szCs w:val="2"/>
                <w:u w:val="single"/>
              </w:rPr>
            </w:pPr>
            <w:r>
              <w:rPr>
                <w:rFonts w:hint="eastAsia" w:ascii="微软雅黑" w:hAnsi="微软雅黑" w:cs="微软雅黑"/>
                <w:bCs/>
                <w:kern w:val="2"/>
                <w:sz w:val="18"/>
                <w:szCs w:val="18"/>
              </w:rPr>
              <w:t>--</w:t>
            </w:r>
          </w:p>
        </w:tc>
      </w:tr>
      <w:tr w14:paraId="6BCBB51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6F6076D5">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PMS2</w:t>
            </w:r>
          </w:p>
        </w:tc>
        <w:tc>
          <w:tcPr>
            <w:tcW w:w="870" w:type="dxa"/>
            <w:tcBorders>
              <w:tl2br w:val="nil"/>
              <w:tr2bl w:val="nil"/>
            </w:tcBorders>
            <w:vAlign w:val="center"/>
          </w:tcPr>
          <w:p w14:paraId="36E46531">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NM_000535.7</w:t>
            </w:r>
          </w:p>
        </w:tc>
        <w:tc>
          <w:tcPr>
            <w:tcW w:w="495" w:type="dxa"/>
            <w:tcBorders>
              <w:tl2br w:val="nil"/>
              <w:tr2bl w:val="nil"/>
            </w:tcBorders>
            <w:vAlign w:val="center"/>
          </w:tcPr>
          <w:p w14:paraId="233AC1EF">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7</w:t>
            </w:r>
          </w:p>
        </w:tc>
        <w:tc>
          <w:tcPr>
            <w:tcW w:w="450" w:type="dxa"/>
            <w:tcBorders>
              <w:tl2br w:val="nil"/>
              <w:tr2bl w:val="nil"/>
            </w:tcBorders>
            <w:vAlign w:val="center"/>
          </w:tcPr>
          <w:p w14:paraId="4C2EE30D">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11</w:t>
            </w:r>
          </w:p>
        </w:tc>
        <w:tc>
          <w:tcPr>
            <w:tcW w:w="1294" w:type="dxa"/>
            <w:tcBorders>
              <w:tl2br w:val="nil"/>
              <w:tr2bl w:val="nil"/>
            </w:tcBorders>
            <w:vAlign w:val="center"/>
          </w:tcPr>
          <w:p w14:paraId="1E38B59A">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c.1273del,</w:t>
            </w:r>
          </w:p>
          <w:p w14:paraId="761B8129">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p.S425Lfs*23</w:t>
            </w:r>
          </w:p>
        </w:tc>
        <w:tc>
          <w:tcPr>
            <w:tcW w:w="686" w:type="dxa"/>
            <w:tcBorders>
              <w:tl2br w:val="nil"/>
              <w:tr2bl w:val="nil"/>
            </w:tcBorders>
            <w:vAlign w:val="center"/>
          </w:tcPr>
          <w:p w14:paraId="2EE2D89B">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缺失突变</w:t>
            </w:r>
          </w:p>
        </w:tc>
        <w:tc>
          <w:tcPr>
            <w:tcW w:w="696" w:type="dxa"/>
            <w:tcBorders>
              <w:tl2br w:val="nil"/>
              <w:tr2bl w:val="nil"/>
            </w:tcBorders>
            <w:vAlign w:val="center"/>
          </w:tcPr>
          <w:p w14:paraId="1D58C30C">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1</w:t>
            </w:r>
          </w:p>
        </w:tc>
        <w:tc>
          <w:tcPr>
            <w:tcW w:w="2469" w:type="dxa"/>
            <w:tcBorders>
              <w:tl2br w:val="nil"/>
              <w:tr2bl w:val="nil"/>
            </w:tcBorders>
            <w:vAlign w:val="center"/>
          </w:tcPr>
          <w:p w14:paraId="7DB87F72">
            <w:pPr>
              <w:adjustRightInd/>
              <w:snapToGrid/>
              <w:spacing w:after="0" w:line="220" w:lineRule="atLeast"/>
              <w:jc w:val="center"/>
              <w:rPr>
                <w:rFonts w:ascii="微软雅黑" w:hAnsi="微软雅黑" w:cs="Times New Roman"/>
                <w:bCs/>
                <w:color w:val="0000FF"/>
                <w:kern w:val="2"/>
                <w:sz w:val="2"/>
                <w:szCs w:val="2"/>
                <w:u w:val="single"/>
              </w:rPr>
            </w:pPr>
            <w:r>
              <w:rPr>
                <w:rFonts w:hint="eastAsia" w:ascii="微软雅黑" w:hAnsi="微软雅黑" w:cs="微软雅黑"/>
                <w:bCs/>
                <w:color w:val="0000FF"/>
                <w:kern w:val="2"/>
                <w:sz w:val="18"/>
                <w:szCs w:val="18"/>
                <w:u w:val="single"/>
              </w:rPr>
              <w:t>奥拉帕利（C）</w:t>
            </w:r>
          </w:p>
        </w:tc>
        <w:tc>
          <w:tcPr>
            <w:tcW w:w="1442" w:type="dxa"/>
            <w:tcBorders>
              <w:tl2br w:val="nil"/>
              <w:tr2bl w:val="nil"/>
            </w:tcBorders>
            <w:vAlign w:val="center"/>
          </w:tcPr>
          <w:p w14:paraId="23F606EB">
            <w:pPr>
              <w:adjustRightInd/>
              <w:snapToGrid/>
              <w:spacing w:after="0" w:line="220" w:lineRule="atLeast"/>
              <w:jc w:val="center"/>
              <w:rPr>
                <w:rFonts w:ascii="微软雅黑" w:hAnsi="微软雅黑" w:cs="Times New Roman"/>
                <w:bCs/>
                <w:color w:val="0000FF"/>
                <w:kern w:val="2"/>
                <w:sz w:val="2"/>
                <w:szCs w:val="2"/>
                <w:u w:val="single"/>
              </w:rPr>
            </w:pPr>
            <w:r>
              <w:rPr>
                <w:rFonts w:hint="eastAsia" w:ascii="微软雅黑" w:hAnsi="微软雅黑" w:cs="微软雅黑"/>
                <w:bCs/>
                <w:kern w:val="2"/>
                <w:sz w:val="18"/>
                <w:szCs w:val="18"/>
              </w:rPr>
              <w:t>--</w:t>
            </w:r>
          </w:p>
        </w:tc>
      </w:tr>
      <w:tr w14:paraId="4421AF6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042FAC29">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ATR</w:t>
            </w:r>
          </w:p>
        </w:tc>
        <w:tc>
          <w:tcPr>
            <w:tcW w:w="870" w:type="dxa"/>
            <w:tcBorders>
              <w:tl2br w:val="nil"/>
              <w:tr2bl w:val="nil"/>
            </w:tcBorders>
            <w:vAlign w:val="center"/>
          </w:tcPr>
          <w:p w14:paraId="7C3CD320">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NM_001184.4</w:t>
            </w:r>
          </w:p>
        </w:tc>
        <w:tc>
          <w:tcPr>
            <w:tcW w:w="495" w:type="dxa"/>
            <w:tcBorders>
              <w:tl2br w:val="nil"/>
              <w:tr2bl w:val="nil"/>
            </w:tcBorders>
            <w:vAlign w:val="center"/>
          </w:tcPr>
          <w:p w14:paraId="58816875">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3</w:t>
            </w:r>
          </w:p>
        </w:tc>
        <w:tc>
          <w:tcPr>
            <w:tcW w:w="450" w:type="dxa"/>
            <w:tcBorders>
              <w:tl2br w:val="nil"/>
              <w:tr2bl w:val="nil"/>
            </w:tcBorders>
            <w:vAlign w:val="center"/>
          </w:tcPr>
          <w:p w14:paraId="26E501AD">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5</w:t>
            </w:r>
          </w:p>
        </w:tc>
        <w:tc>
          <w:tcPr>
            <w:tcW w:w="1294" w:type="dxa"/>
            <w:tcBorders>
              <w:tl2br w:val="nil"/>
              <w:tr2bl w:val="nil"/>
            </w:tcBorders>
            <w:vAlign w:val="center"/>
          </w:tcPr>
          <w:p w14:paraId="2487BE0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c.1291del,</w:t>
            </w:r>
          </w:p>
          <w:p w14:paraId="3E4A6A50">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p.R431Gfs*8</w:t>
            </w:r>
          </w:p>
        </w:tc>
        <w:tc>
          <w:tcPr>
            <w:tcW w:w="686" w:type="dxa"/>
            <w:tcBorders>
              <w:tl2br w:val="nil"/>
              <w:tr2bl w:val="nil"/>
            </w:tcBorders>
            <w:vAlign w:val="center"/>
          </w:tcPr>
          <w:p w14:paraId="39A4C46B">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缺失突变</w:t>
            </w:r>
          </w:p>
        </w:tc>
        <w:tc>
          <w:tcPr>
            <w:tcW w:w="696" w:type="dxa"/>
            <w:tcBorders>
              <w:tl2br w:val="nil"/>
              <w:tr2bl w:val="nil"/>
            </w:tcBorders>
            <w:vAlign w:val="center"/>
          </w:tcPr>
          <w:p w14:paraId="0DEFF9B2">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0.98</w:t>
            </w:r>
          </w:p>
        </w:tc>
        <w:tc>
          <w:tcPr>
            <w:tcW w:w="2469" w:type="dxa"/>
            <w:tcBorders>
              <w:tl2br w:val="nil"/>
              <w:tr2bl w:val="nil"/>
            </w:tcBorders>
            <w:vAlign w:val="center"/>
          </w:tcPr>
          <w:p w14:paraId="5326F60B">
            <w:pPr>
              <w:adjustRightInd/>
              <w:snapToGrid/>
              <w:spacing w:after="0" w:line="220" w:lineRule="atLeast"/>
              <w:jc w:val="center"/>
              <w:rPr>
                <w:rFonts w:ascii="微软雅黑" w:hAnsi="微软雅黑"/>
                <w:bCs/>
                <w:color w:val="0000FF"/>
                <w:kern w:val="2"/>
                <w:sz w:val="2"/>
                <w:szCs w:val="2"/>
                <w:u w:val="single"/>
              </w:rPr>
            </w:pPr>
            <w:r>
              <w:rPr>
                <w:rFonts w:hint="eastAsia" w:ascii="微软雅黑" w:hAnsi="微软雅黑" w:cs="微软雅黑"/>
                <w:bCs/>
                <w:color w:val="0000FF"/>
                <w:kern w:val="2"/>
                <w:sz w:val="18"/>
                <w:szCs w:val="18"/>
                <w:u w:val="single"/>
              </w:rPr>
              <w:t>奥拉帕利（C）</w:t>
            </w:r>
          </w:p>
          <w:p w14:paraId="2E393803">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尼拉帕利（C）</w:t>
            </w:r>
          </w:p>
          <w:p w14:paraId="3A1F9C98">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他拉唑帕利（C）</w:t>
            </w:r>
          </w:p>
          <w:p w14:paraId="765ECE43">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LY2606368（C）</w:t>
            </w:r>
          </w:p>
          <w:p w14:paraId="243A4345">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SRA737（C）</w:t>
            </w:r>
          </w:p>
          <w:p w14:paraId="02CE3F4B">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奥拉帕利+帕博利珠单抗（C）</w:t>
            </w:r>
          </w:p>
          <w:p w14:paraId="13B24EF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他拉唑帕利+阿替利珠单抗（C）</w:t>
            </w:r>
          </w:p>
          <w:p w14:paraId="61A1D8FA">
            <w:pPr>
              <w:adjustRightInd/>
              <w:snapToGrid/>
              <w:spacing w:after="0" w:line="220" w:lineRule="atLeast"/>
              <w:jc w:val="center"/>
              <w:rPr>
                <w:rFonts w:hint="eastAsia"/>
                <w:kern w:val="0"/>
              </w:rPr>
            </w:pPr>
            <w:r>
              <w:rPr>
                <w:rFonts w:hint="eastAsia" w:ascii="微软雅黑" w:hAnsi="微软雅黑" w:cs="微软雅黑"/>
                <w:bCs/>
                <w:color w:val="0000FF"/>
                <w:kern w:val="2"/>
                <w:sz w:val="18"/>
                <w:szCs w:val="18"/>
                <w:u w:val="single"/>
              </w:rPr>
              <w:t>芦卡帕利（D）</w:t>
            </w:r>
          </w:p>
        </w:tc>
        <w:tc>
          <w:tcPr>
            <w:tcW w:w="1442" w:type="dxa"/>
            <w:tcBorders>
              <w:tl2br w:val="nil"/>
              <w:tr2bl w:val="nil"/>
            </w:tcBorders>
            <w:vAlign w:val="center"/>
          </w:tcPr>
          <w:p w14:paraId="72EAAF31">
            <w:pPr>
              <w:adjustRightInd/>
              <w:snapToGrid/>
              <w:spacing w:after="0" w:line="220" w:lineRule="atLeast"/>
              <w:jc w:val="center"/>
              <w:rPr>
                <w:rFonts w:ascii="微软雅黑" w:hAnsi="微软雅黑" w:cs="Times New Roman"/>
                <w:bCs/>
                <w:color w:val="0000FF"/>
                <w:kern w:val="2"/>
                <w:sz w:val="2"/>
                <w:szCs w:val="2"/>
                <w:u w:val="single"/>
              </w:rPr>
            </w:pPr>
            <w:r>
              <w:rPr>
                <w:rFonts w:hint="eastAsia" w:ascii="微软雅黑" w:hAnsi="微软雅黑" w:cs="微软雅黑"/>
                <w:bCs/>
                <w:kern w:val="2"/>
                <w:sz w:val="18"/>
                <w:szCs w:val="18"/>
              </w:rPr>
              <w:t>--</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BRAF</w:t>
            </w:r>
          </w:p>
        </w:tc>
        <w:tc>
          <w:tcPr>
            <w:tcW w:w="870" w:type="dxa"/>
            <w:tcBorders>
              <w:tl2br w:val="nil"/>
              <w:tr2bl w:val="nil"/>
            </w:tcBorders>
            <w:vAlign w:val="center"/>
          </w:tcPr>
          <w:p w14:paraId="5D9A47D5">
            <w:pPr>
              <w:spacing w:after="0"/>
              <w:jc w:val="center"/>
              <w:rPr>
                <w:rFonts w:hint="eastAsia" w:cs="Times New Roman"/>
                <w:kern w:val="2"/>
              </w:rPr>
            </w:pPr>
            <w:r>
              <w:rPr>
                <w:rFonts w:ascii="微软雅黑" w:hAnsi="微软雅黑" w:cs="微软雅黑"/>
                <w:bCs/>
                <w:kern w:val="2"/>
                <w:sz w:val="18"/>
                <w:szCs w:val="18"/>
                <w:lang w:bidi="ar"/>
              </w:rPr>
              <w:t>NM_004333.4</w:t>
            </w:r>
          </w:p>
        </w:tc>
        <w:tc>
          <w:tcPr>
            <w:tcW w:w="495" w:type="dxa"/>
            <w:tcBorders>
              <w:tl2br w:val="nil"/>
              <w:tr2bl w:val="nil"/>
            </w:tcBorders>
            <w:vAlign w:val="center"/>
          </w:tcPr>
          <w:p w14:paraId="410763B0">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7</w:t>
            </w:r>
          </w:p>
        </w:tc>
        <w:tc>
          <w:tcPr>
            <w:tcW w:w="450" w:type="dxa"/>
            <w:tcBorders>
              <w:tl2br w:val="nil"/>
              <w:tr2bl w:val="nil"/>
            </w:tcBorders>
            <w:vAlign w:val="center"/>
          </w:tcPr>
          <w:p w14:paraId="021F7CF9">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5CBF585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1E2A4D28">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ERBB2</w:t>
            </w:r>
          </w:p>
        </w:tc>
        <w:tc>
          <w:tcPr>
            <w:tcW w:w="870" w:type="dxa"/>
            <w:tcBorders>
              <w:tl2br w:val="nil"/>
              <w:tr2bl w:val="nil"/>
            </w:tcBorders>
            <w:vAlign w:val="center"/>
          </w:tcPr>
          <w:p w14:paraId="3EA64233">
            <w:pPr>
              <w:spacing w:after="0"/>
              <w:jc w:val="center"/>
              <w:rPr>
                <w:rFonts w:hint="eastAsia" w:cs="Times New Roman"/>
                <w:kern w:val="2"/>
              </w:rPr>
            </w:pPr>
            <w:r>
              <w:rPr>
                <w:rFonts w:ascii="微软雅黑" w:hAnsi="微软雅黑" w:cs="微软雅黑"/>
                <w:bCs/>
                <w:kern w:val="2"/>
                <w:sz w:val="18"/>
                <w:szCs w:val="18"/>
                <w:lang w:bidi="ar"/>
              </w:rPr>
              <w:t>NM_004448.3</w:t>
            </w:r>
          </w:p>
        </w:tc>
        <w:tc>
          <w:tcPr>
            <w:tcW w:w="495" w:type="dxa"/>
            <w:tcBorders>
              <w:tl2br w:val="nil"/>
              <w:tr2bl w:val="nil"/>
            </w:tcBorders>
            <w:vAlign w:val="center"/>
          </w:tcPr>
          <w:p w14:paraId="06CF3044">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17</w:t>
            </w:r>
          </w:p>
        </w:tc>
        <w:tc>
          <w:tcPr>
            <w:tcW w:w="450" w:type="dxa"/>
            <w:tcBorders>
              <w:tl2br w:val="nil"/>
              <w:tr2bl w:val="nil"/>
            </w:tcBorders>
            <w:vAlign w:val="center"/>
          </w:tcPr>
          <w:p w14:paraId="2815C454">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19DFB971">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3FA3FF5B">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36870AA">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4B9C6727">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42F56141">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1E4D906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52A2B351">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FBXW7</w:t>
            </w:r>
          </w:p>
        </w:tc>
        <w:tc>
          <w:tcPr>
            <w:tcW w:w="870" w:type="dxa"/>
            <w:tcBorders>
              <w:tl2br w:val="nil"/>
              <w:tr2bl w:val="nil"/>
            </w:tcBorders>
            <w:vAlign w:val="center"/>
          </w:tcPr>
          <w:p w14:paraId="117A21F2">
            <w:pPr>
              <w:spacing w:after="0"/>
              <w:jc w:val="center"/>
              <w:rPr>
                <w:rFonts w:hint="eastAsia" w:cs="Times New Roman"/>
                <w:kern w:val="2"/>
              </w:rPr>
            </w:pPr>
            <w:r>
              <w:rPr>
                <w:rFonts w:ascii="微软雅黑" w:hAnsi="微软雅黑" w:cs="微软雅黑"/>
                <w:bCs/>
                <w:kern w:val="2"/>
                <w:sz w:val="18"/>
                <w:szCs w:val="18"/>
                <w:lang w:bidi="ar"/>
              </w:rPr>
              <w:t>NM_001349798.2</w:t>
            </w:r>
          </w:p>
        </w:tc>
        <w:tc>
          <w:tcPr>
            <w:tcW w:w="495" w:type="dxa"/>
            <w:tcBorders>
              <w:tl2br w:val="nil"/>
              <w:tr2bl w:val="nil"/>
            </w:tcBorders>
            <w:vAlign w:val="center"/>
          </w:tcPr>
          <w:p w14:paraId="6D051420">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4</w:t>
            </w:r>
          </w:p>
        </w:tc>
        <w:tc>
          <w:tcPr>
            <w:tcW w:w="450" w:type="dxa"/>
            <w:tcBorders>
              <w:tl2br w:val="nil"/>
              <w:tr2bl w:val="nil"/>
            </w:tcBorders>
            <w:vAlign w:val="center"/>
          </w:tcPr>
          <w:p w14:paraId="194810E6">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45897F60">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75BC4D29">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3558B30D">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15A36FAE">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413A619">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2AD66CD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690B2346">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MLH1</w:t>
            </w:r>
          </w:p>
        </w:tc>
        <w:tc>
          <w:tcPr>
            <w:tcW w:w="870" w:type="dxa"/>
            <w:tcBorders>
              <w:tl2br w:val="nil"/>
              <w:tr2bl w:val="nil"/>
            </w:tcBorders>
            <w:vAlign w:val="center"/>
          </w:tcPr>
          <w:p w14:paraId="3E12C49B">
            <w:pPr>
              <w:spacing w:after="0"/>
              <w:jc w:val="center"/>
              <w:rPr>
                <w:rFonts w:hint="eastAsia" w:cs="Times New Roman"/>
                <w:kern w:val="2"/>
              </w:rPr>
            </w:pPr>
            <w:r>
              <w:rPr>
                <w:rFonts w:ascii="微软雅黑" w:hAnsi="微软雅黑" w:cs="微软雅黑"/>
                <w:bCs/>
                <w:kern w:val="2"/>
                <w:sz w:val="18"/>
                <w:szCs w:val="18"/>
                <w:lang w:bidi="ar"/>
              </w:rPr>
              <w:t>NM_000249.4</w:t>
            </w:r>
          </w:p>
        </w:tc>
        <w:tc>
          <w:tcPr>
            <w:tcW w:w="495" w:type="dxa"/>
            <w:tcBorders>
              <w:tl2br w:val="nil"/>
              <w:tr2bl w:val="nil"/>
            </w:tcBorders>
            <w:vAlign w:val="center"/>
          </w:tcPr>
          <w:p w14:paraId="3583753A">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3</w:t>
            </w:r>
          </w:p>
        </w:tc>
        <w:tc>
          <w:tcPr>
            <w:tcW w:w="450" w:type="dxa"/>
            <w:tcBorders>
              <w:tl2br w:val="nil"/>
              <w:tr2bl w:val="nil"/>
            </w:tcBorders>
            <w:vAlign w:val="center"/>
          </w:tcPr>
          <w:p w14:paraId="09697BF1">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3A8C1522">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1BE0AA6A">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4661373C">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59A7C75">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23ACCD33">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3F77374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6E999E1A">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MSH2</w:t>
            </w:r>
          </w:p>
        </w:tc>
        <w:tc>
          <w:tcPr>
            <w:tcW w:w="870" w:type="dxa"/>
            <w:tcBorders>
              <w:tl2br w:val="nil"/>
              <w:tr2bl w:val="nil"/>
            </w:tcBorders>
            <w:vAlign w:val="center"/>
          </w:tcPr>
          <w:p w14:paraId="4A4067B4">
            <w:pPr>
              <w:spacing w:after="0"/>
              <w:jc w:val="center"/>
              <w:rPr>
                <w:rFonts w:hint="eastAsia" w:cs="Times New Roman"/>
                <w:kern w:val="2"/>
              </w:rPr>
            </w:pPr>
            <w:r>
              <w:rPr>
                <w:rFonts w:ascii="微软雅黑" w:hAnsi="微软雅黑" w:cs="微软雅黑"/>
                <w:bCs/>
                <w:kern w:val="2"/>
                <w:sz w:val="18"/>
                <w:szCs w:val="18"/>
                <w:lang w:bidi="ar"/>
              </w:rPr>
              <w:t>NM_000251.3</w:t>
            </w:r>
          </w:p>
        </w:tc>
        <w:tc>
          <w:tcPr>
            <w:tcW w:w="495" w:type="dxa"/>
            <w:tcBorders>
              <w:tl2br w:val="nil"/>
              <w:tr2bl w:val="nil"/>
            </w:tcBorders>
            <w:vAlign w:val="center"/>
          </w:tcPr>
          <w:p w14:paraId="19DAB43F">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2</w:t>
            </w:r>
          </w:p>
        </w:tc>
        <w:tc>
          <w:tcPr>
            <w:tcW w:w="450" w:type="dxa"/>
            <w:tcBorders>
              <w:tl2br w:val="nil"/>
              <w:tr2bl w:val="nil"/>
            </w:tcBorders>
            <w:vAlign w:val="center"/>
          </w:tcPr>
          <w:p w14:paraId="0D9D06A4">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CAE307A">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2076F5CC">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59C288E1">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133F010C">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4AB8A747">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6609497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56077CD7">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MSH6</w:t>
            </w:r>
          </w:p>
        </w:tc>
        <w:tc>
          <w:tcPr>
            <w:tcW w:w="870" w:type="dxa"/>
            <w:tcBorders>
              <w:tl2br w:val="nil"/>
              <w:tr2bl w:val="nil"/>
            </w:tcBorders>
            <w:vAlign w:val="center"/>
          </w:tcPr>
          <w:p w14:paraId="4CA2949C">
            <w:pPr>
              <w:spacing w:after="0"/>
              <w:jc w:val="center"/>
              <w:rPr>
                <w:rFonts w:hint="eastAsia" w:cs="Times New Roman"/>
                <w:kern w:val="2"/>
              </w:rPr>
            </w:pPr>
            <w:r>
              <w:rPr>
                <w:rFonts w:ascii="微软雅黑" w:hAnsi="微软雅黑" w:cs="微软雅黑"/>
                <w:bCs/>
                <w:kern w:val="2"/>
                <w:sz w:val="18"/>
                <w:szCs w:val="18"/>
                <w:lang w:bidi="ar"/>
              </w:rPr>
              <w:t>NM_000179.3</w:t>
            </w:r>
          </w:p>
        </w:tc>
        <w:tc>
          <w:tcPr>
            <w:tcW w:w="495" w:type="dxa"/>
            <w:tcBorders>
              <w:tl2br w:val="nil"/>
              <w:tr2bl w:val="nil"/>
            </w:tcBorders>
            <w:vAlign w:val="center"/>
          </w:tcPr>
          <w:p w14:paraId="00C95DC5">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2</w:t>
            </w:r>
          </w:p>
        </w:tc>
        <w:tc>
          <w:tcPr>
            <w:tcW w:w="450" w:type="dxa"/>
            <w:tcBorders>
              <w:tl2br w:val="nil"/>
              <w:tr2bl w:val="nil"/>
            </w:tcBorders>
            <w:vAlign w:val="center"/>
          </w:tcPr>
          <w:p w14:paraId="7CF76066">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1511E218">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8D429E2">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0E4BFFF9">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402557F0">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05797F06">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581F89B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63FED723">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NF1</w:t>
            </w:r>
          </w:p>
        </w:tc>
        <w:tc>
          <w:tcPr>
            <w:tcW w:w="870" w:type="dxa"/>
            <w:tcBorders>
              <w:tl2br w:val="nil"/>
              <w:tr2bl w:val="nil"/>
            </w:tcBorders>
            <w:vAlign w:val="center"/>
          </w:tcPr>
          <w:p w14:paraId="2778EB9A">
            <w:pPr>
              <w:spacing w:after="0"/>
              <w:jc w:val="center"/>
              <w:rPr>
                <w:rFonts w:hint="eastAsia" w:cs="Times New Roman"/>
                <w:kern w:val="2"/>
              </w:rPr>
            </w:pPr>
            <w:r>
              <w:rPr>
                <w:rFonts w:ascii="微软雅黑" w:hAnsi="微软雅黑" w:cs="微软雅黑"/>
                <w:bCs/>
                <w:kern w:val="2"/>
                <w:sz w:val="18"/>
                <w:szCs w:val="18"/>
                <w:lang w:bidi="ar"/>
              </w:rPr>
              <w:t>NM_000267.3</w:t>
            </w:r>
          </w:p>
        </w:tc>
        <w:tc>
          <w:tcPr>
            <w:tcW w:w="495" w:type="dxa"/>
            <w:tcBorders>
              <w:tl2br w:val="nil"/>
              <w:tr2bl w:val="nil"/>
            </w:tcBorders>
            <w:vAlign w:val="center"/>
          </w:tcPr>
          <w:p w14:paraId="6F34C2E2">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17</w:t>
            </w:r>
          </w:p>
        </w:tc>
        <w:tc>
          <w:tcPr>
            <w:tcW w:w="450" w:type="dxa"/>
            <w:tcBorders>
              <w:tl2br w:val="nil"/>
              <w:tr2bl w:val="nil"/>
            </w:tcBorders>
            <w:vAlign w:val="center"/>
          </w:tcPr>
          <w:p w14:paraId="711B81E5">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221299E5">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2815FB31">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26379ED0">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0ECAB3C6">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1D15368E">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004A3C2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5D5DDF2F">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NRAS</w:t>
            </w:r>
          </w:p>
        </w:tc>
        <w:tc>
          <w:tcPr>
            <w:tcW w:w="870" w:type="dxa"/>
            <w:tcBorders>
              <w:tl2br w:val="nil"/>
              <w:tr2bl w:val="nil"/>
            </w:tcBorders>
            <w:vAlign w:val="center"/>
          </w:tcPr>
          <w:p w14:paraId="0BCDD469">
            <w:pPr>
              <w:spacing w:after="0"/>
              <w:jc w:val="center"/>
              <w:rPr>
                <w:rFonts w:hint="eastAsia" w:cs="Times New Roman"/>
                <w:kern w:val="2"/>
              </w:rPr>
            </w:pPr>
            <w:r>
              <w:rPr>
                <w:rFonts w:ascii="微软雅黑" w:hAnsi="微软雅黑" w:cs="微软雅黑"/>
                <w:bCs/>
                <w:kern w:val="2"/>
                <w:sz w:val="18"/>
                <w:szCs w:val="18"/>
                <w:lang w:bidi="ar"/>
              </w:rPr>
              <w:t>NM_002524.4</w:t>
            </w:r>
          </w:p>
        </w:tc>
        <w:tc>
          <w:tcPr>
            <w:tcW w:w="495" w:type="dxa"/>
            <w:tcBorders>
              <w:tl2br w:val="nil"/>
              <w:tr2bl w:val="nil"/>
            </w:tcBorders>
            <w:vAlign w:val="center"/>
          </w:tcPr>
          <w:p w14:paraId="2CD18062">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1</w:t>
            </w:r>
          </w:p>
        </w:tc>
        <w:tc>
          <w:tcPr>
            <w:tcW w:w="450" w:type="dxa"/>
            <w:tcBorders>
              <w:tl2br w:val="nil"/>
              <w:tr2bl w:val="nil"/>
            </w:tcBorders>
            <w:vAlign w:val="center"/>
          </w:tcPr>
          <w:p w14:paraId="04606E9D">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1000325D">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CA7716C">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06B4DCFA">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49E64228">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253C0161">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3D009C8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6BE85356">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NTRK1</w:t>
            </w:r>
          </w:p>
        </w:tc>
        <w:tc>
          <w:tcPr>
            <w:tcW w:w="870" w:type="dxa"/>
            <w:tcBorders>
              <w:tl2br w:val="nil"/>
              <w:tr2bl w:val="nil"/>
            </w:tcBorders>
            <w:vAlign w:val="center"/>
          </w:tcPr>
          <w:p w14:paraId="44DA4618">
            <w:pPr>
              <w:spacing w:after="0"/>
              <w:jc w:val="center"/>
              <w:rPr>
                <w:rFonts w:hint="eastAsia" w:cs="Times New Roman"/>
                <w:kern w:val="2"/>
              </w:rPr>
            </w:pPr>
            <w:r>
              <w:rPr>
                <w:rFonts w:ascii="微软雅黑" w:hAnsi="微软雅黑" w:cs="微软雅黑"/>
                <w:bCs/>
                <w:kern w:val="2"/>
                <w:sz w:val="18"/>
                <w:szCs w:val="18"/>
                <w:lang w:bidi="ar"/>
              </w:rPr>
              <w:t>NM_001007792.1</w:t>
            </w:r>
          </w:p>
        </w:tc>
        <w:tc>
          <w:tcPr>
            <w:tcW w:w="495" w:type="dxa"/>
            <w:tcBorders>
              <w:tl2br w:val="nil"/>
              <w:tr2bl w:val="nil"/>
            </w:tcBorders>
            <w:vAlign w:val="center"/>
          </w:tcPr>
          <w:p w14:paraId="4E9FBE40">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1</w:t>
            </w:r>
          </w:p>
        </w:tc>
        <w:tc>
          <w:tcPr>
            <w:tcW w:w="450" w:type="dxa"/>
            <w:tcBorders>
              <w:tl2br w:val="nil"/>
              <w:tr2bl w:val="nil"/>
            </w:tcBorders>
            <w:vAlign w:val="center"/>
          </w:tcPr>
          <w:p w14:paraId="34CB6918">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60B5F32A">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B7AD603">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7AC20A90">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404F87DE">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2F0B83C4">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0801AE5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6780BCA">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NTRK2</w:t>
            </w:r>
          </w:p>
        </w:tc>
        <w:tc>
          <w:tcPr>
            <w:tcW w:w="870" w:type="dxa"/>
            <w:tcBorders>
              <w:tl2br w:val="nil"/>
              <w:tr2bl w:val="nil"/>
            </w:tcBorders>
            <w:vAlign w:val="center"/>
          </w:tcPr>
          <w:p w14:paraId="72A7F19A">
            <w:pPr>
              <w:spacing w:after="0"/>
              <w:jc w:val="center"/>
              <w:rPr>
                <w:rFonts w:hint="eastAsia" w:cs="Times New Roman"/>
                <w:kern w:val="2"/>
              </w:rPr>
            </w:pPr>
            <w:r>
              <w:rPr>
                <w:rFonts w:ascii="微软雅黑" w:hAnsi="微软雅黑" w:cs="微软雅黑"/>
                <w:bCs/>
                <w:kern w:val="2"/>
                <w:sz w:val="18"/>
                <w:szCs w:val="18"/>
                <w:lang w:bidi="ar"/>
              </w:rPr>
              <w:t>NM_006180.4</w:t>
            </w:r>
          </w:p>
        </w:tc>
        <w:tc>
          <w:tcPr>
            <w:tcW w:w="495" w:type="dxa"/>
            <w:tcBorders>
              <w:tl2br w:val="nil"/>
              <w:tr2bl w:val="nil"/>
            </w:tcBorders>
            <w:vAlign w:val="center"/>
          </w:tcPr>
          <w:p w14:paraId="6FF20720">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9</w:t>
            </w:r>
          </w:p>
        </w:tc>
        <w:tc>
          <w:tcPr>
            <w:tcW w:w="450" w:type="dxa"/>
            <w:tcBorders>
              <w:tl2br w:val="nil"/>
              <w:tr2bl w:val="nil"/>
            </w:tcBorders>
            <w:vAlign w:val="center"/>
          </w:tcPr>
          <w:p w14:paraId="0BE27347">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DFBE816">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677FFDF3">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3F1C6F99">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6EA5EF">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0BC1C03B">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69AE0B2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C88F824">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NTRK3</w:t>
            </w:r>
          </w:p>
        </w:tc>
        <w:tc>
          <w:tcPr>
            <w:tcW w:w="870" w:type="dxa"/>
            <w:tcBorders>
              <w:tl2br w:val="nil"/>
              <w:tr2bl w:val="nil"/>
            </w:tcBorders>
            <w:vAlign w:val="center"/>
          </w:tcPr>
          <w:p w14:paraId="2E3BF100">
            <w:pPr>
              <w:spacing w:after="0"/>
              <w:jc w:val="center"/>
              <w:rPr>
                <w:rFonts w:hint="eastAsia" w:cs="Times New Roman"/>
                <w:kern w:val="2"/>
              </w:rPr>
            </w:pPr>
            <w:r>
              <w:rPr>
                <w:rFonts w:ascii="微软雅黑" w:hAnsi="微软雅黑" w:cs="微软雅黑"/>
                <w:bCs/>
                <w:kern w:val="2"/>
                <w:sz w:val="18"/>
                <w:szCs w:val="18"/>
                <w:lang w:bidi="ar"/>
              </w:rPr>
              <w:t>NM_001012338.2</w:t>
            </w:r>
          </w:p>
        </w:tc>
        <w:tc>
          <w:tcPr>
            <w:tcW w:w="495" w:type="dxa"/>
            <w:tcBorders>
              <w:tl2br w:val="nil"/>
              <w:tr2bl w:val="nil"/>
            </w:tcBorders>
            <w:vAlign w:val="center"/>
          </w:tcPr>
          <w:p w14:paraId="1B75378F">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15</w:t>
            </w:r>
          </w:p>
        </w:tc>
        <w:tc>
          <w:tcPr>
            <w:tcW w:w="450" w:type="dxa"/>
            <w:tcBorders>
              <w:tl2br w:val="nil"/>
              <w:tr2bl w:val="nil"/>
            </w:tcBorders>
            <w:vAlign w:val="center"/>
          </w:tcPr>
          <w:p w14:paraId="3AA5C1CC">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5316C3BA">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01E0F48F">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16257A05">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57CE24C">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046E509C">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40632669">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5A2B377D">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SMARCA4</w:t>
            </w:r>
          </w:p>
        </w:tc>
        <w:tc>
          <w:tcPr>
            <w:tcW w:w="870" w:type="dxa"/>
            <w:tcBorders>
              <w:tl2br w:val="nil"/>
              <w:tr2bl w:val="nil"/>
            </w:tcBorders>
            <w:vAlign w:val="center"/>
          </w:tcPr>
          <w:p w14:paraId="3117D7D0">
            <w:pPr>
              <w:spacing w:after="0"/>
              <w:jc w:val="center"/>
              <w:rPr>
                <w:rFonts w:hint="eastAsia" w:cs="Times New Roman"/>
                <w:kern w:val="2"/>
              </w:rPr>
            </w:pPr>
            <w:r>
              <w:rPr>
                <w:rFonts w:ascii="微软雅黑" w:hAnsi="微软雅黑" w:cs="微软雅黑"/>
                <w:bCs/>
                <w:kern w:val="2"/>
                <w:sz w:val="18"/>
                <w:szCs w:val="18"/>
                <w:lang w:bidi="ar"/>
              </w:rPr>
              <w:t>NM_001128849.3</w:t>
            </w:r>
          </w:p>
        </w:tc>
        <w:tc>
          <w:tcPr>
            <w:tcW w:w="495" w:type="dxa"/>
            <w:tcBorders>
              <w:tl2br w:val="nil"/>
              <w:tr2bl w:val="nil"/>
            </w:tcBorders>
            <w:vAlign w:val="center"/>
          </w:tcPr>
          <w:p w14:paraId="48C08B75">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19</w:t>
            </w:r>
          </w:p>
        </w:tc>
        <w:tc>
          <w:tcPr>
            <w:tcW w:w="450" w:type="dxa"/>
            <w:tcBorders>
              <w:tl2br w:val="nil"/>
              <w:tr2bl w:val="nil"/>
            </w:tcBorders>
            <w:vAlign w:val="center"/>
          </w:tcPr>
          <w:p w14:paraId="10411604">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4C036009">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145B8719">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46AE355C">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58C4F28">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1336D107">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3CB5859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1F096183">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TCF7L2</w:t>
            </w:r>
          </w:p>
        </w:tc>
        <w:tc>
          <w:tcPr>
            <w:tcW w:w="870" w:type="dxa"/>
            <w:tcBorders>
              <w:tl2br w:val="nil"/>
              <w:tr2bl w:val="nil"/>
            </w:tcBorders>
            <w:vAlign w:val="center"/>
          </w:tcPr>
          <w:p w14:paraId="578AB64B">
            <w:pPr>
              <w:spacing w:after="0"/>
              <w:jc w:val="center"/>
              <w:rPr>
                <w:rFonts w:hint="eastAsia" w:cs="Times New Roman"/>
                <w:kern w:val="2"/>
              </w:rPr>
            </w:pPr>
            <w:r>
              <w:rPr>
                <w:rFonts w:ascii="微软雅黑" w:hAnsi="微软雅黑" w:cs="微软雅黑"/>
                <w:bCs/>
                <w:kern w:val="2"/>
                <w:sz w:val="18"/>
                <w:szCs w:val="18"/>
                <w:lang w:bidi="ar"/>
              </w:rPr>
              <w:t>NM_001146274.2</w:t>
            </w:r>
          </w:p>
        </w:tc>
        <w:tc>
          <w:tcPr>
            <w:tcW w:w="495" w:type="dxa"/>
            <w:tcBorders>
              <w:tl2br w:val="nil"/>
              <w:tr2bl w:val="nil"/>
            </w:tcBorders>
            <w:vAlign w:val="center"/>
          </w:tcPr>
          <w:p w14:paraId="46195EA8">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10</w:t>
            </w:r>
          </w:p>
        </w:tc>
        <w:tc>
          <w:tcPr>
            <w:tcW w:w="450" w:type="dxa"/>
            <w:tcBorders>
              <w:tl2br w:val="nil"/>
              <w:tr2bl w:val="nil"/>
            </w:tcBorders>
            <w:vAlign w:val="center"/>
          </w:tcPr>
          <w:p w14:paraId="2BC68290">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3A74BCAB">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7BDA7044">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5355E463">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11A50786">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0F513021">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tr w14:paraId="08D45FA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5F28A3BA">
            <w:pPr>
              <w:adjustRightInd/>
              <w:snapToGrid/>
              <w:spacing w:after="0" w:line="220" w:lineRule="atLeast"/>
              <w:jc w:val="center"/>
              <w:rPr>
                <w:rFonts w:ascii="微软雅黑" w:hAnsi="微软雅黑" w:cs="微软雅黑"/>
                <w:bCs/>
                <w:kern w:val="2"/>
                <w:sz w:val="18"/>
                <w:szCs w:val="18"/>
              </w:rPr>
            </w:pPr>
            <w:r>
              <w:rPr>
                <w:rFonts w:ascii="微软雅黑" w:hAnsi="微软雅黑" w:cs="微软雅黑"/>
                <w:bCs/>
                <w:kern w:val="2"/>
                <w:sz w:val="18"/>
                <w:szCs w:val="18"/>
              </w:rPr>
              <w:t>TSC1</w:t>
            </w:r>
          </w:p>
        </w:tc>
        <w:tc>
          <w:tcPr>
            <w:tcW w:w="870" w:type="dxa"/>
            <w:tcBorders>
              <w:tl2br w:val="nil"/>
              <w:tr2bl w:val="nil"/>
            </w:tcBorders>
            <w:vAlign w:val="center"/>
          </w:tcPr>
          <w:p w14:paraId="078D8A26">
            <w:pPr>
              <w:spacing w:after="0"/>
              <w:jc w:val="center"/>
              <w:rPr>
                <w:rFonts w:hint="eastAsia" w:cs="Times New Roman"/>
                <w:kern w:val="2"/>
              </w:rPr>
            </w:pPr>
            <w:r>
              <w:rPr>
                <w:rFonts w:ascii="微软雅黑" w:hAnsi="微软雅黑" w:cs="微软雅黑"/>
                <w:bCs/>
                <w:kern w:val="2"/>
                <w:sz w:val="18"/>
                <w:szCs w:val="18"/>
                <w:lang w:bidi="ar"/>
              </w:rPr>
              <w:t>NM_000368.5</w:t>
            </w:r>
          </w:p>
        </w:tc>
        <w:tc>
          <w:tcPr>
            <w:tcW w:w="495" w:type="dxa"/>
            <w:tcBorders>
              <w:tl2br w:val="nil"/>
              <w:tr2bl w:val="nil"/>
            </w:tcBorders>
            <w:vAlign w:val="center"/>
          </w:tcPr>
          <w:p w14:paraId="3E2E204C">
            <w:pPr>
              <w:spacing w:after="0"/>
              <w:jc w:val="center"/>
              <w:rPr>
                <w:rFonts w:ascii="微软雅黑" w:hAnsi="微软雅黑" w:cs="微软雅黑"/>
                <w:kern w:val="2"/>
                <w:sz w:val="18"/>
                <w:szCs w:val="18"/>
              </w:rPr>
            </w:pPr>
            <w:r>
              <w:rPr>
                <w:rFonts w:ascii="微软雅黑" w:hAnsi="微软雅黑" w:cs="微软雅黑"/>
                <w:bCs/>
                <w:kern w:val="2"/>
                <w:sz w:val="18"/>
                <w:szCs w:val="18"/>
                <w:lang w:bidi="ar"/>
              </w:rPr>
              <w:t>9</w:t>
            </w:r>
          </w:p>
        </w:tc>
        <w:tc>
          <w:tcPr>
            <w:tcW w:w="450" w:type="dxa"/>
            <w:tcBorders>
              <w:tl2br w:val="nil"/>
              <w:tr2bl w:val="nil"/>
            </w:tcBorders>
            <w:vAlign w:val="center"/>
          </w:tcPr>
          <w:p w14:paraId="41AA164C">
            <w:pPr>
              <w:adjustRightInd/>
              <w:snapToGrid/>
              <w:spacing w:after="0" w:line="220" w:lineRule="atLeast"/>
              <w:jc w:val="center"/>
              <w:rPr>
                <w:rFonts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6C4CA626">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4AE91B6">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568AB106">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05AD68D5">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74A765E9">
            <w:pPr>
              <w:adjustRightInd/>
              <w:snapToGrid/>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w:t>
            </w:r>
          </w:p>
        </w:tc>
      </w:t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8"/>
    </w:tbl>
    <w:p w14:paraId="724EBEA6">
      <w:pPr>
        <w:adjustRightInd/>
        <w:snapToGrid/>
        <w:spacing w:after="0" w:line="220" w:lineRule="atLeast"/>
        <w:jc w:val="both"/>
        <w:rPr>
          <w:rFonts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96"/>
      <w:bookmarkEnd w:id="97"/>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8"/>
      <w:bookmarkEnd w:id="79"/>
    </w:p>
    <w:p w14:paraId="3E48C0FE">
      <w:pPr>
        <w:adjustRightInd/>
        <w:snapToGrid/>
        <w:spacing w:after="100" w:line="220" w:lineRule="atLeast"/>
        <w:jc w:val="both"/>
        <w:rPr>
          <w:rFonts w:ascii="微软雅黑" w:hAnsi="微软雅黑"/>
          <w:b/>
          <w:color w:val="00C4D8"/>
          <w:sz w:val="21"/>
          <w:szCs w:val="21"/>
        </w:rPr>
      </w:pPr>
      <w:bookmarkStart w:id="99" w:name="_Toc19562"/>
      <w:bookmarkStart w:id="100" w:name="_Toc27296"/>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药物适应情况</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spacing w:after="0"/>
              <w:jc w:val="center"/>
              <w:rPr>
                <w:rFonts w:ascii="微软雅黑" w:hAnsi="微软雅黑" w:cs="微软雅黑"/>
                <w:kern w:val="2"/>
                <w:sz w:val="21"/>
                <w:szCs w:val="21"/>
              </w:rPr>
            </w:pPr>
            <w:r>
              <w:rPr>
                <w:rFonts w:hint="eastAsia" w:ascii="微软雅黑" w:hAnsi="微软雅黑" w:cs="微软雅黑"/>
                <w:kern w:val="2"/>
                <w:sz w:val="21"/>
                <w:szCs w:val="21"/>
              </w:rPr>
              <w:t>贝伐珠单抗</w:t>
            </w:r>
          </w:p>
          <w:p w14:paraId="2F173E17">
            <w:pPr>
              <w:spacing w:after="0"/>
              <w:jc w:val="center"/>
              <w:rPr>
                <w:rFonts w:ascii="微软雅黑" w:hAnsi="微软雅黑" w:cs="微软雅黑"/>
                <w:kern w:val="2"/>
                <w:sz w:val="21"/>
                <w:szCs w:val="21"/>
              </w:rPr>
            </w:pPr>
            <w:r>
              <w:rPr>
                <w:rFonts w:hint="eastAsia" w:ascii="微软雅黑" w:hAnsi="微软雅黑" w:cs="微软雅黑"/>
                <w:kern w:val="2"/>
                <w:sz w:val="21"/>
                <w:szCs w:val="21"/>
              </w:rPr>
              <w:t>Bevacizumab</w:t>
            </w:r>
          </w:p>
          <w:p w14:paraId="5E2FAC7C">
            <w:pPr>
              <w:spacing w:after="0"/>
              <w:jc w:val="center"/>
              <w:rPr>
                <w:rFonts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spacing w:after="0"/>
              <w:jc w:val="center"/>
              <w:rPr>
                <w:rFonts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spacing w:after="0"/>
              <w:jc w:val="center"/>
              <w:rPr>
                <w:rFonts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spacing w:after="0"/>
              <w:jc w:val="center"/>
              <w:rPr>
                <w:rFonts w:ascii="微软雅黑" w:hAnsi="微软雅黑" w:cs="微软雅黑"/>
                <w:kern w:val="2"/>
                <w:sz w:val="21"/>
                <w:szCs w:val="21"/>
              </w:rPr>
            </w:pPr>
            <w:r>
              <w:rPr>
                <w:rFonts w:hint="eastAsia" w:ascii="微软雅黑" w:hAnsi="微软雅黑" w:cs="微软雅黑"/>
                <w:kern w:val="2"/>
                <w:sz w:val="21"/>
                <w:szCs w:val="21"/>
              </w:rPr>
              <w:t>Ramucirumab</w:t>
            </w:r>
          </w:p>
          <w:p w14:paraId="6E861AA1">
            <w:pPr>
              <w:spacing w:after="0"/>
              <w:jc w:val="center"/>
              <w:rPr>
                <w:rFonts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spacing w:after="0"/>
              <w:jc w:val="center"/>
              <w:rPr>
                <w:rFonts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spacing w:after="0"/>
              <w:jc w:val="center"/>
              <w:rPr>
                <w:rFonts w:ascii="微软雅黑" w:hAnsi="微软雅黑" w:cs="微软雅黑"/>
                <w:kern w:val="2"/>
                <w:sz w:val="21"/>
                <w:szCs w:val="21"/>
              </w:rPr>
            </w:pPr>
            <w:r>
              <w:rPr>
                <w:rFonts w:hint="eastAsia" w:ascii="微软雅黑" w:hAnsi="微软雅黑" w:cs="微软雅黑"/>
                <w:kern w:val="2"/>
                <w:sz w:val="21"/>
                <w:szCs w:val="21"/>
              </w:rPr>
              <w:t>呋喹替尼</w:t>
            </w:r>
          </w:p>
          <w:p w14:paraId="017CA194">
            <w:pPr>
              <w:spacing w:after="0"/>
              <w:jc w:val="center"/>
              <w:rPr>
                <w:rFonts w:ascii="微软雅黑" w:hAnsi="微软雅黑" w:cs="微软雅黑"/>
                <w:kern w:val="2"/>
                <w:sz w:val="21"/>
                <w:szCs w:val="21"/>
              </w:rPr>
            </w:pPr>
            <w:r>
              <w:rPr>
                <w:rFonts w:hint="eastAsia" w:ascii="微软雅黑" w:hAnsi="微软雅黑" w:cs="微软雅黑"/>
                <w:kern w:val="2"/>
                <w:sz w:val="21"/>
                <w:szCs w:val="21"/>
              </w:rPr>
              <w:t>Fruquintinib</w:t>
            </w:r>
          </w:p>
          <w:p w14:paraId="098706F4">
            <w:pPr>
              <w:spacing w:after="0"/>
              <w:jc w:val="center"/>
              <w:rPr>
                <w:rFonts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spacing w:after="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spacing w:after="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spacing w:after="0"/>
              <w:jc w:val="center"/>
              <w:rPr>
                <w:rFonts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spacing w:after="0"/>
              <w:jc w:val="center"/>
              <w:rPr>
                <w:rFonts w:ascii="微软雅黑" w:hAnsi="微软雅黑" w:cs="微软雅黑"/>
                <w:kern w:val="2"/>
                <w:sz w:val="21"/>
                <w:szCs w:val="21"/>
              </w:rPr>
            </w:pPr>
            <w:r>
              <w:rPr>
                <w:rFonts w:hint="eastAsia" w:ascii="微软雅黑" w:hAnsi="微软雅黑" w:cs="微软雅黑"/>
                <w:kern w:val="2"/>
                <w:sz w:val="21"/>
                <w:szCs w:val="21"/>
              </w:rPr>
              <w:t>阿柏西普</w:t>
            </w:r>
          </w:p>
          <w:p w14:paraId="3FC305DE">
            <w:pPr>
              <w:spacing w:after="0"/>
              <w:jc w:val="center"/>
              <w:rPr>
                <w:rFonts w:ascii="微软雅黑" w:hAnsi="微软雅黑" w:cs="微软雅黑"/>
                <w:kern w:val="2"/>
                <w:sz w:val="21"/>
                <w:szCs w:val="21"/>
              </w:rPr>
            </w:pPr>
            <w:r>
              <w:rPr>
                <w:rFonts w:hint="eastAsia" w:ascii="微软雅黑" w:hAnsi="微软雅黑" w:cs="微软雅黑"/>
                <w:kern w:val="2"/>
                <w:sz w:val="21"/>
                <w:szCs w:val="21"/>
              </w:rPr>
              <w:t>Ziv-aflibercept</w:t>
            </w:r>
          </w:p>
          <w:p w14:paraId="7ABA1D8F">
            <w:pPr>
              <w:spacing w:after="0"/>
              <w:jc w:val="center"/>
              <w:rPr>
                <w:rFonts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spacing w:after="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spacing w:after="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spacing w:after="0"/>
              <w:jc w:val="center"/>
              <w:rPr>
                <w:rFonts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spacing w:after="0"/>
              <w:jc w:val="center"/>
              <w:rPr>
                <w:rFonts w:ascii="微软雅黑" w:hAnsi="微软雅黑" w:cs="微软雅黑"/>
                <w:kern w:val="2"/>
                <w:sz w:val="21"/>
                <w:szCs w:val="21"/>
              </w:rPr>
            </w:pPr>
            <w:r>
              <w:rPr>
                <w:rFonts w:hint="eastAsia" w:ascii="微软雅黑" w:hAnsi="微软雅黑" w:cs="微软雅黑"/>
                <w:kern w:val="2"/>
                <w:sz w:val="21"/>
                <w:szCs w:val="21"/>
              </w:rPr>
              <w:t>阿帕替尼</w:t>
            </w:r>
          </w:p>
          <w:p w14:paraId="2618F976">
            <w:pPr>
              <w:spacing w:after="0"/>
              <w:jc w:val="center"/>
              <w:rPr>
                <w:rFonts w:ascii="微软雅黑" w:hAnsi="微软雅黑" w:cs="微软雅黑"/>
                <w:kern w:val="2"/>
                <w:sz w:val="21"/>
                <w:szCs w:val="21"/>
              </w:rPr>
            </w:pPr>
            <w:r>
              <w:rPr>
                <w:rFonts w:hint="eastAsia" w:ascii="微软雅黑" w:hAnsi="微软雅黑" w:cs="微软雅黑"/>
                <w:kern w:val="2"/>
                <w:sz w:val="21"/>
                <w:szCs w:val="21"/>
              </w:rPr>
              <w:t>Apatinib</w:t>
            </w:r>
          </w:p>
          <w:p w14:paraId="00B67BD0">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spacing w:after="0"/>
              <w:jc w:val="center"/>
              <w:rPr>
                <w:rFonts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spacing w:after="0"/>
              <w:ind w:firstLine="420"/>
              <w:jc w:val="both"/>
              <w:rPr>
                <w:rFonts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spacing w:after="0"/>
              <w:jc w:val="center"/>
              <w:rPr>
                <w:rFonts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spacing w:after="0"/>
              <w:ind w:firstLine="420" w:firstLineChars="200"/>
              <w:jc w:val="both"/>
              <w:rPr>
                <w:rFonts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99"/>
    <w:bookmarkEnd w:id="100"/>
    <w:p w14:paraId="1C9E9177">
      <w:pPr>
        <w:adjustRightInd/>
        <w:snapToGrid/>
        <w:spacing w:before="200" w:after="0" w:line="220" w:lineRule="atLeast"/>
        <w:jc w:val="both"/>
        <w:rPr>
          <w:rFonts w:ascii="微软雅黑" w:hAnsi="微软雅黑"/>
          <w:b/>
          <w:color w:val="00C4D8"/>
          <w:sz w:val="28"/>
          <w:szCs w:val="28"/>
        </w:rPr>
      </w:pPr>
      <w:bookmarkStart w:id="101" w:name="_Toc12380"/>
      <w:bookmarkStart w:id="102" w:name="_Toc3639"/>
      <w:bookmarkStart w:id="103" w:name="_Toc19901"/>
      <w:bookmarkStart w:id="104" w:name="_Toc31019"/>
      <w:bookmarkStart w:id="105" w:name="_Toc4246"/>
      <w:bookmarkStart w:id="106" w:name="_Toc26244"/>
      <w:bookmarkStart w:id="107" w:name="_Toc621"/>
      <w:bookmarkStart w:id="108" w:name="_Toc25543"/>
      <w:bookmarkStart w:id="109" w:name="_Toc18838"/>
      <w:bookmarkStart w:id="110" w:name="_Toc32647"/>
      <w:bookmarkStart w:id="111" w:name="_Toc2116"/>
      <w:bookmarkStart w:id="112" w:name="_Toc15081"/>
      <w:bookmarkStart w:id="113" w:name="_Toc32035"/>
      <w:bookmarkStart w:id="114" w:name="_Toc6223"/>
      <w:bookmarkStart w:id="115" w:name="_Toc5868"/>
      <w:bookmarkStart w:id="116" w:name="_Toc11221"/>
      <w:r>
        <w:rPr>
          <w:rFonts w:hint="eastAsia" w:ascii="微软雅黑" w:hAnsi="微软雅黑"/>
          <w:b/>
          <w:color w:val="00C4D8"/>
          <w:sz w:val="28"/>
          <w:szCs w:val="28"/>
        </w:rPr>
        <w:t>2.3</w:t>
      </w:r>
      <w:r>
        <w:rPr>
          <w:rFonts w:ascii="微软雅黑" w:hAnsi="微软雅黑"/>
          <w:b/>
          <w:color w:val="00C4D8"/>
          <w:sz w:val="28"/>
          <w:szCs w:val="28"/>
        </w:rPr>
        <w:t xml:space="preserve"> </w:t>
      </w:r>
      <w:bookmarkStart w:id="117" w:name="推荐临床常规靶向药物相关基因检测结果"/>
      <w:r>
        <w:rPr>
          <w:rFonts w:ascii="微软雅黑" w:hAnsi="微软雅黑"/>
          <w:b/>
          <w:color w:val="00C4D8"/>
          <w:sz w:val="28"/>
          <w:szCs w:val="28"/>
        </w:rPr>
        <w:t>NCCN 推荐临床常规靶向药物相关基因检测结果</w:t>
      </w:r>
      <w:bookmarkEnd w:id="101"/>
      <w:bookmarkEnd w:id="102"/>
      <w:bookmarkEnd w:id="103"/>
      <w:bookmarkEnd w:id="104"/>
      <w:bookmarkEnd w:id="105"/>
      <w:bookmarkEnd w:id="117"/>
      <w:r>
        <w:rPr>
          <w:rFonts w:hint="eastAsia" w:ascii="微软雅黑" w:hAnsi="微软雅黑"/>
          <w:b/>
          <w:color w:val="00C4D8"/>
          <w:sz w:val="28"/>
          <w:szCs w:val="28"/>
        </w:rPr>
        <w:t>（不限于本癌种）</w:t>
      </w:r>
    </w:p>
    <w:bookmarkEnd w:id="106"/>
    <w:bookmarkEnd w:id="107"/>
    <w:bookmarkEnd w:id="108"/>
    <w:bookmarkEnd w:id="109"/>
    <w:bookmarkEnd w:id="110"/>
    <w:bookmarkEnd w:id="111"/>
    <w:bookmarkEnd w:id="112"/>
    <w:bookmarkEnd w:id="113"/>
    <w:bookmarkEnd w:id="114"/>
    <w:bookmarkEnd w:id="115"/>
    <w:bookmarkEnd w:id="116"/>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spacing w:after="0"/>
              <w:jc w:val="center"/>
              <w:rPr>
                <w:rFonts w:ascii="微软雅黑" w:hAnsi="微软雅黑"/>
                <w:bCs/>
                <w:kern w:val="2"/>
                <w:sz w:val="20"/>
                <w:szCs w:val="20"/>
              </w:rPr>
            </w:pPr>
            <w:r>
              <w:rPr>
                <w:rFonts w:hint="eastAsia" w:ascii="微软雅黑" w:hAnsi="微软雅黑"/>
                <w:bCs/>
                <w:kern w:val="2"/>
                <w:sz w:val="20"/>
                <w:szCs w:val="20"/>
              </w:rPr>
              <w:t>EGFR</w:t>
            </w:r>
          </w:p>
        </w:tc>
        <w:tc>
          <w:tcPr>
            <w:tcW w:w="2277" w:type="dxa"/>
            <w:vAlign w:val="center"/>
          </w:tcPr>
          <w:p w14:paraId="2B7E6633">
            <w:pPr>
              <w:spacing w:after="0"/>
              <w:jc w:val="center"/>
              <w:rPr>
                <w:rFonts w:ascii="微软雅黑" w:hAnsi="微软雅黑"/>
                <w:bCs/>
                <w:kern w:val="2"/>
                <w:sz w:val="20"/>
                <w:szCs w:val="20"/>
              </w:rPr>
            </w:pPr>
            <w:r>
              <w:rPr>
                <w:rFonts w:hint="eastAsia" w:ascii="微软雅黑" w:hAnsi="微软雅黑"/>
                <w:bCs/>
                <w:kern w:val="2"/>
                <w:sz w:val="20"/>
                <w:szCs w:val="20"/>
              </w:rPr>
              <w:t>外显子18</w:t>
            </w:r>
          </w:p>
        </w:tc>
        <w:tc>
          <w:tcPr>
            <w:tcW w:w="4386" w:type="dxa"/>
            <w:vAlign w:val="center"/>
          </w:tcPr>
          <w:p w14:paraId="11675E37">
            <w:pPr>
              <w:spacing w:after="0"/>
              <w:jc w:val="center"/>
              <w:rPr>
                <w:rFonts w:ascii="微软雅黑" w:hAnsi="微软雅黑"/>
                <w:bCs/>
                <w:kern w:val="2"/>
                <w:sz w:val="20"/>
                <w:szCs w:val="20"/>
              </w:rPr>
            </w:pPr>
            <w:r>
              <w:rPr>
                <w:rFonts w:hint="eastAsia" w:ascii="微软雅黑" w:hAnsi="微软雅黑"/>
                <w:bCs/>
                <w:kern w:val="2"/>
                <w:sz w:val="20"/>
                <w:szCs w:val="20"/>
              </w:rPr>
              <w:t>未检出</w:t>
            </w:r>
          </w:p>
        </w:tc>
      </w:tr>
      <w:tr w14:paraId="0BC23F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EFB00C7">
            <w:pPr>
              <w:spacing w:after="0"/>
              <w:jc w:val="center"/>
              <w:rPr>
                <w:rFonts w:ascii="微软雅黑" w:hAnsi="微软雅黑"/>
                <w:bCs/>
                <w:kern w:val="2"/>
                <w:sz w:val="20"/>
                <w:szCs w:val="20"/>
              </w:rPr>
            </w:pPr>
          </w:p>
        </w:tc>
        <w:tc>
          <w:tcPr>
            <w:tcW w:w="2277" w:type="dxa"/>
            <w:vAlign w:val="center"/>
          </w:tcPr>
          <w:p w14:paraId="64A9A757">
            <w:pPr>
              <w:spacing w:after="0"/>
              <w:jc w:val="center"/>
              <w:rPr>
                <w:rFonts w:ascii="微软雅黑" w:hAnsi="微软雅黑"/>
                <w:bCs/>
                <w:kern w:val="2"/>
                <w:sz w:val="20"/>
                <w:szCs w:val="20"/>
              </w:rPr>
            </w:pPr>
            <w:r>
              <w:rPr>
                <w:rFonts w:hint="eastAsia" w:ascii="微软雅黑" w:hAnsi="微软雅黑"/>
                <w:bCs/>
                <w:kern w:val="2"/>
                <w:sz w:val="20"/>
                <w:szCs w:val="20"/>
              </w:rPr>
              <w:t>外显子19</w:t>
            </w:r>
          </w:p>
        </w:tc>
        <w:tc>
          <w:tcPr>
            <w:tcW w:w="4386" w:type="dxa"/>
            <w:vAlign w:val="center"/>
          </w:tcPr>
          <w:p w14:paraId="7ABFD0B3">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573E64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5D1B98E">
            <w:pPr>
              <w:spacing w:after="0"/>
              <w:jc w:val="center"/>
              <w:rPr>
                <w:rFonts w:ascii="微软雅黑" w:hAnsi="微软雅黑"/>
                <w:bCs/>
                <w:kern w:val="2"/>
                <w:sz w:val="20"/>
                <w:szCs w:val="20"/>
              </w:rPr>
            </w:pPr>
          </w:p>
        </w:tc>
        <w:tc>
          <w:tcPr>
            <w:tcW w:w="2277" w:type="dxa"/>
            <w:vAlign w:val="center"/>
          </w:tcPr>
          <w:p w14:paraId="561EF29B">
            <w:pPr>
              <w:spacing w:after="0"/>
              <w:jc w:val="center"/>
              <w:rPr>
                <w:rFonts w:ascii="微软雅黑" w:hAnsi="微软雅黑"/>
                <w:bCs/>
                <w:kern w:val="2"/>
                <w:sz w:val="20"/>
                <w:szCs w:val="20"/>
              </w:rPr>
            </w:pPr>
            <w:r>
              <w:rPr>
                <w:rFonts w:hint="eastAsia" w:ascii="微软雅黑" w:hAnsi="微软雅黑"/>
                <w:bCs/>
                <w:kern w:val="2"/>
                <w:sz w:val="20"/>
                <w:szCs w:val="20"/>
              </w:rPr>
              <w:t>外显子20</w:t>
            </w:r>
          </w:p>
        </w:tc>
        <w:tc>
          <w:tcPr>
            <w:tcW w:w="4386" w:type="dxa"/>
            <w:vAlign w:val="center"/>
          </w:tcPr>
          <w:p w14:paraId="12D85516">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48847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0656722">
            <w:pPr>
              <w:spacing w:after="0"/>
              <w:jc w:val="center"/>
              <w:rPr>
                <w:rFonts w:ascii="微软雅黑" w:hAnsi="微软雅黑"/>
                <w:bCs/>
                <w:kern w:val="2"/>
                <w:sz w:val="20"/>
                <w:szCs w:val="20"/>
              </w:rPr>
            </w:pPr>
          </w:p>
        </w:tc>
        <w:tc>
          <w:tcPr>
            <w:tcW w:w="2277" w:type="dxa"/>
            <w:vAlign w:val="center"/>
          </w:tcPr>
          <w:p w14:paraId="15BB72B6">
            <w:pPr>
              <w:spacing w:after="0"/>
              <w:jc w:val="center"/>
              <w:rPr>
                <w:rFonts w:ascii="微软雅黑" w:hAnsi="微软雅黑"/>
                <w:bCs/>
                <w:kern w:val="2"/>
                <w:sz w:val="20"/>
                <w:szCs w:val="20"/>
              </w:rPr>
            </w:pPr>
            <w:r>
              <w:rPr>
                <w:rFonts w:hint="eastAsia" w:ascii="微软雅黑" w:hAnsi="微软雅黑"/>
                <w:bCs/>
                <w:kern w:val="2"/>
                <w:sz w:val="20"/>
                <w:szCs w:val="20"/>
              </w:rPr>
              <w:t>外显子21</w:t>
            </w:r>
          </w:p>
        </w:tc>
        <w:tc>
          <w:tcPr>
            <w:tcW w:w="4386" w:type="dxa"/>
            <w:vAlign w:val="center"/>
          </w:tcPr>
          <w:p w14:paraId="28BFDD78">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5F8C33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5AC988B">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KRAS</w:t>
            </w:r>
          </w:p>
        </w:tc>
        <w:tc>
          <w:tcPr>
            <w:tcW w:w="2277" w:type="dxa"/>
            <w:vAlign w:val="center"/>
          </w:tcPr>
          <w:p w14:paraId="60073A27">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外显子2</w:t>
            </w:r>
          </w:p>
        </w:tc>
        <w:tc>
          <w:tcPr>
            <w:tcW w:w="4386" w:type="dxa"/>
            <w:vAlign w:val="center"/>
          </w:tcPr>
          <w:p w14:paraId="1745A401">
            <w:pPr>
              <w:spacing w:after="0" w:line="220" w:lineRule="atLeast"/>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lang w:bidi="ar"/>
              </w:rPr>
              <w:t>c.34G&gt;T</w:t>
            </w:r>
            <w:r>
              <w:rPr>
                <w:rFonts w:hint="eastAsia" w:ascii="微软雅黑" w:hAnsi="微软雅黑" w:cs="微软雅黑"/>
                <w:bCs/>
                <w:kern w:val="2"/>
                <w:sz w:val="20"/>
                <w:szCs w:val="20"/>
                <w:lang w:eastAsia="zh-CN" w:bidi="ar"/>
              </w:rPr>
              <w:t>，p.G12C</w:t>
            </w:r>
          </w:p>
        </w:tc>
      </w:tr>
      <w:tr w14:paraId="489258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0" w:hRule="atLeast"/>
        </w:trPr>
        <w:tc>
          <w:tcPr>
            <w:tcW w:w="1738" w:type="dxa"/>
            <w:vMerge w:val="continue"/>
            <w:vAlign w:val="center"/>
          </w:tcPr>
          <w:p w14:paraId="33D10137">
            <w:pPr>
              <w:spacing w:after="0"/>
              <w:jc w:val="center"/>
              <w:rPr>
                <w:rFonts w:ascii="微软雅黑" w:hAnsi="微软雅黑"/>
                <w:bCs/>
                <w:kern w:val="2"/>
                <w:sz w:val="20"/>
                <w:szCs w:val="20"/>
              </w:rPr>
            </w:pPr>
          </w:p>
        </w:tc>
        <w:tc>
          <w:tcPr>
            <w:tcW w:w="2277" w:type="dxa"/>
            <w:vAlign w:val="center"/>
          </w:tcPr>
          <w:p w14:paraId="02F41283">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外显子3</w:t>
            </w:r>
          </w:p>
        </w:tc>
        <w:tc>
          <w:tcPr>
            <w:tcW w:w="4386" w:type="dxa"/>
            <w:vAlign w:val="center"/>
          </w:tcPr>
          <w:p w14:paraId="5E6FCBAF">
            <w:pPr>
              <w:spacing w:after="0"/>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rPr>
              <w:t>未检出</w:t>
            </w:r>
          </w:p>
        </w:tc>
      </w:tr>
      <w:tr w14:paraId="3B8BC4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55A2BAF">
            <w:pPr>
              <w:spacing w:after="0"/>
              <w:jc w:val="center"/>
              <w:rPr>
                <w:rFonts w:ascii="微软雅黑" w:hAnsi="微软雅黑"/>
                <w:bCs/>
                <w:kern w:val="2"/>
                <w:sz w:val="20"/>
                <w:szCs w:val="20"/>
              </w:rPr>
            </w:pPr>
          </w:p>
        </w:tc>
        <w:tc>
          <w:tcPr>
            <w:tcW w:w="2277" w:type="dxa"/>
            <w:vAlign w:val="center"/>
          </w:tcPr>
          <w:p w14:paraId="1B5F0AD1">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外显子4</w:t>
            </w:r>
          </w:p>
        </w:tc>
        <w:tc>
          <w:tcPr>
            <w:tcW w:w="4386" w:type="dxa"/>
            <w:vAlign w:val="center"/>
          </w:tcPr>
          <w:p w14:paraId="0D812F79">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spacing w:after="0"/>
              <w:jc w:val="center"/>
              <w:rPr>
                <w:rFonts w:ascii="微软雅黑" w:hAnsi="微软雅黑"/>
                <w:bCs/>
                <w:kern w:val="2"/>
                <w:sz w:val="20"/>
                <w:szCs w:val="20"/>
              </w:rPr>
            </w:pPr>
            <w:r>
              <w:rPr>
                <w:rFonts w:hint="eastAsia" w:ascii="微软雅黑" w:hAnsi="微软雅黑" w:cs="Arial Unicode MS"/>
                <w:bCs/>
                <w:kern w:val="2"/>
                <w:sz w:val="20"/>
                <w:szCs w:val="20"/>
              </w:rPr>
              <w:t>ALK</w:t>
            </w:r>
          </w:p>
        </w:tc>
        <w:tc>
          <w:tcPr>
            <w:tcW w:w="2277" w:type="dxa"/>
            <w:vAlign w:val="center"/>
          </w:tcPr>
          <w:p w14:paraId="3EC2DE69">
            <w:pPr>
              <w:spacing w:after="0"/>
              <w:jc w:val="center"/>
              <w:rPr>
                <w:rFonts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0961D45">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32F30A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6951881">
            <w:pPr>
              <w:spacing w:after="0"/>
              <w:jc w:val="center"/>
              <w:rPr>
                <w:rFonts w:ascii="微软雅黑" w:hAnsi="微软雅黑"/>
                <w:bCs/>
                <w:kern w:val="2"/>
                <w:sz w:val="20"/>
                <w:szCs w:val="20"/>
              </w:rPr>
            </w:pPr>
            <w:r>
              <w:rPr>
                <w:rFonts w:hint="eastAsia" w:ascii="微软雅黑" w:hAnsi="微软雅黑" w:cs="Arial Unicode MS"/>
                <w:bCs/>
                <w:kern w:val="2"/>
                <w:sz w:val="20"/>
                <w:szCs w:val="20"/>
              </w:rPr>
              <w:t>ROS1</w:t>
            </w:r>
          </w:p>
        </w:tc>
        <w:tc>
          <w:tcPr>
            <w:tcW w:w="2277" w:type="dxa"/>
            <w:vAlign w:val="center"/>
          </w:tcPr>
          <w:p w14:paraId="439A9F96">
            <w:pPr>
              <w:spacing w:after="0"/>
              <w:jc w:val="center"/>
              <w:rPr>
                <w:rFonts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19A8DF1">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546D54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CCFFCB">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RET</w:t>
            </w:r>
          </w:p>
        </w:tc>
        <w:tc>
          <w:tcPr>
            <w:tcW w:w="2277" w:type="dxa"/>
            <w:vAlign w:val="center"/>
          </w:tcPr>
          <w:p w14:paraId="59CCAAB4">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4AF6DEB4">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099A72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A9894F">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ERBB2</w:t>
            </w:r>
          </w:p>
          <w:p w14:paraId="01A57C50">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（HER2）</w:t>
            </w:r>
          </w:p>
        </w:tc>
        <w:tc>
          <w:tcPr>
            <w:tcW w:w="2277" w:type="dxa"/>
            <w:vAlign w:val="center"/>
          </w:tcPr>
          <w:p w14:paraId="045E17D5">
            <w:pPr>
              <w:spacing w:after="0"/>
              <w:jc w:val="center"/>
              <w:rPr>
                <w:rFonts w:ascii="微软雅黑" w:hAnsi="微软雅黑"/>
                <w:bCs/>
                <w:kern w:val="2"/>
                <w:sz w:val="20"/>
                <w:szCs w:val="20"/>
              </w:rPr>
            </w:pPr>
            <w:r>
              <w:rPr>
                <w:rFonts w:hint="eastAsia" w:ascii="微软雅黑" w:hAnsi="微软雅黑" w:cs="Arial Unicode MS"/>
                <w:bCs/>
                <w:kern w:val="2"/>
                <w:sz w:val="20"/>
                <w:szCs w:val="20"/>
              </w:rPr>
              <w:t>突变</w:t>
            </w:r>
          </w:p>
        </w:tc>
        <w:tc>
          <w:tcPr>
            <w:tcW w:w="4386" w:type="dxa"/>
            <w:vAlign w:val="center"/>
          </w:tcPr>
          <w:p w14:paraId="5DBBEE60">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5C4A22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0C19DE6">
            <w:pPr>
              <w:spacing w:after="0"/>
              <w:jc w:val="center"/>
              <w:rPr>
                <w:rFonts w:ascii="微软雅黑" w:hAnsi="微软雅黑"/>
                <w:bCs/>
                <w:kern w:val="2"/>
                <w:sz w:val="20"/>
                <w:szCs w:val="20"/>
              </w:rPr>
            </w:pPr>
          </w:p>
        </w:tc>
        <w:tc>
          <w:tcPr>
            <w:tcW w:w="2277" w:type="dxa"/>
            <w:vAlign w:val="center"/>
          </w:tcPr>
          <w:p w14:paraId="3B3BE5BD">
            <w:pPr>
              <w:spacing w:after="0"/>
              <w:jc w:val="center"/>
              <w:rPr>
                <w:rFonts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1B3752DE">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3DA306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5B4102E1">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PIK3CA</w:t>
            </w:r>
          </w:p>
        </w:tc>
        <w:tc>
          <w:tcPr>
            <w:tcW w:w="2277" w:type="dxa"/>
            <w:vAlign w:val="center"/>
          </w:tcPr>
          <w:p w14:paraId="2054ABC6">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外显子10</w:t>
            </w:r>
          </w:p>
        </w:tc>
        <w:tc>
          <w:tcPr>
            <w:tcW w:w="4386" w:type="dxa"/>
            <w:vAlign w:val="center"/>
          </w:tcPr>
          <w:p w14:paraId="593A7EBA">
            <w:pPr>
              <w:spacing w:after="0"/>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lang w:eastAsia="zh-CN" w:bidi="ar"/>
              </w:rPr>
              <w:t>c.1624G&gt;A，p.E542K</w:t>
            </w:r>
          </w:p>
        </w:tc>
      </w:tr>
      <w:tr w14:paraId="097098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20D5732">
            <w:pPr>
              <w:spacing w:after="0"/>
              <w:jc w:val="center"/>
              <w:rPr>
                <w:rFonts w:ascii="微软雅黑" w:hAnsi="微软雅黑" w:cs="Arial Unicode MS"/>
                <w:bCs/>
                <w:kern w:val="2"/>
                <w:sz w:val="20"/>
                <w:szCs w:val="20"/>
              </w:rPr>
            </w:pPr>
          </w:p>
        </w:tc>
        <w:tc>
          <w:tcPr>
            <w:tcW w:w="2277" w:type="dxa"/>
            <w:vAlign w:val="center"/>
          </w:tcPr>
          <w:p w14:paraId="636E1133">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外显子21</w:t>
            </w:r>
          </w:p>
        </w:tc>
        <w:tc>
          <w:tcPr>
            <w:tcW w:w="4386" w:type="dxa"/>
            <w:vAlign w:val="center"/>
          </w:tcPr>
          <w:p w14:paraId="054C0C6B">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6DACCA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68896F8">
            <w:pPr>
              <w:spacing w:after="0"/>
              <w:jc w:val="center"/>
              <w:rPr>
                <w:rFonts w:ascii="微软雅黑" w:hAnsi="微软雅黑"/>
                <w:bCs/>
                <w:kern w:val="2"/>
                <w:sz w:val="20"/>
                <w:szCs w:val="20"/>
              </w:rPr>
            </w:pPr>
            <w:r>
              <w:rPr>
                <w:rFonts w:hint="eastAsia" w:ascii="微软雅黑" w:hAnsi="微软雅黑" w:cs="Arial Unicode MS"/>
                <w:bCs/>
                <w:kern w:val="2"/>
                <w:sz w:val="20"/>
                <w:szCs w:val="20"/>
              </w:rPr>
              <w:t>MET</w:t>
            </w:r>
          </w:p>
        </w:tc>
        <w:tc>
          <w:tcPr>
            <w:tcW w:w="2277" w:type="dxa"/>
            <w:vAlign w:val="center"/>
          </w:tcPr>
          <w:p w14:paraId="5C5B295F">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外显子14跳跃</w:t>
            </w:r>
          </w:p>
        </w:tc>
        <w:tc>
          <w:tcPr>
            <w:tcW w:w="4386" w:type="dxa"/>
            <w:vAlign w:val="center"/>
          </w:tcPr>
          <w:p w14:paraId="3FD52B38">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2CD60C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1AC115B">
            <w:pPr>
              <w:spacing w:after="0"/>
              <w:jc w:val="center"/>
              <w:rPr>
                <w:rFonts w:ascii="微软雅黑" w:hAnsi="微软雅黑"/>
                <w:bCs/>
                <w:kern w:val="2"/>
                <w:sz w:val="20"/>
                <w:szCs w:val="20"/>
              </w:rPr>
            </w:pPr>
          </w:p>
        </w:tc>
        <w:tc>
          <w:tcPr>
            <w:tcW w:w="2277" w:type="dxa"/>
            <w:vAlign w:val="center"/>
          </w:tcPr>
          <w:p w14:paraId="5E0BBD0A">
            <w:pPr>
              <w:spacing w:after="0"/>
              <w:jc w:val="center"/>
              <w:rPr>
                <w:rFonts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36C3A18A">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351DC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D22D575">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NRAS</w:t>
            </w:r>
          </w:p>
        </w:tc>
        <w:tc>
          <w:tcPr>
            <w:tcW w:w="2277" w:type="dxa"/>
            <w:vAlign w:val="center"/>
          </w:tcPr>
          <w:p w14:paraId="67DAB08D">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外显子2</w:t>
            </w:r>
          </w:p>
        </w:tc>
        <w:tc>
          <w:tcPr>
            <w:tcW w:w="4386" w:type="dxa"/>
            <w:vAlign w:val="center"/>
          </w:tcPr>
          <w:p w14:paraId="1CD5B43E">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未检出</w:t>
            </w:r>
          </w:p>
        </w:tc>
      </w:tr>
      <w:tr w14:paraId="741B04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834DF79">
            <w:pPr>
              <w:spacing w:after="0"/>
              <w:jc w:val="center"/>
              <w:rPr>
                <w:rFonts w:ascii="微软雅黑" w:hAnsi="微软雅黑" w:cs="Arial Unicode MS"/>
                <w:bCs/>
                <w:kern w:val="2"/>
                <w:sz w:val="20"/>
                <w:szCs w:val="20"/>
              </w:rPr>
            </w:pPr>
          </w:p>
        </w:tc>
        <w:tc>
          <w:tcPr>
            <w:tcW w:w="2277" w:type="dxa"/>
            <w:vAlign w:val="center"/>
          </w:tcPr>
          <w:p w14:paraId="086E895D">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外显子3</w:t>
            </w:r>
          </w:p>
        </w:tc>
        <w:tc>
          <w:tcPr>
            <w:tcW w:w="4386" w:type="dxa"/>
            <w:vAlign w:val="center"/>
          </w:tcPr>
          <w:p w14:paraId="0D1D0EF2">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未检出</w:t>
            </w:r>
          </w:p>
        </w:tc>
      </w:tr>
      <w:tr w14:paraId="158C95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1581636">
            <w:pPr>
              <w:spacing w:after="0"/>
              <w:jc w:val="center"/>
              <w:rPr>
                <w:rFonts w:ascii="微软雅黑" w:hAnsi="微软雅黑" w:cs="Arial Unicode MS"/>
                <w:bCs/>
                <w:kern w:val="2"/>
                <w:sz w:val="20"/>
                <w:szCs w:val="20"/>
              </w:rPr>
            </w:pPr>
          </w:p>
        </w:tc>
        <w:tc>
          <w:tcPr>
            <w:tcW w:w="2277" w:type="dxa"/>
            <w:vAlign w:val="center"/>
          </w:tcPr>
          <w:p w14:paraId="7CBC174E">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外显子4</w:t>
            </w:r>
          </w:p>
        </w:tc>
        <w:tc>
          <w:tcPr>
            <w:tcW w:w="4386" w:type="dxa"/>
            <w:vAlign w:val="center"/>
          </w:tcPr>
          <w:p w14:paraId="5B04EFC7">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未检出</w:t>
            </w:r>
          </w:p>
        </w:tc>
      </w:tr>
      <w:tr w14:paraId="6EEF11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72E130C">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BRAF</w:t>
            </w:r>
          </w:p>
        </w:tc>
        <w:tc>
          <w:tcPr>
            <w:tcW w:w="2277" w:type="dxa"/>
            <w:vAlign w:val="center"/>
          </w:tcPr>
          <w:p w14:paraId="17BD81F2">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密码子600</w:t>
            </w:r>
          </w:p>
        </w:tc>
        <w:tc>
          <w:tcPr>
            <w:tcW w:w="4386" w:type="dxa"/>
            <w:vAlign w:val="center"/>
          </w:tcPr>
          <w:p w14:paraId="2CA03303">
            <w:pPr>
              <w:spacing w:after="0"/>
              <w:jc w:val="center"/>
              <w:rPr>
                <w:rFonts w:ascii="微软雅黑" w:hAnsi="微软雅黑" w:cs="Arial Unicode MS"/>
                <w:bCs/>
                <w:kern w:val="2"/>
                <w:sz w:val="20"/>
                <w:szCs w:val="20"/>
              </w:rPr>
            </w:pPr>
            <w:r>
              <w:rPr>
                <w:rFonts w:hint="eastAsia" w:ascii="微软雅黑" w:hAnsi="微软雅黑" w:cs="微软雅黑"/>
                <w:bCs/>
                <w:kern w:val="2"/>
                <w:sz w:val="20"/>
                <w:szCs w:val="20"/>
              </w:rPr>
              <w:t>未检出</w:t>
            </w:r>
          </w:p>
        </w:tc>
      </w:tr>
      <w:tr w14:paraId="77F2A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B38CBE4">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FGFR1/2/3</w:t>
            </w:r>
          </w:p>
        </w:tc>
        <w:tc>
          <w:tcPr>
            <w:tcW w:w="2277" w:type="dxa"/>
            <w:vAlign w:val="center"/>
          </w:tcPr>
          <w:p w14:paraId="194B96D8">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2FA6FF3">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未检出</w:t>
            </w:r>
          </w:p>
        </w:tc>
      </w:tr>
      <w:tr w14:paraId="7FE385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7ACCDF6">
            <w:pPr>
              <w:spacing w:after="0"/>
              <w:jc w:val="center"/>
              <w:rPr>
                <w:rFonts w:ascii="微软雅黑" w:hAnsi="微软雅黑" w:cs="Arial Unicode MS"/>
                <w:bCs/>
                <w:kern w:val="2"/>
                <w:sz w:val="20"/>
                <w:szCs w:val="20"/>
              </w:rPr>
            </w:pPr>
          </w:p>
        </w:tc>
        <w:tc>
          <w:tcPr>
            <w:tcW w:w="2277" w:type="dxa"/>
            <w:vAlign w:val="center"/>
          </w:tcPr>
          <w:p w14:paraId="40D9C061">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32DBC162">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未检出</w:t>
            </w:r>
          </w:p>
        </w:tc>
      </w:tr>
      <w:tr w14:paraId="031BF1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FEDB4D8">
            <w:pPr>
              <w:spacing w:after="0"/>
              <w:jc w:val="center"/>
              <w:rPr>
                <w:rFonts w:ascii="微软雅黑" w:hAnsi="微软雅黑"/>
                <w:bCs/>
                <w:kern w:val="2"/>
                <w:sz w:val="20"/>
                <w:szCs w:val="20"/>
              </w:rPr>
            </w:pPr>
            <w:r>
              <w:rPr>
                <w:rFonts w:hint="eastAsia" w:ascii="微软雅黑" w:hAnsi="微软雅黑" w:cs="Arial Unicode MS"/>
                <w:bCs/>
                <w:kern w:val="2"/>
                <w:sz w:val="20"/>
                <w:szCs w:val="20"/>
              </w:rPr>
              <w:t>NTRK1/2/3</w:t>
            </w:r>
          </w:p>
        </w:tc>
        <w:tc>
          <w:tcPr>
            <w:tcW w:w="2277" w:type="dxa"/>
            <w:vAlign w:val="center"/>
          </w:tcPr>
          <w:p w14:paraId="4C8DA5A2">
            <w:pPr>
              <w:spacing w:after="0"/>
              <w:jc w:val="center"/>
              <w:rPr>
                <w:rFonts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3F07844A">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73959D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61EDF6CF">
            <w:pPr>
              <w:spacing w:after="0"/>
              <w:jc w:val="center"/>
              <w:rPr>
                <w:rFonts w:ascii="微软雅黑" w:hAnsi="微软雅黑"/>
                <w:bCs/>
                <w:kern w:val="2"/>
                <w:sz w:val="20"/>
                <w:szCs w:val="20"/>
              </w:rPr>
            </w:pPr>
            <w:r>
              <w:rPr>
                <w:rFonts w:hint="eastAsia" w:ascii="微软雅黑" w:hAnsi="微软雅黑" w:cs="Arial Unicode MS"/>
                <w:bCs/>
                <w:kern w:val="2"/>
                <w:sz w:val="20"/>
                <w:szCs w:val="20"/>
              </w:rPr>
              <w:t>KIT</w:t>
            </w:r>
          </w:p>
        </w:tc>
        <w:tc>
          <w:tcPr>
            <w:tcW w:w="2277" w:type="dxa"/>
            <w:vAlign w:val="center"/>
          </w:tcPr>
          <w:p w14:paraId="377CF421">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外显子9</w:t>
            </w:r>
          </w:p>
        </w:tc>
        <w:tc>
          <w:tcPr>
            <w:tcW w:w="4386" w:type="dxa"/>
            <w:vAlign w:val="center"/>
          </w:tcPr>
          <w:p w14:paraId="4988092F">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2D06A8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C548F7E">
            <w:pPr>
              <w:spacing w:after="0"/>
              <w:jc w:val="center"/>
              <w:rPr>
                <w:rFonts w:ascii="微软雅黑" w:hAnsi="微软雅黑" w:cs="Arial Unicode MS"/>
                <w:bCs/>
                <w:kern w:val="2"/>
                <w:sz w:val="20"/>
                <w:szCs w:val="20"/>
              </w:rPr>
            </w:pPr>
          </w:p>
        </w:tc>
        <w:tc>
          <w:tcPr>
            <w:tcW w:w="2277" w:type="dxa"/>
            <w:vAlign w:val="center"/>
          </w:tcPr>
          <w:p w14:paraId="0ED987EE">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外显子11</w:t>
            </w:r>
          </w:p>
        </w:tc>
        <w:tc>
          <w:tcPr>
            <w:tcW w:w="4386" w:type="dxa"/>
            <w:vAlign w:val="center"/>
          </w:tcPr>
          <w:p w14:paraId="0D0B2019">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65DCE4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1CD4AFA">
            <w:pPr>
              <w:spacing w:after="0"/>
              <w:jc w:val="center"/>
              <w:rPr>
                <w:rFonts w:ascii="微软雅黑" w:hAnsi="微软雅黑" w:cs="Arial Unicode MS"/>
                <w:bCs/>
                <w:kern w:val="2"/>
                <w:sz w:val="20"/>
                <w:szCs w:val="20"/>
              </w:rPr>
            </w:pPr>
          </w:p>
        </w:tc>
        <w:tc>
          <w:tcPr>
            <w:tcW w:w="2277" w:type="dxa"/>
            <w:vAlign w:val="center"/>
          </w:tcPr>
          <w:p w14:paraId="4759CD7B">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外显子13</w:t>
            </w:r>
          </w:p>
        </w:tc>
        <w:tc>
          <w:tcPr>
            <w:tcW w:w="4386" w:type="dxa"/>
            <w:vAlign w:val="center"/>
          </w:tcPr>
          <w:p w14:paraId="636B071D">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1F0ED3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152D777">
            <w:pPr>
              <w:spacing w:after="0"/>
              <w:jc w:val="center"/>
              <w:rPr>
                <w:rFonts w:ascii="微软雅黑" w:hAnsi="微软雅黑" w:cs="Arial Unicode MS"/>
                <w:bCs/>
                <w:kern w:val="2"/>
                <w:sz w:val="20"/>
                <w:szCs w:val="20"/>
              </w:rPr>
            </w:pPr>
          </w:p>
        </w:tc>
        <w:tc>
          <w:tcPr>
            <w:tcW w:w="2277" w:type="dxa"/>
            <w:vAlign w:val="center"/>
          </w:tcPr>
          <w:p w14:paraId="67C6A9A0">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外显子17</w:t>
            </w:r>
          </w:p>
        </w:tc>
        <w:tc>
          <w:tcPr>
            <w:tcW w:w="4386" w:type="dxa"/>
            <w:vAlign w:val="center"/>
          </w:tcPr>
          <w:p w14:paraId="6D131475">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300F1B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FE0A3B2">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PDGFRA</w:t>
            </w:r>
          </w:p>
        </w:tc>
        <w:tc>
          <w:tcPr>
            <w:tcW w:w="2277" w:type="dxa"/>
            <w:vAlign w:val="center"/>
          </w:tcPr>
          <w:p w14:paraId="2153BFE1">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外显子12</w:t>
            </w:r>
          </w:p>
        </w:tc>
        <w:tc>
          <w:tcPr>
            <w:tcW w:w="4386" w:type="dxa"/>
            <w:vAlign w:val="center"/>
          </w:tcPr>
          <w:p w14:paraId="07D53F7B">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000977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8206AFA">
            <w:pPr>
              <w:spacing w:after="0"/>
              <w:jc w:val="center"/>
              <w:rPr>
                <w:rFonts w:ascii="微软雅黑" w:hAnsi="微软雅黑" w:cs="Arial Unicode MS"/>
                <w:bCs/>
                <w:kern w:val="2"/>
                <w:sz w:val="20"/>
                <w:szCs w:val="20"/>
              </w:rPr>
            </w:pPr>
          </w:p>
        </w:tc>
        <w:tc>
          <w:tcPr>
            <w:tcW w:w="2277" w:type="dxa"/>
            <w:vAlign w:val="center"/>
          </w:tcPr>
          <w:p w14:paraId="24A02431">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外显子14</w:t>
            </w:r>
          </w:p>
        </w:tc>
        <w:tc>
          <w:tcPr>
            <w:tcW w:w="4386" w:type="dxa"/>
            <w:vAlign w:val="center"/>
          </w:tcPr>
          <w:p w14:paraId="303441B2">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3C598F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0C9C065">
            <w:pPr>
              <w:spacing w:after="0"/>
              <w:jc w:val="center"/>
              <w:rPr>
                <w:rFonts w:ascii="微软雅黑" w:hAnsi="微软雅黑" w:cs="Arial Unicode MS"/>
                <w:bCs/>
                <w:kern w:val="2"/>
                <w:sz w:val="20"/>
                <w:szCs w:val="20"/>
              </w:rPr>
            </w:pPr>
          </w:p>
        </w:tc>
        <w:tc>
          <w:tcPr>
            <w:tcW w:w="2277" w:type="dxa"/>
            <w:vAlign w:val="center"/>
          </w:tcPr>
          <w:p w14:paraId="677B05F5">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外显子18</w:t>
            </w:r>
          </w:p>
        </w:tc>
        <w:tc>
          <w:tcPr>
            <w:tcW w:w="4386" w:type="dxa"/>
            <w:vAlign w:val="center"/>
          </w:tcPr>
          <w:p w14:paraId="7377F749">
            <w:pPr>
              <w:spacing w:after="0"/>
              <w:jc w:val="center"/>
              <w:rPr>
                <w:rFonts w:ascii="微软雅黑" w:hAnsi="微软雅黑"/>
                <w:bCs/>
                <w:kern w:val="2"/>
                <w:sz w:val="20"/>
                <w:szCs w:val="20"/>
              </w:rPr>
            </w:pPr>
            <w:r>
              <w:rPr>
                <w:rFonts w:hint="eastAsia" w:ascii="微软雅黑" w:hAnsi="微软雅黑" w:cs="微软雅黑"/>
                <w:bCs/>
                <w:kern w:val="2"/>
                <w:sz w:val="20"/>
                <w:szCs w:val="20"/>
              </w:rPr>
              <w:t>未检出</w:t>
            </w:r>
          </w:p>
        </w:tc>
      </w:tr>
      <w:tr w14:paraId="724A9E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78BF744B">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BRCA1/2</w:t>
            </w:r>
          </w:p>
        </w:tc>
        <w:tc>
          <w:tcPr>
            <w:tcW w:w="2277" w:type="dxa"/>
            <w:vAlign w:val="center"/>
          </w:tcPr>
          <w:p w14:paraId="70CE5BF2">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613DC2E2">
            <w:pPr>
              <w:spacing w:after="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BRCA1</w:t>
            </w:r>
            <w:r>
              <w:rPr>
                <w:rFonts w:hint="eastAsia" w:ascii="微软雅黑" w:hAnsi="微软雅黑" w:cs="微软雅黑"/>
                <w:bCs/>
                <w:kern w:val="2"/>
                <w:sz w:val="20"/>
                <w:szCs w:val="20"/>
                <w:lang w:eastAsia="zh-CN"/>
              </w:rPr>
              <w:t>：c.505C&gt;T，p.Q169*</w:t>
            </w:r>
          </w:p>
        </w:tc>
      </w:tr>
      <w:tr w14:paraId="2F1E12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3AA7202">
            <w:pPr>
              <w:spacing w:after="0"/>
              <w:jc w:val="center"/>
              <w:rPr>
                <w:rFonts w:ascii="微软雅黑" w:hAnsi="微软雅黑" w:cs="Arial Unicode MS"/>
                <w:bCs/>
                <w:kern w:val="2"/>
                <w:sz w:val="20"/>
                <w:szCs w:val="20"/>
              </w:rPr>
            </w:pPr>
            <w:r>
              <w:rPr>
                <w:rFonts w:hint="eastAsia" w:ascii="微软雅黑" w:hAnsi="微软雅黑" w:cs="微软雅黑"/>
                <w:kern w:val="2"/>
                <w:sz w:val="20"/>
                <w:szCs w:val="20"/>
              </w:rPr>
              <w:t>IDH1/2</w:t>
            </w:r>
          </w:p>
        </w:tc>
        <w:tc>
          <w:tcPr>
            <w:tcW w:w="2277" w:type="dxa"/>
            <w:vAlign w:val="center"/>
          </w:tcPr>
          <w:p w14:paraId="397ACD75">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310B010">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未检出</w:t>
            </w:r>
          </w:p>
        </w:tc>
      </w:tr>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18" w:name="_Toc31097"/>
      <w:bookmarkStart w:id="119" w:name="_Toc6327"/>
      <w:bookmarkStart w:id="120" w:name="_Toc31274"/>
      <w:bookmarkStart w:id="121" w:name="_Toc28714"/>
      <w:bookmarkStart w:id="122" w:name="肿瘤突变负荷（TMB）水平提示"/>
      <w:bookmarkStart w:id="123" w:name="肿瘤突变负荷（TMB）水平提示杨传敏"/>
      <w:bookmarkStart w:id="124" w:name="_Toc21388"/>
      <w:bookmarkStart w:id="125" w:name="_Toc11092"/>
      <w:bookmarkStart w:id="126" w:name="_Toc1459"/>
      <w:bookmarkStart w:id="127" w:name="_Toc18298"/>
      <w:bookmarkStart w:id="128" w:name="_Toc22245"/>
      <w:bookmarkStart w:id="129" w:name="_Toc29653"/>
      <w:bookmarkStart w:id="130" w:name="_Toc9198"/>
      <w:bookmarkStart w:id="131" w:name="_Toc10173"/>
      <w:bookmarkStart w:id="132" w:name="_Toc28845"/>
      <w:bookmarkStart w:id="133" w:name="_Toc5886"/>
      <w:bookmarkStart w:id="134" w:name="_Toc5877"/>
      <w:r>
        <w:rPr>
          <w:rFonts w:hint="eastAsia" w:ascii="微软雅黑" w:hAnsi="微软雅黑"/>
          <w:b/>
          <w:color w:val="00C4D8"/>
          <w:sz w:val="32"/>
          <w:szCs w:val="32"/>
        </w:rPr>
        <w:t>3. 免疫治疗疗效评估</w:t>
      </w:r>
      <w:bookmarkEnd w:id="118"/>
    </w:p>
    <w:p w14:paraId="29403A30">
      <w:pPr>
        <w:adjustRightInd/>
        <w:snapToGrid/>
        <w:spacing w:before="200" w:line="220" w:lineRule="atLeast"/>
        <w:rPr>
          <w:rFonts w:ascii="微软雅黑" w:hAnsi="微软雅黑"/>
          <w:b/>
          <w:color w:val="00C4D8"/>
          <w:sz w:val="28"/>
          <w:szCs w:val="28"/>
        </w:rPr>
      </w:pPr>
      <w:bookmarkStart w:id="135" w:name="OLE_LINK4"/>
      <w:r>
        <w:rPr>
          <w:rFonts w:hint="eastAsia" w:ascii="微软雅黑" w:hAnsi="微软雅黑"/>
          <w:b/>
          <w:color w:val="00C4D8"/>
          <w:sz w:val="28"/>
          <w:szCs w:val="28"/>
        </w:rPr>
        <w:t>3.1 肿瘤突变负荷（TMB）水平提示</w:t>
      </w:r>
      <w:bookmarkEnd w:id="119"/>
      <w:bookmarkEnd w:id="120"/>
      <w:bookmarkEnd w:id="121"/>
    </w:p>
    <w:bookmarkEnd w:id="122"/>
    <w:bookmarkEnd w:id="123"/>
    <w:bookmarkEnd w:id="135"/>
    <w:p w14:paraId="7AC94F57">
      <w:pPr>
        <w:numPr>
          <w:ilvl w:val="255"/>
          <w:numId w:val="0"/>
        </w:numPr>
        <w:spacing w:after="0" w:line="236" w:lineRule="auto"/>
        <w:ind w:firstLine="420" w:firstLineChars="200"/>
        <w:jc w:val="both"/>
        <w:rPr>
          <w:rFonts w:ascii="微软雅黑" w:hAnsi="微软雅黑" w:cs="微软雅黑"/>
          <w:sz w:val="21"/>
          <w:szCs w:val="21"/>
        </w:rPr>
      </w:pPr>
      <w:bookmarkStart w:id="136"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r>
        <w:rPr>
          <w:rFonts w:hint="eastAsia" w:ascii="微软雅黑" w:hAnsi="微软雅黑" w:cs="微软雅黑"/>
          <w:b/>
          <w:bCs/>
          <w:sz w:val="21"/>
          <w:szCs w:val="21"/>
          <w:lang w:val="en-US" w:eastAsia="zh-CN"/>
        </w:rPr>
        <w:t>12.9</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高</w:t>
      </w:r>
      <w:r>
        <w:rPr>
          <w:rFonts w:hint="eastAsia" w:ascii="微软雅黑" w:hAnsi="微软雅黑" w:cs="微软雅黑"/>
          <w:b/>
          <w:bCs/>
          <w:sz w:val="21"/>
          <w:szCs w:val="21"/>
        </w:rPr>
        <w:t>。</w:t>
      </w:r>
      <w:bookmarkEnd w:id="136"/>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19"/>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24"/>
    <w:bookmarkEnd w:id="125"/>
    <w:bookmarkEnd w:id="126"/>
    <w:bookmarkEnd w:id="127"/>
    <w:bookmarkEnd w:id="128"/>
    <w:bookmarkEnd w:id="129"/>
    <w:bookmarkEnd w:id="130"/>
    <w:bookmarkEnd w:id="131"/>
    <w:bookmarkEnd w:id="132"/>
    <w:p w14:paraId="11D23B54">
      <w:pPr>
        <w:rPr>
          <w:rFonts w:ascii="微软雅黑" w:hAnsi="微软雅黑"/>
          <w:b/>
          <w:color w:val="00C4D8"/>
          <w:sz w:val="28"/>
          <w:szCs w:val="28"/>
        </w:rPr>
      </w:pPr>
      <w:bookmarkStart w:id="137" w:name="_Toc22528"/>
      <w:bookmarkStart w:id="138" w:name="_Toc11842"/>
      <w:bookmarkStart w:id="139" w:name="_Toc9573"/>
      <w:bookmarkStart w:id="140" w:name="化疗药物用药提示"/>
      <w:bookmarkStart w:id="141" w:name="_Toc10847"/>
      <w:bookmarkStart w:id="142" w:name="_Toc25168"/>
      <w:bookmarkStart w:id="143" w:name="_Toc27001"/>
      <w:bookmarkStart w:id="144" w:name="_Toc11318"/>
      <w:bookmarkStart w:id="145" w:name="_Toc21245"/>
      <w:bookmarkStart w:id="146" w:name="_Toc18750"/>
      <w:bookmarkStart w:id="147" w:name="_Toc9267"/>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微卫星稳定（MSS）型。</w:t>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3752"/>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998" w:type="dxa"/>
            <w:shd w:val="clear" w:color="auto" w:fill="00C4D8"/>
            <w:vAlign w:val="center"/>
          </w:tcPr>
          <w:p w14:paraId="7B397E12">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3752" w:type="dxa"/>
            <w:shd w:val="clear" w:color="auto" w:fill="00C4D8"/>
            <w:vAlign w:val="center"/>
          </w:tcPr>
          <w:p w14:paraId="2DD30AB6">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4F4B3986">
            <w:pPr>
              <w:adjustRightInd/>
              <w:snapToGrid/>
              <w:spacing w:after="0"/>
              <w:jc w:val="center"/>
              <w:rPr>
                <w:rFonts w:ascii="微软雅黑" w:hAnsi="微软雅黑" w:cs="微软雅黑"/>
                <w:kern w:val="0"/>
                <w:sz w:val="20"/>
                <w:szCs w:val="20"/>
                <w:lang w:bidi="ar"/>
              </w:rPr>
            </w:pPr>
            <w:bookmarkStart w:id="148" w:name="OLE_LINK30" w:colFirst="1" w:colLast="2"/>
            <w:r>
              <w:rPr>
                <w:rFonts w:hint="eastAsia" w:ascii="微软雅黑" w:hAnsi="微软雅黑" w:cs="微软雅黑"/>
                <w:kern w:val="0"/>
                <w:sz w:val="20"/>
                <w:szCs w:val="20"/>
                <w:lang w:bidi="ar"/>
              </w:rPr>
              <w:t>MLH1</w:t>
            </w:r>
          </w:p>
        </w:tc>
        <w:tc>
          <w:tcPr>
            <w:tcW w:w="3752" w:type="dxa"/>
            <w:vAlign w:val="center"/>
          </w:tcPr>
          <w:p w14:paraId="6B36BAC1">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50DFBE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48"/>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3187CBB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3752" w:type="dxa"/>
            <w:vAlign w:val="center"/>
          </w:tcPr>
          <w:p w14:paraId="1F97A956">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3223402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1B37F98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3752" w:type="dxa"/>
            <w:vAlign w:val="center"/>
          </w:tcPr>
          <w:p w14:paraId="048961F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E1E4A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6C3BAD36">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3752" w:type="dxa"/>
            <w:vAlign w:val="center"/>
          </w:tcPr>
          <w:p w14:paraId="4092C2DB">
            <w:pPr>
              <w:adjustRightInd/>
              <w:snapToGrid/>
              <w:spacing w:after="0"/>
              <w:jc w:val="center"/>
              <w:rPr>
                <w:rFonts w:hint="eastAsia" w:ascii="微软雅黑" w:hAnsi="微软雅黑" w:eastAsia="微软雅黑" w:cs="微软雅黑"/>
                <w:kern w:val="0"/>
                <w:sz w:val="20"/>
                <w:szCs w:val="20"/>
                <w:lang w:eastAsia="zh-CN" w:bidi="ar"/>
              </w:rPr>
            </w:pPr>
            <w:r>
              <w:rPr>
                <w:rFonts w:hint="eastAsia" w:ascii="微软雅黑" w:hAnsi="微软雅黑" w:cs="微软雅黑"/>
                <w:bCs/>
                <w:color w:val="FF0000"/>
                <w:kern w:val="2"/>
                <w:sz w:val="20"/>
                <w:szCs w:val="20"/>
                <w:lang w:bidi="ar"/>
              </w:rPr>
              <w:t>c.1273del</w:t>
            </w:r>
            <w:r>
              <w:rPr>
                <w:rFonts w:hint="eastAsia" w:ascii="微软雅黑" w:hAnsi="微软雅黑" w:cs="微软雅黑"/>
                <w:bCs/>
                <w:color w:val="FF0000"/>
                <w:kern w:val="2"/>
                <w:sz w:val="20"/>
                <w:szCs w:val="20"/>
                <w:lang w:eastAsia="zh-CN" w:bidi="ar"/>
              </w:rPr>
              <w:t>，p.S425Lfs*23</w:t>
            </w:r>
          </w:p>
        </w:tc>
        <w:tc>
          <w:tcPr>
            <w:tcW w:w="3033" w:type="dxa"/>
            <w:vAlign w:val="center"/>
          </w:tcPr>
          <w:p w14:paraId="7388D49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4E612ABA">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3752" w:type="dxa"/>
            <w:vAlign w:val="center"/>
          </w:tcPr>
          <w:p w14:paraId="2AA95D4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F17A56">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1BB6465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3752" w:type="dxa"/>
            <w:vAlign w:val="center"/>
          </w:tcPr>
          <w:p w14:paraId="4B3E477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07FD8CE2">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17470B4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3752" w:type="dxa"/>
            <w:vAlign w:val="center"/>
          </w:tcPr>
          <w:p w14:paraId="27A9B57E">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89B8B5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787F2FD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3752" w:type="dxa"/>
            <w:vAlign w:val="center"/>
          </w:tcPr>
          <w:p w14:paraId="6FF3A0C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1C172642">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3D25BB71">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3752" w:type="dxa"/>
            <w:vAlign w:val="center"/>
          </w:tcPr>
          <w:p w14:paraId="61C76F53">
            <w:pPr>
              <w:adjustRightInd w:val="0"/>
              <w:snapToGrid w:val="0"/>
              <w:spacing w:after="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未检出有害变异</w:t>
            </w:r>
          </w:p>
        </w:tc>
        <w:tc>
          <w:tcPr>
            <w:tcW w:w="3033" w:type="dxa"/>
            <w:vAlign w:val="center"/>
          </w:tcPr>
          <w:p w14:paraId="5BA391A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082F5F2E">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3752" w:type="dxa"/>
            <w:vAlign w:val="center"/>
          </w:tcPr>
          <w:p w14:paraId="40315FC1">
            <w:pPr>
              <w:keepNext w:val="0"/>
              <w:keepLines w:val="0"/>
              <w:pageBreakBefore w:val="0"/>
              <w:widowControl/>
              <w:kinsoku/>
              <w:wordWrap/>
              <w:overflowPunct/>
              <w:topLinePunct w:val="0"/>
              <w:autoSpaceDE/>
              <w:autoSpaceDN/>
              <w:bidi w:val="0"/>
              <w:adjustRightInd/>
              <w:snapToGrid/>
              <w:spacing w:after="0" w:line="220" w:lineRule="atLeast"/>
              <w:jc w:val="center"/>
              <w:textAlignment w:val="auto"/>
              <w:rPr>
                <w:rFonts w:hint="eastAsia" w:ascii="微软雅黑" w:hAnsi="微软雅黑" w:eastAsia="微软雅黑" w:cs="微软雅黑"/>
                <w:color w:val="FF0000"/>
                <w:kern w:val="0"/>
                <w:sz w:val="20"/>
                <w:szCs w:val="20"/>
                <w:lang w:eastAsia="zh-CN" w:bidi="ar"/>
              </w:rPr>
            </w:pPr>
            <w:r>
              <w:rPr>
                <w:rFonts w:hint="eastAsia" w:ascii="微软雅黑" w:hAnsi="微软雅黑" w:cs="微软雅黑"/>
                <w:bCs/>
                <w:color w:val="FF0000"/>
                <w:kern w:val="2"/>
                <w:sz w:val="20"/>
                <w:szCs w:val="20"/>
                <w:lang w:bidi="ar"/>
              </w:rPr>
              <w:t>c.34G&gt;T</w:t>
            </w:r>
            <w:r>
              <w:rPr>
                <w:rFonts w:hint="eastAsia" w:ascii="微软雅黑" w:hAnsi="微软雅黑" w:cs="微软雅黑"/>
                <w:bCs/>
                <w:color w:val="FF0000"/>
                <w:kern w:val="2"/>
                <w:sz w:val="20"/>
                <w:szCs w:val="20"/>
                <w:lang w:eastAsia="zh-CN" w:bidi="ar"/>
              </w:rPr>
              <w:t>，p.G12C</w:t>
            </w:r>
          </w:p>
        </w:tc>
        <w:tc>
          <w:tcPr>
            <w:tcW w:w="3033" w:type="dxa"/>
            <w:vAlign w:val="center"/>
          </w:tcPr>
          <w:p w14:paraId="3497EA1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6FD8040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3752" w:type="dxa"/>
            <w:vAlign w:val="center"/>
          </w:tcPr>
          <w:p w14:paraId="36EBCC16">
            <w:pPr>
              <w:keepNext w:val="0"/>
              <w:keepLines w:val="0"/>
              <w:pageBreakBefore w:val="0"/>
              <w:widowControl/>
              <w:kinsoku/>
              <w:wordWrap/>
              <w:overflowPunct/>
              <w:topLinePunct w:val="0"/>
              <w:autoSpaceDE/>
              <w:autoSpaceDN/>
              <w:bidi w:val="0"/>
              <w:adjustRightInd/>
              <w:snapToGrid/>
              <w:spacing w:after="0" w:line="220" w:lineRule="atLeast"/>
              <w:jc w:val="center"/>
              <w:textAlignment w:val="auto"/>
              <w:rPr>
                <w:rFonts w:hint="eastAsia" w:ascii="微软雅黑" w:hAnsi="微软雅黑" w:cs="微软雅黑"/>
                <w:bCs/>
                <w:color w:val="FF0000"/>
                <w:kern w:val="2"/>
                <w:sz w:val="20"/>
                <w:szCs w:val="20"/>
                <w:lang w:eastAsia="zh-CN" w:bidi="ar"/>
              </w:rPr>
            </w:pPr>
            <w:r>
              <w:rPr>
                <w:rFonts w:hint="eastAsia" w:ascii="微软雅黑" w:hAnsi="微软雅黑" w:cs="微软雅黑"/>
                <w:bCs/>
                <w:color w:val="FF0000"/>
                <w:kern w:val="2"/>
                <w:sz w:val="20"/>
                <w:szCs w:val="20"/>
                <w:lang w:val="en-US" w:eastAsia="zh-CN" w:bidi="ar"/>
              </w:rPr>
              <w:t>KRAS：</w:t>
            </w:r>
            <w:r>
              <w:rPr>
                <w:rFonts w:hint="eastAsia" w:ascii="微软雅黑" w:hAnsi="微软雅黑" w:cs="微软雅黑"/>
                <w:bCs/>
                <w:color w:val="FF0000"/>
                <w:kern w:val="2"/>
                <w:sz w:val="20"/>
                <w:szCs w:val="20"/>
                <w:lang w:bidi="ar"/>
              </w:rPr>
              <w:t>c.34G&gt;T</w:t>
            </w:r>
            <w:r>
              <w:rPr>
                <w:rFonts w:hint="eastAsia" w:ascii="微软雅黑" w:hAnsi="微软雅黑" w:cs="微软雅黑"/>
                <w:bCs/>
                <w:color w:val="FF0000"/>
                <w:kern w:val="2"/>
                <w:sz w:val="20"/>
                <w:szCs w:val="20"/>
                <w:lang w:eastAsia="zh-CN" w:bidi="ar"/>
              </w:rPr>
              <w:t>，p.G12C</w:t>
            </w:r>
          </w:p>
          <w:p w14:paraId="243E6601">
            <w:pPr>
              <w:keepNext w:val="0"/>
              <w:keepLines w:val="0"/>
              <w:pageBreakBefore w:val="0"/>
              <w:widowControl/>
              <w:kinsoku/>
              <w:wordWrap/>
              <w:overflowPunct/>
              <w:topLinePunct w:val="0"/>
              <w:autoSpaceDE/>
              <w:autoSpaceDN/>
              <w:bidi w:val="0"/>
              <w:adjustRightInd/>
              <w:snapToGrid/>
              <w:spacing w:after="0" w:line="220" w:lineRule="atLeast"/>
              <w:jc w:val="center"/>
              <w:textAlignment w:val="auto"/>
              <w:rPr>
                <w:rFonts w:hint="default" w:ascii="微软雅黑" w:hAnsi="微软雅黑" w:cs="微软雅黑"/>
                <w:bCs/>
                <w:color w:val="FF0000"/>
                <w:kern w:val="2"/>
                <w:sz w:val="20"/>
                <w:szCs w:val="20"/>
                <w:lang w:val="en-US" w:eastAsia="zh-CN" w:bidi="ar"/>
              </w:rPr>
            </w:pPr>
            <w:r>
              <w:rPr>
                <w:rFonts w:hint="eastAsia" w:ascii="微软雅黑" w:hAnsi="微软雅黑" w:cs="微软雅黑"/>
                <w:bCs/>
                <w:color w:val="FF0000"/>
                <w:kern w:val="2"/>
                <w:sz w:val="20"/>
                <w:szCs w:val="20"/>
                <w:lang w:val="en-US" w:eastAsia="zh-CN" w:bidi="ar"/>
              </w:rPr>
              <w:t>TP53：c.499C&gt;T，p.Q167*</w:t>
            </w:r>
          </w:p>
        </w:tc>
        <w:tc>
          <w:tcPr>
            <w:tcW w:w="3033" w:type="dxa"/>
            <w:vAlign w:val="center"/>
          </w:tcPr>
          <w:p w14:paraId="57B146C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5FFEE4D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3752" w:type="dxa"/>
            <w:vAlign w:val="center"/>
          </w:tcPr>
          <w:p w14:paraId="1694E83E">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2062048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7808DE81">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3752" w:type="dxa"/>
            <w:vAlign w:val="center"/>
          </w:tcPr>
          <w:p w14:paraId="715DBFD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0CE087">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344090C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3752" w:type="dxa"/>
            <w:vAlign w:val="center"/>
          </w:tcPr>
          <w:p w14:paraId="4E9FFF9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44963B3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exact"/>
          <w:jc w:val="center"/>
        </w:trPr>
        <w:tc>
          <w:tcPr>
            <w:tcW w:w="1998" w:type="dxa"/>
            <w:vAlign w:val="center"/>
          </w:tcPr>
          <w:p w14:paraId="2768053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3752" w:type="dxa"/>
            <w:vAlign w:val="center"/>
          </w:tcPr>
          <w:p w14:paraId="28F39F1A">
            <w:pPr>
              <w:adjustRightInd w:val="0"/>
              <w:snapToGrid w:val="0"/>
              <w:spacing w:after="0"/>
              <w:jc w:val="center"/>
              <w:rPr>
                <w:rFonts w:hint="eastAsia" w:ascii="微软雅黑" w:hAnsi="微软雅黑" w:cs="微软雅黑"/>
                <w:bCs/>
                <w:color w:val="FF0000"/>
                <w:kern w:val="2"/>
                <w:sz w:val="20"/>
                <w:szCs w:val="20"/>
                <w:lang w:eastAsia="zh-CN" w:bidi="ar"/>
              </w:rPr>
            </w:pPr>
            <w:r>
              <w:rPr>
                <w:rFonts w:hint="eastAsia" w:ascii="微软雅黑" w:hAnsi="微软雅黑" w:cs="微软雅黑"/>
                <w:bCs/>
                <w:color w:val="FF0000"/>
                <w:kern w:val="2"/>
                <w:sz w:val="20"/>
                <w:szCs w:val="20"/>
                <w:lang w:bidi="ar"/>
              </w:rPr>
              <w:t>BRCA1</w:t>
            </w:r>
            <w:r>
              <w:rPr>
                <w:rFonts w:hint="eastAsia" w:ascii="微软雅黑" w:hAnsi="微软雅黑" w:cs="微软雅黑"/>
                <w:bCs/>
                <w:color w:val="FF0000"/>
                <w:kern w:val="2"/>
                <w:sz w:val="20"/>
                <w:szCs w:val="20"/>
                <w:lang w:eastAsia="zh-CN" w:bidi="ar"/>
              </w:rPr>
              <w:t>：c.505C&gt;T，p.Q169*</w:t>
            </w:r>
          </w:p>
          <w:p w14:paraId="31C0A4CA">
            <w:pPr>
              <w:adjustRightInd w:val="0"/>
              <w:snapToGrid w:val="0"/>
              <w:spacing w:after="0"/>
              <w:jc w:val="center"/>
              <w:rPr>
                <w:rFonts w:hint="eastAsia" w:ascii="微软雅黑" w:hAnsi="微软雅黑" w:cs="微软雅黑"/>
                <w:bCs/>
                <w:color w:val="FF0000"/>
                <w:kern w:val="2"/>
                <w:sz w:val="20"/>
                <w:szCs w:val="20"/>
                <w:lang w:eastAsia="zh-CN" w:bidi="ar"/>
              </w:rPr>
            </w:pPr>
            <w:r>
              <w:rPr>
                <w:rFonts w:hint="eastAsia" w:ascii="微软雅黑" w:hAnsi="微软雅黑" w:cs="微软雅黑"/>
                <w:bCs/>
                <w:color w:val="FF0000"/>
                <w:kern w:val="2"/>
                <w:sz w:val="20"/>
                <w:szCs w:val="20"/>
                <w:lang w:eastAsia="zh-CN" w:bidi="ar"/>
              </w:rPr>
              <w:t>ATR：c.1291del，p.R431Gfs*8</w:t>
            </w:r>
          </w:p>
        </w:tc>
        <w:tc>
          <w:tcPr>
            <w:tcW w:w="3033" w:type="dxa"/>
            <w:vAlign w:val="center"/>
          </w:tcPr>
          <w:p w14:paraId="2D75D23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0"/>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1"/>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1CEF4A3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0351ECAE">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03069C2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adjustRightInd/>
              <w:snapToGrid/>
              <w:spacing w:after="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1A53A59F">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66B6072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7CD2D75">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DDB118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2DAE4D7">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1CE689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433FDF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856F7D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762A8B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2"/>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2BB512B">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720A3F5">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adjustRightInd/>
              <w:snapToGrid/>
              <w:spacing w:after="0"/>
              <w:jc w:val="center"/>
              <w:rPr>
                <w:rFonts w:hint="eastAsia" w:ascii="微软雅黑" w:hAnsi="微软雅黑" w:eastAsia="微软雅黑" w:cs="微软雅黑"/>
                <w:color w:val="000000" w:themeColor="text1"/>
                <w:kern w:val="0"/>
                <w:sz w:val="20"/>
                <w:szCs w:val="20"/>
                <w:lang w:eastAsia="zh-CN" w:bidi="ar"/>
                <w14:textFill>
                  <w14:solidFill>
                    <w14:schemeClr w14:val="tx1"/>
                  </w14:solidFill>
                </w14:textFill>
              </w:rPr>
            </w:pPr>
            <w:r>
              <w:rPr>
                <w:rFonts w:hint="eastAsia" w:ascii="微软雅黑" w:hAnsi="微软雅黑" w:cs="微软雅黑"/>
                <w:color w:val="FF0000"/>
                <w:kern w:val="0"/>
                <w:sz w:val="20"/>
                <w:szCs w:val="20"/>
                <w:lang w:bidi="ar"/>
              </w:rPr>
              <w:t>c.1367del</w:t>
            </w:r>
            <w:r>
              <w:rPr>
                <w:rFonts w:hint="eastAsia" w:ascii="微软雅黑" w:hAnsi="微软雅黑" w:cs="微软雅黑"/>
                <w:color w:val="FF0000"/>
                <w:kern w:val="0"/>
                <w:sz w:val="20"/>
                <w:szCs w:val="20"/>
                <w:lang w:eastAsia="zh-CN" w:bidi="ar"/>
              </w:rPr>
              <w:t>，p.K456Sfs*195</w:t>
            </w:r>
          </w:p>
        </w:tc>
        <w:tc>
          <w:tcPr>
            <w:tcW w:w="3478" w:type="dxa"/>
            <w:vAlign w:val="center"/>
          </w:tcPr>
          <w:p w14:paraId="7086F587">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3281C3C9">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D168637">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2CAFC44">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1279FEDF">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A93A177">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3"/>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33"/>
    <w:bookmarkEnd w:id="134"/>
    <w:bookmarkEnd w:id="137"/>
    <w:bookmarkEnd w:id="138"/>
    <w:bookmarkEnd w:id="139"/>
    <w:bookmarkEnd w:id="140"/>
    <w:bookmarkEnd w:id="141"/>
    <w:bookmarkEnd w:id="142"/>
    <w:bookmarkEnd w:id="143"/>
    <w:bookmarkEnd w:id="144"/>
    <w:bookmarkEnd w:id="145"/>
    <w:bookmarkEnd w:id="146"/>
    <w:bookmarkEnd w:id="147"/>
    <w:p w14:paraId="2BC1F0D3">
      <w:pPr>
        <w:numPr>
          <w:ilvl w:val="255"/>
          <w:numId w:val="0"/>
        </w:numPr>
        <w:jc w:val="both"/>
        <w:outlineLvl w:val="0"/>
        <w:rPr>
          <w:rFonts w:ascii="微软雅黑" w:hAnsi="微软雅黑"/>
          <w:b/>
          <w:color w:val="00C4D8"/>
          <w:sz w:val="32"/>
          <w:szCs w:val="32"/>
        </w:rPr>
      </w:pPr>
      <w:bookmarkStart w:id="149" w:name="_Toc14090"/>
      <w:bookmarkStart w:id="150" w:name="_Toc2749"/>
      <w:bookmarkStart w:id="151" w:name="_Toc29075"/>
      <w:bookmarkStart w:id="152" w:name="_Toc24294"/>
      <w:bookmarkStart w:id="153" w:name="_Toc27301"/>
      <w:bookmarkStart w:id="154" w:name="_Toc27819"/>
      <w:bookmarkStart w:id="155" w:name="_Toc3246"/>
      <w:bookmarkStart w:id="156" w:name="_Toc7238"/>
      <w:bookmarkStart w:id="157" w:name="_Toc16388"/>
      <w:bookmarkStart w:id="158" w:name="_Toc6736"/>
      <w:bookmarkStart w:id="159" w:name="_Toc2916"/>
      <w:bookmarkStart w:id="160" w:name="_Toc29647"/>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49"/>
      <w:bookmarkEnd w:id="150"/>
      <w:bookmarkEnd w:id="151"/>
      <w:bookmarkEnd w:id="152"/>
      <w:bookmarkEnd w:id="153"/>
      <w:bookmarkEnd w:id="154"/>
      <w:bookmarkEnd w:id="155"/>
      <w:bookmarkEnd w:id="156"/>
      <w:bookmarkEnd w:id="157"/>
      <w:bookmarkEnd w:id="158"/>
      <w:bookmarkEnd w:id="159"/>
      <w:bookmarkEnd w:id="160"/>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5"/>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ascii="微软雅黑" w:hAnsi="微软雅黑"/>
          <w:sz w:val="24"/>
          <w:szCs w:val="24"/>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bookmarkStart w:id="235" w:name="_GoBack"/>
      <w:bookmarkEnd w:id="235"/>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w:t>
      </w:r>
      <w:r>
        <w:rPr>
          <w:rFonts w:ascii="微软雅黑" w:hAnsi="微软雅黑"/>
          <w:sz w:val="24"/>
          <w:szCs w:val="24"/>
        </w:rPr>
        <w:t>0.</w:t>
      </w:r>
      <w:r>
        <w:rPr>
          <w:rFonts w:hint="eastAsia" w:ascii="微软雅黑" w:hAnsi="微软雅黑"/>
          <w:sz w:val="24"/>
          <w:szCs w:val="24"/>
          <w:lang w:val="en-US" w:eastAsia="zh-CN"/>
        </w:rPr>
        <w:t>28</w:t>
      </w:r>
    </w:p>
    <w:p w14:paraId="7D9AEFBF"/>
    <w:p w14:paraId="0D994C33"/>
    <w:p w14:paraId="66D19B44"/>
    <w:p w14:paraId="42E5FAD5"/>
    <w:p w14:paraId="404555B1"/>
    <w:p w14:paraId="62FB4799"/>
    <w:p w14:paraId="66E0B589">
      <w:pPr>
        <w:tabs>
          <w:tab w:val="left" w:pos="3071"/>
        </w:tabs>
        <w:sectPr>
          <w:headerReference r:id="rId7" w:type="default"/>
          <w:footerReference r:id="rId8"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61" w:name="_Toc8090"/>
      <w:bookmarkStart w:id="162" w:name="_Toc5394"/>
      <w:bookmarkStart w:id="163" w:name="_Toc10825"/>
      <w:bookmarkStart w:id="164" w:name="_Toc6828"/>
      <w:bookmarkStart w:id="165" w:name="_Toc23181"/>
      <w:bookmarkStart w:id="166" w:name="_Toc13707"/>
      <w:bookmarkStart w:id="167" w:name="_Toc8942"/>
      <w:bookmarkStart w:id="168" w:name="_Toc7183"/>
      <w:bookmarkStart w:id="169" w:name="_Toc6684"/>
      <w:bookmarkStart w:id="170" w:name="_Toc350"/>
      <w:bookmarkStart w:id="171" w:name="_Toc9132"/>
      <w:bookmarkStart w:id="172" w:name="_Toc15791"/>
      <w:bookmarkStart w:id="173" w:name="_Toc20456"/>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61"/>
      <w:bookmarkEnd w:id="162"/>
      <w:bookmarkEnd w:id="163"/>
      <w:bookmarkEnd w:id="164"/>
      <w:bookmarkEnd w:id="165"/>
      <w:bookmarkEnd w:id="166"/>
      <w:bookmarkEnd w:id="167"/>
      <w:bookmarkEnd w:id="168"/>
      <w:bookmarkEnd w:id="169"/>
      <w:bookmarkEnd w:id="170"/>
      <w:bookmarkEnd w:id="171"/>
      <w:bookmarkEnd w:id="172"/>
      <w:bookmarkEnd w:id="173"/>
    </w:p>
    <w:p w14:paraId="1A07FF19">
      <w:pPr>
        <w:numPr>
          <w:ilvl w:val="0"/>
          <w:numId w:val="9"/>
        </w:numPr>
        <w:outlineLvl w:val="0"/>
        <w:rPr>
          <w:rFonts w:ascii="微软雅黑" w:hAnsi="微软雅黑"/>
          <w:b/>
          <w:sz w:val="24"/>
          <w:szCs w:val="24"/>
        </w:rPr>
      </w:pPr>
      <w:bookmarkStart w:id="174" w:name="_Toc6727"/>
      <w:bookmarkStart w:id="175" w:name="_Toc4690"/>
      <w:bookmarkStart w:id="176" w:name="_Toc11477"/>
      <w:bookmarkStart w:id="177" w:name="_Toc10990"/>
      <w:bookmarkStart w:id="178" w:name="_Toc24256"/>
      <w:bookmarkStart w:id="179" w:name="_Toc7612"/>
      <w:bookmarkStart w:id="180" w:name="潜在获益靶向药物解析"/>
      <w:bookmarkStart w:id="181" w:name="_Toc9120"/>
      <w:bookmarkStart w:id="182" w:name="_Toc28597"/>
      <w:bookmarkStart w:id="183" w:name="_Toc17360"/>
      <w:bookmarkStart w:id="184" w:name="_Toc20363"/>
      <w:bookmarkStart w:id="185" w:name="_Toc15599"/>
      <w:bookmarkStart w:id="186" w:name="_Toc26457"/>
      <w:bookmarkStart w:id="187" w:name="_Toc8230"/>
      <w:bookmarkStart w:id="188" w:name="_Toc6679"/>
      <w:bookmarkStart w:id="189" w:name="_Toc9236"/>
      <w:bookmarkStart w:id="190" w:name="_Toc13243"/>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74"/>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11</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个。（下面红色标注的为有对应靶向/免疫药物的基因变异。）</w:t>
      </w:r>
      <w:bookmarkStart w:id="191" w:name="KRAS侯"/>
    </w:p>
    <w:bookmarkEnd w:id="191"/>
    <w:p w14:paraId="17F9FAF4">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微软雅黑" w:cs="微软雅黑"/>
          <w:b/>
          <w:color w:val="0000FF"/>
          <w:sz w:val="24"/>
          <w:u w:val="single"/>
        </w:rPr>
        <w:t>APC</w:t>
      </w:r>
      <w:r>
        <w:rPr>
          <w:rFonts w:hint="eastAsia" w:ascii="微软雅黑" w:hAnsi="微软雅黑" w:cs="微软雅黑"/>
          <w:b/>
          <w:color w:val="0000FF"/>
          <w:sz w:val="24"/>
          <w:u w:val="single"/>
        </w:rPr>
        <w:t>：c.994C&gt;T，p.R332*；22.03%</w:t>
      </w:r>
    </w:p>
    <w:p w14:paraId="47182F12">
      <w:pPr>
        <w:spacing w:after="0"/>
      </w:pPr>
      <w:r>
        <w:rPr>
          <w:rFonts w:ascii="微软雅黑" w:hAnsi="微软雅黑" w:cs="微软雅黑"/>
          <w:b/>
        </w:rPr>
        <w:t>基因简介：</w:t>
      </w:r>
    </w:p>
    <w:p w14:paraId="4A470246">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03DE0B0">
      <w:pPr>
        <w:spacing w:after="0"/>
      </w:pPr>
      <w:r>
        <w:rPr>
          <w:rFonts w:ascii="微软雅黑" w:hAnsi="微软雅黑" w:cs="微软雅黑"/>
          <w:b/>
        </w:rPr>
        <w:t>基因变异说明：</w:t>
      </w:r>
    </w:p>
    <w:p w14:paraId="0E1987B3">
      <w:pPr>
        <w:spacing w:after="0"/>
        <w:ind w:firstLine="400"/>
        <w:jc w:val="both"/>
        <w:rPr>
          <w:rFonts w:ascii="微软雅黑" w:hAnsi="微软雅黑" w:cs="微软雅黑"/>
          <w:sz w:val="21"/>
        </w:rPr>
      </w:pPr>
      <w:r>
        <w:rPr>
          <w:rFonts w:hint="eastAsia" w:ascii="微软雅黑" w:hAnsi="微软雅黑" w:cs="微软雅黑"/>
          <w:sz w:val="21"/>
        </w:rPr>
        <w:t>该样本检出APC基因c.994C&gt;T，p.R332*无义突变，第994位核苷酸由C突变为T，导致相应蛋白序列中第332位氨基酸由精氨酸突变为终止密码子，此突变在样本中的突变丰度为22.03%。</w:t>
      </w:r>
    </w:p>
    <w:p w14:paraId="32483740">
      <w:pPr>
        <w:spacing w:after="0"/>
      </w:pPr>
      <w:r>
        <w:rPr>
          <w:rFonts w:ascii="微软雅黑" w:hAnsi="微软雅黑" w:cs="微软雅黑"/>
          <w:b/>
        </w:rPr>
        <w:t xml:space="preserve">基因变异解析： </w:t>
      </w:r>
    </w:p>
    <w:p w14:paraId="4972EC09">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332*突变导致蛋白翻译提前终止，产生截短的蛋白，可能导致蛋白功能缺失。</w:t>
      </w:r>
    </w:p>
    <w:p w14:paraId="403D4904">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因此，该样本检出的突变可能与疾病的发生发展相关。</w:t>
      </w:r>
    </w:p>
    <w:p w14:paraId="40CEF57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微软雅黑" w:cs="微软雅黑"/>
          <w:b/>
          <w:color w:val="0000FF"/>
          <w:sz w:val="24"/>
          <w:u w:val="single"/>
        </w:rPr>
        <w:t>APC</w:t>
      </w:r>
      <w:r>
        <w:rPr>
          <w:rFonts w:hint="eastAsia" w:ascii="微软雅黑" w:hAnsi="微软雅黑" w:cs="微软雅黑"/>
          <w:b/>
          <w:color w:val="0000FF"/>
          <w:sz w:val="24"/>
          <w:u w:val="single"/>
        </w:rPr>
        <w:t>：c.4666dup，p.T1556Nfs*3；17.5</w:t>
      </w:r>
      <w:r>
        <w:rPr>
          <w:rFonts w:hint="eastAsia" w:ascii="微软雅黑" w:hAnsi="微软雅黑" w:cs="微软雅黑"/>
          <w:b/>
          <w:color w:val="0000FF"/>
          <w:sz w:val="24"/>
          <w:u w:val="single"/>
          <w:lang w:val="en-US" w:eastAsia="zh-CN"/>
        </w:rPr>
        <w:t>0</w:t>
      </w:r>
      <w:r>
        <w:rPr>
          <w:rFonts w:hint="eastAsia" w:ascii="微软雅黑" w:hAnsi="微软雅黑" w:cs="微软雅黑"/>
          <w:b/>
          <w:color w:val="0000FF"/>
          <w:sz w:val="24"/>
          <w:u w:val="single"/>
        </w:rPr>
        <w:t>%</w:t>
      </w:r>
    </w:p>
    <w:p w14:paraId="536DF517">
      <w:pPr>
        <w:spacing w:after="0"/>
      </w:pPr>
      <w:r>
        <w:rPr>
          <w:rFonts w:ascii="微软雅黑" w:hAnsi="微软雅黑" w:cs="微软雅黑"/>
          <w:b/>
        </w:rPr>
        <w:t>基因简介：</w:t>
      </w:r>
    </w:p>
    <w:p w14:paraId="1A979A46">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26A18826">
      <w:pPr>
        <w:spacing w:after="0"/>
      </w:pPr>
      <w:r>
        <w:rPr>
          <w:rFonts w:ascii="微软雅黑" w:hAnsi="微软雅黑" w:cs="微软雅黑"/>
          <w:b/>
        </w:rPr>
        <w:t>基因变异说明：</w:t>
      </w:r>
    </w:p>
    <w:p w14:paraId="1A04CD4D">
      <w:pPr>
        <w:spacing w:after="0"/>
        <w:ind w:firstLine="400"/>
        <w:jc w:val="both"/>
        <w:rPr>
          <w:rFonts w:ascii="微软雅黑" w:hAnsi="微软雅黑" w:cs="微软雅黑"/>
          <w:sz w:val="21"/>
        </w:rPr>
      </w:pPr>
      <w:r>
        <w:rPr>
          <w:rFonts w:hint="eastAsia" w:ascii="微软雅黑" w:hAnsi="微软雅黑" w:cs="微软雅黑"/>
          <w:sz w:val="21"/>
        </w:rPr>
        <w:t>该样本检出APC基因c.4666dup，p.T1556Nfs*3碱基重复引起的移码突变，第4666位核苷酸重复，导致相应蛋白序列中第1556位氨基酸由苏氨酸突变为天冬酰胺，并开始发生移码，于此后第3位氨基酸处翻译终止，此突变在样本中的突变丰度为17.5</w:t>
      </w:r>
      <w:r>
        <w:rPr>
          <w:rFonts w:hint="eastAsia" w:ascii="微软雅黑" w:hAnsi="微软雅黑" w:cs="微软雅黑"/>
          <w:sz w:val="21"/>
          <w:lang w:val="en-US" w:eastAsia="zh-CN"/>
        </w:rPr>
        <w:t>0</w:t>
      </w:r>
      <w:r>
        <w:rPr>
          <w:rFonts w:hint="eastAsia" w:ascii="微软雅黑" w:hAnsi="微软雅黑" w:cs="微软雅黑"/>
          <w:sz w:val="21"/>
        </w:rPr>
        <w:t>%。</w:t>
      </w:r>
    </w:p>
    <w:p w14:paraId="3309AD84">
      <w:pPr>
        <w:spacing w:after="0"/>
      </w:pPr>
      <w:r>
        <w:rPr>
          <w:rFonts w:ascii="微软雅黑" w:hAnsi="微软雅黑" w:cs="微软雅黑"/>
          <w:b/>
        </w:rPr>
        <w:t xml:space="preserve">基因变异解析： </w:t>
      </w:r>
    </w:p>
    <w:p w14:paraId="3725E8D2">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T1556Nfs*3突变导致蛋白翻译提前终止，产生截短的蛋白，可能导致蛋白功能缺失。</w:t>
      </w:r>
    </w:p>
    <w:p w14:paraId="03772081">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因此，该样本检出的突变可能与疾病的发生发展相关。</w:t>
      </w:r>
    </w:p>
    <w:p w14:paraId="611628C0">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SMAD4：c.1577A&gt;G，p.E526G；20%</w:t>
      </w:r>
    </w:p>
    <w:p w14:paraId="57842A4F">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SMAD4基因编码信号转导蛋白Smad家族的成员之一[NCBI]。Smads蛋白参与、介导转化生长因子（transformaing growth factor-β，TGF-β）信号转导通路。该通路在调节细胞生长、分化等方面发挥重要作用[17875924]。SMAD4的表达改变或功能异常会显著影响该通路的正常进行。研究表明，TGF-β/Smads 信号通路参与恶性肿瘤的发生发展机制，并可能与胃癌等恶性肿瘤的生物学行为有关[17875924]。SMAD4基因在胰腺癌中发挥肿瘤抑制基因的作用。研究发现50%的胰腺癌发生SMAD4基因的失活，而其他肿瘤中该基因的失活率10%[15855639]。</w:t>
      </w:r>
    </w:p>
    <w:p w14:paraId="08F46090">
      <w:pPr>
        <w:spacing w:after="0"/>
      </w:pPr>
      <w:r>
        <w:rPr>
          <w:rFonts w:ascii="微软雅黑" w:hAnsi="微软雅黑" w:cs="微软雅黑"/>
          <w:b/>
        </w:rPr>
        <w:t>基因变异说明：</w:t>
      </w:r>
    </w:p>
    <w:p w14:paraId="036F8F09">
      <w:pPr>
        <w:spacing w:after="0"/>
        <w:ind w:firstLine="400"/>
        <w:jc w:val="both"/>
        <w:rPr>
          <w:rFonts w:ascii="微软雅黑" w:hAnsi="微软雅黑" w:cs="微软雅黑"/>
          <w:sz w:val="21"/>
        </w:rPr>
      </w:pPr>
      <w:r>
        <w:rPr>
          <w:rFonts w:hint="eastAsia" w:ascii="微软雅黑" w:hAnsi="微软雅黑" w:cs="微软雅黑"/>
          <w:sz w:val="21"/>
        </w:rPr>
        <w:t>该样本检出SMAD4基因c.1577A&gt;G，p.E526G错义突变，第1577位核苷酸由A突变为G，导致相应蛋白序列中第526位氨基酸由谷氨酸突变为甘氨酸，此突变在样本中的突变丰度为20%。</w:t>
      </w:r>
    </w:p>
    <w:p w14:paraId="2D37BF6D">
      <w:pPr>
        <w:spacing w:after="0"/>
      </w:pPr>
      <w:r>
        <w:rPr>
          <w:rFonts w:ascii="微软雅黑" w:hAnsi="微软雅黑" w:cs="微软雅黑"/>
          <w:b/>
        </w:rPr>
        <w:t xml:space="preserve">基因变异解析： </w:t>
      </w:r>
    </w:p>
    <w:p w14:paraId="3E7C71F6">
      <w:pPr>
        <w:spacing w:after="0"/>
        <w:ind w:firstLine="400"/>
        <w:jc w:val="both"/>
        <w:rPr>
          <w:rFonts w:hint="default" w:ascii="微软雅黑" w:hAnsi="微软雅黑" w:eastAsia="微软雅黑" w:cs="微软雅黑"/>
          <w:sz w:val="21"/>
          <w:lang w:val="en-US" w:eastAsia="zh-CN"/>
        </w:rPr>
      </w:pPr>
      <w:r>
        <w:rPr>
          <w:rFonts w:hint="eastAsia" w:ascii="微软雅黑" w:hAnsi="微软雅黑" w:cs="微软雅黑"/>
          <w:sz w:val="21"/>
        </w:rPr>
        <w:t>SMAD4基因编码的蛋白全长为552个氨基酸，主要包含DWA结构域（31-140位氨基酸）和DWB结构域（321-530位氨基酸）。DWA结构域主要与特定序列的DNA结合；DWB结构域主要参与同聚体及异聚体的形成，同时也干预DWA区域与DNA的结合，并参与转录的激活以及蛋白在核内的定位。该样本检出的p.E526G突变</w:t>
      </w:r>
      <w:r>
        <w:rPr>
          <w:rFonts w:hint="eastAsia" w:ascii="微软雅黑" w:hAnsi="微软雅黑" w:cs="微软雅黑"/>
          <w:sz w:val="21"/>
          <w:lang w:val="en-US" w:eastAsia="zh-CN"/>
        </w:rPr>
        <w:t>位于</w:t>
      </w:r>
      <w:r>
        <w:rPr>
          <w:rFonts w:hint="eastAsia" w:ascii="微软雅黑" w:hAnsi="微软雅黑" w:cs="微软雅黑"/>
          <w:sz w:val="21"/>
        </w:rPr>
        <w:t>DWB结构域</w:t>
      </w:r>
      <w:r>
        <w:rPr>
          <w:rFonts w:hint="eastAsia" w:ascii="微软雅黑" w:hAnsi="微软雅黑" w:cs="微软雅黑"/>
          <w:sz w:val="21"/>
          <w:lang w:eastAsia="zh-CN"/>
        </w:rPr>
        <w:t>，</w:t>
      </w:r>
      <w:r>
        <w:rPr>
          <w:rFonts w:hint="eastAsia" w:ascii="微软雅黑" w:hAnsi="微软雅黑" w:cs="微软雅黑"/>
          <w:sz w:val="21"/>
          <w:lang w:val="en-US" w:eastAsia="zh-CN"/>
        </w:rPr>
        <w:t>可能对蛋白功能有一定的影响。</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导致SMAD4基因失活的突变包括无义突变、剪接位点突变、错义突变、移码突变，其中77%的错义突变发生在DWB区域[15014009]。研究表明，SMAD4基因的功能缺失在结直肠癌中较为常见[29720405]。SMAD4基因的突变与结直肠癌的远端转移相关[10340381]。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 xml:space="preserve">中的具体临床意义有待明确。  </w:t>
      </w:r>
    </w:p>
    <w:p w14:paraId="76335169">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PIK3CA</w:t>
      </w:r>
      <w:r>
        <w:rPr>
          <w:rFonts w:ascii="微软雅黑" w:hAnsi="微软雅黑" w:cs="微软雅黑"/>
          <w:b/>
          <w:color w:val="FF0000"/>
          <w:sz w:val="24"/>
          <w:u w:val="single"/>
        </w:rPr>
        <w:t>：</w:t>
      </w:r>
      <w:r>
        <w:rPr>
          <w:rFonts w:hint="eastAsia" w:ascii="微软雅黑" w:hAnsi="微软雅黑" w:cs="微软雅黑"/>
          <w:b/>
          <w:color w:val="FF0000"/>
          <w:sz w:val="24"/>
          <w:u w:val="single"/>
        </w:rPr>
        <w:t>c.1624G&gt;A，p.E542K；14.87%</w:t>
      </w:r>
    </w:p>
    <w:p w14:paraId="5E468046">
      <w:pPr>
        <w:spacing w:after="0"/>
      </w:pPr>
      <w:r>
        <w:rPr>
          <w:rFonts w:ascii="微软雅黑" w:hAnsi="微软雅黑" w:cs="微软雅黑"/>
          <w:b/>
        </w:rPr>
        <w:t>基因简介：</w:t>
      </w:r>
    </w:p>
    <w:p w14:paraId="6F4CCCE1">
      <w:pPr>
        <w:spacing w:after="0"/>
        <w:ind w:firstLine="400"/>
        <w:jc w:val="both"/>
        <w:rPr>
          <w:rFonts w:ascii="微软雅黑" w:hAnsi="微软雅黑" w:cs="微软雅黑"/>
          <w:sz w:val="21"/>
        </w:rPr>
      </w:pPr>
      <w:r>
        <w:rPr>
          <w:rFonts w:hint="eastAsia" w:ascii="微软雅黑" w:hAnsi="微软雅黑" w:cs="微软雅黑"/>
          <w:sz w:val="21"/>
        </w:rPr>
        <w:t>PIK3CA编码I型磷酸肌醇3激酶（PI3K）的催化亚基p110α，它与p85调节亚基构成异二聚体[NCBI]。PI3K由生长因子受体和胰岛素受体激活，其主要作用是调控磷脂代谢途径和磷脂源信使分子的产生，从而调节细胞生长、分裂、生存和迁移[17916723]。p110 α催化细胞膜上的PIP2 ，使之转变为PIP3，而PIP3可作为第二信使结合并激活多种细胞内靶蛋白，参与调节细胞的增殖、运动、粘附、侵袭转移等信号通路。例如，PIK3CA点突变和扩增导致PI3K/AKT途径的激活，导致细胞不依赖生长因子增殖，增加细胞侵袭和转移能力[17877460，19697359]。PIK3CA的突变在结肠癌、脑癌、乳腺 癌、肺癌等多种肿瘤发生发展中具有重要作用[15467468]。</w:t>
      </w:r>
    </w:p>
    <w:p w14:paraId="6378A152">
      <w:pPr>
        <w:spacing w:after="0"/>
      </w:pPr>
      <w:r>
        <w:rPr>
          <w:rFonts w:ascii="微软雅黑" w:hAnsi="微软雅黑" w:cs="微软雅黑"/>
          <w:b/>
        </w:rPr>
        <w:t>基因变异说明：</w:t>
      </w:r>
    </w:p>
    <w:p w14:paraId="7798ED07">
      <w:pPr>
        <w:spacing w:after="0"/>
        <w:ind w:firstLine="400"/>
        <w:jc w:val="both"/>
        <w:rPr>
          <w:rFonts w:ascii="微软雅黑" w:hAnsi="微软雅黑" w:cs="微软雅黑"/>
          <w:sz w:val="21"/>
        </w:rPr>
      </w:pPr>
      <w:r>
        <w:rPr>
          <w:rFonts w:hint="eastAsia" w:ascii="微软雅黑" w:hAnsi="微软雅黑" w:cs="微软雅黑"/>
          <w:sz w:val="21"/>
        </w:rPr>
        <w:t>该样本检出PIK3CA基因c.1624G&gt;A，p.E542K错义突变，第1624位核苷酸由G突变为A，导致相应蛋白序列中第542位氨基酸由谷氨酸突变为赖氨酸，此突变在样本中的突变丰度为14.87%。</w:t>
      </w:r>
    </w:p>
    <w:p w14:paraId="5AC3CA24">
      <w:pPr>
        <w:spacing w:after="0"/>
      </w:pPr>
      <w:r>
        <w:rPr>
          <w:rFonts w:ascii="微软雅黑" w:hAnsi="微软雅黑" w:cs="微软雅黑"/>
          <w:b/>
        </w:rPr>
        <w:t xml:space="preserve">基因变异解析： </w:t>
      </w:r>
    </w:p>
    <w:p w14:paraId="60F1BCAC">
      <w:pPr>
        <w:spacing w:after="0"/>
        <w:ind w:firstLine="400"/>
        <w:jc w:val="both"/>
        <w:rPr>
          <w:rFonts w:hint="eastAsia" w:ascii="微软雅黑" w:hAnsi="微软雅黑" w:cs="微软雅黑"/>
          <w:sz w:val="21"/>
        </w:rPr>
      </w:pPr>
      <w:r>
        <w:rPr>
          <w:rFonts w:hint="eastAsia" w:ascii="微软雅黑" w:hAnsi="微软雅黑" w:cs="微软雅黑"/>
          <w:sz w:val="21"/>
        </w:rPr>
        <w:t>PIK3CA基因编码的蛋白全长1068个氨基酸，主要为PI3K激酶的P110α催化亚基（1-1068位氨基酸），主要包含：P85结合结构域（31-108位氨基酸）、Ras结合结构域（173-292位氨基酸）、C2结构域（322-425位氨基酸）、PI3Ka结构域（518-704位氨基酸）、卷曲螺旋结构域（707-729位氨基酸）、PI3Kc结构域（798-1065位氨基酸）。该样本检出的</w:t>
      </w:r>
      <w:r>
        <w:rPr>
          <w:rFonts w:hint="eastAsia" w:ascii="微软雅黑" w:hAnsi="微软雅黑" w:cs="微软雅黑"/>
          <w:sz w:val="21"/>
          <w:lang w:eastAsia="zh-CN"/>
        </w:rPr>
        <w:t>p.E542K</w:t>
      </w:r>
      <w:r>
        <w:rPr>
          <w:rFonts w:hint="eastAsia" w:ascii="微软雅黑" w:hAnsi="微软雅黑" w:cs="微软雅黑"/>
          <w:sz w:val="21"/>
        </w:rPr>
        <w:t>突变位于PI3Ka结构域，研究显示该</w:t>
      </w:r>
      <w:r>
        <w:rPr>
          <w:rFonts w:hint="eastAsia" w:ascii="微软雅黑" w:hAnsi="微软雅黑" w:cs="微软雅黑"/>
          <w:sz w:val="21"/>
          <w:lang w:val="en-US" w:eastAsia="zh-CN"/>
        </w:rPr>
        <w:t>突变</w:t>
      </w:r>
      <w:r>
        <w:rPr>
          <w:rFonts w:hint="eastAsia" w:ascii="微软雅黑" w:hAnsi="微软雅黑" w:cs="微软雅黑"/>
          <w:sz w:val="21"/>
        </w:rPr>
        <w:t>会导致 PI3K/AKT/MTOR信号通路组成型激活，从而进一步促进细胞的生长、增殖、存活，最终导致肿瘤的发生</w:t>
      </w:r>
      <w:r>
        <w:rPr>
          <w:rFonts w:hint="eastAsia" w:ascii="微软雅黑" w:hAnsi="微软雅黑" w:cs="微软雅黑"/>
          <w:sz w:val="21"/>
          <w:lang w:val="en-US" w:eastAsia="zh-CN"/>
        </w:rPr>
        <w:t>[</w:t>
      </w:r>
      <w:r>
        <w:rPr>
          <w:rFonts w:hint="eastAsia" w:ascii="微软雅黑" w:hAnsi="微软雅黑" w:cs="微软雅黑"/>
          <w:sz w:val="21"/>
        </w:rPr>
        <w:t>20664174，20664172，31088410</w:t>
      </w:r>
      <w:r>
        <w:rPr>
          <w:rFonts w:hint="eastAsia" w:ascii="微软雅黑" w:hAnsi="微软雅黑" w:cs="微软雅黑"/>
          <w:sz w:val="21"/>
          <w:lang w:val="en-US" w:eastAsia="zh-CN"/>
        </w:rPr>
        <w:t>]</w:t>
      </w:r>
      <w:r>
        <w:rPr>
          <w:rFonts w:hint="eastAsia" w:ascii="微软雅黑" w:hAnsi="微软雅黑" w:cs="微软雅黑"/>
          <w:sz w:val="21"/>
        </w:rPr>
        <w:t>。</w:t>
      </w:r>
    </w:p>
    <w:p w14:paraId="774FDF1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PIK3CA点突变和扩增导致PI3K/AKT途径的激活，进而导致细胞不依赖生长因子增殖，增加细胞侵袭和转移能力[17877460，19697359]。因此，该样本检出的突变可能与疾病的发生发展相关。</w:t>
      </w:r>
    </w:p>
    <w:p w14:paraId="67CD9875">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c.34G&gt;T，p.G12C；13.58%</w:t>
      </w:r>
    </w:p>
    <w:p w14:paraId="5D43A43B">
      <w:pPr>
        <w:spacing w:after="0"/>
      </w:pPr>
      <w:r>
        <w:rPr>
          <w:rFonts w:ascii="微软雅黑" w:hAnsi="微软雅黑" w:cs="微软雅黑"/>
          <w:b/>
        </w:rPr>
        <w:t>基因简介：</w:t>
      </w:r>
    </w:p>
    <w:p w14:paraId="18757D9E">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573A083C">
      <w:pPr>
        <w:spacing w:after="0"/>
      </w:pPr>
      <w:r>
        <w:rPr>
          <w:rFonts w:ascii="微软雅黑" w:hAnsi="微软雅黑" w:cs="微软雅黑"/>
          <w:b/>
        </w:rPr>
        <w:t>基因变异说明：</w:t>
      </w:r>
    </w:p>
    <w:p w14:paraId="1C16234C">
      <w:pPr>
        <w:spacing w:after="0"/>
        <w:ind w:firstLine="400"/>
        <w:jc w:val="both"/>
        <w:rPr>
          <w:rFonts w:ascii="微软雅黑" w:hAnsi="微软雅黑" w:cs="微软雅黑"/>
          <w:sz w:val="21"/>
        </w:rPr>
      </w:pPr>
      <w:r>
        <w:rPr>
          <w:rFonts w:hint="eastAsia" w:ascii="微软雅黑" w:hAnsi="微软雅黑" w:cs="微软雅黑"/>
          <w:sz w:val="21"/>
        </w:rPr>
        <w:t>该样本检出KRAS基因c.34G&gt;T，p.G12C错义突变，第34位核苷酸由G突变为T，导致相应蛋白序列中第12位氨基酸由甘氨酸突变为半胱氨酸，此突变在样本中的突变丰度为13.58%。</w:t>
      </w:r>
    </w:p>
    <w:p w14:paraId="49DD2F04">
      <w:pPr>
        <w:spacing w:after="0"/>
      </w:pPr>
      <w:r>
        <w:rPr>
          <w:rFonts w:ascii="微软雅黑" w:hAnsi="微软雅黑" w:cs="微软雅黑"/>
          <w:b/>
        </w:rPr>
        <w:t xml:space="preserve">基因变异解析： </w:t>
      </w:r>
    </w:p>
    <w:p w14:paraId="13F67688">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w:t>
      </w:r>
      <w:r>
        <w:rPr>
          <w:rFonts w:ascii="微软雅黑" w:hAnsi="微软雅黑" w:eastAsia="微软雅黑" w:cs="微软雅黑"/>
          <w:sz w:val="21"/>
          <w:highlight w:val="none"/>
        </w:rPr>
        <w:t>该样本检出的</w:t>
      </w:r>
      <w:r>
        <w:rPr>
          <w:rFonts w:hint="eastAsia" w:ascii="微软雅黑" w:hAnsi="微软雅黑" w:cs="微软雅黑"/>
          <w:sz w:val="21"/>
          <w:highlight w:val="none"/>
          <w:lang w:eastAsia="zh-CN"/>
        </w:rPr>
        <w:t>p.G12C</w:t>
      </w:r>
      <w:r>
        <w:rPr>
          <w:rFonts w:ascii="微软雅黑" w:hAnsi="微软雅黑" w:eastAsia="微软雅黑" w:cs="微软雅黑"/>
          <w:sz w:val="21"/>
          <w:highlight w:val="none"/>
        </w:rPr>
        <w:t>突变位于上述结构域</w:t>
      </w:r>
      <w:r>
        <w:rPr>
          <w:rFonts w:hint="eastAsia" w:ascii="微软雅黑" w:hAnsi="微软雅黑" w:cs="微软雅黑"/>
          <w:sz w:val="21"/>
          <w:highlight w:val="none"/>
          <w:lang w:val="en-US" w:eastAsia="zh-CN"/>
        </w:rPr>
        <w:t>之</w:t>
      </w:r>
      <w:r>
        <w:rPr>
          <w:rFonts w:ascii="微软雅黑" w:hAnsi="微软雅黑" w:eastAsia="微软雅黑" w:cs="微软雅黑"/>
          <w:sz w:val="21"/>
          <w:highlight w:val="none"/>
        </w:rPr>
        <w:t>内，为已知激活突变，对蛋白功能有重要影响</w:t>
      </w:r>
      <w:r>
        <w:rPr>
          <w:rFonts w:hint="eastAsia" w:ascii="微软雅黑" w:hAnsi="微软雅黑" w:cs="微软雅黑"/>
          <w:sz w:val="21"/>
        </w:rPr>
        <w:t>。</w:t>
      </w:r>
    </w:p>
    <w:p w14:paraId="40D409B3">
      <w:pPr>
        <w:spacing w:after="0"/>
        <w:ind w:firstLine="400"/>
        <w:jc w:val="both"/>
        <w:rPr>
          <w:rFonts w:hint="eastAsia" w:ascii="微软雅黑" w:hAnsi="微软雅黑" w:cs="微软雅黑"/>
          <w:sz w:val="21"/>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911EEAC">
      <w:pPr>
        <w:spacing w:after="0"/>
        <w:ind w:firstLine="400"/>
        <w:jc w:val="both"/>
        <w:rPr>
          <w:rFonts w:hint="eastAsia" w:ascii="微软雅黑" w:hAnsi="微软雅黑" w:cs="微软雅黑"/>
          <w:sz w:val="21"/>
        </w:rPr>
      </w:pPr>
    </w:p>
    <w:p w14:paraId="3E64D677">
      <w:pPr>
        <w:spacing w:after="0"/>
        <w:ind w:firstLine="400"/>
        <w:jc w:val="both"/>
        <w:rPr>
          <w:rFonts w:hint="eastAsia" w:ascii="微软雅黑" w:hAnsi="微软雅黑" w:cs="微软雅黑"/>
          <w:sz w:val="21"/>
        </w:rPr>
      </w:pPr>
    </w:p>
    <w:p w14:paraId="7C4FEB8F">
      <w:pPr>
        <w:spacing w:after="0"/>
        <w:ind w:firstLine="400"/>
        <w:jc w:val="both"/>
        <w:rPr>
          <w:rFonts w:hint="eastAsia" w:ascii="微软雅黑" w:hAnsi="微软雅黑" w:cs="微软雅黑"/>
          <w:sz w:val="21"/>
        </w:rPr>
      </w:pPr>
    </w:p>
    <w:p w14:paraId="4206DA25">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BRCA1</w:t>
      </w:r>
      <w:r>
        <w:rPr>
          <w:rFonts w:ascii="微软雅黑" w:hAnsi="微软雅黑" w:cs="微软雅黑"/>
          <w:b/>
          <w:color w:val="FF0000"/>
          <w:sz w:val="24"/>
          <w:u w:val="single"/>
        </w:rPr>
        <w:t>：</w:t>
      </w:r>
      <w:r>
        <w:rPr>
          <w:rFonts w:hint="eastAsia" w:ascii="微软雅黑" w:hAnsi="微软雅黑" w:cs="微软雅黑"/>
          <w:b/>
          <w:color w:val="FF0000"/>
          <w:sz w:val="24"/>
          <w:u w:val="single"/>
        </w:rPr>
        <w:t>c.505C&gt;T，p.Q169*；1.37%</w:t>
      </w:r>
    </w:p>
    <w:p w14:paraId="45961870">
      <w:pPr>
        <w:spacing w:after="0"/>
      </w:pPr>
      <w:r>
        <w:rPr>
          <w:rFonts w:ascii="微软雅黑" w:hAnsi="微软雅黑" w:cs="微软雅黑"/>
          <w:b/>
        </w:rPr>
        <w:t>基因简介：</w:t>
      </w:r>
    </w:p>
    <w:p w14:paraId="2AD47704">
      <w:pPr>
        <w:spacing w:after="0"/>
        <w:ind w:firstLine="400"/>
        <w:jc w:val="both"/>
        <w:rPr>
          <w:rFonts w:ascii="微软雅黑" w:hAnsi="微软雅黑" w:cs="微软雅黑"/>
          <w:sz w:val="21"/>
        </w:rPr>
      </w:pPr>
      <w:r>
        <w:rPr>
          <w:rFonts w:hint="eastAsia" w:ascii="微软雅黑" w:hAnsi="微软雅黑" w:cs="微软雅黑"/>
          <w:sz w:val="21"/>
        </w:rPr>
        <w:t>BRCA1基因编码的蛋白是一个定位于细胞核的磷酸蛋白，属于肿瘤抑制因子。BRCA1主要含有锌指结构域、丝氨酸集群结构域和BRCT结构域，其中BRCT结构域对于BRCA1发挥其DNA修复功能至关重要[NCBI]。该蛋白一方面与其他肿瘤抑制因子、DNA损伤感应元件和信号转导因子相结合形成一个多亚基蛋白复合物BASC，参与双链DNA修复和重组、维持基因组稳定的过程，另一方面还通过RAD50-MRE11-p95复合体起到DNA损伤应答的作用[10426999]。此外，BRCA1还可以与RNA聚合酶II结合，并通过其C末端结构域与组蛋白脱乙酰酶复合物相互作用，发挥其调控基因转录的功能[NCBI]。BRCA1是乳腺上皮细胞生长的负调控因子，该基因突变导致约40％的遗传性乳腺癌和80％以上的遗传性乳腺癌和卵巢癌[7795653]。</w:t>
      </w:r>
    </w:p>
    <w:p w14:paraId="7E3B889A">
      <w:pPr>
        <w:spacing w:after="0"/>
      </w:pPr>
      <w:r>
        <w:rPr>
          <w:rFonts w:ascii="微软雅黑" w:hAnsi="微软雅黑" w:cs="微软雅黑"/>
          <w:b/>
        </w:rPr>
        <w:t>基因变异说明：</w:t>
      </w:r>
    </w:p>
    <w:p w14:paraId="2A5C1275">
      <w:pPr>
        <w:spacing w:after="0"/>
        <w:ind w:firstLine="400"/>
        <w:jc w:val="both"/>
        <w:rPr>
          <w:rFonts w:ascii="微软雅黑" w:hAnsi="微软雅黑" w:cs="微软雅黑"/>
          <w:sz w:val="21"/>
        </w:rPr>
      </w:pPr>
      <w:r>
        <w:rPr>
          <w:rFonts w:hint="eastAsia" w:ascii="微软雅黑" w:hAnsi="微软雅黑" w:cs="微软雅黑"/>
          <w:sz w:val="21"/>
        </w:rPr>
        <w:t>该样本检出BRCA1基因c.505C&gt;T，p.Q169*无义突变，第505位核苷酸由C突变为T，导致相应蛋白序列中第169位氨基酸由谷氨酰胺突变为终止密码子，此突变在样本中的突变丰度为1.37%。</w:t>
      </w:r>
    </w:p>
    <w:p w14:paraId="74628E0D">
      <w:pPr>
        <w:spacing w:after="0"/>
      </w:pPr>
      <w:r>
        <w:rPr>
          <w:rFonts w:ascii="微软雅黑" w:hAnsi="微软雅黑" w:cs="微软雅黑"/>
          <w:b/>
        </w:rPr>
        <w:t xml:space="preserve">基因变异解析： </w:t>
      </w:r>
    </w:p>
    <w:p w14:paraId="0F01B39A">
      <w:pPr>
        <w:spacing w:after="0"/>
        <w:ind w:firstLine="400"/>
        <w:jc w:val="both"/>
        <w:rPr>
          <w:rFonts w:hint="eastAsia" w:ascii="微软雅黑" w:hAnsi="微软雅黑" w:cs="微软雅黑"/>
          <w:sz w:val="21"/>
        </w:rPr>
      </w:pPr>
      <w:r>
        <w:rPr>
          <w:rFonts w:hint="eastAsia" w:ascii="微软雅黑" w:hAnsi="微软雅黑" w:cs="微软雅黑"/>
          <w:sz w:val="21"/>
        </w:rPr>
        <w:t>BRCA1基因编码的蛋白全长为1863个氨基酸，主要包含RING结构域（24-64位氨基酸）、EIN3结构域（648-978位氨基酸）、卷曲螺旋结构域（1392-1424位氨基酸）以及2个BRCT结构域（1644-1726位、1758-1845位氨基酸）。该样本检出的p.Q169*突变导致蛋白翻译提前终止，产生截短的蛋白，可能导致蛋白功能缺失。</w:t>
      </w:r>
    </w:p>
    <w:p w14:paraId="2B367757">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BRCA1蛋白属于肿瘤抑制因子，发挥DNA修复功能，在多种肿瘤中检测到该基因发生突变。BRCA1、BRCA2的体细胞突变和胚系突变均对PARP抑制剂有预测作用[24579064]。因此，该样本检出的突变可能与疾病的发生发展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01B7DF9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DNMT3A</w:t>
      </w:r>
      <w:r>
        <w:rPr>
          <w:rFonts w:ascii="微软雅黑" w:hAnsi="微软雅黑" w:cs="微软雅黑"/>
          <w:b/>
          <w:color w:val="FF0000"/>
          <w:sz w:val="24"/>
          <w:u w:val="single"/>
        </w:rPr>
        <w:t>：</w:t>
      </w:r>
      <w:r>
        <w:rPr>
          <w:rFonts w:hint="eastAsia" w:ascii="微软雅黑" w:hAnsi="微软雅黑" w:cs="微软雅黑"/>
          <w:b/>
          <w:color w:val="FF0000"/>
          <w:sz w:val="24"/>
          <w:u w:val="single"/>
        </w:rPr>
        <w:t>c.1367del，p.K456Sfs*195；1.18%</w:t>
      </w:r>
    </w:p>
    <w:p w14:paraId="32F2BE8E">
      <w:pPr>
        <w:spacing w:after="0"/>
      </w:pPr>
      <w:r>
        <w:rPr>
          <w:rFonts w:ascii="微软雅黑" w:hAnsi="微软雅黑" w:cs="微软雅黑"/>
          <w:b/>
        </w:rPr>
        <w:t>基因简介：</w:t>
      </w:r>
    </w:p>
    <w:p w14:paraId="038FC739">
      <w:pPr>
        <w:spacing w:after="0"/>
        <w:ind w:firstLine="400"/>
        <w:jc w:val="both"/>
        <w:rPr>
          <w:rFonts w:ascii="微软雅黑" w:hAnsi="微软雅黑" w:cs="微软雅黑"/>
          <w:sz w:val="21"/>
        </w:rPr>
      </w:pPr>
      <w:r>
        <w:rPr>
          <w:rFonts w:hint="eastAsia" w:ascii="微软雅黑" w:hAnsi="微软雅黑" w:cs="微软雅黑"/>
          <w:sz w:val="21"/>
        </w:rPr>
        <w:t>DNMT3A（DNA胞嘧啶-5-甲基转移酶3α）基因编码参与表观遗传学基因调控的蛋白质。DNMT3A在成人组织中普遍表达，并且在某些肿瘤中高表达。有研究发现在正常核型的急性髓系白血病中DNMT3A基因存在一定比例的突变，并可能成为一种独立的预后不良因素。DNMT3A基因在血液恶性肿瘤（例如：急性骨髓性白血病、骨髓增生异常综合征）中发生突变的频率最高，但在其它癌症（包括肺癌）中也发现该基因的突变。</w:t>
      </w:r>
    </w:p>
    <w:p w14:paraId="44E3A7B0">
      <w:pPr>
        <w:spacing w:after="0"/>
      </w:pPr>
      <w:r>
        <w:rPr>
          <w:rFonts w:ascii="微软雅黑" w:hAnsi="微软雅黑" w:cs="微软雅黑"/>
          <w:b/>
        </w:rPr>
        <w:t>基因变异说明：</w:t>
      </w:r>
    </w:p>
    <w:p w14:paraId="2B57C6D2">
      <w:pPr>
        <w:spacing w:after="0"/>
        <w:ind w:firstLine="400"/>
        <w:jc w:val="both"/>
        <w:rPr>
          <w:rFonts w:ascii="微软雅黑" w:hAnsi="微软雅黑" w:cs="微软雅黑"/>
          <w:sz w:val="21"/>
        </w:rPr>
      </w:pPr>
      <w:r>
        <w:rPr>
          <w:rFonts w:hint="eastAsia" w:ascii="微软雅黑" w:hAnsi="微软雅黑" w:cs="微软雅黑"/>
          <w:sz w:val="21"/>
        </w:rPr>
        <w:t>该样本检出DNMT3A基因c.1367del，p.K456Sfs*195碱基缺失引起的移码突变，第1367位核苷酸缺失，导致相应蛋白序列中第456位氨基酸由赖氨酸突变为丝氨酸，并开始发生移码，于此后第195位氨基酸处翻译终止，此突变在样本中的突变丰度为1.18%。</w:t>
      </w:r>
    </w:p>
    <w:p w14:paraId="199BE7E0">
      <w:pPr>
        <w:spacing w:after="0"/>
      </w:pPr>
      <w:r>
        <w:rPr>
          <w:rFonts w:ascii="微软雅黑" w:hAnsi="微软雅黑" w:cs="微软雅黑"/>
          <w:b/>
        </w:rPr>
        <w:t xml:space="preserve">基因变异解析： </w:t>
      </w:r>
    </w:p>
    <w:p w14:paraId="387D266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default" w:ascii="微软雅黑" w:hAnsi="微软雅黑" w:cs="微软雅黑"/>
          <w:sz w:val="21"/>
          <w:lang w:val="en-US" w:eastAsia="zh-CN"/>
        </w:rPr>
      </w:pPr>
      <w:r>
        <w:rPr>
          <w:rFonts w:hint="eastAsia" w:ascii="微软雅黑" w:hAnsi="微软雅黑" w:cs="微软雅黑"/>
          <w:sz w:val="21"/>
          <w:lang w:eastAsia="zh-CN"/>
        </w:rPr>
        <w:t>DNMT3A基因编码的蛋白全长为</w:t>
      </w:r>
      <w:r>
        <w:rPr>
          <w:rFonts w:hint="eastAsia" w:ascii="微软雅黑" w:hAnsi="微软雅黑" w:cs="微软雅黑"/>
          <w:sz w:val="21"/>
          <w:lang w:val="en-US" w:eastAsia="zh-CN"/>
        </w:rPr>
        <w:t>912位氨基酸，</w:t>
      </w:r>
      <w:r>
        <w:rPr>
          <w:rFonts w:hint="eastAsia" w:ascii="微软雅黑" w:hAnsi="微软雅黑" w:cs="微软雅黑"/>
          <w:sz w:val="21"/>
          <w:lang w:eastAsia="zh-CN"/>
        </w:rPr>
        <w:t>主要包含PWWP结构域（290-348位氨基酸）和DNA</w:t>
      </w:r>
      <w:r>
        <w:rPr>
          <w:rFonts w:hint="eastAsia" w:ascii="微软雅黑" w:hAnsi="微软雅黑" w:cs="微软雅黑"/>
          <w:sz w:val="21"/>
          <w:lang w:val="en-US" w:eastAsia="zh-CN"/>
        </w:rPr>
        <w:t xml:space="preserve"> </w:t>
      </w:r>
      <w:r>
        <w:rPr>
          <w:rFonts w:hint="eastAsia" w:ascii="微软雅黑" w:hAnsi="微软雅黑" w:cs="微软雅黑"/>
          <w:sz w:val="21"/>
          <w:lang w:eastAsia="zh-CN"/>
        </w:rPr>
        <w:t>methylase结构域（634-776位氨基酸）。</w:t>
      </w:r>
      <w:r>
        <w:rPr>
          <w:rFonts w:ascii="微软雅黑" w:hAnsi="微软雅黑" w:eastAsia="微软雅黑" w:cs="微软雅黑"/>
          <w:sz w:val="21"/>
        </w:rPr>
        <w:t>该样本检出的</w:t>
      </w:r>
      <w:r>
        <w:rPr>
          <w:rFonts w:hint="eastAsia" w:ascii="微软雅黑" w:hAnsi="微软雅黑" w:cs="微软雅黑"/>
          <w:sz w:val="21"/>
        </w:rPr>
        <w:t>p.K456Sfs*195</w:t>
      </w:r>
      <w:r>
        <w:rPr>
          <w:rFonts w:hint="eastAsia" w:ascii="微软雅黑" w:hAnsi="微软雅黑" w:cs="Arial Unicode MS"/>
          <w:color w:val="auto"/>
          <w:kern w:val="2"/>
          <w:sz w:val="21"/>
          <w:szCs w:val="21"/>
          <w:highlight w:val="none"/>
          <w:lang w:val="en-US" w:eastAsia="zh-CN"/>
        </w:rPr>
        <w:t>突变导致蛋白翻译提前终止，产生截短的蛋白，可能导致蛋白功能缺失</w:t>
      </w:r>
      <w:r>
        <w:rPr>
          <w:rFonts w:ascii="微软雅黑" w:hAnsi="微软雅黑" w:eastAsia="微软雅黑" w:cs="微软雅黑"/>
          <w:sz w:val="21"/>
        </w:rPr>
        <w:t>。</w:t>
      </w:r>
    </w:p>
    <w:p w14:paraId="4AEF9442">
      <w:pPr>
        <w:spacing w:after="0"/>
        <w:ind w:firstLine="400"/>
        <w:jc w:val="both"/>
        <w:rPr>
          <w:rFonts w:hint="eastAsia" w:ascii="微软雅黑" w:hAnsi="微软雅黑" w:cs="微软雅黑"/>
          <w:b/>
          <w:color w:val="FF0000"/>
          <w:sz w:val="24"/>
          <w:u w:val="single"/>
        </w:rPr>
      </w:pPr>
      <w:r>
        <w:rPr>
          <w:rFonts w:hint="eastAsia" w:ascii="微软雅黑" w:hAnsi="微软雅黑" w:cs="Arial Unicode MS"/>
          <w:color w:val="auto"/>
          <w:kern w:val="2"/>
          <w:sz w:val="21"/>
          <w:szCs w:val="21"/>
          <w:highlight w:val="none"/>
          <w:lang w:val="en-US" w:eastAsia="zh-CN"/>
        </w:rPr>
        <w:t>有一项研究表明，DNM3TA 突变患者在免疫治疗过程中，有4名DNM3TA突变的患者经过伊匹木单抗，帕博利珠单抗，纳武利尤单抗免疫治疗后发生进展，治疗失败的时间少于2个月（OR，9.33，P=0.03）</w:t>
      </w:r>
      <w:r>
        <w:rPr>
          <w:rFonts w:hint="eastAsia" w:ascii="微软雅黑" w:hAnsi="微软雅黑" w:cs="Arial Unicode MS"/>
          <w:color w:val="auto"/>
          <w:kern w:val="2"/>
          <w:sz w:val="21"/>
          <w:szCs w:val="21"/>
          <w:highlight w:val="none"/>
        </w:rPr>
        <w:t>[</w:t>
      </w:r>
      <w:r>
        <w:rPr>
          <w:rFonts w:hint="eastAsia" w:ascii="微软雅黑" w:hAnsi="微软雅黑" w:cs="Arial Unicode MS"/>
          <w:color w:val="auto"/>
          <w:kern w:val="2"/>
          <w:sz w:val="21"/>
          <w:szCs w:val="21"/>
          <w:highlight w:val="none"/>
          <w:lang w:val="en-US" w:eastAsia="zh-CN"/>
        </w:rPr>
        <w:t>28351930，28976787</w:t>
      </w:r>
      <w:r>
        <w:rPr>
          <w:rFonts w:hint="eastAsia" w:ascii="微软雅黑" w:hAnsi="微软雅黑" w:cs="Arial Unicode MS"/>
          <w:color w:val="auto"/>
          <w:kern w:val="2"/>
          <w:sz w:val="21"/>
          <w:szCs w:val="21"/>
          <w:highlight w:val="none"/>
        </w:rPr>
        <w:t>]</w:t>
      </w:r>
      <w:r>
        <w:rPr>
          <w:rFonts w:hint="eastAsia" w:ascii="微软雅黑" w:hAnsi="微软雅黑" w:cs="Arial Unicode MS"/>
          <w:color w:val="auto"/>
          <w:kern w:val="2"/>
          <w:sz w:val="21"/>
          <w:szCs w:val="21"/>
          <w:highlight w:val="none"/>
          <w:lang w:val="en-US" w:eastAsia="zh-CN"/>
        </w:rPr>
        <w:t>。因此，</w:t>
      </w:r>
      <w:r>
        <w:rPr>
          <w:rFonts w:hint="eastAsia" w:ascii="微软雅黑" w:hAnsi="微软雅黑" w:cs="微软雅黑"/>
          <w:sz w:val="21"/>
        </w:rPr>
        <w:t>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r>
        <w:rPr>
          <w:rFonts w:hint="eastAsia" w:ascii="微软雅黑" w:hAnsi="微软雅黑" w:cs="Arial Unicode MS"/>
          <w:color w:val="auto"/>
          <w:kern w:val="2"/>
          <w:sz w:val="21"/>
          <w:szCs w:val="21"/>
          <w:highlight w:val="none"/>
          <w:lang w:val="en-US" w:eastAsia="zh-CN"/>
        </w:rPr>
        <w:t>。</w:t>
      </w:r>
    </w:p>
    <w:p w14:paraId="7DE3C99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c.499C&gt;T，p.Q167*；1.16%</w:t>
      </w:r>
    </w:p>
    <w:p w14:paraId="07CD6C62">
      <w:pPr>
        <w:spacing w:after="0"/>
      </w:pPr>
      <w:r>
        <w:rPr>
          <w:rFonts w:ascii="微软雅黑" w:hAnsi="微软雅黑" w:cs="微软雅黑"/>
          <w:b/>
        </w:rPr>
        <w:t>基因简介：</w:t>
      </w:r>
    </w:p>
    <w:p w14:paraId="05CDDAB5">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460C7490">
      <w:pPr>
        <w:spacing w:after="0"/>
      </w:pPr>
      <w:r>
        <w:rPr>
          <w:rFonts w:ascii="微软雅黑" w:hAnsi="微软雅黑" w:cs="微软雅黑"/>
          <w:b/>
        </w:rPr>
        <w:t>基因变异说明：</w:t>
      </w:r>
    </w:p>
    <w:p w14:paraId="6A3AC79A">
      <w:pPr>
        <w:spacing w:after="0"/>
        <w:ind w:firstLine="400"/>
        <w:jc w:val="both"/>
        <w:rPr>
          <w:rFonts w:ascii="微软雅黑" w:hAnsi="微软雅黑" w:cs="微软雅黑"/>
          <w:sz w:val="21"/>
        </w:rPr>
      </w:pPr>
      <w:r>
        <w:rPr>
          <w:rFonts w:hint="eastAsia" w:ascii="微软雅黑" w:hAnsi="微软雅黑" w:cs="微软雅黑"/>
          <w:sz w:val="21"/>
        </w:rPr>
        <w:t>该样本检出TP53基因c.499C&gt;T，p.Q167*无义突变，第499位核苷酸由C突变为T，导致相应蛋白序列中第167位氨基酸由谷氨酰胺突变为终止密码子，此突变在样本中的突变丰度为1.16%。</w:t>
      </w:r>
    </w:p>
    <w:p w14:paraId="4B6063B6">
      <w:pPr>
        <w:spacing w:after="0"/>
      </w:pPr>
      <w:r>
        <w:rPr>
          <w:rFonts w:ascii="微软雅黑" w:hAnsi="微软雅黑" w:cs="微软雅黑"/>
          <w:b/>
        </w:rPr>
        <w:t xml:space="preserve">基因变异解析： </w:t>
      </w:r>
    </w:p>
    <w:p w14:paraId="0DE881B8">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该样本检出的p.Q167*突变导致蛋白翻译提前终止，产生截短的蛋白，可能导致蛋白功能缺失。</w:t>
      </w:r>
    </w:p>
    <w:p w14:paraId="262A4E64">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p>
    <w:p w14:paraId="6993AE4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FLT3</w:t>
      </w:r>
      <w:r>
        <w:rPr>
          <w:rFonts w:ascii="微软雅黑" w:hAnsi="微软雅黑" w:cs="微软雅黑"/>
          <w:b/>
          <w:color w:val="FF0000"/>
          <w:sz w:val="24"/>
          <w:u w:val="single"/>
        </w:rPr>
        <w:t>：</w:t>
      </w:r>
      <w:r>
        <w:rPr>
          <w:rFonts w:hint="eastAsia" w:ascii="微软雅黑" w:hAnsi="微软雅黑" w:cs="微软雅黑"/>
          <w:b/>
          <w:color w:val="FF0000"/>
          <w:sz w:val="24"/>
          <w:u w:val="single"/>
        </w:rPr>
        <w:t>c.2537G&gt;A，p.G846D；1.02%</w:t>
      </w:r>
    </w:p>
    <w:p w14:paraId="3BB7DC50">
      <w:pPr>
        <w:spacing w:after="0"/>
      </w:pPr>
      <w:r>
        <w:rPr>
          <w:rFonts w:ascii="微软雅黑" w:hAnsi="微软雅黑" w:cs="微软雅黑"/>
          <w:b/>
        </w:rPr>
        <w:t>基因简介：</w:t>
      </w:r>
    </w:p>
    <w:p w14:paraId="36A1AE03">
      <w:pPr>
        <w:spacing w:after="0"/>
        <w:ind w:firstLine="400"/>
        <w:jc w:val="both"/>
        <w:rPr>
          <w:rFonts w:ascii="微软雅黑" w:hAnsi="微软雅黑" w:cs="微软雅黑"/>
          <w:sz w:val="21"/>
        </w:rPr>
      </w:pPr>
      <w:r>
        <w:rPr>
          <w:rFonts w:hint="eastAsia" w:ascii="微软雅黑" w:hAnsi="微软雅黑" w:cs="Arial Unicode MS"/>
          <w:kern w:val="2"/>
          <w:sz w:val="21"/>
          <w:szCs w:val="21"/>
          <w:highlight w:val="none"/>
        </w:rPr>
        <w:t>FLT3</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Fms样酪氨酸激酶-3</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基因编码的蛋白是调节造血功能的第III类酪氨酸激酶受体</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能够激活造血干细胞的增殖和分化途径[</w:t>
      </w:r>
      <w:r>
        <w:rPr>
          <w:rFonts w:hint="eastAsia" w:ascii="微软雅黑" w:hAnsi="微软雅黑" w:cs="Arial Unicode MS"/>
          <w:kern w:val="2"/>
          <w:sz w:val="21"/>
          <w:szCs w:val="21"/>
          <w:highlight w:val="none"/>
        </w:rPr>
        <w:t>27906677</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。受体激酶的活化能磷酸化和激活多种细胞过程（细胞凋亡、增殖和骨髓中造血干细胞的分化）的细胞质效应分子。FLT3基因突变导致受体组成性激活，从而导致急性髓性白血病和急性淋巴细胞白血病[NCBI]。</w:t>
      </w:r>
      <w:r>
        <w:rPr>
          <w:rFonts w:hint="eastAsia" w:ascii="微软雅黑" w:hAnsi="微软雅黑" w:cs="Arial Unicode MS"/>
          <w:kern w:val="2"/>
          <w:sz w:val="21"/>
          <w:szCs w:val="21"/>
          <w:highlight w:val="none"/>
          <w:lang w:val="en-US" w:eastAsia="zh-CN"/>
        </w:rPr>
        <w:t>在具有FLT3激活突变的癌细胞中，FLT3抑制剂或酪氨酸激酶抑制剂已被证明是有效的[</w:t>
      </w:r>
      <w:r>
        <w:rPr>
          <w:rFonts w:hint="eastAsia" w:ascii="微软雅黑" w:hAnsi="微软雅黑" w:cs="Arial Unicode MS"/>
          <w:kern w:val="2"/>
          <w:sz w:val="21"/>
          <w:szCs w:val="21"/>
          <w:highlight w:val="none"/>
        </w:rPr>
        <w:t>19318574</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12124170</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与FLT3相关的信号通路有GPCR和癌症中的信号通路[GeneCards]。</w:t>
      </w:r>
    </w:p>
    <w:p w14:paraId="0C621869">
      <w:pPr>
        <w:spacing w:after="0"/>
      </w:pPr>
      <w:r>
        <w:rPr>
          <w:rFonts w:ascii="微软雅黑" w:hAnsi="微软雅黑" w:cs="微软雅黑"/>
          <w:b/>
        </w:rPr>
        <w:t>基因变异说明：</w:t>
      </w:r>
    </w:p>
    <w:p w14:paraId="13884740">
      <w:pPr>
        <w:spacing w:after="0"/>
        <w:ind w:firstLine="400"/>
        <w:jc w:val="both"/>
        <w:rPr>
          <w:rFonts w:ascii="微软雅黑" w:hAnsi="微软雅黑" w:cs="微软雅黑"/>
          <w:sz w:val="21"/>
        </w:rPr>
      </w:pPr>
      <w:r>
        <w:rPr>
          <w:rFonts w:hint="eastAsia" w:ascii="微软雅黑" w:hAnsi="微软雅黑" w:cs="微软雅黑"/>
          <w:sz w:val="21"/>
        </w:rPr>
        <w:t>该样本检出FLT3基因c.2537G&gt;A，p.G846D错义突变，第2537位核苷酸由G突变为A，导致相应蛋白序列中第846位氨基酸由甘氨酸突变为天冬氨酸，此突变在样本中的突变丰度为1.02%。</w:t>
      </w:r>
    </w:p>
    <w:p w14:paraId="4536332B">
      <w:pPr>
        <w:spacing w:after="0"/>
      </w:pPr>
      <w:r>
        <w:rPr>
          <w:rFonts w:ascii="微软雅黑" w:hAnsi="微软雅黑" w:cs="微软雅黑"/>
          <w:b/>
        </w:rPr>
        <w:t xml:space="preserve">基因变异解析： </w:t>
      </w:r>
    </w:p>
    <w:p w14:paraId="1F46D81B">
      <w:pPr>
        <w:spacing w:after="0"/>
        <w:ind w:firstLine="420" w:firstLineChars="200"/>
        <w:jc w:val="both"/>
        <w:outlineLvl w:val="9"/>
        <w:rPr>
          <w:rFonts w:hint="eastAsia" w:ascii="微软雅黑" w:hAnsi="微软雅黑" w:cs="Times New Roman"/>
          <w:b w:val="0"/>
          <w:bCs/>
          <w:kern w:val="2"/>
          <w:sz w:val="21"/>
          <w:szCs w:val="21"/>
          <w:highlight w:val="none"/>
          <w:lang w:val="en-US" w:eastAsia="zh-CN"/>
        </w:rPr>
      </w:pPr>
      <w:r>
        <w:rPr>
          <w:rFonts w:hint="eastAsia" w:ascii="微软雅黑" w:hAnsi="微软雅黑" w:cs="微软雅黑"/>
          <w:sz w:val="21"/>
        </w:rPr>
        <w:t>FLT3基因编码的蛋白全长为</w:t>
      </w:r>
      <w:r>
        <w:rPr>
          <w:rFonts w:hint="eastAsia" w:ascii="微软雅黑" w:hAnsi="微软雅黑" w:cs="微软雅黑"/>
          <w:sz w:val="21"/>
          <w:lang w:val="en-US" w:eastAsia="zh-CN"/>
        </w:rPr>
        <w:t>993</w:t>
      </w:r>
      <w:r>
        <w:rPr>
          <w:rFonts w:hint="eastAsia" w:ascii="微软雅黑" w:hAnsi="微软雅黑" w:cs="微软雅黑"/>
          <w:sz w:val="21"/>
        </w:rPr>
        <w:t>个氨基酸，</w:t>
      </w:r>
      <w:r>
        <w:rPr>
          <w:rFonts w:hint="eastAsia" w:ascii="微软雅黑" w:hAnsi="微软雅黑" w:cs="Times New Roman"/>
          <w:b w:val="0"/>
          <w:bCs/>
          <w:kern w:val="2"/>
          <w:sz w:val="21"/>
          <w:szCs w:val="21"/>
          <w:highlight w:val="none"/>
          <w:lang w:val="en-US" w:eastAsia="zh-CN"/>
        </w:rPr>
        <w:t>主要包含免疫球蛋白功能区（265-331位氨</w:t>
      </w:r>
      <w:r>
        <w:rPr>
          <w:rFonts w:hint="eastAsia" w:ascii="微软雅黑" w:hAnsi="微软雅黑" w:cs="Times New Roman"/>
          <w:b w:val="0"/>
          <w:bCs/>
          <w:kern w:val="2"/>
          <w:sz w:val="21"/>
          <w:szCs w:val="21"/>
          <w:lang w:val="en-US" w:eastAsia="zh-CN"/>
        </w:rPr>
        <w:t>基酸）和蛋白酪氨酸激酶</w:t>
      </w:r>
      <w:r>
        <w:rPr>
          <w:rFonts w:hint="eastAsia" w:ascii="微软雅黑" w:hAnsi="微软雅黑" w:cs="Times New Roman"/>
          <w:b w:val="0"/>
          <w:bCs/>
          <w:kern w:val="2"/>
          <w:sz w:val="21"/>
          <w:szCs w:val="21"/>
          <w:highlight w:val="none"/>
          <w:lang w:val="en-US" w:eastAsia="zh-CN"/>
        </w:rPr>
        <w:t>结构域（610-943位氨基酸）。该样本检出的</w:t>
      </w:r>
      <w:r>
        <w:rPr>
          <w:rFonts w:hint="eastAsia" w:ascii="微软雅黑" w:hAnsi="微软雅黑" w:cs="微软雅黑"/>
          <w:sz w:val="21"/>
        </w:rPr>
        <w:t>p.G846D</w:t>
      </w:r>
      <w:r>
        <w:rPr>
          <w:rFonts w:hint="eastAsia" w:ascii="微软雅黑" w:hAnsi="微软雅黑" w:cs="Times New Roman"/>
          <w:b w:val="0"/>
          <w:bCs/>
          <w:kern w:val="2"/>
          <w:sz w:val="21"/>
          <w:szCs w:val="21"/>
          <w:highlight w:val="none"/>
          <w:lang w:val="en-US" w:eastAsia="zh-CN"/>
        </w:rPr>
        <w:t>突变位于蛋白酪氨酸激酶结构域，</w:t>
      </w:r>
      <w:r>
        <w:rPr>
          <w:rFonts w:hint="eastAsia" w:ascii="微软雅黑" w:hAnsi="微软雅黑" w:cs="Times New Roman"/>
          <w:bCs/>
          <w:kern w:val="2"/>
          <w:sz w:val="21"/>
          <w:szCs w:val="21"/>
          <w:highlight w:val="none"/>
        </w:rPr>
        <w:t>研究报道，该突变导致FLT3蛋白功能增加，表现在培养细胞中IL3非依赖性生长和Stat5磷酸化增加[38049555]</w:t>
      </w:r>
      <w:r>
        <w:rPr>
          <w:rFonts w:hint="eastAsia" w:ascii="微软雅黑" w:hAnsi="微软雅黑" w:cs="Times New Roman"/>
          <w:b w:val="0"/>
          <w:bCs/>
          <w:kern w:val="2"/>
          <w:sz w:val="21"/>
          <w:szCs w:val="21"/>
          <w:highlight w:val="none"/>
          <w:lang w:val="en-US" w:eastAsia="zh-CN"/>
        </w:rPr>
        <w:t>。</w:t>
      </w:r>
    </w:p>
    <w:p w14:paraId="15014470">
      <w:pPr>
        <w:spacing w:after="0"/>
        <w:ind w:firstLine="400"/>
        <w:jc w:val="both"/>
        <w:rPr>
          <w:rFonts w:hint="eastAsia" w:ascii="微软雅黑" w:hAnsi="微软雅黑" w:cs="微软雅黑"/>
          <w:b/>
          <w:color w:val="FF0000"/>
          <w:sz w:val="24"/>
          <w:u w:val="single"/>
        </w:rPr>
      </w:pPr>
      <w:r>
        <w:rPr>
          <w:rFonts w:hint="eastAsia" w:ascii="微软雅黑" w:hAnsi="微软雅黑" w:cs="Times New Roman"/>
          <w:bCs/>
          <w:kern w:val="2"/>
          <w:sz w:val="21"/>
          <w:szCs w:val="21"/>
          <w:highlight w:val="none"/>
          <w:lang w:val="en-US" w:eastAsia="zh-CN"/>
        </w:rPr>
        <w:t>在实体瘤中，FLT3变异综合分析显示，大多数是基因突变，其次是基因扩增[</w:t>
      </w:r>
      <w:r>
        <w:rPr>
          <w:rFonts w:hint="eastAsia" w:ascii="微软雅黑" w:hAnsi="微软雅黑" w:cs="Times New Roman"/>
          <w:bCs/>
          <w:kern w:val="2"/>
          <w:sz w:val="21"/>
          <w:szCs w:val="21"/>
          <w:highlight w:val="none"/>
        </w:rPr>
        <w:t>23550210</w:t>
      </w:r>
      <w:r>
        <w:rPr>
          <w:rFonts w:hint="eastAsia" w:ascii="微软雅黑" w:hAnsi="微软雅黑" w:cs="Times New Roman"/>
          <w:bCs/>
          <w:kern w:val="2"/>
          <w:sz w:val="21"/>
          <w:szCs w:val="21"/>
          <w:highlight w:val="none"/>
          <w:lang w:val="en-US" w:eastAsia="zh-CN"/>
        </w:rPr>
        <w:t>]。</w:t>
      </w:r>
      <w:r>
        <w:rPr>
          <w:rFonts w:hint="eastAsia" w:ascii="微软雅黑" w:hAnsi="微软雅黑" w:cs="Arial Unicode MS"/>
          <w:bCs/>
          <w:kern w:val="2"/>
          <w:sz w:val="21"/>
          <w:szCs w:val="21"/>
          <w:highlight w:val="none"/>
          <w:lang w:eastAsia="zh-CN"/>
        </w:rPr>
        <w:t>有研究证明，FLT3的激活突变和内部串联重复突变在血液肿瘤、急性髓系白血病中比较常见[19467916，30181385，32241850]。</w:t>
      </w:r>
      <w:r>
        <w:rPr>
          <w:rFonts w:hint="eastAsia" w:ascii="微软雅黑" w:hAnsi="微软雅黑" w:cs="微软雅黑"/>
          <w:sz w:val="21"/>
        </w:rPr>
        <w:t>因此，该样本检出的突变可能与疾病的发生发展相关。</w:t>
      </w:r>
    </w:p>
    <w:p w14:paraId="642E9411">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PMS2</w:t>
      </w:r>
      <w:r>
        <w:rPr>
          <w:rFonts w:ascii="微软雅黑" w:hAnsi="微软雅黑" w:cs="微软雅黑"/>
          <w:b/>
          <w:color w:val="FF0000"/>
          <w:sz w:val="24"/>
          <w:u w:val="single"/>
        </w:rPr>
        <w:t>：</w:t>
      </w:r>
      <w:r>
        <w:rPr>
          <w:rFonts w:hint="eastAsia" w:ascii="微软雅黑" w:hAnsi="微软雅黑" w:cs="微软雅黑"/>
          <w:b/>
          <w:color w:val="FF0000"/>
          <w:sz w:val="24"/>
          <w:u w:val="single"/>
        </w:rPr>
        <w:t>c.1273del，p.S425Lfs*23；1%</w:t>
      </w:r>
    </w:p>
    <w:p w14:paraId="2600EB94">
      <w:pPr>
        <w:spacing w:after="0"/>
      </w:pPr>
      <w:r>
        <w:rPr>
          <w:rFonts w:ascii="微软雅黑" w:hAnsi="微软雅黑" w:cs="微软雅黑"/>
          <w:b/>
        </w:rPr>
        <w:t>基因简介：</w:t>
      </w:r>
    </w:p>
    <w:p w14:paraId="20FC4343">
      <w:pPr>
        <w:spacing w:after="0"/>
        <w:ind w:firstLine="400"/>
        <w:jc w:val="both"/>
        <w:rPr>
          <w:rFonts w:ascii="微软雅黑" w:hAnsi="微软雅黑" w:cs="微软雅黑"/>
          <w:sz w:val="21"/>
        </w:rPr>
      </w:pPr>
      <w:r>
        <w:rPr>
          <w:rFonts w:hint="eastAsia" w:ascii="微软雅黑" w:hAnsi="微软雅黑" w:cs="微软雅黑"/>
          <w:sz w:val="21"/>
        </w:rPr>
        <w:t>PMS2基因编码的蛋白在DNA错配修复中起作用[29755653]。PMS2是DNA错配修复系统（MMR）的组成部分，与MLH1异源化形成MutLα。DNA修复由与dsDNA不匹配结合的MutSα（MSH2-MSH6）或MutSβ（MSH2-MSH6）引发，然后将MutLα引入异源双链体。当存在RFC和PCNA时，MutL-MutS-杂合eroduplex三元复合物的组装足以激活PMS2的核酸内切酶活性。它在错配附近引入单链断裂，从而为外切核酸酶EXO1产生新的入口点，以降解不匹配的链。DNA甲基化会阻止裂解，因此确保只有新突变的DNA链将被修正。PMS2还参与DNA损伤信号传导，这是一种引起细胞周期阻滞并在导致主要DNA损伤的情况下可导致细胞凋亡的过程[GeneCards]。研究表明，PMS2的杂合胚系突是林奇综合征的诱因之一[26320870]。目前，已在子宫内膜癌、肠癌和胃癌中检测到PMS2基因的错义突变、无义突变、沉默突变、移码缺失和插入突变。</w:t>
      </w:r>
    </w:p>
    <w:p w14:paraId="05FFD338">
      <w:pPr>
        <w:spacing w:after="0"/>
      </w:pPr>
      <w:r>
        <w:rPr>
          <w:rFonts w:ascii="微软雅黑" w:hAnsi="微软雅黑" w:cs="微软雅黑"/>
          <w:b/>
        </w:rPr>
        <w:t>基因变异说明：</w:t>
      </w:r>
    </w:p>
    <w:p w14:paraId="45E26D38">
      <w:pPr>
        <w:spacing w:after="0"/>
        <w:ind w:firstLine="400"/>
        <w:jc w:val="both"/>
        <w:rPr>
          <w:rFonts w:ascii="微软雅黑" w:hAnsi="微软雅黑" w:cs="微软雅黑"/>
          <w:sz w:val="21"/>
        </w:rPr>
      </w:pPr>
      <w:r>
        <w:rPr>
          <w:rFonts w:hint="eastAsia" w:ascii="微软雅黑" w:hAnsi="微软雅黑" w:cs="微软雅黑"/>
          <w:sz w:val="21"/>
        </w:rPr>
        <w:t>该样本检出PMS2基因c.1273del，p.S425Lfs*23碱基缺失引起的移码突变，第1273位核苷酸缺失，导致相应蛋白序列中第425位氨基酸由丝氨酸突变为亮氨酸，并开始发生移码，于此后第23位氨基酸处翻译终止，此突变在样本中的突变丰度为1%。</w:t>
      </w:r>
    </w:p>
    <w:p w14:paraId="2E3CE07B">
      <w:pPr>
        <w:spacing w:after="0"/>
      </w:pPr>
      <w:r>
        <w:rPr>
          <w:rFonts w:ascii="微软雅黑" w:hAnsi="微软雅黑" w:cs="微软雅黑"/>
          <w:b/>
        </w:rPr>
        <w:t xml:space="preserve">基因变异解析： </w:t>
      </w:r>
    </w:p>
    <w:p w14:paraId="5DAF5F30">
      <w:pPr>
        <w:spacing w:after="0"/>
        <w:ind w:firstLine="400"/>
        <w:jc w:val="both"/>
        <w:rPr>
          <w:rFonts w:hint="eastAsia" w:ascii="微软雅黑" w:hAnsi="微软雅黑" w:cs="微软雅黑"/>
          <w:sz w:val="21"/>
        </w:rPr>
      </w:pPr>
      <w:r>
        <w:rPr>
          <w:rFonts w:hint="eastAsia" w:ascii="微软雅黑" w:hAnsi="微软雅黑" w:cs="微软雅黑"/>
          <w:sz w:val="21"/>
        </w:rPr>
        <w:t>PMS2基因编码的蛋白全长为862个氨基酸，主要包含HATPase_c结构域（30-131位氨基酸）、DNA错配修复蛋白C端结构域（249-363位氨基酸）和MutLC端二聚化结构域（678-822位氨基酸）。该样本检出的p.S425Lfs*23突变导致蛋白翻译提前终止，产生截短的蛋白，可能导致蛋白功能缺失。</w:t>
      </w:r>
    </w:p>
    <w:p w14:paraId="50CF7C56">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PMS2基因编码DNA错配修复蛋白[26666765]。多项研究表明，PARP抑制剂用于治疗DNA错配修复缺陷的肿瘤可显示出疗效[28003236]。因此，该样本检出的突变可能与疾病的发生发展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50E90F3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ATR</w:t>
      </w:r>
      <w:r>
        <w:rPr>
          <w:rFonts w:ascii="微软雅黑" w:hAnsi="微软雅黑" w:cs="微软雅黑"/>
          <w:b/>
          <w:color w:val="FF0000"/>
          <w:sz w:val="24"/>
          <w:u w:val="single"/>
        </w:rPr>
        <w:t>：</w:t>
      </w:r>
      <w:r>
        <w:rPr>
          <w:rFonts w:hint="eastAsia" w:ascii="微软雅黑" w:hAnsi="微软雅黑" w:cs="微软雅黑"/>
          <w:b/>
          <w:color w:val="FF0000"/>
          <w:sz w:val="24"/>
          <w:u w:val="single"/>
        </w:rPr>
        <w:t>c.1291del，p.R431Gfs*8；0.98%</w:t>
      </w:r>
    </w:p>
    <w:p w14:paraId="56C722CF">
      <w:pPr>
        <w:spacing w:after="0"/>
      </w:pPr>
      <w:r>
        <w:rPr>
          <w:rFonts w:ascii="微软雅黑" w:hAnsi="微软雅黑" w:cs="微软雅黑"/>
          <w:b/>
        </w:rPr>
        <w:t>基因简介：</w:t>
      </w:r>
    </w:p>
    <w:p w14:paraId="4E52940F">
      <w:pPr>
        <w:spacing w:after="0"/>
        <w:ind w:firstLine="400"/>
        <w:jc w:val="both"/>
        <w:rPr>
          <w:rFonts w:ascii="微软雅黑" w:hAnsi="微软雅黑" w:cs="微软雅黑"/>
          <w:sz w:val="21"/>
        </w:rPr>
      </w:pPr>
      <w:r>
        <w:rPr>
          <w:rFonts w:hint="eastAsia" w:ascii="微软雅黑" w:hAnsi="微软雅黑" w:cs="微软雅黑"/>
          <w:sz w:val="21"/>
        </w:rPr>
        <w:t>ATR基因编码的蛋白是为PI3/PI4激酶家族成员，是与DNA损伤修复和细胞周期阻滞相关的主要信号因子。该蛋白在检查点激酶CHK1、RAD17、RAD9和肿瘤抑制蛋白BRCA1蛋白的磷酸化中起作用，这些蛋白参与细胞周期和DNA损伤信号通路。在肠癌、皮肤癌和胃癌等癌症中已发现该基因的错义突变、无义突变、沉默突变、移码缺失、插入以及整码缺失。</w:t>
      </w:r>
    </w:p>
    <w:p w14:paraId="19824F18">
      <w:pPr>
        <w:spacing w:after="0"/>
      </w:pPr>
      <w:r>
        <w:rPr>
          <w:rFonts w:ascii="微软雅黑" w:hAnsi="微软雅黑" w:cs="微软雅黑"/>
          <w:b/>
        </w:rPr>
        <w:t>基因变异说明：</w:t>
      </w:r>
    </w:p>
    <w:p w14:paraId="05412D23">
      <w:pPr>
        <w:spacing w:after="0"/>
        <w:ind w:firstLine="400"/>
        <w:jc w:val="both"/>
        <w:rPr>
          <w:rFonts w:ascii="微软雅黑" w:hAnsi="微软雅黑" w:cs="微软雅黑"/>
          <w:sz w:val="21"/>
        </w:rPr>
      </w:pPr>
      <w:r>
        <w:rPr>
          <w:rFonts w:hint="eastAsia" w:ascii="微软雅黑" w:hAnsi="微软雅黑" w:cs="微软雅黑"/>
          <w:sz w:val="21"/>
        </w:rPr>
        <w:t>该样本检出ATR基因c.1291del，p.R431Gfs*8碱基缺失引起的移码突变，第1291位核苷酸缺失，导致相应蛋白序列中第431位氨基酸由精氨酸突变为甘氨酸，并开始发生移码，于此后第8位氨基酸处翻译终止，此突变在样本中的突变丰度为0.98%。</w:t>
      </w:r>
    </w:p>
    <w:p w14:paraId="6C1D71CC">
      <w:pPr>
        <w:spacing w:after="0"/>
      </w:pPr>
      <w:r>
        <w:rPr>
          <w:rFonts w:ascii="微软雅黑" w:hAnsi="微软雅黑" w:cs="微软雅黑"/>
          <w:b/>
        </w:rPr>
        <w:t xml:space="preserve">基因变异解析： </w:t>
      </w:r>
    </w:p>
    <w:p w14:paraId="669F52C2">
      <w:pPr>
        <w:spacing w:after="0"/>
        <w:ind w:firstLine="400"/>
        <w:jc w:val="both"/>
        <w:rPr>
          <w:rFonts w:hint="eastAsia" w:ascii="微软雅黑" w:hAnsi="微软雅黑" w:cs="微软雅黑"/>
          <w:sz w:val="21"/>
        </w:rPr>
      </w:pPr>
      <w:r>
        <w:rPr>
          <w:rFonts w:hint="eastAsia" w:ascii="微软雅黑" w:hAnsi="微软雅黑" w:cs="微软雅黑"/>
          <w:sz w:val="21"/>
        </w:rPr>
        <w:t>ATR基因编码的蛋白全长为2644个氨基酸，主要包含UME结构域（1119-1225位氨基酸）、FAT结构域（1771-2092位氨基酸）以及PI3Kc结构域（2323-2633位氨基酸）。该样本检出的p.R431Gfs*8突变导致蛋白翻译提前终止，产生截短的蛋白，可能导致蛋白功能缺失。</w:t>
      </w:r>
    </w:p>
    <w:p w14:paraId="482D37E4">
      <w:pPr>
        <w:spacing w:after="0"/>
        <w:ind w:firstLine="420" w:firstLineChars="200"/>
        <w:jc w:val="both"/>
        <w:rPr>
          <w:rFonts w:ascii="微软雅黑" w:hAnsi="微软雅黑" w:cs="微软雅黑"/>
          <w:b/>
        </w:rPr>
      </w:pPr>
      <w:r>
        <w:rPr>
          <w:rFonts w:hint="eastAsia" w:ascii="微软雅黑" w:hAnsi="微软雅黑" w:cs="微软雅黑"/>
          <w:sz w:val="21"/>
        </w:rPr>
        <w:t>有研究表明，在人类恶性肿瘤中，ATR或CHEK1发生缺失或突变的频率较低，但有研究报道，在微卫星不稳定性的结直肠癌、子宫内膜癌和散发性胃癌以及乳腺癌中较为常见[27308506]。临床前研究表明，ATR或ATM缺失的细胞系对PARP抑制剂敏感。另研究显示，在转移性尿路上皮癌中，DNA损伤修复（DDR）通路基因突变（包括ATR）与肿瘤突变负荷增加及免疫治疗临床获益相关[29489427]。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r>
        <w:rPr>
          <w:rFonts w:ascii="微软雅黑" w:hAnsi="微软雅黑" w:cs="微软雅黑"/>
          <w:b/>
        </w:rPr>
        <w:br w:type="page"/>
      </w:r>
    </w:p>
    <w:p w14:paraId="7DEF321F">
      <w:pPr>
        <w:numPr>
          <w:ilvl w:val="0"/>
          <w:numId w:val="9"/>
        </w:numPr>
        <w:spacing w:after="0"/>
        <w:jc w:val="both"/>
        <w:outlineLvl w:val="0"/>
        <w:rPr>
          <w:rFonts w:ascii="微软雅黑" w:hAnsi="微软雅黑"/>
          <w:b/>
          <w:sz w:val="24"/>
          <w:szCs w:val="24"/>
        </w:rPr>
      </w:pPr>
      <w:bookmarkStart w:id="192"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92"/>
    </w:p>
    <w:p w14:paraId="0398D7AE">
      <w:pPr>
        <w:numPr>
          <w:ilvl w:val="1"/>
          <w:numId w:val="9"/>
        </w:numPr>
        <w:spacing w:before="200"/>
        <w:rPr>
          <w:rFonts w:ascii="微软雅黑" w:hAnsi="微软雅黑"/>
          <w:b/>
          <w:sz w:val="24"/>
          <w:szCs w:val="24"/>
        </w:rPr>
      </w:pPr>
      <w:bookmarkStart w:id="193"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3"/>
    </w:p>
    <w:p w14:paraId="79BFC920">
      <w:pPr>
        <w:numPr>
          <w:ilvl w:val="0"/>
          <w:numId w:val="11"/>
        </w:numPr>
        <w:spacing w:before="200"/>
        <w:jc w:val="both"/>
        <w:rPr>
          <w:rStyle w:val="21"/>
          <w:rFonts w:ascii="微软雅黑" w:hAnsi="微软雅黑" w:cs="微软雅黑"/>
          <w:b/>
          <w:bCs/>
          <w:color w:val="FF0000"/>
          <w:sz w:val="24"/>
          <w:szCs w:val="24"/>
          <w:u w:val="none"/>
        </w:rPr>
      </w:pPr>
      <w:r>
        <w:rPr>
          <w:rFonts w:hint="eastAsia" w:ascii="微软雅黑" w:hAnsi="微软雅黑" w:cs="微软雅黑"/>
          <w:b/>
          <w:color w:val="FF0000"/>
          <w:sz w:val="24"/>
        </w:rPr>
        <w:t>PIK3CA</w:t>
      </w:r>
      <w:r>
        <w:rPr>
          <w:rFonts w:ascii="微软雅黑" w:hAnsi="微软雅黑" w:cs="微软雅黑"/>
          <w:b/>
          <w:color w:val="FF0000"/>
          <w:sz w:val="24"/>
        </w:rPr>
        <w:t>：</w:t>
      </w:r>
      <w:r>
        <w:rPr>
          <w:rFonts w:hint="eastAsia" w:ascii="微软雅黑" w:hAnsi="微软雅黑" w:cs="微软雅黑"/>
          <w:b/>
          <w:color w:val="FF0000"/>
          <w:sz w:val="24"/>
        </w:rPr>
        <w:t>c.1624G&gt;A，p.E542K</w:t>
      </w:r>
      <w:r>
        <w:rPr>
          <w:rStyle w:val="21"/>
          <w:rFonts w:hint="eastAsia" w:ascii="微软雅黑" w:hAnsi="微软雅黑" w:cs="微软雅黑"/>
          <w:b/>
          <w:bCs/>
          <w:color w:val="FF0000"/>
          <w:sz w:val="24"/>
          <w:szCs w:val="24"/>
          <w:u w:val="none"/>
        </w:rPr>
        <w:t>突变相应靶向药物</w:t>
      </w:r>
    </w:p>
    <w:p w14:paraId="0E56FE39">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依维莫司（Everolimus）、西罗莫司（Sirolimus）、替西罗莫司（Temsirolimus）、培唑帕尼+依维莫司（Pazopanib + Everolimus）、阿培利司（Alpelisib）、卡匹色替（Capivasertib）</w:t>
      </w:r>
    </w:p>
    <w:p w14:paraId="5EB8530A">
      <w:pPr>
        <w:spacing w:after="0"/>
        <w:jc w:val="both"/>
        <w:rPr>
          <w:b/>
          <w:bCs/>
          <w:kern w:val="2"/>
        </w:rPr>
      </w:pPr>
      <w:r>
        <w:rPr>
          <w:rFonts w:hint="eastAsia"/>
          <w:b/>
          <w:bCs/>
          <w:kern w:val="2"/>
        </w:rPr>
        <w:t>基因变异与药物关联分析：</w:t>
      </w:r>
    </w:p>
    <w:p w14:paraId="2767AC88">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该样本检出PIK3CA基因c.1624G&gt;A，p.E542K错义突变，研究显示该</w:t>
      </w:r>
      <w:r>
        <w:rPr>
          <w:rFonts w:hint="eastAsia" w:ascii="微软雅黑" w:hAnsi="微软雅黑" w:cs="微软雅黑"/>
          <w:sz w:val="21"/>
          <w:lang w:val="en-US" w:eastAsia="zh-CN"/>
        </w:rPr>
        <w:t>突变</w:t>
      </w:r>
      <w:r>
        <w:rPr>
          <w:rFonts w:hint="eastAsia" w:ascii="微软雅黑" w:hAnsi="微软雅黑" w:cs="微软雅黑"/>
          <w:sz w:val="21"/>
        </w:rPr>
        <w:t>会导致 PI3K/AKT/MTOR信号通路组成型激活，从而进一步促进细胞的生长、增殖、存活，最终导致肿瘤的发生</w:t>
      </w:r>
      <w:r>
        <w:rPr>
          <w:rFonts w:hint="eastAsia" w:ascii="微软雅黑" w:hAnsi="微软雅黑" w:cs="微软雅黑"/>
          <w:sz w:val="21"/>
          <w:lang w:val="en-US" w:eastAsia="zh-CN"/>
        </w:rPr>
        <w:t>[</w:t>
      </w:r>
      <w:r>
        <w:rPr>
          <w:rFonts w:hint="eastAsia" w:ascii="微软雅黑" w:hAnsi="微软雅黑" w:cs="微软雅黑"/>
          <w:sz w:val="21"/>
        </w:rPr>
        <w:t>20664174，20664172，31088410</w:t>
      </w:r>
      <w:r>
        <w:rPr>
          <w:rFonts w:hint="eastAsia" w:ascii="微软雅黑" w:hAnsi="微软雅黑" w:cs="微软雅黑"/>
          <w:sz w:val="21"/>
          <w:lang w:val="en-US" w:eastAsia="zh-CN"/>
        </w:rPr>
        <w:t>]</w:t>
      </w:r>
      <w:r>
        <w:rPr>
          <w:rFonts w:hint="eastAsia" w:ascii="微软雅黑" w:hAnsi="微软雅黑" w:cs="微软雅黑"/>
          <w:sz w:val="21"/>
        </w:rPr>
        <w:t>。</w:t>
      </w:r>
      <w:r>
        <w:rPr>
          <w:rFonts w:hint="eastAsia" w:ascii="微软雅黑" w:hAnsi="微软雅黑" w:cs="Arial Unicode MS"/>
          <w:color w:val="000000" w:themeColor="text1"/>
          <w:kern w:val="2"/>
          <w:sz w:val="21"/>
          <w:szCs w:val="21"/>
          <w14:textFill>
            <w14:solidFill>
              <w14:schemeClr w14:val="tx1"/>
            </w14:solidFill>
          </w14:textFill>
        </w:rPr>
        <w:t>PIK3CA基因激活突变，会导致信号通路PI3K-AKT-mTOR的异常活化，进而促进肿瘤的发生[30636012]，具有PI3K通路激活突变的人类肿瘤细胞，无论在体内还是体外试验中，均表现出对于依维莫司用药的敏感性，因此PIK3CA基因可以作为选择使用mTOR抑制剂治疗的患者的一个靶标基因[20664172]。FDA已批准依维莫司用于治疗肾细胞癌、乳腺癌等，同时NMPA批准用于治疗肾细胞癌、室管膜下巨细胞型星形细胞瘤；FDA已批准西罗莫司用于治疗淋巴管肌瘤病等，同时NMPA批准用于治疗器官排异；FDA批准替西罗莫司用于治疗肾细胞癌；阿培利司是PI3K的抑制剂，FDA批准阿培利司联合氟维司群用于治疗HR阳性、HER2阴性、PIK3CA突变的晚期或转移性乳腺癌的绝经后女性患者和男性患者。培唑帕尼是一种多靶点的酪氨酸激酶抑制剂，FDA批准培唑帕尼用于治疗肾细胞癌、软组织肉瘤，NMPA批准培唑帕尼用于治疗肾细胞癌。卡匹色替是一种口服的AKT通路高效抑制剂，可抑制所有三种AKT异构体（AKT1/2/3）。FDA</w:t>
      </w:r>
      <w:r>
        <w:rPr>
          <w:rFonts w:hint="eastAsia" w:ascii="微软雅黑" w:hAnsi="微软雅黑" w:cs="Arial Unicode MS"/>
          <w:color w:val="000000" w:themeColor="text1"/>
          <w:kern w:val="2"/>
          <w:sz w:val="21"/>
          <w:szCs w:val="21"/>
          <w:lang w:val="en-US" w:eastAsia="zh-CN"/>
          <w14:textFill>
            <w14:solidFill>
              <w14:schemeClr w14:val="tx1"/>
            </w14:solidFill>
          </w14:textFill>
        </w:rPr>
        <w:t>和NMPA</w:t>
      </w:r>
      <w:r>
        <w:rPr>
          <w:rFonts w:hint="eastAsia" w:ascii="微软雅黑" w:hAnsi="微软雅黑" w:cs="Arial Unicode MS"/>
          <w:color w:val="000000" w:themeColor="text1"/>
          <w:kern w:val="2"/>
          <w:sz w:val="21"/>
          <w:szCs w:val="21"/>
          <w14:textFill>
            <w14:solidFill>
              <w14:schemeClr w14:val="tx1"/>
            </w14:solidFill>
          </w14:textFill>
        </w:rPr>
        <w:t>批准卡匹色替联合氟维司群用于治疗激素受体 (HR) 阳性、人表皮生长因子受体2（HER2）阴性、伴有一种或多种生物标志物改变（PIK3CA、AKT1或PTEN）的局部晚期或转移性乳腺癌患者曾接受至少一种内分泌治疗后出现病情进展，或在完成辅助治疗后12个月内复发。</w:t>
      </w:r>
    </w:p>
    <w:p w14:paraId="2D70A5E9">
      <w:pPr>
        <w:spacing w:after="0"/>
        <w:jc w:val="both"/>
        <w:rPr>
          <w:rFonts w:ascii="微软雅黑" w:hAnsi="微软雅黑" w:cs="Arial Unicode MS"/>
          <w:kern w:val="2"/>
          <w:sz w:val="21"/>
          <w:szCs w:val="21"/>
        </w:rPr>
      </w:pPr>
      <w:r>
        <w:rPr>
          <w:rFonts w:hint="eastAsia"/>
          <w:b/>
          <w:bCs/>
          <w:kern w:val="2"/>
        </w:rPr>
        <w:t>药物疗效临床解析：</w:t>
      </w:r>
    </w:p>
    <w:p w14:paraId="4D4F2435">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研究表明，具有PI3K通路激活突变的人类肿瘤细胞均表现出对于依维莫司用药的敏感性，因此PIK3CA基因可以作为选择使用mTOR抑制剂治疗的患者的一个靶标基因[20664172]。一项临床用药研究结果显示，对多种肿瘤患者使用依维莫司治疗，其中具有PIK3CA基因H1047R突变的患者的临床疗效明显优于PIK3CA其它突变类型及野生型患者，与其它PIK3CA突变类型患者相比，PR（38% VS 10%），PFS（5.7 个月 VS 2 个月）；与PIK3CA野生型患者相比，PR（38% VS 13%），PFS（5.7 个月 VS 3.5）[23066039]。一项依维莫司联合培唑帕尼用于治疗 PIK3CA 或 PTEN 突变的晚期实体瘤患者的临床I期试验，结果显示，在14例获得SD≥6个月或PR的患者中，有11携带 PIK3CA激活或PTEN失活突变，提示联合治疗具有较好的疗效且可耐受[25902899]。培唑帕尼联合依维莫司用于治疗PIK3CA突变阳性或PTEN缺失的实体瘤患者的I期临床试验正在开展，不招募患者[NCT01430572]。一项Ⅳ期临床试验，旨在评估西罗莫司用于治疗携带PIK3CA突变、PIK3CA扩增、PIK3CA-AKT信号通路激活或对mTOR抑制剂敏感的基因变异的难治性实体瘤的疗效和安全性，该实验已完成，但数据尚未公布[NCT02688881]。另有研究报道了1例携带PIK3CA基因E545K突变、TP53基因E286K突变的乳腺癌患者在接受抗血管生成药物和替西罗莫司联合用药治疗后，获得部分缓解[25320628]。一项Ⅱ期临床试验，旨在评估替西罗莫司用于治疗携带mTOR信号通路上基因（AKT1、AKT2、AKT3、FBXW7、FLCN、mTOR、NF1、NF2、NTRK3、PIK3CA、PIK3R1、PTEN、RHEB、STK11、TSC1、TSC2等）突变的实体瘤的疗效，正在招募患者[NCT03297606]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xml:space="preserve">
体外研究显示，阿培利司在多种肿瘤细胞系中具有显著的抗肿瘤活性，且对具有PIK3CA基因突变的细胞系更敏感[24608574]。阿培利司用于携带 PIK3CA 基因突变的部分患者研究显示，阿培利司可有效抑制S6 磷酸化（mTOR信号下游标记），1例携带 PIK3CA基因激活突变的乳腺癌患者，接受阿培利司治疗长达5.6 月，治疗28天时肿瘤缩小34.8%[23903756]。阿培利司用于具有PIK3CA基因突变的实体瘤的临床Ⅰ期试验已完成，数据暂未公布[NCT01219699]。  </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CAPItello-291是一项Ⅲ期的双盲、随机试验，旨在评估卡匹色替与氟维司群联合治疗与安慰剂加氟维司群联合治疗在局部晚期（不可手术）或转移性激素受体阳性、HER2低表达或阴性且存在AKT通路改变（PIK3CA、AKT1或PTEN突变）的乳腺癌患者中的疗效，结果显示，在总体人群和伴有AKT途径改变的肿瘤患者中，卡匹色替联合氟维司群的无进展生存期显著长于安慰剂联合氟维司群，即在总人群中卡匹色替+氟维司群组中位PFS为7.2个月vs 对照组3.3个月；伴有AKT途径改变的患者中位PFS为7.3个月vs 对照组3.1个月[37256976，NCT04305496]。</w:t>
      </w:r>
    </w:p>
    <w:p w14:paraId="76974B62">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盐酸可泮利塞（Copanlisib）、Dactolisib、Buparlisib、Taselisib、Serabelisib、伊那利塞（Inavolisib）、伊那利塞+哌柏西利（Inavolisib+Palbociclib）、RLY-2608、WX390</w:t>
      </w:r>
    </w:p>
    <w:p w14:paraId="290D28D4">
      <w:pPr>
        <w:spacing w:after="0"/>
        <w:jc w:val="both"/>
        <w:rPr>
          <w:b/>
          <w:bCs/>
          <w:kern w:val="2"/>
        </w:rPr>
      </w:pPr>
      <w:r>
        <w:rPr>
          <w:rFonts w:hint="eastAsia"/>
          <w:b/>
          <w:bCs/>
          <w:kern w:val="2"/>
        </w:rPr>
        <w:t>基因变异与药物关联分析：</w:t>
      </w:r>
    </w:p>
    <w:p w14:paraId="45D52F4E">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该样本检出PIK3CA基因c.1624G&gt;A，p.E542K错义突变，研究显示该</w:t>
      </w:r>
      <w:r>
        <w:rPr>
          <w:rFonts w:hint="eastAsia" w:ascii="微软雅黑" w:hAnsi="微软雅黑" w:cs="微软雅黑"/>
          <w:sz w:val="21"/>
          <w:lang w:val="en-US" w:eastAsia="zh-CN"/>
        </w:rPr>
        <w:t>突变</w:t>
      </w:r>
      <w:r>
        <w:rPr>
          <w:rFonts w:hint="eastAsia" w:ascii="微软雅黑" w:hAnsi="微软雅黑" w:cs="微软雅黑"/>
          <w:sz w:val="21"/>
        </w:rPr>
        <w:t>会导致 PI3K/AKT/MTOR信号通路组成型激活，从而进一步促进细胞的生长、增殖、存活，最终导致肿瘤的发生</w:t>
      </w:r>
      <w:r>
        <w:rPr>
          <w:rFonts w:hint="eastAsia" w:ascii="微软雅黑" w:hAnsi="微软雅黑" w:cs="微软雅黑"/>
          <w:sz w:val="21"/>
          <w:lang w:val="en-US" w:eastAsia="zh-CN"/>
        </w:rPr>
        <w:t>[</w:t>
      </w:r>
      <w:r>
        <w:rPr>
          <w:rFonts w:hint="eastAsia" w:ascii="微软雅黑" w:hAnsi="微软雅黑" w:cs="微软雅黑"/>
          <w:sz w:val="21"/>
        </w:rPr>
        <w:t>20664174，20664172，31088410</w:t>
      </w:r>
      <w:r>
        <w:rPr>
          <w:rFonts w:hint="eastAsia" w:ascii="微软雅黑" w:hAnsi="微软雅黑" w:cs="微软雅黑"/>
          <w:sz w:val="21"/>
          <w:lang w:val="en-US" w:eastAsia="zh-CN"/>
        </w:rPr>
        <w:t>]</w:t>
      </w:r>
      <w:r>
        <w:rPr>
          <w:rFonts w:hint="eastAsia" w:ascii="微软雅黑" w:hAnsi="微软雅黑" w:cs="微软雅黑"/>
          <w:sz w:val="21"/>
        </w:rPr>
        <w:t>。PIK3CA基因激活突变，会导致信号通路PI3K-AKT-mTOR的异常活化，进而促进肿瘤的发生[30636012]，</w:t>
      </w:r>
      <w:r>
        <w:rPr>
          <w:rFonts w:hint="eastAsia" w:ascii="微软雅黑" w:hAnsi="微软雅黑" w:cs="Arial Unicode MS"/>
          <w:color w:val="000000" w:themeColor="text1"/>
          <w:kern w:val="2"/>
          <w:sz w:val="21"/>
          <w:szCs w:val="21"/>
          <w14:textFill>
            <w14:solidFill>
              <w14:schemeClr w14:val="tx1"/>
            </w14:solidFill>
          </w14:textFill>
        </w:rPr>
        <w:t>因此，该患者可能从PI3K和mTOR等抑制剂的治疗中获益。盐酸可泮利塞是PI3K的抑制剂，FDA和NMPA批准用于治疗复发性滤泡性淋巴瘤。Dactolisib（NVP-BEZ235）是一种双重 ATP 竞争性 PI3K和mTOR抑制剂，对p110α/γ/δ/β和 mTOR（p70S6K）均有抑制作用；Dactolisib 同时也是 mTORC1/2催化剂的抑制剂，能够明显降低 mTOR激活激酶 p70S6K 的磷酸化水平，还能降低S6核糖体蛋白在 Ser235/236位点的磷酸化水平，目前正在开展临床试验。Buparlisib、Taselisib是选择性的PI3K抑制剂，目前正在开展临床试验。Serabelisib是选择性PI3Kα抑制剂，目前正在开展临床试验。伊那利塞是选择性PI3Kα抑制剂，FDA批准伊那利塞与哌柏西利和氟维司群三药联合用于治疗内分泌耐药、PIK3CA突变/HR+/HER2-晚期乳腺癌患者；NMPA批准伊那利塞联合哌柏西利和氟维司群，用于PIK3CA 突变、激素受体（HR）阳性、人表皮生长因子受体 2（HER2）阴性、局部晚期或转移性乳腺癌成人患者。RLY-2608是一种PI3Kα抑制剂，目前处于临床试验。WX390是一种PI3K/mTOR双重抑制剂，目前处于临床期。</w:t>
      </w:r>
    </w:p>
    <w:p w14:paraId="53D9A3C6">
      <w:pPr>
        <w:spacing w:after="0"/>
        <w:jc w:val="both"/>
        <w:rPr>
          <w:rFonts w:ascii="微软雅黑" w:hAnsi="微软雅黑" w:cs="Arial Unicode MS"/>
          <w:kern w:val="2"/>
          <w:sz w:val="21"/>
          <w:szCs w:val="21"/>
        </w:rPr>
      </w:pPr>
      <w:r>
        <w:rPr>
          <w:rFonts w:hint="eastAsia"/>
          <w:b/>
          <w:bCs/>
          <w:kern w:val="2"/>
        </w:rPr>
        <w:t>药物疗效临床解析：</w:t>
      </w:r>
    </w:p>
    <w:p w14:paraId="7F9FFDAF">
      <w:pPr>
        <w:keepNext w:val="0"/>
        <w:keepLines w:val="0"/>
        <w:widowControl/>
        <w:suppressLineNumbers w:val="0"/>
        <w:adjustRightInd w:val="0"/>
        <w:snapToGrid w:val="0"/>
        <w:spacing w:before="0" w:beforeLines="0" w:beforeAutospacing="0" w:after="0" w:afterLines="0" w:afterAutospacing="0"/>
        <w:ind w:left="0" w:right="0" w:firstLine="420" w:firstLineChars="200"/>
        <w:jc w:val="both"/>
      </w:pPr>
      <w:r>
        <w:rPr>
          <w:rFonts w:hint="eastAsia" w:ascii="微软雅黑" w:hAnsi="微软雅黑" w:cs="Arial Unicode MS"/>
          <w:color w:val="000000" w:themeColor="text1"/>
          <w:kern w:val="2"/>
          <w:sz w:val="21"/>
          <w:szCs w:val="21"/>
          <w14:textFill>
            <w14:solidFill>
              <w14:schemeClr w14:val="tx1"/>
            </w14:solidFill>
          </w14:textFill>
        </w:rPr>
        <w:t>临床前研究显示，Dactolisib在表达PIK3CA基因激活突变的细胞系及小鼠中均表现出有效的抗肿瘤活性[19029981，26627007]。一项由诺华制药公司举办的临床II期试验，旨在评估Buparlisib用于治疗PI3K通路激活的肿瘤患者的疗效，招募的患者携带PIK3CA基因突变、PTEN基因突变、PIK3CA基因扩增或PIK3R1基因突变。结果显示，可评估的146例患者的第16周临床受益率为15.1（95%CI：9.7-21.9），部分反应率为1.4（95%CI：0.2-4.9）[NCT01833169]。 体外和体内的子宫浆液性癌细胞系试验结果显示，Taselisib对携带 PIK3CA基因突变和/或HER2扩增突变的细胞系具有显著的抑制作用[25172762]。Taselisib 临床Ⅰ期潜在生物标记物扩展研究显示，6 例临床局部缓解的患者，5例携带 PIK3CA基因突变，提示携带PIK3CA基因突变的实体瘤患者可能对Taselisib 敏感[2014 AACR Abstract 915]。另有临床Ⅰb期试验结果显示，Taselisib与来曲唑联合用药，在 PIK3CA突变的HR+晚期乳腺癌患者中耐受良好，并且Taselisib在PIK3CA突变患者中的抗肿瘤效果更为明显[2015 AACR Abstract PD5-2]。Taselisib用于PIK3CA基因突变或扩增的实体瘤患者的NCI-MATCH临床试验正在招募中[NCT02465060]。盐酸可泮利塞用于治疗携带PIK3CA突变的结直肠癌患者的II期临床试验中显示出较好疗效，目前该研究达到了主要终点，客观缓解率（ORR）为16%[NCT02465060，35133871]。盐酸可泮利塞联合检查点抑制剂用于治疗携带PIK3CA突变、PTEN缺失的晚期实体瘤患者的I/II期临床试验正在招募中[NCT04317105]。一项旨在评估Serabelisib联合胰岛素抑制饮食在携带PIK3CA突变伴或不伴PTEN缺失的晚期实体瘤疗效的Ⅰb期临床试验正在招募中[NCT05300048]。一项旨在评估Serabelisib联合糖尿病药物在携带PIK3CA突变或KRAS突变的晚期实体瘤疗效的Ⅰb/Ⅱ期临床试验，暂不招募患者[NCT04073680]。一项I期、开放、剂量递增研究，旨在评估伊那利塞作为单药治疗携带PIK3CA突变的局部晚期或转移性实体瘤患者的临床试验正在招募中[NCT03006172]。FDA批准伊那利塞与哌柏西利和氟维司群三药联合用于治疗携带PIK3CA突变的特定乳腺癌患者是基于一项随机双盲、含安慰剂对照的3期临床试验。结果显示，伊那利塞组的中位无进展生存期为15.0个月，而安慰剂组为7.3个月；接受伊那利塞治疗的患者的总体缓解率为58%，显著高于安慰剂组的25%[NCT04191499]。在一项I期临床实验中，评估RLY-2608治疗在携带PIK3CA突变的晚期实体瘤患者中的有效性和安全性，实验共纳入42名患者。结果显示，在16例具有可测量疾病的乳腺癌患者中，56%（n=9）肿瘤缩小，81%（n=13）实现了疾病稳定（SD）或部分缓解（PR）；安全性可控[NCT05216432]。一项开放、单臂、多中心、II期临床研究评估WX390在铂耐药、晚期、复发或转移的PIK3CA基因突变的妇科肿瘤（卵巢癌、或子宫内膜癌、或宫颈鳞癌）患者中有效性与安全性的实验正在进行中[CTR20210445]。</w:t>
      </w:r>
    </w:p>
    <w:p w14:paraId="6F6B834B">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KRAS：c.34G&gt;T，p.G12C突变相应靶向/免疫药物</w:t>
      </w:r>
    </w:p>
    <w:p w14:paraId="19F195D5">
      <w:pPr>
        <w:keepNext w:val="0"/>
        <w:keepLines w:val="0"/>
        <w:pageBreakBefore w:val="0"/>
        <w:widowControl/>
        <w:numPr>
          <w:ilvl w:val="0"/>
          <w:numId w:val="12"/>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0000FF"/>
          <w:kern w:val="0"/>
          <w:sz w:val="24"/>
          <w:szCs w:val="24"/>
          <w:highlight w:val="none"/>
          <w:u w:val="single"/>
        </w:rPr>
      </w:pPr>
      <w:r>
        <w:rPr>
          <w:rFonts w:hint="eastAsia" w:ascii="微软雅黑" w:hAnsi="微软雅黑" w:cs="微软雅黑"/>
          <w:b/>
          <w:bCs/>
          <w:color w:val="0000FF"/>
          <w:sz w:val="24"/>
          <w:szCs w:val="24"/>
          <w:highlight w:val="none"/>
          <w:u w:val="single"/>
          <w:lang w:val="en-US" w:eastAsia="zh-CN"/>
        </w:rPr>
        <w:t>索托拉西布/阿达格拉西布+帕尼单抗/西妥昔单抗（Sotorasib/Adagrasib+Panitumumab/</w:t>
      </w:r>
      <w:r>
        <w:rPr>
          <w:rStyle w:val="21"/>
          <w:rFonts w:hint="eastAsia" w:ascii="微软雅黑" w:hAnsi="微软雅黑" w:cs="微软雅黑"/>
          <w:b/>
          <w:bCs/>
          <w:color w:val="0000FF"/>
          <w:kern w:val="0"/>
          <w:sz w:val="24"/>
          <w:szCs w:val="24"/>
          <w:highlight w:val="none"/>
          <w:lang w:eastAsia="zh-CN"/>
        </w:rPr>
        <w:t>Cetuximab</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val="en-US" w:eastAsia="zh-CN"/>
        </w:rPr>
        <w:t>索托拉西布</w:t>
      </w:r>
      <w:r>
        <w:rPr>
          <w:rFonts w:hint="eastAsia" w:ascii="微软雅黑" w:hAnsi="微软雅黑" w:cs="微软雅黑"/>
          <w:b/>
          <w:bCs/>
          <w:color w:val="0000FF"/>
          <w:sz w:val="24"/>
          <w:szCs w:val="24"/>
          <w:highlight w:val="none"/>
          <w:u w:val="single"/>
          <w:lang w:val="en-US" w:eastAsia="zh-CN"/>
        </w:rPr>
        <w:t>（Sotorasib）</w:t>
      </w:r>
      <w:r>
        <w:rPr>
          <w:rFonts w:hint="eastAsia" w:ascii="微软雅黑" w:hAnsi="微软雅黑" w:eastAsia="微软雅黑" w:cs="微软雅黑"/>
          <w:b/>
          <w:bCs/>
          <w:color w:val="0000FF"/>
          <w:kern w:val="0"/>
          <w:sz w:val="24"/>
          <w:szCs w:val="24"/>
          <w:highlight w:val="none"/>
          <w:u w:val="single"/>
          <w:lang w:val="en-US" w:eastAsia="zh-CN"/>
        </w:rPr>
        <w:t>、</w:t>
      </w:r>
      <w:r>
        <w:rPr>
          <w:rFonts w:hint="eastAsia" w:ascii="微软雅黑" w:hAnsi="微软雅黑" w:cs="微软雅黑"/>
          <w:b/>
          <w:bCs/>
          <w:color w:val="0000FF"/>
          <w:sz w:val="24"/>
          <w:szCs w:val="24"/>
          <w:highlight w:val="none"/>
          <w:u w:val="single"/>
          <w:lang w:val="en-US" w:eastAsia="zh-CN"/>
        </w:rPr>
        <w:t>阿达格拉西布（Adagrasib）、</w:t>
      </w:r>
      <w:r>
        <w:rPr>
          <w:rFonts w:hint="eastAsia" w:ascii="微软雅黑" w:hAnsi="微软雅黑" w:cs="微软雅黑"/>
          <w:b/>
          <w:bCs/>
          <w:color w:val="0000FF"/>
          <w:kern w:val="0"/>
          <w:sz w:val="24"/>
          <w:szCs w:val="24"/>
          <w:highlight w:val="none"/>
          <w:u w:val="single"/>
          <w:lang w:eastAsia="zh-CN"/>
        </w:rPr>
        <w:t>氟泽雷塞（Fulzerasib）、氟泽雷塞</w:t>
      </w:r>
      <w:r>
        <w:rPr>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西妥昔单抗（Fulzerasib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lang w:eastAsia="zh-CN"/>
        </w:rPr>
        <w:t>Cetuximab</w:t>
      </w:r>
      <w:r>
        <w:rPr>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sz w:val="24"/>
          <w:szCs w:val="24"/>
          <w:highlight w:val="none"/>
          <w:u w:val="single"/>
          <w:lang w:val="en-US" w:eastAsia="zh-CN"/>
        </w:rPr>
        <w:t>格索雷塞（Garsorasib）、索托拉西布+阿法替尼（Sotorasib+Afatinib）、索托拉西布+曲美替尼（Sotorasib+Trametinib）、索托拉西布（Sotorasib）+RMC4630、索托拉西布（Sotorasib）+BBP398、戈来雷塞（Glecirasib）、戈来雷塞（Glecirasib）+JAB3312、</w:t>
      </w:r>
      <w:r>
        <w:rPr>
          <w:rFonts w:hint="eastAsia" w:ascii="微软雅黑" w:hAnsi="微软雅黑" w:cs="微软雅黑"/>
          <w:b/>
          <w:bCs/>
          <w:color w:val="0000FF"/>
          <w:sz w:val="24"/>
          <w:szCs w:val="24"/>
          <w:highlight w:val="none"/>
          <w:u w:val="single"/>
          <w:lang w:eastAsia="zh-CN"/>
        </w:rPr>
        <w:t>BBP398+纳武利尤单抗（Nivolumab）、</w:t>
      </w:r>
      <w:r>
        <w:rPr>
          <w:rFonts w:hint="eastAsia" w:ascii="微软雅黑" w:hAnsi="微软雅黑" w:cs="微软雅黑"/>
          <w:b/>
          <w:bCs/>
          <w:color w:val="0000FF"/>
          <w:kern w:val="0"/>
          <w:sz w:val="24"/>
          <w:szCs w:val="24"/>
          <w:highlight w:val="none"/>
          <w:u w:val="single"/>
          <w:lang w:val="en-US" w:eastAsia="zh-CN"/>
        </w:rPr>
        <w:t>JDQ443、</w:t>
      </w:r>
      <w:r>
        <w:rPr>
          <w:rFonts w:hint="eastAsia" w:ascii="微软雅黑" w:hAnsi="微软雅黑" w:cs="微软雅黑"/>
          <w:b/>
          <w:bCs/>
          <w:color w:val="0000FF"/>
          <w:sz w:val="24"/>
          <w:szCs w:val="24"/>
          <w:highlight w:val="none"/>
          <w:u w:val="single"/>
          <w:lang w:val="en-US" w:eastAsia="zh-CN"/>
        </w:rPr>
        <w:t>GDC6036</w:t>
      </w:r>
      <w:r>
        <w:rPr>
          <w:rFonts w:hint="eastAsia" w:ascii="微软雅黑" w:hAnsi="微软雅黑" w:cs="微软雅黑"/>
          <w:b/>
          <w:bCs/>
          <w:color w:val="0000FF"/>
          <w:sz w:val="24"/>
          <w:szCs w:val="24"/>
          <w:highlight w:val="none"/>
          <w:u w:val="single"/>
          <w:lang w:eastAsia="zh-CN"/>
        </w:rPr>
        <w:t>、GH35、RMC-6236、</w:t>
      </w:r>
      <w:r>
        <w:rPr>
          <w:rFonts w:hint="eastAsia" w:ascii="微软雅黑" w:hAnsi="微软雅黑" w:cs="微软雅黑"/>
          <w:b/>
          <w:bCs/>
          <w:color w:val="0000FF"/>
          <w:kern w:val="0"/>
          <w:sz w:val="24"/>
          <w:szCs w:val="24"/>
          <w:highlight w:val="none"/>
          <w:u w:val="single"/>
          <w:lang w:eastAsia="zh-CN"/>
        </w:rPr>
        <w:t>JMKX1899、BEBT-607、LY3537982</w:t>
      </w:r>
    </w:p>
    <w:p w14:paraId="5170B193">
      <w:pPr>
        <w:keepNext w:val="0"/>
        <w:keepLines w:val="0"/>
        <w:pageBreakBefore w:val="0"/>
        <w:widowControl/>
        <w:suppressLineNumbers w:val="0"/>
        <w:kinsoku/>
        <w:wordWrap/>
        <w:overflowPunct/>
        <w:topLinePunct w:val="0"/>
        <w:autoSpaceDE/>
        <w:autoSpaceDN/>
        <w:bidi w:val="0"/>
        <w:adjustRightInd w:val="0"/>
        <w:snapToGrid w:val="0"/>
        <w:spacing w:after="0"/>
        <w:jc w:val="left"/>
        <w:textAlignment w:val="auto"/>
      </w:pPr>
      <w:r>
        <w:rPr>
          <w:rFonts w:hint="eastAsia" w:ascii="微软雅黑" w:hAnsi="微软雅黑" w:eastAsia="微软雅黑" w:cs="微软雅黑"/>
          <w:b/>
          <w:color w:val="000000"/>
          <w:kern w:val="0"/>
          <w:sz w:val="22"/>
          <w:szCs w:val="22"/>
          <w:lang w:val="en-US" w:eastAsia="zh-CN" w:bidi="ar"/>
        </w:rPr>
        <w:t xml:space="preserve">基因变异与药物关联分析： </w:t>
      </w:r>
    </w:p>
    <w:p w14:paraId="521C7B64">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420" w:firstLineChars="200"/>
        <w:jc w:val="both"/>
        <w:textAlignment w:val="auto"/>
        <w:outlineLvl w:val="9"/>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 KRAS 基因c.34G&gt;T，p.G12C错义突变，该突变会导致下游信号通路激活，从而引起细胞过度生长、增殖。</w:t>
      </w:r>
      <w:r>
        <w:rPr>
          <w:rFonts w:hint="eastAsia" w:ascii="微软雅黑" w:hAnsi="微软雅黑" w:cs="Arial Unicode MS"/>
          <w:color w:val="auto"/>
          <w:kern w:val="2"/>
          <w:sz w:val="21"/>
          <w:szCs w:val="21"/>
          <w:highlight w:val="none"/>
          <w:lang w:val="en-US" w:eastAsia="zh-CN"/>
        </w:rPr>
        <w:t>索托拉西布（</w:t>
      </w:r>
      <w:r>
        <w:rPr>
          <w:rFonts w:hint="eastAsia" w:ascii="微软雅黑" w:hAnsi="微软雅黑" w:eastAsia="微软雅黑" w:cs="Arial Unicode MS"/>
          <w:color w:val="auto"/>
          <w:kern w:val="2"/>
          <w:sz w:val="21"/>
          <w:szCs w:val="21"/>
          <w:highlight w:val="none"/>
          <w:lang w:val="en-US" w:eastAsia="zh-CN"/>
        </w:rPr>
        <w:t>AMG-510</w:t>
      </w:r>
      <w:r>
        <w:rPr>
          <w:rFonts w:hint="eastAsia" w:ascii="微软雅黑" w:hAnsi="微软雅黑" w:cs="Arial Unicode MS"/>
          <w:color w:val="auto"/>
          <w:kern w:val="2"/>
          <w:sz w:val="21"/>
          <w:szCs w:val="21"/>
          <w:highlight w:val="none"/>
          <w:lang w:val="en-US" w:eastAsia="zh-CN"/>
        </w:rPr>
        <w:t>）</w:t>
      </w:r>
      <w:r>
        <w:rPr>
          <w:rFonts w:hint="eastAsia" w:ascii="微软雅黑" w:hAnsi="微软雅黑" w:eastAsia="微软雅黑" w:cs="Arial Unicode MS"/>
          <w:color w:val="auto"/>
          <w:kern w:val="2"/>
          <w:sz w:val="21"/>
          <w:szCs w:val="21"/>
          <w:highlight w:val="none"/>
          <w:lang w:val="en-US" w:eastAsia="zh-CN"/>
        </w:rPr>
        <w:t>是一种有效的、口服生物可利用的、选择性的KRAS G12C共价抑制剂，将 KRAS G12C 锁定在非活跃的GDP约束状态。</w:t>
      </w:r>
      <w:r>
        <w:rPr>
          <w:rFonts w:hint="eastAsia" w:ascii="微软雅黑" w:hAnsi="微软雅黑" w:cs="Arial Unicode MS"/>
          <w:color w:val="auto"/>
          <w:kern w:val="2"/>
          <w:sz w:val="21"/>
          <w:szCs w:val="21"/>
          <w:highlight w:val="none"/>
          <w:lang w:val="en-US" w:eastAsia="zh-CN"/>
        </w:rPr>
        <w:t>索托拉西布</w:t>
      </w:r>
      <w:r>
        <w:rPr>
          <w:rFonts w:hint="eastAsia" w:ascii="微软雅黑" w:hAnsi="微软雅黑" w:eastAsia="微软雅黑" w:cs="Arial Unicode MS"/>
          <w:color w:val="auto"/>
          <w:kern w:val="2"/>
          <w:sz w:val="21"/>
          <w:szCs w:val="21"/>
          <w:highlight w:val="none"/>
          <w:lang w:val="en-US" w:eastAsia="zh-CN"/>
        </w:rPr>
        <w:t>选择性靶向的 KRAS G12C 突变体，具有抗肿瘤活性。FDA批准</w:t>
      </w:r>
      <w:r>
        <w:rPr>
          <w:rFonts w:hint="eastAsia" w:ascii="微软雅黑" w:hAnsi="微软雅黑" w:cs="Arial Unicode MS"/>
          <w:color w:val="auto"/>
          <w:kern w:val="2"/>
          <w:sz w:val="21"/>
          <w:szCs w:val="21"/>
          <w:highlight w:val="none"/>
          <w:lang w:val="en-US" w:eastAsia="zh-CN"/>
        </w:rPr>
        <w:t>索托拉西布</w:t>
      </w:r>
      <w:r>
        <w:rPr>
          <w:rFonts w:hint="eastAsia" w:ascii="微软雅黑" w:hAnsi="微软雅黑" w:eastAsia="微软雅黑" w:cs="Arial Unicode MS"/>
          <w:color w:val="auto"/>
          <w:kern w:val="2"/>
          <w:sz w:val="21"/>
          <w:szCs w:val="21"/>
          <w:highlight w:val="none"/>
          <w:lang w:val="en-US" w:eastAsia="zh-CN"/>
        </w:rPr>
        <w:t>用于治疗既往接受过至少一种全身系统治疗且携带KRAS G12C特定突变的局部晚期或转移性NSCLC成人患者。</w:t>
      </w:r>
      <w:r>
        <w:rPr>
          <w:rFonts w:hint="eastAsia" w:ascii="微软雅黑" w:hAnsi="微软雅黑" w:cs="Arial Unicode MS"/>
          <w:color w:val="auto"/>
          <w:kern w:val="2"/>
          <w:sz w:val="21"/>
          <w:szCs w:val="21"/>
          <w:highlight w:val="none"/>
          <w:lang w:val="en-US" w:eastAsia="zh-CN"/>
        </w:rPr>
        <w:t>阿达格拉西布</w:t>
      </w:r>
      <w:r>
        <w:rPr>
          <w:rFonts w:hint="eastAsia" w:ascii="微软雅黑" w:hAnsi="微软雅黑" w:eastAsia="微软雅黑" w:cs="Arial Unicode MS"/>
          <w:color w:val="auto"/>
          <w:kern w:val="2"/>
          <w:sz w:val="21"/>
          <w:szCs w:val="21"/>
          <w:highlight w:val="none"/>
          <w:lang w:val="en-US" w:eastAsia="zh-CN"/>
        </w:rPr>
        <w:t>是是一种KRAS G12C的不可逆抑制剂，具有高度特异性</w:t>
      </w:r>
      <w:r>
        <w:rPr>
          <w:rFonts w:hint="eastAsia" w:ascii="微软雅黑" w:hAnsi="微软雅黑" w:cs="Arial Unicode MS"/>
          <w:color w:val="auto"/>
          <w:kern w:val="2"/>
          <w:sz w:val="21"/>
          <w:szCs w:val="21"/>
          <w:highlight w:val="none"/>
          <w:lang w:val="en-US" w:eastAsia="zh-CN"/>
        </w:rPr>
        <w:t>，已获FDA批准用于治疗携带KRAS G12C突变的局部晚期或转移性非小细胞肺癌（NSCLC）的成年患者，这些患者先前至少接受了一次全身性治疗。</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FDA批准帕尼单抗用于治疗结直肠癌。</w:t>
      </w:r>
      <w:r>
        <w:rPr>
          <w:rFonts w:hint="eastAsia" w:ascii="微软雅黑" w:hAnsi="微软雅黑" w:cs="Arial Unicode MS"/>
          <w:color w:val="auto"/>
          <w:kern w:val="2"/>
          <w:sz w:val="21"/>
          <w:szCs w:val="21"/>
          <w:highlight w:val="none"/>
          <w:lang w:val="en-US" w:eastAsia="zh-CN"/>
        </w:rPr>
        <w:t>FDA批准阿达格拉西布联合西妥昔单抗用于既往接受过基于氟尿嘧啶、奥沙利铂和伊立替康的化疗KRAS G12C突变的局部晚期或转移性结直肠癌成人患者。结肠癌和直肠癌NCCN指南推荐携带KRAS G12C突变的患者使用索托拉西布/阿达格拉西布+帕尼单抗/西妥昔单抗治疗。</w:t>
      </w:r>
      <w:r>
        <w:rPr>
          <w:rFonts w:hint="eastAsia" w:ascii="微软雅黑" w:hAnsi="微软雅黑" w:cs="Times New Roman"/>
          <w:b w:val="0"/>
          <w:bCs w:val="0"/>
          <w:color w:val="auto"/>
          <w:kern w:val="2"/>
          <w:sz w:val="21"/>
          <w:szCs w:val="21"/>
          <w:lang w:val="en-US" w:eastAsia="zh-CN"/>
        </w:rPr>
        <w:t>NMPA批准氟泽雷塞用于单药治疗至少接受过一种系统性治疗的KRAS G12C突变型晚期非小细胞肺癌（NSCLC）成人患者。NMPA将氟泽雷塞纳入突破性疗法，用于治疗至少接受过两种系统性治疗的KRAS G12C突变型的晚期结直肠癌患者。</w:t>
      </w:r>
      <w:r>
        <w:rPr>
          <w:rFonts w:hint="eastAsia" w:ascii="微软雅黑" w:hAnsi="微软雅黑" w:cs="Arial Unicode MS"/>
          <w:color w:val="auto"/>
          <w:kern w:val="2"/>
          <w:sz w:val="21"/>
          <w:szCs w:val="21"/>
          <w:highlight w:val="none"/>
          <w:lang w:val="en-US" w:eastAsia="zh-CN"/>
        </w:rPr>
        <w:t>格索雷塞被NMPA获批用于治疗至少接受过一种系统性治疗KRAS G12C突变的晚期非小细胞肺癌（NSCLC）成人患者。</w:t>
      </w:r>
      <w:r>
        <w:rPr>
          <w:rFonts w:hint="eastAsia" w:ascii="微软雅黑" w:hAnsi="微软雅黑" w:eastAsia="微软雅黑" w:cs="Arial Unicode MS"/>
          <w:color w:val="auto"/>
          <w:kern w:val="2"/>
          <w:sz w:val="21"/>
          <w:szCs w:val="21"/>
          <w:highlight w:val="none"/>
          <w:lang w:val="en-US" w:eastAsia="zh-CN"/>
        </w:rPr>
        <w:t>JDQ443是一款KRAS G12C共价抑制剂，能够不可逆地将KRAS G12C锁定在失活状态</w:t>
      </w:r>
      <w:r>
        <w:rPr>
          <w:rFonts w:hint="eastAsia" w:ascii="微软雅黑" w:hAnsi="微软雅黑" w:cs="Arial Unicode MS"/>
          <w:color w:val="auto"/>
          <w:kern w:val="2"/>
          <w:sz w:val="21"/>
          <w:szCs w:val="21"/>
          <w:highlight w:val="none"/>
          <w:lang w:val="en-US" w:eastAsia="zh-CN"/>
        </w:rPr>
        <w:t>，目前处于临床期。阿法替尼是EGFR TKI药物，已获FDA和NMPA批准用于治疗非小细胞肺癌。</w:t>
      </w:r>
      <w:r>
        <w:rPr>
          <w:rFonts w:hint="eastAsia" w:ascii="微软雅黑" w:hAnsi="微软雅黑" w:cs="Times New Roman"/>
          <w:bCs/>
          <w:color w:val="auto"/>
          <w:kern w:val="2"/>
          <w:sz w:val="21"/>
          <w:szCs w:val="21"/>
          <w:lang w:val="en-US" w:eastAsia="zh-CN"/>
        </w:rPr>
        <w:t>曲美替尼是MEK1、MEK2的选择性抑制剂。MEK1和MEK2在多种癌症中上调，在RAS/RAF/MEK/ERK信号通路中发挥重要作用，调节细胞生长。FDA已批准曲美替尼单药用于黑色素瘤，或与达拉非尼联合用于治疗手术无法切除的或转移性的BRAF V600E或V600K突变阳性的黑色素瘤、BRAF V600E突变阳性的非小细胞肺癌以及BRAF V600E突变阳性的实体瘤患者（结直肠癌除外）。NMPA批准曲美替尼联合达拉非尼用于治疗黑色素瘤和非小细胞肺癌。FDA/NMPA批准纳武利尤单抗用于黑色素瘤、非小细胞肺癌、头颈部肿瘤、结直肠癌、胃癌、肝癌和食管癌等患者。RMC4630、</w:t>
      </w:r>
      <w:r>
        <w:rPr>
          <w:rFonts w:hint="eastAsia" w:ascii="微软雅黑" w:hAnsi="微软雅黑" w:cs="Times New Roman"/>
          <w:b w:val="0"/>
          <w:bCs w:val="0"/>
          <w:color w:val="auto"/>
          <w:kern w:val="2"/>
          <w:sz w:val="21"/>
          <w:szCs w:val="21"/>
          <w:lang w:val="en-US" w:eastAsia="zh-CN"/>
        </w:rPr>
        <w:t>BBP398、JAB3312均</w:t>
      </w:r>
      <w:r>
        <w:rPr>
          <w:rFonts w:hint="eastAsia" w:ascii="微软雅黑" w:hAnsi="微软雅黑" w:cs="Times New Roman"/>
          <w:bCs/>
          <w:color w:val="auto"/>
          <w:kern w:val="2"/>
          <w:sz w:val="21"/>
          <w:szCs w:val="21"/>
          <w:lang w:val="en-US" w:eastAsia="zh-CN"/>
        </w:rPr>
        <w:t>是SHP2抑制剂，目前处于临床期。</w:t>
      </w:r>
      <w:r>
        <w:rPr>
          <w:rFonts w:hint="eastAsia" w:ascii="微软雅黑" w:hAnsi="微软雅黑" w:cs="Arial Unicode MS"/>
          <w:color w:val="auto"/>
          <w:kern w:val="2"/>
          <w:sz w:val="21"/>
          <w:szCs w:val="21"/>
          <w:highlight w:val="none"/>
          <w:lang w:val="en-US" w:eastAsia="zh-CN"/>
        </w:rPr>
        <w:t>NMPA批准戈来雷塞（JAB-21822）适用于至少接受过一种系统性治疗的鼠类肉瘤病毒癌基因（KRAS）G12C 突变型的晚期非小细胞肺癌（NSCLC）成人患者。</w:t>
      </w:r>
      <w:r>
        <w:rPr>
          <w:rFonts w:hint="eastAsia" w:ascii="微软雅黑" w:hAnsi="微软雅黑" w:cs="Times New Roman"/>
          <w:b w:val="0"/>
          <w:bCs w:val="0"/>
          <w:color w:val="auto"/>
          <w:kern w:val="2"/>
          <w:sz w:val="21"/>
          <w:szCs w:val="21"/>
          <w:lang w:val="en-US" w:eastAsia="zh-CN"/>
        </w:rPr>
        <w:t>GDC6036是靶向KRAS G12C突变的抑制剂，目前处于临床期。GH35是一种KRAS G12抑制剂，目前处于临床期。RMC-6236是一种泛KRAS抑制剂，目前处于临床期。JMKX1899是一款新型、高效、口服的KRAS抑制剂，其可通过与 KRAS（G12C）特异地、不可逆的结合，阻止GDP转化为GTP，维持在失活状态，从而抑制下游通路的激活，抑制胞外调节蛋白激酶（ERK）磷酸化，阻止肿瘤细胞的增殖和生长，促进细胞凋亡。国家药监局药品审评中心（CDE）官网将其拟纳入突破性治疗品种，拟用于治疗至少接受过一种系统性治疗的KRAS G12C突变的晚期或转移性非小细胞肺癌（NSCLC）患者。BEBT-607是一种高活性KRAS G12C抑制剂，目前处于临床期。LY3537982一种高活性KRAS G12C抑制剂，目前处于临床期。</w:t>
      </w:r>
    </w:p>
    <w:p w14:paraId="71E0D078">
      <w:pPr>
        <w:keepNext w:val="0"/>
        <w:keepLines w:val="0"/>
        <w:pageBreakBefore w:val="0"/>
        <w:widowControl/>
        <w:suppressLineNumbers w:val="0"/>
        <w:kinsoku/>
        <w:wordWrap/>
        <w:overflowPunct/>
        <w:topLinePunct w:val="0"/>
        <w:autoSpaceDE/>
        <w:autoSpaceDN/>
        <w:bidi w:val="0"/>
        <w:adjustRightInd w:val="0"/>
        <w:snapToGrid w:val="0"/>
        <w:spacing w:after="0"/>
        <w:jc w:val="left"/>
        <w:textAlignment w:val="auto"/>
      </w:pPr>
      <w:r>
        <w:rPr>
          <w:rFonts w:hint="eastAsia" w:ascii="微软雅黑" w:hAnsi="微软雅黑" w:eastAsia="微软雅黑" w:cs="微软雅黑"/>
          <w:b/>
          <w:color w:val="000000"/>
          <w:kern w:val="0"/>
          <w:sz w:val="22"/>
          <w:szCs w:val="22"/>
          <w:lang w:val="en-US" w:eastAsia="zh-CN" w:bidi="ar"/>
        </w:rPr>
        <w:t xml:space="preserve">药物疗效临床解析： </w:t>
      </w:r>
    </w:p>
    <w:p w14:paraId="7EF8C76C">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一项全球、单臂、II期临床研究，旨在评估</w:t>
      </w:r>
      <w:r>
        <w:rPr>
          <w:rFonts w:hint="eastAsia" w:ascii="微软雅黑" w:hAnsi="微软雅黑" w:cs="Arial Unicode MS"/>
          <w:color w:val="auto"/>
          <w:kern w:val="2"/>
          <w:sz w:val="21"/>
          <w:szCs w:val="21"/>
          <w:highlight w:val="none"/>
          <w:lang w:val="en-US" w:eastAsia="zh-CN"/>
        </w:rPr>
        <w:t>索托拉西布</w:t>
      </w:r>
      <w:r>
        <w:rPr>
          <w:rFonts w:hint="eastAsia" w:ascii="微软雅黑" w:hAnsi="微软雅黑" w:eastAsia="微软雅黑" w:cs="Arial Unicode MS"/>
          <w:color w:val="auto"/>
          <w:kern w:val="2"/>
          <w:sz w:val="21"/>
          <w:szCs w:val="21"/>
          <w:highlight w:val="none"/>
          <w:lang w:val="en-US" w:eastAsia="zh-CN"/>
        </w:rPr>
        <w:t>（口服，每日两次，960mg）用于局部晚期或转移性KRAS G12C突变NSCLC患者的疗效和安全性。经评估，124例患者基线时至少有1个可测量病灶并可评估疗效。46例患者达到确认的缓解，其中3例为完全缓解，43例部分缓解。ORR为37.1%，DCR为80.6%，中位PFS为6.8个月。81%患者（101/124）观察到肿瘤缩小</w:t>
      </w:r>
      <w:r>
        <w:rPr>
          <w:rFonts w:hint="eastAsia" w:ascii="微软雅黑" w:hAnsi="微软雅黑" w:cs="Arial Unicode MS"/>
          <w:color w:val="auto"/>
          <w:kern w:val="2"/>
          <w:sz w:val="21"/>
          <w:szCs w:val="21"/>
          <w:highlight w:val="none"/>
          <w:lang w:val="en-US" w:eastAsia="zh-CN"/>
        </w:rPr>
        <w:t>，中位DOR为10个月</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2021 WCLC PS01.07</w:t>
      </w:r>
      <w:r>
        <w:rPr>
          <w:rFonts w:hint="eastAsia" w:ascii="微软雅黑" w:hAnsi="微软雅黑" w:eastAsia="微软雅黑" w:cs="Arial Unicode MS"/>
          <w:color w:val="auto"/>
          <w:kern w:val="2"/>
          <w:sz w:val="21"/>
          <w:szCs w:val="21"/>
          <w:highlight w:val="none"/>
          <w:lang w:val="en-US" w:eastAsia="zh-CN"/>
        </w:rPr>
        <w:t>]。一项多中心、开放标签的Ⅰ期临床研究，评估</w:t>
      </w:r>
      <w:r>
        <w:rPr>
          <w:rFonts w:hint="eastAsia" w:ascii="微软雅黑" w:hAnsi="微软雅黑" w:cs="Arial Unicode MS"/>
          <w:color w:val="auto"/>
          <w:kern w:val="2"/>
          <w:sz w:val="21"/>
          <w:szCs w:val="21"/>
          <w:highlight w:val="none"/>
          <w:lang w:val="en-US" w:eastAsia="zh-CN"/>
        </w:rPr>
        <w:t>索托拉西布</w:t>
      </w:r>
      <w:r>
        <w:rPr>
          <w:rFonts w:hint="eastAsia" w:ascii="微软雅黑" w:hAnsi="微软雅黑" w:eastAsia="微软雅黑" w:cs="Arial Unicode MS"/>
          <w:color w:val="auto"/>
          <w:kern w:val="2"/>
          <w:sz w:val="21"/>
          <w:szCs w:val="21"/>
          <w:highlight w:val="none"/>
          <w:lang w:val="en-US" w:eastAsia="zh-CN"/>
        </w:rPr>
        <w:t xml:space="preserve"> 在具有KRAS</w:t>
      </w:r>
      <w:r>
        <w:rPr>
          <w:rFonts w:hint="eastAsia" w:ascii="微软雅黑" w:hAnsi="微软雅黑" w:cs="Arial Unicode MS"/>
          <w:color w:val="auto"/>
          <w:kern w:val="2"/>
          <w:sz w:val="21"/>
          <w:szCs w:val="21"/>
          <w:highlight w:val="none"/>
          <w:lang w:val="en-US" w:eastAsia="zh-CN"/>
        </w:rPr>
        <w:t xml:space="preserve"> </w:t>
      </w:r>
      <w:r>
        <w:rPr>
          <w:rFonts w:hint="eastAsia" w:ascii="微软雅黑" w:hAnsi="微软雅黑" w:eastAsia="微软雅黑" w:cs="Arial Unicode MS"/>
          <w:color w:val="auto"/>
          <w:kern w:val="2"/>
          <w:sz w:val="21"/>
          <w:szCs w:val="21"/>
          <w:highlight w:val="none"/>
          <w:lang w:val="en-US" w:eastAsia="zh-CN"/>
        </w:rPr>
        <w:t>G12C突变的实体肿瘤中的安全性、耐受性、</w:t>
      </w:r>
      <w:r>
        <w:rPr>
          <w:rFonts w:hint="eastAsia" w:ascii="微软雅黑" w:hAnsi="微软雅黑" w:cs="Arial Unicode MS"/>
          <w:color w:val="auto"/>
          <w:kern w:val="2"/>
          <w:sz w:val="21"/>
          <w:szCs w:val="21"/>
          <w:highlight w:val="none"/>
          <w:lang w:val="en-US" w:eastAsia="zh-CN"/>
        </w:rPr>
        <w:t>药效动力学</w:t>
      </w:r>
      <w:r>
        <w:rPr>
          <w:rFonts w:hint="eastAsia" w:ascii="微软雅黑" w:hAnsi="微软雅黑" w:eastAsia="微软雅黑" w:cs="Arial Unicode MS"/>
          <w:color w:val="auto"/>
          <w:kern w:val="2"/>
          <w:sz w:val="21"/>
          <w:szCs w:val="21"/>
          <w:highlight w:val="none"/>
          <w:lang w:val="en-US" w:eastAsia="zh-CN"/>
        </w:rPr>
        <w:t>和有效性。该试验共入组 35 例患者，其中 14 例 NSCLC 患者、19 例结直肠癌（CRC）患者、 2 例阑尾癌患者。该试验共有 29 例可评估患者，其中 10 例 NSCLC 患者、18 例 CRC 患者、1 例阑尾癌患者。结果显示，10 例 NSCLC 中有 5 例部分缓解、4 例疾病稳定、1 例疾病进展，ORR 为 50%，疾病控制率 90%。5 例部分缓解的患者仍在继续服药中[NCT03600883]。</w:t>
      </w:r>
    </w:p>
    <w:p w14:paraId="02C160E8">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FDA批准阿达格拉西布+西妥昔单抗用于治疗结直肠癌，是基于</w:t>
      </w:r>
      <w:r>
        <w:rPr>
          <w:rFonts w:hint="eastAsia" w:ascii="微软雅黑" w:hAnsi="微软雅黑" w:eastAsia="微软雅黑" w:cs="Arial Unicode MS"/>
          <w:color w:val="auto"/>
          <w:kern w:val="2"/>
          <w:sz w:val="21"/>
          <w:szCs w:val="21"/>
          <w:highlight w:val="none"/>
          <w:lang w:val="en-US" w:eastAsia="zh-CN"/>
        </w:rPr>
        <w:t>一项KRYSTAL-1 研究</w:t>
      </w:r>
      <w:r>
        <w:rPr>
          <w:rFonts w:hint="eastAsia" w:ascii="微软雅黑" w:hAnsi="微软雅黑" w:cs="Arial Unicode MS"/>
          <w:color w:val="auto"/>
          <w:kern w:val="2"/>
          <w:sz w:val="21"/>
          <w:szCs w:val="21"/>
          <w:highlight w:val="none"/>
          <w:lang w:val="en-US" w:eastAsia="zh-CN"/>
        </w:rPr>
        <w:t>的</w:t>
      </w:r>
      <w:r>
        <w:rPr>
          <w:rFonts w:hint="eastAsia" w:ascii="微软雅黑" w:hAnsi="微软雅黑" w:eastAsia="微软雅黑" w:cs="Arial Unicode MS"/>
          <w:color w:val="auto"/>
          <w:kern w:val="2"/>
          <w:sz w:val="21"/>
          <w:szCs w:val="21"/>
          <w:highlight w:val="none"/>
          <w:lang w:val="en-US" w:eastAsia="zh-CN"/>
        </w:rPr>
        <w:t>多中心、单臂、开放标签的扩展队列I/II期</w:t>
      </w:r>
      <w:r>
        <w:rPr>
          <w:rFonts w:hint="eastAsia" w:ascii="微软雅黑" w:hAnsi="微软雅黑" w:cs="Arial Unicode MS"/>
          <w:color w:val="auto"/>
          <w:kern w:val="2"/>
          <w:sz w:val="21"/>
          <w:szCs w:val="21"/>
          <w:highlight w:val="none"/>
          <w:lang w:val="en-US" w:eastAsia="zh-CN"/>
        </w:rPr>
        <w:t>临床试验</w:t>
      </w:r>
      <w:r>
        <w:rPr>
          <w:rFonts w:hint="eastAsia" w:ascii="微软雅黑" w:hAnsi="微软雅黑" w:eastAsia="微软雅黑" w:cs="Arial Unicode MS"/>
          <w:color w:val="auto"/>
          <w:kern w:val="2"/>
          <w:sz w:val="21"/>
          <w:szCs w:val="21"/>
          <w:highlight w:val="none"/>
          <w:lang w:val="en-US" w:eastAsia="zh-CN"/>
        </w:rPr>
        <w:t>，旨在评估阿达格拉西布联合西妥昔单抗治疗既往接受过治疗KRAS G12C突变的不可切除或转移性结直肠癌患者的疗效和安全性。在94例入组患者中，中位随访时间为11.9个月，ORR为34%（95% CI：25%，45%），疾病控制率（DCR）为85.1% (95% CI, 76.3，91.6），中位DOR为5.8个月（95% CI：4.2，7.6）。31%的应答患者的DOR至少为6个月。中位PFS为6.9个月(95% CI, 5.7，7.4)，中位OS为15.9个月(95% CI, 11.8，18.8)[NCT03785249]。一项Ⅰ期临床研究，评估阿达格拉西布在具有KRAS</w:t>
      </w:r>
      <w:r>
        <w:rPr>
          <w:rFonts w:hint="eastAsia" w:ascii="微软雅黑" w:hAnsi="微软雅黑" w:cs="Arial Unicode MS"/>
          <w:color w:val="auto"/>
          <w:kern w:val="2"/>
          <w:sz w:val="21"/>
          <w:szCs w:val="21"/>
          <w:highlight w:val="none"/>
          <w:lang w:val="en-US" w:eastAsia="zh-CN"/>
        </w:rPr>
        <w:t xml:space="preserve"> </w:t>
      </w:r>
      <w:r>
        <w:rPr>
          <w:rFonts w:hint="eastAsia" w:ascii="微软雅黑" w:hAnsi="微软雅黑" w:eastAsia="微软雅黑" w:cs="Arial Unicode MS"/>
          <w:color w:val="auto"/>
          <w:kern w:val="2"/>
          <w:sz w:val="21"/>
          <w:szCs w:val="21"/>
          <w:highlight w:val="none"/>
          <w:lang w:val="en-US" w:eastAsia="zh-CN"/>
        </w:rPr>
        <w:t>G12C突变的实体肿瘤中的安全性、耐受性、</w:t>
      </w:r>
      <w:r>
        <w:rPr>
          <w:rFonts w:hint="eastAsia" w:ascii="微软雅黑" w:hAnsi="微软雅黑" w:cs="Arial Unicode MS"/>
          <w:color w:val="auto"/>
          <w:kern w:val="2"/>
          <w:sz w:val="21"/>
          <w:szCs w:val="21"/>
          <w:highlight w:val="none"/>
          <w:lang w:val="en-US" w:eastAsia="zh-CN"/>
        </w:rPr>
        <w:t>药效动力学</w:t>
      </w:r>
      <w:r>
        <w:rPr>
          <w:rFonts w:hint="eastAsia" w:ascii="微软雅黑" w:hAnsi="微软雅黑" w:eastAsia="微软雅黑" w:cs="Arial Unicode MS"/>
          <w:color w:val="auto"/>
          <w:kern w:val="2"/>
          <w:sz w:val="21"/>
          <w:szCs w:val="21"/>
          <w:highlight w:val="none"/>
          <w:lang w:val="en-US" w:eastAsia="zh-CN"/>
        </w:rPr>
        <w:t>和有效性。纳入了 17例既往接受过全身治疗的 KRAS G12C突变的不可手术或晚期实体瘤患者，12 例患者可供评估，其中 6 例非小细胞肺癌、4 例结直肠癌、2 例阑尾癌。研究表明，6 例非小细胞肺癌患者中，3 例疾病稳定，3 例部分缓解（有 2 例尚未确认），总有效率 50%，疾病控制率 100%；4 例结直肠癌患者）中，1 例产生应答，总有效率 25%，疾病控制率 75%；2 例阑尾癌患者中，2 例疾病稳定，总有效率 0%，疾病控制率 100%。该研究的 I/II 期临床试验，正在招募中[NCT03785249]。阿达格拉西布</w:t>
      </w:r>
      <w:r>
        <w:rPr>
          <w:rFonts w:hint="eastAsia" w:ascii="微软雅黑" w:hAnsi="微软雅黑" w:cs="Arial Unicode MS"/>
          <w:color w:val="auto"/>
          <w:kern w:val="2"/>
          <w:sz w:val="21"/>
          <w:szCs w:val="21"/>
          <w:highlight w:val="none"/>
          <w:lang w:val="en-US" w:eastAsia="zh-CN"/>
        </w:rPr>
        <w:t>对比</w:t>
      </w:r>
      <w:r>
        <w:rPr>
          <w:rFonts w:hint="eastAsia" w:ascii="微软雅黑" w:hAnsi="微软雅黑" w:eastAsia="微软雅黑" w:cs="Arial Unicode MS"/>
          <w:color w:val="auto"/>
          <w:kern w:val="2"/>
          <w:sz w:val="21"/>
          <w:szCs w:val="21"/>
          <w:highlight w:val="none"/>
          <w:lang w:val="en-US" w:eastAsia="zh-CN"/>
        </w:rPr>
        <w:t>多西他赛在</w:t>
      </w:r>
      <w:r>
        <w:rPr>
          <w:rFonts w:hint="eastAsia" w:ascii="微软雅黑" w:hAnsi="微软雅黑" w:cs="Arial Unicode MS"/>
          <w:color w:val="auto"/>
          <w:kern w:val="2"/>
          <w:sz w:val="21"/>
          <w:szCs w:val="21"/>
          <w:highlight w:val="none"/>
          <w:lang w:val="en-US" w:eastAsia="zh-CN"/>
        </w:rPr>
        <w:t>携带</w:t>
      </w:r>
      <w:r>
        <w:rPr>
          <w:rFonts w:hint="eastAsia" w:ascii="微软雅黑" w:hAnsi="微软雅黑" w:eastAsia="微软雅黑" w:cs="Arial Unicode MS"/>
          <w:color w:val="auto"/>
          <w:kern w:val="2"/>
          <w:sz w:val="21"/>
          <w:szCs w:val="21"/>
          <w:highlight w:val="none"/>
          <w:lang w:val="en-US" w:eastAsia="zh-CN"/>
        </w:rPr>
        <w:t xml:space="preserve"> KRAS G12C 突变的晚期非小细胞肺癌患者中的</w:t>
      </w:r>
      <w:r>
        <w:rPr>
          <w:rFonts w:hint="eastAsia" w:ascii="微软雅黑" w:hAnsi="微软雅黑" w:cs="Arial Unicode MS"/>
          <w:color w:val="auto"/>
          <w:kern w:val="2"/>
          <w:sz w:val="21"/>
          <w:szCs w:val="21"/>
          <w:highlight w:val="none"/>
          <w:lang w:val="en-US" w:eastAsia="zh-CN"/>
        </w:rPr>
        <w:t>III</w:t>
      </w:r>
      <w:r>
        <w:rPr>
          <w:rFonts w:hint="eastAsia" w:ascii="微软雅黑" w:hAnsi="微软雅黑" w:eastAsia="微软雅黑" w:cs="Arial Unicode MS"/>
          <w:color w:val="auto"/>
          <w:kern w:val="2"/>
          <w:sz w:val="21"/>
          <w:szCs w:val="21"/>
          <w:highlight w:val="none"/>
          <w:lang w:val="en-US" w:eastAsia="zh-CN"/>
        </w:rPr>
        <w:t>期研究</w:t>
      </w:r>
      <w:r>
        <w:rPr>
          <w:rFonts w:hint="eastAsia" w:ascii="微软雅黑" w:hAnsi="微软雅黑" w:cs="Arial Unicode MS"/>
          <w:color w:val="auto"/>
          <w:kern w:val="2"/>
          <w:sz w:val="21"/>
          <w:szCs w:val="21"/>
          <w:highlight w:val="none"/>
          <w:lang w:val="en-US" w:eastAsia="zh-CN"/>
        </w:rPr>
        <w:t>，正在招募中</w:t>
      </w:r>
      <w:r>
        <w:rPr>
          <w:rFonts w:hint="eastAsia" w:ascii="微软雅黑" w:hAnsi="微软雅黑" w:eastAsia="微软雅黑" w:cs="Arial Unicode MS"/>
          <w:color w:val="auto"/>
          <w:kern w:val="2"/>
          <w:sz w:val="21"/>
          <w:szCs w:val="21"/>
          <w:highlight w:val="none"/>
          <w:lang w:val="en-US" w:eastAsia="zh-CN"/>
        </w:rPr>
        <w:t>[NCT04685135]</w:t>
      </w:r>
      <w:r>
        <w:rPr>
          <w:rFonts w:hint="eastAsia" w:ascii="微软雅黑" w:hAnsi="微软雅黑" w:cs="Arial Unicode MS"/>
          <w:color w:val="auto"/>
          <w:kern w:val="2"/>
          <w:sz w:val="21"/>
          <w:szCs w:val="21"/>
          <w:highlight w:val="none"/>
          <w:lang w:val="en-US" w:eastAsia="zh-CN"/>
        </w:rPr>
        <w:t>。</w:t>
      </w:r>
    </w:p>
    <w:p w14:paraId="456A5432">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Times New Roman"/>
          <w:bCs/>
          <w:color w:val="auto"/>
          <w:kern w:val="2"/>
          <w:sz w:val="21"/>
          <w:szCs w:val="21"/>
          <w:highlight w:val="none"/>
          <w:lang w:val="en-US" w:eastAsia="zh-CN"/>
        </w:rPr>
      </w:pPr>
      <w:r>
        <w:rPr>
          <w:rFonts w:hint="eastAsia" w:ascii="微软雅黑" w:hAnsi="微软雅黑" w:cs="Times New Roman"/>
          <w:bCs/>
          <w:color w:val="auto"/>
          <w:kern w:val="2"/>
          <w:sz w:val="21"/>
          <w:szCs w:val="21"/>
          <w:highlight w:val="none"/>
          <w:lang w:val="en-US" w:eastAsia="zh-CN"/>
        </w:rPr>
        <w:t>氟泽雷塞获批用于非小细胞肺癌是基于一项在中国开展的临床II期单臂注册研究结果。研究旨在评估氟泽雷塞单药在标准治疗失败或不耐受且携带KRAS G12C突变的晚期非小细胞肺癌受试者中的安全性、耐受性和疗效。共有116例NSCLC受试者纳入分析。研究结果显示，氟泽雷塞片显示出优异的抗肿瘤活性，客观缓解率（ORR）达46.6%，达到了预设的主要终点；疾病控制率（DCR）达90.5%；中位缓解持续时间（DoR）为8.3个月，出现肿瘤缓解的受试者53.7%仍在治疗中；中位无进展生存期（PFS）8.3个月，中位总生存期（OS）尚未达到,患者总体耐受性良好[NCT05005234]。一项评估氟泽雷塞（GFH925/IBI351）在具有KRAS G12C突变的晚期实体瘤患者中的安全性/耐受性、药代动力学和有效性的开放标签、多中心I/II期临床研究正在进行中[NCT05005234，</w:t>
      </w:r>
      <w:r>
        <w:rPr>
          <w:rFonts w:ascii="微软雅黑" w:hAnsi="微软雅黑" w:eastAsia="微软雅黑" w:cs="微软雅黑"/>
          <w:i w:val="0"/>
          <w:iCs w:val="0"/>
          <w:caps w:val="0"/>
          <w:color w:val="222222"/>
          <w:spacing w:val="0"/>
          <w:sz w:val="21"/>
          <w:szCs w:val="21"/>
          <w:shd w:val="clear" w:fill="FFFFFF"/>
        </w:rPr>
        <w:t>CTR20211933</w:t>
      </w:r>
      <w:r>
        <w:rPr>
          <w:rFonts w:hint="eastAsia" w:ascii="微软雅黑" w:hAnsi="微软雅黑" w:cs="Times New Roman"/>
          <w:bCs/>
          <w:color w:val="auto"/>
          <w:kern w:val="2"/>
          <w:sz w:val="21"/>
          <w:szCs w:val="21"/>
          <w:highlight w:val="none"/>
          <w:lang w:val="en-US" w:eastAsia="zh-CN"/>
        </w:rPr>
        <w:t>]。一项I期临床试验，氟泽雷塞（GFH925/IBI351）联合西妥昔单抗治疗KRAS G12C突变转移性结肠癌受试者的研究正在进行中[NCT05497336，</w:t>
      </w:r>
      <w:r>
        <w:rPr>
          <w:rFonts w:ascii="微软雅黑" w:hAnsi="微软雅黑" w:eastAsia="微软雅黑" w:cs="微软雅黑"/>
          <w:i w:val="0"/>
          <w:iCs w:val="0"/>
          <w:caps w:val="0"/>
          <w:color w:val="222222"/>
          <w:spacing w:val="0"/>
          <w:sz w:val="21"/>
          <w:szCs w:val="21"/>
          <w:shd w:val="clear" w:fill="FFFFFF"/>
        </w:rPr>
        <w:t>CTR20221972</w:t>
      </w:r>
      <w:r>
        <w:rPr>
          <w:rFonts w:hint="eastAsia" w:ascii="微软雅黑" w:hAnsi="微软雅黑" w:cs="Times New Roman"/>
          <w:bCs/>
          <w:color w:val="auto"/>
          <w:kern w:val="2"/>
          <w:sz w:val="21"/>
          <w:szCs w:val="21"/>
          <w:highlight w:val="none"/>
          <w:lang w:val="en-US" w:eastAsia="zh-CN"/>
        </w:rPr>
        <w:t>]。</w:t>
      </w:r>
    </w:p>
    <w:p w14:paraId="3B4B923F">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格索雷塞的获批是基于一项单臂、多中心的II期临床研究，旨在评估格索雷塞在治疗KRAS G12C突变阳性晚期非小细胞肺癌（NSCLC）患者中的疗效和安全性。该项研究数据表明，在既往接受过治疗且携带KRAS G12C突变的非小细胞肺癌（NSCLC）患者中，格索雷塞显示出了较高的肿瘤缓解率和较长的缓解持续时间（客观缓解率（ORR）：50%，疾病控制率（DCR）：89%，中位缓解持续时间（DOR）：12.8个月，中位无进展生存期（PFS）：7.6个月）[NCT05383898]。</w:t>
      </w:r>
    </w:p>
    <w:p w14:paraId="3F6A9F67">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一项</w:t>
      </w:r>
      <w:r>
        <w:rPr>
          <w:rFonts w:hint="eastAsia" w:ascii="微软雅黑" w:hAnsi="微软雅黑" w:eastAsia="微软雅黑" w:cs="Arial Unicode MS"/>
          <w:color w:val="auto"/>
          <w:kern w:val="2"/>
          <w:sz w:val="21"/>
          <w:szCs w:val="21"/>
          <w:highlight w:val="none"/>
          <w:lang w:val="en-US" w:eastAsia="zh-CN"/>
        </w:rPr>
        <w:t>Ⅰ</w:t>
      </w:r>
      <w:r>
        <w:rPr>
          <w:rFonts w:hint="eastAsia" w:ascii="微软雅黑" w:hAnsi="微软雅黑" w:cs="Arial Unicode MS"/>
          <w:color w:val="auto"/>
          <w:kern w:val="2"/>
          <w:sz w:val="21"/>
          <w:szCs w:val="21"/>
          <w:highlight w:val="none"/>
          <w:lang w:val="en-US" w:eastAsia="zh-CN"/>
        </w:rPr>
        <w:t>b/II期临床研究，纳入33例KRAS G12C突变晚期NSCLC患者经索托拉西布联合阿法替尼治疗后，10名患者获得PR，25名患者获得疾病控制。整体客观有效率30.3%，疾病控制率（DCR）75.8%，中位无进展生存期（PFS）4.1个月[NCT04185883，AACR_2021]。一项</w:t>
      </w:r>
      <w:r>
        <w:rPr>
          <w:rFonts w:hint="eastAsia" w:ascii="微软雅黑" w:hAnsi="微软雅黑" w:eastAsia="微软雅黑" w:cs="Arial Unicode MS"/>
          <w:color w:val="auto"/>
          <w:kern w:val="2"/>
          <w:sz w:val="21"/>
          <w:szCs w:val="21"/>
          <w:highlight w:val="none"/>
          <w:lang w:val="en-US" w:eastAsia="zh-CN"/>
        </w:rPr>
        <w:t>Ⅰ</w:t>
      </w:r>
      <w:r>
        <w:rPr>
          <w:rFonts w:hint="eastAsia" w:ascii="微软雅黑" w:hAnsi="微软雅黑" w:cs="Arial Unicode MS"/>
          <w:color w:val="auto"/>
          <w:kern w:val="2"/>
          <w:sz w:val="21"/>
          <w:szCs w:val="21"/>
          <w:highlight w:val="none"/>
          <w:lang w:val="en-US" w:eastAsia="zh-CN"/>
        </w:rPr>
        <w:t>b/II期临床研究，纳入18例KRAS G12C突变晚期NSCLC患者经索托拉西布联合曲美替尼治疗后，客观有效率20.0%，疾病控制率86.7%，中位无进展生存期4.2月[AACR_2021]。2021年ESMO会议报道Ib 期临床试验CodeBreaK 101剂量探索数据显示，索托拉西布联合帕尼单抗安全可耐受，数据显示，26例结直肠癌患者中客观缓解率(ORR)为27%；疾病控制率（DCR）为81%（ESMO 2021,434P，NCT04185883）。</w:t>
      </w:r>
    </w:p>
    <w:p w14:paraId="13B4C646">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JDQ443治疗携带KRAS G12C突变的非小细胞肺癌II期临床研究显示，</w:t>
      </w:r>
      <w:r>
        <w:rPr>
          <w:rFonts w:hint="eastAsia" w:ascii="微软雅黑" w:hAnsi="微软雅黑" w:eastAsia="微软雅黑" w:cs="Arial Unicode MS"/>
          <w:i w:val="0"/>
          <w:iCs w:val="0"/>
          <w:caps w:val="0"/>
          <w:color w:val="auto"/>
          <w:spacing w:val="0"/>
          <w:kern w:val="2"/>
          <w:sz w:val="21"/>
          <w:szCs w:val="21"/>
          <w:highlight w:val="none"/>
          <w:shd w:val="clear"/>
        </w:rPr>
        <w:t>在20例非小细胞肺癌患者当中，JDQ443治疗的整体缓解率为35%</w:t>
      </w:r>
      <w:r>
        <w:rPr>
          <w:rFonts w:hint="eastAsia" w:ascii="微软雅黑" w:hAnsi="微软雅黑" w:cs="Arial Unicode MS"/>
          <w:i w:val="0"/>
          <w:iCs w:val="0"/>
          <w:caps w:val="0"/>
          <w:color w:val="auto"/>
          <w:spacing w:val="0"/>
          <w:kern w:val="2"/>
          <w:sz w:val="21"/>
          <w:szCs w:val="21"/>
          <w:highlight w:val="none"/>
          <w:shd w:val="clear"/>
          <w:lang w:eastAsia="zh-CN"/>
        </w:rPr>
        <w:t>，接受推荐剂量治疗的患者ORR为57%（4/7）</w:t>
      </w:r>
      <w:r>
        <w:rPr>
          <w:rFonts w:hint="eastAsia" w:ascii="微软雅黑" w:hAnsi="微软雅黑" w:cs="Arial Unicode MS"/>
          <w:i w:val="0"/>
          <w:iCs w:val="0"/>
          <w:caps w:val="0"/>
          <w:color w:val="auto"/>
          <w:spacing w:val="0"/>
          <w:kern w:val="2"/>
          <w:sz w:val="21"/>
          <w:szCs w:val="21"/>
          <w:highlight w:val="none"/>
          <w:shd w:val="clear"/>
          <w:lang w:val="en-US" w:eastAsia="zh-CN"/>
        </w:rPr>
        <w:t xml:space="preserve">[2022 </w:t>
      </w:r>
      <w:r>
        <w:rPr>
          <w:rFonts w:hint="eastAsia" w:ascii="微软雅黑" w:hAnsi="微软雅黑" w:eastAsia="微软雅黑" w:cs="Arial Unicode MS"/>
          <w:i w:val="0"/>
          <w:iCs w:val="0"/>
          <w:caps w:val="0"/>
          <w:color w:val="auto"/>
          <w:spacing w:val="0"/>
          <w:kern w:val="2"/>
          <w:sz w:val="21"/>
          <w:szCs w:val="21"/>
          <w:highlight w:val="none"/>
          <w:shd w:val="clear"/>
        </w:rPr>
        <w:t>AACR</w:t>
      </w:r>
      <w:r>
        <w:rPr>
          <w:rFonts w:hint="eastAsia" w:ascii="微软雅黑" w:hAnsi="微软雅黑" w:cs="Arial Unicode MS"/>
          <w:i w:val="0"/>
          <w:iCs w:val="0"/>
          <w:caps w:val="0"/>
          <w:color w:val="auto"/>
          <w:spacing w:val="0"/>
          <w:kern w:val="2"/>
          <w:sz w:val="21"/>
          <w:szCs w:val="21"/>
          <w:highlight w:val="none"/>
          <w:shd w:val="clear"/>
          <w:lang w:val="en-US" w:eastAsia="zh-CN"/>
        </w:rPr>
        <w:t>]</w:t>
      </w:r>
      <w:r>
        <w:rPr>
          <w:rFonts w:hint="eastAsia" w:ascii="微软雅黑" w:hAnsi="微软雅黑" w:cs="Arial Unicode MS"/>
          <w:i w:val="0"/>
          <w:iCs w:val="0"/>
          <w:caps w:val="0"/>
          <w:color w:val="auto"/>
          <w:spacing w:val="0"/>
          <w:kern w:val="2"/>
          <w:sz w:val="21"/>
          <w:szCs w:val="21"/>
          <w:highlight w:val="none"/>
          <w:shd w:val="clear"/>
          <w:lang w:eastAsia="zh-CN"/>
        </w:rPr>
        <w:t>。</w:t>
      </w:r>
      <w:r>
        <w:rPr>
          <w:rFonts w:hint="eastAsia" w:ascii="微软雅黑" w:hAnsi="微软雅黑" w:cs="Arial Unicode MS"/>
          <w:color w:val="auto"/>
          <w:kern w:val="2"/>
          <w:sz w:val="21"/>
          <w:szCs w:val="21"/>
          <w:highlight w:val="none"/>
          <w:lang w:val="en-US" w:eastAsia="zh-CN"/>
        </w:rPr>
        <w:t>JDQ443与多西他赛在局部晚期或转移性KRAS G12C突变非小细胞肺癌患者中的III期比较研究，尚未开始招募[NCT05132075]。</w:t>
      </w:r>
    </w:p>
    <w:p w14:paraId="445BB5C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一项关于RMC4630和索托拉西布联合治疗KRAS G12C突变的非小细胞肺癌开放、多中心的II期研究，目前正在招募患者[NCT05054725]。</w:t>
      </w:r>
    </w:p>
    <w:p w14:paraId="3FC4779D">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一项BBP398联合索托拉西布用于KRAS G12C突变的晚期实体瘤患者的I期研究，目前正在招募患者[NCT05480865]。</w:t>
      </w:r>
      <w:r>
        <w:rPr>
          <w:rFonts w:hint="eastAsia" w:ascii="微软雅黑" w:hAnsi="微软雅黑" w:cs="Times New Roman"/>
          <w:bCs/>
          <w:color w:val="auto"/>
          <w:kern w:val="2"/>
          <w:sz w:val="21"/>
          <w:szCs w:val="21"/>
          <w:highlight w:val="none"/>
          <w:lang w:val="en-US" w:eastAsia="zh-CN"/>
        </w:rPr>
        <w:t>一项BBP398联合纳武利尤单抗用于治疗携带KRAS基因突变的晚期非小细胞肺癌患者的I期临床试验正在招募患者[NCT05375084]。</w:t>
      </w:r>
    </w:p>
    <w:p w14:paraId="7444A376">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一项评价戈来雷塞用于治疗对KRAS G12C突变的成人实体肿瘤的安全性、耐受性、药代动力学和抗肿瘤活性的初步证据的多中心、开放性I/II期临床研究，目前正在招募患者[NCT05002270]。戈来雷塞联合JAB3312用于治疗KRAS p.G12C突变的晚期实体瘤的安全性、耐受性、药代动力学和抗肿瘤活性的I/IIa期研究，目前正在招募患者[NCT05288205]。</w:t>
      </w:r>
    </w:p>
    <w:p w14:paraId="1FE692F3">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一项评估GDC6036作为单一药物并与其他抗癌疗法联合用于治疗携带KRAS G12C突变的晚期或转移性实体瘤患者的安全性，药代动力学和活性的Ia/Ib期临床试验，目前正在招募患者[NCT04449874]。</w:t>
      </w:r>
    </w:p>
    <w:p w14:paraId="3EF3962C">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Times New Roman"/>
          <w:bCs/>
          <w:color w:val="auto"/>
          <w:kern w:val="2"/>
          <w:sz w:val="21"/>
          <w:szCs w:val="21"/>
          <w:highlight w:val="none"/>
          <w:lang w:val="en-US" w:eastAsia="zh-CN"/>
        </w:rPr>
      </w:pPr>
      <w:r>
        <w:rPr>
          <w:rFonts w:hint="eastAsia" w:ascii="微软雅黑" w:hAnsi="微软雅黑" w:cs="Times New Roman"/>
          <w:bCs/>
          <w:color w:val="auto"/>
          <w:kern w:val="2"/>
          <w:sz w:val="21"/>
          <w:szCs w:val="21"/>
          <w:highlight w:val="none"/>
          <w:lang w:val="en-US" w:eastAsia="zh-CN"/>
        </w:rPr>
        <w:t>一项评价GH35片在KRAS突变的晚期实体瘤患者中有效性、安全性、耐受性、药代动力学特征的II期临床研究正在进行中[CTR20222296]。</w:t>
      </w:r>
    </w:p>
    <w:p w14:paraId="13460365">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Times New Roman"/>
          <w:bCs/>
          <w:color w:val="auto"/>
          <w:kern w:val="2"/>
          <w:sz w:val="21"/>
          <w:szCs w:val="21"/>
          <w:highlight w:val="none"/>
          <w:lang w:val="en-US" w:eastAsia="zh-CN"/>
        </w:rPr>
      </w:pP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8E60C7C">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Times New Roman"/>
          <w:bCs/>
          <w:color w:val="auto"/>
          <w:kern w:val="2"/>
          <w:sz w:val="21"/>
          <w:szCs w:val="21"/>
          <w:highlight w:val="none"/>
          <w:lang w:val="en-US" w:eastAsia="zh-CN"/>
        </w:rPr>
      </w:pPr>
      <w:r>
        <w:rPr>
          <w:rFonts w:hint="eastAsia" w:ascii="微软雅黑" w:hAnsi="微软雅黑" w:cs="Times New Roman"/>
          <w:bCs/>
          <w:color w:val="auto"/>
          <w:kern w:val="2"/>
          <w:sz w:val="21"/>
          <w:szCs w:val="21"/>
          <w:highlight w:val="none"/>
          <w:lang w:val="en-US" w:eastAsia="zh-CN"/>
        </w:rPr>
        <w:t>一项评价JMKX001899片（英文名通用名 JMKX1899）在KRAS G12C突变的晚期或转移性实体瘤患者（Ⅰa期）和非小细胞肺癌患者（Ⅰb、Ⅱ期）中的安全性、耐受性、药代动力学及抗肿瘤活性的开放、多中心的Ⅰ/Ⅱ期临床研究正在进行中[CTR20220611]。</w:t>
      </w:r>
    </w:p>
    <w:p w14:paraId="58A2FF6F">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Times New Roman"/>
          <w:bCs/>
          <w:color w:val="auto"/>
          <w:kern w:val="2"/>
          <w:sz w:val="21"/>
          <w:szCs w:val="21"/>
          <w:highlight w:val="none"/>
          <w:lang w:val="en-US" w:eastAsia="zh-CN"/>
        </w:rPr>
      </w:pPr>
      <w:r>
        <w:rPr>
          <w:rFonts w:hint="eastAsia" w:ascii="微软雅黑" w:hAnsi="微软雅黑" w:cs="Times New Roman"/>
          <w:bCs/>
          <w:color w:val="auto"/>
          <w:kern w:val="2"/>
          <w:sz w:val="21"/>
          <w:szCs w:val="21"/>
          <w:highlight w:val="none"/>
          <w:lang w:val="en-US" w:eastAsia="zh-CN"/>
        </w:rPr>
        <w:t>一项两阶段、多中心、开放性的Ⅰ期临床研究，评价BEBT-607在伴有KRAS G12C突变的晚期或转移性实体瘤患者中的安全耐受性、药代动力学和初步疗效的试验正在进行中[CTR20231811]。</w:t>
      </w:r>
    </w:p>
    <w:p w14:paraId="45C6CAB9">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Times New Roman"/>
          <w:bCs/>
          <w:color w:val="auto"/>
          <w:kern w:val="2"/>
          <w:sz w:val="21"/>
          <w:szCs w:val="21"/>
          <w:highlight w:val="none"/>
          <w:lang w:val="en-US" w:eastAsia="zh-CN"/>
        </w:rPr>
      </w:pPr>
      <w:r>
        <w:rPr>
          <w:rFonts w:hint="eastAsia" w:ascii="微软雅黑" w:hAnsi="微软雅黑" w:cs="Times New Roman"/>
          <w:bCs/>
          <w:color w:val="auto"/>
          <w:kern w:val="2"/>
          <w:sz w:val="21"/>
          <w:szCs w:val="21"/>
          <w:highlight w:val="none"/>
          <w:lang w:val="en-US" w:eastAsia="zh-CN"/>
        </w:rPr>
        <w:t>一项在携带KRAS G12C突变的晚期实体瘤中国患者中评价LY3537982的药代动力学、安全性、耐受性和抗肿瘤活性的开放标签、单臂、多中心、Ⅰ期研究正在进行中[CTR20240285]。</w:t>
      </w:r>
    </w:p>
    <w:p w14:paraId="2E64B15B">
      <w:pPr>
        <w:keepNext w:val="0"/>
        <w:keepLines w:val="0"/>
        <w:pageBreakBefore w:val="0"/>
        <w:widowControl/>
        <w:numPr>
          <w:ilvl w:val="0"/>
          <w:numId w:val="12"/>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sz w:val="24"/>
          <w:szCs w:val="24"/>
          <w:highlight w:val="none"/>
          <w:u w:val="single"/>
        </w:rPr>
        <w:t>曲美替尼（Trametinib）、</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）、奈拉替尼+曲美替尼（Neratinib+Trametinib）、福巴替尼+贝美替尼（Futibatinib+Binimetinib）</w:t>
      </w:r>
    </w:p>
    <w:p w14:paraId="1494EE5F">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11EE12DA">
      <w:pPr>
        <w:keepNext w:val="0"/>
        <w:keepLines w:val="0"/>
        <w:pageBreakBefore w:val="0"/>
        <w:widowControl/>
        <w:numPr>
          <w:ilvl w:val="-1"/>
          <w:numId w:val="0"/>
        </w:numPr>
        <w:kinsoku/>
        <w:wordWrap/>
        <w:overflowPunct/>
        <w:topLinePunct w:val="0"/>
        <w:autoSpaceDE/>
        <w:autoSpaceDN/>
        <w:bidi w:val="0"/>
        <w:adjustRightInd/>
        <w:snapToGrid/>
        <w:spacing w:after="0" w:line="220" w:lineRule="atLeast"/>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该样本检出KRAS基因c.34G&gt;T，p.G12C错义突变，该突变会引起下游信号通路的上调，从而使细胞过度生长、增殖。</w:t>
      </w:r>
      <w:r>
        <w:rPr>
          <w:rFonts w:hint="eastAsia" w:ascii="微软雅黑" w:hAnsi="微软雅黑" w:cs="Arial Unicode MS"/>
          <w:b w:val="0"/>
          <w:bCs/>
          <w:color w:val="auto"/>
          <w:kern w:val="2"/>
          <w:sz w:val="21"/>
          <w:szCs w:val="21"/>
          <w:highlight w:val="none"/>
          <w:lang w:eastAsia="zh-CN"/>
        </w:rPr>
        <w:t>携带该突变的肿瘤患者可能从</w:t>
      </w:r>
      <w:r>
        <w:rPr>
          <w:rFonts w:hint="eastAsia" w:ascii="微软雅黑" w:hAnsi="微软雅黑"/>
          <w:color w:val="auto"/>
          <w:kern w:val="1"/>
          <w:sz w:val="21"/>
          <w:szCs w:val="21"/>
          <w:highlight w:val="none"/>
          <w:lang w:eastAsia="zh-CN"/>
        </w:rPr>
        <w:t>RAS/RAF/MEK/ERK</w:t>
      </w:r>
      <w:r>
        <w:rPr>
          <w:rFonts w:hint="eastAsia" w:ascii="微软雅黑" w:hAnsi="微软雅黑"/>
          <w:color w:val="auto"/>
          <w:kern w:val="1"/>
          <w:sz w:val="21"/>
          <w:szCs w:val="21"/>
          <w:highlight w:val="none"/>
        </w:rPr>
        <w:t>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olor w:val="auto"/>
          <w:kern w:val="1"/>
          <w:sz w:val="21"/>
          <w:szCs w:val="21"/>
          <w:highlight w:val="none"/>
          <w:lang w:val="en-US" w:eastAsia="zh-CN"/>
        </w:rPr>
        <w:t>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4557DD50">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77B0FA89">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cs="Arial Unicode MS"/>
          <w:color w:val="000000" w:themeColor="text1"/>
          <w:kern w:val="2"/>
          <w:sz w:val="21"/>
          <w:szCs w:val="21"/>
          <w:highlight w:val="none"/>
          <w14:textFill>
            <w14:solidFill>
              <w14:schemeClr w14:val="tx1"/>
            </w14:solidFill>
          </w14:textFill>
        </w:rPr>
        <w:t>临床前和临床研究显示，曲美替尼对KRAS突变的非小细胞肺癌（NSCLC）患者显示出抗肿瘤活性[27100819]。一项开放、多中心、随机的Ⅱ期临床试验，旨在比较曲美替尼和多西他赛治疗晚期KRAS突变的NSCLC患者的有效性和安全性。该试验将KRAS突变型NSCLC患者随机分组，其中86例患者接受曲美替尼治疗，43例患者接受多西他赛治疗，曲美替尼组的中位PFS为12周，多西他赛组的中位PFS为11周，HR为1.14，95% CI 0.75-1.75，P=0.5197。曲美替尼组的中位总生存期为8个月，多西他赛组的中位生存期未达到，HR为0.97，95% CI 0.52-1.83，P=0.934。两组的部分缓解率均为12%（P=1.0000）。最终的试验结果表明：在治疗先前接受过治疗的KRAS突变阳性NSCLC患者时，曲美替尼组与多西他赛组的PFS以及反应率相似[NCT01362296，25722381]。除了曲美替尼单药治疗的临床研究外，在临床Ⅰb期研究中，曲美替尼分别联合吉西他滨、培美曲塞、多西他赛针对KRAS突变的NSCLC患者进行了研究，结果显示以上这些联合治疗方法证明的耐受性和临床活性值得进一步研究[NCT01428427，23583440，Kelly K et al. 2013，Gandara DR, et al. 2013，27807303]。</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0CB77BCA">
      <w:pPr>
        <w:numPr>
          <w:ilvl w:val="0"/>
          <w:numId w:val="12"/>
        </w:numPr>
        <w:spacing w:before="240" w:beforeLines="100" w:after="240" w:afterLines="100"/>
        <w:jc w:val="both"/>
        <w:rPr>
          <w:rFonts w:hint="eastAsia"/>
          <w:b/>
          <w:bCs/>
          <w:kern w:val="2"/>
          <w:highlight w:val="none"/>
        </w:rPr>
      </w:pPr>
      <w:r>
        <w:rPr>
          <w:rFonts w:hint="eastAsia" w:ascii="微软雅黑" w:hAnsi="微软雅黑" w:cs="微软雅黑"/>
          <w:b/>
          <w:bCs/>
          <w:color w:val="0000FF"/>
          <w:sz w:val="24"/>
          <w:szCs w:val="24"/>
          <w:highlight w:val="none"/>
          <w:u w:val="single"/>
        </w:rPr>
        <w:t>贝美替尼（Binimetinib）、贝美替尼+哌柏西利（Binimetinib+Palbociclib）、贝美替尼+阿培利司（Binimetinib+Alpelisib）、贝美替尼+厄洛替尼（Binimetinib+Erlotinib）</w:t>
      </w:r>
    </w:p>
    <w:p w14:paraId="7F1F2E93">
      <w:pPr>
        <w:spacing w:after="0"/>
        <w:jc w:val="both"/>
        <w:rPr>
          <w:b/>
          <w:bCs/>
          <w:kern w:val="2"/>
          <w:highlight w:val="none"/>
        </w:rPr>
      </w:pPr>
      <w:r>
        <w:rPr>
          <w:rFonts w:hint="eastAsia"/>
          <w:b/>
          <w:bCs/>
          <w:kern w:val="2"/>
          <w:highlight w:val="none"/>
        </w:rPr>
        <w:t>基因变异与药物关联分析：</w:t>
      </w:r>
    </w:p>
    <w:p w14:paraId="709DF63D">
      <w:pPr>
        <w:spacing w:after="0"/>
        <w:ind w:firstLine="400"/>
        <w:jc w:val="both"/>
        <w:rPr>
          <w:rFonts w:ascii="微软雅黑" w:hAnsi="微软雅黑" w:cs="Arial Unicode MS"/>
          <w:color w:val="000000" w:themeColor="text1"/>
          <w:kern w:val="2"/>
          <w:sz w:val="21"/>
          <w:szCs w:val="21"/>
          <w:highlight w:val="none"/>
          <w14:textFill>
            <w14:solidFill>
              <w14:schemeClr w14:val="tx1"/>
            </w14:solidFill>
          </w14:textFill>
        </w:rPr>
      </w:pPr>
      <w:r>
        <w:rPr>
          <w:rFonts w:hint="eastAsia" w:ascii="微软雅黑" w:hAnsi="微软雅黑" w:cs="微软雅黑"/>
          <w:sz w:val="21"/>
          <w:highlight w:val="none"/>
        </w:rPr>
        <w:t>该样本检出KRAS基因c.34G&gt;T，p.G12C错义突变，</w:t>
      </w:r>
      <w:r>
        <w:rPr>
          <w:rFonts w:hint="eastAsia" w:ascii="微软雅黑" w:hAnsi="微软雅黑" w:cs="Arial Unicode MS"/>
          <w:color w:val="000000" w:themeColor="text1"/>
          <w:kern w:val="2"/>
          <w:sz w:val="21"/>
          <w:szCs w:val="21"/>
          <w:highlight w:val="none"/>
          <w14:textFill>
            <w14:solidFill>
              <w14:schemeClr w14:val="tx1"/>
            </w14:solidFill>
          </w14:textFill>
        </w:rPr>
        <w:t>该突变会引起下游信号通路的上调，从而使细胞过度生长、增殖。携带该突变的肿瘤患者可能从RAS/RAF/MEK/ERK信号通路的下游MEK1/2激酶抑制剂获益。贝美替尼（MEK162）是一种MEK1/2激酶抑制剂。FDA批准贝美替尼与康奈非尼联合用于治疗BRAF V600E或V600K突变的不可切除或转移性黑色素瘤。哌柏西利是CDK4/CDK6抑制剂，FDA批准哌柏西利联合芳香酶抑制剂作为以内分泌治疗为基础的初始治疗用于绝经后HR阳性HER2阴性（HR+HER2-）的晚期或转移性乳腺癌；哌柏西利联合氟维司群用于治疗内分泌治疗后疾病进展的HR+HER2-的晚期或转移性乳腺癌。NMPA批准哌柏西利联合芳香酶抑制剂作为以内分泌治疗为基础的初始治疗，用于绝经后HR阳性HER2阴性（HR+HER2-）的晚期或转移性乳腺癌。厄洛替尼是一种表皮生长因子受体酪氨酸激酶抑制剂（EGFR-TKIs）药物。FDA批准厄洛替尼用于治疗非小细胞肺癌、胰腺癌；NMPA批准厄洛替尼用于治疗非小细胞肺癌。阿培利司是磷脂酰肌醇-3-激酶（PI3K）的抑制剂，能够抑制PI3Kα的活性。FDA批准阿培利司联合氟维司群用于治疗HR阳性、HER2阴性、PIK3CA突变的晚期或转移性乳腺癌的绝经后女性患者和男性患者。</w:t>
      </w:r>
    </w:p>
    <w:p w14:paraId="69B72489">
      <w:pPr>
        <w:spacing w:after="0"/>
        <w:jc w:val="both"/>
        <w:rPr>
          <w:rFonts w:ascii="微软雅黑" w:hAnsi="微软雅黑" w:cs="Arial Unicode MS"/>
          <w:kern w:val="2"/>
          <w:sz w:val="21"/>
          <w:szCs w:val="21"/>
          <w:highlight w:val="none"/>
        </w:rPr>
      </w:pPr>
      <w:r>
        <w:rPr>
          <w:rFonts w:hint="eastAsia"/>
          <w:b/>
          <w:bCs/>
          <w:kern w:val="2"/>
          <w:highlight w:val="none"/>
        </w:rPr>
        <w:t>药物疗效临床解析：</w:t>
      </w:r>
    </w:p>
    <w:p w14:paraId="30363FF9">
      <w:pPr>
        <w:spacing w:after="0"/>
        <w:ind w:firstLine="400"/>
        <w:jc w:val="both"/>
        <w:rPr>
          <w:rFonts w:ascii="微软雅黑" w:hAnsi="微软雅黑" w:cs="Arial Unicode MS"/>
          <w:color w:val="000000" w:themeColor="text1"/>
          <w:kern w:val="2"/>
          <w:sz w:val="21"/>
          <w:szCs w:val="21"/>
          <w:highlight w:val="none"/>
          <w14:textFill>
            <w14:solidFill>
              <w14:schemeClr w14:val="tx1"/>
            </w14:solidFill>
          </w14:textFill>
        </w:rPr>
      </w:pPr>
      <w:r>
        <w:rPr>
          <w:rFonts w:hint="eastAsia" w:ascii="微软雅黑" w:hAnsi="微软雅黑" w:cs="Arial Unicode MS"/>
          <w:color w:val="000000" w:themeColor="text1"/>
          <w:kern w:val="2"/>
          <w:sz w:val="21"/>
          <w:szCs w:val="21"/>
          <w:highlight w:val="none"/>
          <w14:textFill>
            <w14:solidFill>
              <w14:schemeClr w14:val="tx1"/>
            </w14:solidFill>
          </w14:textFill>
        </w:rPr>
        <w:t>体外研究显示，具有KRAS突变的胰腺癌细胞系对贝美替尼（MEK162）高度敏感，在敏感细胞系中贝美替尼可阻断ERK1/2，同时抑制PI3K和S6，增强p27KIP1的水平[25167228]。贝美替尼用于RAS/RAF/MEK激活实体瘤的临床试验已完成，结果显示实体瘤在第 16 周时的临床受益率（CBR）为23.1%[NCT01885195]。贝美替尼联合哌柏西利用于携带KRAS基因突变的晚期非小细胞肺癌患者的临床试验正在招募患者[NCT03170206]。一项贝美替尼联合阿培利司用于实体瘤的临床IB研究显示，58名入组的患者中，18名患者具有超过6周的疾病稳定期；其中4名具有KRAS突变的卵巢癌患者中，有3名患者局部缓解；此外，1名具有NRAS突变的黑色素瘤患者及1名具有KRAS突变的子宫内膜癌患者局部缓解[2014 ASCO Abstract 9051]。一项临床前模型研究表明，MEK抑制剂与CDK4/6抑制剂哌柏西利联合有显著的抗KRAS突变的NSCLC活性，而且有放射增敏作用，为晚期KRAS突变的NSCLC患者提供了一种潜在的治疗策略[26728409]。贝美替尼联合厄洛替尼用于携带KRAS/EGFR基因突变的非小细胞肺癌患者的临床试验正在开展，尚未招募患者[NCT01859026]。</w:t>
      </w:r>
    </w:p>
    <w:p w14:paraId="45C5B2A9">
      <w:pPr>
        <w:numPr>
          <w:ilvl w:val="0"/>
          <w:numId w:val="12"/>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r>
        <w:rPr>
          <w:rStyle w:val="23"/>
          <w:rFonts w:hint="eastAsia" w:ascii="微软雅黑" w:hAnsi="微软雅黑" w:cs="微软雅黑"/>
          <w:b/>
          <w:bCs/>
          <w:kern w:val="0"/>
          <w:sz w:val="24"/>
          <w:szCs w:val="24"/>
          <w:highlight w:val="none"/>
          <w:lang w:val="en-US" w:eastAsia="zh-CN"/>
        </w:rPr>
        <w:t>曲美木单抗+度伐利尤单抗+司美替尼（Durvalumab+</w:t>
      </w:r>
      <w:r>
        <w:rPr>
          <w:rStyle w:val="23"/>
          <w:rFonts w:hint="eastAsia" w:ascii="微软雅黑" w:hAnsi="微软雅黑" w:cs="微软雅黑"/>
          <w:b/>
          <w:bCs/>
          <w:kern w:val="0"/>
          <w:sz w:val="24"/>
          <w:szCs w:val="24"/>
          <w:highlight w:val="none"/>
          <w:lang w:eastAsia="zh-CN"/>
        </w:rPr>
        <w:t>Selumetinib</w:t>
      </w:r>
      <w:r>
        <w:rPr>
          <w:rStyle w:val="23"/>
          <w:rFonts w:hint="eastAsia" w:ascii="微软雅黑" w:hAnsi="微软雅黑" w:cs="微软雅黑"/>
          <w:b/>
          <w:bCs/>
          <w:kern w:val="0"/>
          <w:sz w:val="24"/>
          <w:szCs w:val="24"/>
          <w:highlight w:val="none"/>
          <w:lang w:val="en-US" w:eastAsia="zh-CN"/>
        </w:rPr>
        <w:t>+Tremelimumab）</w:t>
      </w:r>
    </w:p>
    <w:p w14:paraId="4E9EAF9D">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320350C6">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b/>
          <w:bCs/>
          <w:kern w:val="2"/>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该样本检出KRAS基因c.34G&gt;T，p.G12C错义突变，该突变会引起下游信号通路的上调，从而使细胞过度生长、增殖。</w:t>
      </w:r>
      <w:r>
        <w:rPr>
          <w:rFonts w:hint="eastAsia" w:ascii="微软雅黑" w:hAnsi="微软雅黑" w:cs="Arial Unicode MS"/>
          <w:b w:val="0"/>
          <w:bCs/>
          <w:color w:val="auto"/>
          <w:kern w:val="2"/>
          <w:sz w:val="21"/>
          <w:szCs w:val="21"/>
          <w:highlight w:val="none"/>
          <w:lang w:eastAsia="zh-CN"/>
        </w:rPr>
        <w:t>携带该突变的肿瘤患者可能从</w:t>
      </w:r>
      <w:r>
        <w:rPr>
          <w:rFonts w:hint="eastAsia" w:ascii="微软雅黑" w:hAnsi="微软雅黑"/>
          <w:color w:val="auto"/>
          <w:kern w:val="1"/>
          <w:sz w:val="21"/>
          <w:szCs w:val="21"/>
          <w:highlight w:val="none"/>
          <w:lang w:eastAsia="zh-CN"/>
        </w:rPr>
        <w:t>RAS/RAF/MEK/ERK</w:t>
      </w:r>
      <w:r>
        <w:rPr>
          <w:rFonts w:hint="eastAsia" w:ascii="微软雅黑" w:hAnsi="微软雅黑"/>
          <w:color w:val="auto"/>
          <w:kern w:val="1"/>
          <w:sz w:val="21"/>
          <w:szCs w:val="21"/>
          <w:highlight w:val="none"/>
        </w:rPr>
        <w:t>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eastAsia="zh-CN"/>
        </w:rPr>
        <w:t>RAS/RAF/MEK/ERK</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eastAsia="zh-CN"/>
        </w:rPr>
        <w:t>RAS/RAF/MEK/ERK</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s="Times New Roman"/>
          <w:bCs/>
          <w:color w:val="auto"/>
          <w:kern w:val="2"/>
          <w:sz w:val="21"/>
          <w:szCs w:val="21"/>
          <w:lang w:val="en-US" w:eastAsia="zh-CN"/>
        </w:rPr>
        <w:t>度伐利尤单抗是一种人免疫球蛋</w:t>
      </w:r>
      <w:r>
        <w:rPr>
          <w:rFonts w:hint="eastAsia" w:ascii="微软雅黑" w:hAnsi="微软雅黑" w:cs="Times New Roman"/>
          <w:bCs/>
          <w:color w:val="auto"/>
          <w:kern w:val="2"/>
          <w:sz w:val="21"/>
          <w:szCs w:val="21"/>
          <w:highlight w:val="none"/>
          <w:lang w:val="en-US" w:eastAsia="zh-CN"/>
        </w:rPr>
        <w:t>白单克隆抗体，已获FDA和NMPA批准用于治疗非小细胞肺癌、广泛期小细胞肺癌患者。曲美木单抗是一种CTLA-4抑制剂，FDA批准曲美木单抗联合度伐利尤单抗用于治疗不可切除的肝细胞癌成年患者。</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A312F22">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6940C69B">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5196AB04">
      <w:pPr>
        <w:spacing w:after="0"/>
        <w:ind w:firstLine="420" w:firstLineChars="200"/>
        <w:jc w:val="both"/>
        <w:rPr>
          <w:rFonts w:hint="eastAsia" w:ascii="微软雅黑" w:hAnsi="微软雅黑" w:cs="Times New Roman"/>
          <w:bCs/>
          <w:color w:val="auto"/>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bookmarkStart w:id="194" w:name="OLE_LINK63"/>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bookmarkEnd w:id="194"/>
      <w:r>
        <w:rPr>
          <w:rFonts w:hint="eastAsia" w:ascii="微软雅黑" w:hAnsi="微软雅黑" w:cs="Times New Roman"/>
          <w:bCs/>
          <w:color w:val="auto"/>
          <w:kern w:val="2"/>
          <w:sz w:val="21"/>
          <w:szCs w:val="21"/>
          <w:highlight w:val="none"/>
        </w:rPr>
        <w:t>一项使用度伐利尤单抗和曲美木单抗连续或间歇性联合MEK抑制剂司美替尼进行治疗</w:t>
      </w:r>
      <w:r>
        <w:rPr>
          <w:rFonts w:hint="eastAsia" w:ascii="微软雅黑" w:hAnsi="微软雅黑" w:cs="Times New Roman"/>
          <w:bCs/>
          <w:color w:val="auto"/>
          <w:kern w:val="2"/>
          <w:sz w:val="21"/>
          <w:szCs w:val="21"/>
          <w:highlight w:val="none"/>
          <w:lang w:eastAsia="zh-CN"/>
        </w:rPr>
        <w:t>携带</w:t>
      </w:r>
      <w:r>
        <w:rPr>
          <w:rFonts w:hint="eastAsia" w:ascii="微软雅黑" w:hAnsi="微软雅黑" w:cs="Times New Roman"/>
          <w:bCs/>
          <w:color w:val="auto"/>
          <w:kern w:val="2"/>
          <w:sz w:val="21"/>
          <w:szCs w:val="21"/>
          <w:highlight w:val="none"/>
          <w:lang w:val="en-US" w:eastAsia="zh-CN"/>
        </w:rPr>
        <w:t>KRAS基因突变的</w:t>
      </w:r>
      <w:r>
        <w:rPr>
          <w:rFonts w:hint="eastAsia" w:ascii="微软雅黑" w:hAnsi="微软雅黑" w:cs="Times New Roman"/>
          <w:bCs/>
          <w:color w:val="auto"/>
          <w:kern w:val="2"/>
          <w:sz w:val="21"/>
          <w:szCs w:val="21"/>
          <w:highlight w:val="none"/>
        </w:rPr>
        <w:t>非小细胞肺癌</w:t>
      </w:r>
      <w:r>
        <w:rPr>
          <w:rFonts w:hint="eastAsia" w:ascii="微软雅黑" w:hAnsi="微软雅黑" w:cs="Times New Roman"/>
          <w:bCs/>
          <w:color w:val="auto"/>
          <w:kern w:val="2"/>
          <w:sz w:val="21"/>
          <w:szCs w:val="21"/>
          <w:highlight w:val="none"/>
          <w:lang w:val="en-US" w:eastAsia="zh-CN"/>
        </w:rPr>
        <w:t>患者</w:t>
      </w:r>
      <w:r>
        <w:rPr>
          <w:rFonts w:hint="eastAsia" w:ascii="微软雅黑" w:hAnsi="微软雅黑" w:cs="Times New Roman"/>
          <w:bCs/>
          <w:color w:val="auto"/>
          <w:kern w:val="2"/>
          <w:sz w:val="21"/>
          <w:szCs w:val="21"/>
          <w:highlight w:val="none"/>
        </w:rPr>
        <w:t>的I/II期临床试验</w:t>
      </w:r>
      <w:r>
        <w:rPr>
          <w:rFonts w:hint="eastAsia" w:ascii="微软雅黑" w:hAnsi="微软雅黑" w:cs="Times New Roman"/>
          <w:bCs/>
          <w:color w:val="auto"/>
          <w:kern w:val="2"/>
          <w:sz w:val="21"/>
          <w:szCs w:val="21"/>
          <w:highlight w:val="none"/>
          <w:lang w:eastAsia="zh-CN"/>
        </w:rPr>
        <w:t>正在招募中</w:t>
      </w:r>
      <w:r>
        <w:rPr>
          <w:rFonts w:hint="eastAsia" w:ascii="微软雅黑" w:hAnsi="微软雅黑" w:cs="Times New Roman"/>
          <w:bCs/>
          <w:color w:val="auto"/>
          <w:kern w:val="2"/>
          <w:sz w:val="21"/>
          <w:szCs w:val="21"/>
          <w:highlight w:val="none"/>
          <w:lang w:val="en-US" w:eastAsia="zh-CN"/>
        </w:rPr>
        <w:t>[NCT03581487]。</w:t>
      </w:r>
    </w:p>
    <w:p w14:paraId="66F0FE5B">
      <w:pPr>
        <w:numPr>
          <w:ilvl w:val="0"/>
          <w:numId w:val="12"/>
        </w:numPr>
        <w:spacing w:before="240" w:beforeLines="100" w:after="240" w:afterLines="100"/>
        <w:jc w:val="both"/>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rPr>
        <w:t>安卓健（Antroquinonol）</w:t>
      </w:r>
    </w:p>
    <w:p w14:paraId="450DA46F">
      <w:pPr>
        <w:spacing w:after="0"/>
        <w:jc w:val="both"/>
        <w:rPr>
          <w:b/>
          <w:bCs/>
          <w:kern w:val="2"/>
          <w:highlight w:val="none"/>
        </w:rPr>
      </w:pPr>
      <w:r>
        <w:rPr>
          <w:rFonts w:hint="eastAsia"/>
          <w:b/>
          <w:bCs/>
          <w:kern w:val="2"/>
          <w:highlight w:val="none"/>
        </w:rPr>
        <w:t>基因变异与药物关联分析：</w:t>
      </w:r>
    </w:p>
    <w:p w14:paraId="05100B10">
      <w:pPr>
        <w:spacing w:after="0"/>
        <w:ind w:firstLine="400"/>
        <w:jc w:val="both"/>
        <w:rPr>
          <w:rFonts w:ascii="微软雅黑" w:hAnsi="微软雅黑" w:cs="Arial Unicode MS"/>
          <w:color w:val="000000" w:themeColor="text1"/>
          <w:kern w:val="2"/>
          <w:sz w:val="21"/>
          <w:szCs w:val="21"/>
          <w:highlight w:val="none"/>
          <w14:textFill>
            <w14:solidFill>
              <w14:schemeClr w14:val="tx1"/>
            </w14:solidFill>
          </w14:textFill>
        </w:rPr>
      </w:pPr>
      <w:r>
        <w:rPr>
          <w:rFonts w:hint="eastAsia" w:ascii="微软雅黑" w:hAnsi="微软雅黑" w:cs="微软雅黑"/>
          <w:sz w:val="21"/>
          <w:highlight w:val="none"/>
        </w:rPr>
        <w:t>该样本检出KRAS基因c.34G&gt;T，p.G12C错义突变，</w:t>
      </w:r>
      <w:r>
        <w:rPr>
          <w:rFonts w:hint="eastAsia" w:ascii="微软雅黑" w:hAnsi="微软雅黑" w:cs="Arial Unicode MS"/>
          <w:color w:val="000000" w:themeColor="text1"/>
          <w:kern w:val="2"/>
          <w:sz w:val="21"/>
          <w:szCs w:val="21"/>
          <w:highlight w:val="none"/>
          <w14:textFill>
            <w14:solidFill>
              <w14:schemeClr w14:val="tx1"/>
            </w14:solidFill>
          </w14:textFill>
        </w:rPr>
        <w:t>该突变会引起下游信号通路的上调，从而使细胞过度生长、增殖。安卓健是RAS基因强效抑制剂，是直接抑制RAS基因的小分子靶向药物。</w:t>
      </w:r>
    </w:p>
    <w:p w14:paraId="38767198">
      <w:pPr>
        <w:spacing w:after="0"/>
        <w:jc w:val="both"/>
        <w:rPr>
          <w:rFonts w:ascii="微软雅黑" w:hAnsi="微软雅黑" w:cs="Arial Unicode MS"/>
          <w:kern w:val="2"/>
          <w:sz w:val="21"/>
          <w:szCs w:val="21"/>
          <w:highlight w:val="none"/>
        </w:rPr>
      </w:pPr>
      <w:r>
        <w:rPr>
          <w:rFonts w:hint="eastAsia"/>
          <w:b/>
          <w:bCs/>
          <w:kern w:val="2"/>
          <w:highlight w:val="none"/>
        </w:rPr>
        <w:t>药物疗效临床解析：</w:t>
      </w:r>
    </w:p>
    <w:p w14:paraId="68927059">
      <w:pPr>
        <w:spacing w:after="0"/>
        <w:ind w:firstLine="400"/>
        <w:jc w:val="both"/>
        <w:rPr>
          <w:rFonts w:ascii="微软雅黑" w:hAnsi="微软雅黑" w:cs="Arial Unicode MS"/>
          <w:color w:val="000000" w:themeColor="text1"/>
          <w:kern w:val="2"/>
          <w:sz w:val="21"/>
          <w:szCs w:val="21"/>
          <w:highlight w:val="none"/>
          <w14:textFill>
            <w14:solidFill>
              <w14:schemeClr w14:val="tx1"/>
            </w14:solidFill>
          </w14:textFill>
        </w:rPr>
      </w:pPr>
      <w:r>
        <w:rPr>
          <w:rFonts w:hint="eastAsia" w:ascii="微软雅黑" w:hAnsi="微软雅黑" w:cs="Arial Unicode MS"/>
          <w:color w:val="000000" w:themeColor="text1"/>
          <w:kern w:val="2"/>
          <w:sz w:val="21"/>
          <w:szCs w:val="21"/>
          <w:highlight w:val="none"/>
          <w14:textFill>
            <w14:solidFill>
              <w14:schemeClr w14:val="tx1"/>
            </w14:solidFill>
          </w14:textFill>
        </w:rPr>
        <w:t>研究表明，安卓健可通过调节AMPK（腺苷酸激活蛋白激酶）或PI3K/mTOR途径抑制肺癌和肝癌细胞的生长[29130448]。有研究表明，安卓健可通过诱导多种细胞周期调节剂和线粒体抗凋亡蛋白的下调，从而增加KRAS的表达及其磷酸化。KRAS的表达上调可能通过与Bcl-xL的关联促进细胞凋亡[21840189]。一项由 Golden Biotechnology Corporation 主办、PharmaNet 协办的 I 期临床试验，旨在评估安卓健治疗非小细胞肺癌（NSCLC）患者的安全性、耐受性和疗效，从而确定安卓健的最大可耐受剂量（MTD）。该试验共招募13 例转移性非小细胞肺腺癌患者，其中 3 例患者疾病稳定，最常见的治疗相关的不良事件是腹泻、呕吐和恶心。安卓健每天给药，持续四周，显示出良好的安全性和耐受性，II 期研究的推荐剂量为每天≥600mg[NCT01134016，26807250]。一项评估安卓健用于治疗两种抗癌治疗失败后的IV期非小细胞肺癌（NSCLC）患者的疗效的临床实验，结果发现总人群1年PFS为11.4％，总人群1年OS为39.3％，总体疾病控制率为72.7%，其中，KRAS阴性为100%，KRAS阳性为50%，虽然KRAS阴性组明显优于KRAS阳性组，但安卓健仍然是KRAS阳性患者有效的药物[NCT02047344]。</w:t>
      </w:r>
    </w:p>
    <w:p w14:paraId="18B04BF4">
      <w:pPr>
        <w:keepNext w:val="0"/>
        <w:keepLines w:val="0"/>
        <w:pageBreakBefore w:val="0"/>
        <w:widowControl/>
        <w:numPr>
          <w:ilvl w:val="0"/>
          <w:numId w:val="12"/>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bookmarkStart w:id="195" w:name="安卓健（Antroquinonol）继山"/>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p>
    <w:bookmarkEnd w:id="195"/>
    <w:p w14:paraId="5F3FEE2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6B97656F">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该样本检出KRAS基因c.34G&gt;T，p.G12C错义突变</w:t>
      </w:r>
      <w:r>
        <w:rPr>
          <w:rFonts w:hint="eastAsia" w:ascii="微软雅黑" w:hAnsi="微软雅黑" w:cs="Arial Unicode MS"/>
          <w:color w:val="auto"/>
          <w:kern w:val="2"/>
          <w:sz w:val="21"/>
          <w:szCs w:val="21"/>
          <w:highlight w:val="none"/>
          <w:lang w:val="en-US" w:eastAsia="zh-CN"/>
        </w:rPr>
        <w:t>，该突变会</w:t>
      </w:r>
      <w:r>
        <w:rPr>
          <w:rFonts w:hint="eastAsia" w:ascii="微软雅黑" w:hAnsi="微软雅黑" w:eastAsia="微软雅黑" w:cs="Arial Unicode MS"/>
          <w:b w:val="0"/>
          <w:bCs/>
          <w:color w:val="auto"/>
          <w:kern w:val="2"/>
          <w:sz w:val="21"/>
          <w:szCs w:val="21"/>
          <w:highlight w:val="none"/>
        </w:rPr>
        <w:t>引起</w:t>
      </w:r>
      <w:r>
        <w:rPr>
          <w:rFonts w:hint="eastAsia" w:ascii="微软雅黑" w:hAnsi="微软雅黑" w:cs="Arial Unicode MS"/>
          <w:b w:val="0"/>
          <w:bCs/>
          <w:color w:val="auto"/>
          <w:kern w:val="2"/>
          <w:sz w:val="21"/>
          <w:szCs w:val="21"/>
          <w:highlight w:val="none"/>
          <w:lang w:eastAsia="zh-CN"/>
        </w:rPr>
        <w:t>下游信号通路</w:t>
      </w:r>
      <w:r>
        <w:rPr>
          <w:rFonts w:hint="eastAsia" w:ascii="微软雅黑" w:hAnsi="微软雅黑" w:eastAsia="微软雅黑" w:cs="Arial Unicode MS"/>
          <w:b w:val="0"/>
          <w:bCs/>
          <w:color w:val="auto"/>
          <w:kern w:val="2"/>
          <w:sz w:val="21"/>
          <w:szCs w:val="21"/>
          <w:highlight w:val="none"/>
        </w:rPr>
        <w:t>的上调，从而使细胞过度生长、增殖</w:t>
      </w:r>
      <w:r>
        <w:rPr>
          <w:rFonts w:hint="eastAsia" w:ascii="微软雅黑" w:hAnsi="微软雅黑" w:cs="Arial Unicode MS"/>
          <w:color w:val="auto"/>
          <w:kern w:val="2"/>
          <w:sz w:val="21"/>
          <w:szCs w:val="21"/>
          <w:highlight w:val="none"/>
          <w:lang w:val="en-US" w:eastAsia="zh-CN"/>
        </w:rPr>
        <w:t>。</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p>
    <w:p w14:paraId="6B296E7B">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58A9C814">
      <w:pPr>
        <w:numPr>
          <w:ilvl w:val="-1"/>
          <w:numId w:val="0"/>
        </w:numPr>
        <w:spacing w:before="0" w:after="0"/>
        <w:ind w:firstLine="420" w:firstLineChars="200"/>
        <w:jc w:val="both"/>
        <w:rPr>
          <w:rFonts w:hint="eastAsia" w:ascii="微软雅黑" w:hAnsi="微软雅黑" w:cs="Times New Roman"/>
          <w:bCs/>
          <w:color w:val="auto"/>
          <w:kern w:val="2"/>
          <w:sz w:val="21"/>
          <w:szCs w:val="21"/>
          <w:lang w:val="en-US" w:eastAsia="zh-CN"/>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p>
    <w:p w14:paraId="0591F80D">
      <w:pPr>
        <w:numPr>
          <w:ilvl w:val="0"/>
          <w:numId w:val="11"/>
        </w:numPr>
        <w:spacing w:before="200"/>
        <w:ind w:left="420" w:hanging="420"/>
        <w:jc w:val="both"/>
        <w:rPr>
          <w:rFonts w:ascii="微软雅黑" w:hAnsi="微软雅黑" w:cs="微软雅黑"/>
          <w:color w:val="FF0000"/>
          <w:kern w:val="1"/>
          <w:sz w:val="21"/>
          <w:szCs w:val="21"/>
        </w:rPr>
      </w:pPr>
      <w:r>
        <w:rPr>
          <w:rFonts w:hint="eastAsia" w:ascii="微软雅黑" w:hAnsi="微软雅黑" w:cs="微软雅黑"/>
          <w:b/>
          <w:color w:val="FF0000"/>
          <w:sz w:val="24"/>
        </w:rPr>
        <w:t>BRCA1</w:t>
      </w:r>
      <w:r>
        <w:rPr>
          <w:rFonts w:ascii="微软雅黑" w:hAnsi="微软雅黑" w:cs="微软雅黑"/>
          <w:b/>
          <w:color w:val="FF0000"/>
          <w:sz w:val="24"/>
        </w:rPr>
        <w:t>：</w:t>
      </w:r>
      <w:r>
        <w:rPr>
          <w:rFonts w:hint="eastAsia" w:ascii="微软雅黑" w:hAnsi="微软雅黑" w:cs="微软雅黑"/>
          <w:b/>
          <w:color w:val="FF0000"/>
          <w:sz w:val="24"/>
        </w:rPr>
        <w:t>c.505C&gt;T，p.Q169*</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7859A44F">
      <w:pPr>
        <w:numPr>
          <w:ilvl w:val="0"/>
          <w:numId w:val="12"/>
        </w:numPr>
        <w:spacing w:before="240" w:beforeLines="100" w:after="240" w:afterLines="100"/>
        <w:ind w:left="420" w:leftChars="0" w:hanging="420" w:firstLineChars="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尼拉帕利（Niraparib）、帕米帕利+替雷利珠单抗（Pamiparib+Tislelizumab）、芦卡帕利（Rucaparib）、他拉唑帕利（Talazoparib）、盐酸可泮利塞+奥拉帕利+度伐利尤单抗（Copanlisib+Olaparib+Durvalumab）、奥拉帕利+帕博利珠单抗（Olaparib+Pembrolizumab）、氟唑帕利（Fluzoparib）、帕米帕利（Pamiparib）、阿维鲁单抗+他拉唑帕利（Avelumab+Talazoparib）、LY2606368、他拉唑帕利+阿替利珠单抗（Talazoparib+Atezolizumab）、芦卡帕利+阿替利珠单抗（Rucaparib+Atezolizumab）、SRA737</w:t>
      </w:r>
    </w:p>
    <w:p w14:paraId="3572AA38">
      <w:pPr>
        <w:spacing w:after="0"/>
        <w:jc w:val="both"/>
        <w:rPr>
          <w:rFonts w:hint="eastAsia"/>
          <w:b/>
          <w:bCs/>
          <w:kern w:val="2"/>
        </w:rPr>
      </w:pPr>
      <w:r>
        <w:rPr>
          <w:rFonts w:hint="eastAsia"/>
          <w:b/>
          <w:bCs/>
          <w:kern w:val="2"/>
        </w:rPr>
        <w:t>基因变异与药物关联分析：</w:t>
      </w:r>
    </w:p>
    <w:p w14:paraId="610EC5E4">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该样本检出BRCA1基因c.505C&gt;T，p.Q169*无义突变，</w:t>
      </w:r>
      <w:r>
        <w:rPr>
          <w:rFonts w:hint="eastAsia" w:ascii="微软雅黑" w:hAnsi="微软雅黑" w:cs="微软雅黑"/>
          <w:sz w:val="21"/>
          <w:lang w:val="en-US" w:eastAsia="zh-CN"/>
        </w:rPr>
        <w:t>该</w:t>
      </w:r>
      <w:r>
        <w:rPr>
          <w:rFonts w:hint="eastAsia" w:ascii="微软雅黑" w:hAnsi="微软雅黑" w:eastAsia="微软雅黑" w:cs="微软雅黑"/>
          <w:snapToGrid/>
          <w:kern w:val="0"/>
          <w:sz w:val="21"/>
          <w:szCs w:val="21"/>
          <w:lang w:val="en-US" w:eastAsia="zh-CN" w:bidi="ar"/>
        </w:rPr>
        <w:t>突变导致蛋白翻译提前终止，产生截短的蛋白，可能导致蛋白功能缺失</w:t>
      </w:r>
      <w:r>
        <w:rPr>
          <w:rFonts w:hint="eastAsia" w:ascii="微软雅黑" w:hAnsi="微软雅黑" w:cs="微软雅黑"/>
          <w:sz w:val="21"/>
        </w:rPr>
        <w:t>。</w:t>
      </w:r>
      <w:r>
        <w:rPr>
          <w:rFonts w:hint="eastAsia" w:ascii="微软雅黑" w:hAnsi="微软雅黑" w:cs="Arial Unicode MS"/>
          <w:color w:val="000000" w:themeColor="text1"/>
          <w:kern w:val="2"/>
          <w:sz w:val="21"/>
          <w:szCs w:val="21"/>
          <w14:textFill>
            <w14:solidFill>
              <w14:schemeClr w14:val="tx1"/>
            </w14:solidFill>
          </w14:textFill>
        </w:rPr>
        <w:t>BRCA1或/和BRCA2缺陷的癌细胞对PARP抑制剂敏感[24579064]。因此，该患者可能从PARP抑制剂及相关抑制剂的治疗中获益。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氟唑帕利。FDA批准奥拉帕利用于卵巢癌、输卵管癌或原发性腹膜癌、胰腺癌、乳腺癌以及前列腺癌患者的治疗；NMPA批准奥拉帕利用于治疗卵巢癌和前列腺癌患者。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NMPA）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NMPA批准氟唑帕利用于治疗既往经过二线及以上化疗的伴有胚系BRCA突变（gBRCAm）的铂敏感复发性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替雷利珠单抗、盐酸可泮利塞、度伐利尤单抗、帕博利珠单抗、阿维鲁单抗、LY2606368、SRA737、阿替利珠单抗。替雷利珠单抗已获NMPA批准用于治疗经典型霍奇金淋巴瘤、尿路上皮癌、非小细胞肺癌、肝细胞癌患者。盐酸可泮利塞是一种PI3K抑制剂，已获FDA和NMPA批准用于治疗滤泡性淋巴瘤。度伐利尤单抗是一种PD-L1抑制剂，已获FDA和NMPA批准用于治疗广泛期小细胞癌、III期非小细胞肺癌患者。帕博利珠单抗已获FDA批准用于治疗黑色素瘤、转移性非小细胞肺癌、头颈部鳞状细胞癌、对卡介苗无反应的非肌层浸润性膀胱癌、微卫星不稳定性高（MSI-H）或错配修复缺陷的实体瘤等多种癌症，NMPA批准帕博利珠单抗用于治疗黑色素瘤、非小细胞肺癌患者等。阿维鲁单抗是PD-L1抑制剂，已获FDA批准用于治疗默克细胞癌、尿路上皮癌患者。LY2606368是一种ATP竞争性CHK1抑制剂，目前正处于临床期。SRA737是一种高效的口服CHK1抑制剂，目前正处于临床期。阿替利珠单抗已获FDA批准用于治疗尿路上皮癌、非小细胞癌、小细胞肺癌、肝细胞癌、黑色素瘤患者，已获NMPA批准用于治疗小细胞肺癌、肝细胞癌、非小细胞肺癌患者。</w:t>
      </w:r>
    </w:p>
    <w:p w14:paraId="4582DD1C">
      <w:pPr>
        <w:spacing w:after="0"/>
        <w:jc w:val="both"/>
        <w:rPr>
          <w:rFonts w:hint="eastAsia"/>
          <w:b/>
          <w:bCs/>
          <w:kern w:val="2"/>
        </w:rPr>
      </w:pPr>
      <w:r>
        <w:rPr>
          <w:rFonts w:hint="eastAsia"/>
          <w:b/>
          <w:bCs/>
          <w:kern w:val="2"/>
        </w:rPr>
        <w:t>药物疗效临床解析：</w:t>
      </w:r>
    </w:p>
    <w:p w14:paraId="20897C4B">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outlineLvl w:val="9"/>
        <w:rPr>
          <w:rFonts w:hint="eastAsia" w:ascii="微软雅黑" w:hAnsi="微软雅黑"/>
          <w:b/>
          <w:color w:val="00C4D8"/>
          <w:sz w:val="28"/>
          <w:szCs w:val="28"/>
          <w:lang w:val="en-US" w:eastAsia="zh-CN"/>
        </w:rPr>
      </w:pPr>
      <w:r>
        <w:rPr>
          <w:rFonts w:hint="eastAsia" w:ascii="微软雅黑" w:hAnsi="微软雅黑" w:cs="Arial Unicode MS"/>
          <w:color w:val="000000" w:themeColor="text1"/>
          <w:kern w:val="2"/>
          <w:sz w:val="21"/>
          <w:szCs w:val="21"/>
          <w14:textFill>
            <w14:solidFill>
              <w14:schemeClr w14:val="tx1"/>
            </w14:solidFill>
          </w14:textFill>
        </w:rPr>
        <w:t>奥拉帕利用于治疗具有BRCA1、BRCA2失活突变以及ATM突变或缺失的肿瘤患者的II期临床试验正在招募中[NCT02693535]。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多机构Ⅰ期剂量递增和剂量扩展试验，旨在评估尼拉帕尼联合卡铂用于治疗具有HRD（同源重组脱氧核糖核酸修复途径缺陷）的实体瘤患者的有效性和安全性。患者需通过下一代DNA测序（NGS）检测出至少一个涉及DNA损伤修复基因的突变（包括但不限于：ARID1A、ATM、ATRX、MRE11A、NBN、PTEN、RAD50/51/51B、BARD1、BLM、BRCA1、BRCA2、BRIP1、FANCA/C/D2/E/F/G/L、PALB2、WRN、CHEK2、CHEK1、BAP1、FAM175A、SLX4、MLL2 或XRCC）才能入组，目前该试验正在招募患者[NCT03209401]。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他拉唑帕利用于治疗具有ATM、BRCA1、BRCA2、PALB2、ARID1A、MER11、RAD50、NBS1、ATR基因突变的晚期恶性肿瘤患者的II期临床试验正在开展，不招募患者[NCT02286687]。阿维鲁单抗联合他拉唑帕利用于治疗具有BRCA或ATM突变的实体瘤患者的II期临床试验正在进行，暂不招募患者[NCT03565991]。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氟唑帕利本次获批是基于一项单臂、多中心临床研究的结果，该研究共入组113例既往接受过2~4次含铂方案治疗的BRCA突变复发性卵巢癌患者，研究结果显示，在103例效果可评估的患者中，氟唑帕利治疗铂敏感复发性卵巢癌患者的ORR高达69%，中位DOR长达10.2个月，中位PFS长达12.0个月，显示出出色的疗效[2019 ESMO Abstract 4168]。</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的获批是基于一项I/II期临床试验结果，该试验的关键性II期部分在中国入组了113例既往接受过至少两线标准化疗、携有BRCA1/2突变的高级别上皮性卵巢癌（OC，包括输卵管癌或原发性腹膜癌）或高级别子宫内膜上皮样癌患者。队列1纳入了90例晚期铂敏感OC（PSOC）患者，队列2纳入了23例晚期铂耐药OC（PROC）患者，截至2020年2月2日数据截止时，患者的中位随访时间为12.2个月。该研究结果显示，队列1中PSOC患者的ORR为64.6%，有8例患者实现完全缓解（CR），45例患者实现部分缓解（PRs）。疾病控制率（DCR）为95.1%，肿瘤抗原(CA)-125应答率为79.7%。队列2中PROC患者的ORR为31.6%，有6例患者实现PRs，DCR为94.7%，CA-125应答率为38.1%[Xiaohua Wu，et al]。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一项临床I/II期试验，旨在评估 SRA737 用于治疗参与DNA修复过程的基因（包括：CCNE1、MYC、BRCA1、BRCA2、FANC、TP53、RAD50、CHEK1、ATR）相关突变/扩增的晚期癌症患者的疗效，试验结果观察到大肠癌患者（PFS：1.84 个月，OS： 5.72 个月），高级别浆液性卵巢癌患者（PFS：1.94 个月，OS：6.93 个月），非小细胞肺癌患者（PFS：1.76 个月，OS：6.08 个月），前列腺癌患者（PFS：3.02 个月），头颈部鳞状细胞癌患者（PFS：3.55 个月）临床获益[NCT02797964]。</w:t>
      </w:r>
    </w:p>
    <w:p w14:paraId="7B7A350D">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eastAsia="微软雅黑" w:cs="微软雅黑"/>
          <w:b/>
          <w:bCs/>
          <w:color w:val="FF0000"/>
          <w:kern w:val="0"/>
          <w:sz w:val="24"/>
          <w:szCs w:val="24"/>
          <w:highlight w:val="none"/>
          <w:u w:val="none"/>
          <w:lang w:val="en-US" w:eastAsia="zh-CN"/>
        </w:rPr>
        <w:t>TP53：c.499C&gt;T，p.Q167*</w:t>
      </w:r>
      <w:r>
        <w:rPr>
          <w:rStyle w:val="21"/>
          <w:rFonts w:hint="eastAsia" w:ascii="微软雅黑" w:hAnsi="微软雅黑" w:cs="微软雅黑"/>
          <w:b/>
          <w:bCs/>
          <w:color w:val="FF0000"/>
          <w:sz w:val="24"/>
          <w:szCs w:val="24"/>
          <w:u w:val="none"/>
        </w:rPr>
        <w:t>突变相应靶向药物</w:t>
      </w:r>
    </w:p>
    <w:p w14:paraId="713B4139">
      <w:pPr>
        <w:numPr>
          <w:ilvl w:val="0"/>
          <w:numId w:val="13"/>
        </w:numPr>
        <w:spacing w:before="200"/>
        <w:ind w:left="420" w:leftChars="0" w:hanging="420" w:firstLineChars="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7594A28E">
      <w:pPr>
        <w:spacing w:after="0"/>
        <w:jc w:val="both"/>
        <w:rPr>
          <w:rFonts w:ascii="微软雅黑" w:hAnsi="微软雅黑" w:cs="Arial Unicode MS"/>
          <w:kern w:val="2"/>
          <w:sz w:val="21"/>
          <w:szCs w:val="21"/>
        </w:rPr>
      </w:pPr>
      <w:r>
        <w:rPr>
          <w:rFonts w:hint="eastAsia"/>
          <w:b/>
          <w:bCs/>
          <w:kern w:val="2"/>
        </w:rPr>
        <w:t>基因变异与药物关联分析：</w:t>
      </w:r>
    </w:p>
    <w:p w14:paraId="5F2108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该样本检出TP53基因c.499C&gt;T</w:t>
      </w:r>
      <w:r>
        <w:rPr>
          <w:rFonts w:hint="eastAsia" w:ascii="微软雅黑" w:hAnsi="微软雅黑" w:cs="微软雅黑"/>
          <w:sz w:val="21"/>
        </w:rPr>
        <w:t>，p.Q167*无义突变，</w:t>
      </w:r>
      <w:r>
        <w:rPr>
          <w:rFonts w:hint="eastAsia" w:ascii="微软雅黑" w:hAnsi="微软雅黑" w:cs="微软雅黑"/>
          <w:sz w:val="21"/>
          <w:lang w:val="en-US" w:eastAsia="zh-CN"/>
        </w:rPr>
        <w:t>该</w:t>
      </w:r>
      <w:r>
        <w:rPr>
          <w:rFonts w:hint="eastAsia" w:ascii="微软雅黑" w:hAnsi="微软雅黑" w:eastAsia="微软雅黑" w:cs="微软雅黑"/>
          <w:snapToGrid/>
          <w:kern w:val="0"/>
          <w:sz w:val="21"/>
          <w:szCs w:val="21"/>
          <w:lang w:val="en-US" w:eastAsia="zh-CN" w:bidi="ar"/>
        </w:rPr>
        <w:t>突变导致蛋白翻译提前终止，产生截短的蛋白，可能导致蛋白功能缺失</w:t>
      </w:r>
      <w:r>
        <w:rPr>
          <w:rFonts w:hint="eastAsia" w:ascii="微软雅黑" w:hAnsi="微软雅黑" w:cs="微软雅黑"/>
          <w:sz w:val="21"/>
        </w:rPr>
        <w:t>。</w:t>
      </w:r>
      <w:r>
        <w:rPr>
          <w:rFonts w:hint="eastAsia" w:ascii="微软雅黑" w:hAnsi="微软雅黑" w:cs="Arial Unicode MS"/>
          <w:kern w:val="2"/>
          <w:sz w:val="21"/>
          <w:szCs w:val="21"/>
          <w:lang w:val="en-US" w:eastAsia="zh-CN"/>
        </w:rPr>
        <w:t>A</w:t>
      </w:r>
      <w:r>
        <w:rPr>
          <w:rFonts w:hint="eastAsia" w:ascii="微软雅黑" w:hAnsi="微软雅黑" w:cs="Arial Unicode MS"/>
          <w:kern w:val="2"/>
          <w:sz w:val="21"/>
          <w:szCs w:val="21"/>
          <w:lang w:eastAsia="zh-CN"/>
        </w:rPr>
        <w:t>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528F4FA0">
      <w:pPr>
        <w:spacing w:after="0"/>
        <w:jc w:val="both"/>
        <w:rPr>
          <w:b/>
          <w:bCs/>
          <w:kern w:val="2"/>
        </w:rPr>
      </w:pPr>
      <w:r>
        <w:rPr>
          <w:rFonts w:hint="eastAsia"/>
          <w:b/>
          <w:bCs/>
          <w:kern w:val="2"/>
        </w:rPr>
        <w:t>药物疗效临床解析：</w:t>
      </w:r>
    </w:p>
    <w:p w14:paraId="7A978231">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E7E2DE2">
      <w:pPr>
        <w:numPr>
          <w:ilvl w:val="0"/>
          <w:numId w:val="12"/>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37B4B5DE">
      <w:pPr>
        <w:spacing w:after="0"/>
        <w:jc w:val="both"/>
        <w:rPr>
          <w:rFonts w:ascii="微软雅黑" w:hAnsi="微软雅黑" w:cs="Arial Unicode MS"/>
          <w:kern w:val="2"/>
          <w:sz w:val="21"/>
          <w:szCs w:val="21"/>
        </w:rPr>
      </w:pPr>
      <w:r>
        <w:rPr>
          <w:rFonts w:hint="eastAsia"/>
          <w:b/>
          <w:bCs/>
          <w:kern w:val="2"/>
        </w:rPr>
        <w:t>基因变异与药物关联分析：</w:t>
      </w:r>
    </w:p>
    <w:p w14:paraId="65F457BE">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该样本检出TP53基因c.499C&gt;T</w:t>
      </w:r>
      <w:r>
        <w:rPr>
          <w:rFonts w:hint="eastAsia" w:ascii="微软雅黑" w:hAnsi="微软雅黑" w:cs="微软雅黑"/>
          <w:sz w:val="21"/>
        </w:rPr>
        <w:t>，p.Q167*无义突变，</w:t>
      </w:r>
      <w:r>
        <w:rPr>
          <w:rFonts w:hint="eastAsia" w:ascii="微软雅黑" w:hAnsi="微软雅黑" w:cs="微软雅黑"/>
          <w:sz w:val="21"/>
          <w:lang w:val="en-US" w:eastAsia="zh-CN"/>
        </w:rPr>
        <w:t>该</w:t>
      </w:r>
      <w:r>
        <w:rPr>
          <w:rFonts w:hint="eastAsia" w:ascii="微软雅黑" w:hAnsi="微软雅黑" w:eastAsia="微软雅黑" w:cs="微软雅黑"/>
          <w:snapToGrid/>
          <w:kern w:val="0"/>
          <w:sz w:val="21"/>
          <w:szCs w:val="21"/>
          <w:lang w:val="en-US" w:eastAsia="zh-CN" w:bidi="ar"/>
        </w:rPr>
        <w:t>突变导致蛋白翻译提前终止，产生截短的蛋白，可能导致蛋白功能缺失</w:t>
      </w:r>
      <w:r>
        <w:rPr>
          <w:rFonts w:hint="eastAsia" w:ascii="微软雅黑" w:hAnsi="微软雅黑" w:cs="微软雅黑"/>
          <w:sz w:val="21"/>
        </w:rPr>
        <w:t>。</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0F477D9D">
      <w:pPr>
        <w:spacing w:after="0"/>
        <w:jc w:val="both"/>
        <w:rPr>
          <w:rFonts w:hint="eastAsia"/>
          <w:b/>
          <w:bCs/>
          <w:kern w:val="2"/>
        </w:rPr>
      </w:pPr>
      <w:r>
        <w:rPr>
          <w:rFonts w:hint="eastAsia"/>
          <w:b/>
          <w:bCs/>
          <w:kern w:val="2"/>
        </w:rPr>
        <w:t>药物疗效临床解析：</w:t>
      </w:r>
    </w:p>
    <w:p w14:paraId="538DB999">
      <w:pPr>
        <w:spacing w:after="0"/>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5A2457E7">
      <w:pPr>
        <w:numPr>
          <w:ilvl w:val="0"/>
          <w:numId w:val="12"/>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357EAE4D">
      <w:pPr>
        <w:spacing w:beforeLines="50" w:after="0"/>
        <w:jc w:val="both"/>
        <w:rPr>
          <w:b/>
          <w:bCs/>
          <w:kern w:val="2"/>
        </w:rPr>
      </w:pPr>
      <w:r>
        <w:rPr>
          <w:rFonts w:hint="eastAsia"/>
          <w:b/>
          <w:bCs/>
          <w:kern w:val="2"/>
        </w:rPr>
        <w:t>基因变异与药物关联分析：</w:t>
      </w:r>
    </w:p>
    <w:p w14:paraId="76DF8DB7">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该样本检出TP53基因c.499C&gt;T</w:t>
      </w:r>
      <w:r>
        <w:rPr>
          <w:rFonts w:hint="eastAsia" w:ascii="微软雅黑" w:hAnsi="微软雅黑" w:cs="微软雅黑"/>
          <w:sz w:val="21"/>
        </w:rPr>
        <w:t>，p.Q167*无义突变，</w:t>
      </w:r>
      <w:r>
        <w:rPr>
          <w:rFonts w:hint="eastAsia" w:ascii="微软雅黑" w:hAnsi="微软雅黑" w:cs="微软雅黑"/>
          <w:sz w:val="21"/>
          <w:lang w:val="en-US" w:eastAsia="zh-CN"/>
        </w:rPr>
        <w:t>该</w:t>
      </w:r>
      <w:r>
        <w:rPr>
          <w:rFonts w:hint="eastAsia" w:ascii="微软雅黑" w:hAnsi="微软雅黑" w:eastAsia="微软雅黑" w:cs="微软雅黑"/>
          <w:snapToGrid/>
          <w:kern w:val="0"/>
          <w:sz w:val="21"/>
          <w:szCs w:val="21"/>
          <w:lang w:val="en-US" w:eastAsia="zh-CN" w:bidi="ar"/>
        </w:rPr>
        <w:t>突变导致蛋白翻译提前终止，产生截短的蛋白，可能导致蛋白功能缺失</w:t>
      </w:r>
      <w:r>
        <w:rPr>
          <w:rFonts w:hint="eastAsia" w:ascii="微软雅黑" w:hAnsi="微软雅黑" w:cs="微软雅黑"/>
          <w:sz w:val="21"/>
        </w:rPr>
        <w:t>。</w:t>
      </w:r>
      <w:r>
        <w:rPr>
          <w:rFonts w:hint="eastAsia" w:ascii="微软雅黑" w:hAnsi="微软雅黑" w:cs="Arial Unicode MS"/>
          <w:kern w:val="2"/>
          <w:sz w:val="21"/>
          <w:szCs w:val="21"/>
          <w:lang w:eastAsia="zh-CN"/>
        </w:rPr>
        <w:t>Eprenetapopt（APR-246）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691E9BB9">
      <w:pPr>
        <w:spacing w:after="0"/>
        <w:jc w:val="both"/>
        <w:rPr>
          <w:b/>
          <w:bCs/>
          <w:kern w:val="2"/>
        </w:rPr>
      </w:pPr>
      <w:r>
        <w:rPr>
          <w:rFonts w:hint="eastAsia"/>
          <w:b/>
          <w:bCs/>
          <w:kern w:val="2"/>
        </w:rPr>
        <w:t>药物疗效临床解析：</w:t>
      </w:r>
    </w:p>
    <w:p w14:paraId="208E1A22">
      <w:pPr>
        <w:keepNext w:val="0"/>
        <w:keepLines w:val="0"/>
        <w:pageBreakBefore w:val="0"/>
        <w:widowControl/>
        <w:numPr>
          <w:ilvl w:val="-1"/>
          <w:numId w:val="0"/>
        </w:numPr>
        <w:kinsoku/>
        <w:wordWrap/>
        <w:overflowPunct/>
        <w:topLinePunct w:val="0"/>
        <w:autoSpaceDE/>
        <w:autoSpaceDN/>
        <w:bidi w:val="0"/>
        <w:adjustRightInd/>
        <w:snapToGrid/>
        <w:spacing w:after="0"/>
        <w:ind w:firstLine="420" w:firstLineChars="200"/>
        <w:jc w:val="both"/>
        <w:textAlignment w:val="auto"/>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57FB8F69">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Fonts w:hint="eastAsia" w:ascii="微软雅黑" w:hAnsi="微软雅黑" w:cs="微软雅黑"/>
          <w:color w:val="FF0000"/>
          <w:kern w:val="1"/>
          <w:sz w:val="24"/>
          <w:szCs w:val="24"/>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FLT3：c.2537G&gt;A</w:t>
      </w:r>
      <w:r>
        <w:rPr>
          <w:rStyle w:val="21"/>
          <w:rFonts w:hint="eastAsia" w:ascii="微软雅黑" w:hAnsi="微软雅黑" w:cs="微软雅黑"/>
          <w:b/>
          <w:bCs/>
          <w:color w:val="FF0000"/>
          <w:kern w:val="0"/>
          <w:sz w:val="24"/>
          <w:szCs w:val="24"/>
          <w:highlight w:val="none"/>
          <w:u w:val="none"/>
          <w:lang w:val="en-US" w:eastAsia="zh-CN"/>
        </w:rPr>
        <w:t>，</w:t>
      </w:r>
      <w:r>
        <w:rPr>
          <w:rStyle w:val="21"/>
          <w:rFonts w:hint="eastAsia" w:ascii="微软雅黑" w:hAnsi="微软雅黑" w:eastAsia="微软雅黑" w:cs="微软雅黑"/>
          <w:b/>
          <w:bCs/>
          <w:color w:val="FF0000"/>
          <w:kern w:val="0"/>
          <w:sz w:val="24"/>
          <w:szCs w:val="24"/>
          <w:highlight w:val="none"/>
          <w:u w:val="none"/>
          <w:lang w:val="en-US" w:eastAsia="zh-CN"/>
        </w:rPr>
        <w:t>p.G846D突变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19E38C5C">
      <w:pPr>
        <w:numPr>
          <w:ilvl w:val="0"/>
          <w:numId w:val="12"/>
        </w:numPr>
        <w:spacing w:before="181" w:beforeLines="50" w:after="181" w:afterLines="50"/>
        <w:ind w:left="420" w:leftChars="0" w:hanging="420" w:firstLineChars="0"/>
        <w:jc w:val="both"/>
        <w:rPr>
          <w:rFonts w:hint="eastAsia" w:ascii="微软雅黑" w:hAnsi="微软雅黑" w:eastAsia="微软雅黑" w:cs="微软雅黑"/>
          <w:b/>
          <w:bCs/>
          <w:sz w:val="24"/>
          <w:szCs w:val="24"/>
          <w:highlight w:val="none"/>
          <w:lang w:val="en-US" w:eastAsia="zh-CN"/>
        </w:rPr>
      </w:pPr>
      <w:bookmarkStart w:id="196" w:name="索拉菲尼（Sorafenib）叶10"/>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Style w:val="21"/>
          <w:rFonts w:hint="eastAsia" w:ascii="微软雅黑" w:hAnsi="微软雅黑" w:cs="微软雅黑"/>
          <w:b/>
          <w:bCs/>
          <w:color w:val="0000FF"/>
          <w:kern w:val="0"/>
          <w:sz w:val="24"/>
          <w:szCs w:val="24"/>
          <w:highlight w:val="none"/>
          <w:u w:val="single"/>
          <w:lang w:val="en-US" w:eastAsia="zh-CN"/>
        </w:rPr>
        <w:t>索拉非尼</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rPr>
        <w:t>Sorafenib</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eastAsia="微软雅黑" w:cs="微软雅黑"/>
          <w:b/>
          <w:bCs/>
          <w:color w:val="0000FF"/>
          <w:kern w:val="0"/>
          <w:sz w:val="24"/>
          <w:szCs w:val="24"/>
          <w:highlight w:val="none"/>
          <w:u w:val="single"/>
        </w:rPr>
        <w:fldChar w:fldCharType="end"/>
      </w:r>
      <w:bookmarkEnd w:id="196"/>
      <w:r>
        <w:rPr>
          <w:rFonts w:hint="eastAsia" w:ascii="微软雅黑" w:hAnsi="微软雅黑" w:cs="微软雅黑"/>
          <w:b/>
          <w:bCs/>
          <w:color w:val="0000FF"/>
          <w:kern w:val="0"/>
          <w:sz w:val="24"/>
          <w:szCs w:val="24"/>
          <w:highlight w:val="none"/>
          <w:u w:val="single"/>
          <w:lang w:eastAsia="zh-CN"/>
        </w:rPr>
        <w:t>、</w:t>
      </w: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Style w:val="21"/>
          <w:rFonts w:hint="eastAsia" w:ascii="微软雅黑" w:hAnsi="微软雅黑" w:cs="微软雅黑"/>
          <w:b/>
          <w:bCs/>
          <w:color w:val="0000FF"/>
          <w:sz w:val="24"/>
          <w:szCs w:val="24"/>
          <w:highlight w:val="none"/>
          <w:u w:val="single"/>
        </w:rPr>
        <w:t>舒尼替尼</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sz w:val="24"/>
          <w:szCs w:val="24"/>
          <w:highlight w:val="none"/>
          <w:u w:val="single"/>
        </w:rPr>
        <w:t>Sunitinib</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、瑞戈非尼（Regorafenib）</w:t>
      </w:r>
    </w:p>
    <w:p w14:paraId="6EA575FD">
      <w:pPr>
        <w:spacing w:beforeLines="0" w:after="0" w:afterLines="0"/>
        <w:jc w:val="both"/>
        <w:rPr>
          <w:rFonts w:hint="eastAsia"/>
          <w:b/>
          <w:bCs/>
          <w:kern w:val="2"/>
          <w:highlight w:val="none"/>
          <w:lang w:eastAsia="zh-CN"/>
        </w:rPr>
      </w:pPr>
      <w:r>
        <w:rPr>
          <w:rFonts w:hint="eastAsia"/>
          <w:b/>
          <w:bCs/>
          <w:kern w:val="2"/>
          <w:highlight w:val="none"/>
          <w:lang w:eastAsia="zh-CN"/>
        </w:rPr>
        <w:t>基因变异与药物关联分析：</w:t>
      </w:r>
    </w:p>
    <w:p w14:paraId="685BB75A">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eastAsia="微软雅黑" w:cs="Arial Unicode MS"/>
          <w:color w:val="auto"/>
          <w:kern w:val="2"/>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w:t>
      </w:r>
      <w:r>
        <w:rPr>
          <w:rFonts w:hint="eastAsia" w:ascii="微软雅黑" w:hAnsi="微软雅黑" w:cs="Arial Unicode MS"/>
          <w:color w:val="auto"/>
          <w:kern w:val="2"/>
          <w:sz w:val="21"/>
          <w:szCs w:val="21"/>
          <w:highlight w:val="none"/>
        </w:rPr>
        <w:t>c.2537G&gt;A，p.G846D</w:t>
      </w:r>
      <w:r>
        <w:rPr>
          <w:rFonts w:hint="eastAsia" w:ascii="微软雅黑" w:hAnsi="微软雅黑" w:eastAsia="微软雅黑" w:cs="Arial Unicode MS"/>
          <w:color w:val="auto"/>
          <w:kern w:val="2"/>
          <w:sz w:val="21"/>
          <w:szCs w:val="21"/>
          <w:highlight w:val="none"/>
          <w:lang w:val="en-US" w:eastAsia="zh-CN"/>
        </w:rPr>
        <w:t>错义突变，</w:t>
      </w:r>
      <w:r>
        <w:rPr>
          <w:rFonts w:hint="eastAsia" w:ascii="微软雅黑" w:hAnsi="微软雅黑" w:cs="Arial Unicode MS"/>
          <w:color w:val="auto"/>
          <w:kern w:val="2"/>
          <w:sz w:val="21"/>
          <w:szCs w:val="21"/>
          <w:highlight w:val="none"/>
        </w:rPr>
        <w:t>研究报道，该突变导致FLT3蛋白功能增加，表现在培养细胞中IL3非依赖性生长和Stat5磷酸化增加[38049555]。</w:t>
      </w:r>
      <w:r>
        <w:rPr>
          <w:rFonts w:hint="eastAsia" w:ascii="微软雅黑" w:hAnsi="微软雅黑" w:cs="Times New Roman"/>
          <w:bCs/>
          <w:kern w:val="2"/>
          <w:sz w:val="21"/>
          <w:szCs w:val="21"/>
          <w:lang w:val="en-US" w:eastAsia="zh-CN"/>
        </w:rPr>
        <w:t>FLT3基因激活突变，可能从激酶抑制剂的治疗中获益。</w:t>
      </w:r>
      <w:r>
        <w:rPr>
          <w:rFonts w:hint="eastAsia" w:ascii="微软雅黑" w:hAnsi="微软雅黑" w:eastAsia="微软雅黑" w:cs="Arial Unicode MS"/>
          <w:b w:val="0"/>
          <w:i w:val="0"/>
          <w:color w:val="auto"/>
          <w:kern w:val="2"/>
          <w:sz w:val="21"/>
          <w:szCs w:val="21"/>
          <w:highlight w:val="none"/>
          <w:lang w:val="en-US" w:eastAsia="zh-CN" w:bidi="ar"/>
        </w:rPr>
        <w:t>索拉</w:t>
      </w:r>
      <w:r>
        <w:rPr>
          <w:rFonts w:hint="eastAsia" w:ascii="微软雅黑" w:hAnsi="微软雅黑" w:cs="Arial Unicode MS"/>
          <w:b w:val="0"/>
          <w:i w:val="0"/>
          <w:color w:val="auto"/>
          <w:kern w:val="2"/>
          <w:sz w:val="21"/>
          <w:szCs w:val="21"/>
          <w:highlight w:val="none"/>
          <w:lang w:val="en-US" w:eastAsia="zh-CN" w:bidi="ar"/>
        </w:rPr>
        <w:t>非</w:t>
      </w:r>
      <w:r>
        <w:rPr>
          <w:rFonts w:hint="eastAsia" w:ascii="微软雅黑" w:hAnsi="微软雅黑" w:eastAsia="微软雅黑" w:cs="Arial Unicode MS"/>
          <w:b w:val="0"/>
          <w:i w:val="0"/>
          <w:color w:val="auto"/>
          <w:kern w:val="2"/>
          <w:sz w:val="21"/>
          <w:szCs w:val="21"/>
          <w:highlight w:val="none"/>
          <w:lang w:val="en-US" w:eastAsia="zh-CN" w:bidi="ar"/>
        </w:rPr>
        <w:t>尼是多靶点的丝氨酸/苏氨酸以及受体酪氨酸激酶抑制剂，FDA已批准</w:t>
      </w:r>
      <w:r>
        <w:rPr>
          <w:rFonts w:hint="eastAsia" w:ascii="微软雅黑" w:hAnsi="微软雅黑" w:cs="Arial Unicode MS"/>
          <w:b w:val="0"/>
          <w:i w:val="0"/>
          <w:color w:val="auto"/>
          <w:kern w:val="2"/>
          <w:sz w:val="21"/>
          <w:szCs w:val="21"/>
          <w:highlight w:val="none"/>
          <w:lang w:val="en-US" w:eastAsia="zh-CN" w:bidi="ar"/>
        </w:rPr>
        <w:t>索拉非尼</w:t>
      </w:r>
      <w:r>
        <w:rPr>
          <w:rFonts w:hint="eastAsia" w:ascii="微软雅黑" w:hAnsi="微软雅黑" w:eastAsia="微软雅黑" w:cs="Arial Unicode MS"/>
          <w:b w:val="0"/>
          <w:i w:val="0"/>
          <w:color w:val="auto"/>
          <w:kern w:val="2"/>
          <w:sz w:val="21"/>
          <w:szCs w:val="21"/>
          <w:highlight w:val="none"/>
          <w:lang w:val="en-US" w:eastAsia="zh-CN" w:bidi="ar"/>
        </w:rPr>
        <w:t>用于</w:t>
      </w:r>
      <w:r>
        <w:rPr>
          <w:rFonts w:hint="eastAsia" w:ascii="微软雅黑" w:hAnsi="微软雅黑" w:cs="Arial Unicode MS"/>
          <w:b w:val="0"/>
          <w:i w:val="0"/>
          <w:color w:val="auto"/>
          <w:kern w:val="2"/>
          <w:sz w:val="21"/>
          <w:szCs w:val="21"/>
          <w:highlight w:val="none"/>
          <w:lang w:val="en-US" w:eastAsia="zh-CN" w:bidi="ar"/>
        </w:rPr>
        <w:t>治疗</w:t>
      </w:r>
      <w:r>
        <w:rPr>
          <w:rFonts w:hint="eastAsia" w:ascii="微软雅黑" w:hAnsi="微软雅黑" w:eastAsia="微软雅黑" w:cs="Arial Unicode MS"/>
          <w:b w:val="0"/>
          <w:i w:val="0"/>
          <w:color w:val="auto"/>
          <w:kern w:val="2"/>
          <w:sz w:val="21"/>
          <w:szCs w:val="21"/>
          <w:highlight w:val="none"/>
          <w:lang w:val="en-US" w:eastAsia="zh-CN" w:bidi="ar"/>
        </w:rPr>
        <w:t>肝细胞癌</w:t>
      </w:r>
      <w:r>
        <w:rPr>
          <w:rFonts w:hint="eastAsia" w:ascii="微软雅黑" w:hAnsi="微软雅黑" w:cs="Arial Unicode MS"/>
          <w:b w:val="0"/>
          <w:i w:val="0"/>
          <w:color w:val="auto"/>
          <w:kern w:val="2"/>
          <w:sz w:val="21"/>
          <w:szCs w:val="21"/>
          <w:highlight w:val="none"/>
          <w:lang w:val="en-US" w:eastAsia="zh-CN" w:bidi="ar"/>
        </w:rPr>
        <w:t>、</w:t>
      </w:r>
      <w:r>
        <w:rPr>
          <w:rFonts w:hint="eastAsia" w:ascii="微软雅黑" w:hAnsi="微软雅黑" w:eastAsia="微软雅黑" w:cs="Arial Unicode MS"/>
          <w:b w:val="0"/>
          <w:i w:val="0"/>
          <w:color w:val="auto"/>
          <w:kern w:val="2"/>
          <w:sz w:val="21"/>
          <w:szCs w:val="21"/>
          <w:highlight w:val="none"/>
          <w:lang w:val="en-US" w:eastAsia="zh-CN" w:bidi="ar"/>
        </w:rPr>
        <w:t>晚期肾细胞癌</w:t>
      </w:r>
      <w:r>
        <w:rPr>
          <w:rFonts w:hint="eastAsia" w:ascii="微软雅黑" w:hAnsi="微软雅黑" w:cs="Arial Unicode MS"/>
          <w:b w:val="0"/>
          <w:i w:val="0"/>
          <w:color w:val="auto"/>
          <w:kern w:val="2"/>
          <w:sz w:val="21"/>
          <w:szCs w:val="21"/>
          <w:highlight w:val="none"/>
          <w:lang w:val="en-US" w:eastAsia="zh-CN" w:bidi="ar"/>
        </w:rPr>
        <w:t>、</w:t>
      </w:r>
      <w:r>
        <w:rPr>
          <w:rFonts w:hint="eastAsia" w:ascii="微软雅黑" w:hAnsi="微软雅黑" w:eastAsia="微软雅黑" w:cs="Arial Unicode MS"/>
          <w:b w:val="0"/>
          <w:i w:val="0"/>
          <w:color w:val="auto"/>
          <w:kern w:val="2"/>
          <w:sz w:val="21"/>
          <w:szCs w:val="21"/>
          <w:highlight w:val="none"/>
          <w:lang w:val="en-US" w:eastAsia="zh-CN" w:bidi="ar"/>
        </w:rPr>
        <w:t>分化型甲状腺癌</w:t>
      </w:r>
      <w:r>
        <w:rPr>
          <w:rFonts w:hint="eastAsia" w:ascii="微软雅黑" w:hAnsi="微软雅黑" w:cs="Arial Unicode MS"/>
          <w:b w:val="0"/>
          <w:bCs w:val="0"/>
          <w:color w:val="auto"/>
          <w:kern w:val="2"/>
          <w:sz w:val="21"/>
          <w:szCs w:val="21"/>
          <w:highlight w:val="none"/>
          <w:lang w:eastAsia="zh-CN"/>
        </w:rPr>
        <w:t>，</w:t>
      </w:r>
      <w:r>
        <w:rPr>
          <w:rFonts w:hint="eastAsia" w:ascii="微软雅黑" w:hAnsi="微软雅黑" w:cs="Arial Unicode MS"/>
          <w:b w:val="0"/>
          <w:bCs w:val="0"/>
          <w:color w:val="auto"/>
          <w:kern w:val="2"/>
          <w:sz w:val="21"/>
          <w:szCs w:val="21"/>
          <w:highlight w:val="none"/>
          <w:lang w:val="en-US" w:eastAsia="zh-CN"/>
        </w:rPr>
        <w:t>NMPA</w:t>
      </w:r>
      <w:r>
        <w:rPr>
          <w:rFonts w:hint="eastAsia" w:ascii="微软雅黑" w:hAnsi="微软雅黑" w:eastAsia="微软雅黑" w:cs="Arial Unicode MS"/>
          <w:b w:val="0"/>
          <w:i w:val="0"/>
          <w:color w:val="auto"/>
          <w:kern w:val="2"/>
          <w:sz w:val="21"/>
          <w:szCs w:val="21"/>
          <w:highlight w:val="none"/>
          <w:lang w:val="en-US" w:eastAsia="zh-CN" w:bidi="ar"/>
        </w:rPr>
        <w:t>已批准</w:t>
      </w:r>
      <w:r>
        <w:rPr>
          <w:rFonts w:hint="eastAsia" w:ascii="微软雅黑" w:hAnsi="微软雅黑" w:cs="Arial Unicode MS"/>
          <w:b w:val="0"/>
          <w:i w:val="0"/>
          <w:color w:val="auto"/>
          <w:kern w:val="2"/>
          <w:sz w:val="21"/>
          <w:szCs w:val="21"/>
          <w:highlight w:val="none"/>
          <w:lang w:val="en-US" w:eastAsia="zh-CN" w:bidi="ar"/>
        </w:rPr>
        <w:t>索拉非尼</w:t>
      </w:r>
      <w:r>
        <w:rPr>
          <w:rFonts w:hint="eastAsia" w:ascii="微软雅黑" w:hAnsi="微软雅黑" w:eastAsia="微软雅黑" w:cs="Arial Unicode MS"/>
          <w:b w:val="0"/>
          <w:i w:val="0"/>
          <w:color w:val="auto"/>
          <w:kern w:val="2"/>
          <w:sz w:val="21"/>
          <w:szCs w:val="21"/>
          <w:highlight w:val="none"/>
          <w:lang w:val="en-US" w:eastAsia="zh-CN" w:bidi="ar"/>
        </w:rPr>
        <w:t>用于</w:t>
      </w:r>
      <w:r>
        <w:rPr>
          <w:rFonts w:hint="eastAsia" w:ascii="微软雅黑" w:hAnsi="微软雅黑" w:cs="Arial Unicode MS"/>
          <w:color w:val="auto"/>
          <w:kern w:val="2"/>
          <w:sz w:val="21"/>
          <w:szCs w:val="21"/>
          <w:highlight w:val="none"/>
          <w:lang w:bidi="ar"/>
        </w:rPr>
        <w:t>肝细胞癌、肾癌</w:t>
      </w:r>
      <w:r>
        <w:rPr>
          <w:rFonts w:hint="eastAsia" w:ascii="微软雅黑" w:hAnsi="微软雅黑" w:cs="Arial Unicode MS"/>
          <w:kern w:val="2"/>
          <w:sz w:val="21"/>
          <w:szCs w:val="21"/>
        </w:rPr>
        <w:t>及分化型甲状腺癌</w:t>
      </w:r>
      <w:r>
        <w:rPr>
          <w:rFonts w:hint="eastAsia" w:ascii="微软雅黑" w:hAnsi="微软雅黑" w:cs="Arial Unicode MS"/>
          <w:b w:val="0"/>
          <w:i w:val="0"/>
          <w:color w:val="auto"/>
          <w:kern w:val="2"/>
          <w:sz w:val="21"/>
          <w:szCs w:val="21"/>
          <w:highlight w:val="none"/>
          <w:lang w:val="en-US" w:eastAsia="zh-CN" w:bidi="ar"/>
        </w:rPr>
        <w:t>。舒尼</w:t>
      </w:r>
      <w:r>
        <w:rPr>
          <w:rFonts w:hint="eastAsia" w:ascii="微软雅黑" w:hAnsi="微软雅黑" w:cs="Arial Unicode MS"/>
          <w:color w:val="auto"/>
          <w:kern w:val="2"/>
          <w:sz w:val="21"/>
          <w:szCs w:val="21"/>
          <w:highlight w:val="none"/>
        </w:rPr>
        <w:t>替尼是口服的多激酶抑制剂，FDA</w:t>
      </w:r>
      <w:r>
        <w:rPr>
          <w:rFonts w:hint="eastAsia" w:ascii="微软雅黑" w:hAnsi="微软雅黑" w:cs="Arial Unicode MS"/>
          <w:color w:val="auto"/>
          <w:kern w:val="2"/>
          <w:sz w:val="21"/>
          <w:szCs w:val="21"/>
          <w:highlight w:val="none"/>
          <w:lang w:val="en-US" w:eastAsia="zh-CN"/>
        </w:rPr>
        <w:t>和</w:t>
      </w:r>
      <w:r>
        <w:rPr>
          <w:rFonts w:hint="eastAsia" w:ascii="微软雅黑" w:hAnsi="微软雅黑" w:cs="Arial Unicode MS"/>
          <w:b w:val="0"/>
          <w:bCs w:val="0"/>
          <w:color w:val="auto"/>
          <w:kern w:val="2"/>
          <w:sz w:val="21"/>
          <w:szCs w:val="21"/>
          <w:highlight w:val="none"/>
          <w:lang w:val="en-US" w:eastAsia="zh-CN"/>
        </w:rPr>
        <w:t>NMPA</w:t>
      </w:r>
      <w:r>
        <w:rPr>
          <w:rFonts w:hint="eastAsia" w:ascii="微软雅黑" w:hAnsi="微软雅黑" w:cs="Arial Unicode MS"/>
          <w:color w:val="auto"/>
          <w:kern w:val="2"/>
          <w:sz w:val="21"/>
          <w:szCs w:val="21"/>
          <w:highlight w:val="none"/>
          <w:lang w:eastAsia="zh-CN"/>
        </w:rPr>
        <w:t>已</w:t>
      </w:r>
      <w:r>
        <w:rPr>
          <w:rFonts w:hint="eastAsia" w:ascii="微软雅黑" w:hAnsi="微软雅黑" w:cs="Arial Unicode MS"/>
          <w:color w:val="auto"/>
          <w:kern w:val="2"/>
          <w:sz w:val="21"/>
          <w:szCs w:val="21"/>
          <w:highlight w:val="none"/>
        </w:rPr>
        <w:t>批准</w:t>
      </w:r>
      <w:r>
        <w:rPr>
          <w:rFonts w:hint="eastAsia" w:ascii="微软雅黑" w:hAnsi="微软雅黑" w:cs="Arial Unicode MS"/>
          <w:color w:val="auto"/>
          <w:kern w:val="2"/>
          <w:sz w:val="21"/>
          <w:szCs w:val="21"/>
          <w:highlight w:val="none"/>
          <w:lang w:eastAsia="zh-CN"/>
        </w:rPr>
        <w:t>舒尼替尼用于治疗</w:t>
      </w:r>
      <w:r>
        <w:rPr>
          <w:rFonts w:hint="eastAsia" w:ascii="微软雅黑" w:hAnsi="微软雅黑" w:cs="Arial Unicode MS"/>
          <w:color w:val="auto"/>
          <w:kern w:val="2"/>
          <w:sz w:val="21"/>
          <w:szCs w:val="21"/>
          <w:highlight w:val="none"/>
        </w:rPr>
        <w:t>胃肠道间质瘤</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rPr>
        <w:t>晚期肾</w:t>
      </w:r>
      <w:r>
        <w:rPr>
          <w:rFonts w:hint="eastAsia" w:ascii="微软雅黑" w:hAnsi="微软雅黑" w:cs="Arial Unicode MS"/>
          <w:color w:val="auto"/>
          <w:kern w:val="2"/>
          <w:sz w:val="21"/>
          <w:szCs w:val="21"/>
          <w:highlight w:val="none"/>
          <w:lang w:eastAsia="zh-CN"/>
        </w:rPr>
        <w:t>细胞</w:t>
      </w:r>
      <w:r>
        <w:rPr>
          <w:rFonts w:hint="eastAsia" w:ascii="微软雅黑" w:hAnsi="微软雅黑" w:cs="Arial Unicode MS"/>
          <w:color w:val="auto"/>
          <w:kern w:val="2"/>
          <w:sz w:val="21"/>
          <w:szCs w:val="21"/>
          <w:highlight w:val="none"/>
        </w:rPr>
        <w:t>癌以及胰腺神经内分泌肿瘤</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rPr>
        <w:t>瑞戈非尼是多靶点的激酶抑制剂</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lang w:val="en-US" w:eastAsia="zh-CN"/>
        </w:rPr>
        <w:t>FDA和</w:t>
      </w:r>
      <w:r>
        <w:rPr>
          <w:rFonts w:hint="eastAsia" w:ascii="微软雅黑" w:hAnsi="微软雅黑" w:cs="Arial Unicode MS"/>
          <w:b w:val="0"/>
          <w:bCs w:val="0"/>
          <w:color w:val="auto"/>
          <w:kern w:val="2"/>
          <w:sz w:val="21"/>
          <w:szCs w:val="21"/>
          <w:highlight w:val="none"/>
          <w:lang w:val="en-US" w:eastAsia="zh-CN"/>
        </w:rPr>
        <w:t>NMPA</w:t>
      </w:r>
      <w:r>
        <w:rPr>
          <w:rFonts w:hint="eastAsia" w:ascii="微软雅黑" w:hAnsi="微软雅黑" w:cs="Arial Unicode MS"/>
          <w:color w:val="auto"/>
          <w:kern w:val="2"/>
          <w:sz w:val="21"/>
          <w:szCs w:val="21"/>
          <w:highlight w:val="none"/>
          <w:lang w:val="en-US" w:eastAsia="zh-CN"/>
        </w:rPr>
        <w:t>已批准瑞戈非尼用于治疗结直肠癌、胃肠道间质瘤、肝细胞癌。</w:t>
      </w:r>
    </w:p>
    <w:p w14:paraId="1B056709">
      <w:pPr>
        <w:spacing w:after="0"/>
        <w:jc w:val="both"/>
        <w:rPr>
          <w:rFonts w:hint="eastAsia"/>
          <w:b/>
          <w:bCs/>
          <w:kern w:val="2"/>
          <w:highlight w:val="none"/>
          <w:lang w:eastAsia="zh-CN"/>
        </w:rPr>
      </w:pPr>
      <w:r>
        <w:rPr>
          <w:rFonts w:hint="eastAsia"/>
          <w:b/>
          <w:bCs/>
          <w:kern w:val="2"/>
          <w:highlight w:val="none"/>
          <w:lang w:eastAsia="zh-CN"/>
        </w:rPr>
        <w:t>药物疗效临床解析：</w:t>
      </w:r>
    </w:p>
    <w:p w14:paraId="2646C069">
      <w:pPr>
        <w:keepNext w:val="0"/>
        <w:keepLines w:val="0"/>
        <w:pageBreakBefore w:val="0"/>
        <w:widowControl/>
        <w:numPr>
          <w:ilvl w:val="-1"/>
          <w:numId w:val="0"/>
        </w:numPr>
        <w:kinsoku/>
        <w:wordWrap/>
        <w:overflowPunct/>
        <w:topLinePunct w:val="0"/>
        <w:autoSpaceDE/>
        <w:autoSpaceDN/>
        <w:bidi w:val="0"/>
        <w:adjustRightInd/>
        <w:snapToGrid/>
        <w:spacing w:after="0"/>
        <w:ind w:firstLine="420" w:firstLineChars="200"/>
        <w:jc w:val="both"/>
        <w:textAlignment w:val="auto"/>
        <w:rPr>
          <w:rFonts w:hint="eastAsia" w:ascii="微软雅黑" w:hAnsi="微软雅黑" w:cs="Arial Unicode MS"/>
          <w:kern w:val="2"/>
          <w:sz w:val="21"/>
          <w:szCs w:val="21"/>
          <w:lang w:val="en-US" w:eastAsia="zh-CN"/>
        </w:rPr>
      </w:pPr>
      <w:r>
        <w:rPr>
          <w:rFonts w:hint="eastAsia" w:ascii="微软雅黑" w:hAnsi="微软雅黑" w:cs="Arial Unicode MS"/>
          <w:bCs/>
          <w:color w:val="auto"/>
          <w:kern w:val="2"/>
          <w:sz w:val="21"/>
          <w:szCs w:val="21"/>
          <w:highlight w:val="none"/>
          <w:lang w:bidi="ar"/>
        </w:rPr>
        <w:t>研究显示，在急性髓性白血病中</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FLT3激活突变对索拉</w:t>
      </w:r>
      <w:r>
        <w:rPr>
          <w:rFonts w:hint="eastAsia" w:ascii="微软雅黑" w:hAnsi="微软雅黑" w:cs="Arial Unicode MS"/>
          <w:b w:val="0"/>
          <w:i w:val="0"/>
          <w:color w:val="auto"/>
          <w:kern w:val="2"/>
          <w:sz w:val="21"/>
          <w:szCs w:val="21"/>
          <w:highlight w:val="none"/>
          <w:lang w:val="en-US" w:eastAsia="zh-CN" w:bidi="ar"/>
        </w:rPr>
        <w:t>非</w:t>
      </w:r>
      <w:r>
        <w:rPr>
          <w:rFonts w:hint="eastAsia" w:ascii="微软雅黑" w:hAnsi="微软雅黑" w:cs="Arial Unicode MS"/>
          <w:bCs/>
          <w:color w:val="auto"/>
          <w:kern w:val="2"/>
          <w:sz w:val="21"/>
          <w:szCs w:val="21"/>
          <w:highlight w:val="none"/>
          <w:lang w:bidi="ar"/>
        </w:rPr>
        <w:t>尼和舒尼替尼敏感</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23969938</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15459012</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w:t>
      </w:r>
      <w:r>
        <w:rPr>
          <w:rFonts w:hint="eastAsia" w:ascii="微软雅黑" w:hAnsi="微软雅黑" w:cs="Arial Unicode MS"/>
          <w:bCs/>
          <w:color w:val="auto"/>
          <w:kern w:val="2"/>
          <w:sz w:val="21"/>
          <w:szCs w:val="21"/>
          <w:highlight w:val="none"/>
          <w:lang w:eastAsia="zh-CN" w:bidi="ar"/>
        </w:rPr>
        <w:t>病例研究报道，</w:t>
      </w:r>
      <w:r>
        <w:rPr>
          <w:rFonts w:hint="eastAsia" w:ascii="微软雅黑" w:hAnsi="微软雅黑" w:cs="Arial Unicode MS"/>
          <w:bCs/>
          <w:color w:val="auto"/>
          <w:kern w:val="2"/>
          <w:sz w:val="21"/>
          <w:szCs w:val="21"/>
          <w:highlight w:val="none"/>
          <w:lang w:bidi="ar"/>
        </w:rPr>
        <w:t>1例直肠癌患者</w:t>
      </w:r>
      <w:r>
        <w:rPr>
          <w:rFonts w:hint="eastAsia" w:ascii="微软雅黑" w:hAnsi="微软雅黑" w:cs="Arial Unicode MS"/>
          <w:bCs/>
          <w:color w:val="auto"/>
          <w:kern w:val="2"/>
          <w:sz w:val="21"/>
          <w:szCs w:val="21"/>
          <w:highlight w:val="none"/>
          <w:lang w:eastAsia="zh-CN" w:bidi="ar"/>
        </w:rPr>
        <w:t>检出6个基因变异（FLT3扩增、</w:t>
      </w:r>
      <w:r>
        <w:rPr>
          <w:rFonts w:hint="eastAsia" w:ascii="微软雅黑" w:hAnsi="微软雅黑" w:cs="Arial Unicode MS"/>
          <w:bCs/>
          <w:color w:val="auto"/>
          <w:kern w:val="2"/>
          <w:sz w:val="21"/>
          <w:szCs w:val="21"/>
          <w:highlight w:val="none"/>
          <w:lang w:bidi="ar"/>
        </w:rPr>
        <w:t>KRAS激活突变和CDK8扩增</w:t>
      </w:r>
      <w:r>
        <w:rPr>
          <w:rFonts w:hint="eastAsia" w:ascii="微软雅黑" w:hAnsi="微软雅黑" w:cs="Arial Unicode MS"/>
          <w:bCs/>
          <w:color w:val="auto"/>
          <w:kern w:val="2"/>
          <w:sz w:val="21"/>
          <w:szCs w:val="21"/>
          <w:highlight w:val="none"/>
          <w:lang w:eastAsia="zh-CN" w:bidi="ar"/>
        </w:rPr>
        <w:t>等），</w:t>
      </w:r>
      <w:r>
        <w:rPr>
          <w:rFonts w:hint="eastAsia" w:ascii="微软雅黑" w:hAnsi="微软雅黑" w:cs="Arial Unicode MS"/>
          <w:bCs/>
          <w:color w:val="auto"/>
          <w:kern w:val="2"/>
          <w:sz w:val="21"/>
          <w:szCs w:val="21"/>
          <w:highlight w:val="none"/>
          <w:lang w:bidi="ar"/>
        </w:rPr>
        <w:t>接受索拉</w:t>
      </w:r>
      <w:r>
        <w:rPr>
          <w:rFonts w:hint="eastAsia" w:ascii="微软雅黑" w:hAnsi="微软雅黑" w:cs="Arial Unicode MS"/>
          <w:b w:val="0"/>
          <w:i w:val="0"/>
          <w:color w:val="auto"/>
          <w:kern w:val="2"/>
          <w:sz w:val="21"/>
          <w:szCs w:val="21"/>
          <w:highlight w:val="none"/>
          <w:lang w:val="en-US" w:eastAsia="zh-CN" w:bidi="ar"/>
        </w:rPr>
        <w:t>非</w:t>
      </w:r>
      <w:r>
        <w:rPr>
          <w:rFonts w:hint="eastAsia" w:ascii="微软雅黑" w:hAnsi="微软雅黑" w:cs="Arial Unicode MS"/>
          <w:bCs/>
          <w:color w:val="auto"/>
          <w:kern w:val="2"/>
          <w:sz w:val="21"/>
          <w:szCs w:val="21"/>
          <w:highlight w:val="none"/>
          <w:lang w:bidi="ar"/>
        </w:rPr>
        <w:t>尼治疗，治疗</w:t>
      </w:r>
      <w:r>
        <w:rPr>
          <w:rFonts w:hint="eastAsia" w:ascii="微软雅黑" w:hAnsi="微软雅黑" w:cs="Arial Unicode MS"/>
          <w:bCs/>
          <w:color w:val="auto"/>
          <w:kern w:val="2"/>
          <w:sz w:val="21"/>
          <w:szCs w:val="21"/>
          <w:highlight w:val="none"/>
          <w:lang w:eastAsia="zh-CN" w:bidi="ar"/>
        </w:rPr>
        <w:t>后</w:t>
      </w:r>
      <w:r>
        <w:rPr>
          <w:rFonts w:hint="eastAsia" w:ascii="微软雅黑" w:hAnsi="微软雅黑" w:cs="Arial Unicode MS"/>
          <w:bCs/>
          <w:color w:val="auto"/>
          <w:kern w:val="2"/>
          <w:sz w:val="21"/>
          <w:szCs w:val="21"/>
          <w:highlight w:val="none"/>
          <w:lang w:bidi="ar"/>
        </w:rPr>
        <w:t>7天内，该患者脑部病变快速改善，</w:t>
      </w:r>
      <w:r>
        <w:rPr>
          <w:rFonts w:hint="eastAsia" w:ascii="微软雅黑" w:hAnsi="微软雅黑" w:cs="Arial Unicode MS"/>
          <w:bCs/>
          <w:color w:val="auto"/>
          <w:kern w:val="2"/>
          <w:sz w:val="21"/>
          <w:szCs w:val="21"/>
          <w:highlight w:val="none"/>
          <w:lang w:eastAsia="zh-CN" w:bidi="ar"/>
        </w:rPr>
        <w:t>提示</w:t>
      </w:r>
      <w:r>
        <w:rPr>
          <w:rFonts w:hint="eastAsia" w:ascii="微软雅黑" w:hAnsi="微软雅黑" w:cs="Arial Unicode MS"/>
          <w:bCs/>
          <w:color w:val="auto"/>
          <w:kern w:val="2"/>
          <w:sz w:val="21"/>
          <w:szCs w:val="21"/>
          <w:highlight w:val="none"/>
          <w:lang w:bidi="ar"/>
        </w:rPr>
        <w:t>索拉</w:t>
      </w:r>
      <w:r>
        <w:rPr>
          <w:rFonts w:hint="eastAsia" w:ascii="微软雅黑" w:hAnsi="微软雅黑" w:cs="Arial Unicode MS"/>
          <w:b w:val="0"/>
          <w:i w:val="0"/>
          <w:color w:val="auto"/>
          <w:kern w:val="2"/>
          <w:sz w:val="21"/>
          <w:szCs w:val="21"/>
          <w:highlight w:val="none"/>
          <w:lang w:val="en-US" w:eastAsia="zh-CN" w:bidi="ar"/>
        </w:rPr>
        <w:t>非</w:t>
      </w:r>
      <w:r>
        <w:rPr>
          <w:rFonts w:hint="eastAsia" w:ascii="微软雅黑" w:hAnsi="微软雅黑" w:cs="Arial Unicode MS"/>
          <w:bCs/>
          <w:color w:val="auto"/>
          <w:kern w:val="2"/>
          <w:sz w:val="21"/>
          <w:szCs w:val="21"/>
          <w:highlight w:val="none"/>
          <w:lang w:bidi="ar"/>
        </w:rPr>
        <w:t>尼对FLT3</w:t>
      </w:r>
      <w:r>
        <w:rPr>
          <w:rFonts w:hint="eastAsia" w:ascii="微软雅黑" w:hAnsi="微软雅黑" w:cs="Arial Unicode MS"/>
          <w:bCs/>
          <w:color w:val="auto"/>
          <w:kern w:val="2"/>
          <w:sz w:val="21"/>
          <w:szCs w:val="21"/>
          <w:highlight w:val="none"/>
          <w:lang w:eastAsia="zh-CN" w:bidi="ar"/>
        </w:rPr>
        <w:t>激活突变</w:t>
      </w:r>
      <w:r>
        <w:rPr>
          <w:rFonts w:hint="eastAsia" w:ascii="微软雅黑" w:hAnsi="微软雅黑" w:cs="Arial Unicode MS"/>
          <w:bCs/>
          <w:color w:val="auto"/>
          <w:kern w:val="2"/>
          <w:sz w:val="21"/>
          <w:szCs w:val="21"/>
          <w:highlight w:val="none"/>
          <w:lang w:bidi="ar"/>
        </w:rPr>
        <w:t>的结直肠癌</w:t>
      </w:r>
      <w:r>
        <w:rPr>
          <w:rFonts w:hint="eastAsia" w:ascii="微软雅黑" w:hAnsi="微软雅黑" w:cs="Arial Unicode MS"/>
          <w:bCs/>
          <w:color w:val="auto"/>
          <w:kern w:val="2"/>
          <w:sz w:val="21"/>
          <w:szCs w:val="21"/>
          <w:highlight w:val="none"/>
          <w:lang w:eastAsia="zh-CN" w:bidi="ar"/>
        </w:rPr>
        <w:t>患者</w:t>
      </w:r>
      <w:r>
        <w:rPr>
          <w:rFonts w:hint="eastAsia" w:ascii="微软雅黑" w:hAnsi="微软雅黑" w:cs="Arial Unicode MS"/>
          <w:bCs/>
          <w:color w:val="auto"/>
          <w:kern w:val="2"/>
          <w:sz w:val="21"/>
          <w:szCs w:val="21"/>
          <w:highlight w:val="none"/>
          <w:lang w:bidi="ar"/>
        </w:rPr>
        <w:t>可能具有疗效</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25848357</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。一项临床</w:t>
      </w:r>
      <w:r>
        <w:rPr>
          <w:rFonts w:hint="eastAsia" w:ascii="微软雅黑" w:hAnsi="微软雅黑" w:cs="Arial Unicode MS"/>
          <w:bCs/>
          <w:color w:val="auto"/>
          <w:kern w:val="2"/>
          <w:sz w:val="21"/>
          <w:szCs w:val="21"/>
          <w:highlight w:val="none"/>
          <w:lang w:bidi="ar"/>
        </w:rPr>
        <w:fldChar w:fldCharType="begin"/>
      </w:r>
      <w:r>
        <w:rPr>
          <w:rFonts w:hint="eastAsia" w:ascii="微软雅黑" w:hAnsi="微软雅黑" w:cs="Arial Unicode MS"/>
          <w:bCs/>
          <w:color w:val="auto"/>
          <w:kern w:val="2"/>
          <w:sz w:val="21"/>
          <w:szCs w:val="21"/>
          <w:highlight w:val="none"/>
          <w:lang w:bidi="ar"/>
        </w:rPr>
        <w:instrText xml:space="preserve"> = 2 \* ROMAN \* MERGEFORMAT </w:instrText>
      </w:r>
      <w:r>
        <w:rPr>
          <w:rFonts w:hint="eastAsia" w:ascii="微软雅黑" w:hAnsi="微软雅黑" w:cs="Arial Unicode MS"/>
          <w:bCs/>
          <w:color w:val="auto"/>
          <w:kern w:val="2"/>
          <w:sz w:val="21"/>
          <w:szCs w:val="21"/>
          <w:highlight w:val="none"/>
          <w:lang w:bidi="ar"/>
        </w:rPr>
        <w:fldChar w:fldCharType="separate"/>
      </w:r>
      <w:r>
        <w:t>II</w:t>
      </w:r>
      <w:r>
        <w:rPr>
          <w:rFonts w:hint="eastAsia" w:ascii="微软雅黑" w:hAnsi="微软雅黑" w:cs="Arial Unicode MS"/>
          <w:bCs/>
          <w:color w:val="auto"/>
          <w:kern w:val="2"/>
          <w:sz w:val="21"/>
          <w:szCs w:val="21"/>
          <w:highlight w:val="none"/>
          <w:lang w:bidi="ar"/>
        </w:rPr>
        <w:fldChar w:fldCharType="end"/>
      </w:r>
      <w:r>
        <w:rPr>
          <w:rFonts w:hint="eastAsia" w:ascii="微软雅黑" w:hAnsi="微软雅黑" w:cs="Arial Unicode MS"/>
          <w:bCs/>
          <w:color w:val="auto"/>
          <w:kern w:val="2"/>
          <w:sz w:val="21"/>
          <w:szCs w:val="21"/>
          <w:highlight w:val="none"/>
          <w:lang w:eastAsia="zh-CN" w:bidi="ar"/>
        </w:rPr>
        <w:t>期</w:t>
      </w:r>
      <w:r>
        <w:rPr>
          <w:rFonts w:hint="eastAsia" w:ascii="微软雅黑" w:hAnsi="微软雅黑" w:cs="Arial Unicode MS"/>
          <w:bCs/>
          <w:color w:val="auto"/>
          <w:kern w:val="2"/>
          <w:sz w:val="21"/>
          <w:szCs w:val="21"/>
          <w:highlight w:val="none"/>
          <w:lang w:bidi="ar"/>
        </w:rPr>
        <w:t>试验</w:t>
      </w:r>
      <w:r>
        <w:rPr>
          <w:rFonts w:hint="eastAsia" w:ascii="微软雅黑" w:hAnsi="微软雅黑" w:cs="Arial Unicode MS"/>
          <w:bCs/>
          <w:color w:val="auto"/>
          <w:kern w:val="2"/>
          <w:sz w:val="21"/>
          <w:szCs w:val="21"/>
          <w:highlight w:val="none"/>
          <w:lang w:eastAsia="zh-CN" w:bidi="ar"/>
        </w:rPr>
        <w:t>旨在评估</w:t>
      </w:r>
      <w:r>
        <w:rPr>
          <w:rFonts w:hint="eastAsia" w:ascii="微软雅黑" w:hAnsi="微软雅黑" w:cs="Arial Unicode MS"/>
          <w:bCs/>
          <w:color w:val="auto"/>
          <w:kern w:val="2"/>
          <w:sz w:val="21"/>
          <w:szCs w:val="21"/>
          <w:highlight w:val="none"/>
          <w:lang w:bidi="ar"/>
        </w:rPr>
        <w:t>索拉</w:t>
      </w:r>
      <w:r>
        <w:rPr>
          <w:rFonts w:hint="eastAsia" w:ascii="微软雅黑" w:hAnsi="微软雅黑" w:cs="Arial Unicode MS"/>
          <w:b w:val="0"/>
          <w:i w:val="0"/>
          <w:color w:val="auto"/>
          <w:kern w:val="2"/>
          <w:sz w:val="21"/>
          <w:szCs w:val="21"/>
          <w:highlight w:val="none"/>
          <w:lang w:val="en-US" w:eastAsia="zh-CN" w:bidi="ar"/>
        </w:rPr>
        <w:t>非</w:t>
      </w:r>
      <w:r>
        <w:rPr>
          <w:rFonts w:hint="eastAsia" w:ascii="微软雅黑" w:hAnsi="微软雅黑" w:cs="Arial Unicode MS"/>
          <w:bCs/>
          <w:color w:val="auto"/>
          <w:kern w:val="2"/>
          <w:sz w:val="21"/>
          <w:szCs w:val="21"/>
          <w:highlight w:val="none"/>
          <w:lang w:bidi="ar"/>
        </w:rPr>
        <w:t>尼联合卡培他滨用于接受过治疗的转移</w:t>
      </w:r>
      <w:r>
        <w:rPr>
          <w:rFonts w:hint="eastAsia" w:ascii="微软雅黑" w:hAnsi="微软雅黑" w:cs="Arial Unicode MS"/>
          <w:bCs/>
          <w:color w:val="auto"/>
          <w:kern w:val="2"/>
          <w:sz w:val="21"/>
          <w:szCs w:val="21"/>
          <w:highlight w:val="none"/>
          <w:lang w:eastAsia="zh-CN" w:bidi="ar"/>
        </w:rPr>
        <w:t>性</w:t>
      </w:r>
      <w:r>
        <w:rPr>
          <w:rFonts w:hint="eastAsia" w:ascii="微软雅黑" w:hAnsi="微软雅黑" w:cs="Arial Unicode MS"/>
          <w:bCs/>
          <w:color w:val="auto"/>
          <w:kern w:val="2"/>
          <w:sz w:val="21"/>
          <w:szCs w:val="21"/>
          <w:highlight w:val="none"/>
          <w:lang w:bidi="ar"/>
        </w:rPr>
        <w:t>结肠癌患者的</w:t>
      </w:r>
      <w:r>
        <w:rPr>
          <w:rFonts w:hint="eastAsia" w:ascii="微软雅黑" w:hAnsi="微软雅黑" w:cs="Arial Unicode MS"/>
          <w:bCs/>
          <w:color w:val="auto"/>
          <w:kern w:val="2"/>
          <w:sz w:val="21"/>
          <w:szCs w:val="21"/>
          <w:highlight w:val="none"/>
          <w:lang w:eastAsia="zh-CN" w:bidi="ar"/>
        </w:rPr>
        <w:t>临床获益情况，</w:t>
      </w:r>
      <w:r>
        <w:rPr>
          <w:rFonts w:hint="eastAsia" w:ascii="微软雅黑" w:hAnsi="微软雅黑" w:cs="Arial Unicode MS"/>
          <w:bCs/>
          <w:color w:val="auto"/>
          <w:kern w:val="2"/>
          <w:sz w:val="21"/>
          <w:szCs w:val="21"/>
          <w:highlight w:val="none"/>
          <w:lang w:val="en-US" w:eastAsia="zh-CN" w:bidi="ar"/>
        </w:rPr>
        <w:t>42例可用于评估的</w:t>
      </w:r>
      <w:r>
        <w:rPr>
          <w:rFonts w:hint="eastAsia" w:ascii="微软雅黑" w:hAnsi="微软雅黑" w:cs="Arial Unicode MS"/>
          <w:bCs/>
          <w:color w:val="auto"/>
          <w:kern w:val="2"/>
          <w:sz w:val="21"/>
          <w:szCs w:val="21"/>
          <w:highlight w:val="none"/>
          <w:lang w:bidi="ar"/>
        </w:rPr>
        <w:t>患者</w:t>
      </w:r>
      <w:r>
        <w:rPr>
          <w:rFonts w:hint="eastAsia" w:ascii="微软雅黑" w:hAnsi="微软雅黑" w:cs="Arial Unicode MS"/>
          <w:bCs/>
          <w:color w:val="auto"/>
          <w:kern w:val="2"/>
          <w:sz w:val="21"/>
          <w:szCs w:val="21"/>
          <w:highlight w:val="none"/>
          <w:lang w:eastAsia="zh-CN" w:bidi="ar"/>
        </w:rPr>
        <w:t>结果显示</w:t>
      </w:r>
      <w:r>
        <w:rPr>
          <w:rFonts w:hint="eastAsia" w:ascii="微软雅黑" w:hAnsi="微软雅黑" w:cs="Arial Unicode MS"/>
          <w:bCs/>
          <w:color w:val="auto"/>
          <w:kern w:val="2"/>
          <w:sz w:val="21"/>
          <w:szCs w:val="21"/>
          <w:highlight w:val="none"/>
          <w:lang w:bidi="ar"/>
        </w:rPr>
        <w:t>，中位PFS</w:t>
      </w:r>
      <w:r>
        <w:rPr>
          <w:rFonts w:hint="eastAsia" w:ascii="微软雅黑" w:hAnsi="微软雅黑" w:cs="Arial Unicode MS"/>
          <w:bCs/>
          <w:color w:val="auto"/>
          <w:kern w:val="2"/>
          <w:sz w:val="21"/>
          <w:szCs w:val="21"/>
          <w:highlight w:val="none"/>
          <w:lang w:eastAsia="zh-CN" w:bidi="ar"/>
        </w:rPr>
        <w:t>为</w:t>
      </w:r>
      <w:r>
        <w:rPr>
          <w:rFonts w:hint="eastAsia" w:ascii="微软雅黑" w:hAnsi="微软雅黑" w:cs="Arial Unicode MS"/>
          <w:bCs/>
          <w:color w:val="auto"/>
          <w:kern w:val="2"/>
          <w:sz w:val="21"/>
          <w:szCs w:val="21"/>
          <w:highlight w:val="none"/>
          <w:lang w:bidi="ar"/>
        </w:rPr>
        <w:t>123天</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val="en-US" w:eastAsia="zh-CN" w:bidi="ar"/>
        </w:rPr>
        <w:t>95%CI：62-132</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，中位OS</w:t>
      </w:r>
      <w:r>
        <w:rPr>
          <w:rFonts w:hint="eastAsia" w:ascii="微软雅黑" w:hAnsi="微软雅黑" w:cs="Arial Unicode MS"/>
          <w:bCs/>
          <w:color w:val="auto"/>
          <w:kern w:val="2"/>
          <w:sz w:val="21"/>
          <w:szCs w:val="21"/>
          <w:highlight w:val="none"/>
          <w:lang w:eastAsia="zh-CN" w:bidi="ar"/>
        </w:rPr>
        <w:t>为</w:t>
      </w:r>
      <w:r>
        <w:rPr>
          <w:rFonts w:hint="eastAsia" w:ascii="微软雅黑" w:hAnsi="微软雅黑" w:cs="Arial Unicode MS"/>
          <w:bCs/>
          <w:color w:val="auto"/>
          <w:kern w:val="2"/>
          <w:sz w:val="21"/>
          <w:szCs w:val="21"/>
          <w:highlight w:val="none"/>
          <w:lang w:bidi="ar"/>
        </w:rPr>
        <w:t>261天</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val="en-US" w:eastAsia="zh-CN" w:bidi="ar"/>
        </w:rPr>
        <w:t>95%CI：132-370</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NCT01471353</w:t>
      </w:r>
      <w:r>
        <w:rPr>
          <w:rFonts w:hint="eastAsia" w:ascii="微软雅黑" w:hAnsi="微软雅黑" w:cs="Arial Unicode MS"/>
          <w:bCs/>
          <w:color w:val="auto"/>
          <w:kern w:val="2"/>
          <w:sz w:val="21"/>
          <w:szCs w:val="21"/>
          <w:highlight w:val="none"/>
          <w:lang w:eastAsia="zh-CN" w:bidi="ar"/>
        </w:rPr>
        <w:t>]。索拉非尼用于治疗具有</w:t>
      </w:r>
      <w:r>
        <w:rPr>
          <w:rFonts w:hint="eastAsia" w:ascii="微软雅黑" w:hAnsi="微软雅黑" w:cs="Arial Unicode MS"/>
          <w:bCs/>
          <w:color w:val="auto"/>
          <w:kern w:val="2"/>
          <w:sz w:val="21"/>
          <w:szCs w:val="21"/>
          <w:highlight w:val="none"/>
          <w:lang w:val="en-US" w:eastAsia="zh-CN" w:bidi="ar"/>
        </w:rPr>
        <w:t>FLT3突变或扩增的恶性实体瘤的临床</w:t>
      </w:r>
      <w:r>
        <w:rPr>
          <w:rFonts w:hint="eastAsia" w:ascii="微软雅黑" w:hAnsi="微软雅黑" w:cs="Arial Unicode MS"/>
          <w:bCs/>
          <w:color w:val="auto"/>
          <w:kern w:val="2"/>
          <w:sz w:val="21"/>
          <w:szCs w:val="21"/>
          <w:highlight w:val="none"/>
          <w:lang w:bidi="ar"/>
        </w:rPr>
        <w:fldChar w:fldCharType="begin"/>
      </w:r>
      <w:r>
        <w:rPr>
          <w:rFonts w:hint="eastAsia" w:ascii="微软雅黑" w:hAnsi="微软雅黑" w:cs="Arial Unicode MS"/>
          <w:bCs/>
          <w:color w:val="auto"/>
          <w:kern w:val="2"/>
          <w:sz w:val="21"/>
          <w:szCs w:val="21"/>
          <w:highlight w:val="none"/>
          <w:lang w:bidi="ar"/>
        </w:rPr>
        <w:instrText xml:space="preserve"> = 2 \* ROMAN \* MERGEFORMAT </w:instrText>
      </w:r>
      <w:r>
        <w:rPr>
          <w:rFonts w:hint="eastAsia" w:ascii="微软雅黑" w:hAnsi="微软雅黑" w:cs="Arial Unicode MS"/>
          <w:bCs/>
          <w:color w:val="auto"/>
          <w:kern w:val="2"/>
          <w:sz w:val="21"/>
          <w:szCs w:val="21"/>
          <w:highlight w:val="none"/>
          <w:lang w:bidi="ar"/>
        </w:rPr>
        <w:fldChar w:fldCharType="separate"/>
      </w:r>
      <w:r>
        <w:t>II</w:t>
      </w:r>
      <w:r>
        <w:rPr>
          <w:rFonts w:hint="eastAsia" w:ascii="微软雅黑" w:hAnsi="微软雅黑" w:cs="Arial Unicode MS"/>
          <w:bCs/>
          <w:color w:val="auto"/>
          <w:kern w:val="2"/>
          <w:sz w:val="21"/>
          <w:szCs w:val="21"/>
          <w:highlight w:val="none"/>
          <w:lang w:bidi="ar"/>
        </w:rPr>
        <w:fldChar w:fldCharType="end"/>
      </w:r>
      <w:r>
        <w:rPr>
          <w:rFonts w:hint="eastAsia" w:ascii="微软雅黑" w:hAnsi="微软雅黑" w:cs="Arial Unicode MS"/>
          <w:bCs/>
          <w:color w:val="auto"/>
          <w:kern w:val="2"/>
          <w:sz w:val="21"/>
          <w:szCs w:val="21"/>
          <w:highlight w:val="none"/>
          <w:lang w:eastAsia="zh-CN" w:bidi="ar"/>
        </w:rPr>
        <w:t>期</w:t>
      </w:r>
      <w:r>
        <w:rPr>
          <w:rFonts w:hint="eastAsia" w:ascii="微软雅黑" w:hAnsi="微软雅黑" w:cs="Arial Unicode MS"/>
          <w:bCs/>
          <w:color w:val="auto"/>
          <w:kern w:val="2"/>
          <w:sz w:val="21"/>
          <w:szCs w:val="21"/>
          <w:highlight w:val="none"/>
          <w:lang w:bidi="ar"/>
        </w:rPr>
        <w:t>试验</w:t>
      </w:r>
      <w:r>
        <w:rPr>
          <w:rFonts w:hint="eastAsia" w:ascii="微软雅黑" w:hAnsi="微软雅黑" w:cs="Arial Unicode MS"/>
          <w:bCs/>
          <w:color w:val="auto"/>
          <w:kern w:val="2"/>
          <w:sz w:val="21"/>
          <w:szCs w:val="21"/>
          <w:highlight w:val="none"/>
          <w:lang w:eastAsia="zh-CN" w:bidi="ar"/>
        </w:rPr>
        <w:t>正在招募患者</w:t>
      </w:r>
      <w:r>
        <w:rPr>
          <w:rFonts w:hint="eastAsia" w:ascii="微软雅黑" w:hAnsi="微软雅黑" w:cs="Arial Unicode MS"/>
          <w:bCs/>
          <w:color w:val="auto"/>
          <w:kern w:val="2"/>
          <w:sz w:val="21"/>
          <w:szCs w:val="21"/>
          <w:highlight w:val="none"/>
          <w:lang w:val="en-US" w:eastAsia="zh-CN" w:bidi="ar"/>
        </w:rPr>
        <w:t>[NCT02029001]</w:t>
      </w:r>
      <w:r>
        <w:rPr>
          <w:rFonts w:hint="eastAsia" w:ascii="微软雅黑" w:hAnsi="微软雅黑" w:cs="Arial Unicode MS"/>
          <w:bCs/>
          <w:color w:val="auto"/>
          <w:kern w:val="2"/>
          <w:sz w:val="21"/>
          <w:szCs w:val="21"/>
          <w:highlight w:val="none"/>
          <w:lang w:eastAsia="zh-CN" w:bidi="ar"/>
        </w:rPr>
        <w:t>。舒尼替尼用于治疗携带CSF1R、PDGFR、VEGFR1/2/3、KIT、FLT3、RET、FGFR1/2/3、VHL扩增或突变</w:t>
      </w:r>
      <w:r>
        <w:rPr>
          <w:rFonts w:hint="eastAsia" w:ascii="微软雅黑" w:hAnsi="微软雅黑" w:cs="Arial Unicode MS"/>
          <w:bCs/>
          <w:color w:val="auto"/>
          <w:kern w:val="2"/>
          <w:sz w:val="21"/>
          <w:szCs w:val="21"/>
          <w:highlight w:val="none"/>
          <w:lang w:val="en-US" w:eastAsia="zh-CN" w:bidi="ar"/>
        </w:rPr>
        <w:t>的晚期实体瘤的临床</w:t>
      </w:r>
      <w:r>
        <w:rPr>
          <w:rFonts w:hint="eastAsia" w:ascii="微软雅黑" w:hAnsi="微软雅黑" w:cs="Arial Unicode MS"/>
          <w:bCs/>
          <w:color w:val="auto"/>
          <w:kern w:val="2"/>
          <w:sz w:val="21"/>
          <w:szCs w:val="21"/>
          <w:highlight w:val="none"/>
          <w:lang w:bidi="ar"/>
        </w:rPr>
        <w:fldChar w:fldCharType="begin"/>
      </w:r>
      <w:r>
        <w:rPr>
          <w:rFonts w:hint="eastAsia" w:ascii="微软雅黑" w:hAnsi="微软雅黑" w:cs="Arial Unicode MS"/>
          <w:bCs/>
          <w:color w:val="auto"/>
          <w:kern w:val="2"/>
          <w:sz w:val="21"/>
          <w:szCs w:val="21"/>
          <w:highlight w:val="none"/>
          <w:lang w:bidi="ar"/>
        </w:rPr>
        <w:instrText xml:space="preserve"> = 2 \* ROMAN \* MERGEFORMAT </w:instrText>
      </w:r>
      <w:r>
        <w:rPr>
          <w:rFonts w:hint="eastAsia" w:ascii="微软雅黑" w:hAnsi="微软雅黑" w:cs="Arial Unicode MS"/>
          <w:bCs/>
          <w:color w:val="auto"/>
          <w:kern w:val="2"/>
          <w:sz w:val="21"/>
          <w:szCs w:val="21"/>
          <w:highlight w:val="none"/>
          <w:lang w:bidi="ar"/>
        </w:rPr>
        <w:fldChar w:fldCharType="separate"/>
      </w:r>
      <w:r>
        <w:t>II</w:t>
      </w:r>
      <w:r>
        <w:rPr>
          <w:rFonts w:hint="eastAsia" w:ascii="微软雅黑" w:hAnsi="微软雅黑" w:cs="Arial Unicode MS"/>
          <w:bCs/>
          <w:color w:val="auto"/>
          <w:kern w:val="2"/>
          <w:sz w:val="21"/>
          <w:szCs w:val="21"/>
          <w:highlight w:val="none"/>
          <w:lang w:bidi="ar"/>
        </w:rPr>
        <w:fldChar w:fldCharType="end"/>
      </w:r>
      <w:r>
        <w:rPr>
          <w:rFonts w:hint="eastAsia" w:ascii="微软雅黑" w:hAnsi="微软雅黑" w:cs="Arial Unicode MS"/>
          <w:bCs/>
          <w:color w:val="auto"/>
          <w:kern w:val="2"/>
          <w:sz w:val="21"/>
          <w:szCs w:val="21"/>
          <w:highlight w:val="none"/>
          <w:lang w:eastAsia="zh-CN" w:bidi="ar"/>
        </w:rPr>
        <w:t>期</w:t>
      </w:r>
      <w:r>
        <w:rPr>
          <w:rFonts w:hint="eastAsia" w:ascii="微软雅黑" w:hAnsi="微软雅黑" w:cs="Arial Unicode MS"/>
          <w:bCs/>
          <w:color w:val="auto"/>
          <w:kern w:val="2"/>
          <w:sz w:val="21"/>
          <w:szCs w:val="21"/>
          <w:highlight w:val="none"/>
          <w:lang w:bidi="ar"/>
        </w:rPr>
        <w:t>试验</w:t>
      </w:r>
      <w:r>
        <w:rPr>
          <w:rFonts w:hint="eastAsia" w:ascii="微软雅黑" w:hAnsi="微软雅黑" w:cs="Arial Unicode MS"/>
          <w:bCs/>
          <w:color w:val="auto"/>
          <w:kern w:val="2"/>
          <w:sz w:val="21"/>
          <w:szCs w:val="21"/>
          <w:highlight w:val="none"/>
          <w:lang w:eastAsia="zh-CN" w:bidi="ar"/>
        </w:rPr>
        <w:t>正在招募患者</w:t>
      </w:r>
      <w:r>
        <w:rPr>
          <w:rFonts w:hint="eastAsia" w:ascii="微软雅黑" w:hAnsi="微软雅黑" w:cs="Arial Unicode MS"/>
          <w:bCs/>
          <w:color w:val="auto"/>
          <w:kern w:val="2"/>
          <w:sz w:val="21"/>
          <w:szCs w:val="21"/>
          <w:highlight w:val="none"/>
          <w:lang w:val="en-US" w:eastAsia="zh-CN" w:bidi="ar"/>
        </w:rPr>
        <w:t>[NCT02693535]</w:t>
      </w:r>
      <w:r>
        <w:rPr>
          <w:rFonts w:hint="eastAsia" w:ascii="微软雅黑" w:hAnsi="微软雅黑" w:cs="Arial Unicode MS"/>
          <w:bCs/>
          <w:color w:val="auto"/>
          <w:kern w:val="2"/>
          <w:sz w:val="21"/>
          <w:szCs w:val="21"/>
          <w:highlight w:val="none"/>
          <w:lang w:eastAsia="zh-CN" w:bidi="ar"/>
        </w:rPr>
        <w:t>。舒尼替尼用于治疗具有</w:t>
      </w:r>
      <w:r>
        <w:rPr>
          <w:rFonts w:hint="eastAsia" w:ascii="微软雅黑" w:hAnsi="微软雅黑" w:cs="Arial Unicode MS"/>
          <w:bCs/>
          <w:color w:val="auto"/>
          <w:kern w:val="2"/>
          <w:sz w:val="21"/>
          <w:szCs w:val="21"/>
          <w:highlight w:val="none"/>
          <w:lang w:val="en-US" w:eastAsia="zh-CN" w:bidi="ar"/>
        </w:rPr>
        <w:t>FLT3突变或扩增的恶性实体瘤的临床</w:t>
      </w:r>
      <w:r>
        <w:rPr>
          <w:rFonts w:hint="eastAsia" w:ascii="微软雅黑" w:hAnsi="微软雅黑" w:cs="Arial Unicode MS"/>
          <w:bCs/>
          <w:color w:val="auto"/>
          <w:kern w:val="2"/>
          <w:sz w:val="21"/>
          <w:szCs w:val="21"/>
          <w:highlight w:val="none"/>
          <w:lang w:bidi="ar"/>
        </w:rPr>
        <w:fldChar w:fldCharType="begin"/>
      </w:r>
      <w:r>
        <w:rPr>
          <w:rFonts w:hint="eastAsia" w:ascii="微软雅黑" w:hAnsi="微软雅黑" w:cs="Arial Unicode MS"/>
          <w:bCs/>
          <w:color w:val="auto"/>
          <w:kern w:val="2"/>
          <w:sz w:val="21"/>
          <w:szCs w:val="21"/>
          <w:highlight w:val="none"/>
          <w:lang w:bidi="ar"/>
        </w:rPr>
        <w:instrText xml:space="preserve"> = 2 \* ROMAN \* MERGEFORMAT </w:instrText>
      </w:r>
      <w:r>
        <w:rPr>
          <w:rFonts w:hint="eastAsia" w:ascii="微软雅黑" w:hAnsi="微软雅黑" w:cs="Arial Unicode MS"/>
          <w:bCs/>
          <w:color w:val="auto"/>
          <w:kern w:val="2"/>
          <w:sz w:val="21"/>
          <w:szCs w:val="21"/>
          <w:highlight w:val="none"/>
          <w:lang w:bidi="ar"/>
        </w:rPr>
        <w:fldChar w:fldCharType="separate"/>
      </w:r>
      <w:r>
        <w:t>II</w:t>
      </w:r>
      <w:r>
        <w:rPr>
          <w:rFonts w:hint="eastAsia" w:ascii="微软雅黑" w:hAnsi="微软雅黑" w:cs="Arial Unicode MS"/>
          <w:bCs/>
          <w:color w:val="auto"/>
          <w:kern w:val="2"/>
          <w:sz w:val="21"/>
          <w:szCs w:val="21"/>
          <w:highlight w:val="none"/>
          <w:lang w:bidi="ar"/>
        </w:rPr>
        <w:fldChar w:fldCharType="end"/>
      </w:r>
      <w:r>
        <w:rPr>
          <w:rFonts w:hint="eastAsia" w:ascii="微软雅黑" w:hAnsi="微软雅黑" w:cs="Arial Unicode MS"/>
          <w:bCs/>
          <w:color w:val="auto"/>
          <w:kern w:val="2"/>
          <w:sz w:val="21"/>
          <w:szCs w:val="21"/>
          <w:highlight w:val="none"/>
          <w:lang w:eastAsia="zh-CN" w:bidi="ar"/>
        </w:rPr>
        <w:t>期</w:t>
      </w:r>
      <w:r>
        <w:rPr>
          <w:rFonts w:hint="eastAsia" w:ascii="微软雅黑" w:hAnsi="微软雅黑" w:cs="Arial Unicode MS"/>
          <w:bCs/>
          <w:color w:val="auto"/>
          <w:kern w:val="2"/>
          <w:sz w:val="21"/>
          <w:szCs w:val="21"/>
          <w:highlight w:val="none"/>
          <w:lang w:bidi="ar"/>
        </w:rPr>
        <w:t>试验</w:t>
      </w:r>
      <w:r>
        <w:rPr>
          <w:rFonts w:hint="eastAsia" w:ascii="微软雅黑" w:hAnsi="微软雅黑" w:cs="Arial Unicode MS"/>
          <w:bCs/>
          <w:color w:val="auto"/>
          <w:kern w:val="2"/>
          <w:sz w:val="21"/>
          <w:szCs w:val="21"/>
          <w:highlight w:val="none"/>
          <w:lang w:eastAsia="zh-CN" w:bidi="ar"/>
        </w:rPr>
        <w:t>正在招募患者</w:t>
      </w:r>
      <w:r>
        <w:rPr>
          <w:rFonts w:hint="eastAsia" w:ascii="微软雅黑" w:hAnsi="微软雅黑" w:cs="Arial Unicode MS"/>
          <w:bCs/>
          <w:color w:val="auto"/>
          <w:kern w:val="2"/>
          <w:sz w:val="21"/>
          <w:szCs w:val="21"/>
          <w:highlight w:val="none"/>
          <w:lang w:val="en-US" w:eastAsia="zh-CN" w:bidi="ar"/>
        </w:rPr>
        <w:t>[NCT03297606]</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临床前研究显示</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瑞戈非尼</w:t>
      </w:r>
      <w:r>
        <w:rPr>
          <w:rFonts w:hint="eastAsia" w:ascii="微软雅黑" w:hAnsi="微软雅黑" w:cs="Arial Unicode MS"/>
          <w:bCs/>
          <w:color w:val="auto"/>
          <w:kern w:val="2"/>
          <w:sz w:val="21"/>
          <w:szCs w:val="21"/>
          <w:highlight w:val="none"/>
          <w:lang w:eastAsia="zh-CN" w:bidi="ar"/>
        </w:rPr>
        <w:t>能够</w:t>
      </w:r>
      <w:r>
        <w:rPr>
          <w:rFonts w:hint="eastAsia" w:ascii="微软雅黑" w:hAnsi="微软雅黑" w:cs="Arial Unicode MS"/>
          <w:bCs/>
          <w:color w:val="auto"/>
          <w:kern w:val="2"/>
          <w:sz w:val="21"/>
          <w:szCs w:val="21"/>
          <w:highlight w:val="none"/>
          <w:lang w:bidi="ar"/>
        </w:rPr>
        <w:t>抑制结直肠癌细胞系的增殖，并且在异种移殖模型中显示减缓肿瘤生长[24347491]。一项临床I期</w:t>
      </w:r>
      <w:r>
        <w:rPr>
          <w:rFonts w:hint="eastAsia" w:ascii="微软雅黑" w:hAnsi="微软雅黑" w:cs="Arial Unicode MS"/>
          <w:bCs/>
          <w:color w:val="auto"/>
          <w:kern w:val="2"/>
          <w:sz w:val="21"/>
          <w:szCs w:val="21"/>
          <w:highlight w:val="none"/>
          <w:lang w:eastAsia="zh-CN" w:bidi="ar"/>
        </w:rPr>
        <w:t>试验显示，瑞戈非尼</w:t>
      </w:r>
      <w:r>
        <w:rPr>
          <w:rFonts w:hint="eastAsia" w:ascii="微软雅黑" w:hAnsi="微软雅黑" w:cs="Arial Unicode MS"/>
          <w:bCs/>
          <w:color w:val="auto"/>
          <w:kern w:val="2"/>
          <w:sz w:val="21"/>
          <w:szCs w:val="21"/>
          <w:highlight w:val="none"/>
          <w:lang w:bidi="ar"/>
        </w:rPr>
        <w:t>在治疗晚期实体瘤患者中表现出了抗肿瘤活性，47</w:t>
      </w:r>
      <w:r>
        <w:rPr>
          <w:rFonts w:hint="eastAsia" w:ascii="微软雅黑" w:hAnsi="微软雅黑" w:cs="Arial Unicode MS"/>
          <w:bCs/>
          <w:color w:val="auto"/>
          <w:kern w:val="2"/>
          <w:sz w:val="21"/>
          <w:szCs w:val="21"/>
          <w:highlight w:val="none"/>
          <w:lang w:eastAsia="zh-CN" w:bidi="ar"/>
        </w:rPr>
        <w:t>例</w:t>
      </w:r>
      <w:r>
        <w:rPr>
          <w:rFonts w:hint="eastAsia" w:ascii="微软雅黑" w:hAnsi="微软雅黑" w:cs="Arial Unicode MS"/>
          <w:bCs/>
          <w:color w:val="auto"/>
          <w:kern w:val="2"/>
          <w:sz w:val="21"/>
          <w:szCs w:val="21"/>
          <w:highlight w:val="none"/>
          <w:lang w:bidi="ar"/>
        </w:rPr>
        <w:t>可评估的患者中有3</w:t>
      </w:r>
      <w:r>
        <w:rPr>
          <w:rFonts w:hint="eastAsia" w:ascii="微软雅黑" w:hAnsi="微软雅黑" w:cs="Arial Unicode MS"/>
          <w:bCs/>
          <w:color w:val="auto"/>
          <w:kern w:val="2"/>
          <w:sz w:val="21"/>
          <w:szCs w:val="21"/>
          <w:highlight w:val="none"/>
          <w:lang w:eastAsia="zh-CN" w:bidi="ar"/>
        </w:rPr>
        <w:t>例</w:t>
      </w:r>
      <w:r>
        <w:rPr>
          <w:rFonts w:hint="eastAsia" w:ascii="微软雅黑" w:hAnsi="微软雅黑" w:cs="Arial Unicode MS"/>
          <w:bCs/>
          <w:color w:val="auto"/>
          <w:kern w:val="2"/>
          <w:sz w:val="21"/>
          <w:szCs w:val="21"/>
          <w:highlight w:val="none"/>
          <w:lang w:bidi="ar"/>
        </w:rPr>
        <w:t>获得PR（分别为肾细胞癌</w:t>
      </w:r>
      <w:r>
        <w:rPr>
          <w:rFonts w:hint="eastAsia" w:ascii="微软雅黑" w:hAnsi="微软雅黑" w:cs="Arial Unicode MS"/>
          <w:bCs/>
          <w:color w:val="auto"/>
          <w:kern w:val="2"/>
          <w:sz w:val="21"/>
          <w:szCs w:val="21"/>
          <w:highlight w:val="none"/>
          <w:lang w:eastAsia="zh-CN" w:bidi="ar"/>
        </w:rPr>
        <w:t>、</w:t>
      </w:r>
      <w:r>
        <w:rPr>
          <w:rFonts w:hint="eastAsia" w:ascii="微软雅黑" w:hAnsi="微软雅黑" w:cs="Arial Unicode MS"/>
          <w:bCs/>
          <w:color w:val="auto"/>
          <w:kern w:val="2"/>
          <w:sz w:val="21"/>
          <w:szCs w:val="21"/>
          <w:highlight w:val="none"/>
          <w:lang w:bidi="ar"/>
        </w:rPr>
        <w:t>结肠直肠癌和骨肉瘤）[22421192]</w:t>
      </w:r>
      <w:r>
        <w:rPr>
          <w:rFonts w:hint="eastAsia" w:ascii="微软雅黑" w:hAnsi="微软雅黑" w:cs="Arial Unicode MS"/>
          <w:bCs/>
          <w:color w:val="auto"/>
          <w:kern w:val="2"/>
          <w:sz w:val="21"/>
          <w:szCs w:val="21"/>
          <w:highlight w:val="none"/>
          <w:lang w:eastAsia="zh-CN" w:bidi="ar"/>
        </w:rPr>
        <w:t>。</w:t>
      </w:r>
    </w:p>
    <w:p w14:paraId="1B7A55F7">
      <w:pPr>
        <w:numPr>
          <w:ilvl w:val="0"/>
          <w:numId w:val="14"/>
        </w:numPr>
        <w:spacing w:before="361" w:beforeLines="100" w:after="100" w:afterLines="-2147483648" w:afterAutospacing="1"/>
        <w:ind w:left="420" w:hanging="420"/>
        <w:jc w:val="both"/>
        <w:outlineLvl w:val="9"/>
        <w:rPr>
          <w:rStyle w:val="21"/>
          <w:rFonts w:hint="eastAsia" w:ascii="微软雅黑" w:hAnsi="微软雅黑" w:cs="微软雅黑"/>
          <w:b/>
          <w:bCs/>
          <w:color w:val="FF0000"/>
          <w:kern w:val="0"/>
          <w:sz w:val="24"/>
          <w:szCs w:val="24"/>
          <w:highlight w:val="none"/>
          <w:u w:val="none"/>
        </w:rPr>
      </w:pPr>
      <w:r>
        <w:rPr>
          <w:rFonts w:hint="eastAsia" w:ascii="微软雅黑" w:hAnsi="微软雅黑" w:cs="微软雅黑"/>
          <w:b/>
          <w:color w:val="FF0000"/>
          <w:sz w:val="24"/>
          <w:szCs w:val="22"/>
        </w:rPr>
        <w:t>PMS2：</w:t>
      </w:r>
      <w:r>
        <w:rPr>
          <w:rFonts w:hint="eastAsia" w:ascii="微软雅黑" w:hAnsi="微软雅黑" w:cs="微软雅黑"/>
          <w:b/>
          <w:color w:val="FF0000"/>
          <w:sz w:val="24"/>
          <w:u w:val="none"/>
        </w:rPr>
        <w:t>c.1273del，p.S425Lfs*23</w:t>
      </w:r>
      <w:r>
        <w:rPr>
          <w:rFonts w:hint="eastAsia" w:ascii="微软雅黑" w:hAnsi="微软雅黑" w:eastAsia="微软雅黑" w:cs="微软雅黑"/>
          <w:b/>
          <w:color w:val="FF0000"/>
          <w:sz w:val="24"/>
          <w:szCs w:val="22"/>
          <w:u w:val="none"/>
        </w:rPr>
        <w:t>突变相应靶向药物</w:t>
      </w:r>
      <w:r>
        <w:rPr>
          <w:rStyle w:val="21"/>
          <w:bCs/>
          <w:szCs w:val="24"/>
          <w:highlight w:val="none"/>
        </w:rPr>
        <w:t xml:space="preserve"> </w:t>
      </w:r>
    </w:p>
    <w:p w14:paraId="17718BA8">
      <w:pPr>
        <w:numPr>
          <w:ilvl w:val="0"/>
          <w:numId w:val="12"/>
        </w:numPr>
        <w:spacing w:before="240" w:beforeLines="100" w:after="240" w:afterLines="100"/>
        <w:ind w:left="420" w:leftChars="0" w:hanging="420" w:firstLineChars="0"/>
        <w:jc w:val="both"/>
        <w:rPr>
          <w:rFonts w:hint="eastAsia" w:ascii="微软雅黑" w:hAnsi="微软雅黑" w:cs="微软雅黑"/>
          <w:b/>
          <w:sz w:val="24"/>
          <w:szCs w:val="24"/>
        </w:rPr>
      </w:pPr>
      <w:r>
        <w:rPr>
          <w:rFonts w:hint="eastAsia" w:ascii="微软雅黑" w:hAnsi="微软雅黑" w:cs="微软雅黑"/>
          <w:b/>
          <w:color w:val="0000FF"/>
          <w:sz w:val="24"/>
          <w:szCs w:val="24"/>
          <w:u w:val="single"/>
        </w:rPr>
        <w:t>奥拉帕利（Olaparib）</w:t>
      </w:r>
    </w:p>
    <w:p w14:paraId="26429064">
      <w:pPr>
        <w:spacing w:beforeLines="0" w:after="0" w:afterLines="0"/>
        <w:jc w:val="both"/>
        <w:rPr>
          <w:rFonts w:hint="eastAsia"/>
          <w:b/>
          <w:kern w:val="2"/>
          <w:sz w:val="22"/>
          <w:szCs w:val="22"/>
        </w:rPr>
      </w:pPr>
      <w:r>
        <w:rPr>
          <w:rFonts w:hint="eastAsia"/>
          <w:b/>
          <w:kern w:val="2"/>
          <w:sz w:val="22"/>
          <w:szCs w:val="22"/>
        </w:rPr>
        <w:t>基因变异与药物关联分析：</w:t>
      </w:r>
    </w:p>
    <w:p w14:paraId="440D6AF9">
      <w:pPr>
        <w:spacing w:beforeLines="0" w:after="0" w:afterLines="0"/>
        <w:ind w:firstLine="400"/>
        <w:jc w:val="both"/>
        <w:rPr>
          <w:rFonts w:hint="eastAsia" w:ascii="微软雅黑" w:hAnsi="微软雅黑" w:cs="Arial Unicode MS"/>
          <w:kern w:val="2"/>
          <w:sz w:val="21"/>
          <w:szCs w:val="21"/>
        </w:rPr>
      </w:pPr>
      <w:r>
        <w:rPr>
          <w:rFonts w:hint="eastAsia" w:ascii="微软雅黑" w:hAnsi="微软雅黑" w:cs="微软雅黑"/>
          <w:sz w:val="21"/>
          <w:szCs w:val="22"/>
        </w:rPr>
        <w:t>该样本检出PMS2基因c.1273del，p.S425Lfs*23</w:t>
      </w:r>
      <w:r>
        <w:rPr>
          <w:rFonts w:hint="eastAsia" w:ascii="微软雅黑" w:hAnsi="微软雅黑" w:cs="微软雅黑"/>
          <w:sz w:val="21"/>
        </w:rPr>
        <w:t>碱基缺失引起的移码突变</w:t>
      </w:r>
      <w:r>
        <w:rPr>
          <w:rFonts w:hint="eastAsia" w:ascii="微软雅黑" w:hAnsi="微软雅黑" w:cs="Times New Roman"/>
          <w:b w:val="0"/>
          <w:bCs/>
          <w:color w:val="auto"/>
          <w:kern w:val="2"/>
          <w:sz w:val="21"/>
          <w:szCs w:val="21"/>
          <w:highlight w:val="none"/>
          <w:u w:val="none"/>
          <w:lang w:val="en-US" w:eastAsia="zh-CN"/>
        </w:rPr>
        <w:t>，</w:t>
      </w:r>
      <w:r>
        <w:rPr>
          <w:rFonts w:hint="eastAsia" w:ascii="微软雅黑" w:hAnsi="微软雅黑" w:cs="Arial Unicode MS"/>
          <w:kern w:val="2"/>
          <w:sz w:val="21"/>
          <w:szCs w:val="21"/>
          <w:highlight w:val="none"/>
          <w:lang w:val="en-US" w:eastAsia="zh-CN"/>
        </w:rPr>
        <w:t>该突变</w:t>
      </w:r>
      <w:r>
        <w:rPr>
          <w:rFonts w:hint="eastAsia" w:ascii="微软雅黑" w:hAnsi="微软雅黑" w:cs="Times New Roman"/>
          <w:b w:val="0"/>
          <w:bCs/>
          <w:kern w:val="2"/>
          <w:sz w:val="21"/>
          <w:szCs w:val="21"/>
          <w:lang w:val="en-US" w:eastAsia="zh-CN"/>
        </w:rPr>
        <w:t>导致蛋白翻译提前终止，产生截短的蛋白，可能导致蛋白功能缺失</w:t>
      </w:r>
      <w:r>
        <w:rPr>
          <w:rFonts w:hint="eastAsia" w:ascii="微软雅黑" w:hAnsi="微软雅黑" w:cs="Times New Roman"/>
          <w:bCs/>
          <w:color w:val="auto"/>
          <w:kern w:val="2"/>
          <w:sz w:val="21"/>
          <w:szCs w:val="21"/>
          <w:highlight w:val="none"/>
        </w:rPr>
        <w:t>。</w:t>
      </w:r>
      <w:r>
        <w:rPr>
          <w:rFonts w:hint="eastAsia" w:ascii="微软雅黑" w:hAnsi="微软雅黑" w:cs="微软雅黑"/>
          <w:sz w:val="21"/>
          <w:szCs w:val="22"/>
          <w:lang w:val="en-US" w:eastAsia="zh-CN"/>
        </w:rPr>
        <w:t>PMS2基因编码DNA错配修复蛋白[26666765]。PMS2缺失可能造成微卫星不稳定性高（MSI-H）和错配修复缺陷（dMMR）[29571084]。多项研究表明，PARP抑制剂用于治疗DNA错配修复缺陷的肿瘤可显示出疗效[28003236]。因此，该患者可能从PARP抑制剂的治疗中获益。</w:t>
      </w:r>
      <w:r>
        <w:rPr>
          <w:rFonts w:hint="eastAsia" w:ascii="微软雅黑" w:hAnsi="微软雅黑" w:cs="Arial Unicode MS"/>
          <w:color w:val="000000"/>
          <w:kern w:val="2"/>
          <w:sz w:val="21"/>
          <w:szCs w:val="21"/>
        </w:rPr>
        <w:t>FDA批准奥拉帕利用于卵巢癌、输卵管癌或原发性腹膜癌、胰腺癌、乳腺癌以及前列腺癌患者的治疗；NMPA批准奥拉帕利用于治疗卵巢癌和前列腺癌患者。</w:t>
      </w:r>
    </w:p>
    <w:p w14:paraId="17076185">
      <w:pPr>
        <w:spacing w:beforeLines="0" w:after="0" w:afterLines="0"/>
        <w:jc w:val="both"/>
        <w:rPr>
          <w:rFonts w:hint="eastAsia"/>
          <w:b/>
          <w:kern w:val="2"/>
          <w:sz w:val="22"/>
          <w:szCs w:val="22"/>
        </w:rPr>
      </w:pPr>
      <w:r>
        <w:rPr>
          <w:rFonts w:hint="eastAsia"/>
          <w:b/>
          <w:kern w:val="2"/>
          <w:sz w:val="22"/>
          <w:szCs w:val="22"/>
        </w:rPr>
        <w:t>药物疗效临床解析：</w:t>
      </w:r>
    </w:p>
    <w:p w14:paraId="6A632F67">
      <w:pPr>
        <w:keepNext w:val="0"/>
        <w:keepLines w:val="0"/>
        <w:pageBreakBefore w:val="0"/>
        <w:widowControl/>
        <w:numPr>
          <w:ilvl w:val="-1"/>
          <w:numId w:val="0"/>
        </w:numPr>
        <w:kinsoku/>
        <w:wordWrap/>
        <w:overflowPunct/>
        <w:topLinePunct w:val="0"/>
        <w:autoSpaceDE/>
        <w:autoSpaceDN/>
        <w:bidi w:val="0"/>
        <w:adjustRightInd/>
        <w:snapToGrid/>
        <w:spacing w:after="0"/>
        <w:ind w:firstLine="420" w:firstLineChars="200"/>
        <w:jc w:val="both"/>
        <w:textAlignment w:val="auto"/>
        <w:rPr>
          <w:rFonts w:hint="eastAsia" w:ascii="微软雅黑" w:hAnsi="微软雅黑" w:cs="Arial Unicode MS"/>
          <w:color w:val="000000"/>
          <w:kern w:val="2"/>
          <w:sz w:val="21"/>
          <w:szCs w:val="21"/>
        </w:rPr>
      </w:pPr>
      <w:r>
        <w:rPr>
          <w:rFonts w:hint="eastAsia" w:ascii="微软雅黑" w:hAnsi="微软雅黑" w:cs="Arial Unicode MS"/>
          <w:color w:val="000000"/>
          <w:kern w:val="2"/>
          <w:sz w:val="21"/>
          <w:szCs w:val="21"/>
        </w:rPr>
        <w:t>一项随机、开放标签、多中心II期临床试验，旨在筛选转移性去势抵抗性前列腺癌（mCRPC）男性的生物标志物。其中，具有非常规DNA修复基因（包括FANCA、PALB2、RAD51、ERCC3、MRE11、NBN、MLH3、CDK12、CHEK2、HDAC2、ATR、PMS2、GEN1、MSH2、MSH6、BRIP1或FAM175A）突变的患者，采用奥拉帕利单药进行治疗，目前该试验正在进行中[NCT03012321]。</w:t>
      </w:r>
    </w:p>
    <w:p w14:paraId="4EB5264F">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ATR</w:t>
      </w:r>
      <w:r>
        <w:rPr>
          <w:rFonts w:ascii="微软雅黑" w:hAnsi="微软雅黑" w:cs="微软雅黑"/>
          <w:b/>
          <w:color w:val="FF0000"/>
          <w:sz w:val="24"/>
        </w:rPr>
        <w:t>：</w:t>
      </w:r>
      <w:r>
        <w:rPr>
          <w:rFonts w:hint="eastAsia" w:ascii="微软雅黑" w:hAnsi="微软雅黑" w:cs="微软雅黑"/>
          <w:b/>
          <w:color w:val="FF0000"/>
          <w:sz w:val="24"/>
        </w:rPr>
        <w:t>c.1291del，p.R431Gfs*8</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47114085">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奥拉帕利（Olaparib）、芦卡帕利（Rucaparib）、尼拉帕利（Niraparib）、他拉唑帕利（Talazoparib）、奥拉帕利+帕博利珠单抗（Olaparib+Pembrolizumab）、他拉唑帕利+阿替利珠单抗（Talazoparib+Atezolizumab）、LY2606368、SRA737</w:t>
      </w:r>
    </w:p>
    <w:p w14:paraId="078BC4AC">
      <w:pPr>
        <w:spacing w:after="0"/>
        <w:jc w:val="both"/>
        <w:rPr>
          <w:rFonts w:hint="eastAsia"/>
          <w:b/>
          <w:bCs/>
          <w:kern w:val="2"/>
        </w:rPr>
      </w:pPr>
      <w:r>
        <w:rPr>
          <w:rFonts w:hint="eastAsia"/>
          <w:b/>
          <w:bCs/>
          <w:kern w:val="2"/>
        </w:rPr>
        <w:t>基因变异与药物关联分析：</w:t>
      </w:r>
    </w:p>
    <w:p w14:paraId="454EE5E8">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该样本检出ATR基因c.1291del，p.R431Gfs*8碱基缺失引起的移码突变，</w:t>
      </w:r>
      <w:r>
        <w:rPr>
          <w:rFonts w:hint="eastAsia" w:ascii="微软雅黑" w:hAnsi="微软雅黑" w:cs="微软雅黑"/>
          <w:sz w:val="21"/>
          <w:lang w:val="en-US" w:eastAsia="zh-CN"/>
        </w:rPr>
        <w:t>该突变导致蛋白翻译提前终止，产生截短的蛋白，可能导致蛋白功能缺失</w:t>
      </w:r>
      <w:r>
        <w:rPr>
          <w:rFonts w:hint="eastAsia" w:ascii="微软雅黑" w:hAnsi="微软雅黑" w:cs="微软雅黑"/>
          <w:sz w:val="21"/>
        </w:rPr>
        <w:t>。</w:t>
      </w:r>
      <w:r>
        <w:rPr>
          <w:rFonts w:hint="eastAsia" w:ascii="微软雅黑" w:hAnsi="微软雅黑" w:cs="Arial Unicode MS"/>
          <w:color w:val="000000" w:themeColor="text1"/>
          <w:kern w:val="2"/>
          <w:sz w:val="21"/>
          <w:szCs w:val="21"/>
          <w14:textFill>
            <w14:solidFill>
              <w14:schemeClr w14:val="tx1"/>
            </w14:solidFill>
          </w14:textFill>
        </w:rPr>
        <w:t>临床前研究表明，ATR缺失的细胞系对PARP抑制剂敏感。因此，该患者可能从PARP抑制剂及相关抑制剂的治疗中获益。目前，FDA和/或NMPA批准的PARP抑制剂有奥拉帕利、芦卡帕利、尼拉帕利、他拉唑帕利。FDA批准奥拉帕利用于上皮性卵巢癌、输卵管癌或原发性腹膜癌患者的维持治疗、胰腺癌的维持治疗，卵巢癌和乳腺癌，以及前列腺癌患者的治疗，NMPA批准奥拉帕利用于治疗卵巢癌、前列腺癌。FDA批准芦卡帕利用于治疗卵巢癌、输卵管癌、原发性腹膜癌以及前列腺癌患者。FDA批准尼拉帕利用于治疗上皮性卵巢癌、输卵管癌或原发性腹膜癌患者，中国（香港）批准尼拉帕利用于治疗高级别浆液性上皮性卵巢癌患者，中国大陆（NMPA）批准尼拉帕利用于复发性卵巢癌的维持治疗。FDA批准他拉唑帕利用于治疗前列腺癌和乳腺癌成年患者。NMPA批准他拉唑帕利用于治疗前列腺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帕博利珠单抗、阿替利珠单抗、LY2606368、SRA737。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阿替利珠单抗已获FDA批准用于治疗尿路上皮癌、非小细胞癌、小细胞肺癌、肝细胞癌、黑色素瘤患者，已获NMPA批准用于治疗小细胞肺癌、肝细胞癌、非小细胞肺癌患者。LY2606368是一种ATP竞争性CHK1抑制剂，目前正处于临床期。SRA737是一种高效的口服CHK1抑制剂，目前正处于临床期。</w:t>
      </w:r>
    </w:p>
    <w:p w14:paraId="5B1F1A80">
      <w:pPr>
        <w:spacing w:after="0"/>
        <w:jc w:val="both"/>
        <w:rPr>
          <w:rFonts w:hint="eastAsia"/>
          <w:b/>
          <w:bCs/>
          <w:kern w:val="2"/>
        </w:rPr>
      </w:pPr>
      <w:r>
        <w:rPr>
          <w:rFonts w:hint="eastAsia"/>
          <w:b/>
          <w:bCs/>
          <w:kern w:val="2"/>
        </w:rPr>
        <w:t>药物疗效临床解析：</w:t>
      </w:r>
    </w:p>
    <w:p w14:paraId="5DEEDC14">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一项II期临床试验，旨在评估奥拉帕利治疗具有DNA修复缺陷（包括ATM、ATR、BARD1、BRCA1、BRCA2、BRIP1、CHEK1、CHEK2、RAD50、FANCG、FANCD2等基因突变）的尿路上皮癌患者的效果，该临床试验目前正在招募中[NCT03375307]。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已有研究表明，芦卡帕利在同源重组基因敲除的细胞系（如RAD51、FANCM、PALB2、ATR、BARD1），具有“合成致死”作用[29606854]。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他拉唑帕利用于治疗具有ATM、BRCA1、BRCA2、PALB2、ARID1A、MER11、RAD50、NBS1、ATR基因突变的晚期恶性肿瘤患者的II期临床试验正在开展，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临床I/II期试验，旨在评估SRA737用于治疗参与DNA修复过程的基因（包括：CCNE1、MYC、BRCA1、BRCA2、FANC、TP53、RAD50、CHEK1、ATR）相关突变/扩增的晚期癌症患者的疗效，试验结果观察到大肠癌患者（PFS：1.84个月，OS：5.72个月），高级别浆液性卵巢癌患者（PFS：1.94个月，OS：6.93个月），非小细胞肺癌患者（PFS：1.76个月，OS：6.08个月），前列腺癌患者（PFS：3.02个月），头颈部鳞状细胞癌患者（PFS：3.55个月）临床获益[NCT02797964]。</w:t>
      </w:r>
    </w:p>
    <w:p w14:paraId="2220F164">
      <w:pPr>
        <w:keepNext w:val="0"/>
        <w:keepLines w:val="0"/>
        <w:pageBreakBefore w:val="0"/>
        <w:widowControl/>
        <w:numPr>
          <w:ilvl w:val="-1"/>
          <w:numId w:val="0"/>
        </w:numPr>
        <w:kinsoku/>
        <w:wordWrap/>
        <w:overflowPunct/>
        <w:topLinePunct w:val="0"/>
        <w:autoSpaceDE/>
        <w:autoSpaceDN/>
        <w:bidi w:val="0"/>
        <w:adjustRightInd/>
        <w:snapToGrid/>
        <w:spacing w:after="0"/>
        <w:ind w:firstLine="0" w:firstLineChars="0"/>
        <w:jc w:val="left"/>
        <w:textAlignment w:val="auto"/>
        <w:rPr>
          <w:rFonts w:ascii="微软雅黑" w:hAnsi="微软雅黑" w:cs="Arial Unicode MS"/>
          <w:bCs/>
          <w:kern w:val="2"/>
          <w:sz w:val="21"/>
          <w:szCs w:val="21"/>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4EFDD251">
      <w:pPr>
        <w:numPr>
          <w:ilvl w:val="0"/>
          <w:numId w:val="11"/>
        </w:numPr>
        <w:spacing w:before="200"/>
        <w:jc w:val="both"/>
        <w:rPr>
          <w:rStyle w:val="21"/>
          <w:rFonts w:ascii="微软雅黑" w:hAnsi="微软雅黑" w:cs="微软雅黑"/>
          <w:b/>
          <w:bCs/>
          <w:color w:val="FF0000"/>
          <w:sz w:val="24"/>
          <w:szCs w:val="24"/>
          <w:u w:val="none"/>
        </w:rPr>
      </w:pPr>
      <w:r>
        <w:rPr>
          <w:rFonts w:hint="eastAsia" w:ascii="微软雅黑" w:hAnsi="微软雅黑" w:cs="微软雅黑"/>
          <w:b/>
          <w:color w:val="FF0000"/>
          <w:sz w:val="24"/>
        </w:rPr>
        <w:t>PIK3CA</w:t>
      </w:r>
      <w:r>
        <w:rPr>
          <w:rFonts w:ascii="微软雅黑" w:hAnsi="微软雅黑" w:cs="微软雅黑"/>
          <w:b/>
          <w:color w:val="FF0000"/>
          <w:sz w:val="24"/>
        </w:rPr>
        <w:t>：</w:t>
      </w:r>
      <w:r>
        <w:rPr>
          <w:rFonts w:hint="eastAsia" w:ascii="微软雅黑" w:hAnsi="微软雅黑" w:cs="微软雅黑"/>
          <w:b/>
          <w:color w:val="FF0000"/>
          <w:sz w:val="24"/>
        </w:rPr>
        <w:t>c.1624G&gt;A，p.E542K</w:t>
      </w:r>
      <w:r>
        <w:rPr>
          <w:rStyle w:val="21"/>
          <w:rFonts w:hint="eastAsia" w:ascii="微软雅黑" w:hAnsi="微软雅黑" w:cs="微软雅黑"/>
          <w:b/>
          <w:bCs/>
          <w:color w:val="FF0000"/>
          <w:sz w:val="24"/>
          <w:szCs w:val="24"/>
          <w:u w:val="none"/>
        </w:rPr>
        <w:t>突变相应负相关靶向药物</w:t>
      </w:r>
    </w:p>
    <w:p w14:paraId="33CEE336">
      <w:pPr>
        <w:numPr>
          <w:ilvl w:val="0"/>
          <w:numId w:val="12"/>
        </w:numPr>
        <w:spacing w:before="240" w:beforeLines="100" w:after="240" w:afterLines="100"/>
        <w:jc w:val="both"/>
        <w:rPr>
          <w:rStyle w:val="21"/>
          <w:rFonts w:ascii="微软雅黑" w:hAnsi="微软雅黑" w:cs="微软雅黑"/>
          <w:b/>
          <w:bCs/>
          <w:color w:val="0000FF"/>
          <w:sz w:val="24"/>
          <w:szCs w:val="24"/>
        </w:rPr>
      </w:pPr>
      <w:r>
        <w:rPr>
          <w:rFonts w:hint="eastAsia" w:ascii="微软雅黑" w:hAnsi="微软雅黑" w:cs="微软雅黑"/>
          <w:b/>
          <w:bCs/>
          <w:color w:val="0000FF"/>
          <w:sz w:val="24"/>
          <w:szCs w:val="24"/>
          <w:u w:val="single"/>
        </w:rPr>
        <w:t>西妥昔单抗（Cetuximab）、帕尼单抗（Panitumumab）</w:t>
      </w:r>
    </w:p>
    <w:p w14:paraId="784E3308">
      <w:pPr>
        <w:spacing w:after="0"/>
        <w:jc w:val="both"/>
        <w:rPr>
          <w:rFonts w:hint="eastAsia"/>
          <w:b/>
          <w:bCs/>
          <w:kern w:val="2"/>
        </w:rPr>
      </w:pPr>
      <w:r>
        <w:rPr>
          <w:rFonts w:hint="eastAsia"/>
          <w:b/>
          <w:bCs/>
          <w:kern w:val="2"/>
        </w:rPr>
        <w:t>基因变异与药物关联分析：</w:t>
      </w:r>
    </w:p>
    <w:p w14:paraId="68DD60BF">
      <w:pPr>
        <w:spacing w:after="0"/>
        <w:ind w:firstLine="400"/>
        <w:jc w:val="both"/>
        <w:rPr>
          <w:rFonts w:hint="eastAsia"/>
          <w:b/>
          <w:bCs/>
          <w:kern w:val="2"/>
        </w:rPr>
      </w:pPr>
      <w:r>
        <w:rPr>
          <w:rFonts w:hint="eastAsia" w:ascii="微软雅黑" w:hAnsi="微软雅黑" w:cs="微软雅黑"/>
          <w:sz w:val="21"/>
        </w:rPr>
        <w:t>该样本检出PIK3CA基因c.1624G&gt;A，p.E542K错义突变，研究显示该</w:t>
      </w:r>
      <w:r>
        <w:rPr>
          <w:rFonts w:hint="eastAsia" w:ascii="微软雅黑" w:hAnsi="微软雅黑" w:cs="微软雅黑"/>
          <w:sz w:val="21"/>
          <w:lang w:val="en-US" w:eastAsia="zh-CN"/>
        </w:rPr>
        <w:t>突变</w:t>
      </w:r>
      <w:r>
        <w:rPr>
          <w:rFonts w:hint="eastAsia" w:ascii="微软雅黑" w:hAnsi="微软雅黑" w:cs="微软雅黑"/>
          <w:sz w:val="21"/>
        </w:rPr>
        <w:t>会导致 PI3K/AKT/MTOR信号通路组成型激活，从而进一步促进细胞的生长、增殖、存活，最终导致肿瘤的发生</w:t>
      </w:r>
      <w:r>
        <w:rPr>
          <w:rFonts w:hint="eastAsia" w:ascii="微软雅黑" w:hAnsi="微软雅黑" w:cs="微软雅黑"/>
          <w:sz w:val="21"/>
          <w:lang w:val="en-US" w:eastAsia="zh-CN"/>
        </w:rPr>
        <w:t>[</w:t>
      </w:r>
      <w:r>
        <w:rPr>
          <w:rFonts w:hint="eastAsia" w:ascii="微软雅黑" w:hAnsi="微软雅黑" w:cs="微软雅黑"/>
          <w:sz w:val="21"/>
        </w:rPr>
        <w:t>20664174，20664172，31088410</w:t>
      </w:r>
      <w:r>
        <w:rPr>
          <w:rFonts w:hint="eastAsia"/>
          <w:lang w:val="en-US" w:eastAsia="zh-CN"/>
        </w:rPr>
        <w:t>]</w:t>
      </w:r>
      <w:r>
        <w:rPr>
          <w:rFonts w:hint="eastAsia" w:ascii="微软雅黑" w:hAnsi="微软雅黑" w:cs="微软雅黑"/>
          <w:sz w:val="21"/>
        </w:rPr>
        <w:t>。</w:t>
      </w:r>
      <w:r>
        <w:rPr>
          <w:rFonts w:hint="eastAsia" w:ascii="微软雅黑" w:hAnsi="微软雅黑" w:cs="Arial Unicode MS"/>
          <w:color w:val="000000" w:themeColor="text1"/>
          <w:kern w:val="2"/>
          <w:sz w:val="21"/>
          <w:szCs w:val="21"/>
          <w14:textFill>
            <w14:solidFill>
              <w14:schemeClr w14:val="tx1"/>
            </w14:solidFill>
          </w14:textFill>
        </w:rPr>
        <w:t>研究显示，PIK3CA激活突变且KRAS野生型的结直肠癌患者对西妥昔单抗或帕尼单抗治疗无响应[24701207]。FDA和NMPA批准西妥昔单抗用于治疗结直肠癌和头颈部鳞状细胞癌。FDA批准帕尼单抗用于治疗转移性结直肠癌。</w:t>
      </w:r>
    </w:p>
    <w:p w14:paraId="20271427">
      <w:pPr>
        <w:spacing w:after="0"/>
        <w:jc w:val="both"/>
        <w:rPr>
          <w:b/>
          <w:bCs/>
          <w:kern w:val="2"/>
        </w:rPr>
      </w:pPr>
      <w:r>
        <w:rPr>
          <w:rFonts w:hint="eastAsia"/>
          <w:b/>
          <w:bCs/>
          <w:kern w:val="2"/>
        </w:rPr>
        <w:t>药物疗效临床解析：</w:t>
      </w:r>
    </w:p>
    <w:p w14:paraId="2073824E">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研究显示，PIK3CA激活突变会导致对EGFR单抗耐药[18516290]。一项回顾性研究对864例携带PIK3CA激活突变且KRAS野生型的结直肠癌患者，分析其接受西妥昔单抗或帕尼单抗治疗后的缓解率、PFS和OS。结果显示，PIK3CA激活突变的患者对药物的响应率低且具有更差的PFS和OS[24701207]。另有研究对31例转移性结直肠癌患者进行PIK3CA 突变分析及PTEN表达量检测，其中 4 例患者检测到PIK3CA突变，这4例患者均表现对西妥昔单抗治疗不响应[18669866]。</w:t>
      </w:r>
    </w:p>
    <w:p w14:paraId="152B14AE">
      <w:pPr>
        <w:numPr>
          <w:ilvl w:val="0"/>
          <w:numId w:val="14"/>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：c.34G&gt;T，p.G12C</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46F3263C">
      <w:pPr>
        <w:numPr>
          <w:ilvl w:val="0"/>
          <w:numId w:val="15"/>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6E983F88">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EA3AC73">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c.34G&gt;T，p.G12C</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2443DD85">
      <w:pPr>
        <w:spacing w:after="0"/>
        <w:ind w:firstLine="420" w:firstLineChars="200"/>
        <w:jc w:val="both"/>
        <w:outlineLvl w:val="9"/>
        <w:rPr>
          <w:rFonts w:hint="eastAsia" w:ascii="微软雅黑" w:hAnsi="微软雅黑" w:eastAsia="微软雅黑"/>
          <w:b w:val="0"/>
          <w:bCs w:val="0"/>
          <w:color w:val="auto"/>
          <w:kern w:val="2"/>
          <w:sz w:val="21"/>
          <w:szCs w:val="21"/>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469C6073">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3CF62862">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786E7E89">
      <w:pPr>
        <w:keepNext w:val="0"/>
        <w:keepLines w:val="0"/>
        <w:pageBreakBefore w:val="0"/>
        <w:widowControl/>
        <w:numPr>
          <w:ilvl w:val="-1"/>
          <w:numId w:val="0"/>
        </w:numPr>
        <w:kinsoku/>
        <w:wordWrap/>
        <w:overflowPunct/>
        <w:topLinePunct w:val="0"/>
        <w:autoSpaceDE/>
        <w:autoSpaceDN/>
        <w:bidi w:val="0"/>
        <w:adjustRightInd w:val="0"/>
        <w:snapToGrid w:val="0"/>
        <w:spacing w:before="0" w:after="0" w:afterLines="-2147483648"/>
        <w:ind w:left="0" w:firstLine="420" w:firstLineChars="200"/>
        <w:jc w:val="both"/>
        <w:textAlignment w:val="auto"/>
        <w:outlineLvl w:val="9"/>
        <w:rPr>
          <w:rFonts w:ascii="微软雅黑" w:hAnsi="微软雅黑" w:cs="微软雅黑"/>
          <w:b/>
          <w:bCs/>
          <w:sz w:val="24"/>
          <w:szCs w:val="24"/>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22E7DB57">
      <w:pPr>
        <w:keepNext w:val="0"/>
        <w:keepLines w:val="0"/>
        <w:pageBreakBefore w:val="0"/>
        <w:widowControl/>
        <w:numPr>
          <w:ilvl w:val="0"/>
          <w:numId w:val="12"/>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rPr>
      </w:pPr>
      <w:r>
        <w:rPr>
          <w:rFonts w:hint="eastAsia" w:ascii="微软雅黑" w:hAnsi="微软雅黑" w:cs="微软雅黑"/>
          <w:b/>
          <w:bCs/>
          <w:color w:val="0000FF"/>
          <w:sz w:val="24"/>
          <w:szCs w:val="24"/>
          <w:u w:val="single"/>
          <w:lang w:eastAsia="zh-CN"/>
        </w:rPr>
        <w:fldChar w:fldCharType="begin"/>
      </w:r>
      <w:r>
        <w:rPr>
          <w:rFonts w:hint="eastAsia" w:ascii="微软雅黑" w:hAnsi="微软雅黑" w:cs="微软雅黑"/>
          <w:b/>
          <w:bCs/>
          <w:color w:val="0000FF"/>
          <w:sz w:val="24"/>
          <w:szCs w:val="24"/>
          <w:u w:val="single"/>
          <w:lang w:eastAsia="zh-CN"/>
        </w:rPr>
        <w:instrText xml:space="preserve"> HYPERLINK \l "重要基因变异及潜在靶向药物信息" </w:instrText>
      </w:r>
      <w:r>
        <w:rPr>
          <w:rFonts w:hint="eastAsia" w:ascii="微软雅黑" w:hAnsi="微软雅黑" w:cs="微软雅黑"/>
          <w:b/>
          <w:bCs/>
          <w:color w:val="0000FF"/>
          <w:sz w:val="24"/>
          <w:szCs w:val="24"/>
          <w:u w:val="single"/>
          <w:lang w:eastAsia="zh-CN"/>
        </w:rPr>
        <w:fldChar w:fldCharType="separate"/>
      </w:r>
      <w:r>
        <w:rPr>
          <w:rStyle w:val="21"/>
          <w:rFonts w:hint="eastAsia" w:ascii="微软雅黑" w:hAnsi="微软雅黑" w:cs="微软雅黑"/>
          <w:b/>
          <w:bCs/>
          <w:color w:val="0000FF"/>
          <w:sz w:val="24"/>
          <w:szCs w:val="24"/>
          <w:lang w:eastAsia="zh-CN"/>
        </w:rPr>
        <w:t>依维莫司（Everolimus）</w:t>
      </w:r>
      <w:r>
        <w:rPr>
          <w:rFonts w:hint="eastAsia" w:ascii="微软雅黑" w:hAnsi="微软雅黑" w:cs="微软雅黑"/>
          <w:b/>
          <w:bCs/>
          <w:color w:val="0000FF"/>
          <w:sz w:val="24"/>
          <w:szCs w:val="24"/>
          <w:u w:val="single"/>
          <w:lang w:eastAsia="zh-CN"/>
        </w:rPr>
        <w:fldChar w:fldCharType="end"/>
      </w:r>
    </w:p>
    <w:p w14:paraId="60784F6C">
      <w:pPr>
        <w:spacing w:after="0"/>
        <w:jc w:val="both"/>
        <w:rPr>
          <w:b/>
          <w:bCs/>
          <w:kern w:val="2"/>
        </w:rPr>
      </w:pPr>
      <w:r>
        <w:rPr>
          <w:rFonts w:hint="eastAsia"/>
          <w:b/>
          <w:bCs/>
          <w:kern w:val="2"/>
        </w:rPr>
        <w:t>基因变异与药物关联分析：</w:t>
      </w:r>
    </w:p>
    <w:p w14:paraId="7AC5F660">
      <w:pPr>
        <w:spacing w:after="0"/>
        <w:ind w:firstLine="420" w:firstLineChars="200"/>
        <w:jc w:val="both"/>
        <w:rPr>
          <w:rFonts w:ascii="微软雅黑" w:hAnsi="微软雅黑" w:cs="Arial Unicode MS"/>
          <w:kern w:val="2"/>
          <w:sz w:val="21"/>
          <w:szCs w:val="21"/>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c.34G&gt;T，p.G12C</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lang w:val="en-US" w:eastAsia="zh-CN"/>
        </w:rPr>
        <w:t>因此，该患者</w:t>
      </w:r>
      <w:r>
        <w:rPr>
          <w:rFonts w:hint="eastAsia" w:ascii="微软雅黑" w:hAnsi="微软雅黑" w:cs="Arial Unicode MS"/>
          <w:kern w:val="2"/>
          <w:sz w:val="21"/>
          <w:szCs w:val="21"/>
        </w:rPr>
        <w:t>可能</w:t>
      </w:r>
      <w:r>
        <w:rPr>
          <w:rFonts w:hint="eastAsia" w:ascii="微软雅黑" w:hAnsi="微软雅黑" w:cs="Arial Unicode MS"/>
          <w:kern w:val="2"/>
          <w:sz w:val="21"/>
          <w:szCs w:val="21"/>
          <w:lang w:val="en-US" w:eastAsia="zh-CN"/>
        </w:rPr>
        <w:t>对依维莫司</w:t>
      </w:r>
      <w:r>
        <w:rPr>
          <w:rFonts w:hint="eastAsia" w:ascii="微软雅黑" w:hAnsi="微软雅黑" w:cs="Arial Unicode MS"/>
          <w:kern w:val="2"/>
          <w:sz w:val="21"/>
          <w:szCs w:val="21"/>
        </w:rPr>
        <w:t>的治疗</w:t>
      </w:r>
      <w:r>
        <w:rPr>
          <w:rFonts w:hint="eastAsia" w:ascii="微软雅黑" w:hAnsi="微软雅黑" w:cs="Arial Unicode MS"/>
          <w:kern w:val="2"/>
          <w:sz w:val="21"/>
          <w:szCs w:val="21"/>
          <w:lang w:eastAsia="zh-CN"/>
        </w:rPr>
        <w:t>负相关</w:t>
      </w:r>
      <w:r>
        <w:rPr>
          <w:rFonts w:hint="eastAsia" w:ascii="微软雅黑" w:hAnsi="微软雅黑" w:cs="Arial Unicode MS"/>
          <w:kern w:val="2"/>
          <w:sz w:val="21"/>
          <w:szCs w:val="21"/>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4F4D5EAD">
      <w:pPr>
        <w:spacing w:after="0"/>
        <w:jc w:val="both"/>
        <w:rPr>
          <w:b/>
          <w:bCs/>
          <w:kern w:val="2"/>
        </w:rPr>
      </w:pPr>
      <w:r>
        <w:rPr>
          <w:rFonts w:hint="eastAsia"/>
          <w:b/>
          <w:bCs/>
          <w:kern w:val="2"/>
        </w:rPr>
        <w:t>药物疗效临床解析：</w:t>
      </w:r>
    </w:p>
    <w:p w14:paraId="474FA8F3">
      <w:pPr>
        <w:keepNext w:val="0"/>
        <w:keepLines w:val="0"/>
        <w:pageBreakBefore w:val="0"/>
        <w:widowControl/>
        <w:numPr>
          <w:ilvl w:val="0"/>
          <w:numId w:val="0"/>
        </w:numPr>
        <w:kinsoku/>
        <w:wordWrap/>
        <w:overflowPunct/>
        <w:topLinePunct w:val="0"/>
        <w:autoSpaceDE/>
        <w:autoSpaceDN/>
        <w:bidi w:val="0"/>
        <w:adjustRightInd w:val="0"/>
        <w:snapToGrid w:val="0"/>
        <w:ind w:leftChars="0" w:firstLine="420" w:firstLineChars="200"/>
        <w:jc w:val="both"/>
        <w:textAlignment w:val="auto"/>
        <w:outlineLvl w:val="9"/>
        <w:rPr>
          <w:rStyle w:val="21"/>
          <w:rFonts w:hint="eastAsia" w:ascii="微软雅黑" w:hAnsi="微软雅黑" w:cs="微软雅黑"/>
          <w:b/>
          <w:bCs/>
          <w:color w:val="FF0000"/>
          <w:kern w:val="0"/>
          <w:sz w:val="24"/>
          <w:szCs w:val="24"/>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4F98ACE1">
      <w:pPr>
        <w:ind w:firstLine="420" w:firstLineChars="200"/>
        <w:jc w:val="both"/>
        <w:rPr>
          <w:rFonts w:hint="eastAsia" w:ascii="微软雅黑" w:hAnsi="微软雅黑" w:cs="Times New Roman"/>
          <w:bCs/>
          <w:kern w:val="2"/>
          <w:sz w:val="21"/>
          <w:szCs w:val="21"/>
        </w:rPr>
      </w:pPr>
    </w:p>
    <w:p w14:paraId="5C28CA8F">
      <w:pPr>
        <w:ind w:firstLine="420" w:firstLineChars="200"/>
        <w:jc w:val="both"/>
        <w:rPr>
          <w:rFonts w:hint="eastAsia" w:ascii="微软雅黑" w:hAnsi="微软雅黑" w:cs="Times New Roman"/>
          <w:bCs/>
          <w:kern w:val="2"/>
          <w:sz w:val="21"/>
          <w:szCs w:val="21"/>
        </w:rPr>
      </w:pPr>
    </w:p>
    <w:p w14:paraId="189A0E8A">
      <w:pPr>
        <w:ind w:firstLine="420" w:firstLineChars="200"/>
        <w:jc w:val="both"/>
        <w:rPr>
          <w:rFonts w:hint="eastAsia" w:ascii="微软雅黑" w:hAnsi="微软雅黑" w:cs="Times New Roman"/>
          <w:bCs/>
          <w:kern w:val="2"/>
          <w:sz w:val="21"/>
          <w:szCs w:val="21"/>
        </w:rPr>
      </w:pP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97" w:name="_Toc3535"/>
      <w:r>
        <w:rPr>
          <w:rFonts w:hint="eastAsia" w:ascii="微软雅黑" w:hAnsi="微软雅黑"/>
          <w:b/>
          <w:sz w:val="24"/>
          <w:szCs w:val="24"/>
        </w:rPr>
        <w:t>3. 阅读说明</w:t>
      </w:r>
      <w:bookmarkEnd w:id="197"/>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6"/>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6"/>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98"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98"/>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99" w:name="OLE_LINK106"/>
      <w:r>
        <w:rPr>
          <w:rFonts w:hint="eastAsia" w:ascii="微软雅黑" w:hAnsi="微软雅黑" w:cs="微软雅黑"/>
          <w:sz w:val="21"/>
          <w:szCs w:val="21"/>
        </w:rPr>
        <w:t>ChiCTR</w:t>
      </w:r>
      <w:bookmarkEnd w:id="199"/>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200" w:name="OLE_LINK107"/>
      <w:r>
        <w:rPr>
          <w:rFonts w:hint="eastAsia" w:ascii="微软雅黑" w:hAnsi="微软雅黑" w:cs="微软雅黑"/>
          <w:sz w:val="21"/>
          <w:szCs w:val="21"/>
        </w:rPr>
        <w:t>国内临床试验网站：http://www.chinadrugtrials.org.cn</w:t>
      </w:r>
      <w:bookmarkStart w:id="201" w:name="OLE_LINK104"/>
      <w:r>
        <w:rPr>
          <w:rFonts w:hint="eastAsia" w:ascii="微软雅黑" w:hAnsi="微软雅黑" w:cs="微软雅黑"/>
          <w:sz w:val="21"/>
          <w:szCs w:val="21"/>
        </w:rPr>
        <w:t>、http://www.chictr.org.cn</w:t>
      </w:r>
      <w:bookmarkEnd w:id="200"/>
      <w:bookmarkEnd w:id="201"/>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8"/>
        </w:numPr>
        <w:adjustRightInd/>
        <w:snapToGrid/>
        <w:spacing w:after="0" w:line="264" w:lineRule="auto"/>
        <w:jc w:val="both"/>
        <w:rPr>
          <w:rFonts w:ascii="微软雅黑" w:hAnsi="微软雅黑" w:cs="Arial Unicode MS"/>
          <w:b/>
          <w:bCs/>
          <w:kern w:val="2"/>
          <w:sz w:val="21"/>
          <w:szCs w:val="21"/>
        </w:rPr>
      </w:pPr>
      <w:bookmarkStart w:id="202" w:name="OLE_LINK43"/>
      <w:r>
        <w:rPr>
          <w:rFonts w:hint="eastAsia" w:ascii="微软雅黑" w:hAnsi="微软雅黑" w:cs="Arial Unicode MS"/>
          <w:b/>
          <w:bCs/>
          <w:kern w:val="2"/>
          <w:sz w:val="21"/>
          <w:szCs w:val="21"/>
        </w:rPr>
        <w:t>生殖细胞突变</w:t>
      </w:r>
      <w:bookmarkEnd w:id="202"/>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8"/>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8"/>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numPr>
                <w:ilvl w:val="255"/>
                <w:numId w:val="0"/>
              </w:numPr>
              <w:adjustRightInd/>
              <w:snapToGrid/>
              <w:spacing w:after="0"/>
              <w:jc w:val="center"/>
              <w:rPr>
                <w:rFonts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numPr>
                <w:ilvl w:val="255"/>
                <w:numId w:val="0"/>
              </w:numPr>
              <w:adjustRightInd/>
              <w:snapToGrid/>
              <w:spacing w:after="0"/>
              <w:jc w:val="center"/>
              <w:rPr>
                <w:rFonts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203" w:name="_Toc28254"/>
      <w:r>
        <w:rPr>
          <w:rFonts w:hint="eastAsia" w:ascii="微软雅黑" w:hAnsi="微软雅黑"/>
          <w:b/>
          <w:sz w:val="36"/>
          <w:szCs w:val="36"/>
        </w:rPr>
        <w:t>第四部分：附录</w:t>
      </w:r>
      <w:bookmarkEnd w:id="203"/>
    </w:p>
    <w:p w14:paraId="569DF217">
      <w:pPr>
        <w:numPr>
          <w:ilvl w:val="0"/>
          <w:numId w:val="19"/>
        </w:numPr>
        <w:spacing w:after="240" w:afterLines="100" w:line="288" w:lineRule="auto"/>
        <w:jc w:val="both"/>
        <w:outlineLvl w:val="0"/>
        <w:rPr>
          <w:rFonts w:ascii="微软雅黑" w:hAnsi="微软雅黑"/>
          <w:b/>
          <w:sz w:val="24"/>
          <w:szCs w:val="24"/>
        </w:rPr>
      </w:pPr>
      <w:bookmarkStart w:id="204" w:name="_Toc6659"/>
      <w:bookmarkStart w:id="205" w:name="_Toc11173"/>
      <w:bookmarkStart w:id="206" w:name="_Toc2981"/>
      <w:bookmarkStart w:id="207" w:name="_Toc7531"/>
      <w:bookmarkStart w:id="208" w:name="_Toc6795"/>
      <w:bookmarkStart w:id="209" w:name="_Toc7887"/>
      <w:bookmarkStart w:id="210" w:name="_Toc4199"/>
      <w:bookmarkStart w:id="211" w:name="_Toc30037"/>
      <w:bookmarkStart w:id="212" w:name="_Toc8652"/>
      <w:bookmarkStart w:id="213" w:name="_Toc15057"/>
      <w:bookmarkStart w:id="214" w:name="_Toc28988"/>
      <w:bookmarkStart w:id="215" w:name="_Toc3318"/>
      <w:r>
        <w:rPr>
          <w:rFonts w:hint="eastAsia" w:ascii="微软雅黑" w:hAnsi="微软雅黑"/>
          <w:b/>
          <w:sz w:val="24"/>
          <w:szCs w:val="24"/>
        </w:rPr>
        <w:t>常见问题解答</w:t>
      </w:r>
      <w:bookmarkEnd w:id="204"/>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numPr>
                <w:ilvl w:val="0"/>
                <w:numId w:val="20"/>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numPr>
                <w:ilvl w:val="0"/>
                <w:numId w:val="20"/>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numPr>
                <w:ilvl w:val="0"/>
                <w:numId w:val="20"/>
              </w:numPr>
              <w:spacing w:after="40" w:line="460" w:lineRule="exact"/>
              <w:ind w:left="448" w:hanging="164"/>
              <w:rPr>
                <w:rFonts w:ascii="微软雅黑" w:hAnsi="微软雅黑" w:cs="微软雅黑"/>
                <w:kern w:val="0"/>
                <w:sz w:val="21"/>
                <w:szCs w:val="21"/>
                <w:shd w:val="clear" w:color="auto" w:fill="FFFFFF"/>
              </w:rPr>
            </w:pPr>
            <w:r>
              <w:rPr>
                <w:rFonts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numPr>
                <w:ilvl w:val="255"/>
                <w:numId w:val="0"/>
              </w:numPr>
              <w:spacing w:after="40" w:line="460" w:lineRule="exact"/>
              <w:ind w:left="284" w:firstLine="420" w:firstLineChars="200"/>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numPr>
                <w:ilvl w:val="0"/>
                <w:numId w:val="20"/>
              </w:numPr>
              <w:spacing w:after="40" w:line="460" w:lineRule="exact"/>
              <w:ind w:left="425" w:hanging="142"/>
              <w:rPr>
                <w:rFonts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spacing w:after="40" w:line="460" w:lineRule="exact"/>
              <w:ind w:left="283" w:firstLine="420" w:firstLineChars="200"/>
              <w:rPr>
                <w:rFonts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numPr>
                <w:ilvl w:val="0"/>
                <w:numId w:val="20"/>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numPr>
                <w:ilvl w:val="0"/>
                <w:numId w:val="20"/>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205"/>
    <w:p w14:paraId="39F1532C">
      <w:pPr>
        <w:spacing w:after="0" w:line="288" w:lineRule="auto"/>
        <w:jc w:val="both"/>
        <w:outlineLvl w:val="0"/>
        <w:rPr>
          <w:rFonts w:ascii="微软雅黑" w:hAnsi="微软雅黑"/>
          <w:b/>
          <w:sz w:val="24"/>
          <w:szCs w:val="24"/>
        </w:rPr>
      </w:pPr>
      <w:bookmarkStart w:id="216" w:name="_Toc9100"/>
      <w:bookmarkStart w:id="217" w:name="_Toc21727"/>
      <w:bookmarkStart w:id="218" w:name="OLE_LINK34"/>
      <w:r>
        <w:rPr>
          <w:rFonts w:hint="eastAsia" w:ascii="微软雅黑" w:hAnsi="微软雅黑"/>
          <w:b/>
          <w:sz w:val="24"/>
          <w:szCs w:val="24"/>
        </w:rPr>
        <w:t>2. 结直肠癌诊疗知识</w:t>
      </w:r>
      <w:bookmarkEnd w:id="216"/>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6"/>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7"/>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19" w:name="OLE_LINK8"/>
      <w:r>
        <w:rPr>
          <w:rFonts w:ascii="微软雅黑" w:hAnsi="微软雅黑" w:cs="微软雅黑"/>
          <w:sz w:val="21"/>
          <w:szCs w:val="21"/>
        </w:rPr>
        <w:t>林奇</w:t>
      </w:r>
      <w:bookmarkEnd w:id="219"/>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28"/>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29"/>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0"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20" w:name="OLE_LINK10"/>
      <w:r>
        <w:rPr>
          <w:rFonts w:hint="eastAsia" w:ascii="微软雅黑" w:hAnsi="微软雅黑" w:cs="微软雅黑"/>
          <w:sz w:val="20"/>
          <w:szCs w:val="20"/>
        </w:rPr>
        <w:t>图5 结肠直肠癌发病机制相关信号通路</w:t>
      </w:r>
    </w:p>
    <w:bookmarkEnd w:id="220"/>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1"/>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21" w:name="OLE_LINK6"/>
      <w:r>
        <w:rPr>
          <w:rFonts w:hint="eastAsia" w:ascii="微软雅黑" w:hAnsi="微软雅黑" w:cs="微软雅黑"/>
          <w:sz w:val="21"/>
          <w:szCs w:val="21"/>
        </w:rPr>
        <w:t>4.4.4</w:t>
      </w:r>
      <w:bookmarkEnd w:id="221"/>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3"/>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4"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5"/>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22" w:name="OLE_LINK22"/>
      <w:bookmarkStart w:id="223" w:name="OLE_LINK21"/>
      <w:r>
        <w:rPr>
          <w:rFonts w:hint="eastAsia" w:ascii="微软雅黑" w:hAnsi="微软雅黑" w:cs="微软雅黑"/>
          <w:sz w:val="21"/>
          <w:szCs w:val="21"/>
        </w:rPr>
        <w:t>（microsatellite instability-high，MSI-H）</w:t>
      </w:r>
      <w:bookmarkEnd w:id="222"/>
      <w:bookmarkEnd w:id="223"/>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6"/>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1"/>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24" w:name="_Toc12428"/>
      <w:bookmarkStart w:id="225" w:name="_Toc17460"/>
      <w:r>
        <w:rPr>
          <w:rFonts w:hint="eastAsia" w:ascii="微软雅黑" w:hAnsi="微软雅黑"/>
          <w:b/>
          <w:sz w:val="24"/>
          <w:szCs w:val="24"/>
        </w:rPr>
        <w:t>3. 癌症相关信号通路</w:t>
      </w:r>
      <w:bookmarkEnd w:id="206"/>
      <w:bookmarkEnd w:id="207"/>
      <w:bookmarkEnd w:id="208"/>
      <w:bookmarkEnd w:id="209"/>
      <w:bookmarkEnd w:id="210"/>
      <w:bookmarkEnd w:id="211"/>
      <w:bookmarkEnd w:id="212"/>
      <w:bookmarkEnd w:id="213"/>
      <w:bookmarkEnd w:id="214"/>
      <w:bookmarkEnd w:id="215"/>
      <w:bookmarkEnd w:id="217"/>
      <w:bookmarkEnd w:id="224"/>
      <w:bookmarkEnd w:id="225"/>
    </w:p>
    <w:bookmarkEnd w:id="218"/>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ascii="微软雅黑" w:hAnsi="微软雅黑" w:cs="微软雅黑"/>
                <w:kern w:val="2"/>
                <w:sz w:val="18"/>
                <w:szCs w:val="18"/>
              </w:rPr>
              <w:t>（</w:t>
            </w:r>
            <w:r>
              <w:rPr>
                <w:rFonts w:hint="eastAsia" w:ascii="微软雅黑" w:hAnsi="微软雅黑" w:cs="微软雅黑"/>
                <w:kern w:val="2"/>
                <w:sz w:val="18"/>
                <w:szCs w:val="18"/>
              </w:rPr>
              <w:t>如EGF、HGF</w:t>
            </w:r>
            <w:r>
              <w:rPr>
                <w:rFonts w:ascii="微软雅黑" w:hAnsi="微软雅黑" w:cs="微软雅黑"/>
                <w:kern w:val="2"/>
                <w:sz w:val="18"/>
                <w:szCs w:val="18"/>
              </w:rPr>
              <w:t>）</w:t>
            </w:r>
            <w:r>
              <w:rPr>
                <w:rFonts w:hint="eastAsia" w:ascii="微软雅黑" w:hAnsi="微软雅黑" w:cs="微软雅黑"/>
                <w:kern w:val="2"/>
                <w:sz w:val="18"/>
                <w:szCs w:val="18"/>
              </w:rPr>
              <w:t>与受体酪氨酸激酶</w:t>
            </w:r>
            <w:r>
              <w:rPr>
                <w:rFonts w:ascii="微软雅黑" w:hAnsi="微软雅黑" w:cs="微软雅黑"/>
                <w:kern w:val="2"/>
                <w:sz w:val="18"/>
                <w:szCs w:val="18"/>
              </w:rPr>
              <w:t>（</w:t>
            </w:r>
            <w:r>
              <w:rPr>
                <w:rFonts w:hint="eastAsia" w:ascii="微软雅黑" w:hAnsi="微软雅黑" w:cs="微软雅黑"/>
                <w:kern w:val="2"/>
                <w:sz w:val="18"/>
                <w:szCs w:val="18"/>
              </w:rPr>
              <w:t>RTK</w:t>
            </w:r>
            <w:r>
              <w:rPr>
                <w:rFonts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ascii="微软雅黑" w:hAnsi="微软雅黑" w:cs="微软雅黑"/>
                <w:kern w:val="2"/>
                <w:sz w:val="18"/>
                <w:szCs w:val="18"/>
              </w:rPr>
              <w:t>（</w:t>
            </w:r>
            <w:r>
              <w:rPr>
                <w:rFonts w:hint="eastAsia" w:ascii="微软雅黑" w:hAnsi="微软雅黑" w:cs="微软雅黑"/>
                <w:kern w:val="2"/>
                <w:sz w:val="18"/>
                <w:szCs w:val="18"/>
              </w:rPr>
              <w:t>IRS-1</w:t>
            </w:r>
            <w:r>
              <w:rPr>
                <w:rFonts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ascii="微软雅黑" w:hAnsi="微软雅黑" w:cs="微软雅黑"/>
                <w:kern w:val="2"/>
                <w:sz w:val="18"/>
                <w:szCs w:val="18"/>
              </w:rPr>
              <w:t>-</w:t>
            </w:r>
            <w:r>
              <w:rPr>
                <w:rFonts w:hint="eastAsia" w:ascii="微软雅黑" w:hAnsi="微软雅黑" w:cs="微软雅黑"/>
                <w:kern w:val="2"/>
                <w:sz w:val="18"/>
                <w:szCs w:val="18"/>
              </w:rPr>
              <w:t>激酶</w:t>
            </w:r>
            <w:r>
              <w:rPr>
                <w:rFonts w:ascii="微软雅黑" w:hAnsi="微软雅黑" w:cs="微软雅黑"/>
                <w:kern w:val="2"/>
                <w:sz w:val="18"/>
                <w:szCs w:val="18"/>
              </w:rPr>
              <w:t>（</w:t>
            </w:r>
            <w:r>
              <w:rPr>
                <w:rFonts w:hint="eastAsia" w:ascii="微软雅黑" w:hAnsi="微软雅黑" w:cs="微软雅黑"/>
                <w:kern w:val="2"/>
                <w:sz w:val="18"/>
                <w:szCs w:val="18"/>
              </w:rPr>
              <w:t>PI3K</w:t>
            </w:r>
            <w:r>
              <w:rPr>
                <w:rFonts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ascii="微软雅黑" w:hAnsi="微软雅黑" w:cs="微软雅黑"/>
                <w:kern w:val="2"/>
                <w:sz w:val="18"/>
                <w:szCs w:val="18"/>
              </w:rPr>
              <w:t>（</w:t>
            </w:r>
            <w:r>
              <w:rPr>
                <w:rFonts w:hint="eastAsia" w:ascii="微软雅黑" w:hAnsi="微软雅黑" w:cs="微软雅黑"/>
                <w:kern w:val="2"/>
                <w:sz w:val="18"/>
                <w:szCs w:val="18"/>
              </w:rPr>
              <w:t>PIP2</w:t>
            </w:r>
            <w:r>
              <w:rPr>
                <w:rFonts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spacing w:after="0" w:line="220" w:lineRule="atLeast"/>
              <w:jc w:val="both"/>
              <w:rPr>
                <w:rFonts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7"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widowControl w:val="0"/>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FG</w:t>
            </w:r>
            <w:r>
              <w:rPr>
                <w:rFonts w:ascii="微软雅黑" w:hAnsi="微软雅黑" w:cs="微软雅黑"/>
                <w:color w:val="000000" w:themeColor="text1"/>
                <w:kern w:val="2"/>
                <w:sz w:val="18"/>
                <w:szCs w:val="18"/>
                <w14:textFill>
                  <w14:solidFill>
                    <w14:schemeClr w14:val="tx1"/>
                  </w14:solidFill>
                </w14:textFill>
              </w:rPr>
              <w:t>FR4 KRAS RET A</w:t>
            </w:r>
            <w:r>
              <w:rPr>
                <w:rFonts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38"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ascii="微软雅黑" w:hAnsi="微软雅黑" w:cs="微软雅黑"/>
                <w:color w:val="000000" w:themeColor="text1"/>
                <w:kern w:val="2"/>
                <w:sz w:val="18"/>
                <w:szCs w:val="18"/>
                <w14:textFill>
                  <w14:solidFill>
                    <w14:schemeClr w14:val="tx1"/>
                  </w14:solidFill>
                </w14:textFill>
              </w:rPr>
              <w:t xml:space="preserve">RUNX2 </w:t>
            </w:r>
            <w:r>
              <w:rPr>
                <w:rFonts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39"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spacing w:after="0"/>
              <w:jc w:val="both"/>
              <w:rPr>
                <w:rFonts w:ascii="微软雅黑" w:hAnsi="微软雅黑" w:cs="微软雅黑"/>
                <w:kern w:val="2"/>
                <w:sz w:val="18"/>
                <w:szCs w:val="18"/>
              </w:rPr>
            </w:pPr>
            <w:r>
              <w:rPr>
                <w:rFonts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0"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spacing w:after="0"/>
              <w:jc w:val="both"/>
              <w:rPr>
                <w:rFonts w:ascii="微软雅黑" w:hAnsi="微软雅黑" w:cs="微软雅黑"/>
                <w:kern w:val="2"/>
                <w:sz w:val="18"/>
                <w:szCs w:val="18"/>
              </w:rPr>
            </w:pPr>
            <w:r>
              <w:rPr>
                <w:rFonts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PTCH1 REL </w:t>
            </w:r>
            <w:r>
              <w:rPr>
                <w:rFonts w:ascii="微软雅黑" w:hAnsi="微软雅黑" w:cs="微软雅黑"/>
                <w:color w:val="000000" w:themeColor="text1"/>
                <w:kern w:val="2"/>
                <w:sz w:val="18"/>
                <w:szCs w:val="18"/>
                <w14:textFill>
                  <w14:solidFill>
                    <w14:schemeClr w14:val="tx1"/>
                  </w14:solidFill>
                </w14:textFill>
              </w:rPr>
              <w:t xml:space="preserve">RUNX21 </w:t>
            </w:r>
            <w:r>
              <w:rPr>
                <w:rFonts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1"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spacing w:after="0"/>
              <w:jc w:val="both"/>
              <w:rPr>
                <w:rFonts w:ascii="微软雅黑" w:hAnsi="微软雅黑" w:cs="微软雅黑"/>
                <w:kern w:val="2"/>
                <w:sz w:val="18"/>
                <w:szCs w:val="18"/>
              </w:rPr>
            </w:pPr>
            <w:r>
              <w:rPr>
                <w:rFonts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GNA11 GNA13 GNAQ GNAS GSK3B PTCH1 PTCH2 </w:t>
            </w:r>
            <w:r>
              <w:rPr>
                <w:rFonts w:ascii="微软雅黑" w:hAnsi="微软雅黑" w:cs="微软雅黑"/>
                <w:color w:val="000000" w:themeColor="text1"/>
                <w:kern w:val="2"/>
                <w:sz w:val="18"/>
                <w:szCs w:val="18"/>
                <w14:textFill>
                  <w14:solidFill>
                    <w14:schemeClr w14:val="tx1"/>
                  </w14:solidFill>
                </w14:textFill>
              </w:rPr>
              <w:t>RUNX2</w:t>
            </w:r>
            <w:r>
              <w:rPr>
                <w:rFonts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2"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spacing w:after="0" w:line="220" w:lineRule="atLeast"/>
              <w:rPr>
                <w:rFonts w:ascii="微软雅黑" w:hAnsi="微软雅黑" w:cs="Times New Roman"/>
                <w:b/>
                <w:color w:val="F9FBFA"/>
                <w:kern w:val="2"/>
                <w:sz w:val="20"/>
                <w:szCs w:val="20"/>
              </w:rPr>
            </w:pPr>
            <w:bookmarkStart w:id="226" w:name="OLE_LINK33"/>
            <w:r>
              <w:rPr>
                <w:rFonts w:ascii="微软雅黑" w:hAnsi="微软雅黑" w:cs="Times New Roman"/>
                <w:b/>
                <w:color w:val="F9FBFA"/>
                <w:kern w:val="2"/>
                <w:sz w:val="20"/>
                <w:szCs w:val="20"/>
              </w:rPr>
              <w:t>Cell cycle signaling pathway</w:t>
            </w:r>
            <w:bookmarkEnd w:id="226"/>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ascii="微软雅黑" w:hAnsi="微软雅黑" w:cs="微软雅黑"/>
                <w:kern w:val="2"/>
                <w:sz w:val="18"/>
                <w:szCs w:val="18"/>
              </w:rPr>
              <w:t xml:space="preserve"> RB1/E2F</w:t>
            </w:r>
            <w:r>
              <w:rPr>
                <w:rFonts w:hint="eastAsia" w:ascii="微软雅黑" w:hAnsi="微软雅黑" w:cs="微软雅黑"/>
                <w:kern w:val="2"/>
                <w:sz w:val="18"/>
                <w:szCs w:val="18"/>
              </w:rPr>
              <w:t>、</w:t>
            </w:r>
            <w:r>
              <w:rPr>
                <w:rFonts w:ascii="微软雅黑" w:hAnsi="微软雅黑" w:cs="微软雅黑"/>
                <w:kern w:val="2"/>
                <w:sz w:val="18"/>
                <w:szCs w:val="18"/>
              </w:rPr>
              <w:t>CDK2+cyclin E</w:t>
            </w:r>
            <w:r>
              <w:rPr>
                <w:rFonts w:hint="eastAsia" w:ascii="微软雅黑" w:hAnsi="微软雅黑" w:cs="微软雅黑"/>
                <w:kern w:val="2"/>
                <w:sz w:val="18"/>
                <w:szCs w:val="18"/>
              </w:rPr>
              <w:t>、</w:t>
            </w:r>
            <w:r>
              <w:rPr>
                <w:rFonts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3"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ascii="微软雅黑" w:hAnsi="微软雅黑" w:cs="微软雅黑"/>
                <w:kern w:val="2"/>
                <w:sz w:val="18"/>
                <w:szCs w:val="18"/>
              </w:rPr>
              <w:t>和</w:t>
            </w:r>
            <w:r>
              <w:rPr>
                <w:rFonts w:hint="eastAsia" w:ascii="微软雅黑" w:hAnsi="微软雅黑" w:cs="微软雅黑"/>
                <w:kern w:val="2"/>
                <w:sz w:val="18"/>
                <w:szCs w:val="18"/>
              </w:rPr>
              <w:t>内源性通路</w:t>
            </w:r>
            <w:r>
              <w:rPr>
                <w:rFonts w:ascii="微软雅黑" w:hAnsi="微软雅黑" w:cs="微软雅黑"/>
                <w:kern w:val="2"/>
                <w:sz w:val="18"/>
                <w:szCs w:val="18"/>
              </w:rPr>
              <w:t>。</w:t>
            </w:r>
            <w:r>
              <w:rPr>
                <w:rFonts w:hint="eastAsia" w:ascii="微软雅黑" w:hAnsi="微软雅黑" w:cs="微软雅黑"/>
                <w:kern w:val="2"/>
                <w:sz w:val="18"/>
                <w:szCs w:val="18"/>
              </w:rPr>
              <w:t>外源性</w:t>
            </w:r>
            <w:r>
              <w:rPr>
                <w:rFonts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ascii="微软雅黑" w:hAnsi="微软雅黑" w:cs="微软雅黑"/>
                <w:kern w:val="2"/>
                <w:sz w:val="18"/>
                <w:szCs w:val="18"/>
              </w:rPr>
              <w:t>。</w:t>
            </w:r>
            <w:r>
              <w:rPr>
                <w:rFonts w:hint="eastAsia" w:ascii="微软雅黑" w:hAnsi="微软雅黑" w:cs="微软雅黑"/>
                <w:kern w:val="2"/>
                <w:sz w:val="18"/>
                <w:szCs w:val="18"/>
              </w:rPr>
              <w:t>细胞内事件包括</w:t>
            </w:r>
            <w:r>
              <w:rPr>
                <w:rFonts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spacing w:after="0"/>
              <w:rPr>
                <w:rFonts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4"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spacing w:after="0" w:line="220" w:lineRule="atLeast"/>
              <w:jc w:val="center"/>
              <w:rPr>
                <w:rFonts w:ascii="微软雅黑" w:hAnsi="微软雅黑" w:cs="Times New Roman"/>
                <w:b/>
                <w:color w:val="F9FBFA"/>
                <w:kern w:val="2"/>
                <w:sz w:val="20"/>
                <w:szCs w:val="20"/>
              </w:rPr>
            </w:pPr>
            <w:bookmarkStart w:id="227" w:name="OLE_LINK49" w:colFirst="0" w:colLast="0"/>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spacing w:after="0" w:line="220" w:lineRule="atLeast"/>
              <w:rPr>
                <w:rFonts w:ascii="微软雅黑" w:hAnsi="微软雅黑" w:cs="Times New Roman"/>
                <w:b/>
                <w:color w:val="F9FBFA"/>
                <w:kern w:val="2"/>
                <w:sz w:val="20"/>
                <w:szCs w:val="20"/>
              </w:rPr>
            </w:pPr>
            <w:bookmarkStart w:id="228" w:name="OLE_LINK48"/>
            <w:r>
              <w:rPr>
                <w:rFonts w:ascii="微软雅黑" w:hAnsi="微软雅黑" w:cs="Times New Roman"/>
                <w:b/>
                <w:color w:val="F9FBFA"/>
                <w:kern w:val="2"/>
                <w:sz w:val="20"/>
                <w:szCs w:val="20"/>
              </w:rPr>
              <w:t>DNA damage/repair signaling pathway</w:t>
            </w:r>
            <w:bookmarkEnd w:id="228"/>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w:t>
            </w:r>
            <w:r>
              <w:rPr>
                <w:rFonts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ascii="微软雅黑" w:hAnsi="微软雅黑" w:cs="微软雅黑"/>
                <w:kern w:val="2"/>
                <w:sz w:val="18"/>
                <w:szCs w:val="18"/>
              </w:rPr>
              <w:t xml:space="preserve"> </w:t>
            </w:r>
            <w:r>
              <w:rPr>
                <w:rFonts w:hint="eastAsia" w:ascii="微软雅黑" w:hAnsi="微软雅黑" w:cs="微软雅黑"/>
                <w:kern w:val="2"/>
                <w:sz w:val="18"/>
                <w:szCs w:val="18"/>
              </w:rPr>
              <w:t>ATR</w:t>
            </w:r>
            <w:r>
              <w:rPr>
                <w:rFonts w:ascii="微软雅黑" w:hAnsi="微软雅黑" w:cs="微软雅黑"/>
                <w:kern w:val="2"/>
                <w:sz w:val="18"/>
                <w:szCs w:val="18"/>
              </w:rPr>
              <w:t xml:space="preserve"> </w:t>
            </w:r>
            <w:r>
              <w:rPr>
                <w:rFonts w:hint="eastAsia" w:ascii="微软雅黑" w:hAnsi="微软雅黑" w:cs="微软雅黑"/>
                <w:kern w:val="2"/>
                <w:sz w:val="18"/>
                <w:szCs w:val="18"/>
              </w:rPr>
              <w:t>BARD1</w:t>
            </w:r>
            <w:r>
              <w:rPr>
                <w:rFonts w:ascii="微软雅黑" w:hAnsi="微软雅黑" w:cs="微软雅黑"/>
                <w:kern w:val="2"/>
                <w:sz w:val="18"/>
                <w:szCs w:val="18"/>
              </w:rPr>
              <w:t xml:space="preserve"> </w:t>
            </w:r>
            <w:r>
              <w:rPr>
                <w:rFonts w:hint="eastAsia" w:ascii="微软雅黑" w:hAnsi="微软雅黑" w:cs="微软雅黑"/>
                <w:kern w:val="2"/>
                <w:sz w:val="18"/>
                <w:szCs w:val="18"/>
              </w:rPr>
              <w:t>BAX</w:t>
            </w:r>
            <w:r>
              <w:rPr>
                <w:rFonts w:ascii="微软雅黑" w:hAnsi="微软雅黑" w:cs="微软雅黑"/>
                <w:kern w:val="2"/>
                <w:sz w:val="18"/>
                <w:szCs w:val="18"/>
              </w:rPr>
              <w:t xml:space="preserve"> </w:t>
            </w:r>
            <w:r>
              <w:rPr>
                <w:rFonts w:hint="eastAsia" w:ascii="微软雅黑" w:hAnsi="微软雅黑" w:cs="微软雅黑"/>
                <w:kern w:val="2"/>
                <w:sz w:val="18"/>
                <w:szCs w:val="18"/>
              </w:rPr>
              <w:t>BCL6</w:t>
            </w:r>
            <w:r>
              <w:rPr>
                <w:rFonts w:ascii="微软雅黑" w:hAnsi="微软雅黑" w:cs="微软雅黑"/>
                <w:kern w:val="2"/>
                <w:sz w:val="18"/>
                <w:szCs w:val="18"/>
              </w:rPr>
              <w:t xml:space="preserve"> </w:t>
            </w:r>
            <w:r>
              <w:rPr>
                <w:rFonts w:hint="eastAsia" w:ascii="微软雅黑" w:hAnsi="微软雅黑" w:cs="微软雅黑"/>
                <w:kern w:val="2"/>
                <w:sz w:val="18"/>
                <w:szCs w:val="18"/>
              </w:rPr>
              <w:t>BLM</w:t>
            </w:r>
            <w:r>
              <w:rPr>
                <w:rFonts w:ascii="微软雅黑" w:hAnsi="微软雅黑" w:cs="微软雅黑"/>
                <w:kern w:val="2"/>
                <w:sz w:val="18"/>
                <w:szCs w:val="18"/>
              </w:rPr>
              <w:t xml:space="preserve"> </w:t>
            </w:r>
            <w:r>
              <w:rPr>
                <w:rFonts w:hint="eastAsia" w:ascii="微软雅黑" w:hAnsi="微软雅黑" w:cs="微软雅黑"/>
                <w:kern w:val="2"/>
                <w:sz w:val="18"/>
                <w:szCs w:val="18"/>
              </w:rPr>
              <w:t>BRCA2</w:t>
            </w:r>
            <w:r>
              <w:rPr>
                <w:rFonts w:ascii="微软雅黑" w:hAnsi="微软雅黑" w:cs="微软雅黑"/>
                <w:kern w:val="2"/>
                <w:sz w:val="18"/>
                <w:szCs w:val="18"/>
              </w:rPr>
              <w:t xml:space="preserve"> </w:t>
            </w:r>
            <w:r>
              <w:rPr>
                <w:rFonts w:hint="eastAsia" w:ascii="微软雅黑" w:hAnsi="微软雅黑" w:cs="微软雅黑"/>
                <w:kern w:val="2"/>
                <w:sz w:val="18"/>
                <w:szCs w:val="18"/>
              </w:rPr>
              <w:t>BRCA1</w:t>
            </w:r>
            <w:r>
              <w:rPr>
                <w:rFonts w:ascii="微软雅黑" w:hAnsi="微软雅黑" w:cs="微软雅黑"/>
                <w:kern w:val="2"/>
                <w:sz w:val="18"/>
                <w:szCs w:val="18"/>
              </w:rPr>
              <w:t xml:space="preserve"> </w:t>
            </w:r>
            <w:r>
              <w:rPr>
                <w:rFonts w:hint="eastAsia" w:ascii="微软雅黑" w:hAnsi="微软雅黑" w:cs="微软雅黑"/>
                <w:kern w:val="2"/>
                <w:sz w:val="18"/>
                <w:szCs w:val="18"/>
              </w:rPr>
              <w:t>BRIP1</w:t>
            </w:r>
            <w:r>
              <w:rPr>
                <w:rFonts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ascii="微软雅黑" w:hAnsi="微软雅黑" w:cs="微软雅黑"/>
                <w:kern w:val="2"/>
                <w:sz w:val="18"/>
                <w:szCs w:val="18"/>
              </w:rPr>
              <w:t xml:space="preserve"> </w:t>
            </w:r>
            <w:r>
              <w:rPr>
                <w:rFonts w:hint="eastAsia" w:ascii="微软雅黑" w:hAnsi="微软雅黑" w:cs="微软雅黑"/>
                <w:kern w:val="2"/>
                <w:sz w:val="18"/>
                <w:szCs w:val="18"/>
              </w:rPr>
              <w:t>CDK1</w:t>
            </w:r>
            <w:r>
              <w:rPr>
                <w:rFonts w:ascii="微软雅黑" w:hAnsi="微软雅黑" w:cs="微软雅黑"/>
                <w:kern w:val="2"/>
                <w:sz w:val="18"/>
                <w:szCs w:val="18"/>
              </w:rPr>
              <w:t xml:space="preserve"> </w:t>
            </w:r>
            <w:r>
              <w:rPr>
                <w:rFonts w:hint="eastAsia" w:ascii="微软雅黑" w:hAnsi="微软雅黑" w:cs="微软雅黑"/>
                <w:kern w:val="2"/>
                <w:sz w:val="18"/>
                <w:szCs w:val="18"/>
              </w:rPr>
              <w:t>CDK12</w:t>
            </w:r>
            <w:r>
              <w:rPr>
                <w:rFonts w:ascii="微软雅黑" w:hAnsi="微软雅黑" w:cs="微软雅黑"/>
                <w:kern w:val="2"/>
                <w:sz w:val="18"/>
                <w:szCs w:val="18"/>
              </w:rPr>
              <w:t xml:space="preserve"> </w:t>
            </w:r>
            <w:r>
              <w:rPr>
                <w:rFonts w:hint="eastAsia" w:ascii="微软雅黑" w:hAnsi="微软雅黑" w:cs="微软雅黑"/>
                <w:kern w:val="2"/>
                <w:sz w:val="18"/>
                <w:szCs w:val="18"/>
              </w:rPr>
              <w:t>CDK2</w:t>
            </w:r>
            <w:r>
              <w:rPr>
                <w:rFonts w:ascii="微软雅黑" w:hAnsi="微软雅黑" w:cs="微软雅黑"/>
                <w:kern w:val="2"/>
                <w:sz w:val="18"/>
                <w:szCs w:val="18"/>
              </w:rPr>
              <w:t xml:space="preserve"> </w:t>
            </w:r>
            <w:r>
              <w:rPr>
                <w:rFonts w:hint="eastAsia" w:ascii="微软雅黑" w:hAnsi="微软雅黑" w:cs="微软雅黑"/>
                <w:kern w:val="2"/>
                <w:sz w:val="18"/>
                <w:szCs w:val="18"/>
              </w:rPr>
              <w:t>CDK4</w:t>
            </w:r>
            <w:r>
              <w:rPr>
                <w:rFonts w:ascii="微软雅黑" w:hAnsi="微软雅黑" w:cs="微软雅黑"/>
                <w:kern w:val="2"/>
                <w:sz w:val="18"/>
                <w:szCs w:val="18"/>
              </w:rPr>
              <w:t xml:space="preserve"> </w:t>
            </w:r>
            <w:r>
              <w:rPr>
                <w:rFonts w:hint="eastAsia" w:ascii="微软雅黑" w:hAnsi="微软雅黑" w:cs="微软雅黑"/>
                <w:kern w:val="2"/>
                <w:sz w:val="18"/>
                <w:szCs w:val="18"/>
              </w:rPr>
              <w:t>CDK5</w:t>
            </w:r>
            <w:r>
              <w:rPr>
                <w:rFonts w:ascii="微软雅黑" w:hAnsi="微软雅黑" w:cs="微软雅黑"/>
                <w:kern w:val="2"/>
                <w:sz w:val="18"/>
                <w:szCs w:val="18"/>
              </w:rPr>
              <w:t xml:space="preserve"> </w:t>
            </w:r>
            <w:r>
              <w:rPr>
                <w:rFonts w:hint="eastAsia" w:ascii="微软雅黑" w:hAnsi="微软雅黑" w:cs="微软雅黑"/>
                <w:kern w:val="2"/>
                <w:sz w:val="18"/>
                <w:szCs w:val="18"/>
              </w:rPr>
              <w:t>CDK6</w:t>
            </w:r>
            <w:r>
              <w:rPr>
                <w:rFonts w:ascii="微软雅黑" w:hAnsi="微软雅黑" w:cs="微软雅黑"/>
                <w:kern w:val="2"/>
                <w:sz w:val="18"/>
                <w:szCs w:val="18"/>
              </w:rPr>
              <w:t xml:space="preserve"> </w:t>
            </w:r>
            <w:r>
              <w:rPr>
                <w:rFonts w:hint="eastAsia" w:ascii="微软雅黑" w:hAnsi="微软雅黑" w:cs="微软雅黑"/>
                <w:kern w:val="2"/>
                <w:sz w:val="18"/>
                <w:szCs w:val="18"/>
              </w:rPr>
              <w:t>CDKN1A</w:t>
            </w:r>
            <w:r>
              <w:rPr>
                <w:rFonts w:ascii="微软雅黑" w:hAnsi="微软雅黑" w:cs="微软雅黑"/>
                <w:kern w:val="2"/>
                <w:sz w:val="18"/>
                <w:szCs w:val="18"/>
              </w:rPr>
              <w:t xml:space="preserve"> </w:t>
            </w:r>
            <w:r>
              <w:rPr>
                <w:rFonts w:hint="eastAsia" w:ascii="微软雅黑" w:hAnsi="微软雅黑" w:cs="微软雅黑"/>
                <w:kern w:val="2"/>
                <w:sz w:val="18"/>
                <w:szCs w:val="18"/>
              </w:rPr>
              <w:t>CDKN2A</w:t>
            </w:r>
            <w:r>
              <w:rPr>
                <w:rFonts w:ascii="微软雅黑" w:hAnsi="微软雅黑" w:cs="微软雅黑"/>
                <w:kern w:val="2"/>
                <w:sz w:val="18"/>
                <w:szCs w:val="18"/>
              </w:rPr>
              <w:t xml:space="preserve"> </w:t>
            </w:r>
            <w:r>
              <w:rPr>
                <w:rFonts w:hint="eastAsia" w:ascii="微软雅黑" w:hAnsi="微软雅黑" w:cs="微软雅黑"/>
                <w:kern w:val="2"/>
                <w:sz w:val="18"/>
                <w:szCs w:val="18"/>
              </w:rPr>
              <w:t>CHD2</w:t>
            </w:r>
            <w:r>
              <w:rPr>
                <w:rFonts w:ascii="微软雅黑" w:hAnsi="微软雅黑" w:cs="微软雅黑"/>
                <w:kern w:val="2"/>
                <w:sz w:val="18"/>
                <w:szCs w:val="18"/>
              </w:rPr>
              <w:t xml:space="preserve"> </w:t>
            </w:r>
            <w:r>
              <w:rPr>
                <w:rFonts w:hint="eastAsia" w:ascii="微软雅黑" w:hAnsi="微软雅黑" w:cs="微软雅黑"/>
                <w:kern w:val="2"/>
                <w:sz w:val="18"/>
                <w:szCs w:val="18"/>
              </w:rPr>
              <w:t>CHD4</w:t>
            </w:r>
            <w:r>
              <w:rPr>
                <w:rFonts w:ascii="微软雅黑" w:hAnsi="微软雅黑" w:cs="微软雅黑"/>
                <w:kern w:val="2"/>
                <w:sz w:val="18"/>
                <w:szCs w:val="18"/>
              </w:rPr>
              <w:t xml:space="preserve"> </w:t>
            </w:r>
            <w:r>
              <w:rPr>
                <w:rFonts w:hint="eastAsia" w:ascii="微软雅黑" w:hAnsi="微软雅黑" w:cs="微软雅黑"/>
                <w:kern w:val="2"/>
                <w:sz w:val="18"/>
                <w:szCs w:val="18"/>
              </w:rPr>
              <w:t>CHEK1</w:t>
            </w:r>
            <w:r>
              <w:rPr>
                <w:rFonts w:ascii="微软雅黑" w:hAnsi="微软雅黑" w:cs="微软雅黑"/>
                <w:kern w:val="2"/>
                <w:sz w:val="18"/>
                <w:szCs w:val="18"/>
              </w:rPr>
              <w:t xml:space="preserve"> </w:t>
            </w:r>
            <w:r>
              <w:rPr>
                <w:rFonts w:hint="eastAsia" w:ascii="微软雅黑" w:hAnsi="微软雅黑" w:cs="微软雅黑"/>
                <w:kern w:val="2"/>
                <w:sz w:val="18"/>
                <w:szCs w:val="18"/>
              </w:rPr>
              <w:t>CHEK2</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ascii="微软雅黑" w:hAnsi="微软雅黑" w:cs="微软雅黑"/>
                <w:kern w:val="2"/>
                <w:sz w:val="18"/>
                <w:szCs w:val="18"/>
              </w:rPr>
              <w:t xml:space="preserve"> </w:t>
            </w:r>
            <w:r>
              <w:rPr>
                <w:rFonts w:hint="eastAsia" w:ascii="微软雅黑" w:hAnsi="微软雅黑" w:cs="微软雅黑"/>
                <w:kern w:val="2"/>
                <w:sz w:val="18"/>
                <w:szCs w:val="18"/>
              </w:rPr>
              <w:t>EZH2</w:t>
            </w:r>
            <w:r>
              <w:rPr>
                <w:rFonts w:ascii="微软雅黑" w:hAnsi="微软雅黑" w:cs="微软雅黑"/>
                <w:kern w:val="2"/>
                <w:sz w:val="18"/>
                <w:szCs w:val="18"/>
              </w:rPr>
              <w:t xml:space="preserve"> </w:t>
            </w:r>
            <w:r>
              <w:rPr>
                <w:rFonts w:hint="eastAsia" w:ascii="微软雅黑" w:hAnsi="微软雅黑" w:cs="微软雅黑"/>
                <w:kern w:val="2"/>
                <w:sz w:val="18"/>
                <w:szCs w:val="18"/>
              </w:rPr>
              <w:t>FANCA</w:t>
            </w:r>
            <w:r>
              <w:rPr>
                <w:rFonts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ascii="微软雅黑" w:hAnsi="微软雅黑" w:cs="微软雅黑"/>
                <w:kern w:val="2"/>
                <w:sz w:val="18"/>
                <w:szCs w:val="18"/>
              </w:rPr>
              <w:t xml:space="preserve"> </w:t>
            </w:r>
            <w:r>
              <w:rPr>
                <w:rFonts w:hint="eastAsia" w:ascii="微软雅黑" w:hAnsi="微软雅黑" w:cs="微软雅黑"/>
                <w:kern w:val="2"/>
                <w:sz w:val="18"/>
                <w:szCs w:val="18"/>
              </w:rPr>
              <w:t>FANCG</w:t>
            </w:r>
            <w:r>
              <w:rPr>
                <w:rFonts w:ascii="微软雅黑" w:hAnsi="微软雅黑" w:cs="微软雅黑"/>
                <w:kern w:val="2"/>
                <w:sz w:val="18"/>
                <w:szCs w:val="18"/>
              </w:rPr>
              <w:t xml:space="preserve"> </w:t>
            </w:r>
            <w:r>
              <w:rPr>
                <w:rFonts w:hint="eastAsia" w:ascii="微软雅黑" w:hAnsi="微软雅黑" w:cs="微软雅黑"/>
                <w:kern w:val="2"/>
                <w:sz w:val="18"/>
                <w:szCs w:val="18"/>
              </w:rPr>
              <w:t>FANCL</w:t>
            </w:r>
            <w:r>
              <w:rPr>
                <w:rFonts w:ascii="微软雅黑" w:hAnsi="微软雅黑" w:cs="微软雅黑"/>
                <w:kern w:val="2"/>
                <w:sz w:val="18"/>
                <w:szCs w:val="18"/>
              </w:rPr>
              <w:t xml:space="preserve"> </w:t>
            </w:r>
            <w:r>
              <w:rPr>
                <w:rFonts w:hint="eastAsia" w:ascii="微软雅黑" w:hAnsi="微软雅黑" w:cs="微软雅黑"/>
                <w:kern w:val="2"/>
                <w:sz w:val="18"/>
                <w:szCs w:val="18"/>
              </w:rPr>
              <w:t>FANCM</w:t>
            </w:r>
            <w:r>
              <w:rPr>
                <w:rFonts w:ascii="微软雅黑" w:hAnsi="微软雅黑" w:cs="微软雅黑"/>
                <w:kern w:val="2"/>
                <w:sz w:val="18"/>
                <w:szCs w:val="18"/>
              </w:rPr>
              <w:t xml:space="preserve"> </w:t>
            </w:r>
            <w:r>
              <w:rPr>
                <w:rFonts w:hint="eastAsia" w:ascii="微软雅黑" w:hAnsi="微软雅黑" w:cs="微软雅黑"/>
                <w:kern w:val="2"/>
                <w:sz w:val="18"/>
                <w:szCs w:val="18"/>
              </w:rPr>
              <w:t>FAS</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ascii="微软雅黑" w:hAnsi="微软雅黑" w:cs="微软雅黑"/>
                <w:kern w:val="2"/>
                <w:sz w:val="18"/>
                <w:szCs w:val="18"/>
              </w:rPr>
              <w:t xml:space="preserve"> </w:t>
            </w:r>
            <w:r>
              <w:rPr>
                <w:rFonts w:hint="eastAsia" w:ascii="微软雅黑" w:hAnsi="微软雅黑" w:cs="微软雅黑"/>
                <w:kern w:val="2"/>
                <w:sz w:val="18"/>
                <w:szCs w:val="18"/>
              </w:rPr>
              <w:t>KDM5C</w:t>
            </w:r>
            <w:r>
              <w:rPr>
                <w:rFonts w:ascii="微软雅黑" w:hAnsi="微软雅黑" w:cs="微软雅黑"/>
                <w:kern w:val="2"/>
                <w:sz w:val="18"/>
                <w:szCs w:val="18"/>
              </w:rPr>
              <w:t xml:space="preserve"> </w:t>
            </w:r>
            <w:r>
              <w:rPr>
                <w:rFonts w:hint="eastAsia" w:ascii="微软雅黑" w:hAnsi="微软雅黑" w:cs="微软雅黑"/>
                <w:kern w:val="2"/>
                <w:sz w:val="18"/>
                <w:szCs w:val="18"/>
              </w:rPr>
              <w:t>KDM6A</w:t>
            </w:r>
            <w:r>
              <w:rPr>
                <w:rFonts w:ascii="微软雅黑" w:hAnsi="微软雅黑" w:cs="微软雅黑"/>
                <w:kern w:val="2"/>
                <w:sz w:val="18"/>
                <w:szCs w:val="18"/>
              </w:rPr>
              <w:t xml:space="preserve"> </w:t>
            </w:r>
            <w:r>
              <w:rPr>
                <w:rFonts w:hint="eastAsia" w:ascii="微软雅黑" w:hAnsi="微软雅黑" w:cs="微软雅黑"/>
                <w:kern w:val="2"/>
                <w:sz w:val="18"/>
                <w:szCs w:val="18"/>
              </w:rPr>
              <w:t>KMT2C</w:t>
            </w:r>
            <w:r>
              <w:rPr>
                <w:rFonts w:ascii="微软雅黑" w:hAnsi="微软雅黑" w:cs="微软雅黑"/>
                <w:kern w:val="2"/>
                <w:sz w:val="18"/>
                <w:szCs w:val="18"/>
              </w:rPr>
              <w:t xml:space="preserve"> </w:t>
            </w:r>
            <w:r>
              <w:rPr>
                <w:rFonts w:hint="eastAsia" w:ascii="微软雅黑" w:hAnsi="微软雅黑" w:cs="微软雅黑"/>
                <w:kern w:val="2"/>
                <w:sz w:val="18"/>
                <w:szCs w:val="18"/>
              </w:rPr>
              <w:t>MDM2</w:t>
            </w:r>
            <w:r>
              <w:rPr>
                <w:rFonts w:ascii="微软雅黑" w:hAnsi="微软雅黑" w:cs="微软雅黑"/>
                <w:kern w:val="2"/>
                <w:sz w:val="18"/>
                <w:szCs w:val="18"/>
              </w:rPr>
              <w:t xml:space="preserve"> </w:t>
            </w:r>
            <w:r>
              <w:rPr>
                <w:rFonts w:hint="eastAsia" w:ascii="微软雅黑" w:hAnsi="微软雅黑" w:cs="微软雅黑"/>
                <w:kern w:val="2"/>
                <w:sz w:val="18"/>
                <w:szCs w:val="18"/>
              </w:rPr>
              <w:t>MDM4</w:t>
            </w:r>
            <w:r>
              <w:rPr>
                <w:rFonts w:ascii="微软雅黑" w:hAnsi="微软雅黑" w:cs="微软雅黑"/>
                <w:kern w:val="2"/>
                <w:sz w:val="18"/>
                <w:szCs w:val="18"/>
              </w:rPr>
              <w:t xml:space="preserve"> </w:t>
            </w:r>
            <w:r>
              <w:rPr>
                <w:rFonts w:hint="eastAsia" w:ascii="微软雅黑" w:hAnsi="微软雅黑" w:cs="微软雅黑"/>
                <w:kern w:val="2"/>
                <w:sz w:val="18"/>
                <w:szCs w:val="18"/>
              </w:rPr>
              <w:t>MLH1</w:t>
            </w:r>
            <w:r>
              <w:rPr>
                <w:rFonts w:ascii="微软雅黑" w:hAnsi="微软雅黑" w:cs="微软雅黑"/>
                <w:kern w:val="2"/>
                <w:sz w:val="18"/>
                <w:szCs w:val="18"/>
              </w:rPr>
              <w:t xml:space="preserve"> </w:t>
            </w:r>
            <w:r>
              <w:rPr>
                <w:rFonts w:hint="eastAsia" w:ascii="微软雅黑" w:hAnsi="微软雅黑" w:cs="微软雅黑"/>
                <w:kern w:val="2"/>
                <w:sz w:val="18"/>
                <w:szCs w:val="18"/>
              </w:rPr>
              <w:t>MRE11A</w:t>
            </w:r>
            <w:r>
              <w:rPr>
                <w:rFonts w:ascii="微软雅黑" w:hAnsi="微软雅黑" w:cs="微软雅黑"/>
                <w:kern w:val="2"/>
                <w:sz w:val="18"/>
                <w:szCs w:val="18"/>
              </w:rPr>
              <w:t xml:space="preserve"> </w:t>
            </w:r>
            <w:r>
              <w:rPr>
                <w:rFonts w:hint="eastAsia" w:ascii="微软雅黑" w:hAnsi="微软雅黑" w:cs="微软雅黑"/>
                <w:kern w:val="2"/>
                <w:sz w:val="18"/>
                <w:szCs w:val="18"/>
              </w:rPr>
              <w:t>MSH2</w:t>
            </w:r>
            <w:r>
              <w:rPr>
                <w:rFonts w:ascii="微软雅黑" w:hAnsi="微软雅黑" w:cs="微软雅黑"/>
                <w:kern w:val="2"/>
                <w:sz w:val="18"/>
                <w:szCs w:val="18"/>
              </w:rPr>
              <w:t xml:space="preserve"> </w:t>
            </w:r>
            <w:r>
              <w:rPr>
                <w:rFonts w:hint="eastAsia" w:ascii="微软雅黑" w:hAnsi="微软雅黑" w:cs="微软雅黑"/>
                <w:kern w:val="2"/>
                <w:sz w:val="18"/>
                <w:szCs w:val="18"/>
              </w:rPr>
              <w:t>MSH3</w:t>
            </w:r>
            <w:r>
              <w:rPr>
                <w:rFonts w:ascii="微软雅黑" w:hAnsi="微软雅黑" w:cs="微软雅黑"/>
                <w:kern w:val="2"/>
                <w:sz w:val="18"/>
                <w:szCs w:val="18"/>
              </w:rPr>
              <w:t xml:space="preserve"> </w:t>
            </w:r>
            <w:r>
              <w:rPr>
                <w:rFonts w:hint="eastAsia" w:ascii="微软雅黑" w:hAnsi="微软雅黑" w:cs="微软雅黑"/>
                <w:kern w:val="2"/>
                <w:sz w:val="18"/>
                <w:szCs w:val="18"/>
              </w:rPr>
              <w:t>MSH6</w:t>
            </w:r>
            <w:r>
              <w:rPr>
                <w:rFonts w:ascii="微软雅黑" w:hAnsi="微软雅黑" w:cs="微软雅黑"/>
                <w:kern w:val="2"/>
                <w:sz w:val="18"/>
                <w:szCs w:val="18"/>
              </w:rPr>
              <w:t xml:space="preserve"> </w:t>
            </w:r>
            <w:r>
              <w:rPr>
                <w:rFonts w:hint="eastAsia" w:ascii="微软雅黑" w:hAnsi="微软雅黑" w:cs="微软雅黑"/>
                <w:kern w:val="2"/>
                <w:sz w:val="18"/>
                <w:szCs w:val="18"/>
              </w:rPr>
              <w:t>MUTYH</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ascii="微软雅黑" w:hAnsi="微软雅黑" w:cs="微软雅黑"/>
                <w:kern w:val="2"/>
                <w:sz w:val="18"/>
                <w:szCs w:val="18"/>
              </w:rPr>
              <w:t xml:space="preserve"> </w:t>
            </w:r>
            <w:r>
              <w:rPr>
                <w:rFonts w:hint="eastAsia" w:ascii="微软雅黑" w:hAnsi="微软雅黑" w:cs="微软雅黑"/>
                <w:kern w:val="2"/>
                <w:sz w:val="18"/>
                <w:szCs w:val="18"/>
              </w:rPr>
              <w:t>NPM1</w:t>
            </w:r>
            <w:r>
              <w:rPr>
                <w:rFonts w:ascii="微软雅黑" w:hAnsi="微软雅黑" w:cs="微软雅黑"/>
                <w:kern w:val="2"/>
                <w:sz w:val="18"/>
                <w:szCs w:val="18"/>
              </w:rPr>
              <w:t xml:space="preserve"> </w:t>
            </w:r>
            <w:r>
              <w:rPr>
                <w:rFonts w:hint="eastAsia" w:ascii="微软雅黑" w:hAnsi="微软雅黑" w:cs="微软雅黑"/>
                <w:kern w:val="2"/>
                <w:sz w:val="18"/>
                <w:szCs w:val="18"/>
              </w:rPr>
              <w:t>NSD1</w:t>
            </w:r>
            <w:r>
              <w:rPr>
                <w:rFonts w:ascii="微软雅黑" w:hAnsi="微软雅黑" w:cs="微软雅黑"/>
                <w:kern w:val="2"/>
                <w:sz w:val="18"/>
                <w:szCs w:val="18"/>
              </w:rPr>
              <w:t xml:space="preserve"> </w:t>
            </w:r>
            <w:r>
              <w:rPr>
                <w:rFonts w:hint="eastAsia" w:ascii="微软雅黑" w:hAnsi="微软雅黑" w:cs="微软雅黑"/>
                <w:kern w:val="2"/>
                <w:sz w:val="18"/>
                <w:szCs w:val="18"/>
              </w:rPr>
              <w:t>PALB2</w:t>
            </w:r>
            <w:r>
              <w:rPr>
                <w:rFonts w:ascii="微软雅黑" w:hAnsi="微软雅黑" w:cs="微软雅黑"/>
                <w:kern w:val="2"/>
                <w:sz w:val="18"/>
                <w:szCs w:val="18"/>
              </w:rPr>
              <w:t xml:space="preserve"> </w:t>
            </w:r>
            <w:r>
              <w:rPr>
                <w:rFonts w:hint="eastAsia" w:ascii="微软雅黑" w:hAnsi="微软雅黑" w:cs="微软雅黑"/>
                <w:kern w:val="2"/>
                <w:sz w:val="18"/>
                <w:szCs w:val="18"/>
              </w:rPr>
              <w:t>PARP1</w:t>
            </w:r>
            <w:r>
              <w:rPr>
                <w:rFonts w:ascii="微软雅黑" w:hAnsi="微软雅黑" w:cs="微软雅黑"/>
                <w:kern w:val="2"/>
                <w:sz w:val="18"/>
                <w:szCs w:val="18"/>
              </w:rPr>
              <w:t xml:space="preserve"> </w:t>
            </w:r>
            <w:r>
              <w:rPr>
                <w:rFonts w:hint="eastAsia" w:ascii="微软雅黑" w:hAnsi="微软雅黑" w:cs="微软雅黑"/>
                <w:kern w:val="2"/>
                <w:sz w:val="18"/>
                <w:szCs w:val="18"/>
              </w:rPr>
              <w:t>PMS1</w:t>
            </w:r>
            <w:r>
              <w:rPr>
                <w:rFonts w:ascii="微软雅黑" w:hAnsi="微软雅黑" w:cs="微软雅黑"/>
                <w:kern w:val="2"/>
                <w:sz w:val="18"/>
                <w:szCs w:val="18"/>
              </w:rPr>
              <w:t xml:space="preserve"> </w:t>
            </w:r>
            <w:r>
              <w:rPr>
                <w:rFonts w:hint="eastAsia" w:ascii="微软雅黑" w:hAnsi="微软雅黑" w:cs="微软雅黑"/>
                <w:kern w:val="2"/>
                <w:sz w:val="18"/>
                <w:szCs w:val="18"/>
              </w:rPr>
              <w:t>PMS2</w:t>
            </w:r>
            <w:r>
              <w:rPr>
                <w:rFonts w:ascii="微软雅黑" w:hAnsi="微软雅黑" w:cs="微软雅黑"/>
                <w:kern w:val="2"/>
                <w:sz w:val="18"/>
                <w:szCs w:val="18"/>
              </w:rPr>
              <w:t xml:space="preserve"> </w:t>
            </w:r>
            <w:r>
              <w:rPr>
                <w:rFonts w:hint="eastAsia" w:ascii="微软雅黑" w:hAnsi="微软雅黑" w:cs="微软雅黑"/>
                <w:kern w:val="2"/>
                <w:sz w:val="18"/>
                <w:szCs w:val="18"/>
              </w:rPr>
              <w:t>POLD1</w:t>
            </w:r>
            <w:r>
              <w:rPr>
                <w:rFonts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ascii="微软雅黑" w:hAnsi="微软雅黑" w:cs="微软雅黑"/>
                <w:kern w:val="2"/>
                <w:sz w:val="18"/>
                <w:szCs w:val="18"/>
              </w:rPr>
              <w:t xml:space="preserve"> </w:t>
            </w:r>
            <w:r>
              <w:rPr>
                <w:rFonts w:hint="eastAsia" w:ascii="微软雅黑" w:hAnsi="微软雅黑" w:cs="微软雅黑"/>
                <w:kern w:val="2"/>
                <w:sz w:val="18"/>
                <w:szCs w:val="18"/>
              </w:rPr>
              <w:t>RAD50</w:t>
            </w:r>
            <w:r>
              <w:rPr>
                <w:rFonts w:ascii="微软雅黑" w:hAnsi="微软雅黑" w:cs="微软雅黑"/>
                <w:kern w:val="2"/>
                <w:sz w:val="18"/>
                <w:szCs w:val="18"/>
              </w:rPr>
              <w:t xml:space="preserve"> </w:t>
            </w:r>
            <w:r>
              <w:rPr>
                <w:rFonts w:hint="eastAsia" w:ascii="微软雅黑" w:hAnsi="微软雅黑" w:cs="微软雅黑"/>
                <w:kern w:val="2"/>
                <w:sz w:val="18"/>
                <w:szCs w:val="18"/>
              </w:rPr>
              <w:t>RAD51</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ascii="微软雅黑" w:hAnsi="微软雅黑" w:cs="微软雅黑"/>
                <w:kern w:val="2"/>
                <w:sz w:val="18"/>
                <w:szCs w:val="18"/>
              </w:rPr>
              <w:t xml:space="preserve"> </w:t>
            </w:r>
            <w:r>
              <w:rPr>
                <w:rFonts w:hint="eastAsia" w:ascii="微软雅黑" w:hAnsi="微软雅黑" w:cs="微软雅黑"/>
                <w:kern w:val="2"/>
                <w:sz w:val="18"/>
                <w:szCs w:val="18"/>
              </w:rPr>
              <w:t>RAD51D</w:t>
            </w:r>
            <w:r>
              <w:rPr>
                <w:rFonts w:ascii="微软雅黑" w:hAnsi="微软雅黑" w:cs="微软雅黑"/>
                <w:kern w:val="2"/>
                <w:sz w:val="18"/>
                <w:szCs w:val="18"/>
              </w:rPr>
              <w:t xml:space="preserve"> </w:t>
            </w:r>
            <w:r>
              <w:rPr>
                <w:rFonts w:hint="eastAsia" w:ascii="微软雅黑" w:hAnsi="微软雅黑" w:cs="微软雅黑"/>
                <w:kern w:val="2"/>
                <w:sz w:val="18"/>
                <w:szCs w:val="18"/>
              </w:rPr>
              <w:t>RANBP2</w:t>
            </w:r>
            <w:r>
              <w:rPr>
                <w:rFonts w:ascii="微软雅黑" w:hAnsi="微软雅黑" w:cs="微软雅黑"/>
                <w:kern w:val="2"/>
                <w:sz w:val="18"/>
                <w:szCs w:val="18"/>
              </w:rPr>
              <w:t xml:space="preserve"> </w:t>
            </w:r>
            <w:r>
              <w:rPr>
                <w:rFonts w:hint="eastAsia" w:ascii="微软雅黑" w:hAnsi="微软雅黑" w:cs="微软雅黑"/>
                <w:kern w:val="2"/>
                <w:sz w:val="18"/>
                <w:szCs w:val="18"/>
              </w:rPr>
              <w:t>REL</w:t>
            </w:r>
            <w:r>
              <w:rPr>
                <w:rFonts w:ascii="微软雅黑" w:hAnsi="微软雅黑" w:cs="微软雅黑"/>
                <w:kern w:val="2"/>
                <w:sz w:val="18"/>
                <w:szCs w:val="18"/>
              </w:rPr>
              <w:t xml:space="preserve"> </w:t>
            </w:r>
            <w:r>
              <w:rPr>
                <w:rFonts w:hint="eastAsia" w:ascii="微软雅黑" w:hAnsi="微软雅黑" w:cs="微软雅黑"/>
                <w:kern w:val="2"/>
                <w:sz w:val="18"/>
                <w:szCs w:val="18"/>
              </w:rPr>
              <w:t>RRM1</w:t>
            </w:r>
            <w:r>
              <w:rPr>
                <w:rFonts w:ascii="微软雅黑" w:hAnsi="微软雅黑" w:cs="微软雅黑"/>
                <w:kern w:val="2"/>
                <w:sz w:val="18"/>
                <w:szCs w:val="18"/>
              </w:rPr>
              <w:t xml:space="preserve"> </w:t>
            </w:r>
            <w:r>
              <w:rPr>
                <w:rFonts w:hint="eastAsia" w:ascii="微软雅黑" w:hAnsi="微软雅黑" w:cs="微软雅黑"/>
                <w:kern w:val="2"/>
                <w:sz w:val="18"/>
                <w:szCs w:val="18"/>
              </w:rPr>
              <w:t>RUNX1T1</w:t>
            </w:r>
            <w:r>
              <w:rPr>
                <w:rFonts w:ascii="微软雅黑" w:hAnsi="微软雅黑" w:cs="微软雅黑"/>
                <w:kern w:val="2"/>
                <w:sz w:val="18"/>
                <w:szCs w:val="18"/>
              </w:rPr>
              <w:t xml:space="preserve"> </w:t>
            </w:r>
            <w:r>
              <w:rPr>
                <w:rFonts w:hint="eastAsia" w:ascii="微软雅黑" w:hAnsi="微软雅黑" w:cs="微软雅黑"/>
                <w:kern w:val="2"/>
                <w:sz w:val="18"/>
                <w:szCs w:val="18"/>
              </w:rPr>
              <w:t>SMARCA4</w:t>
            </w:r>
            <w:r>
              <w:rPr>
                <w:rFonts w:ascii="微软雅黑" w:hAnsi="微软雅黑" w:cs="微软雅黑"/>
                <w:kern w:val="2"/>
                <w:sz w:val="18"/>
                <w:szCs w:val="18"/>
              </w:rPr>
              <w:t xml:space="preserve"> </w:t>
            </w:r>
            <w:r>
              <w:rPr>
                <w:rFonts w:hint="eastAsia" w:ascii="微软雅黑" w:hAnsi="微软雅黑" w:cs="微软雅黑"/>
                <w:kern w:val="2"/>
                <w:sz w:val="18"/>
                <w:szCs w:val="18"/>
              </w:rPr>
              <w:t>SOD2</w:t>
            </w:r>
            <w:r>
              <w:rPr>
                <w:rFonts w:ascii="微软雅黑" w:hAnsi="微软雅黑" w:cs="微软雅黑"/>
                <w:kern w:val="2"/>
                <w:sz w:val="18"/>
                <w:szCs w:val="18"/>
              </w:rPr>
              <w:t xml:space="preserve"> </w:t>
            </w:r>
            <w:r>
              <w:rPr>
                <w:rFonts w:hint="eastAsia" w:ascii="微软雅黑" w:hAnsi="微软雅黑" w:cs="微软雅黑"/>
                <w:kern w:val="2"/>
                <w:sz w:val="18"/>
                <w:szCs w:val="18"/>
              </w:rPr>
              <w:t>STAG2</w:t>
            </w:r>
            <w:r>
              <w:rPr>
                <w:rFonts w:ascii="微软雅黑" w:hAnsi="微软雅黑" w:cs="微软雅黑"/>
                <w:kern w:val="2"/>
                <w:sz w:val="18"/>
                <w:szCs w:val="18"/>
              </w:rPr>
              <w:t xml:space="preserve"> </w:t>
            </w:r>
            <w:r>
              <w:rPr>
                <w:rFonts w:hint="eastAsia" w:ascii="微软雅黑" w:hAnsi="微软雅黑" w:cs="微软雅黑"/>
                <w:kern w:val="2"/>
                <w:sz w:val="18"/>
                <w:szCs w:val="18"/>
              </w:rPr>
              <w:t>SF3B1</w:t>
            </w:r>
            <w:r>
              <w:rPr>
                <w:rFonts w:ascii="微软雅黑" w:hAnsi="微软雅黑" w:cs="微软雅黑"/>
                <w:kern w:val="2"/>
                <w:sz w:val="18"/>
                <w:szCs w:val="18"/>
              </w:rPr>
              <w:t xml:space="preserve"> </w:t>
            </w:r>
            <w:r>
              <w:rPr>
                <w:rFonts w:hint="eastAsia" w:ascii="微软雅黑" w:hAnsi="微软雅黑" w:cs="微软雅黑"/>
                <w:kern w:val="2"/>
                <w:sz w:val="18"/>
                <w:szCs w:val="18"/>
              </w:rPr>
              <w:t>TMPRSS2</w:t>
            </w:r>
            <w:r>
              <w:rPr>
                <w:rFonts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ascii="微软雅黑" w:hAnsi="微软雅黑" w:cs="微软雅黑"/>
                <w:kern w:val="2"/>
                <w:sz w:val="18"/>
                <w:szCs w:val="18"/>
              </w:rPr>
              <w:t xml:space="preserve"> </w:t>
            </w:r>
            <w:r>
              <w:rPr>
                <w:rFonts w:hint="eastAsia" w:ascii="微软雅黑" w:hAnsi="微软雅黑" w:cs="微软雅黑"/>
                <w:kern w:val="2"/>
                <w:sz w:val="18"/>
                <w:szCs w:val="18"/>
              </w:rPr>
              <w:t>WRN</w:t>
            </w:r>
            <w:r>
              <w:rPr>
                <w:rFonts w:ascii="微软雅黑" w:hAnsi="微软雅黑" w:cs="微软雅黑"/>
                <w:kern w:val="2"/>
                <w:sz w:val="18"/>
                <w:szCs w:val="18"/>
              </w:rPr>
              <w:t xml:space="preserve"> </w:t>
            </w:r>
            <w:r>
              <w:rPr>
                <w:rFonts w:hint="eastAsia" w:ascii="微软雅黑" w:hAnsi="微软雅黑" w:cs="微软雅黑"/>
                <w:kern w:val="2"/>
                <w:sz w:val="18"/>
                <w:szCs w:val="18"/>
              </w:rPr>
              <w:t>XPA</w:t>
            </w:r>
            <w:r>
              <w:rPr>
                <w:rFonts w:ascii="微软雅黑" w:hAnsi="微软雅黑" w:cs="微软雅黑"/>
                <w:kern w:val="2"/>
                <w:sz w:val="18"/>
                <w:szCs w:val="18"/>
              </w:rPr>
              <w:t xml:space="preserve"> </w:t>
            </w:r>
            <w:r>
              <w:rPr>
                <w:rFonts w:hint="eastAsia" w:ascii="微软雅黑" w:hAnsi="微软雅黑" w:cs="微软雅黑"/>
                <w:kern w:val="2"/>
                <w:sz w:val="18"/>
                <w:szCs w:val="18"/>
              </w:rPr>
              <w:t>XPC</w:t>
            </w:r>
            <w:r>
              <w:rPr>
                <w:rFonts w:ascii="微软雅黑" w:hAnsi="微软雅黑" w:cs="微软雅黑"/>
                <w:kern w:val="2"/>
                <w:sz w:val="18"/>
                <w:szCs w:val="18"/>
              </w:rPr>
              <w:t xml:space="preserve"> </w:t>
            </w:r>
            <w:r>
              <w:rPr>
                <w:rFonts w:hint="eastAsia" w:ascii="微软雅黑" w:hAnsi="微软雅黑" w:cs="微软雅黑"/>
                <w:kern w:val="2"/>
                <w:sz w:val="18"/>
                <w:szCs w:val="18"/>
              </w:rPr>
              <w:t>RECQL4</w:t>
            </w:r>
            <w:r>
              <w:rPr>
                <w:rFonts w:ascii="微软雅黑" w:hAnsi="微软雅黑" w:cs="微软雅黑"/>
                <w:kern w:val="2"/>
                <w:sz w:val="18"/>
                <w:szCs w:val="18"/>
              </w:rPr>
              <w:t xml:space="preserve"> </w:t>
            </w:r>
            <w:r>
              <w:rPr>
                <w:rFonts w:hint="eastAsia" w:ascii="微软雅黑" w:hAnsi="微软雅黑" w:cs="微软雅黑"/>
                <w:kern w:val="2"/>
                <w:sz w:val="18"/>
                <w:szCs w:val="18"/>
              </w:rPr>
              <w:t>BUB1</w:t>
            </w:r>
            <w:r>
              <w:rPr>
                <w:rFonts w:ascii="微软雅黑" w:hAnsi="微软雅黑" w:cs="微软雅黑"/>
                <w:kern w:val="2"/>
                <w:sz w:val="18"/>
                <w:szCs w:val="18"/>
              </w:rPr>
              <w:t xml:space="preserve"> </w:t>
            </w:r>
            <w:r>
              <w:rPr>
                <w:rFonts w:hint="eastAsia" w:ascii="微软雅黑" w:hAnsi="微软雅黑" w:cs="微软雅黑"/>
                <w:kern w:val="2"/>
                <w:sz w:val="18"/>
                <w:szCs w:val="18"/>
              </w:rPr>
              <w:t>DDB2</w:t>
            </w:r>
            <w:r>
              <w:rPr>
                <w:rFonts w:ascii="微软雅黑" w:hAnsi="微软雅黑" w:cs="微软雅黑"/>
                <w:kern w:val="2"/>
                <w:sz w:val="18"/>
                <w:szCs w:val="18"/>
              </w:rPr>
              <w:t xml:space="preserve"> </w:t>
            </w:r>
            <w:r>
              <w:rPr>
                <w:rFonts w:hint="eastAsia" w:ascii="微软雅黑" w:hAnsi="微软雅黑" w:cs="微软雅黑"/>
                <w:kern w:val="2"/>
                <w:sz w:val="18"/>
                <w:szCs w:val="18"/>
              </w:rPr>
              <w:t>FANCB</w:t>
            </w:r>
            <w:r>
              <w:rPr>
                <w:rFonts w:ascii="微软雅黑" w:hAnsi="微软雅黑" w:cs="微软雅黑"/>
                <w:kern w:val="2"/>
                <w:sz w:val="18"/>
                <w:szCs w:val="18"/>
              </w:rPr>
              <w:t xml:space="preserve"> </w:t>
            </w:r>
            <w:r>
              <w:rPr>
                <w:rFonts w:hint="eastAsia" w:ascii="微软雅黑" w:hAnsi="微软雅黑" w:cs="微软雅黑"/>
                <w:kern w:val="2"/>
                <w:sz w:val="18"/>
                <w:szCs w:val="18"/>
              </w:rPr>
              <w:t>FANCI</w:t>
            </w:r>
            <w:r>
              <w:rPr>
                <w:rFonts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27"/>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5"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29"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29"/>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ascii="微软雅黑" w:hAnsi="微软雅黑" w:cs="Times New Roman"/>
                <w:bCs/>
                <w:kern w:val="2"/>
                <w:sz w:val="20"/>
                <w:szCs w:val="20"/>
              </w:rPr>
              <w:t>目前</w:t>
            </w:r>
            <w:r>
              <w:rPr>
                <w:rFonts w:hint="eastAsia" w:ascii="微软雅黑" w:hAnsi="微软雅黑" w:cs="Times New Roman"/>
                <w:bCs/>
                <w:kern w:val="2"/>
                <w:sz w:val="20"/>
                <w:szCs w:val="20"/>
              </w:rPr>
              <w:t>，</w:t>
            </w:r>
            <w:r>
              <w:rPr>
                <w:rFonts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spacing w:after="0"/>
              <w:jc w:val="both"/>
              <w:rPr>
                <w:rFonts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30" w:name="OLE_LINK53"/>
      <w:r>
        <w:rPr>
          <w:rFonts w:ascii="微软雅黑" w:hAnsi="微软雅黑" w:cs="Times New Roman"/>
          <w:bCs/>
          <w:kern w:val="2"/>
          <w:sz w:val="20"/>
          <w:szCs w:val="20"/>
        </w:rPr>
        <w:t>Chromatin remodeling/DNA methylation</w:t>
      </w:r>
      <w:bookmarkEnd w:id="230"/>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31" w:name="_Toc16989"/>
      <w:r>
        <w:rPr>
          <w:rFonts w:hint="eastAsia" w:ascii="微软雅黑" w:hAnsi="微软雅黑"/>
          <w:b/>
          <w:sz w:val="24"/>
          <w:szCs w:val="24"/>
        </w:rPr>
        <w:t>4. 基因检测列表</w:t>
      </w:r>
      <w:bookmarkEnd w:id="231"/>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ascii="Calibri" w:hAnsi="Calibri" w:cs="Calibri"/>
                <w:b w:val="0"/>
                <w:bCs w:val="0"/>
                <w:sz w:val="21"/>
                <w:szCs w:val="21"/>
                <w:highlight w:val="none"/>
              </w:rPr>
            </w:pPr>
            <w:bookmarkStart w:id="232" w:name="_Toc8753"/>
            <w:r>
              <w:rPr>
                <w:rFonts w:hint="eastAsia" w:ascii="微软雅黑" w:hAnsi="微软雅黑"/>
                <w:b/>
                <w:sz w:val="28"/>
                <w:szCs w:val="28"/>
                <w:lang w:val="en-US" w:eastAsia="zh-CN"/>
              </w:rPr>
              <w:br w:type="page"/>
            </w:r>
            <w:r>
              <w:rPr>
                <w:rFonts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33" w:name="_Toc8115"/>
      <w:r>
        <w:rPr>
          <w:rFonts w:hint="eastAsia" w:ascii="微软雅黑" w:hAnsi="微软雅黑"/>
          <w:b/>
          <w:color w:val="000000" w:themeColor="text1"/>
          <w:sz w:val="24"/>
          <w:szCs w:val="24"/>
          <w14:textFill>
            <w14:solidFill>
              <w14:schemeClr w14:val="tx1"/>
            </w14:solidFill>
          </w14:textFill>
        </w:rPr>
        <w:t>5. 参考文献</w:t>
      </w:r>
      <w:bookmarkEnd w:id="232"/>
      <w:bookmarkEnd w:id="233"/>
    </w:p>
    <w:p w14:paraId="2B4EA56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10959075 Wnt/beta-catenin signaling.</w:t>
      </w:r>
    </w:p>
    <w:p w14:paraId="6FE1F31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1338691 Somatic mutation of the APC gene in gastric cancer: frequent mutations in very well differentiated denocarcinoma and signet-ring cell carcinoma.</w:t>
      </w:r>
    </w:p>
    <w:p w14:paraId="488BDF3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8033082 Wild-type but not mutant APC associates with the microtubule cytoskeleton.</w:t>
      </w:r>
    </w:p>
    <w:p w14:paraId="717D353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10656683 The APC-hDLG complex negatively regulates cell cycle progression from the G0/G1 to S phase.</w:t>
      </w:r>
    </w:p>
    <w:p w14:paraId="16318F9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24200292 Exploiting APC function as a novel cancer therapy.</w:t>
      </w:r>
    </w:p>
    <w:p w14:paraId="089F0A2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18593890 C-Myc is a critical mediator of the phenotypes of Apc loss in the intestine.</w:t>
      </w:r>
    </w:p>
    <w:p w14:paraId="45AC356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17875924 Mutant p53 attenuates the SMAD-dependent transforming growth factor beta1 (TGF-beta1) signaling pathway by repressing the expression of TGF-beta receptor type II.</w:t>
      </w:r>
    </w:p>
    <w:p w14:paraId="1748E10F">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15855639 SCF(beta-TrCP1) controls Smad4 protein stability in pancreatic cancer cells.</w:t>
      </w:r>
    </w:p>
    <w:p w14:paraId="5A0BA67D">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15014009 Missense mutations of MADH4: characterization of the mutational hot spot and functional consequences in human tumors.</w:t>
      </w:r>
    </w:p>
    <w:p w14:paraId="2397450F">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PMID:29720405 Smad4/DPC4.</w:t>
      </w:r>
    </w:p>
    <w:p w14:paraId="6A2CD95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PMID:10340381 Higher frequency of Smad4 gene mutation in human colorectal cancer with distant metastasis.</w:t>
      </w:r>
    </w:p>
    <w:p w14:paraId="2F9E6ED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17916723 PI3Kgamma is a key regulator of inflammatory responses and cardiovascular homeostasis.</w:t>
      </w:r>
    </w:p>
    <w:p w14:paraId="725322A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PMID:17877460 Effects of Oncogenic p110alpha Subunit Mutations on the Lipid Kinase Activity of Phosphoinositide 3-kinase.</w:t>
      </w:r>
    </w:p>
    <w:p w14:paraId="59751D1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PMID:15467468 Oncogenic Mutations of PIK3CA in Human Cancers.</w:t>
      </w:r>
    </w:p>
    <w:p w14:paraId="05ABEAC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20664174 PIK3CA and KRAS mutations predict for response to everolimus therapy: now that's RAD001.</w:t>
      </w:r>
    </w:p>
    <w:p w14:paraId="50FD3FA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23066310 KRAS mutation testing in metastatic colorectal cancer.</w:t>
      </w:r>
    </w:p>
    <w:p w14:paraId="4DCD8E7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20100961 Molecular mechanisms of resistance to cetuximab and panitumumab in colorectal cancer.</w:t>
      </w:r>
    </w:p>
    <w:p w14:paraId="17A3AAFF">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10426999 Association of BRCA1 with the hRad50-hMre11-p95 complex and the DNA damage response.</w:t>
      </w:r>
    </w:p>
    <w:p w14:paraId="7B5E1CD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7795653 Decreased expression of BRCA1 accelerates growth and is often present during sporadic breast cancer progression.</w:t>
      </w:r>
    </w:p>
    <w:p w14:paraId="3300B08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24579064 BRCA 1/2-Mutation Related and Sporadic Breast and Ovarian Cancers: More Alike than Different.</w:t>
      </w:r>
    </w:p>
    <w:p w14:paraId="362BFE3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28351930 Hyperprogressors after Immunotherapy: Analysis of Genomic Alterations Associated with Accelerated Growth Rate.</w:t>
      </w:r>
    </w:p>
    <w:p w14:paraId="5EB26796">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19407794 Cytoplasmic functions of the tumour suppressor p53.</w:t>
      </w:r>
    </w:p>
    <w:p w14:paraId="00D94CB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22872685 Combination treatment in vitro with Nutlin, a small-molecule antagonist of MDM2, and pegylated interferon-α 2a specifically targets JAK2V617F-positive polycythemia vera cells.</w:t>
      </w:r>
    </w:p>
    <w:p w14:paraId="574B71B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21728981 Anti-cancer peptides from ras-p21 and p53 proteins.</w:t>
      </w:r>
    </w:p>
    <w:p w14:paraId="43F9AE3D">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19810096 Combination of p53 codon 72 polymorphism and inactive p53 mutation predicts chemosensitivity to 5-fluorouracil in colorectal cancer.</w:t>
      </w:r>
    </w:p>
    <w:p w14:paraId="50D3160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19336573 High incidence of protein-truncating TP53 mutations in BRCA1-related breast cancer</w:t>
      </w:r>
    </w:p>
    <w:p w14:paraId="14044CE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26425688 TP53 mutational status and prediction of benefit from adjuvant 5-fluorouracil in stage III colon cancer patients.</w:t>
      </w:r>
    </w:p>
    <w:p w14:paraId="281B6B8D">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22810696 Comprehensive molecular characterization of human colon and rectal.</w:t>
      </w:r>
    </w:p>
    <w:p w14:paraId="26C295F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27906677 The implication of FLT3 amplification for FLT targeted therapeutics in solid tumors.</w:t>
      </w:r>
    </w:p>
    <w:p w14:paraId="2FAD5B8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19318574 FMS-like tyrosine kinase 3-internal tandem duplication tyrosine kinase inhibitors display a nonoverlapping profile of resistance mutations in vitro.</w:t>
      </w:r>
    </w:p>
    <w:p w14:paraId="4B70386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38049555 Characterisation of FLT3 alterations in childhood acute lymphoblastic leukaemia.</w:t>
      </w:r>
    </w:p>
    <w:p w14:paraId="7630620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23550210 Integrative analysis of complex cancer genomics and clinical profiles using the cBioPortal.</w:t>
      </w:r>
    </w:p>
    <w:p w14:paraId="7CD6151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19467916 FLT3 Inhibition and Mechanisms of Drug Resistance in Mutant FLT3-positive AML.</w:t>
      </w:r>
    </w:p>
    <w:p w14:paraId="3E55AD6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29755653 TumorNext-Lynch-MMR: a comprehensive next generation sequencing assay for the detection of germline and somatic mutations in genes associated with mismatch repair deficiency and Lynch syndrome.</w:t>
      </w:r>
    </w:p>
    <w:p w14:paraId="7267F0D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26320870 A Comprehensive Strategy for Accurate Mutation Detection of the Highly Homologous PMS2.</w:t>
      </w:r>
    </w:p>
    <w:p w14:paraId="2BE39E2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26666765 Mismatch repair deficiency concordance between primary colorectal cancer and corresponding metastasis.</w:t>
      </w:r>
    </w:p>
    <w:p w14:paraId="52B7891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28003236 Targeting DNA Repair in Cancer: Beyond PARP Inhibitors.</w:t>
      </w:r>
    </w:p>
    <w:p w14:paraId="72DC3F4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27308506 Trial Watch: Targeting ATM-CHK2 and ATR-CHK1 pathways for anticancer therapy.</w:t>
      </w:r>
    </w:p>
    <w:p w14:paraId="38956A5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29489427 Alterations in DNA Damage Response and Repair Genes as Potential Marker of Clinical Benefit From PD-1/PD-L1 Blockade in Advanced Urothelial Cancers.</w:t>
      </w:r>
    </w:p>
    <w:p w14:paraId="0D987A3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30636012 DNA damage repair alterations are frequent in prostatic adenocarcinomas with focal pleomorphic giant-cell features.</w:t>
      </w:r>
    </w:p>
    <w:p w14:paraId="6F41E04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20664172 Deregulation of the PI3K and KRAS signaling pathways in human cancer cells determines their response to everolimus.</w:t>
      </w:r>
    </w:p>
    <w:p w14:paraId="20D6285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23066039 PIK3CA mutation H1047R is associated with response to PI3K/AKT/mTOR signaling pathway inhibitors in early-phase clinical trials</w:t>
      </w:r>
    </w:p>
    <w:p w14:paraId="239C915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25902899 Phase I combination of pazopanib and everolimus in PIK3CA mutation positive/PTEN loss patients with advanced solid tumors refractory to standard therapy.</w:t>
      </w:r>
    </w:p>
    <w:p w14:paraId="3BB58006">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25320628 Combined Antiangiogenic and Mammalian Target of Rapamycin Inhibitor Targeted Therapy in Metaplastic Breast Cancer Harboring a PIK3CA Mutation.</w:t>
      </w:r>
    </w:p>
    <w:p w14:paraId="2B1CD2C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24608574 Characterization of the novel and specific PI3Kα inhibitor NVP-BYL719 and development of the patient stratification strategy for clinical trials.</w:t>
      </w:r>
    </w:p>
    <w:p w14:paraId="2B0D058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23903756 mTORC1 inhibition is required for sensitivity to PI3K p110α inhibitors in PIK3CA-mutant breast cancer.</w:t>
      </w:r>
    </w:p>
    <w:p w14:paraId="7388E3F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37256976 Capivasertib in Hormone Receptor-Positive Advanced Breast Cancer.</w:t>
      </w:r>
    </w:p>
    <w:p w14:paraId="0B6F172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19029981 Effective use of PI3K and MEK inhibitors to treat mutant Kras G12D and PIK3CA H1047R murine lung cancers.</w:t>
      </w:r>
    </w:p>
    <w:p w14:paraId="192D696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25172762 Taselisib, a selective inhibitor of PIK3CA, is highly effective on PIK3CA-mutated and HER2/neu amplified uterine serous carcinoma in vitro and in vivo.</w:t>
      </w:r>
    </w:p>
    <w:p w14:paraId="1E16F29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27100819 Prognostic and predictive value in KRAS in non-small-cell lung cancer: a review.</w:t>
      </w:r>
    </w:p>
    <w:p w14:paraId="44552A3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25167228 KRAS mutational subtype and copy number predict in vitro response of human pancreatic cancer cell lines to MEK inhibition.</w:t>
      </w:r>
    </w:p>
    <w:p w14:paraId="719BB6B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26728409 Coadministration of trametinib and palbociclib radiosensitizes KRAS-mutant non-small cell lung cancers in vitro and in vivo.</w:t>
      </w:r>
    </w:p>
    <w:p w14:paraId="0AE7F0B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24170544 Modeling RAS phenotype in colorectal cancer uncovers novel molecular traits of RAS dependency and improves prediction of response to targeted agents in patients.</w:t>
      </w:r>
    </w:p>
    <w:p w14:paraId="6ABE950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26666244 A phase I study of selumetinib (AZD6244/ARRY-142866), a MEK1/2 inhibitor, in combination with cetuximab in refractory solid tumors and KRAS mutant colorectal cancer.</w:t>
      </w:r>
    </w:p>
    <w:p w14:paraId="4352D48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25322874 Phase II study of selumetinib (AZD6244, ARRY-142886) plus irinotecan as second-line therapy in patients with K-RAS mutated colorectal cancer.</w:t>
      </w:r>
    </w:p>
    <w:p w14:paraId="63BD1A3F">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19401449 PI3K pathway activation mediates resistance to MEK inhibitors in KRAS mutant cancers.</w:t>
      </w:r>
    </w:p>
    <w:p w14:paraId="7865AA5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24576621 Combination PI3K/MEK inhibition promotes tumor apoptosis and regression in PIK3CA wild-type, KRAS mutant colorectal cancer.</w:t>
      </w:r>
    </w:p>
    <w:p w14:paraId="54FCD1B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20215549 Phase I pharmacokinetic and pharmacodynamic study of the oral MAPK/ERK kinase inhibitor PD-0325901 in patients with advanced cancers.</w:t>
      </w:r>
    </w:p>
    <w:p w14:paraId="72AC38A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29130448 A review on the effects of current chemotherapy drugs and natural agents in treating non-small cell lung cancer.</w:t>
      </w:r>
    </w:p>
    <w:p w14:paraId="2672A65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21840189 Antroquinonol, a natural ubiquinone derivative, induces a cross talk between apoptosis, autophagy and senescence in human pancreatic carcinoma cells.</w:t>
      </w:r>
    </w:p>
    <w:p w14:paraId="1A5E4F9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28978051 Mutational status of TP53 defines the efficacy of Wee1 inhibitor AZD1775 in KRAS-mutant non-small cell lung cancer.</w:t>
      </w:r>
    </w:p>
    <w:p w14:paraId="09199C0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27601554 Phase I Study Evaluating WEE1 Inhibitor AZD1775 As Monotherapy and in Combination With Gemcitabine, Cisplatin, or Carboplatin in Patients With Advanced Solid Tumors.</w:t>
      </w:r>
    </w:p>
    <w:p w14:paraId="2556B1F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25987188 Aurora kinase A in gastrointestinal cancers: time to target.</w:t>
      </w:r>
    </w:p>
    <w:p w14:paraId="7EB8609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22753585 Phase I pharmacokinetic/pharmacodynamic study of MLN8237, an investigational, oral, selective aurora a kinase inhibitor, in patients with advanced solid tumors</w:t>
      </w:r>
    </w:p>
    <w:p w14:paraId="51CDC6A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30755439 Combined Aurora Kinase A (AURKA) and WEE1 Inhibition Demonstrates Synergistic Antitumor Effect in Squamous Cell Carcinoma of the Head and Neck.</w:t>
      </w:r>
    </w:p>
    <w:p w14:paraId="6DC4B726">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26086967 APR-246 overcomes resistance to cisplatin and doxorubicin in ovarian cancer cells.</w:t>
      </w:r>
    </w:p>
    <w:p w14:paraId="107A6FB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26870698 Targeting of Mutant p53 and the Cellular Redox Balance by APR-246 as a Strategy for Efficient Cancer Therapy.</w:t>
      </w:r>
    </w:p>
    <w:p w14:paraId="0B22B5B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24838627 PRIMA-1, a mutant p53 reactivator, induces apoptosis and enhances chemotherapeutic cytotoxicity in pancreatic cancer cell lines.</w:t>
      </w:r>
    </w:p>
    <w:p w14:paraId="4E7FFDF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26452133 PRIMA-1met (APR-246) inhibits growth of colorectal cancer cells with different p53 status through distinct mechanisms</w:t>
      </w:r>
    </w:p>
    <w:p w14:paraId="6306389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23969938 Emergence of polyclonal FLT3 tyrosine kinase domain mutations during sequential therapy with sorafenib and sunitinib in FLT3-ITD-positive acute myeloid leukemia.</w:t>
      </w:r>
    </w:p>
    <w:p w14:paraId="5AD14A9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25848357 Clinical Response to Sorafenib in a Patient with Metastatic Colorectal Cancer and FLT3 Amplification.</w:t>
      </w:r>
    </w:p>
    <w:p w14:paraId="7113189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24347491 Regorafenib (BAY 73-4506): antitumor and antimetastatic activities in preclinical models of colorectal cancer.</w:t>
      </w:r>
    </w:p>
    <w:p w14:paraId="1E564AE6">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22421192 A phase I dose-escalation study of regorafenib (BAY 73-4506), an inhibitor of oncogenic, angiogenic, and stromal kinases, in patients with advanced solid tumors.</w:t>
      </w:r>
    </w:p>
    <w:p w14:paraId="65A57D5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29571084 Comprehensive analysis of cancers of unknown primary for the biomarkers of response to immune checkpoint blockade therapy.</w:t>
      </w:r>
    </w:p>
    <w:p w14:paraId="79DEC64F">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29606854 Rucaparib: a novel PARP inhibitor for BRCA advanced ovarian cancer.</w:t>
      </w:r>
    </w:p>
    <w:p w14:paraId="6C32A2B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24701207 Anti-epidermal growth factor receptor monoclonal antibody-based therapy for metastatic colorectal cancer: a meta-analysis of the effect of PIK3CA mutations in KRAS wild-type patients.</w:t>
      </w:r>
    </w:p>
    <w:p w14:paraId="0256C2C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18516290 PIK3CA Mutation in Colorectal Cancer: Relationship With Genetic and Epigenetic Alterations.</w:t>
      </w:r>
    </w:p>
    <w:p w14:paraId="3C74F0B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18669866 PI3KCA/PTEN deregulation contributes to impaired responses to cetuximab in metastatic colorectal cancer patients</w:t>
      </w:r>
    </w:p>
    <w:p w14:paraId="6E7FE26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16618717 KRAS mutation status is predictive of response to cetuximab therapy in colorectal cancer.</w:t>
      </w:r>
    </w:p>
    <w:p w14:paraId="58AA335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17664471 Expression of epiregulin and amphiregulin and K-ras mutation status predict disease control in metastatic colorectal cancer patients treated with cetuximab.</w:t>
      </w:r>
    </w:p>
    <w:p w14:paraId="0C36924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17375050 Clinical relevance of KRAS mutation detection in metastatic colorectal cancer treated by Cetuximab plus chemotherapy.</w:t>
      </w:r>
    </w:p>
    <w:p w14:paraId="3C4F1D1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18621636 Association of K-ras mutational status and clinical outcomes in patients with metastatic colorectal cancer receiving panitumumab alone.</w:t>
      </w:r>
    </w:p>
    <w:p w14:paraId="2733EF3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23182985 Mutant KRAS codon 12 and 13 alleles in patients with metastatic colorectal cancer: assessment as prognostic and predictive biomarkers of response to panitumumab.</w:t>
      </w:r>
    </w:p>
    <w:p w14:paraId="64EA98B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29285035 Biomarkers of Everolimus Sensitivity in Hormone Receptor-Positive Breast Cancer.</w:t>
      </w:r>
    </w:p>
    <w:p w14:paraId="236AA37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12378616 Mutation analysis of APC gene in gastric cancer with microsatellite instability.</w:t>
      </w:r>
    </w:p>
    <w:p w14:paraId="44A50D5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8698812 The adenomatous polyposis coli tumor suppressor protein localizes to plasma membrane sites involved in active cell migration.</w:t>
      </w:r>
    </w:p>
    <w:p w14:paraId="6A603EB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PMID:19697359 Frequent PIK3CA Gene Amplification and Its Clinical Significance in Colorectal Cancer.</w:t>
      </w:r>
    </w:p>
    <w:p w14:paraId="2B63EDD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28976787 Negative predictive biomarkers of checkpoint inhibitors in hyper-progressive tumors.</w:t>
      </w:r>
    </w:p>
    <w:p w14:paraId="761D636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10612830 p53 website and analysis of p53 gene mutations in human cancer: forging a link between epidemiology and carcinogenesis.</w:t>
      </w:r>
    </w:p>
    <w:p w14:paraId="5F16FDA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12124170 Finding the next Gleevec: FLT3 targeted kinase inhibitor therapy for acute myeloid leukemia.</w:t>
      </w:r>
    </w:p>
    <w:p w14:paraId="3B774D8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30181385 Classes of ITD Predict Outcomes in AML Patients Treated With FLT3 Inhibitors.</w:t>
      </w:r>
    </w:p>
    <w:p w14:paraId="073D62E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26627007 Identification of Variant-Specific Functions of PIK3CA by Rapid Phenotyping of Rare Mutations.</w:t>
      </w:r>
    </w:p>
    <w:p w14:paraId="17596A0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35133871 Phase II Study of Copanlisib in Patients With Tumors With PIK3CA Mutations: Results From the NCI-MATCH ECOG-ACRIN Trial (EAY131) Subprotocol Z1F.</w:t>
      </w:r>
    </w:p>
    <w:p w14:paraId="7698E1D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25722381 A randomized phase II study of the MEK1/MEK2 inhibitor trametinib (GSK1120212) compared with docetaxel in KRAS-mutant advanced non-small cell lung cancer (NSCLC).</w:t>
      </w:r>
    </w:p>
    <w:p w14:paraId="181E1DA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23583440 A phase 1b study of trametinib, an oral Mitogen-activated protein kinase kinase (MEK) inhibitor, in combination with gemcitabine in advanced solid tumours.</w:t>
      </w:r>
    </w:p>
    <w:p w14:paraId="05B9371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21451123 A MEK inhibitor abrogates myeloproliferative disease in Kras mutant mice.</w:t>
      </w:r>
    </w:p>
    <w:p w14:paraId="7BD5A36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26807250 A phase I multicenter study of antroquinonol in patients with metastatic non-small-cell lung cancer who have received at least two prior systemic treatment regimens, including one platinum-based chemotherapy regimen.</w:t>
      </w:r>
    </w:p>
    <w:p w14:paraId="595A4F8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22965953 Targeting p53 in vivo: a first-in-human study with p53-targeting compound APR-246 in refractory hematologic malignancies and prostate cancer.</w:t>
      </w:r>
    </w:p>
    <w:p w14:paraId="0FC58C1D">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15459012 A phase 1 study of SU11248 in the treatment of patients with refractory or resistant acute myeloid leukemia (AML) or not amenable to conventional therapy for the disease.</w:t>
      </w:r>
    </w:p>
    <w:p w14:paraId="707A836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28544747 K-Ras mutation and amplification status is predictive of resistance and high basal pAKT is predictive of sensitivity to everolimus in biliary tract cancer cell lines.</w:t>
      </w:r>
    </w:p>
    <w:p w14:paraId="6DACE69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1423316 Frequent somatic mutations of the APC gene in human pancreatic cancer.</w:t>
      </w:r>
    </w:p>
    <w:p w14:paraId="766D296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31088410 Everolimus in hormone receptor-positive metastatic breast cancer: PIK3CA mutation H1047R was a potential efficacy biomarker in a retrospective study.</w:t>
      </w:r>
    </w:p>
    <w:p w14:paraId="1C584B9F">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12619105 Significance of TP53 mutations in human cancer: a critical analysis of mutations at CpG dinucleotides.</w:t>
      </w:r>
    </w:p>
    <w:p w14:paraId="426CD0A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32241850 Clinical Practice Recommendation on Hematopoietic Stem Cell Transplantation for Acute Myeloid Leukemia Patients With FLT3-internal Tandem Duplication: A Position Statement From the Acute Leukemia Working Party of the European Society for Blood and Marrow Transplantation.</w:t>
      </w:r>
    </w:p>
    <w:p w14:paraId="318C034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27807303 Targeting the KRAS pathway in non-small cell lung cancer.</w:t>
      </w:r>
    </w:p>
    <w:p w14:paraId="12F29E9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2014 AACR Abstract 915 Expanded biomarker results from a phase I dose escalation study of GDC-0032, a beta isoform-sparing PI3K inhibitor.</w:t>
      </w:r>
    </w:p>
    <w:p w14:paraId="6FCF950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2015 AACR Abstract PD5-2 Ph1b study of the PI3K inhibitor taselisib (GDC-0032) in combination with letrozole in patients with hormone receptor-positive advanced breast cancer.</w:t>
      </w:r>
    </w:p>
    <w:p w14:paraId="48C5E3C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2014 ASCO Abstract 9051 A phase 1b dose-escalation study of BYL719 plus binimetinib (MEK162) in patients with selected advanced solid tumors.</w:t>
      </w:r>
    </w:p>
    <w:p w14:paraId="4F70F67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ESMO Abstract 4168 Efficacy and safety of oral poly (ADP-ribose)polymerase inhibitor fluzoparib in patients with BRCA1/2 mutations and platinum sensitive recurrent ovarian cancer.</w:t>
      </w:r>
    </w:p>
    <w:p w14:paraId="432836A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Xiaohua Wu, Jianqing Zhu, Jing Wang,et al. Phase 2 Study of Pamiparib in Chinese Patients (pts) With Advanced Ovarian Cancer (aOC).</w:t>
      </w:r>
    </w:p>
    <w:p w14:paraId="490A7DB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NCT01430572 https://clinicaltrials.gov.</w:t>
      </w:r>
    </w:p>
    <w:p w14:paraId="149546B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NCT02688881 https://clinicaltrials.gov.</w:t>
      </w:r>
    </w:p>
    <w:p w14:paraId="2F7D93C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NCT03297606 https://clinicaltrials.gov.</w:t>
      </w:r>
    </w:p>
    <w:p w14:paraId="2361292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NCT01219699 https://clinicaltrials.gov.</w:t>
      </w:r>
    </w:p>
    <w:p w14:paraId="2DDF901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NCT01833169 https://clinicaltrials.gov.</w:t>
      </w:r>
    </w:p>
    <w:p w14:paraId="2834A28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NCT02465060 https://clinicaltrials.gov.</w:t>
      </w:r>
    </w:p>
    <w:p w14:paraId="606CE70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NCT04317105 https://clinicaltrials.gov.</w:t>
      </w:r>
    </w:p>
    <w:p w14:paraId="692B765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NCT05300048 https://clinicaltrials.gov.</w:t>
      </w:r>
    </w:p>
    <w:p w14:paraId="5CD34F3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NCT04073680 https://clinicaltrials.gov.</w:t>
      </w:r>
    </w:p>
    <w:p w14:paraId="2E2C567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NCT03006172 https://clinicaltrials.gov.</w:t>
      </w:r>
    </w:p>
    <w:p w14:paraId="75CEED8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NCT04191499 https://clinicaltrials.gov.</w:t>
      </w:r>
    </w:p>
    <w:p w14:paraId="35E75FB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NCT05216432 https://clinicaltrials.gov.</w:t>
      </w:r>
    </w:p>
    <w:p w14:paraId="5858CCF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CTR20210445 http://chinadrugtrials.org.cn.</w:t>
      </w:r>
    </w:p>
    <w:p w14:paraId="452C6C5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NCT03600883 https://clinicaltrials.gov.</w:t>
      </w:r>
    </w:p>
    <w:p w14:paraId="14A0CC9C">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NCT03785249 https://clinicaltrials.gov.</w:t>
      </w:r>
    </w:p>
    <w:p w14:paraId="4C1457E6">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NCT04685135 https://clinicaltrials.gov.</w:t>
      </w:r>
    </w:p>
    <w:p w14:paraId="5F055E3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NCT05005234 https://clinicaltrials.gov.</w:t>
      </w:r>
    </w:p>
    <w:p w14:paraId="29D17A7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NCT05497336 https://clinicaltrials.gov.</w:t>
      </w:r>
    </w:p>
    <w:p w14:paraId="20DACEE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NCT05383898 https://clinicaltrials.gov.</w:t>
      </w:r>
    </w:p>
    <w:p w14:paraId="3A38A6B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NCT04185883 https://clinicaltrials.gov.</w:t>
      </w:r>
    </w:p>
    <w:p w14:paraId="32CB355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NCT05132075 https://clinicaltrials.gov.</w:t>
      </w:r>
    </w:p>
    <w:p w14:paraId="084C614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NCT05054725 https://clinicaltrials.gov.</w:t>
      </w:r>
    </w:p>
    <w:p w14:paraId="45A4559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NCT05480865 https://clinicaltrials.gov.</w:t>
      </w:r>
    </w:p>
    <w:p w14:paraId="58D9D33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NCT05375084 https://clinicaltrials.gov.</w:t>
      </w:r>
    </w:p>
    <w:p w14:paraId="329AFDF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NCT05002270 https://clinicaltrials.gov.</w:t>
      </w:r>
    </w:p>
    <w:p w14:paraId="1C103C66">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NCT05288205 https://clinicaltrials.gov.</w:t>
      </w:r>
    </w:p>
    <w:p w14:paraId="1B4AE0B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NCT04449874 https://clinicaltrials.gov.</w:t>
      </w:r>
    </w:p>
    <w:p w14:paraId="390FC43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CTR20222296 http://chinadrugtrials.org.cn</w:t>
      </w:r>
    </w:p>
    <w:p w14:paraId="56F38F4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691A69BF">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CTR20220611 https://chinadrugtrials.org.cn.</w:t>
      </w:r>
    </w:p>
    <w:p w14:paraId="73D2B17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CTR20231811 https://chinadrugtrials.org.cn.</w:t>
      </w:r>
    </w:p>
    <w:p w14:paraId="775CACCF">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CTR20240285 https://chinadrugtrials.org.cn.</w:t>
      </w:r>
    </w:p>
    <w:p w14:paraId="46E6180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030504F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5799D26D">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NCT01362296 https://clinicaltrials.gov.</w:t>
      </w:r>
    </w:p>
    <w:p w14:paraId="59A8379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NCT01428427 https://clinicaltrials.gov.</w:t>
      </w:r>
    </w:p>
    <w:p w14:paraId="3219432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62D019AD">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7666678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364786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NCT01885195 https://clinicaltrials.gov.</w:t>
      </w:r>
    </w:p>
    <w:p w14:paraId="7623345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NCT03170206 https://clinicaltrials.gov.</w:t>
      </w:r>
    </w:p>
    <w:p w14:paraId="48CAB679">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NCT01859026 https://clinicaltrials.gov.</w:t>
      </w:r>
    </w:p>
    <w:p w14:paraId="0D5A9706">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46F3AD8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NCT03581487 https://clinicaltrials.gov.</w:t>
      </w:r>
    </w:p>
    <w:p w14:paraId="7D69C7E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NCT01134016 https://clinicaltrials.gov.</w:t>
      </w:r>
    </w:p>
    <w:p w14:paraId="0FB816E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NCT02047344 https://clinicaltrials.gov.</w:t>
      </w:r>
    </w:p>
    <w:p w14:paraId="5F09663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DE1931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770F401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718BEA16">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F2F1042">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3B0E3B6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2CA722D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19F136C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6D5FF59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NCT03209401 https://clinicaltrials.gov.</w:t>
      </w:r>
    </w:p>
    <w:p w14:paraId="4E0B28F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0205CF9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1F7EFF2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1789827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51536AFA">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NCT02797964 https://clinicaltrials.gov.</w:t>
      </w:r>
    </w:p>
    <w:p w14:paraId="5D47013B">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1527E396">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115DC91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61EA6087">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17C760D5">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NCT01471353 https://clinicaltrials.gov.</w:t>
      </w:r>
    </w:p>
    <w:p w14:paraId="05192714">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NCT02029001 https://clinicaltrials.gov.</w:t>
      </w:r>
    </w:p>
    <w:p w14:paraId="52A3A61E">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NCT03012321 https://clinicaltrials.gov.</w:t>
      </w:r>
    </w:p>
    <w:p w14:paraId="11D60F61">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NCT03375307 https://clinicaltrials.gov.</w:t>
      </w:r>
    </w:p>
    <w:p w14:paraId="6C4A0870">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58DD9CA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NCT04305496 https://clinicaltrials.gov.</w:t>
      </w:r>
    </w:p>
    <w:p w14:paraId="224EACE8">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CTR20211933 https://chinadrugtrials.org.cn.</w:t>
      </w:r>
    </w:p>
    <w:p w14:paraId="2BD04463">
      <w:pPr>
        <w:numPr>
          <w:ilvl w:val="0"/>
          <w:numId w:val="22"/>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CTR20221972 https://chinadrugtrials.org.cn.</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adjustRightInd/>
              <w:snapToGrid/>
              <w:spacing w:after="0"/>
              <w:jc w:val="center"/>
              <w:rPr>
                <w:rFonts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adjustRightInd/>
              <w:snapToGrid/>
              <w:spacing w:after="0"/>
              <w:jc w:val="center"/>
              <w:rPr>
                <w:rFonts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34" w:name="OLE_LINK45"/>
      <w:r>
        <w:rPr>
          <w:rFonts w:hint="eastAsia" w:ascii="微软雅黑" w:hAnsi="微软雅黑" w:cs="微软雅黑"/>
          <w:sz w:val="21"/>
          <w:szCs w:val="21"/>
        </w:rPr>
        <w:t>血浆中循环肿瘤DNA</w:t>
      </w:r>
      <w:bookmarkEnd w:id="234"/>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7"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9" w:type="default"/>
          <w:footerReference r:id="rId10"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48"/>
                    <a:stretch>
                      <a:fillRect/>
                    </a:stretch>
                  </pic:blipFill>
                  <pic:spPr>
                    <a:xfrm>
                      <a:off x="0" y="0"/>
                      <a:ext cx="7547610" cy="10774680"/>
                    </a:xfrm>
                    <a:prstGeom prst="rect">
                      <a:avLst/>
                    </a:prstGeom>
                  </pic:spPr>
                </pic:pic>
              </a:graphicData>
            </a:graphic>
          </wp:anchor>
        </w:drawing>
      </w:r>
    </w:p>
    <w:p w14:paraId="4A5C8B0D"/>
    <w:p w14:paraId="26BB6F46"/>
    <w:p w14:paraId="344BC867"/>
    <w:p w14:paraId="0B30643E"/>
    <w:sectPr>
      <w:headerReference r:id="rId13" w:type="first"/>
      <w:headerReference r:id="rId11" w:type="default"/>
      <w:footerReference r:id="rId14" w:type="default"/>
      <w:headerReference r:id="rId12" w:type="even"/>
      <w:pgSz w:w="11906" w:h="16838"/>
      <w:pgMar w:top="720" w:right="720" w:bottom="720" w:left="720" w:header="709"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CUh1e10gEAAKUDAAAOAAAAAAAAAAEAIAAAAB4BAABk&#10;cnMvZTJvRG9jLnhtbFBLBQYAAAAABgAGAFkBAABiBQAAAAA=&#10;">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 xml:space="preserve">肖振娟 </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 xml:space="preserve">肖振娟 </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4951CAF1"/>
    <w:multiLevelType w:val="singleLevel"/>
    <w:tmpl w:val="4951CAF1"/>
    <w:lvl w:ilvl="0" w:tentative="0">
      <w:start w:val="1"/>
      <w:numFmt w:val="decimal"/>
      <w:suff w:val="space"/>
      <w:lvlText w:val="[%1]"/>
      <w:lvlJc w:val="left"/>
    </w:lvl>
  </w:abstractNum>
  <w:abstractNum w:abstractNumId="7">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8">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9">
    <w:nsid w:val="5979611E"/>
    <w:multiLevelType w:val="singleLevel"/>
    <w:tmpl w:val="5979611E"/>
    <w:lvl w:ilvl="0" w:tentative="0">
      <w:start w:val="1"/>
      <w:numFmt w:val="bullet"/>
      <w:lvlText w:val=""/>
      <w:lvlJc w:val="left"/>
      <w:pPr>
        <w:ind w:left="420" w:leftChars="0" w:hanging="420" w:firstLineChars="0"/>
      </w:pPr>
      <w:rPr>
        <w:rFonts w:hint="default" w:ascii="Wingdings" w:hAnsi="Wingdings"/>
        <w:color w:val="000000" w:themeColor="text1"/>
        <w14:textFill>
          <w14:solidFill>
            <w14:schemeClr w14:val="tx1"/>
          </w14:solidFill>
        </w14:textFill>
      </w:rPr>
    </w:lvl>
  </w:abstractNum>
  <w:abstractNum w:abstractNumId="10">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2">
    <w:nsid w:val="5B10DDC0"/>
    <w:multiLevelType w:val="singleLevel"/>
    <w:tmpl w:val="5B10DDC0"/>
    <w:lvl w:ilvl="0" w:tentative="0">
      <w:start w:val="1"/>
      <w:numFmt w:val="decimal"/>
      <w:suff w:val="space"/>
      <w:lvlText w:val="[%1]"/>
      <w:lvlJc w:val="left"/>
    </w:lvl>
  </w:abstractNum>
  <w:abstractNum w:abstractNumId="13">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4">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5">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73A48B0C"/>
    <w:multiLevelType w:val="singleLevel"/>
    <w:tmpl w:val="73A48B0C"/>
    <w:lvl w:ilvl="0" w:tentative="0">
      <w:start w:val="1"/>
      <w:numFmt w:val="decimal"/>
      <w:suff w:val="space"/>
      <w:lvlText w:val="[%1]"/>
      <w:lvlJc w:val="left"/>
    </w:lvl>
  </w:abstractNum>
  <w:abstractNum w:abstractNumId="17">
    <w:nsid w:val="7515515F"/>
    <w:multiLevelType w:val="singleLevel"/>
    <w:tmpl w:val="7515515F"/>
    <w:lvl w:ilvl="0" w:tentative="0">
      <w:start w:val="1"/>
      <w:numFmt w:val="decimal"/>
      <w:suff w:val="space"/>
      <w:lvlText w:val="%1."/>
      <w:lvlJc w:val="left"/>
    </w:lvl>
  </w:abstractNum>
  <w:abstractNum w:abstractNumId="18">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19">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0">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1">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7"/>
  </w:num>
  <w:num w:numId="2">
    <w:abstractNumId w:val="3"/>
  </w:num>
  <w:num w:numId="3">
    <w:abstractNumId w:val="21"/>
  </w:num>
  <w:num w:numId="4">
    <w:abstractNumId w:val="16"/>
  </w:num>
  <w:num w:numId="5">
    <w:abstractNumId w:val="11"/>
  </w:num>
  <w:num w:numId="6">
    <w:abstractNumId w:val="14"/>
  </w:num>
  <w:num w:numId="7">
    <w:abstractNumId w:val="6"/>
  </w:num>
  <w:num w:numId="8">
    <w:abstractNumId w:val="15"/>
  </w:num>
  <w:num w:numId="9">
    <w:abstractNumId w:val="5"/>
  </w:num>
  <w:num w:numId="10">
    <w:abstractNumId w:val="7"/>
  </w:num>
  <w:num w:numId="11">
    <w:abstractNumId w:val="20"/>
  </w:num>
  <w:num w:numId="12">
    <w:abstractNumId w:val="8"/>
  </w:num>
  <w:num w:numId="13">
    <w:abstractNumId w:val="9"/>
  </w:num>
  <w:num w:numId="14">
    <w:abstractNumId w:val="1"/>
  </w:num>
  <w:num w:numId="15">
    <w:abstractNumId w:val="10"/>
  </w:num>
  <w:num w:numId="16">
    <w:abstractNumId w:val="18"/>
  </w:num>
  <w:num w:numId="17">
    <w:abstractNumId w:val="2"/>
  </w:num>
  <w:num w:numId="18">
    <w:abstractNumId w:val="19"/>
  </w:num>
  <w:num w:numId="19">
    <w:abstractNumId w:val="0"/>
  </w:num>
  <w:num w:numId="20">
    <w:abstractNumId w:val="13"/>
  </w:num>
  <w:num w:numId="21">
    <w:abstractNumId w:val="1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93"/>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1EDB"/>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C3131"/>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2C6076"/>
    <w:rsid w:val="02312630"/>
    <w:rsid w:val="02314B51"/>
    <w:rsid w:val="02345C73"/>
    <w:rsid w:val="02352BA2"/>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515CB"/>
    <w:rsid w:val="044B68CB"/>
    <w:rsid w:val="04504672"/>
    <w:rsid w:val="045277AA"/>
    <w:rsid w:val="045571C7"/>
    <w:rsid w:val="04576011"/>
    <w:rsid w:val="0459756B"/>
    <w:rsid w:val="04597A92"/>
    <w:rsid w:val="04610B65"/>
    <w:rsid w:val="04611F50"/>
    <w:rsid w:val="04660ADA"/>
    <w:rsid w:val="046C30B6"/>
    <w:rsid w:val="046E09E1"/>
    <w:rsid w:val="046F0C24"/>
    <w:rsid w:val="04700AEC"/>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49668C"/>
    <w:rsid w:val="05511770"/>
    <w:rsid w:val="05572FE0"/>
    <w:rsid w:val="05585A93"/>
    <w:rsid w:val="05595264"/>
    <w:rsid w:val="055B1E21"/>
    <w:rsid w:val="055E5AE8"/>
    <w:rsid w:val="05621A71"/>
    <w:rsid w:val="05626133"/>
    <w:rsid w:val="05652A24"/>
    <w:rsid w:val="05697EC3"/>
    <w:rsid w:val="056B1DA5"/>
    <w:rsid w:val="056D55F6"/>
    <w:rsid w:val="056E37F3"/>
    <w:rsid w:val="056E4691"/>
    <w:rsid w:val="05702DF9"/>
    <w:rsid w:val="0573545C"/>
    <w:rsid w:val="0575654D"/>
    <w:rsid w:val="0576263D"/>
    <w:rsid w:val="05776718"/>
    <w:rsid w:val="05815B43"/>
    <w:rsid w:val="05835374"/>
    <w:rsid w:val="05844893"/>
    <w:rsid w:val="05856CAD"/>
    <w:rsid w:val="05857708"/>
    <w:rsid w:val="05877B47"/>
    <w:rsid w:val="058831AE"/>
    <w:rsid w:val="05966579"/>
    <w:rsid w:val="059B1FE1"/>
    <w:rsid w:val="059C2EBD"/>
    <w:rsid w:val="05A0242D"/>
    <w:rsid w:val="05A27C21"/>
    <w:rsid w:val="05A37A8F"/>
    <w:rsid w:val="05A43BF5"/>
    <w:rsid w:val="05B20635"/>
    <w:rsid w:val="05B253F0"/>
    <w:rsid w:val="05B6224D"/>
    <w:rsid w:val="05B86847"/>
    <w:rsid w:val="05B9407D"/>
    <w:rsid w:val="05B9677F"/>
    <w:rsid w:val="05BD1C6F"/>
    <w:rsid w:val="05C262D4"/>
    <w:rsid w:val="05C26988"/>
    <w:rsid w:val="05C362A1"/>
    <w:rsid w:val="05C606AE"/>
    <w:rsid w:val="05C70A61"/>
    <w:rsid w:val="05CE608C"/>
    <w:rsid w:val="05D074FD"/>
    <w:rsid w:val="05D2173E"/>
    <w:rsid w:val="05D2339D"/>
    <w:rsid w:val="05D33011"/>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540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50537"/>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4D1A"/>
    <w:rsid w:val="0E3A56BB"/>
    <w:rsid w:val="0E3F30B1"/>
    <w:rsid w:val="0E4052D8"/>
    <w:rsid w:val="0E4211DF"/>
    <w:rsid w:val="0E426F44"/>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172E4"/>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300884"/>
    <w:rsid w:val="10367DE3"/>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957A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06F64"/>
    <w:rsid w:val="12F931A9"/>
    <w:rsid w:val="12FB210C"/>
    <w:rsid w:val="12FF4867"/>
    <w:rsid w:val="13010D3C"/>
    <w:rsid w:val="130152C1"/>
    <w:rsid w:val="1302674E"/>
    <w:rsid w:val="130513AD"/>
    <w:rsid w:val="130617B1"/>
    <w:rsid w:val="13062E42"/>
    <w:rsid w:val="130A6064"/>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B71CA"/>
    <w:rsid w:val="146E4624"/>
    <w:rsid w:val="14756795"/>
    <w:rsid w:val="1478525D"/>
    <w:rsid w:val="1479526C"/>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9D5775"/>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C413D"/>
    <w:rsid w:val="17AD2824"/>
    <w:rsid w:val="17AD57B0"/>
    <w:rsid w:val="17AE1FE1"/>
    <w:rsid w:val="17AE4F2B"/>
    <w:rsid w:val="17AF57C6"/>
    <w:rsid w:val="17AF781A"/>
    <w:rsid w:val="17AF79E2"/>
    <w:rsid w:val="17B13DCE"/>
    <w:rsid w:val="17B27026"/>
    <w:rsid w:val="17C041B0"/>
    <w:rsid w:val="17C3337D"/>
    <w:rsid w:val="17C604E5"/>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D2FF5"/>
    <w:rsid w:val="1AEE29A9"/>
    <w:rsid w:val="1AF27FC9"/>
    <w:rsid w:val="1AF53561"/>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EC4C81"/>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3D5039"/>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0521A"/>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84130"/>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D1108C"/>
    <w:rsid w:val="20D414E3"/>
    <w:rsid w:val="20D74D5F"/>
    <w:rsid w:val="20D76314"/>
    <w:rsid w:val="20D82020"/>
    <w:rsid w:val="20D9646E"/>
    <w:rsid w:val="20DE0E7A"/>
    <w:rsid w:val="20DE1C9A"/>
    <w:rsid w:val="20E221E4"/>
    <w:rsid w:val="20E53376"/>
    <w:rsid w:val="20E70C38"/>
    <w:rsid w:val="20E830D5"/>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C173F3"/>
    <w:rsid w:val="21C3208B"/>
    <w:rsid w:val="21C347B6"/>
    <w:rsid w:val="21C839CE"/>
    <w:rsid w:val="21C979FE"/>
    <w:rsid w:val="21CD2655"/>
    <w:rsid w:val="21CD3378"/>
    <w:rsid w:val="21CD75D5"/>
    <w:rsid w:val="21D20555"/>
    <w:rsid w:val="21D23A45"/>
    <w:rsid w:val="21D327EF"/>
    <w:rsid w:val="21DA6174"/>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B959FC"/>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406E0"/>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C3CD0"/>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86FF9"/>
    <w:rsid w:val="2C2960FC"/>
    <w:rsid w:val="2C2B021E"/>
    <w:rsid w:val="2C2D2D0D"/>
    <w:rsid w:val="2C375944"/>
    <w:rsid w:val="2C3B155A"/>
    <w:rsid w:val="2C3F2EB7"/>
    <w:rsid w:val="2C454CDB"/>
    <w:rsid w:val="2C4D7F46"/>
    <w:rsid w:val="2C4F0497"/>
    <w:rsid w:val="2C506442"/>
    <w:rsid w:val="2C541335"/>
    <w:rsid w:val="2C57251C"/>
    <w:rsid w:val="2C5C51D5"/>
    <w:rsid w:val="2C5F6823"/>
    <w:rsid w:val="2C605945"/>
    <w:rsid w:val="2C62700C"/>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6146"/>
    <w:rsid w:val="2F71797B"/>
    <w:rsid w:val="2F762ECF"/>
    <w:rsid w:val="2F79396A"/>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521A"/>
    <w:rsid w:val="310608A2"/>
    <w:rsid w:val="31070CFB"/>
    <w:rsid w:val="31087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D1917"/>
    <w:rsid w:val="31DF76F1"/>
    <w:rsid w:val="31E00FB5"/>
    <w:rsid w:val="31E45B8C"/>
    <w:rsid w:val="31E645B1"/>
    <w:rsid w:val="31EC756B"/>
    <w:rsid w:val="31EE29B3"/>
    <w:rsid w:val="31EE412C"/>
    <w:rsid w:val="31F745D3"/>
    <w:rsid w:val="31F83CBF"/>
    <w:rsid w:val="31FA339D"/>
    <w:rsid w:val="31FB28EC"/>
    <w:rsid w:val="31FC58E9"/>
    <w:rsid w:val="31FE3095"/>
    <w:rsid w:val="31FE67FD"/>
    <w:rsid w:val="31FF671F"/>
    <w:rsid w:val="32020056"/>
    <w:rsid w:val="32034F14"/>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A38CA"/>
    <w:rsid w:val="34B01D5A"/>
    <w:rsid w:val="34B04A3D"/>
    <w:rsid w:val="34B2580F"/>
    <w:rsid w:val="34B41020"/>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353F1"/>
    <w:rsid w:val="356B705C"/>
    <w:rsid w:val="356C6085"/>
    <w:rsid w:val="356D40E4"/>
    <w:rsid w:val="35702CE1"/>
    <w:rsid w:val="35704EB0"/>
    <w:rsid w:val="35710A55"/>
    <w:rsid w:val="35720AAE"/>
    <w:rsid w:val="357617BA"/>
    <w:rsid w:val="35790CB9"/>
    <w:rsid w:val="357936BF"/>
    <w:rsid w:val="357A6A6C"/>
    <w:rsid w:val="357D5BF1"/>
    <w:rsid w:val="357E7F99"/>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C1000"/>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42640"/>
    <w:rsid w:val="376B18F0"/>
    <w:rsid w:val="376E2F19"/>
    <w:rsid w:val="37702ABF"/>
    <w:rsid w:val="37704F5D"/>
    <w:rsid w:val="37731EFA"/>
    <w:rsid w:val="37741153"/>
    <w:rsid w:val="377518BF"/>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81271"/>
    <w:rsid w:val="389C56A2"/>
    <w:rsid w:val="38A16B47"/>
    <w:rsid w:val="38A50118"/>
    <w:rsid w:val="38A53ACF"/>
    <w:rsid w:val="38A6393D"/>
    <w:rsid w:val="38A67955"/>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4150"/>
    <w:rsid w:val="3E2F3B0E"/>
    <w:rsid w:val="3E324F76"/>
    <w:rsid w:val="3E352A83"/>
    <w:rsid w:val="3E38233A"/>
    <w:rsid w:val="3E383748"/>
    <w:rsid w:val="3E3B6A60"/>
    <w:rsid w:val="3E3D78EB"/>
    <w:rsid w:val="3E3E04D6"/>
    <w:rsid w:val="3E3E2C2F"/>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22630"/>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A181B"/>
    <w:rsid w:val="448E5015"/>
    <w:rsid w:val="448F4618"/>
    <w:rsid w:val="449045B1"/>
    <w:rsid w:val="44991472"/>
    <w:rsid w:val="449A76F8"/>
    <w:rsid w:val="449C26AA"/>
    <w:rsid w:val="449C4CC6"/>
    <w:rsid w:val="449E2B1E"/>
    <w:rsid w:val="449F3491"/>
    <w:rsid w:val="44A05432"/>
    <w:rsid w:val="44A16BA8"/>
    <w:rsid w:val="44A21CDC"/>
    <w:rsid w:val="44A25BB4"/>
    <w:rsid w:val="44A35712"/>
    <w:rsid w:val="44A37CF4"/>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1C67FF"/>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76EC"/>
    <w:rsid w:val="46697C23"/>
    <w:rsid w:val="466B1E95"/>
    <w:rsid w:val="466D3137"/>
    <w:rsid w:val="466D4E77"/>
    <w:rsid w:val="46713857"/>
    <w:rsid w:val="4674136E"/>
    <w:rsid w:val="467657F9"/>
    <w:rsid w:val="46782F47"/>
    <w:rsid w:val="467830C8"/>
    <w:rsid w:val="467D48EA"/>
    <w:rsid w:val="467E5625"/>
    <w:rsid w:val="4681737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44703"/>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A0A45"/>
    <w:rsid w:val="4A7A75FA"/>
    <w:rsid w:val="4A7E3207"/>
    <w:rsid w:val="4A820975"/>
    <w:rsid w:val="4A826B80"/>
    <w:rsid w:val="4A830182"/>
    <w:rsid w:val="4A837295"/>
    <w:rsid w:val="4A8738AC"/>
    <w:rsid w:val="4A8A3823"/>
    <w:rsid w:val="4A8C7560"/>
    <w:rsid w:val="4A8E7A40"/>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5852"/>
    <w:rsid w:val="4CD4750B"/>
    <w:rsid w:val="4CD83D84"/>
    <w:rsid w:val="4CDC509B"/>
    <w:rsid w:val="4CDE39A2"/>
    <w:rsid w:val="4CE73126"/>
    <w:rsid w:val="4CEC25AC"/>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34326"/>
    <w:rsid w:val="507373A8"/>
    <w:rsid w:val="50767D49"/>
    <w:rsid w:val="507B1010"/>
    <w:rsid w:val="5080064E"/>
    <w:rsid w:val="50815D12"/>
    <w:rsid w:val="50881A2F"/>
    <w:rsid w:val="508A2397"/>
    <w:rsid w:val="508B41E7"/>
    <w:rsid w:val="508B5B37"/>
    <w:rsid w:val="508C6425"/>
    <w:rsid w:val="50922785"/>
    <w:rsid w:val="509D475A"/>
    <w:rsid w:val="50A078EC"/>
    <w:rsid w:val="50A234B0"/>
    <w:rsid w:val="50A25654"/>
    <w:rsid w:val="50A454F9"/>
    <w:rsid w:val="50A61BD5"/>
    <w:rsid w:val="50AB5363"/>
    <w:rsid w:val="50AD6935"/>
    <w:rsid w:val="50AE16EE"/>
    <w:rsid w:val="50AF30C6"/>
    <w:rsid w:val="50AF7B2F"/>
    <w:rsid w:val="50B332A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0163"/>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D3304A"/>
    <w:rsid w:val="53D352E6"/>
    <w:rsid w:val="53D37AEF"/>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37B65"/>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F009A"/>
    <w:rsid w:val="552F108E"/>
    <w:rsid w:val="5533583F"/>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14385"/>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30C3C"/>
    <w:rsid w:val="56532AA2"/>
    <w:rsid w:val="56557AA7"/>
    <w:rsid w:val="565A6FAE"/>
    <w:rsid w:val="565D3695"/>
    <w:rsid w:val="565E4F9F"/>
    <w:rsid w:val="565F5964"/>
    <w:rsid w:val="56602CF9"/>
    <w:rsid w:val="5661438B"/>
    <w:rsid w:val="56640307"/>
    <w:rsid w:val="56660B41"/>
    <w:rsid w:val="5667482A"/>
    <w:rsid w:val="566B273B"/>
    <w:rsid w:val="566E223B"/>
    <w:rsid w:val="56725F6F"/>
    <w:rsid w:val="5676236B"/>
    <w:rsid w:val="56777E21"/>
    <w:rsid w:val="567800FD"/>
    <w:rsid w:val="567C7B7C"/>
    <w:rsid w:val="5681559F"/>
    <w:rsid w:val="56830D7B"/>
    <w:rsid w:val="56885DF8"/>
    <w:rsid w:val="568E138E"/>
    <w:rsid w:val="5694135E"/>
    <w:rsid w:val="569C2596"/>
    <w:rsid w:val="569D62EC"/>
    <w:rsid w:val="569F0117"/>
    <w:rsid w:val="569F38CC"/>
    <w:rsid w:val="56A81045"/>
    <w:rsid w:val="56A812A9"/>
    <w:rsid w:val="56AB6FEB"/>
    <w:rsid w:val="56AC14BF"/>
    <w:rsid w:val="56B459E7"/>
    <w:rsid w:val="56B72543"/>
    <w:rsid w:val="56BA1CD6"/>
    <w:rsid w:val="56BD08C4"/>
    <w:rsid w:val="56BF0354"/>
    <w:rsid w:val="56BF103F"/>
    <w:rsid w:val="56C57CC3"/>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30E7E"/>
    <w:rsid w:val="59E51E95"/>
    <w:rsid w:val="59E54238"/>
    <w:rsid w:val="59E74401"/>
    <w:rsid w:val="59EC5A2D"/>
    <w:rsid w:val="59ED4A50"/>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3C677A"/>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B3C00"/>
    <w:rsid w:val="5F2D1078"/>
    <w:rsid w:val="5F2E044E"/>
    <w:rsid w:val="5F2E347F"/>
    <w:rsid w:val="5F2F5BFC"/>
    <w:rsid w:val="5F314D24"/>
    <w:rsid w:val="5F3543B4"/>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3DDA"/>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7FE"/>
    <w:rsid w:val="62345AE0"/>
    <w:rsid w:val="62355886"/>
    <w:rsid w:val="623611EB"/>
    <w:rsid w:val="62377985"/>
    <w:rsid w:val="623818BE"/>
    <w:rsid w:val="623877E3"/>
    <w:rsid w:val="623B0843"/>
    <w:rsid w:val="623B1B1B"/>
    <w:rsid w:val="623C78A9"/>
    <w:rsid w:val="623F3D94"/>
    <w:rsid w:val="624233B2"/>
    <w:rsid w:val="624243AC"/>
    <w:rsid w:val="62424C70"/>
    <w:rsid w:val="62435967"/>
    <w:rsid w:val="62465639"/>
    <w:rsid w:val="624C1C13"/>
    <w:rsid w:val="624D6C96"/>
    <w:rsid w:val="624E1D8C"/>
    <w:rsid w:val="624E6E00"/>
    <w:rsid w:val="62507412"/>
    <w:rsid w:val="62512606"/>
    <w:rsid w:val="62514E5B"/>
    <w:rsid w:val="62535233"/>
    <w:rsid w:val="62563BD7"/>
    <w:rsid w:val="6258068B"/>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1F38F2"/>
    <w:rsid w:val="6321472B"/>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9034AC"/>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E42DE"/>
    <w:rsid w:val="65DF6773"/>
    <w:rsid w:val="65E022E2"/>
    <w:rsid w:val="65ED0449"/>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01D8F"/>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026A2"/>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01771"/>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914"/>
    <w:rsid w:val="6D0221B7"/>
    <w:rsid w:val="6D035AD8"/>
    <w:rsid w:val="6D045962"/>
    <w:rsid w:val="6D0517A7"/>
    <w:rsid w:val="6D06067F"/>
    <w:rsid w:val="6D09023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7E14B2"/>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E132FF"/>
    <w:rsid w:val="70E53F5D"/>
    <w:rsid w:val="70E63C74"/>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D6B22"/>
    <w:rsid w:val="712E483D"/>
    <w:rsid w:val="713200A4"/>
    <w:rsid w:val="71324139"/>
    <w:rsid w:val="7134173D"/>
    <w:rsid w:val="71373C3D"/>
    <w:rsid w:val="713752AB"/>
    <w:rsid w:val="71392DF3"/>
    <w:rsid w:val="713D1537"/>
    <w:rsid w:val="713D52B3"/>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967E8"/>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73E40"/>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8C4E62"/>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3C94"/>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3F2516"/>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53C6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15BA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82588"/>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F06638"/>
    <w:rsid w:val="79F11200"/>
    <w:rsid w:val="79F20023"/>
    <w:rsid w:val="79F32313"/>
    <w:rsid w:val="79F3466B"/>
    <w:rsid w:val="79F37792"/>
    <w:rsid w:val="79F64305"/>
    <w:rsid w:val="79F67EF0"/>
    <w:rsid w:val="79F75659"/>
    <w:rsid w:val="79F85AD2"/>
    <w:rsid w:val="79F91114"/>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41492"/>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78C7"/>
    <w:rsid w:val="7AE87351"/>
    <w:rsid w:val="7AE87439"/>
    <w:rsid w:val="7AEF5FDF"/>
    <w:rsid w:val="7AF00DB4"/>
    <w:rsid w:val="7AF3046A"/>
    <w:rsid w:val="7AF33363"/>
    <w:rsid w:val="7AF5196F"/>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7080D"/>
    <w:rsid w:val="7CC7607D"/>
    <w:rsid w:val="7CC77E2B"/>
    <w:rsid w:val="7CCB22A2"/>
    <w:rsid w:val="7CCD26CF"/>
    <w:rsid w:val="7CCD6A45"/>
    <w:rsid w:val="7CCE3FDE"/>
    <w:rsid w:val="7CCF3759"/>
    <w:rsid w:val="7CD13082"/>
    <w:rsid w:val="7CD17CAD"/>
    <w:rsid w:val="7CD267D0"/>
    <w:rsid w:val="7CD50259"/>
    <w:rsid w:val="7CD744DD"/>
    <w:rsid w:val="7CD85482"/>
    <w:rsid w:val="7CDA03B2"/>
    <w:rsid w:val="7CDE27CD"/>
    <w:rsid w:val="7CE52D60"/>
    <w:rsid w:val="7CE62EAE"/>
    <w:rsid w:val="7CE74FD7"/>
    <w:rsid w:val="7CE821E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504CA"/>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B63CC"/>
    <w:rsid w:val="7F7D28FB"/>
    <w:rsid w:val="7F803CB7"/>
    <w:rsid w:val="7F822FE3"/>
    <w:rsid w:val="7F83107B"/>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image" Target="media/image38.jpe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jpeg"/><Relationship Id="rId4" Type="http://schemas.openxmlformats.org/officeDocument/2006/relationships/header" Target="head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105</Pages>
  <Words>11520</Words>
  <Characters>16061</Characters>
  <Lines>1</Lines>
  <Paragraphs>1</Paragraphs>
  <TotalTime>35</TotalTime>
  <ScaleCrop>false</ScaleCrop>
  <LinksUpToDate>false</LinksUpToDate>
  <CharactersWithSpaces>16644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Wncasso</cp:lastModifiedBy>
  <cp:lastPrinted>2016-10-03T08:25:00Z</cp:lastPrinted>
  <dcterms:modified xsi:type="dcterms:W3CDTF">2025-10-24T09:16:27Z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506DC33883234A2CB7CB092C44658A6E_13</vt:lpwstr>
  </property>
  <property fmtid="{D5CDD505-2E9C-101B-9397-08002B2CF9AE}" pid="4" name="KSOTemplateDocerSaveRecord">
    <vt:lpwstr>eyJoZGlkIjoiZWNhNTllYzQ1ZDQ3NzI1N2NmZDM1MWEzOTdmOTczMjQiLCJ1c2VySWQiOiI2MTg5ODM4OTgifQ==</vt:lpwstr>
  </property>
</Properties>
</file>